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5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282B55" w14:textId="4462D0D1" w:rsidR="000A726A" w:rsidRDefault="000A726A" w:rsidP="000A726A">
      <w:pPr>
        <w:pStyle w:val="BodyText"/>
      </w:pPr>
      <w:bookmarkStart w:id="0" w:name="_Toc51689724"/>
      <w:bookmarkStart w:id="1" w:name="_Toc51689822"/>
      <w:bookmarkStart w:id="2" w:name="_Toc51690290"/>
      <w:bookmarkStart w:id="3" w:name="_Toc51690402"/>
      <w:bookmarkStart w:id="4" w:name="_Toc51690630"/>
      <w:bookmarkStart w:id="5" w:name="_Toc51690768"/>
      <w:bookmarkStart w:id="6" w:name="_Toc51690897"/>
      <w:bookmarkStart w:id="7" w:name="_Toc51691140"/>
      <w:bookmarkStart w:id="8" w:name="_Toc51691343"/>
      <w:bookmarkStart w:id="9" w:name="_Toc51691660"/>
      <w:bookmarkStart w:id="10" w:name="_Toc65150724"/>
      <w:bookmarkStart w:id="11" w:name="_Toc69729029"/>
      <w:bookmarkStart w:id="12" w:name="_Toc69913604"/>
      <w:bookmarkStart w:id="13" w:name="_Toc69917823"/>
      <w:bookmarkStart w:id="14" w:name="_Toc97747812"/>
      <w:bookmarkStart w:id="15" w:name="_Toc97809645"/>
      <w:bookmarkStart w:id="16" w:name="_Toc108088923"/>
      <w:bookmarkStart w:id="17" w:name="_Toc108089002"/>
      <w:bookmarkStart w:id="18" w:name="_Toc108089397"/>
      <w:bookmarkStart w:id="19" w:name="_Toc108089677"/>
      <w:bookmarkStart w:id="20" w:name="_Toc109227282"/>
      <w:bookmarkStart w:id="21" w:name="_Toc109227719"/>
      <w:bookmarkStart w:id="22" w:name="_Toc158896235"/>
      <w:bookmarkStart w:id="23" w:name="_Toc158896292"/>
      <w:bookmarkStart w:id="24" w:name="_Toc159499666"/>
      <w:bookmarkStart w:id="25" w:name="_Toc159499952"/>
      <w:bookmarkStart w:id="26" w:name="_Toc159857663"/>
      <w:bookmarkStart w:id="27" w:name="_Toc159857742"/>
      <w:bookmarkStart w:id="28" w:name="_Toc159858138"/>
      <w:bookmarkStart w:id="29" w:name="_Toc159858409"/>
      <w:bookmarkStart w:id="30" w:name="_Toc159858803"/>
      <w:bookmarkStart w:id="31" w:name="_Toc159858873"/>
      <w:bookmarkStart w:id="32" w:name="_Toc159859083"/>
      <w:bookmarkStart w:id="33" w:name="_Toc159859235"/>
      <w:bookmarkStart w:id="34" w:name="_Toc159862273"/>
      <w:bookmarkStart w:id="35" w:name="_Toc159862463"/>
      <w:bookmarkStart w:id="36" w:name="_Toc221786167"/>
      <w:bookmarkStart w:id="37" w:name="_Toc221874461"/>
      <w:bookmarkStart w:id="38" w:name="_Toc221888994"/>
      <w:bookmarkStart w:id="39" w:name="_Toc221889191"/>
      <w:bookmarkStart w:id="40" w:name="_Toc222126870"/>
      <w:bookmarkStart w:id="41" w:name="_Toc222129907"/>
      <w:bookmarkStart w:id="42" w:name="_Toc222129997"/>
      <w:bookmarkStart w:id="43" w:name="_Toc222131116"/>
      <w:bookmarkStart w:id="44" w:name="_Toc222134741"/>
      <w:bookmarkStart w:id="45" w:name="_Toc222134822"/>
      <w:bookmarkStart w:id="46" w:name="_Toc222148337"/>
      <w:bookmarkStart w:id="47" w:name="_Toc225847648"/>
      <w:bookmarkStart w:id="48" w:name="_Toc225847963"/>
      <w:bookmarkStart w:id="49" w:name="_Toc225848046"/>
      <w:bookmarkStart w:id="50" w:name="_Toc225848129"/>
      <w:bookmarkStart w:id="51" w:name="_Toc225848212"/>
      <w:bookmarkStart w:id="52" w:name="_Toc225848247"/>
      <w:bookmarkStart w:id="53" w:name="_Toc225848468"/>
      <w:bookmarkStart w:id="54" w:name="_Toc225941535"/>
      <w:bookmarkStart w:id="55" w:name="_Toc225942542"/>
      <w:bookmarkStart w:id="56" w:name="_Toc226703415"/>
      <w:bookmarkStart w:id="57" w:name="_Toc226983915"/>
      <w:bookmarkStart w:id="58" w:name="_Toc226984100"/>
      <w:bookmarkStart w:id="59" w:name="_Toc227334352"/>
      <w:bookmarkStart w:id="60" w:name="_Toc228547628"/>
      <w:bookmarkStart w:id="61" w:name="_Toc340655856"/>
      <w:bookmarkStart w:id="62" w:name="_Toc340656264"/>
      <w:bookmarkStart w:id="63" w:name="_Toc340656894"/>
      <w:bookmarkStart w:id="64" w:name="_Toc340665294"/>
      <w:bookmarkStart w:id="65" w:name="_Toc340669818"/>
      <w:bookmarkStart w:id="66" w:name="_Toc346545725"/>
      <w:bookmarkStart w:id="67" w:name="_Toc346622279"/>
      <w:bookmarkStart w:id="68" w:name="_Toc346692739"/>
      <w:bookmarkStart w:id="69" w:name="_Toc346713082"/>
      <w:bookmarkStart w:id="70" w:name="_Toc346788751"/>
      <w:bookmarkStart w:id="71" w:name="_Toc346824127"/>
      <w:bookmarkStart w:id="72" w:name="_Toc346891298"/>
      <w:bookmarkStart w:id="73" w:name="_Toc347238750"/>
      <w:bookmarkStart w:id="74" w:name="_Toc347415199"/>
      <w:bookmarkStart w:id="75" w:name="_Toc347473798"/>
      <w:bookmarkStart w:id="76" w:name="_Toc347481824"/>
      <w:bookmarkStart w:id="77" w:name="_Toc347490059"/>
      <w:bookmarkStart w:id="78" w:name="_Toc347744285"/>
      <w:bookmarkStart w:id="79" w:name="_Toc347754527"/>
      <w:bookmarkStart w:id="80" w:name="_Toc347757653"/>
      <w:bookmarkStart w:id="81" w:name="_Toc347764595"/>
      <w:bookmarkStart w:id="82" w:name="_Toc347766456"/>
    </w:p>
    <w:p w14:paraId="1DF1B0AE" w14:textId="48A617DD" w:rsidR="00385B20" w:rsidRDefault="00385B20" w:rsidP="000A726A">
      <w:pPr>
        <w:pStyle w:val="BodyText"/>
      </w:pPr>
    </w:p>
    <w:p w14:paraId="26EE609D" w14:textId="1ECE3FBA" w:rsidR="00385B20" w:rsidRDefault="00385B20" w:rsidP="000A726A">
      <w:pPr>
        <w:pStyle w:val="BodyText"/>
      </w:pPr>
    </w:p>
    <w:p w14:paraId="696F7A3D" w14:textId="74B174C9" w:rsidR="00385B20" w:rsidRDefault="00385B20" w:rsidP="000A726A">
      <w:pPr>
        <w:pStyle w:val="BodyText"/>
      </w:pPr>
    </w:p>
    <w:p w14:paraId="56DA422C" w14:textId="0E297545" w:rsidR="00385B20" w:rsidRDefault="00385B20" w:rsidP="000A726A">
      <w:pPr>
        <w:pStyle w:val="BodyText"/>
      </w:pPr>
    </w:p>
    <w:p w14:paraId="67847F07" w14:textId="610A1AC3" w:rsidR="00385B20" w:rsidRDefault="00385B20" w:rsidP="000A726A">
      <w:pPr>
        <w:pStyle w:val="BodyText"/>
      </w:pPr>
    </w:p>
    <w:p w14:paraId="5BB1A845" w14:textId="49913B74" w:rsidR="00385B20" w:rsidRDefault="00385B20" w:rsidP="000A726A">
      <w:pPr>
        <w:pStyle w:val="BodyText"/>
      </w:pPr>
    </w:p>
    <w:p w14:paraId="63A2A98E" w14:textId="77777777" w:rsidR="00385B20" w:rsidRDefault="00385B20" w:rsidP="000A726A">
      <w:pPr>
        <w:pStyle w:val="BodyText"/>
      </w:pPr>
    </w:p>
    <w:p w14:paraId="5EA86313" w14:textId="77777777" w:rsidR="000A726A" w:rsidRDefault="000A726A" w:rsidP="000A726A">
      <w:pPr>
        <w:pStyle w:val="BodyText"/>
      </w:pPr>
    </w:p>
    <w:p w14:paraId="4547E7AD" w14:textId="77777777" w:rsidR="000A726A" w:rsidRDefault="000A726A" w:rsidP="000A726A">
      <w:pPr>
        <w:pStyle w:val="BodyText"/>
      </w:pPr>
    </w:p>
    <w:p w14:paraId="062A6959" w14:textId="77777777" w:rsidR="000A726A" w:rsidRDefault="000A726A" w:rsidP="000A726A">
      <w:pPr>
        <w:pStyle w:val="BodyText"/>
      </w:pPr>
    </w:p>
    <w:p w14:paraId="65ED5325" w14:textId="77777777" w:rsidR="000A726A" w:rsidRDefault="000A726A" w:rsidP="000A726A">
      <w:pPr>
        <w:pStyle w:val="BodyText"/>
      </w:pPr>
    </w:p>
    <w:p w14:paraId="5B1301C5" w14:textId="77777777" w:rsidR="000A726A" w:rsidRDefault="000A726A" w:rsidP="000A726A">
      <w:pPr>
        <w:pStyle w:val="BodyText"/>
      </w:pPr>
    </w:p>
    <w:p w14:paraId="0CC22DC4" w14:textId="77777777" w:rsidR="000A726A" w:rsidRDefault="000A726A" w:rsidP="000A726A">
      <w:pPr>
        <w:pStyle w:val="BodyText"/>
      </w:pPr>
    </w:p>
    <w:p w14:paraId="5185E42B" w14:textId="55BA1829" w:rsidR="00E277AB" w:rsidRPr="003E76E7" w:rsidRDefault="00E277AB" w:rsidP="00C4292D">
      <w:pPr>
        <w:pStyle w:val="Heading2"/>
        <w:spacing w:before="0" w:after="120"/>
      </w:pPr>
      <w:bookmarkStart w:id="83" w:name="_Toc228988935"/>
      <w:bookmarkStart w:id="84" w:name="_Toc229072426"/>
      <w:bookmarkStart w:id="85" w:name="_Toc229072598"/>
      <w:r w:rsidRPr="003E76E7">
        <w:t>P</w:t>
      </w:r>
      <w:r w:rsidR="00A01209" w:rsidRPr="003E76E7">
        <w:t>ORTFOLIO BUDGET STATEMENTS</w:t>
      </w:r>
      <w:r w:rsidRPr="003E76E7">
        <w:t xml:space="preserve"> </w:t>
      </w:r>
      <w:r w:rsidR="003B04D2" w:rsidRPr="003E76E7">
        <w:t>202</w:t>
      </w:r>
      <w:r w:rsidR="002A6E29" w:rsidRPr="003E76E7">
        <w:t>6</w:t>
      </w:r>
      <w:r w:rsidR="003B04D2" w:rsidRPr="003E76E7">
        <w:t>-2</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002A6E29" w:rsidRPr="003E76E7">
        <w:t>7</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83"/>
      <w:bookmarkEnd w:id="84"/>
      <w:bookmarkEnd w:id="85"/>
    </w:p>
    <w:p w14:paraId="188F303F" w14:textId="77777777" w:rsidR="00F03C2F" w:rsidRPr="003E76E7" w:rsidRDefault="00F03C2F" w:rsidP="00C4292D">
      <w:pPr>
        <w:pStyle w:val="BodyText"/>
        <w:spacing w:before="0" w:after="0"/>
        <w:rPr>
          <w:rFonts w:ascii="Arial" w:hAnsi="Arial"/>
          <w:sz w:val="28"/>
          <w:szCs w:val="28"/>
        </w:rPr>
      </w:pPr>
      <w:r w:rsidRPr="003E76E7">
        <w:rPr>
          <w:rFonts w:ascii="Arial" w:hAnsi="Arial"/>
          <w:sz w:val="28"/>
          <w:szCs w:val="28"/>
        </w:rPr>
        <w:t>B</w:t>
      </w:r>
      <w:r w:rsidR="00A01209" w:rsidRPr="003E76E7">
        <w:rPr>
          <w:rFonts w:ascii="Arial" w:hAnsi="Arial"/>
          <w:sz w:val="28"/>
          <w:szCs w:val="28"/>
        </w:rPr>
        <w:t>UDGET</w:t>
      </w:r>
      <w:r w:rsidRPr="003E76E7">
        <w:rPr>
          <w:rFonts w:ascii="Arial" w:hAnsi="Arial"/>
          <w:sz w:val="28"/>
          <w:szCs w:val="28"/>
        </w:rPr>
        <w:t xml:space="preserve"> R</w:t>
      </w:r>
      <w:r w:rsidR="00A01209" w:rsidRPr="003E76E7">
        <w:rPr>
          <w:rFonts w:ascii="Arial" w:hAnsi="Arial"/>
          <w:sz w:val="28"/>
          <w:szCs w:val="28"/>
        </w:rPr>
        <w:t xml:space="preserve">ELATED </w:t>
      </w:r>
      <w:r w:rsidRPr="003E76E7">
        <w:rPr>
          <w:rFonts w:ascii="Arial" w:hAnsi="Arial"/>
          <w:sz w:val="28"/>
          <w:szCs w:val="28"/>
        </w:rPr>
        <w:t>P</w:t>
      </w:r>
      <w:r w:rsidR="00A01209" w:rsidRPr="003E76E7">
        <w:rPr>
          <w:rFonts w:ascii="Arial" w:hAnsi="Arial"/>
          <w:sz w:val="28"/>
          <w:szCs w:val="28"/>
        </w:rPr>
        <w:t>APER</w:t>
      </w:r>
      <w:r w:rsidRPr="003E76E7">
        <w:rPr>
          <w:rFonts w:ascii="Arial" w:hAnsi="Arial"/>
          <w:sz w:val="28"/>
          <w:szCs w:val="28"/>
        </w:rPr>
        <w:t xml:space="preserve"> </w:t>
      </w:r>
      <w:r w:rsidR="00473E70" w:rsidRPr="003E76E7">
        <w:rPr>
          <w:rFonts w:ascii="Arial" w:hAnsi="Arial"/>
          <w:sz w:val="28"/>
          <w:szCs w:val="28"/>
        </w:rPr>
        <w:t>N</w:t>
      </w:r>
      <w:r w:rsidR="00840EF9" w:rsidRPr="003E76E7">
        <w:rPr>
          <w:rFonts w:ascii="Arial" w:hAnsi="Arial"/>
          <w:sz w:val="28"/>
          <w:szCs w:val="28"/>
        </w:rPr>
        <w:t>O</w:t>
      </w:r>
      <w:r w:rsidR="00473E70" w:rsidRPr="003E76E7">
        <w:rPr>
          <w:rFonts w:ascii="Arial" w:hAnsi="Arial"/>
          <w:sz w:val="28"/>
          <w:szCs w:val="28"/>
        </w:rPr>
        <w:t>. 1.</w:t>
      </w:r>
      <w:r w:rsidR="008006BA" w:rsidRPr="003E76E7">
        <w:rPr>
          <w:rFonts w:ascii="Arial" w:hAnsi="Arial"/>
          <w:sz w:val="28"/>
          <w:szCs w:val="28"/>
        </w:rPr>
        <w:t>4</w:t>
      </w:r>
      <w:r w:rsidR="00473E70" w:rsidRPr="003E76E7">
        <w:rPr>
          <w:rFonts w:ascii="Arial" w:hAnsi="Arial"/>
          <w:sz w:val="28"/>
          <w:szCs w:val="28"/>
        </w:rPr>
        <w:t>A</w:t>
      </w:r>
    </w:p>
    <w:p w14:paraId="483AA692" w14:textId="77777777" w:rsidR="009B765D" w:rsidRPr="003E76E7" w:rsidRDefault="00473E70" w:rsidP="00C4292D">
      <w:pPr>
        <w:pStyle w:val="TPHeading2"/>
        <w:spacing w:before="480"/>
        <w:jc w:val="left"/>
        <w:rPr>
          <w:rFonts w:ascii="Arial" w:hAnsi="Arial" w:cs="Arial"/>
          <w:b/>
          <w:sz w:val="32"/>
          <w:szCs w:val="32"/>
        </w:rPr>
      </w:pPr>
      <w:r w:rsidRPr="003E76E7">
        <w:rPr>
          <w:rFonts w:ascii="Arial" w:hAnsi="Arial" w:cs="Arial"/>
          <w:b/>
          <w:caps w:val="0"/>
          <w:sz w:val="32"/>
          <w:szCs w:val="32"/>
        </w:rPr>
        <w:t>D</w:t>
      </w:r>
      <w:r w:rsidR="00A01209" w:rsidRPr="003E76E7">
        <w:rPr>
          <w:rFonts w:ascii="Arial" w:hAnsi="Arial" w:cs="Arial"/>
          <w:b/>
          <w:caps w:val="0"/>
          <w:sz w:val="32"/>
          <w:szCs w:val="32"/>
        </w:rPr>
        <w:t>EFENCE</w:t>
      </w:r>
      <w:r w:rsidR="00F03C2F" w:rsidRPr="003E76E7">
        <w:rPr>
          <w:rFonts w:ascii="Arial" w:hAnsi="Arial" w:cs="Arial"/>
          <w:b/>
          <w:sz w:val="32"/>
          <w:szCs w:val="32"/>
        </w:rPr>
        <w:t xml:space="preserve"> </w:t>
      </w:r>
      <w:r w:rsidR="00F03C2F" w:rsidRPr="003E76E7">
        <w:rPr>
          <w:rFonts w:ascii="Arial" w:hAnsi="Arial" w:cs="Arial"/>
          <w:b/>
          <w:caps w:val="0"/>
          <w:sz w:val="32"/>
          <w:szCs w:val="32"/>
        </w:rPr>
        <w:t>P</w:t>
      </w:r>
      <w:r w:rsidR="00A01209" w:rsidRPr="003E76E7">
        <w:rPr>
          <w:rFonts w:ascii="Arial" w:hAnsi="Arial" w:cs="Arial"/>
          <w:b/>
          <w:caps w:val="0"/>
          <w:sz w:val="32"/>
          <w:szCs w:val="32"/>
        </w:rPr>
        <w:t>ORTFOLIO</w:t>
      </w:r>
    </w:p>
    <w:p w14:paraId="0D150609" w14:textId="77777777" w:rsidR="00E277AB" w:rsidRPr="003E76E7" w:rsidRDefault="00E277AB" w:rsidP="00C4292D">
      <w:pPr>
        <w:pStyle w:val="TPHeading3"/>
        <w:spacing w:before="2640"/>
        <w:jc w:val="left"/>
        <w:rPr>
          <w:rFonts w:ascii="Arial" w:hAnsi="Arial" w:cs="Arial"/>
          <w:szCs w:val="24"/>
        </w:rPr>
      </w:pPr>
      <w:r w:rsidRPr="003E76E7">
        <w:rPr>
          <w:rFonts w:ascii="Arial" w:hAnsi="Arial" w:cs="Arial"/>
          <w:caps w:val="0"/>
          <w:szCs w:val="24"/>
        </w:rPr>
        <w:t>B</w:t>
      </w:r>
      <w:r w:rsidR="00CB42FB" w:rsidRPr="003E76E7">
        <w:rPr>
          <w:rFonts w:ascii="Arial" w:hAnsi="Arial" w:cs="Arial"/>
          <w:caps w:val="0"/>
          <w:szCs w:val="24"/>
        </w:rPr>
        <w:t xml:space="preserve">udget Initiatives and </w:t>
      </w:r>
      <w:r w:rsidRPr="003E76E7">
        <w:rPr>
          <w:rFonts w:ascii="Arial" w:hAnsi="Arial" w:cs="Arial"/>
          <w:caps w:val="0"/>
          <w:szCs w:val="24"/>
        </w:rPr>
        <w:t>E</w:t>
      </w:r>
      <w:r w:rsidR="00CB42FB" w:rsidRPr="003E76E7">
        <w:rPr>
          <w:rFonts w:ascii="Arial" w:hAnsi="Arial" w:cs="Arial"/>
          <w:caps w:val="0"/>
          <w:szCs w:val="24"/>
        </w:rPr>
        <w:t>xplanations of Appropriations</w:t>
      </w:r>
    </w:p>
    <w:p w14:paraId="7A953652" w14:textId="77777777" w:rsidR="00DF60AD" w:rsidRPr="003E76E7" w:rsidRDefault="00E277AB" w:rsidP="00C4292D">
      <w:pPr>
        <w:pStyle w:val="TPHeading3"/>
        <w:jc w:val="left"/>
        <w:rPr>
          <w:rFonts w:ascii="Arial" w:hAnsi="Arial" w:cs="Arial"/>
          <w:caps w:val="0"/>
          <w:sz w:val="22"/>
          <w:szCs w:val="24"/>
        </w:rPr>
        <w:sectPr w:rsidR="00DF60AD" w:rsidRPr="003E76E7" w:rsidSect="00C30BE6">
          <w:footerReference w:type="even" r:id="rId8"/>
          <w:footerReference w:type="default" r:id="rId9"/>
          <w:pgSz w:w="11906" w:h="16838" w:code="9"/>
          <w:pgMar w:top="1701" w:right="1361" w:bottom="1701" w:left="1928" w:header="720" w:footer="720" w:gutter="0"/>
          <w:pgNumType w:fmt="lowerRoman" w:start="1"/>
          <w:cols w:space="720"/>
          <w:titlePg/>
        </w:sectPr>
      </w:pPr>
      <w:r w:rsidRPr="003E76E7">
        <w:rPr>
          <w:rFonts w:ascii="Arial" w:hAnsi="Arial" w:cs="Arial"/>
          <w:caps w:val="0"/>
          <w:szCs w:val="24"/>
        </w:rPr>
        <w:t>S</w:t>
      </w:r>
      <w:r w:rsidR="00CB42FB" w:rsidRPr="003E76E7">
        <w:rPr>
          <w:rFonts w:ascii="Arial" w:hAnsi="Arial" w:cs="Arial"/>
          <w:caps w:val="0"/>
          <w:szCs w:val="24"/>
        </w:rPr>
        <w:t>pecified by Outcomes and Programs by Entity</w:t>
      </w:r>
    </w:p>
    <w:p w14:paraId="4951EAB0" w14:textId="01F7F387" w:rsidR="00F232BC" w:rsidRPr="003E76E7" w:rsidRDefault="00F232BC" w:rsidP="00C4292D">
      <w:pPr>
        <w:spacing w:before="120" w:after="120"/>
        <w:rPr>
          <w:lang w:val="en-AU"/>
        </w:rPr>
      </w:pPr>
      <w:r w:rsidRPr="003E76E7">
        <w:rPr>
          <w:lang w:val="en-AU"/>
        </w:rPr>
        <w:lastRenderedPageBreak/>
        <w:t>© Commonwealth of Australia 20</w:t>
      </w:r>
      <w:r w:rsidR="00643B0F" w:rsidRPr="003E76E7">
        <w:rPr>
          <w:lang w:val="en-AU"/>
        </w:rPr>
        <w:t>2</w:t>
      </w:r>
      <w:r w:rsidR="002A6E29" w:rsidRPr="003E76E7">
        <w:rPr>
          <w:lang w:val="en-AU"/>
        </w:rPr>
        <w:t>6</w:t>
      </w:r>
    </w:p>
    <w:p w14:paraId="66A5485D" w14:textId="58D2C68C" w:rsidR="002C38C6" w:rsidRPr="003E76E7" w:rsidRDefault="002C38C6" w:rsidP="00C4292D">
      <w:pPr>
        <w:spacing w:before="0" w:after="0"/>
        <w:rPr>
          <w:lang w:val="en-AU"/>
        </w:rPr>
      </w:pPr>
      <w:r w:rsidRPr="003E76E7">
        <w:rPr>
          <w:lang w:val="en-AU"/>
        </w:rPr>
        <w:t>IS</w:t>
      </w:r>
      <w:r w:rsidR="004A3357" w:rsidRPr="003E76E7">
        <w:rPr>
          <w:lang w:val="en-AU"/>
        </w:rPr>
        <w:t>B</w:t>
      </w:r>
      <w:r w:rsidRPr="003E76E7">
        <w:rPr>
          <w:lang w:val="en-AU"/>
        </w:rPr>
        <w:t>N</w:t>
      </w:r>
      <w:r w:rsidR="006E646B" w:rsidRPr="003E76E7">
        <w:rPr>
          <w:lang w:val="en-AU"/>
        </w:rPr>
        <w:t xml:space="preserve"> </w:t>
      </w:r>
      <w:r w:rsidR="00B976B9" w:rsidRPr="003E76E7">
        <w:rPr>
          <w:lang w:val="en-AU"/>
        </w:rPr>
        <w:t xml:space="preserve">978-0-9874959-9-0 </w:t>
      </w:r>
      <w:r w:rsidR="006E646B" w:rsidRPr="003E76E7">
        <w:rPr>
          <w:lang w:val="en-AU"/>
        </w:rPr>
        <w:t>(Print)</w:t>
      </w:r>
    </w:p>
    <w:p w14:paraId="6DD5FD3C" w14:textId="0FF11A90" w:rsidR="000D25D3" w:rsidRPr="003E76E7" w:rsidRDefault="000D25D3" w:rsidP="00C4292D">
      <w:pPr>
        <w:spacing w:before="0" w:after="120"/>
        <w:rPr>
          <w:lang w:val="en-AU"/>
        </w:rPr>
      </w:pPr>
      <w:r w:rsidRPr="003E76E7">
        <w:rPr>
          <w:lang w:val="en-AU"/>
        </w:rPr>
        <w:t>IS</w:t>
      </w:r>
      <w:r w:rsidR="004A3357" w:rsidRPr="003E76E7">
        <w:rPr>
          <w:lang w:val="en-AU"/>
        </w:rPr>
        <w:t>B</w:t>
      </w:r>
      <w:r w:rsidRPr="003E76E7">
        <w:rPr>
          <w:lang w:val="en-AU"/>
        </w:rPr>
        <w:t>N</w:t>
      </w:r>
      <w:r w:rsidRPr="003E76E7">
        <w:rPr>
          <w:lang w:val="en-AU"/>
        </w:rPr>
        <w:tab/>
      </w:r>
      <w:r w:rsidRPr="003E76E7">
        <w:rPr>
          <w:lang w:val="en-AU"/>
        </w:rPr>
        <w:tab/>
      </w:r>
      <w:r w:rsidR="006E646B" w:rsidRPr="003E76E7">
        <w:rPr>
          <w:lang w:val="en-AU"/>
        </w:rPr>
        <w:t xml:space="preserve"> </w:t>
      </w:r>
      <w:r w:rsidR="00B976B9" w:rsidRPr="003E76E7">
        <w:rPr>
          <w:lang w:val="en-AU"/>
        </w:rPr>
        <w:t xml:space="preserve">978-0-9925662-0-3 </w:t>
      </w:r>
      <w:r w:rsidR="006E646B" w:rsidRPr="003E76E7">
        <w:rPr>
          <w:lang w:val="en-AU"/>
        </w:rPr>
        <w:t>(</w:t>
      </w:r>
      <w:r w:rsidRPr="003E76E7">
        <w:rPr>
          <w:lang w:val="en-AU"/>
        </w:rPr>
        <w:t>Online)</w:t>
      </w:r>
    </w:p>
    <w:p w14:paraId="6FECC645" w14:textId="4BA17498" w:rsidR="000E4956" w:rsidRPr="003E76E7" w:rsidRDefault="000E4956" w:rsidP="00C4292D">
      <w:pPr>
        <w:spacing w:after="0"/>
        <w:rPr>
          <w:lang w:val="en-AU"/>
        </w:rPr>
      </w:pPr>
      <w:r w:rsidRPr="003E76E7">
        <w:rPr>
          <w:lang w:val="en-AU"/>
        </w:rPr>
        <w:t xml:space="preserve">This publication is available for your use under a </w:t>
      </w:r>
      <w:hyperlink r:id="rId10" w:history="1">
        <w:r w:rsidR="003C1DFC" w:rsidRPr="003E76E7">
          <w:rPr>
            <w:rStyle w:val="Hyperlink"/>
            <w:lang w:val="en-AU"/>
          </w:rPr>
          <w:t>Creative Commons BY Attribution 4.0 International</w:t>
        </w:r>
      </w:hyperlink>
      <w:r w:rsidRPr="003E76E7">
        <w:rPr>
          <w:lang w:val="en-AU"/>
        </w:rPr>
        <w:t xml:space="preserve"> licence, with the exception of the Commonwealth Coat of Arms, the Department of Defence,  the Australian Signals Directorate, the Australian Submarine Agency, Defence Housing Australia</w:t>
      </w:r>
      <w:r w:rsidR="00FB6212" w:rsidRPr="003E76E7">
        <w:rPr>
          <w:lang w:val="en-AU"/>
        </w:rPr>
        <w:t>, the Australian Naval Nuclear Power Safety Regulator</w:t>
      </w:r>
      <w:r w:rsidR="005B7359">
        <w:rPr>
          <w:lang w:val="en-AU"/>
        </w:rPr>
        <w:t>,</w:t>
      </w:r>
      <w:r w:rsidR="00FB6212" w:rsidRPr="003E76E7">
        <w:rPr>
          <w:lang w:val="en-AU"/>
        </w:rPr>
        <w:t xml:space="preserve"> </w:t>
      </w:r>
      <w:r w:rsidRPr="003E76E7">
        <w:rPr>
          <w:lang w:val="en-AU"/>
        </w:rPr>
        <w:t>and the Defence and Veterans’ Service Commission logo, photographs, images, signatures</w:t>
      </w:r>
      <w:r w:rsidR="00C44172">
        <w:rPr>
          <w:lang w:val="en-AU"/>
        </w:rPr>
        <w:t>,</w:t>
      </w:r>
      <w:r w:rsidRPr="003E76E7">
        <w:rPr>
          <w:lang w:val="en-AU"/>
        </w:rPr>
        <w:t xml:space="preserve"> and where otherwise stated. The full licence terms are available from </w:t>
      </w:r>
      <w:hyperlink r:id="rId11" w:history="1">
        <w:r w:rsidRPr="003E76E7">
          <w:rPr>
            <w:rStyle w:val="Hyperlink"/>
            <w:lang w:val="en-AU"/>
          </w:rPr>
          <w:t>https://creativecommons.org/licenses/by/4.0/legalcode.en</w:t>
        </w:r>
      </w:hyperlink>
      <w:r w:rsidRPr="003E76E7">
        <w:rPr>
          <w:lang w:val="en-AU"/>
        </w:rPr>
        <w:t>.</w:t>
      </w:r>
    </w:p>
    <w:p w14:paraId="697F2B57" w14:textId="77777777" w:rsidR="000E4956" w:rsidRPr="003E76E7" w:rsidRDefault="000E4956" w:rsidP="00C4292D">
      <w:pPr>
        <w:rPr>
          <w:lang w:val="en-AU"/>
        </w:rPr>
      </w:pPr>
      <w:r w:rsidRPr="003E76E7">
        <w:rPr>
          <w:noProof/>
          <w:lang w:val="en-AU"/>
        </w:rPr>
        <w:drawing>
          <wp:anchor distT="0" distB="0" distL="114300" distR="114300" simplePos="0" relativeHeight="251723264" behindDoc="0" locked="0" layoutInCell="1" allowOverlap="1" wp14:anchorId="20C881AF" wp14:editId="4723D98F">
            <wp:simplePos x="0" y="0"/>
            <wp:positionH relativeFrom="column">
              <wp:posOffset>-12700</wp:posOffset>
            </wp:positionH>
            <wp:positionV relativeFrom="paragraph">
              <wp:posOffset>98425</wp:posOffset>
            </wp:positionV>
            <wp:extent cx="1066800" cy="361950"/>
            <wp:effectExtent l="0" t="0" r="0" b="0"/>
            <wp:wrapSquare wrapText="bothSides"/>
            <wp:docPr id="620" name="Picture 1"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680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76E7">
        <w:rPr>
          <w:lang w:val="en-AU"/>
        </w:rPr>
        <w:t xml:space="preserve"> </w:t>
      </w:r>
    </w:p>
    <w:p w14:paraId="4EAEA68F" w14:textId="77777777" w:rsidR="000E4956" w:rsidRPr="003E76E7" w:rsidRDefault="000E4956" w:rsidP="00C4292D">
      <w:pPr>
        <w:rPr>
          <w:lang w:val="en-AU"/>
        </w:rPr>
      </w:pPr>
    </w:p>
    <w:p w14:paraId="1D38A2C1" w14:textId="451E825C" w:rsidR="000E4956" w:rsidRPr="003E76E7" w:rsidRDefault="000E4956" w:rsidP="00C4292D">
      <w:pPr>
        <w:rPr>
          <w:lang w:val="en-AU"/>
        </w:rPr>
      </w:pPr>
      <w:r w:rsidRPr="003E76E7">
        <w:rPr>
          <w:lang w:val="en-AU"/>
        </w:rPr>
        <w:t>Use of the Department of Defence’s</w:t>
      </w:r>
      <w:r w:rsidRPr="003E76E7">
        <w:rPr>
          <w:color w:val="FF0000"/>
          <w:lang w:val="en-AU"/>
        </w:rPr>
        <w:t xml:space="preserve"> </w:t>
      </w:r>
      <w:r w:rsidRPr="003E76E7">
        <w:rPr>
          <w:lang w:val="en-AU"/>
        </w:rPr>
        <w:t>material under a</w:t>
      </w:r>
      <w:r w:rsidRPr="003E76E7">
        <w:rPr>
          <w:rFonts w:cs="Calibri"/>
          <w:color w:val="000000"/>
          <w:sz w:val="24"/>
          <w:lang w:val="en-AU"/>
        </w:rPr>
        <w:t xml:space="preserve"> </w:t>
      </w:r>
      <w:hyperlink r:id="rId13" w:history="1">
        <w:r w:rsidR="003C1DFC" w:rsidRPr="003E76E7">
          <w:rPr>
            <w:rStyle w:val="Hyperlink"/>
            <w:lang w:val="en-AU"/>
          </w:rPr>
          <w:t>Creative Commons BY Attribution 4.0 International</w:t>
        </w:r>
      </w:hyperlink>
      <w:r w:rsidRPr="003E76E7">
        <w:rPr>
          <w:lang w:val="en-AU"/>
        </w:rPr>
        <w:t xml:space="preserve"> licence requires you to attribute the work (but not in any way that suggests that the</w:t>
      </w:r>
      <w:r w:rsidRPr="003E76E7">
        <w:rPr>
          <w:color w:val="FF0000"/>
          <w:lang w:val="en-AU"/>
        </w:rPr>
        <w:t xml:space="preserve"> </w:t>
      </w:r>
      <w:r w:rsidRPr="003E76E7">
        <w:rPr>
          <w:lang w:val="en-AU"/>
        </w:rPr>
        <w:t>Department of Defence endorses you or your use of the work).</w:t>
      </w:r>
    </w:p>
    <w:p w14:paraId="26C77C20" w14:textId="77777777" w:rsidR="000E4956" w:rsidRPr="003E76E7" w:rsidRDefault="000E4956" w:rsidP="00C4292D">
      <w:pPr>
        <w:spacing w:before="120" w:after="120"/>
        <w:rPr>
          <w:b/>
          <w:lang w:val="en-AU"/>
        </w:rPr>
      </w:pPr>
      <w:r w:rsidRPr="003E76E7">
        <w:rPr>
          <w:b/>
          <w:lang w:val="en-AU"/>
        </w:rPr>
        <w:t>Department of Defence material used 'as supplied'</w:t>
      </w:r>
    </w:p>
    <w:p w14:paraId="4DF1A8FF" w14:textId="77777777" w:rsidR="000E4956" w:rsidRPr="003E76E7" w:rsidRDefault="000E4956" w:rsidP="00C4292D">
      <w:pPr>
        <w:rPr>
          <w:lang w:val="en-AU"/>
        </w:rPr>
      </w:pPr>
      <w:r w:rsidRPr="003E76E7">
        <w:rPr>
          <w:lang w:val="en-AU"/>
        </w:rPr>
        <w:t>Provided you have not modified or transformed the Department of Defence material in any way including, for example, by changing the Department of Defence text; calculating percentage changes; graphing or charting data; or deriving new statistics from published Department of Defence statistics - then the Department of Defence prefers the following attribution:</w:t>
      </w:r>
    </w:p>
    <w:p w14:paraId="4AED2284" w14:textId="77777777" w:rsidR="000E4956" w:rsidRPr="003E76E7" w:rsidRDefault="000E4956" w:rsidP="00C4292D">
      <w:pPr>
        <w:pStyle w:val="NormalIndent"/>
        <w:ind w:left="0"/>
        <w:rPr>
          <w:i/>
          <w:lang w:val="en-AU"/>
        </w:rPr>
      </w:pPr>
      <w:r w:rsidRPr="003E76E7">
        <w:rPr>
          <w:i/>
          <w:lang w:val="en-AU"/>
        </w:rPr>
        <w:t>Source: The Australian Government Department of Defence.</w:t>
      </w:r>
    </w:p>
    <w:p w14:paraId="065200AB" w14:textId="77777777" w:rsidR="000E4956" w:rsidRPr="003E76E7" w:rsidRDefault="000E4956" w:rsidP="00C4292D">
      <w:pPr>
        <w:spacing w:before="120" w:after="120"/>
        <w:rPr>
          <w:b/>
          <w:lang w:val="en-AU"/>
        </w:rPr>
      </w:pPr>
      <w:r w:rsidRPr="003E76E7">
        <w:rPr>
          <w:b/>
          <w:lang w:val="en-AU"/>
        </w:rPr>
        <w:t>Derivative material</w:t>
      </w:r>
    </w:p>
    <w:p w14:paraId="12F04404" w14:textId="77777777" w:rsidR="000E4956" w:rsidRPr="003E76E7" w:rsidRDefault="000E4956" w:rsidP="00C4292D">
      <w:pPr>
        <w:rPr>
          <w:lang w:val="en-AU"/>
        </w:rPr>
      </w:pPr>
      <w:r w:rsidRPr="003E76E7">
        <w:rPr>
          <w:lang w:val="en-AU"/>
        </w:rPr>
        <w:t>If you have modified or transformed the Department of Defence‘s material, or derived new material from those of the Department of Defence</w:t>
      </w:r>
      <w:r w:rsidRPr="003E76E7">
        <w:rPr>
          <w:color w:val="FF0000"/>
          <w:lang w:val="en-AU"/>
        </w:rPr>
        <w:t xml:space="preserve"> </w:t>
      </w:r>
      <w:r w:rsidRPr="003E76E7">
        <w:rPr>
          <w:lang w:val="en-AU"/>
        </w:rPr>
        <w:t>in any way, then the Department of Defence prefers the following attribution:</w:t>
      </w:r>
    </w:p>
    <w:p w14:paraId="266E0128" w14:textId="77777777" w:rsidR="000E4956" w:rsidRPr="003E76E7" w:rsidRDefault="000E4956" w:rsidP="00C4292D">
      <w:pPr>
        <w:pStyle w:val="NormalIndent"/>
        <w:ind w:left="0"/>
        <w:rPr>
          <w:i/>
          <w:lang w:val="en-AU"/>
        </w:rPr>
      </w:pPr>
      <w:r w:rsidRPr="003E76E7">
        <w:rPr>
          <w:i/>
          <w:lang w:val="en-AU"/>
        </w:rPr>
        <w:t>Based on The Australian Government Department of Defence’s data.</w:t>
      </w:r>
    </w:p>
    <w:p w14:paraId="652F1BBE" w14:textId="77777777" w:rsidR="000E4956" w:rsidRPr="003E76E7" w:rsidRDefault="000E4956" w:rsidP="00C4292D">
      <w:pPr>
        <w:spacing w:before="120" w:after="120"/>
        <w:rPr>
          <w:b/>
          <w:lang w:val="en-AU"/>
        </w:rPr>
      </w:pPr>
      <w:r w:rsidRPr="003E76E7">
        <w:rPr>
          <w:b/>
          <w:lang w:val="en-AU"/>
        </w:rPr>
        <w:t>Australian Signals Directorate material used 'as supplied'</w:t>
      </w:r>
    </w:p>
    <w:p w14:paraId="5B483B69" w14:textId="77777777" w:rsidR="000E4956" w:rsidRPr="003E76E7" w:rsidRDefault="000E4956" w:rsidP="00C4292D">
      <w:pPr>
        <w:rPr>
          <w:lang w:val="en-AU"/>
        </w:rPr>
      </w:pPr>
      <w:r w:rsidRPr="003E76E7">
        <w:rPr>
          <w:lang w:val="en-AU"/>
        </w:rPr>
        <w:t>Provided you have not modified or transformed the Australian Signals Directorate material in any way including, for example, by changing the Australian Signals Directorate text; calculating percentage changes; graphing or charting data; or deriving new statistics from published Australian Signals Directorate statistics - then the Australian Signals Directorate prefers the following attribution:</w:t>
      </w:r>
    </w:p>
    <w:p w14:paraId="7D1C20DA" w14:textId="77777777" w:rsidR="000E4956" w:rsidRPr="003E76E7" w:rsidRDefault="000E4956" w:rsidP="00C4292D">
      <w:pPr>
        <w:pStyle w:val="NormalIndent"/>
        <w:ind w:left="0"/>
        <w:rPr>
          <w:i/>
          <w:lang w:val="en-AU"/>
        </w:rPr>
      </w:pPr>
      <w:r w:rsidRPr="003E76E7">
        <w:rPr>
          <w:i/>
          <w:lang w:val="en-AU"/>
        </w:rPr>
        <w:t>Source: The Australian Government Australian Signals Directorate.</w:t>
      </w:r>
    </w:p>
    <w:p w14:paraId="3B25591C" w14:textId="77777777" w:rsidR="000E4956" w:rsidRPr="003E76E7" w:rsidRDefault="000E4956" w:rsidP="00C4292D">
      <w:pPr>
        <w:spacing w:before="120" w:after="120"/>
        <w:rPr>
          <w:b/>
          <w:lang w:val="en-AU"/>
        </w:rPr>
      </w:pPr>
      <w:r w:rsidRPr="003E76E7">
        <w:rPr>
          <w:b/>
          <w:lang w:val="en-AU"/>
        </w:rPr>
        <w:t>Derivative material</w:t>
      </w:r>
    </w:p>
    <w:p w14:paraId="22D86236" w14:textId="77777777" w:rsidR="000E4956" w:rsidRPr="003E76E7" w:rsidRDefault="000E4956" w:rsidP="00C4292D">
      <w:pPr>
        <w:rPr>
          <w:lang w:val="en-AU"/>
        </w:rPr>
      </w:pPr>
      <w:r w:rsidRPr="003E76E7">
        <w:rPr>
          <w:lang w:val="en-AU"/>
        </w:rPr>
        <w:t>If you have modified or transformed the Australian Signals Directorate’s</w:t>
      </w:r>
      <w:r w:rsidRPr="003E76E7">
        <w:rPr>
          <w:color w:val="FF0000"/>
          <w:lang w:val="en-AU"/>
        </w:rPr>
        <w:t xml:space="preserve"> </w:t>
      </w:r>
      <w:r w:rsidRPr="003E76E7">
        <w:rPr>
          <w:lang w:val="en-AU"/>
        </w:rPr>
        <w:t>material, or derived new material from those of the Australian Signals Directorate</w:t>
      </w:r>
      <w:r w:rsidRPr="003E76E7">
        <w:rPr>
          <w:color w:val="FF0000"/>
          <w:lang w:val="en-AU"/>
        </w:rPr>
        <w:t xml:space="preserve"> </w:t>
      </w:r>
      <w:r w:rsidRPr="003E76E7">
        <w:rPr>
          <w:lang w:val="en-AU"/>
        </w:rPr>
        <w:t>in any way, then the Australian Signals Directorate prefers the following attribution:</w:t>
      </w:r>
    </w:p>
    <w:p w14:paraId="623C7FB1" w14:textId="77777777" w:rsidR="000E4956" w:rsidRPr="003E76E7" w:rsidRDefault="000E4956" w:rsidP="00C4292D">
      <w:pPr>
        <w:pStyle w:val="NormalIndent"/>
        <w:ind w:left="0"/>
        <w:rPr>
          <w:b/>
          <w:lang w:val="en-AU"/>
        </w:rPr>
      </w:pPr>
      <w:r w:rsidRPr="003E76E7">
        <w:rPr>
          <w:i/>
          <w:lang w:val="en-AU"/>
        </w:rPr>
        <w:t>Based on The Australian Government Australian Signals Directorate’s data.</w:t>
      </w:r>
    </w:p>
    <w:p w14:paraId="45FB8D7B" w14:textId="77777777" w:rsidR="000E4956" w:rsidRPr="003E76E7" w:rsidRDefault="000E4956" w:rsidP="00C4292D">
      <w:pPr>
        <w:pStyle w:val="NormalIndent"/>
        <w:ind w:left="0"/>
        <w:rPr>
          <w:b/>
          <w:lang w:val="en-AU"/>
        </w:rPr>
      </w:pPr>
      <w:r w:rsidRPr="003E76E7">
        <w:rPr>
          <w:b/>
          <w:lang w:val="en-AU"/>
        </w:rPr>
        <w:br w:type="page"/>
      </w:r>
      <w:r w:rsidRPr="003E76E7">
        <w:rPr>
          <w:b/>
          <w:lang w:val="en-AU"/>
        </w:rPr>
        <w:lastRenderedPageBreak/>
        <w:t>Australian Submarine Agency material used 'as supplied'</w:t>
      </w:r>
    </w:p>
    <w:p w14:paraId="5E6F7BE7" w14:textId="77777777" w:rsidR="000E4956" w:rsidRPr="003E76E7" w:rsidRDefault="000E4956" w:rsidP="00C4292D">
      <w:pPr>
        <w:rPr>
          <w:lang w:val="en-AU"/>
        </w:rPr>
      </w:pPr>
      <w:r w:rsidRPr="003E76E7">
        <w:rPr>
          <w:lang w:val="en-AU"/>
        </w:rPr>
        <w:t>Provided you have not modified or transformed the Australian Submarine Agency material in any way including, for example, by changing the Australian Submarine Agency text; calculating percentage changes; graphing or charting data; or deriving new statistics from published Australian Submarine Agency statistics - then the Australian Submarine Agency prefers the following attribution:</w:t>
      </w:r>
    </w:p>
    <w:p w14:paraId="75F12D0C" w14:textId="77777777" w:rsidR="000E4956" w:rsidRPr="003E76E7" w:rsidRDefault="000E4956" w:rsidP="00C4292D">
      <w:pPr>
        <w:pStyle w:val="NormalIndent"/>
        <w:ind w:left="0"/>
        <w:rPr>
          <w:i/>
          <w:lang w:val="en-AU"/>
        </w:rPr>
      </w:pPr>
      <w:r w:rsidRPr="003E76E7">
        <w:rPr>
          <w:i/>
          <w:lang w:val="en-AU"/>
        </w:rPr>
        <w:t>Source: The Australian Government Australian Submarine Agency.</w:t>
      </w:r>
    </w:p>
    <w:p w14:paraId="405A2749" w14:textId="77777777" w:rsidR="000E4956" w:rsidRPr="003E76E7" w:rsidRDefault="000E4956" w:rsidP="00C4292D">
      <w:pPr>
        <w:spacing w:before="120" w:after="120"/>
        <w:rPr>
          <w:b/>
          <w:lang w:val="en-AU"/>
        </w:rPr>
      </w:pPr>
      <w:r w:rsidRPr="003E76E7">
        <w:rPr>
          <w:b/>
          <w:lang w:val="en-AU"/>
        </w:rPr>
        <w:t>Derivative material</w:t>
      </w:r>
    </w:p>
    <w:p w14:paraId="5DA1F429" w14:textId="77777777" w:rsidR="000E4956" w:rsidRPr="003E76E7" w:rsidRDefault="000E4956" w:rsidP="00C4292D">
      <w:pPr>
        <w:rPr>
          <w:lang w:val="en-AU"/>
        </w:rPr>
      </w:pPr>
      <w:r w:rsidRPr="003E76E7">
        <w:rPr>
          <w:lang w:val="en-AU"/>
        </w:rPr>
        <w:t>If you have modified or transformed the Australian Submarine Agency‘s</w:t>
      </w:r>
      <w:r w:rsidRPr="003E76E7">
        <w:rPr>
          <w:color w:val="FF0000"/>
          <w:lang w:val="en-AU"/>
        </w:rPr>
        <w:t xml:space="preserve"> </w:t>
      </w:r>
      <w:r w:rsidRPr="003E76E7">
        <w:rPr>
          <w:lang w:val="en-AU"/>
        </w:rPr>
        <w:t>material, or derived new material from those of the Australian Submarine Agency</w:t>
      </w:r>
      <w:r w:rsidRPr="003E76E7">
        <w:rPr>
          <w:color w:val="FF0000"/>
          <w:lang w:val="en-AU"/>
        </w:rPr>
        <w:t xml:space="preserve"> </w:t>
      </w:r>
      <w:r w:rsidRPr="003E76E7">
        <w:rPr>
          <w:lang w:val="en-AU"/>
        </w:rPr>
        <w:t>in any way, then the Australian Submarine Agency prefers the following attribution:</w:t>
      </w:r>
    </w:p>
    <w:p w14:paraId="29209E2A" w14:textId="77777777" w:rsidR="000E4956" w:rsidRPr="003E76E7" w:rsidRDefault="000E4956" w:rsidP="00C4292D">
      <w:pPr>
        <w:pStyle w:val="NormalIndent"/>
        <w:ind w:left="0"/>
        <w:rPr>
          <w:i/>
          <w:lang w:val="en-AU"/>
        </w:rPr>
      </w:pPr>
      <w:r w:rsidRPr="003E76E7">
        <w:rPr>
          <w:i/>
          <w:lang w:val="en-AU"/>
        </w:rPr>
        <w:t>Based on The Australian Government Australian Submarine Agency’s data.</w:t>
      </w:r>
    </w:p>
    <w:p w14:paraId="63607FDB" w14:textId="77777777" w:rsidR="000E4956" w:rsidRPr="003E76E7" w:rsidRDefault="000E4956" w:rsidP="00C4292D">
      <w:pPr>
        <w:spacing w:before="120" w:after="120"/>
        <w:rPr>
          <w:b/>
          <w:lang w:val="en-AU"/>
        </w:rPr>
      </w:pPr>
      <w:r w:rsidRPr="003E76E7">
        <w:rPr>
          <w:b/>
          <w:lang w:val="en-AU"/>
        </w:rPr>
        <w:t>Defence Housing Australia material used 'as supplied'</w:t>
      </w:r>
    </w:p>
    <w:p w14:paraId="0815E328" w14:textId="7AD2E795" w:rsidR="000E4956" w:rsidRPr="003E76E7" w:rsidRDefault="000E4956" w:rsidP="00C4292D">
      <w:pPr>
        <w:rPr>
          <w:lang w:val="en-AU"/>
        </w:rPr>
      </w:pPr>
      <w:r w:rsidRPr="003E76E7">
        <w:rPr>
          <w:lang w:val="en-AU"/>
        </w:rPr>
        <w:t>Provided you have not modified or transformed the Defence Housing Australia material in any way including, for example, by changing the Defence Housing Australia text; calculating percentage changes; graphing or charting data; or deriving new statistics from published Defence Housing Australia statistics - then Defence Housing Australia prefers the following attribution:</w:t>
      </w:r>
    </w:p>
    <w:p w14:paraId="4AB82CE7" w14:textId="77777777" w:rsidR="000E4956" w:rsidRPr="003E76E7" w:rsidRDefault="000E4956" w:rsidP="00C4292D">
      <w:pPr>
        <w:pStyle w:val="NormalIndent"/>
        <w:ind w:left="0"/>
        <w:rPr>
          <w:i/>
          <w:lang w:val="en-AU"/>
        </w:rPr>
      </w:pPr>
      <w:r w:rsidRPr="003E76E7">
        <w:rPr>
          <w:i/>
          <w:lang w:val="en-AU"/>
        </w:rPr>
        <w:t>Source: The Australian Government Defence Housing Australia.</w:t>
      </w:r>
    </w:p>
    <w:p w14:paraId="169F7CAD" w14:textId="77777777" w:rsidR="000E4956" w:rsidRPr="003E76E7" w:rsidRDefault="000E4956" w:rsidP="00C4292D">
      <w:pPr>
        <w:spacing w:before="120" w:after="120"/>
        <w:rPr>
          <w:b/>
          <w:lang w:val="en-AU"/>
        </w:rPr>
      </w:pPr>
      <w:r w:rsidRPr="003E76E7">
        <w:rPr>
          <w:b/>
          <w:lang w:val="en-AU"/>
        </w:rPr>
        <w:t>Derivative material</w:t>
      </w:r>
    </w:p>
    <w:p w14:paraId="7F7EBBC1" w14:textId="77777777" w:rsidR="000E4956" w:rsidRPr="003E76E7" w:rsidRDefault="000E4956" w:rsidP="00C4292D">
      <w:pPr>
        <w:rPr>
          <w:lang w:val="en-AU"/>
        </w:rPr>
      </w:pPr>
      <w:r w:rsidRPr="003E76E7">
        <w:rPr>
          <w:lang w:val="en-AU"/>
        </w:rPr>
        <w:t>If you have modified or transformed the Defence Housing Australia‘s</w:t>
      </w:r>
      <w:r w:rsidRPr="003E76E7">
        <w:rPr>
          <w:color w:val="FF0000"/>
          <w:lang w:val="en-AU"/>
        </w:rPr>
        <w:t xml:space="preserve"> </w:t>
      </w:r>
      <w:r w:rsidRPr="003E76E7">
        <w:rPr>
          <w:lang w:val="en-AU"/>
        </w:rPr>
        <w:t>material, or derived new material from those of the Defence Housing Australia</w:t>
      </w:r>
      <w:r w:rsidRPr="003E76E7">
        <w:rPr>
          <w:color w:val="FF0000"/>
          <w:lang w:val="en-AU"/>
        </w:rPr>
        <w:t xml:space="preserve"> </w:t>
      </w:r>
      <w:r w:rsidRPr="003E76E7">
        <w:rPr>
          <w:lang w:val="en-AU"/>
        </w:rPr>
        <w:t>in any way, then the Defence Housing Australia prefers the following attribution:</w:t>
      </w:r>
    </w:p>
    <w:p w14:paraId="3BF5E32F" w14:textId="77777777" w:rsidR="000E4956" w:rsidRPr="003E76E7" w:rsidRDefault="000E4956" w:rsidP="00C4292D">
      <w:pPr>
        <w:pStyle w:val="NormalIndent"/>
        <w:ind w:left="0"/>
        <w:rPr>
          <w:i/>
          <w:lang w:val="en-AU"/>
        </w:rPr>
      </w:pPr>
      <w:r w:rsidRPr="003E76E7">
        <w:rPr>
          <w:i/>
          <w:lang w:val="en-AU"/>
        </w:rPr>
        <w:t>Based on The Australian Government Defence Housing Australia’s data.</w:t>
      </w:r>
    </w:p>
    <w:p w14:paraId="63195684" w14:textId="77777777" w:rsidR="000E4956" w:rsidRPr="003E76E7" w:rsidRDefault="000E4956" w:rsidP="00C4292D">
      <w:pPr>
        <w:spacing w:before="120" w:after="120"/>
        <w:rPr>
          <w:b/>
          <w:lang w:val="en-AU"/>
        </w:rPr>
      </w:pPr>
      <w:r w:rsidRPr="003E76E7">
        <w:rPr>
          <w:b/>
          <w:lang w:val="en-AU"/>
        </w:rPr>
        <w:t>Australian Naval Nuclear Power Safety Regulator material used 'as supplied'</w:t>
      </w:r>
    </w:p>
    <w:p w14:paraId="5E18FAFD" w14:textId="77777777" w:rsidR="000E4956" w:rsidRPr="003E76E7" w:rsidRDefault="000E4956" w:rsidP="00C4292D">
      <w:pPr>
        <w:rPr>
          <w:lang w:val="en-AU"/>
        </w:rPr>
      </w:pPr>
      <w:r w:rsidRPr="003E76E7">
        <w:rPr>
          <w:lang w:val="en-AU"/>
        </w:rPr>
        <w:t>Provided you have not modified or transformed the Australian Naval Nuclear Power Safety Regulator material in any way including, for example, by changing the Australian Naval Nuclear Power Safety Regulator text; calculating percentage changes; graphing or charting data; or deriving new statistics from published Australian Naval Nuclear Power Safety Regulator statistics - then the Australian Naval Nuclear Power Safety Regulator prefers the following attribution:</w:t>
      </w:r>
    </w:p>
    <w:p w14:paraId="7F61B178" w14:textId="77777777" w:rsidR="000E4956" w:rsidRPr="003E76E7" w:rsidRDefault="000E4956" w:rsidP="00C4292D">
      <w:pPr>
        <w:pStyle w:val="NormalIndent"/>
        <w:ind w:left="0"/>
        <w:rPr>
          <w:i/>
          <w:lang w:val="en-AU"/>
        </w:rPr>
      </w:pPr>
      <w:r w:rsidRPr="003E76E7">
        <w:rPr>
          <w:i/>
          <w:lang w:val="en-AU"/>
        </w:rPr>
        <w:t>Source: The Australian Naval Nuclear Power Safety Regulator.</w:t>
      </w:r>
    </w:p>
    <w:p w14:paraId="61E24892" w14:textId="77777777" w:rsidR="000E4956" w:rsidRPr="003E76E7" w:rsidRDefault="000E4956" w:rsidP="00C4292D">
      <w:pPr>
        <w:spacing w:before="120" w:after="120"/>
        <w:rPr>
          <w:b/>
          <w:lang w:val="en-AU"/>
        </w:rPr>
      </w:pPr>
      <w:r w:rsidRPr="003E76E7">
        <w:rPr>
          <w:b/>
          <w:lang w:val="en-AU"/>
        </w:rPr>
        <w:t>Derivative material</w:t>
      </w:r>
    </w:p>
    <w:p w14:paraId="4106EC2B" w14:textId="77777777" w:rsidR="000E4956" w:rsidRPr="003E76E7" w:rsidRDefault="000E4956" w:rsidP="00C4292D">
      <w:pPr>
        <w:rPr>
          <w:lang w:val="en-AU"/>
        </w:rPr>
      </w:pPr>
      <w:r w:rsidRPr="003E76E7">
        <w:rPr>
          <w:lang w:val="en-AU"/>
        </w:rPr>
        <w:t>If you have modified or transformed the Australian Naval Nuclear Power Safety Regulator’s</w:t>
      </w:r>
      <w:r w:rsidRPr="003E76E7">
        <w:rPr>
          <w:color w:val="FF0000"/>
          <w:lang w:val="en-AU"/>
        </w:rPr>
        <w:t xml:space="preserve"> </w:t>
      </w:r>
      <w:r w:rsidRPr="003E76E7">
        <w:rPr>
          <w:lang w:val="en-AU"/>
        </w:rPr>
        <w:t>material, or derived new material from those of the Australian Naval Nuclear Power Safety Regulator in any way, then the Australian Naval Nuclear Power Safety Regulator prefers the following attribution:</w:t>
      </w:r>
    </w:p>
    <w:p w14:paraId="419F1360" w14:textId="77777777" w:rsidR="000E4956" w:rsidRPr="003E76E7" w:rsidRDefault="000E4956" w:rsidP="00C4292D">
      <w:pPr>
        <w:pStyle w:val="NormalIndent"/>
        <w:ind w:left="0"/>
        <w:rPr>
          <w:lang w:val="en-AU"/>
        </w:rPr>
      </w:pPr>
      <w:r w:rsidRPr="003E76E7">
        <w:rPr>
          <w:i/>
          <w:lang w:val="en-AU"/>
        </w:rPr>
        <w:t>Based on The Australian Naval Nuclear Power Safety Regulator’s data.</w:t>
      </w:r>
    </w:p>
    <w:p w14:paraId="0EB716FB" w14:textId="77777777" w:rsidR="000E4956" w:rsidRPr="003E76E7" w:rsidRDefault="000E4956" w:rsidP="00C4292D">
      <w:pPr>
        <w:spacing w:before="120" w:after="120"/>
        <w:rPr>
          <w:b/>
          <w:lang w:val="en-AU"/>
        </w:rPr>
      </w:pPr>
      <w:r w:rsidRPr="003E76E7">
        <w:rPr>
          <w:b/>
          <w:lang w:val="en-AU"/>
        </w:rPr>
        <w:br w:type="page"/>
      </w:r>
      <w:r w:rsidRPr="003E76E7">
        <w:rPr>
          <w:b/>
          <w:lang w:val="en-AU"/>
        </w:rPr>
        <w:lastRenderedPageBreak/>
        <w:t>Defence and Veterans’ Service Commission material used 'as supplied'</w:t>
      </w:r>
    </w:p>
    <w:p w14:paraId="20F94B24" w14:textId="77777777" w:rsidR="000E4956" w:rsidRPr="003E76E7" w:rsidRDefault="000E4956" w:rsidP="00C4292D">
      <w:pPr>
        <w:rPr>
          <w:lang w:val="en-AU"/>
        </w:rPr>
      </w:pPr>
      <w:r w:rsidRPr="003E76E7">
        <w:rPr>
          <w:lang w:val="en-AU"/>
        </w:rPr>
        <w:t>Provided you have not modified or transformed the Defence and Veterans’ Service Commission material in any way including, for example, by changing the Defence and Veterans’ Service Commission text; calculating percentage changes; graphing or charting data; or deriving new statistics from published Defence and Veterans’ Service Commission statistics - then the Defence and Veterans’ Service Commission prefers the following attribution:</w:t>
      </w:r>
    </w:p>
    <w:p w14:paraId="16C46126" w14:textId="77777777" w:rsidR="000E4956" w:rsidRPr="003E76E7" w:rsidRDefault="000E4956" w:rsidP="00C4292D">
      <w:pPr>
        <w:pStyle w:val="NormalIndent"/>
        <w:ind w:left="0"/>
        <w:rPr>
          <w:i/>
          <w:lang w:val="en-AU"/>
        </w:rPr>
      </w:pPr>
      <w:r w:rsidRPr="003E76E7">
        <w:rPr>
          <w:i/>
          <w:lang w:val="en-AU"/>
        </w:rPr>
        <w:t>Source: The Defence and Veterans’ Service Commission.</w:t>
      </w:r>
    </w:p>
    <w:p w14:paraId="06CFA3B5" w14:textId="77777777" w:rsidR="000E4956" w:rsidRPr="003E76E7" w:rsidRDefault="000E4956" w:rsidP="00C4292D">
      <w:pPr>
        <w:spacing w:before="120" w:after="120"/>
        <w:rPr>
          <w:b/>
          <w:lang w:val="en-AU"/>
        </w:rPr>
      </w:pPr>
      <w:r w:rsidRPr="003E76E7">
        <w:rPr>
          <w:b/>
          <w:lang w:val="en-AU"/>
        </w:rPr>
        <w:t>Derivative material</w:t>
      </w:r>
    </w:p>
    <w:p w14:paraId="66C8135E" w14:textId="77777777" w:rsidR="000E4956" w:rsidRPr="003E76E7" w:rsidRDefault="000E4956" w:rsidP="00C4292D">
      <w:pPr>
        <w:rPr>
          <w:lang w:val="en-AU"/>
        </w:rPr>
      </w:pPr>
      <w:r w:rsidRPr="003E76E7">
        <w:rPr>
          <w:lang w:val="en-AU"/>
        </w:rPr>
        <w:t>If you have modified or transformed the Defence and Veterans’ Service Commission’s</w:t>
      </w:r>
      <w:r w:rsidRPr="003E76E7">
        <w:rPr>
          <w:color w:val="FF0000"/>
          <w:lang w:val="en-AU"/>
        </w:rPr>
        <w:t xml:space="preserve"> </w:t>
      </w:r>
      <w:r w:rsidRPr="003E76E7">
        <w:rPr>
          <w:lang w:val="en-AU"/>
        </w:rPr>
        <w:t>material, or derived new material from those of the Defence and Veterans’ Service Commission in any way, then the Defence and Veterans’ Service Commission prefers the following attribution:</w:t>
      </w:r>
    </w:p>
    <w:p w14:paraId="249BFB54" w14:textId="77777777" w:rsidR="000E4956" w:rsidRPr="003E76E7" w:rsidRDefault="000E4956" w:rsidP="00C4292D">
      <w:pPr>
        <w:pStyle w:val="NormalIndent"/>
        <w:ind w:left="0"/>
        <w:rPr>
          <w:lang w:val="en-AU"/>
        </w:rPr>
      </w:pPr>
      <w:r w:rsidRPr="003E76E7">
        <w:rPr>
          <w:i/>
          <w:lang w:val="en-AU"/>
        </w:rPr>
        <w:t>Based on The Defence and Veterans’ Service Commission’s data.</w:t>
      </w:r>
    </w:p>
    <w:p w14:paraId="0F059ADD" w14:textId="77777777" w:rsidR="000E4956" w:rsidRPr="003E76E7" w:rsidRDefault="000E4956" w:rsidP="00C4292D">
      <w:pPr>
        <w:pStyle w:val="NormalIndent"/>
        <w:ind w:left="0"/>
        <w:rPr>
          <w:b/>
          <w:lang w:val="en-AU"/>
        </w:rPr>
      </w:pPr>
      <w:r w:rsidRPr="003E76E7">
        <w:rPr>
          <w:b/>
          <w:lang w:val="en-AU"/>
        </w:rPr>
        <w:t>Use of the Coat of Arms</w:t>
      </w:r>
    </w:p>
    <w:p w14:paraId="6512BF7D" w14:textId="77777777" w:rsidR="000E4956" w:rsidRPr="003E76E7" w:rsidRDefault="000E4956" w:rsidP="00C4292D">
      <w:pPr>
        <w:rPr>
          <w:lang w:val="en-AU"/>
        </w:rPr>
      </w:pPr>
      <w:r w:rsidRPr="003E76E7">
        <w:rPr>
          <w:lang w:val="en-AU"/>
        </w:rPr>
        <w:t xml:space="preserve">The terms under which the Coat of Arms can be used are set out on the Department of the Prime Minister and Cabinet website (see </w:t>
      </w:r>
      <w:hyperlink r:id="rId14" w:history="1">
        <w:r w:rsidRPr="003E76E7">
          <w:rPr>
            <w:rStyle w:val="Hyperlink"/>
            <w:lang w:val="en-AU"/>
          </w:rPr>
          <w:t>www.pmc.gov.au/government/commonwealth-coat-arms</w:t>
        </w:r>
      </w:hyperlink>
      <w:r w:rsidRPr="003E76E7">
        <w:rPr>
          <w:lang w:val="en-AU"/>
        </w:rPr>
        <w:t>).</w:t>
      </w:r>
    </w:p>
    <w:p w14:paraId="1B4908E3" w14:textId="77777777" w:rsidR="000E4956" w:rsidRPr="003E76E7" w:rsidRDefault="000E4956" w:rsidP="00C4292D">
      <w:pPr>
        <w:rPr>
          <w:b/>
          <w:lang w:val="en-AU"/>
        </w:rPr>
      </w:pPr>
      <w:r w:rsidRPr="003E76E7">
        <w:rPr>
          <w:b/>
          <w:lang w:val="en-AU"/>
        </w:rPr>
        <w:t>Other Uses</w:t>
      </w:r>
    </w:p>
    <w:p w14:paraId="5BE6A436" w14:textId="77777777" w:rsidR="000E4956" w:rsidRPr="003E76E7" w:rsidRDefault="000E4956" w:rsidP="00C4292D">
      <w:pPr>
        <w:spacing w:before="0" w:after="0"/>
        <w:rPr>
          <w:lang w:val="en-AU"/>
        </w:rPr>
      </w:pPr>
      <w:r w:rsidRPr="003E76E7">
        <w:rPr>
          <w:lang w:val="en-AU"/>
        </w:rPr>
        <w:t>Enquiries regarding this licence and any other use of this document are welcome at:</w:t>
      </w:r>
    </w:p>
    <w:p w14:paraId="3A368ADA" w14:textId="77777777" w:rsidR="000E4956" w:rsidRPr="003E76E7" w:rsidRDefault="000E4956" w:rsidP="00C4292D">
      <w:pPr>
        <w:pStyle w:val="Address"/>
        <w:rPr>
          <w:lang w:val="en-AU"/>
        </w:rPr>
      </w:pPr>
    </w:p>
    <w:p w14:paraId="5979A1DD" w14:textId="77777777" w:rsidR="000E4956" w:rsidRPr="003E76E7" w:rsidRDefault="000E4956" w:rsidP="00C4292D">
      <w:pPr>
        <w:pStyle w:val="Address"/>
        <w:rPr>
          <w:lang w:val="en-AU"/>
        </w:rPr>
      </w:pPr>
      <w:r w:rsidRPr="003E76E7">
        <w:rPr>
          <w:lang w:val="en-AU"/>
        </w:rPr>
        <w:t>Assistant Secretary Budgeting and Reporting</w:t>
      </w:r>
    </w:p>
    <w:p w14:paraId="2A437EDE" w14:textId="77777777" w:rsidR="000E4956" w:rsidRPr="003E76E7" w:rsidRDefault="000E4956" w:rsidP="00C4292D">
      <w:pPr>
        <w:pStyle w:val="Address"/>
        <w:rPr>
          <w:lang w:val="en-AU"/>
        </w:rPr>
      </w:pPr>
      <w:r w:rsidRPr="003E76E7">
        <w:rPr>
          <w:lang w:val="en-AU"/>
        </w:rPr>
        <w:t>R1-2-B002</w:t>
      </w:r>
    </w:p>
    <w:p w14:paraId="7A66CD7B" w14:textId="77777777" w:rsidR="000E4956" w:rsidRPr="003E76E7" w:rsidRDefault="000E4956" w:rsidP="00C4292D">
      <w:pPr>
        <w:pStyle w:val="Address"/>
        <w:rPr>
          <w:lang w:val="en-AU"/>
        </w:rPr>
      </w:pPr>
      <w:r w:rsidRPr="003E76E7">
        <w:rPr>
          <w:lang w:val="en-AU"/>
        </w:rPr>
        <w:t>Department of Defence</w:t>
      </w:r>
    </w:p>
    <w:p w14:paraId="54E5E8C9" w14:textId="77777777" w:rsidR="000E4956" w:rsidRPr="003E76E7" w:rsidRDefault="000E4956" w:rsidP="00C4292D">
      <w:pPr>
        <w:pStyle w:val="Address"/>
        <w:rPr>
          <w:lang w:val="en-AU"/>
        </w:rPr>
      </w:pPr>
      <w:r w:rsidRPr="003E76E7">
        <w:rPr>
          <w:lang w:val="en-AU"/>
        </w:rPr>
        <w:t>PO Box 7901 Canberra BC ACT 2610</w:t>
      </w:r>
    </w:p>
    <w:p w14:paraId="13203FAA" w14:textId="77777777" w:rsidR="000E4956" w:rsidRPr="003E76E7" w:rsidRDefault="000E4956" w:rsidP="00C4292D">
      <w:pPr>
        <w:pStyle w:val="Address"/>
        <w:rPr>
          <w:lang w:val="en-AU"/>
        </w:rPr>
      </w:pPr>
    </w:p>
    <w:p w14:paraId="57370BA9" w14:textId="77777777" w:rsidR="000E4956" w:rsidRPr="003E76E7" w:rsidRDefault="000E4956" w:rsidP="00C4292D">
      <w:pPr>
        <w:pStyle w:val="Address"/>
        <w:rPr>
          <w:lang w:val="en-AU"/>
        </w:rPr>
      </w:pPr>
      <w:r w:rsidRPr="003E76E7">
        <w:rPr>
          <w:lang w:val="en-AU"/>
        </w:rPr>
        <w:t>Telephone: (02) 5108 6064</w:t>
      </w:r>
    </w:p>
    <w:p w14:paraId="6D10463E" w14:textId="537C930E" w:rsidR="00F232BC" w:rsidRPr="003E76E7" w:rsidRDefault="000E4956" w:rsidP="00C4292D">
      <w:pPr>
        <w:pStyle w:val="Address"/>
        <w:rPr>
          <w:lang w:val="en-AU"/>
        </w:rPr>
        <w:sectPr w:rsidR="00F232BC" w:rsidRPr="003E76E7" w:rsidSect="000E1A17">
          <w:headerReference w:type="first" r:id="rId15"/>
          <w:pgSz w:w="11906" w:h="16838" w:code="9"/>
          <w:pgMar w:top="1701" w:right="1361" w:bottom="1701" w:left="1928" w:header="720" w:footer="720" w:gutter="0"/>
          <w:pgNumType w:fmt="lowerRoman"/>
          <w:cols w:space="720"/>
          <w:docGrid w:linePitch="272"/>
        </w:sectPr>
      </w:pPr>
      <w:r w:rsidRPr="003E76E7">
        <w:rPr>
          <w:lang w:val="en-AU"/>
        </w:rPr>
        <w:t xml:space="preserve">Email: </w:t>
      </w:r>
      <w:hyperlink r:id="rId16" w:history="1">
        <w:r w:rsidRPr="003E76E7">
          <w:rPr>
            <w:rStyle w:val="Hyperlink"/>
            <w:lang w:val="en-AU"/>
          </w:rPr>
          <w:t>dfg.cbc@defence.gov.au</w:t>
        </w:r>
      </w:hyperlink>
    </w:p>
    <w:p w14:paraId="2463B8A7" w14:textId="77777777" w:rsidR="00203E8B" w:rsidRPr="003E76E7" w:rsidRDefault="004B099A" w:rsidP="00C4292D">
      <w:pPr>
        <w:spacing w:before="0" w:after="0"/>
      </w:pPr>
      <w:bookmarkStart w:id="86" w:name="_Toc51689725"/>
      <w:bookmarkStart w:id="87" w:name="_Toc51689823"/>
      <w:bookmarkStart w:id="88" w:name="_Toc51690291"/>
      <w:bookmarkStart w:id="89" w:name="_Toc51690403"/>
      <w:bookmarkStart w:id="90" w:name="_Toc51690631"/>
      <w:bookmarkStart w:id="91" w:name="_Toc51690769"/>
      <w:bookmarkStart w:id="92" w:name="_Toc51690898"/>
      <w:bookmarkStart w:id="93" w:name="_Toc51691141"/>
      <w:bookmarkStart w:id="94" w:name="_Toc51691344"/>
      <w:bookmarkStart w:id="95" w:name="_Toc51691661"/>
      <w:r w:rsidRPr="003E76E7">
        <w:rPr>
          <w:color w:val="FFFFFF"/>
        </w:rPr>
        <w:lastRenderedPageBreak/>
        <w:t xml:space="preserve">Letter of </w:t>
      </w:r>
      <w:bookmarkEnd w:id="86"/>
      <w:bookmarkEnd w:id="87"/>
      <w:bookmarkEnd w:id="88"/>
      <w:bookmarkEnd w:id="89"/>
      <w:bookmarkEnd w:id="90"/>
      <w:bookmarkEnd w:id="91"/>
      <w:bookmarkEnd w:id="92"/>
      <w:bookmarkEnd w:id="93"/>
      <w:bookmarkEnd w:id="94"/>
      <w:bookmarkEnd w:id="95"/>
    </w:p>
    <w:p w14:paraId="20AFA986" w14:textId="77777777" w:rsidR="00203E8B" w:rsidRPr="003E76E7" w:rsidRDefault="00203E8B" w:rsidP="00C4292D">
      <w:pPr>
        <w:pStyle w:val="Heading2"/>
        <w:rPr>
          <w:color w:val="FFFFFF"/>
          <w:sz w:val="20"/>
          <w:szCs w:val="20"/>
        </w:rPr>
      </w:pPr>
      <w:bookmarkStart w:id="96" w:name="_Toc56431376"/>
      <w:bookmarkStart w:id="97" w:name="_Toc56431491"/>
      <w:bookmarkStart w:id="98" w:name="_Toc56431599"/>
      <w:bookmarkStart w:id="99" w:name="_Toc56431655"/>
      <w:bookmarkStart w:id="100" w:name="_Toc56431710"/>
      <w:bookmarkStart w:id="101" w:name="_Toc60832156"/>
      <w:bookmarkStart w:id="102" w:name="_Toc60832224"/>
      <w:bookmarkStart w:id="103" w:name="_Toc62822434"/>
      <w:bookmarkStart w:id="104" w:name="_Toc62822909"/>
      <w:bookmarkStart w:id="105" w:name="_Toc62823005"/>
      <w:bookmarkStart w:id="106" w:name="_Toc62823166"/>
      <w:bookmarkStart w:id="107" w:name="_Toc62823281"/>
      <w:bookmarkStart w:id="108" w:name="_Toc65150725"/>
      <w:bookmarkStart w:id="109" w:name="_Toc69729030"/>
      <w:bookmarkStart w:id="110" w:name="_Toc69913605"/>
      <w:bookmarkStart w:id="111" w:name="_Toc69917824"/>
      <w:bookmarkStart w:id="112" w:name="_Toc97747813"/>
      <w:bookmarkStart w:id="113" w:name="_Toc97809646"/>
      <w:bookmarkStart w:id="114" w:name="_Toc108088924"/>
      <w:bookmarkStart w:id="115" w:name="_Toc108089003"/>
      <w:bookmarkStart w:id="116" w:name="_Toc108089398"/>
      <w:bookmarkStart w:id="117" w:name="_Toc108089678"/>
      <w:bookmarkStart w:id="118" w:name="_Toc109227283"/>
      <w:bookmarkStart w:id="119" w:name="_Toc109227720"/>
      <w:bookmarkStart w:id="120" w:name="_Toc158896236"/>
      <w:bookmarkStart w:id="121" w:name="_Toc158896293"/>
      <w:bookmarkStart w:id="122" w:name="_Toc159499667"/>
      <w:bookmarkStart w:id="123" w:name="_Toc159499953"/>
      <w:bookmarkStart w:id="124" w:name="_Toc159857664"/>
      <w:bookmarkStart w:id="125" w:name="_Toc159857743"/>
      <w:bookmarkStart w:id="126" w:name="_Toc159858139"/>
      <w:bookmarkStart w:id="127" w:name="_Toc159858410"/>
      <w:bookmarkStart w:id="128" w:name="_Toc159858804"/>
      <w:bookmarkStart w:id="129" w:name="_Toc159858874"/>
      <w:bookmarkStart w:id="130" w:name="_Toc159859084"/>
      <w:bookmarkStart w:id="131" w:name="_Toc159859236"/>
      <w:bookmarkStart w:id="132" w:name="_Toc159862274"/>
      <w:bookmarkStart w:id="133" w:name="_Toc159862464"/>
      <w:bookmarkStart w:id="134" w:name="_Toc221786168"/>
      <w:bookmarkStart w:id="135" w:name="_Toc221874462"/>
      <w:bookmarkStart w:id="136" w:name="_Toc221888995"/>
      <w:bookmarkStart w:id="137" w:name="_Toc221889192"/>
      <w:bookmarkStart w:id="138" w:name="_Toc222126871"/>
      <w:bookmarkStart w:id="139" w:name="_Toc222129908"/>
      <w:bookmarkStart w:id="140" w:name="_Toc222129998"/>
      <w:bookmarkStart w:id="141" w:name="_Toc222131117"/>
      <w:bookmarkStart w:id="142" w:name="_Toc222134742"/>
      <w:bookmarkStart w:id="143" w:name="_Toc222134823"/>
      <w:bookmarkStart w:id="144" w:name="_Toc222148338"/>
      <w:bookmarkStart w:id="145" w:name="_Toc225847649"/>
      <w:bookmarkStart w:id="146" w:name="_Toc225847964"/>
      <w:bookmarkStart w:id="147" w:name="_Toc225848047"/>
      <w:bookmarkStart w:id="148" w:name="_Toc225848130"/>
      <w:bookmarkStart w:id="149" w:name="_Toc225848213"/>
      <w:bookmarkStart w:id="150" w:name="_Toc225848248"/>
      <w:bookmarkStart w:id="151" w:name="_Toc225848469"/>
      <w:bookmarkStart w:id="152" w:name="_Toc225941536"/>
      <w:bookmarkStart w:id="153" w:name="_Toc225942543"/>
      <w:bookmarkStart w:id="154" w:name="_Toc226703416"/>
      <w:bookmarkStart w:id="155" w:name="_Toc226983916"/>
      <w:bookmarkStart w:id="156" w:name="_Toc226984101"/>
      <w:bookmarkStart w:id="157" w:name="_Toc227334353"/>
      <w:bookmarkStart w:id="158" w:name="_Toc228547629"/>
      <w:bookmarkStart w:id="159" w:name="_Toc228988936"/>
      <w:bookmarkStart w:id="160" w:name="_Toc229072427"/>
      <w:bookmarkStart w:id="161" w:name="_Toc229072599"/>
      <w:r w:rsidRPr="003E76E7">
        <w:rPr>
          <w:color w:val="FFFFFF"/>
          <w:sz w:val="20"/>
          <w:szCs w:val="20"/>
        </w:rPr>
        <w:t>Letter of Transmittal</w:t>
      </w:r>
      <w:r w:rsidRPr="003E76E7">
        <w:rPr>
          <w:noProof/>
          <w:color w:val="FFFFFF"/>
          <w:sz w:val="20"/>
          <w:szCs w:val="20"/>
          <w:lang w:val="en-AU"/>
        </w:rPr>
        <w:t xml:space="preserve"> </w:t>
      </w:r>
      <w:r w:rsidR="0085144D" w:rsidRPr="003E76E7">
        <w:rPr>
          <w:noProof/>
          <w:lang w:val="en-AU"/>
        </w:rPr>
        <w:drawing>
          <wp:anchor distT="0" distB="0" distL="114300" distR="114300" simplePos="0" relativeHeight="251610624" behindDoc="0" locked="0" layoutInCell="1" allowOverlap="1" wp14:anchorId="3A683FB4" wp14:editId="4C60B687">
            <wp:simplePos x="0" y="0"/>
            <wp:positionH relativeFrom="column">
              <wp:posOffset>2237740</wp:posOffset>
            </wp:positionH>
            <wp:positionV relativeFrom="paragraph">
              <wp:posOffset>85090</wp:posOffset>
            </wp:positionV>
            <wp:extent cx="1155700" cy="847725"/>
            <wp:effectExtent l="0" t="0" r="0" b="0"/>
            <wp:wrapNone/>
            <wp:docPr id="10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55700" cy="8477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14:paraId="0E073EC4" w14:textId="77777777" w:rsidR="00203E8B" w:rsidRPr="003E76E7" w:rsidRDefault="00203E8B" w:rsidP="00C4292D">
      <w:pPr>
        <w:pStyle w:val="Header"/>
        <w:spacing w:before="0" w:after="0"/>
        <w:jc w:val="center"/>
        <w:rPr>
          <w:b/>
          <w:sz w:val="34"/>
          <w:szCs w:val="34"/>
        </w:rPr>
      </w:pPr>
    </w:p>
    <w:p w14:paraId="46FFAAD0" w14:textId="77777777" w:rsidR="00203E8B" w:rsidRPr="003E76E7" w:rsidRDefault="00203E8B" w:rsidP="00C4292D">
      <w:pPr>
        <w:pStyle w:val="Header"/>
        <w:spacing w:before="0" w:after="0"/>
        <w:jc w:val="center"/>
        <w:rPr>
          <w:b/>
          <w:szCs w:val="20"/>
        </w:rPr>
      </w:pPr>
      <w:r w:rsidRPr="003E76E7">
        <w:rPr>
          <w:b/>
          <w:szCs w:val="20"/>
        </w:rPr>
        <w:tab/>
      </w:r>
    </w:p>
    <w:p w14:paraId="5948BD96" w14:textId="77777777" w:rsidR="00203E8B" w:rsidRPr="003E76E7" w:rsidRDefault="00203E8B" w:rsidP="00C4292D">
      <w:pPr>
        <w:pStyle w:val="Header"/>
        <w:spacing w:before="0" w:after="0"/>
        <w:jc w:val="center"/>
        <w:rPr>
          <w:b/>
          <w:sz w:val="34"/>
          <w:szCs w:val="34"/>
        </w:rPr>
      </w:pPr>
    </w:p>
    <w:p w14:paraId="569DFD08" w14:textId="77777777" w:rsidR="00203E8B" w:rsidRPr="003E76E7" w:rsidRDefault="007B449C" w:rsidP="00C4292D">
      <w:pPr>
        <w:pStyle w:val="Header"/>
        <w:spacing w:before="0" w:after="0"/>
        <w:jc w:val="center"/>
        <w:rPr>
          <w:b/>
          <w:sz w:val="32"/>
          <w:szCs w:val="32"/>
        </w:rPr>
      </w:pPr>
      <w:r w:rsidRPr="003E76E7">
        <w:rPr>
          <w:b/>
          <w:sz w:val="32"/>
          <w:szCs w:val="32"/>
        </w:rPr>
        <w:t>THE HON RICHARD MARLES</w:t>
      </w:r>
    </w:p>
    <w:p w14:paraId="0600F812" w14:textId="77777777" w:rsidR="007B449C" w:rsidRPr="003E76E7" w:rsidRDefault="007B449C" w:rsidP="00C4292D">
      <w:pPr>
        <w:pStyle w:val="Header"/>
        <w:spacing w:before="0" w:after="0"/>
        <w:jc w:val="center"/>
        <w:rPr>
          <w:b/>
          <w:sz w:val="24"/>
        </w:rPr>
      </w:pPr>
      <w:r w:rsidRPr="003E76E7">
        <w:rPr>
          <w:b/>
          <w:sz w:val="24"/>
        </w:rPr>
        <w:t>DEPUTY PRIME MINISTER</w:t>
      </w:r>
    </w:p>
    <w:p w14:paraId="6E398E0C" w14:textId="77777777" w:rsidR="00203E8B" w:rsidRPr="003E76E7" w:rsidRDefault="00203E8B" w:rsidP="00C4292D">
      <w:pPr>
        <w:pStyle w:val="Header"/>
        <w:spacing w:before="0" w:after="0"/>
        <w:jc w:val="center"/>
        <w:rPr>
          <w:b/>
          <w:sz w:val="24"/>
        </w:rPr>
      </w:pPr>
      <w:r w:rsidRPr="003E76E7">
        <w:rPr>
          <w:b/>
          <w:sz w:val="24"/>
        </w:rPr>
        <w:t>MINISTER FOR DEFENCE</w:t>
      </w:r>
    </w:p>
    <w:p w14:paraId="310B5573" w14:textId="77777777" w:rsidR="00A90222" w:rsidRPr="003E76E7" w:rsidRDefault="00A90222" w:rsidP="00C4292D">
      <w:pPr>
        <w:pStyle w:val="Header"/>
        <w:spacing w:before="0" w:after="0"/>
        <w:jc w:val="center"/>
        <w:rPr>
          <w:b/>
          <w:sz w:val="24"/>
        </w:rPr>
      </w:pPr>
    </w:p>
    <w:p w14:paraId="1AD9F69E" w14:textId="77777777" w:rsidR="00203E8B" w:rsidRPr="003E76E7" w:rsidRDefault="00203E8B" w:rsidP="00C4292D">
      <w:pPr>
        <w:pStyle w:val="Header"/>
        <w:spacing w:before="0" w:after="0"/>
        <w:jc w:val="center"/>
        <w:rPr>
          <w:b/>
          <w:sz w:val="34"/>
          <w:szCs w:val="34"/>
        </w:rPr>
      </w:pPr>
    </w:p>
    <w:p w14:paraId="36D6DD12" w14:textId="77777777" w:rsidR="00203E8B" w:rsidRPr="003E76E7" w:rsidRDefault="00203E8B" w:rsidP="00C4292D">
      <w:pPr>
        <w:pStyle w:val="TransmittalStyle2"/>
        <w:rPr>
          <w:rFonts w:ascii="Times" w:hAnsi="Times" w:cs="Times"/>
        </w:rPr>
      </w:pPr>
      <w:r w:rsidRPr="003E76E7">
        <w:rPr>
          <w:rFonts w:ascii="Times" w:hAnsi="Times" w:cs="Times"/>
        </w:rPr>
        <w:t>parliament House</w:t>
      </w:r>
    </w:p>
    <w:p w14:paraId="6BEBD4ED" w14:textId="0662C38E" w:rsidR="00203E8B" w:rsidRPr="003E76E7" w:rsidRDefault="00203E8B" w:rsidP="00C4292D">
      <w:pPr>
        <w:pStyle w:val="TransmittalStyle2"/>
        <w:rPr>
          <w:rFonts w:ascii="Times" w:hAnsi="Times" w:cs="Times"/>
        </w:rPr>
      </w:pPr>
      <w:r w:rsidRPr="003E76E7">
        <w:rPr>
          <w:rFonts w:ascii="Times" w:hAnsi="Times" w:cs="Times"/>
        </w:rPr>
        <w:t>canberra 2600</w:t>
      </w:r>
    </w:p>
    <w:p w14:paraId="51547CAF" w14:textId="77777777" w:rsidR="00535AF8" w:rsidRPr="003E76E7" w:rsidRDefault="00535AF8" w:rsidP="00C4292D">
      <w:pPr>
        <w:spacing w:before="0" w:after="0"/>
        <w:rPr>
          <w:rFonts w:cs="Times New Roman"/>
          <w:szCs w:val="20"/>
        </w:rPr>
      </w:pPr>
    </w:p>
    <w:p w14:paraId="314037B1" w14:textId="77777777" w:rsidR="00BD405A" w:rsidRPr="003E76E7" w:rsidRDefault="00BD405A" w:rsidP="00C4292D">
      <w:pPr>
        <w:spacing w:before="0" w:after="0"/>
        <w:rPr>
          <w:rFonts w:cs="Times New Roman"/>
          <w:szCs w:val="20"/>
        </w:rPr>
      </w:pPr>
    </w:p>
    <w:p w14:paraId="07A54D48" w14:textId="77777777" w:rsidR="00BD405A" w:rsidRPr="003E76E7" w:rsidRDefault="00BD405A" w:rsidP="00C4292D">
      <w:pPr>
        <w:spacing w:before="0" w:after="4" w:line="250" w:lineRule="auto"/>
        <w:ind w:left="-15"/>
        <w:rPr>
          <w:rFonts w:eastAsia="Book Antiqua" w:cs="Book Antiqua"/>
          <w:color w:val="000000"/>
          <w:szCs w:val="22"/>
          <w:lang w:val="en-AU"/>
        </w:rPr>
      </w:pPr>
      <w:r w:rsidRPr="003E76E7">
        <w:rPr>
          <w:rFonts w:eastAsia="Book Antiqua" w:cs="Book Antiqua"/>
          <w:color w:val="000000"/>
          <w:szCs w:val="22"/>
          <w:lang w:val="en-AU"/>
        </w:rPr>
        <w:t>President of the Senate</w:t>
      </w:r>
    </w:p>
    <w:p w14:paraId="6B927DAC" w14:textId="77777777" w:rsidR="00BD405A" w:rsidRPr="003E76E7" w:rsidRDefault="00BD405A" w:rsidP="00C4292D">
      <w:pPr>
        <w:spacing w:before="0" w:after="4" w:line="250" w:lineRule="auto"/>
        <w:ind w:left="-5" w:hanging="10"/>
        <w:rPr>
          <w:rFonts w:eastAsia="Book Antiqua" w:cs="Book Antiqua"/>
          <w:color w:val="000000"/>
          <w:szCs w:val="22"/>
          <w:lang w:val="en-AU"/>
        </w:rPr>
      </w:pPr>
      <w:r w:rsidRPr="003E76E7">
        <w:rPr>
          <w:rFonts w:eastAsia="Book Antiqua" w:cs="Book Antiqua"/>
          <w:color w:val="000000"/>
          <w:szCs w:val="22"/>
          <w:lang w:val="en-AU"/>
        </w:rPr>
        <w:t>Australian Senate</w:t>
      </w:r>
    </w:p>
    <w:p w14:paraId="6DEC2A5D" w14:textId="77777777" w:rsidR="00BD405A" w:rsidRPr="003E76E7" w:rsidRDefault="00BD405A" w:rsidP="00C4292D">
      <w:pPr>
        <w:spacing w:before="0" w:after="4" w:line="250" w:lineRule="auto"/>
        <w:ind w:left="-5" w:hanging="10"/>
        <w:rPr>
          <w:rFonts w:eastAsia="Book Antiqua" w:cs="Book Antiqua"/>
          <w:color w:val="000000"/>
          <w:szCs w:val="22"/>
          <w:lang w:val="en-AU"/>
        </w:rPr>
      </w:pPr>
      <w:r w:rsidRPr="003E76E7">
        <w:rPr>
          <w:rFonts w:eastAsia="Book Antiqua" w:cs="Book Antiqua"/>
          <w:color w:val="000000"/>
          <w:szCs w:val="22"/>
          <w:lang w:val="en-AU"/>
        </w:rPr>
        <w:t>Parliament House</w:t>
      </w:r>
    </w:p>
    <w:p w14:paraId="18222DCB" w14:textId="77777777" w:rsidR="00BD405A" w:rsidRPr="003E76E7" w:rsidRDefault="00BD405A" w:rsidP="00C4292D">
      <w:pPr>
        <w:spacing w:before="0" w:after="4" w:line="250" w:lineRule="auto"/>
        <w:ind w:left="-5" w:hanging="10"/>
        <w:rPr>
          <w:rFonts w:eastAsia="Book Antiqua" w:cs="Book Antiqua"/>
          <w:color w:val="000000"/>
          <w:szCs w:val="22"/>
          <w:lang w:val="en-AU"/>
        </w:rPr>
      </w:pPr>
      <w:r w:rsidRPr="003E76E7">
        <w:rPr>
          <w:rFonts w:eastAsia="Book Antiqua" w:cs="Book Antiqua"/>
          <w:color w:val="000000"/>
          <w:szCs w:val="22"/>
          <w:lang w:val="en-AU"/>
        </w:rPr>
        <w:t>CANBERRA ACT 2600</w:t>
      </w:r>
    </w:p>
    <w:p w14:paraId="72438FE5" w14:textId="77777777" w:rsidR="00BD405A" w:rsidRPr="003E76E7" w:rsidRDefault="00BD405A" w:rsidP="00C4292D">
      <w:pPr>
        <w:spacing w:before="0" w:after="0" w:line="259" w:lineRule="auto"/>
        <w:rPr>
          <w:rFonts w:eastAsia="Book Antiqua" w:cs="Book Antiqua"/>
          <w:color w:val="000000"/>
          <w:szCs w:val="22"/>
          <w:lang w:val="en-AU"/>
        </w:rPr>
      </w:pPr>
    </w:p>
    <w:p w14:paraId="24F44B84" w14:textId="77777777" w:rsidR="00BD405A" w:rsidRPr="003E76E7" w:rsidRDefault="00BD405A" w:rsidP="00C4292D">
      <w:pPr>
        <w:spacing w:before="0" w:after="0" w:line="259" w:lineRule="auto"/>
        <w:rPr>
          <w:rFonts w:eastAsia="Book Antiqua" w:cs="Book Antiqua"/>
          <w:color w:val="000000"/>
          <w:szCs w:val="22"/>
          <w:lang w:val="en-AU"/>
        </w:rPr>
      </w:pPr>
    </w:p>
    <w:p w14:paraId="4B01BC3A" w14:textId="77777777" w:rsidR="00BD405A" w:rsidRPr="003E76E7" w:rsidRDefault="00BD405A" w:rsidP="00C4292D">
      <w:pPr>
        <w:spacing w:before="0" w:after="4" w:line="250" w:lineRule="auto"/>
        <w:ind w:left="-5" w:hanging="10"/>
        <w:rPr>
          <w:rFonts w:eastAsia="Book Antiqua" w:cs="Book Antiqua"/>
          <w:color w:val="000000"/>
          <w:szCs w:val="22"/>
          <w:lang w:val="en-AU"/>
        </w:rPr>
      </w:pPr>
      <w:r w:rsidRPr="003E76E7">
        <w:rPr>
          <w:rFonts w:eastAsia="Book Antiqua" w:cs="Book Antiqua"/>
          <w:color w:val="000000"/>
          <w:szCs w:val="22"/>
          <w:lang w:val="en-AU"/>
        </w:rPr>
        <w:t>Speaker</w:t>
      </w:r>
    </w:p>
    <w:p w14:paraId="1C9EDC88" w14:textId="77777777" w:rsidR="00BD405A" w:rsidRPr="003E76E7" w:rsidRDefault="00BD405A" w:rsidP="00C4292D">
      <w:pPr>
        <w:spacing w:before="0" w:after="4" w:line="250" w:lineRule="auto"/>
        <w:ind w:left="-5" w:hanging="10"/>
        <w:rPr>
          <w:rFonts w:eastAsia="Book Antiqua" w:cs="Book Antiqua"/>
          <w:color w:val="000000"/>
          <w:szCs w:val="22"/>
          <w:lang w:val="en-AU"/>
        </w:rPr>
      </w:pPr>
      <w:r w:rsidRPr="003E76E7">
        <w:rPr>
          <w:rFonts w:eastAsia="Book Antiqua" w:cs="Book Antiqua"/>
          <w:color w:val="000000"/>
          <w:szCs w:val="22"/>
          <w:lang w:val="en-AU"/>
        </w:rPr>
        <w:t>House of Representatives</w:t>
      </w:r>
    </w:p>
    <w:p w14:paraId="157F109F" w14:textId="77777777" w:rsidR="00BD405A" w:rsidRPr="003E76E7" w:rsidRDefault="00BD405A" w:rsidP="00C4292D">
      <w:pPr>
        <w:spacing w:before="0" w:after="4" w:line="250" w:lineRule="auto"/>
        <w:ind w:left="-5" w:hanging="10"/>
        <w:rPr>
          <w:rFonts w:eastAsia="Book Antiqua" w:cs="Book Antiqua"/>
          <w:color w:val="000000"/>
          <w:szCs w:val="22"/>
          <w:lang w:val="en-AU"/>
        </w:rPr>
      </w:pPr>
      <w:r w:rsidRPr="003E76E7">
        <w:rPr>
          <w:rFonts w:eastAsia="Book Antiqua" w:cs="Book Antiqua"/>
          <w:color w:val="000000"/>
          <w:szCs w:val="22"/>
          <w:lang w:val="en-AU"/>
        </w:rPr>
        <w:t>Parliament House</w:t>
      </w:r>
    </w:p>
    <w:p w14:paraId="46AD549D" w14:textId="77777777" w:rsidR="00BD405A" w:rsidRPr="003E76E7" w:rsidRDefault="00BD405A" w:rsidP="00C4292D">
      <w:pPr>
        <w:spacing w:before="0" w:after="4" w:line="250" w:lineRule="auto"/>
        <w:ind w:left="-5" w:hanging="10"/>
        <w:rPr>
          <w:rFonts w:eastAsia="Book Antiqua" w:cs="Book Antiqua"/>
          <w:color w:val="000000"/>
          <w:szCs w:val="22"/>
          <w:lang w:val="en-AU"/>
        </w:rPr>
      </w:pPr>
      <w:r w:rsidRPr="003E76E7">
        <w:rPr>
          <w:rFonts w:eastAsia="Book Antiqua" w:cs="Book Antiqua"/>
          <w:color w:val="000000"/>
          <w:szCs w:val="22"/>
          <w:lang w:val="en-AU"/>
        </w:rPr>
        <w:t>CANBERRA ACT 2600</w:t>
      </w:r>
    </w:p>
    <w:p w14:paraId="0293F55D" w14:textId="77777777" w:rsidR="00BD405A" w:rsidRPr="003E76E7" w:rsidRDefault="00BD405A" w:rsidP="00C4292D">
      <w:pPr>
        <w:spacing w:before="0" w:after="0" w:line="259" w:lineRule="auto"/>
        <w:rPr>
          <w:rFonts w:eastAsia="Book Antiqua" w:cs="Book Antiqua"/>
          <w:color w:val="000000"/>
          <w:szCs w:val="22"/>
          <w:lang w:val="en-AU"/>
        </w:rPr>
      </w:pPr>
    </w:p>
    <w:p w14:paraId="01389A99" w14:textId="77777777" w:rsidR="00BD405A" w:rsidRPr="003E76E7" w:rsidRDefault="00BD405A" w:rsidP="00C4292D">
      <w:pPr>
        <w:spacing w:before="0" w:after="0" w:line="259" w:lineRule="auto"/>
        <w:rPr>
          <w:rFonts w:eastAsia="Book Antiqua" w:cs="Book Antiqua"/>
          <w:color w:val="000000"/>
          <w:szCs w:val="22"/>
          <w:lang w:val="en-AU"/>
        </w:rPr>
      </w:pPr>
    </w:p>
    <w:p w14:paraId="738FA0B2" w14:textId="77777777" w:rsidR="00BD405A" w:rsidRPr="003E76E7" w:rsidRDefault="00BD405A" w:rsidP="00C4292D">
      <w:pPr>
        <w:spacing w:before="0" w:after="4" w:line="250" w:lineRule="auto"/>
        <w:ind w:left="-5" w:hanging="10"/>
        <w:rPr>
          <w:rFonts w:eastAsia="Book Antiqua" w:cs="Book Antiqua"/>
          <w:color w:val="000000"/>
          <w:szCs w:val="22"/>
          <w:lang w:val="en-AU"/>
        </w:rPr>
      </w:pPr>
      <w:r w:rsidRPr="003E76E7">
        <w:rPr>
          <w:rFonts w:eastAsia="Book Antiqua" w:cs="Book Antiqua"/>
          <w:color w:val="000000"/>
          <w:szCs w:val="22"/>
          <w:lang w:val="en-AU"/>
        </w:rPr>
        <w:t>Dear President</w:t>
      </w:r>
    </w:p>
    <w:p w14:paraId="6814B794" w14:textId="77777777" w:rsidR="00BD405A" w:rsidRPr="003E76E7" w:rsidRDefault="00BD405A" w:rsidP="00C4292D">
      <w:pPr>
        <w:spacing w:before="0" w:after="0" w:line="259" w:lineRule="auto"/>
        <w:rPr>
          <w:rFonts w:eastAsia="Book Antiqua" w:cs="Book Antiqua"/>
          <w:color w:val="000000"/>
          <w:szCs w:val="22"/>
          <w:lang w:val="en-AU"/>
        </w:rPr>
      </w:pPr>
    </w:p>
    <w:p w14:paraId="7DD39D93" w14:textId="77777777" w:rsidR="00BD405A" w:rsidRPr="003E76E7" w:rsidRDefault="00BD405A" w:rsidP="00C4292D">
      <w:pPr>
        <w:spacing w:before="0" w:after="4" w:line="250" w:lineRule="auto"/>
        <w:ind w:left="-5" w:hanging="10"/>
        <w:rPr>
          <w:rFonts w:eastAsia="Book Antiqua" w:cs="Book Antiqua"/>
          <w:color w:val="000000"/>
          <w:szCs w:val="22"/>
          <w:lang w:val="en-AU"/>
        </w:rPr>
      </w:pPr>
      <w:r w:rsidRPr="003E76E7">
        <w:rPr>
          <w:rFonts w:eastAsia="Book Antiqua" w:cs="Book Antiqua"/>
          <w:color w:val="000000"/>
          <w:szCs w:val="22"/>
          <w:lang w:val="en-AU"/>
        </w:rPr>
        <w:t>Dear Speaker</w:t>
      </w:r>
    </w:p>
    <w:p w14:paraId="3A51176C" w14:textId="77777777" w:rsidR="00BD405A" w:rsidRPr="003E76E7" w:rsidRDefault="00BD405A" w:rsidP="00C4292D">
      <w:pPr>
        <w:spacing w:before="0" w:after="0" w:line="259" w:lineRule="auto"/>
        <w:rPr>
          <w:rFonts w:eastAsia="Book Antiqua" w:cs="Book Antiqua"/>
          <w:color w:val="000000"/>
          <w:szCs w:val="22"/>
          <w:lang w:val="en-AU"/>
        </w:rPr>
      </w:pPr>
    </w:p>
    <w:p w14:paraId="53FC705C" w14:textId="77777777" w:rsidR="00BD405A" w:rsidRPr="003E76E7" w:rsidRDefault="00BD405A" w:rsidP="00C4292D">
      <w:pPr>
        <w:spacing w:before="0" w:after="0" w:line="259" w:lineRule="auto"/>
        <w:rPr>
          <w:rFonts w:eastAsia="Book Antiqua" w:cs="Book Antiqua"/>
          <w:color w:val="000000"/>
          <w:szCs w:val="22"/>
          <w:lang w:val="en-AU"/>
        </w:rPr>
      </w:pPr>
    </w:p>
    <w:p w14:paraId="166F695E" w14:textId="53503400" w:rsidR="00BD405A" w:rsidRPr="003E76E7" w:rsidRDefault="00BD405A" w:rsidP="00C4292D">
      <w:pPr>
        <w:spacing w:before="0" w:after="4" w:line="250" w:lineRule="auto"/>
        <w:ind w:left="-5" w:right="453" w:hanging="10"/>
        <w:rPr>
          <w:rFonts w:eastAsia="Book Antiqua" w:cs="Book Antiqua"/>
          <w:color w:val="000000"/>
          <w:szCs w:val="22"/>
          <w:lang w:val="en-AU"/>
        </w:rPr>
      </w:pPr>
      <w:r w:rsidRPr="003E76E7">
        <w:rPr>
          <w:rFonts w:eastAsia="Book Antiqua" w:cs="Book Antiqua"/>
          <w:color w:val="000000"/>
          <w:szCs w:val="22"/>
          <w:lang w:val="en-AU"/>
        </w:rPr>
        <w:t>I hereby submit the Portfolio Budget Statements in support of the 202</w:t>
      </w:r>
      <w:r w:rsidR="002A6E29" w:rsidRPr="003E76E7">
        <w:rPr>
          <w:rFonts w:eastAsia="Book Antiqua" w:cs="Book Antiqua"/>
          <w:color w:val="000000"/>
          <w:szCs w:val="22"/>
          <w:lang w:val="en-AU"/>
        </w:rPr>
        <w:t>6</w:t>
      </w:r>
      <w:r w:rsidRPr="003E76E7">
        <w:rPr>
          <w:rFonts w:eastAsia="Book Antiqua" w:cs="Book Antiqua"/>
          <w:color w:val="000000"/>
          <w:szCs w:val="22"/>
          <w:lang w:val="en-AU"/>
        </w:rPr>
        <w:t>-2</w:t>
      </w:r>
      <w:r w:rsidR="002A6E29" w:rsidRPr="003E76E7">
        <w:rPr>
          <w:rFonts w:eastAsia="Book Antiqua" w:cs="Book Antiqua"/>
          <w:color w:val="000000"/>
          <w:szCs w:val="22"/>
          <w:lang w:val="en-AU"/>
        </w:rPr>
        <w:t>7</w:t>
      </w:r>
      <w:r w:rsidRPr="003E76E7">
        <w:rPr>
          <w:rFonts w:eastAsia="Book Antiqua" w:cs="Book Antiqua"/>
          <w:color w:val="000000"/>
          <w:szCs w:val="22"/>
          <w:lang w:val="en-AU"/>
        </w:rPr>
        <w:t xml:space="preserve"> Budget for the Defence Portfolio.</w:t>
      </w:r>
    </w:p>
    <w:p w14:paraId="4B29FCDC" w14:textId="77777777" w:rsidR="00BD405A" w:rsidRPr="003E76E7" w:rsidRDefault="00BD405A" w:rsidP="00C4292D">
      <w:pPr>
        <w:spacing w:before="0" w:after="0" w:line="259" w:lineRule="auto"/>
        <w:rPr>
          <w:rFonts w:eastAsia="Book Antiqua" w:cs="Book Antiqua"/>
          <w:color w:val="000000"/>
          <w:szCs w:val="22"/>
          <w:lang w:val="en-AU"/>
        </w:rPr>
      </w:pPr>
      <w:r w:rsidRPr="003E76E7">
        <w:rPr>
          <w:rFonts w:eastAsia="Book Antiqua" w:cs="Book Antiqua"/>
          <w:color w:val="000000"/>
          <w:szCs w:val="22"/>
          <w:lang w:val="en-AU"/>
        </w:rPr>
        <w:t xml:space="preserve"> </w:t>
      </w:r>
    </w:p>
    <w:p w14:paraId="24D6693A" w14:textId="77777777" w:rsidR="00BD405A" w:rsidRPr="003E76E7" w:rsidRDefault="00BD405A" w:rsidP="00C4292D">
      <w:pPr>
        <w:spacing w:before="0" w:after="4" w:line="250" w:lineRule="auto"/>
        <w:ind w:left="-5" w:hanging="10"/>
        <w:rPr>
          <w:rFonts w:eastAsia="Book Antiqua" w:cs="Book Antiqua"/>
          <w:color w:val="000000"/>
          <w:szCs w:val="22"/>
          <w:lang w:val="en-AU"/>
        </w:rPr>
      </w:pPr>
      <w:r w:rsidRPr="003E76E7">
        <w:rPr>
          <w:rFonts w:eastAsia="Book Antiqua" w:cs="Book Antiqua"/>
          <w:color w:val="000000"/>
          <w:szCs w:val="22"/>
          <w:lang w:val="en-AU"/>
        </w:rPr>
        <w:t>These statements have been developed, and are submitted to the Parliament, as a statement on the outcomes for the Portfolio.</w:t>
      </w:r>
    </w:p>
    <w:p w14:paraId="508F9FB9" w14:textId="77777777" w:rsidR="00BD405A" w:rsidRPr="003E76E7" w:rsidRDefault="00BD405A" w:rsidP="00C4292D">
      <w:pPr>
        <w:spacing w:before="0" w:after="0" w:line="259" w:lineRule="auto"/>
        <w:rPr>
          <w:rFonts w:eastAsia="Book Antiqua" w:cs="Book Antiqua"/>
          <w:color w:val="000000"/>
          <w:szCs w:val="22"/>
          <w:lang w:val="en-AU"/>
        </w:rPr>
      </w:pPr>
    </w:p>
    <w:p w14:paraId="30EF6B41" w14:textId="77777777" w:rsidR="00BD405A" w:rsidRPr="003E76E7" w:rsidRDefault="00BD405A" w:rsidP="00C4292D">
      <w:pPr>
        <w:spacing w:before="0" w:after="4" w:line="250" w:lineRule="auto"/>
        <w:ind w:left="-5" w:hanging="10"/>
        <w:rPr>
          <w:rFonts w:eastAsia="Book Antiqua" w:cs="Book Antiqua"/>
          <w:color w:val="000000"/>
          <w:szCs w:val="22"/>
          <w:lang w:val="en-AU"/>
        </w:rPr>
      </w:pPr>
      <w:r w:rsidRPr="003E76E7">
        <w:rPr>
          <w:rFonts w:eastAsia="Book Antiqua" w:cs="Book Antiqua"/>
          <w:color w:val="000000"/>
          <w:szCs w:val="22"/>
          <w:lang w:val="en-AU"/>
        </w:rPr>
        <w:t>I present these statements to provide accountability to the Parliament and, through it, the public.</w:t>
      </w:r>
    </w:p>
    <w:p w14:paraId="6BF2576E" w14:textId="77777777" w:rsidR="00BD405A" w:rsidRPr="003E76E7" w:rsidRDefault="00BD405A" w:rsidP="00C4292D">
      <w:pPr>
        <w:spacing w:before="0" w:after="0" w:line="259" w:lineRule="auto"/>
        <w:rPr>
          <w:rFonts w:eastAsia="Book Antiqua" w:cs="Book Antiqua"/>
          <w:color w:val="000000"/>
          <w:szCs w:val="22"/>
          <w:lang w:val="en-AU"/>
        </w:rPr>
      </w:pPr>
    </w:p>
    <w:p w14:paraId="4B11075A" w14:textId="77777777" w:rsidR="00BD405A" w:rsidRPr="003E76E7" w:rsidRDefault="00BD405A" w:rsidP="00C4292D">
      <w:pPr>
        <w:spacing w:before="0" w:after="4" w:line="250" w:lineRule="auto"/>
        <w:ind w:left="-5" w:hanging="10"/>
        <w:rPr>
          <w:rFonts w:eastAsia="Book Antiqua" w:cs="Book Antiqua"/>
          <w:color w:val="000000"/>
          <w:szCs w:val="22"/>
          <w:lang w:val="en-AU"/>
        </w:rPr>
      </w:pPr>
      <w:r w:rsidRPr="003E76E7">
        <w:rPr>
          <w:rFonts w:eastAsia="Book Antiqua" w:cs="Book Antiqua"/>
          <w:color w:val="000000"/>
          <w:szCs w:val="22"/>
          <w:lang w:val="en-AU"/>
        </w:rPr>
        <w:t>Yours sincerely</w:t>
      </w:r>
    </w:p>
    <w:p w14:paraId="6753F337" w14:textId="72210C60" w:rsidR="00BD405A" w:rsidRPr="003E76E7" w:rsidRDefault="00BD405A" w:rsidP="00C4292D">
      <w:pPr>
        <w:spacing w:before="0" w:after="0" w:line="259" w:lineRule="auto"/>
        <w:rPr>
          <w:rFonts w:eastAsia="Book Antiqua" w:cs="Book Antiqua"/>
          <w:noProof/>
          <w:color w:val="000000"/>
          <w:szCs w:val="22"/>
          <w:lang w:val="en-AU"/>
        </w:rPr>
      </w:pPr>
    </w:p>
    <w:p w14:paraId="78E4A260" w14:textId="2F0FF671" w:rsidR="00F112C3" w:rsidRPr="003E76E7" w:rsidRDefault="00F112C3" w:rsidP="00C4292D">
      <w:pPr>
        <w:spacing w:before="0" w:after="0" w:line="259" w:lineRule="auto"/>
        <w:rPr>
          <w:rFonts w:eastAsia="Book Antiqua" w:cs="Book Antiqua"/>
          <w:noProof/>
          <w:color w:val="000000"/>
          <w:szCs w:val="22"/>
          <w:lang w:val="en-AU"/>
        </w:rPr>
      </w:pPr>
    </w:p>
    <w:p w14:paraId="126E0852" w14:textId="77777777" w:rsidR="0046408E" w:rsidRPr="003E76E7" w:rsidRDefault="0046408E" w:rsidP="00C4292D">
      <w:pPr>
        <w:spacing w:before="0" w:after="0" w:line="259" w:lineRule="auto"/>
        <w:rPr>
          <w:rFonts w:eastAsia="Book Antiqua" w:cs="Book Antiqua"/>
          <w:noProof/>
          <w:color w:val="000000"/>
          <w:szCs w:val="22"/>
          <w:lang w:val="en-AU"/>
        </w:rPr>
      </w:pPr>
    </w:p>
    <w:p w14:paraId="1AA677EC" w14:textId="77777777" w:rsidR="00AB63AC" w:rsidRPr="003E76E7" w:rsidRDefault="00AB63AC" w:rsidP="00C4292D">
      <w:pPr>
        <w:spacing w:before="0" w:after="0" w:line="259" w:lineRule="auto"/>
        <w:rPr>
          <w:rFonts w:eastAsia="Book Antiqua" w:cs="Book Antiqua"/>
          <w:color w:val="000000"/>
          <w:szCs w:val="22"/>
          <w:lang w:val="en-AU"/>
        </w:rPr>
      </w:pPr>
    </w:p>
    <w:p w14:paraId="7F5364A2" w14:textId="77777777" w:rsidR="00BD405A" w:rsidRPr="003E76E7" w:rsidRDefault="00BD405A" w:rsidP="00C4292D">
      <w:pPr>
        <w:spacing w:before="0" w:after="0" w:line="259" w:lineRule="auto"/>
        <w:rPr>
          <w:rFonts w:eastAsia="Book Antiqua" w:cs="Book Antiqua"/>
          <w:color w:val="000000"/>
          <w:szCs w:val="22"/>
          <w:lang w:val="en-AU"/>
        </w:rPr>
      </w:pPr>
      <w:r w:rsidRPr="003E76E7">
        <w:rPr>
          <w:rFonts w:eastAsia="Book Antiqua" w:cs="Book Antiqua"/>
          <w:b/>
          <w:color w:val="000000"/>
          <w:szCs w:val="22"/>
          <w:lang w:val="en-AU"/>
        </w:rPr>
        <w:t>Richard Marles</w:t>
      </w:r>
    </w:p>
    <w:p w14:paraId="3D489B21" w14:textId="77777777" w:rsidR="00257BC5" w:rsidRPr="003E76E7" w:rsidRDefault="00257BC5" w:rsidP="00C4292D">
      <w:pPr>
        <w:jc w:val="both"/>
        <w:rPr>
          <w:lang w:val="en-AU"/>
        </w:rPr>
      </w:pPr>
    </w:p>
    <w:p w14:paraId="257419A1" w14:textId="77777777" w:rsidR="00BD405A" w:rsidRPr="003E76E7" w:rsidRDefault="00BD405A" w:rsidP="00C4292D">
      <w:pPr>
        <w:jc w:val="both"/>
        <w:rPr>
          <w:lang w:val="en-AU"/>
        </w:rPr>
        <w:sectPr w:rsidR="00BD405A" w:rsidRPr="003E76E7" w:rsidSect="00C30BE6">
          <w:headerReference w:type="even" r:id="rId18"/>
          <w:headerReference w:type="default" r:id="rId19"/>
          <w:footerReference w:type="default" r:id="rId20"/>
          <w:headerReference w:type="first" r:id="rId21"/>
          <w:pgSz w:w="11906" w:h="16838" w:code="9"/>
          <w:pgMar w:top="1701" w:right="1361" w:bottom="1701" w:left="1928" w:header="720" w:footer="720" w:gutter="0"/>
          <w:pgNumType w:fmt="lowerRoman"/>
          <w:cols w:space="720"/>
        </w:sectPr>
      </w:pPr>
    </w:p>
    <w:p w14:paraId="72080AC1" w14:textId="77777777" w:rsidR="000D25D3" w:rsidRPr="003E76E7" w:rsidRDefault="00BD3D6B" w:rsidP="00C4292D">
      <w:pPr>
        <w:pStyle w:val="Heading2"/>
        <w:spacing w:before="120" w:after="120"/>
        <w:rPr>
          <w:rFonts w:cs="Times New Roman"/>
          <w:b/>
          <w:bCs w:val="0"/>
          <w:iCs w:val="0"/>
          <w:sz w:val="20"/>
          <w:szCs w:val="20"/>
          <w:lang w:val="en-AU"/>
        </w:rPr>
      </w:pPr>
      <w:bookmarkStart w:id="162" w:name="_Toc51689726"/>
      <w:bookmarkStart w:id="163" w:name="_Toc51689824"/>
      <w:bookmarkStart w:id="164" w:name="_Toc51690292"/>
      <w:bookmarkStart w:id="165" w:name="_Toc51690404"/>
      <w:bookmarkStart w:id="166" w:name="_Toc51690632"/>
      <w:bookmarkStart w:id="167" w:name="_Toc51690770"/>
      <w:bookmarkStart w:id="168" w:name="_Toc51690899"/>
      <w:bookmarkStart w:id="169" w:name="_Toc51691142"/>
      <w:bookmarkStart w:id="170" w:name="_Toc51691345"/>
      <w:bookmarkStart w:id="171" w:name="_Toc51691662"/>
      <w:bookmarkStart w:id="172" w:name="_Toc65150726"/>
      <w:bookmarkStart w:id="173" w:name="_Toc69729031"/>
      <w:bookmarkStart w:id="174" w:name="_Toc69913606"/>
      <w:bookmarkStart w:id="175" w:name="_Toc69917825"/>
      <w:bookmarkStart w:id="176" w:name="_Toc97747814"/>
      <w:bookmarkStart w:id="177" w:name="_Toc97809647"/>
      <w:bookmarkStart w:id="178" w:name="_Toc108088925"/>
      <w:bookmarkStart w:id="179" w:name="_Toc108089004"/>
      <w:bookmarkStart w:id="180" w:name="_Toc108089399"/>
      <w:bookmarkStart w:id="181" w:name="_Toc108089679"/>
      <w:bookmarkStart w:id="182" w:name="_Toc109227284"/>
      <w:bookmarkStart w:id="183" w:name="_Toc109227721"/>
      <w:bookmarkStart w:id="184" w:name="_Toc158896237"/>
      <w:bookmarkStart w:id="185" w:name="_Toc158896294"/>
      <w:bookmarkStart w:id="186" w:name="_Toc159499668"/>
      <w:bookmarkStart w:id="187" w:name="_Toc159499954"/>
      <w:bookmarkStart w:id="188" w:name="_Toc159857665"/>
      <w:bookmarkStart w:id="189" w:name="_Toc159857744"/>
      <w:bookmarkStart w:id="190" w:name="_Toc159858140"/>
      <w:bookmarkStart w:id="191" w:name="_Toc159858411"/>
      <w:bookmarkStart w:id="192" w:name="_Toc159858805"/>
      <w:bookmarkStart w:id="193" w:name="_Toc159858875"/>
      <w:bookmarkStart w:id="194" w:name="_Toc159859085"/>
      <w:bookmarkStart w:id="195" w:name="_Toc159859237"/>
      <w:bookmarkStart w:id="196" w:name="_Toc159862275"/>
      <w:bookmarkStart w:id="197" w:name="_Toc159862465"/>
      <w:bookmarkStart w:id="198" w:name="_Toc221786169"/>
      <w:bookmarkStart w:id="199" w:name="_Toc221874463"/>
      <w:bookmarkStart w:id="200" w:name="_Toc221888996"/>
      <w:bookmarkStart w:id="201" w:name="_Toc221889193"/>
      <w:bookmarkStart w:id="202" w:name="_Toc222126872"/>
      <w:bookmarkStart w:id="203" w:name="_Toc222129909"/>
      <w:bookmarkStart w:id="204" w:name="_Toc222129999"/>
      <w:bookmarkStart w:id="205" w:name="_Toc222131118"/>
      <w:bookmarkStart w:id="206" w:name="_Toc222134743"/>
      <w:bookmarkStart w:id="207" w:name="_Toc222134824"/>
      <w:bookmarkStart w:id="208" w:name="_Toc222148339"/>
      <w:bookmarkStart w:id="209" w:name="_Toc225847650"/>
      <w:bookmarkStart w:id="210" w:name="_Toc225847965"/>
      <w:bookmarkStart w:id="211" w:name="_Toc225848048"/>
      <w:bookmarkStart w:id="212" w:name="_Toc225848131"/>
      <w:bookmarkStart w:id="213" w:name="_Toc225848214"/>
      <w:bookmarkStart w:id="214" w:name="_Toc225848249"/>
      <w:bookmarkStart w:id="215" w:name="_Toc225848470"/>
      <w:bookmarkStart w:id="216" w:name="_Toc225941537"/>
      <w:bookmarkStart w:id="217" w:name="_Toc225942544"/>
      <w:bookmarkStart w:id="218" w:name="_Toc226703417"/>
      <w:bookmarkStart w:id="219" w:name="_Toc226983917"/>
      <w:bookmarkStart w:id="220" w:name="_Toc226984102"/>
      <w:bookmarkStart w:id="221" w:name="_Toc227334354"/>
      <w:bookmarkStart w:id="222" w:name="_Toc228547630"/>
      <w:bookmarkStart w:id="223" w:name="_Toc228988937"/>
      <w:bookmarkStart w:id="224" w:name="_Toc229072428"/>
      <w:bookmarkStart w:id="225" w:name="_Toc229072600"/>
      <w:r w:rsidRPr="003E76E7">
        <w:rPr>
          <w:rFonts w:cs="Times New Roman"/>
          <w:b/>
          <w:bCs w:val="0"/>
          <w:iCs w:val="0"/>
          <w:sz w:val="20"/>
          <w:szCs w:val="20"/>
          <w:lang w:val="en-AU"/>
        </w:rPr>
        <w:lastRenderedPageBreak/>
        <w:t>Abbreviations and C</w:t>
      </w:r>
      <w:r w:rsidR="000D25D3" w:rsidRPr="003E76E7">
        <w:rPr>
          <w:rFonts w:cs="Times New Roman"/>
          <w:b/>
          <w:bCs w:val="0"/>
          <w:iCs w:val="0"/>
          <w:sz w:val="20"/>
          <w:szCs w:val="20"/>
          <w:lang w:val="en-AU"/>
        </w:rPr>
        <w:t>onventions</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14:paraId="39918314" w14:textId="77777777" w:rsidR="000A1BC6" w:rsidRPr="003E76E7" w:rsidRDefault="000A1BC6" w:rsidP="00C4292D">
      <w:pPr>
        <w:spacing w:before="120" w:after="120"/>
        <w:rPr>
          <w:lang w:val="en-AU"/>
        </w:rPr>
      </w:pPr>
      <w:r w:rsidRPr="003E76E7">
        <w:rPr>
          <w:lang w:val="en-AU"/>
        </w:rPr>
        <w:t>The following notation</w:t>
      </w:r>
      <w:r w:rsidR="00866C09" w:rsidRPr="003E76E7">
        <w:rPr>
          <w:lang w:val="en-AU"/>
        </w:rPr>
        <w:t>s</w:t>
      </w:r>
      <w:r w:rsidRPr="003E76E7">
        <w:rPr>
          <w:lang w:val="en-AU"/>
        </w:rPr>
        <w:t xml:space="preserve"> may be used:</w:t>
      </w:r>
    </w:p>
    <w:p w14:paraId="1E5E5E93" w14:textId="77777777" w:rsidR="00A75C8C" w:rsidRPr="003E76E7" w:rsidRDefault="00A75C8C" w:rsidP="00C4292D">
      <w:pPr>
        <w:pStyle w:val="SingleParagraph"/>
        <w:tabs>
          <w:tab w:val="left" w:pos="2268"/>
        </w:tabs>
        <w:spacing w:line="240" w:lineRule="auto"/>
        <w:ind w:left="567"/>
        <w:jc w:val="left"/>
      </w:pPr>
      <w:r w:rsidRPr="003E76E7">
        <w:t>NEC/nec</w:t>
      </w:r>
      <w:r w:rsidRPr="003E76E7">
        <w:tab/>
        <w:t>not elsewhere classified</w:t>
      </w:r>
    </w:p>
    <w:p w14:paraId="255EEBBF" w14:textId="77777777" w:rsidR="00A75C8C" w:rsidRPr="003E76E7" w:rsidRDefault="00A75C8C" w:rsidP="00C4292D">
      <w:pPr>
        <w:pStyle w:val="SingleParagraph"/>
        <w:tabs>
          <w:tab w:val="left" w:pos="2268"/>
        </w:tabs>
        <w:spacing w:line="240" w:lineRule="auto"/>
        <w:ind w:left="567"/>
        <w:jc w:val="left"/>
      </w:pPr>
      <w:r w:rsidRPr="003E76E7">
        <w:noBreakHyphen/>
      </w:r>
      <w:r w:rsidRPr="003E76E7">
        <w:tab/>
        <w:t>nil</w:t>
      </w:r>
    </w:p>
    <w:p w14:paraId="4586B6A8" w14:textId="77777777" w:rsidR="00A75C8C" w:rsidRPr="003E76E7" w:rsidRDefault="00A75C8C" w:rsidP="00C4292D">
      <w:pPr>
        <w:pStyle w:val="SingleParagraph"/>
        <w:tabs>
          <w:tab w:val="left" w:pos="2268"/>
        </w:tabs>
        <w:spacing w:line="240" w:lineRule="auto"/>
        <w:ind w:left="567"/>
        <w:jc w:val="left"/>
      </w:pPr>
      <w:r w:rsidRPr="003E76E7">
        <w:t>..</w:t>
      </w:r>
      <w:r w:rsidRPr="003E76E7">
        <w:tab/>
        <w:t>not zero, but rounded to zero</w:t>
      </w:r>
    </w:p>
    <w:p w14:paraId="5C1A34AE" w14:textId="77777777" w:rsidR="00A75C8C" w:rsidRPr="003E76E7" w:rsidRDefault="00A75C8C" w:rsidP="00C4292D">
      <w:pPr>
        <w:pStyle w:val="SingleParagraph"/>
        <w:tabs>
          <w:tab w:val="left" w:pos="2268"/>
        </w:tabs>
        <w:spacing w:line="240" w:lineRule="auto"/>
        <w:ind w:left="567"/>
        <w:jc w:val="left"/>
      </w:pPr>
      <w:r w:rsidRPr="003E76E7">
        <w:t>na</w:t>
      </w:r>
      <w:r w:rsidRPr="003E76E7">
        <w:tab/>
        <w:t>not applicable (unless otherwise specified)</w:t>
      </w:r>
    </w:p>
    <w:p w14:paraId="7463D565" w14:textId="77777777" w:rsidR="00A75C8C" w:rsidRPr="003E76E7" w:rsidRDefault="00A75C8C" w:rsidP="00C4292D">
      <w:pPr>
        <w:pStyle w:val="SingleParagraph"/>
        <w:tabs>
          <w:tab w:val="left" w:pos="2268"/>
        </w:tabs>
        <w:spacing w:line="240" w:lineRule="auto"/>
        <w:ind w:left="567"/>
        <w:jc w:val="left"/>
      </w:pPr>
      <w:r w:rsidRPr="003E76E7">
        <w:t>nfp</w:t>
      </w:r>
      <w:r w:rsidRPr="003E76E7">
        <w:tab/>
        <w:t>not for publication</w:t>
      </w:r>
    </w:p>
    <w:p w14:paraId="34FE69E5" w14:textId="77777777" w:rsidR="00A75C8C" w:rsidRPr="003E76E7" w:rsidRDefault="00A75C8C" w:rsidP="00C4292D">
      <w:pPr>
        <w:pStyle w:val="SingleParagraph"/>
        <w:tabs>
          <w:tab w:val="left" w:pos="2268"/>
        </w:tabs>
        <w:spacing w:line="240" w:lineRule="auto"/>
        <w:ind w:left="567"/>
        <w:jc w:val="left"/>
      </w:pPr>
      <w:r w:rsidRPr="003E76E7">
        <w:t>$m</w:t>
      </w:r>
      <w:r w:rsidRPr="003E76E7">
        <w:tab/>
        <w:t>$</w:t>
      </w:r>
      <w:r w:rsidR="00493421" w:rsidRPr="003E76E7">
        <w:t xml:space="preserve"> </w:t>
      </w:r>
      <w:r w:rsidRPr="003E76E7">
        <w:t>million</w:t>
      </w:r>
    </w:p>
    <w:p w14:paraId="1F3146BE" w14:textId="77777777" w:rsidR="00A75C8C" w:rsidRPr="003E76E7" w:rsidRDefault="00D62DFA" w:rsidP="00C4292D">
      <w:pPr>
        <w:pStyle w:val="SingleParagraph"/>
        <w:tabs>
          <w:tab w:val="left" w:pos="2268"/>
        </w:tabs>
        <w:spacing w:line="240" w:lineRule="auto"/>
        <w:ind w:left="567"/>
        <w:jc w:val="left"/>
      </w:pPr>
      <w:r w:rsidRPr="003E76E7">
        <w:t>$b</w:t>
      </w:r>
      <w:r w:rsidRPr="003E76E7">
        <w:tab/>
        <w:t>$</w:t>
      </w:r>
      <w:r w:rsidR="00493421" w:rsidRPr="003E76E7">
        <w:t xml:space="preserve"> </w:t>
      </w:r>
      <w:r w:rsidR="00A75C8C" w:rsidRPr="003E76E7">
        <w:t>billion</w:t>
      </w:r>
    </w:p>
    <w:p w14:paraId="4073A49D" w14:textId="77777777" w:rsidR="000A1BC6" w:rsidRPr="003E76E7" w:rsidRDefault="000A1BC6" w:rsidP="00C4292D">
      <w:pPr>
        <w:spacing w:before="120" w:after="120"/>
        <w:rPr>
          <w:lang w:val="en-AU"/>
        </w:rPr>
      </w:pPr>
      <w:r w:rsidRPr="003E76E7">
        <w:rPr>
          <w:lang w:val="en-AU"/>
        </w:rPr>
        <w:t>Figures in tables and in the text may be rounded. Figures in text are generally rounded to one decimal place, whereas figures in tables are generally rounded to the nearest thousand. Discrepancies in tables between totals and sums of components are due to rounding.</w:t>
      </w:r>
    </w:p>
    <w:p w14:paraId="2F7F00B7" w14:textId="77777777" w:rsidR="00461FA3" w:rsidRPr="003E76E7" w:rsidRDefault="00461FA3" w:rsidP="00C4292D">
      <w:pPr>
        <w:spacing w:before="120" w:after="120"/>
        <w:rPr>
          <w:rFonts w:ascii="Arial" w:hAnsi="Arial"/>
          <w:b/>
        </w:rPr>
      </w:pPr>
      <w:r w:rsidRPr="003E76E7">
        <w:rPr>
          <w:rFonts w:ascii="Arial" w:hAnsi="Arial"/>
          <w:b/>
        </w:rPr>
        <w:t>Enquiries</w:t>
      </w:r>
    </w:p>
    <w:p w14:paraId="364B329D" w14:textId="326811EC" w:rsidR="00E63AC2" w:rsidRPr="003E76E7" w:rsidRDefault="00E63AC2" w:rsidP="00C4292D">
      <w:pPr>
        <w:rPr>
          <w:lang w:val="en-AU"/>
        </w:rPr>
      </w:pPr>
      <w:bookmarkStart w:id="226" w:name="_Toc340656888"/>
      <w:bookmarkStart w:id="227" w:name="_Toc340665288"/>
      <w:bookmarkStart w:id="228" w:name="_Toc340669812"/>
      <w:bookmarkStart w:id="229" w:name="_Toc347766450"/>
      <w:bookmarkStart w:id="230" w:name="_Toc353889396"/>
      <w:r w:rsidRPr="003E76E7">
        <w:rPr>
          <w:lang w:val="en-AU"/>
        </w:rPr>
        <w:t>Should you have any enquiries regarding this publication please contact Assistant Secretary Budgeting and Reporting, Defence Finance Group, Department of Defence on (02) 510</w:t>
      </w:r>
      <w:r w:rsidR="00381ECB" w:rsidRPr="003E76E7">
        <w:rPr>
          <w:lang w:val="en-AU"/>
        </w:rPr>
        <w:t>8 6064</w:t>
      </w:r>
      <w:r w:rsidRPr="003E76E7">
        <w:rPr>
          <w:lang w:val="en-AU"/>
        </w:rPr>
        <w:t>.</w:t>
      </w:r>
    </w:p>
    <w:p w14:paraId="7DE18B78" w14:textId="6F2E29B2" w:rsidR="00D358E5" w:rsidRPr="003E76E7" w:rsidRDefault="00D358E5" w:rsidP="00C4292D">
      <w:pPr>
        <w:spacing w:before="120" w:after="120"/>
        <w:rPr>
          <w:lang w:val="en-AU"/>
        </w:rPr>
      </w:pPr>
      <w:r w:rsidRPr="003E76E7">
        <w:rPr>
          <w:lang w:val="en-AU"/>
        </w:rPr>
        <w:t>Links to Portfolio Budget Statements (including Portfolio Additional Estimates Statements</w:t>
      </w:r>
      <w:r w:rsidR="00D76F98" w:rsidRPr="003E76E7">
        <w:rPr>
          <w:lang w:val="en-AU"/>
        </w:rPr>
        <w:t xml:space="preserve"> (PAES)</w:t>
      </w:r>
      <w:r w:rsidRPr="003E76E7">
        <w:rPr>
          <w:lang w:val="en-AU"/>
        </w:rPr>
        <w:t xml:space="preserve"> and Portfolio Supplementary Additional Statements) can be located on the Australian Government Budget website at: </w:t>
      </w:r>
      <w:hyperlink r:id="rId22" w:history="1">
        <w:r w:rsidR="000D25D3" w:rsidRPr="003E76E7">
          <w:rPr>
            <w:rStyle w:val="Hyperlink"/>
            <w:lang w:val="en-AU"/>
          </w:rPr>
          <w:t>www.budget.gov.au</w:t>
        </w:r>
      </w:hyperlink>
      <w:r w:rsidRPr="003E76E7">
        <w:rPr>
          <w:lang w:val="en-AU"/>
        </w:rPr>
        <w:t>.</w:t>
      </w:r>
    </w:p>
    <w:p w14:paraId="50B08403" w14:textId="77777777" w:rsidR="000D25D3" w:rsidRPr="003E76E7" w:rsidRDefault="000D25D3" w:rsidP="00C4292D">
      <w:pPr>
        <w:pStyle w:val="BodyText"/>
        <w:rPr>
          <w:lang w:val="en-AU"/>
        </w:rPr>
      </w:pPr>
    </w:p>
    <w:p w14:paraId="1EC54607" w14:textId="77777777" w:rsidR="00C55AD2" w:rsidRPr="003E76E7" w:rsidRDefault="00C55AD2" w:rsidP="00C4292D">
      <w:pPr>
        <w:pStyle w:val="PartHeading"/>
        <w:jc w:val="left"/>
        <w:sectPr w:rsidR="00C55AD2" w:rsidRPr="003E76E7" w:rsidSect="00C30BE6">
          <w:headerReference w:type="even" r:id="rId23"/>
          <w:headerReference w:type="default" r:id="rId24"/>
          <w:footerReference w:type="even" r:id="rId25"/>
          <w:headerReference w:type="first" r:id="rId26"/>
          <w:pgSz w:w="11906" w:h="16838" w:code="9"/>
          <w:pgMar w:top="1701" w:right="1361" w:bottom="1701" w:left="1928" w:header="720" w:footer="720" w:gutter="0"/>
          <w:pgNumType w:fmt="lowerRoman"/>
          <w:cols w:space="720"/>
        </w:sectPr>
      </w:pPr>
      <w:bookmarkStart w:id="231" w:name="_Toc444523502"/>
    </w:p>
    <w:p w14:paraId="111C3358" w14:textId="77777777" w:rsidR="00367748" w:rsidRPr="003E76E7" w:rsidRDefault="00367748" w:rsidP="00C4292D">
      <w:pPr>
        <w:pStyle w:val="PartHeading"/>
        <w:jc w:val="left"/>
      </w:pPr>
    </w:p>
    <w:p w14:paraId="01EA5E4F" w14:textId="77777777" w:rsidR="00367748" w:rsidRPr="003E76E7" w:rsidRDefault="00367748" w:rsidP="00C4292D">
      <w:pPr>
        <w:pStyle w:val="PartHeading"/>
        <w:jc w:val="left"/>
      </w:pPr>
    </w:p>
    <w:p w14:paraId="1730BE0A" w14:textId="77777777" w:rsidR="00AE5489" w:rsidRPr="003E76E7" w:rsidRDefault="00AE5489" w:rsidP="00C4292D">
      <w:pPr>
        <w:rPr>
          <w:lang w:val="en-AU"/>
        </w:rPr>
      </w:pPr>
    </w:p>
    <w:p w14:paraId="43F74819" w14:textId="77777777" w:rsidR="00AE5489" w:rsidRPr="003E76E7" w:rsidRDefault="00AE5489" w:rsidP="00C4292D">
      <w:pPr>
        <w:rPr>
          <w:lang w:val="en-AU"/>
        </w:rPr>
      </w:pPr>
    </w:p>
    <w:p w14:paraId="0095B5FC" w14:textId="77777777" w:rsidR="00AE5489" w:rsidRPr="003E76E7" w:rsidRDefault="00AE5489" w:rsidP="00C4292D">
      <w:pPr>
        <w:rPr>
          <w:lang w:val="en-AU"/>
        </w:rPr>
      </w:pPr>
    </w:p>
    <w:p w14:paraId="0A73424B" w14:textId="77777777" w:rsidR="00AE5489" w:rsidRPr="003E76E7" w:rsidRDefault="00AE5489" w:rsidP="00C4292D">
      <w:pPr>
        <w:rPr>
          <w:lang w:val="en-AU"/>
        </w:rPr>
      </w:pPr>
    </w:p>
    <w:p w14:paraId="02C2DE24" w14:textId="77777777" w:rsidR="00AE5489" w:rsidRPr="003E76E7" w:rsidRDefault="00AE5489" w:rsidP="00C4292D">
      <w:pPr>
        <w:rPr>
          <w:lang w:val="en-AU"/>
        </w:rPr>
      </w:pPr>
    </w:p>
    <w:p w14:paraId="08D0AE1C" w14:textId="77777777" w:rsidR="00AE5489" w:rsidRPr="003E76E7" w:rsidRDefault="00367748" w:rsidP="00C4292D">
      <w:pPr>
        <w:pStyle w:val="heading1level2"/>
        <w:spacing w:before="0" w:after="360"/>
        <w:rPr>
          <w:smallCaps w:val="0"/>
          <w:sz w:val="52"/>
          <w:szCs w:val="52"/>
        </w:rPr>
      </w:pPr>
      <w:bookmarkStart w:id="232" w:name="_Toc97747815"/>
      <w:bookmarkStart w:id="233" w:name="_Toc97809648"/>
      <w:bookmarkStart w:id="234" w:name="_Toc108088926"/>
      <w:bookmarkStart w:id="235" w:name="_Toc108089005"/>
      <w:bookmarkStart w:id="236" w:name="_Toc108089400"/>
      <w:bookmarkStart w:id="237" w:name="_Toc108089680"/>
      <w:bookmarkStart w:id="238" w:name="_Toc109227285"/>
      <w:bookmarkStart w:id="239" w:name="_Toc109227722"/>
      <w:bookmarkStart w:id="240" w:name="_Toc158896238"/>
      <w:bookmarkStart w:id="241" w:name="_Toc158896295"/>
      <w:bookmarkStart w:id="242" w:name="_Toc159499669"/>
      <w:bookmarkStart w:id="243" w:name="_Toc159499955"/>
      <w:bookmarkStart w:id="244" w:name="_Toc159857666"/>
      <w:bookmarkStart w:id="245" w:name="_Toc159857745"/>
      <w:bookmarkStart w:id="246" w:name="_Toc159858141"/>
      <w:bookmarkStart w:id="247" w:name="_Toc159858412"/>
      <w:bookmarkStart w:id="248" w:name="_Toc159858806"/>
      <w:bookmarkStart w:id="249" w:name="_Toc159858876"/>
      <w:bookmarkStart w:id="250" w:name="_Toc159859086"/>
      <w:bookmarkStart w:id="251" w:name="_Toc159859238"/>
      <w:bookmarkStart w:id="252" w:name="_Toc159862276"/>
      <w:bookmarkStart w:id="253" w:name="_Toc159862466"/>
      <w:bookmarkStart w:id="254" w:name="_Toc221786170"/>
      <w:bookmarkStart w:id="255" w:name="_Toc221874464"/>
      <w:bookmarkStart w:id="256" w:name="_Toc221888997"/>
      <w:bookmarkStart w:id="257" w:name="_Toc221889194"/>
      <w:bookmarkStart w:id="258" w:name="_Toc222126873"/>
      <w:bookmarkStart w:id="259" w:name="_Toc222129910"/>
      <w:bookmarkStart w:id="260" w:name="_Toc222130000"/>
      <w:bookmarkStart w:id="261" w:name="_Toc222131119"/>
      <w:bookmarkStart w:id="262" w:name="_Toc222134744"/>
      <w:bookmarkStart w:id="263" w:name="_Toc222134825"/>
      <w:bookmarkStart w:id="264" w:name="_Toc222148340"/>
      <w:bookmarkStart w:id="265" w:name="_Toc225847651"/>
      <w:bookmarkStart w:id="266" w:name="_Toc225847966"/>
      <w:bookmarkStart w:id="267" w:name="_Toc225848049"/>
      <w:bookmarkStart w:id="268" w:name="_Toc225848132"/>
      <w:bookmarkStart w:id="269" w:name="_Toc225848215"/>
      <w:bookmarkStart w:id="270" w:name="_Toc225848250"/>
      <w:bookmarkStart w:id="271" w:name="_Toc225848471"/>
      <w:bookmarkStart w:id="272" w:name="_Toc225941538"/>
      <w:bookmarkStart w:id="273" w:name="_Toc225942545"/>
      <w:bookmarkStart w:id="274" w:name="_Toc226703418"/>
      <w:bookmarkStart w:id="275" w:name="_Toc226983918"/>
      <w:bookmarkStart w:id="276" w:name="_Toc226984103"/>
      <w:bookmarkStart w:id="277" w:name="_Toc227334355"/>
      <w:bookmarkStart w:id="278" w:name="_Toc228547631"/>
      <w:bookmarkStart w:id="279" w:name="_Toc228988938"/>
      <w:bookmarkStart w:id="280" w:name="_Toc229072429"/>
      <w:bookmarkStart w:id="281" w:name="_Toc229072601"/>
      <w:r w:rsidRPr="003E76E7">
        <w:rPr>
          <w:smallCaps w:val="0"/>
          <w:sz w:val="52"/>
          <w:szCs w:val="52"/>
        </w:rPr>
        <w:t>User Guide</w:t>
      </w:r>
      <w:bookmarkEnd w:id="231"/>
      <w:r w:rsidRPr="003E76E7">
        <w:rPr>
          <w:smallCaps w:val="0"/>
          <w:sz w:val="52"/>
          <w:szCs w:val="52"/>
        </w:rPr>
        <w:br/>
      </w:r>
      <w:bookmarkStart w:id="282" w:name="_Toc444523503"/>
      <w:r w:rsidRPr="003E76E7">
        <w:rPr>
          <w:smallCaps w:val="0"/>
          <w:sz w:val="52"/>
          <w:szCs w:val="52"/>
        </w:rPr>
        <w:t>To The</w:t>
      </w:r>
      <w:bookmarkEnd w:id="282"/>
      <w:r w:rsidRPr="003E76E7">
        <w:rPr>
          <w:smallCaps w:val="0"/>
          <w:sz w:val="52"/>
          <w:szCs w:val="52"/>
        </w:rPr>
        <w:br/>
      </w:r>
      <w:bookmarkStart w:id="283" w:name="_Toc444523504"/>
      <w:r w:rsidRPr="003E76E7">
        <w:rPr>
          <w:smallCaps w:val="0"/>
          <w:sz w:val="52"/>
          <w:szCs w:val="52"/>
        </w:rPr>
        <w:t>Portfolio Budget Statement</w:t>
      </w:r>
      <w:bookmarkStart w:id="284" w:name="_Toc112211948"/>
      <w:bookmarkStart w:id="285" w:name="_Toc112212042"/>
      <w:bookmarkStart w:id="286" w:name="_Toc112137860"/>
      <w:bookmarkStart w:id="287" w:name="_Toc112224367"/>
      <w:bookmarkStart w:id="288" w:name="_Toc112225828"/>
      <w:bookmarkEnd w:id="283"/>
      <w:r w:rsidR="00113624" w:rsidRPr="003E76E7">
        <w:rPr>
          <w:smallCaps w:val="0"/>
          <w:sz w:val="52"/>
          <w:szCs w:val="52"/>
        </w:rPr>
        <w:t>s</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p w14:paraId="48B42BA6" w14:textId="77777777" w:rsidR="00367748" w:rsidRPr="003E76E7" w:rsidRDefault="00AE5489" w:rsidP="00C4292D">
      <w:pPr>
        <w:spacing w:before="120" w:after="120"/>
        <w:rPr>
          <w:rFonts w:ascii="Arial Bold" w:hAnsi="Arial Bold"/>
          <w:b/>
          <w:sz w:val="36"/>
          <w:szCs w:val="36"/>
        </w:rPr>
      </w:pPr>
      <w:r w:rsidRPr="003E76E7">
        <w:br w:type="page"/>
      </w:r>
      <w:bookmarkStart w:id="289" w:name="_Toc51689727"/>
      <w:bookmarkStart w:id="290" w:name="_Toc51689825"/>
      <w:bookmarkStart w:id="291" w:name="_Toc51690293"/>
      <w:bookmarkStart w:id="292" w:name="_Toc51690405"/>
      <w:bookmarkStart w:id="293" w:name="_Toc51690633"/>
      <w:bookmarkStart w:id="294" w:name="_Toc51690771"/>
      <w:bookmarkStart w:id="295" w:name="_Toc51690900"/>
      <w:bookmarkStart w:id="296" w:name="_Toc51691143"/>
      <w:bookmarkStart w:id="297" w:name="_Toc51691346"/>
      <w:bookmarkStart w:id="298" w:name="_Toc51691663"/>
      <w:bookmarkStart w:id="299" w:name="_Toc65150727"/>
      <w:bookmarkStart w:id="300" w:name="_Toc69729032"/>
      <w:bookmarkStart w:id="301" w:name="_Toc69913607"/>
      <w:bookmarkStart w:id="302" w:name="_Toc69917826"/>
      <w:bookmarkEnd w:id="284"/>
      <w:bookmarkEnd w:id="285"/>
      <w:bookmarkEnd w:id="286"/>
      <w:bookmarkEnd w:id="287"/>
      <w:bookmarkEnd w:id="288"/>
      <w:r w:rsidR="00D51782" w:rsidRPr="003E76E7">
        <w:rPr>
          <w:rFonts w:ascii="Arial Bold" w:hAnsi="Arial Bold"/>
          <w:b/>
          <w:sz w:val="36"/>
          <w:szCs w:val="36"/>
        </w:rPr>
        <w:lastRenderedPageBreak/>
        <w:t>User G</w:t>
      </w:r>
      <w:r w:rsidR="00D84C10" w:rsidRPr="003E76E7">
        <w:rPr>
          <w:rFonts w:ascii="Arial Bold" w:hAnsi="Arial Bold"/>
          <w:b/>
          <w:sz w:val="36"/>
          <w:szCs w:val="36"/>
        </w:rPr>
        <w:t>uide</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p w14:paraId="42FB4C5C" w14:textId="3C9498F2" w:rsidR="00C429D7" w:rsidRPr="003E76E7" w:rsidRDefault="00C429D7" w:rsidP="00C4292D">
      <w:pPr>
        <w:spacing w:before="120" w:after="120"/>
        <w:rPr>
          <w:rFonts w:eastAsia="Book Antiqua"/>
          <w:lang w:eastAsia="en-US"/>
        </w:rPr>
      </w:pPr>
      <w:r w:rsidRPr="003E76E7">
        <w:rPr>
          <w:rFonts w:eastAsia="Book Antiqua"/>
          <w:lang w:eastAsia="en-US"/>
        </w:rPr>
        <w:t>The</w:t>
      </w:r>
      <w:r w:rsidRPr="003E76E7">
        <w:rPr>
          <w:rFonts w:eastAsia="Book Antiqua"/>
          <w:spacing w:val="-3"/>
          <w:lang w:eastAsia="en-US"/>
        </w:rPr>
        <w:t xml:space="preserve"> </w:t>
      </w:r>
      <w:r w:rsidRPr="003E76E7">
        <w:rPr>
          <w:rFonts w:eastAsia="Book Antiqua"/>
          <w:lang w:eastAsia="en-US"/>
        </w:rPr>
        <w:t>purpose</w:t>
      </w:r>
      <w:r w:rsidRPr="003E76E7">
        <w:rPr>
          <w:rFonts w:eastAsia="Book Antiqua"/>
          <w:spacing w:val="-3"/>
          <w:lang w:eastAsia="en-US"/>
        </w:rPr>
        <w:t xml:space="preserve"> </w:t>
      </w:r>
      <w:r w:rsidRPr="003E76E7">
        <w:rPr>
          <w:rFonts w:eastAsia="Book Antiqua"/>
          <w:lang w:eastAsia="en-US"/>
        </w:rPr>
        <w:t>of</w:t>
      </w:r>
      <w:r w:rsidRPr="003E76E7">
        <w:rPr>
          <w:rFonts w:eastAsia="Book Antiqua"/>
          <w:spacing w:val="-4"/>
          <w:lang w:eastAsia="en-US"/>
        </w:rPr>
        <w:t xml:space="preserve"> </w:t>
      </w:r>
      <w:r w:rsidRPr="003E76E7">
        <w:rPr>
          <w:rFonts w:eastAsia="Book Antiqua"/>
          <w:lang w:eastAsia="en-US"/>
        </w:rPr>
        <w:t>the</w:t>
      </w:r>
      <w:r w:rsidRPr="003E76E7">
        <w:rPr>
          <w:rFonts w:eastAsia="Book Antiqua"/>
          <w:spacing w:val="-3"/>
          <w:lang w:eastAsia="en-US"/>
        </w:rPr>
        <w:t xml:space="preserve"> </w:t>
      </w:r>
      <w:r w:rsidRPr="003E76E7">
        <w:rPr>
          <w:rFonts w:eastAsia="Book Antiqua"/>
          <w:i/>
          <w:lang w:eastAsia="en-US"/>
        </w:rPr>
        <w:t>202</w:t>
      </w:r>
      <w:r w:rsidR="002A6E29" w:rsidRPr="003E76E7">
        <w:rPr>
          <w:rFonts w:eastAsia="Book Antiqua"/>
          <w:i/>
          <w:lang w:eastAsia="en-US"/>
        </w:rPr>
        <w:t>6</w:t>
      </w:r>
      <w:r w:rsidRPr="003E76E7">
        <w:rPr>
          <w:rFonts w:eastAsia="Book Antiqua"/>
          <w:i/>
          <w:lang w:eastAsia="en-US"/>
        </w:rPr>
        <w:t>-2</w:t>
      </w:r>
      <w:r w:rsidR="002A6E29" w:rsidRPr="003E76E7">
        <w:rPr>
          <w:rFonts w:eastAsia="Book Antiqua"/>
          <w:i/>
          <w:lang w:eastAsia="en-US"/>
        </w:rPr>
        <w:t>7</w:t>
      </w:r>
      <w:r w:rsidRPr="003E76E7">
        <w:rPr>
          <w:rFonts w:eastAsia="Book Antiqua"/>
          <w:i/>
          <w:spacing w:val="-2"/>
          <w:lang w:eastAsia="en-US"/>
        </w:rPr>
        <w:t xml:space="preserve"> </w:t>
      </w:r>
      <w:r w:rsidRPr="003E76E7">
        <w:rPr>
          <w:rFonts w:eastAsia="Book Antiqua"/>
          <w:i/>
          <w:lang w:eastAsia="en-US"/>
        </w:rPr>
        <w:t>Portfolio</w:t>
      </w:r>
      <w:r w:rsidRPr="003E76E7">
        <w:rPr>
          <w:rFonts w:eastAsia="Book Antiqua"/>
          <w:i/>
          <w:spacing w:val="-3"/>
          <w:lang w:eastAsia="en-US"/>
        </w:rPr>
        <w:t xml:space="preserve"> </w:t>
      </w:r>
      <w:r w:rsidRPr="003E76E7">
        <w:rPr>
          <w:rFonts w:eastAsia="Book Antiqua"/>
          <w:i/>
          <w:lang w:eastAsia="en-US"/>
        </w:rPr>
        <w:t>Budget</w:t>
      </w:r>
      <w:r w:rsidRPr="003E76E7">
        <w:rPr>
          <w:rFonts w:eastAsia="Book Antiqua"/>
          <w:i/>
          <w:spacing w:val="-4"/>
          <w:lang w:eastAsia="en-US"/>
        </w:rPr>
        <w:t xml:space="preserve"> </w:t>
      </w:r>
      <w:r w:rsidRPr="003E76E7">
        <w:rPr>
          <w:rFonts w:eastAsia="Book Antiqua"/>
          <w:i/>
          <w:lang w:eastAsia="en-US"/>
        </w:rPr>
        <w:t>Statements</w:t>
      </w:r>
      <w:r w:rsidRPr="003E76E7">
        <w:rPr>
          <w:rFonts w:eastAsia="Book Antiqua"/>
          <w:i/>
          <w:spacing w:val="-2"/>
          <w:lang w:eastAsia="en-US"/>
        </w:rPr>
        <w:t xml:space="preserve"> </w:t>
      </w:r>
      <w:r w:rsidRPr="003E76E7">
        <w:rPr>
          <w:rFonts w:eastAsia="Book Antiqua"/>
          <w:lang w:eastAsia="en-US"/>
        </w:rPr>
        <w:t>(PB</w:t>
      </w:r>
      <w:r w:rsidRPr="003E76E7">
        <w:rPr>
          <w:rFonts w:eastAsia="Book Antiqua"/>
          <w:spacing w:val="-4"/>
          <w:lang w:eastAsia="en-US"/>
        </w:rPr>
        <w:t xml:space="preserve"> </w:t>
      </w:r>
      <w:r w:rsidRPr="003E76E7">
        <w:rPr>
          <w:rFonts w:eastAsia="Book Antiqua"/>
          <w:lang w:eastAsia="en-US"/>
        </w:rPr>
        <w:t>Statements)</w:t>
      </w:r>
      <w:r w:rsidRPr="003E76E7">
        <w:rPr>
          <w:rFonts w:eastAsia="Book Antiqua"/>
          <w:spacing w:val="-4"/>
          <w:lang w:eastAsia="en-US"/>
        </w:rPr>
        <w:t xml:space="preserve"> </w:t>
      </w:r>
      <w:r w:rsidRPr="003E76E7">
        <w:rPr>
          <w:rFonts w:eastAsia="Book Antiqua"/>
          <w:lang w:eastAsia="en-US"/>
        </w:rPr>
        <w:t>is</w:t>
      </w:r>
      <w:r w:rsidRPr="003E76E7">
        <w:rPr>
          <w:rFonts w:eastAsia="Book Antiqua"/>
          <w:spacing w:val="-4"/>
          <w:lang w:eastAsia="en-US"/>
        </w:rPr>
        <w:t xml:space="preserve"> </w:t>
      </w:r>
      <w:r w:rsidRPr="003E76E7">
        <w:rPr>
          <w:rFonts w:eastAsia="Book Antiqua"/>
          <w:lang w:eastAsia="en-US"/>
        </w:rPr>
        <w:t>to</w:t>
      </w:r>
      <w:r w:rsidRPr="003E76E7">
        <w:rPr>
          <w:rFonts w:eastAsia="Book Antiqua"/>
          <w:spacing w:val="-3"/>
          <w:lang w:eastAsia="en-US"/>
        </w:rPr>
        <w:t xml:space="preserve"> </w:t>
      </w:r>
      <w:r w:rsidRPr="003E76E7">
        <w:rPr>
          <w:rFonts w:eastAsia="Book Antiqua"/>
          <w:lang w:eastAsia="en-US"/>
        </w:rPr>
        <w:t>inform</w:t>
      </w:r>
      <w:r w:rsidRPr="003E76E7">
        <w:rPr>
          <w:rFonts w:eastAsia="Book Antiqua"/>
          <w:spacing w:val="-2"/>
          <w:lang w:eastAsia="en-US"/>
        </w:rPr>
        <w:t xml:space="preserve"> </w:t>
      </w:r>
      <w:r w:rsidRPr="003E76E7">
        <w:rPr>
          <w:rFonts w:eastAsia="Book Antiqua"/>
          <w:lang w:eastAsia="en-US"/>
        </w:rPr>
        <w:t>Senators and Members of Parliament of the proposed allocation of resources to government outcomes by entities within the portfolio. Entities receive resources from the annual appropriations acts, special</w:t>
      </w:r>
      <w:r w:rsidRPr="003E76E7">
        <w:rPr>
          <w:rFonts w:eastAsia="Book Antiqua"/>
          <w:spacing w:val="-1"/>
          <w:lang w:eastAsia="en-US"/>
        </w:rPr>
        <w:t xml:space="preserve"> </w:t>
      </w:r>
      <w:r w:rsidRPr="003E76E7">
        <w:rPr>
          <w:rFonts w:eastAsia="Book Antiqua"/>
          <w:lang w:eastAsia="en-US"/>
        </w:rPr>
        <w:t>appropriations (including standing appropriations and special accounts), and revenue from other sources.</w:t>
      </w:r>
    </w:p>
    <w:p w14:paraId="3DAD3C30" w14:textId="304AEA7F" w:rsidR="00C429D7" w:rsidRPr="003E76E7" w:rsidRDefault="00C429D7" w:rsidP="00C4292D">
      <w:pPr>
        <w:spacing w:before="120" w:after="120"/>
        <w:rPr>
          <w:rFonts w:eastAsia="Book Antiqua"/>
          <w:lang w:eastAsia="en-US"/>
        </w:rPr>
      </w:pPr>
      <w:r w:rsidRPr="003E76E7">
        <w:rPr>
          <w:rFonts w:eastAsia="Book Antiqua"/>
          <w:lang w:eastAsia="en-US"/>
        </w:rPr>
        <w:t>A key role of the PB Statements is to facilitate the understanding of proposed annual appropriations in Appropriation Bills (No. 1 and No. 2) 202</w:t>
      </w:r>
      <w:r w:rsidR="002A6E29" w:rsidRPr="003E76E7">
        <w:rPr>
          <w:rFonts w:eastAsia="Book Antiqua"/>
          <w:lang w:eastAsia="en-US"/>
        </w:rPr>
        <w:t>6</w:t>
      </w:r>
      <w:r w:rsidRPr="003E76E7">
        <w:rPr>
          <w:rFonts w:eastAsia="Book Antiqua"/>
          <w:lang w:eastAsia="en-US"/>
        </w:rPr>
        <w:t>-2</w:t>
      </w:r>
      <w:r w:rsidR="002A6E29" w:rsidRPr="003E76E7">
        <w:rPr>
          <w:rFonts w:eastAsia="Book Antiqua"/>
          <w:lang w:eastAsia="en-US"/>
        </w:rPr>
        <w:t>7</w:t>
      </w:r>
      <w:r w:rsidRPr="003E76E7">
        <w:rPr>
          <w:rFonts w:eastAsia="Book Antiqua"/>
          <w:lang w:eastAsia="en-US"/>
        </w:rPr>
        <w:t xml:space="preserve"> (or Appropriation (Parliamentary Departments) Bill </w:t>
      </w:r>
      <w:r w:rsidRPr="003E76E7">
        <w:rPr>
          <w:rFonts w:eastAsia="Book Antiqua"/>
          <w:i/>
          <w:lang w:eastAsia="en-US"/>
        </w:rPr>
        <w:t>(</w:t>
      </w:r>
      <w:r w:rsidRPr="003E76E7">
        <w:rPr>
          <w:rFonts w:eastAsia="Book Antiqua"/>
          <w:lang w:eastAsia="en-US"/>
        </w:rPr>
        <w:t>No. 1) 202</w:t>
      </w:r>
      <w:r w:rsidR="002A6E29" w:rsidRPr="003E76E7">
        <w:rPr>
          <w:rFonts w:eastAsia="Book Antiqua"/>
          <w:lang w:eastAsia="en-US"/>
        </w:rPr>
        <w:t>6</w:t>
      </w:r>
      <w:r w:rsidRPr="003E76E7">
        <w:rPr>
          <w:rFonts w:eastAsia="Book Antiqua"/>
          <w:lang w:eastAsia="en-US"/>
        </w:rPr>
        <w:t>-2</w:t>
      </w:r>
      <w:r w:rsidR="002A6E29" w:rsidRPr="003E76E7">
        <w:rPr>
          <w:rFonts w:eastAsia="Book Antiqua"/>
          <w:lang w:eastAsia="en-US"/>
        </w:rPr>
        <w:t>7</w:t>
      </w:r>
      <w:r w:rsidRPr="003E76E7">
        <w:rPr>
          <w:rFonts w:eastAsia="Book Antiqua"/>
          <w:lang w:eastAsia="en-US"/>
        </w:rPr>
        <w:t xml:space="preserve"> for the parliamentary departments)</w:t>
      </w:r>
      <w:r w:rsidR="00A50104" w:rsidRPr="003E76E7">
        <w:rPr>
          <w:rFonts w:eastAsia="Book Antiqua"/>
          <w:lang w:eastAsia="en-US"/>
        </w:rPr>
        <w:t xml:space="preserve"> </w:t>
      </w:r>
      <w:r w:rsidR="00A50104" w:rsidRPr="003E76E7">
        <w:t>and related Supply Bills where they exist applicable to the 202</w:t>
      </w:r>
      <w:r w:rsidR="002A6E29" w:rsidRPr="003E76E7">
        <w:t>6</w:t>
      </w:r>
      <w:r w:rsidR="00722810" w:rsidRPr="003E76E7">
        <w:t>-</w:t>
      </w:r>
      <w:r w:rsidR="00A50104" w:rsidRPr="003E76E7">
        <w:t>2</w:t>
      </w:r>
      <w:r w:rsidR="002A6E29" w:rsidRPr="003E76E7">
        <w:t>7</w:t>
      </w:r>
      <w:r w:rsidR="00A50104" w:rsidRPr="003E76E7">
        <w:t xml:space="preserve"> Budget</w:t>
      </w:r>
      <w:r w:rsidRPr="003E76E7">
        <w:rPr>
          <w:rFonts w:eastAsia="Book Antiqua"/>
          <w:lang w:eastAsia="en-US"/>
        </w:rPr>
        <w:t>. In this sense, the PB Statements are Budget related papers and are declared by the Appropriation</w:t>
      </w:r>
      <w:r w:rsidRPr="003E76E7">
        <w:rPr>
          <w:rFonts w:eastAsia="Book Antiqua"/>
          <w:spacing w:val="-3"/>
          <w:lang w:eastAsia="en-US"/>
        </w:rPr>
        <w:t xml:space="preserve"> </w:t>
      </w:r>
      <w:r w:rsidRPr="003E76E7">
        <w:rPr>
          <w:rFonts w:eastAsia="Book Antiqua"/>
          <w:lang w:eastAsia="en-US"/>
        </w:rPr>
        <w:t>Acts</w:t>
      </w:r>
      <w:r w:rsidRPr="003E76E7">
        <w:rPr>
          <w:rFonts w:eastAsia="Book Antiqua"/>
          <w:spacing w:val="-2"/>
          <w:lang w:eastAsia="en-US"/>
        </w:rPr>
        <w:t xml:space="preserve"> </w:t>
      </w:r>
      <w:r w:rsidRPr="003E76E7">
        <w:rPr>
          <w:rFonts w:eastAsia="Book Antiqua"/>
          <w:lang w:eastAsia="en-US"/>
        </w:rPr>
        <w:t>to</w:t>
      </w:r>
      <w:r w:rsidRPr="003E76E7">
        <w:rPr>
          <w:rFonts w:eastAsia="Book Antiqua"/>
          <w:spacing w:val="-3"/>
          <w:lang w:eastAsia="en-US"/>
        </w:rPr>
        <w:t xml:space="preserve"> </w:t>
      </w:r>
      <w:r w:rsidRPr="003E76E7">
        <w:rPr>
          <w:rFonts w:eastAsia="Book Antiqua"/>
          <w:lang w:eastAsia="en-US"/>
        </w:rPr>
        <w:t>be</w:t>
      </w:r>
      <w:r w:rsidRPr="003E76E7">
        <w:rPr>
          <w:rFonts w:eastAsia="Book Antiqua"/>
          <w:spacing w:val="-3"/>
          <w:lang w:eastAsia="en-US"/>
        </w:rPr>
        <w:t xml:space="preserve"> </w:t>
      </w:r>
      <w:r w:rsidRPr="003E76E7">
        <w:rPr>
          <w:rFonts w:eastAsia="Book Antiqua"/>
          <w:lang w:eastAsia="en-US"/>
        </w:rPr>
        <w:t>‘relevant</w:t>
      </w:r>
      <w:r w:rsidRPr="003E76E7">
        <w:rPr>
          <w:rFonts w:eastAsia="Book Antiqua"/>
          <w:spacing w:val="-3"/>
          <w:lang w:eastAsia="en-US"/>
        </w:rPr>
        <w:t xml:space="preserve"> </w:t>
      </w:r>
      <w:r w:rsidRPr="003E76E7">
        <w:rPr>
          <w:rFonts w:eastAsia="Book Antiqua"/>
          <w:lang w:eastAsia="en-US"/>
        </w:rPr>
        <w:t>documents’</w:t>
      </w:r>
      <w:r w:rsidRPr="003E76E7">
        <w:rPr>
          <w:rFonts w:eastAsia="Book Antiqua"/>
          <w:spacing w:val="-5"/>
          <w:lang w:eastAsia="en-US"/>
        </w:rPr>
        <w:t xml:space="preserve"> </w:t>
      </w:r>
      <w:r w:rsidRPr="003E76E7">
        <w:rPr>
          <w:rFonts w:eastAsia="Book Antiqua"/>
          <w:lang w:eastAsia="en-US"/>
        </w:rPr>
        <w:t>to</w:t>
      </w:r>
      <w:r w:rsidRPr="003E76E7">
        <w:rPr>
          <w:rFonts w:eastAsia="Book Antiqua"/>
          <w:spacing w:val="-3"/>
          <w:lang w:eastAsia="en-US"/>
        </w:rPr>
        <w:t xml:space="preserve"> </w:t>
      </w:r>
      <w:r w:rsidRPr="003E76E7">
        <w:rPr>
          <w:rFonts w:eastAsia="Book Antiqua"/>
          <w:lang w:eastAsia="en-US"/>
        </w:rPr>
        <w:t>the</w:t>
      </w:r>
      <w:r w:rsidRPr="003E76E7">
        <w:rPr>
          <w:rFonts w:eastAsia="Book Antiqua"/>
          <w:spacing w:val="-3"/>
          <w:lang w:eastAsia="en-US"/>
        </w:rPr>
        <w:t xml:space="preserve"> </w:t>
      </w:r>
      <w:r w:rsidRPr="003E76E7">
        <w:rPr>
          <w:rFonts w:eastAsia="Book Antiqua"/>
          <w:lang w:eastAsia="en-US"/>
        </w:rPr>
        <w:t>interpretation</w:t>
      </w:r>
      <w:r w:rsidRPr="003E76E7">
        <w:rPr>
          <w:rFonts w:eastAsia="Book Antiqua"/>
          <w:spacing w:val="-3"/>
          <w:lang w:eastAsia="en-US"/>
        </w:rPr>
        <w:t xml:space="preserve"> </w:t>
      </w:r>
      <w:r w:rsidRPr="003E76E7">
        <w:rPr>
          <w:rFonts w:eastAsia="Book Antiqua"/>
          <w:lang w:eastAsia="en-US"/>
        </w:rPr>
        <w:t>of</w:t>
      </w:r>
      <w:r w:rsidRPr="003E76E7">
        <w:rPr>
          <w:rFonts w:eastAsia="Book Antiqua"/>
          <w:spacing w:val="-4"/>
          <w:lang w:eastAsia="en-US"/>
        </w:rPr>
        <w:t xml:space="preserve"> </w:t>
      </w:r>
      <w:r w:rsidRPr="003E76E7">
        <w:rPr>
          <w:rFonts w:eastAsia="Book Antiqua"/>
          <w:lang w:eastAsia="en-US"/>
        </w:rPr>
        <w:t>the</w:t>
      </w:r>
      <w:r w:rsidRPr="003E76E7">
        <w:rPr>
          <w:rFonts w:eastAsia="Book Antiqua"/>
          <w:spacing w:val="-3"/>
          <w:lang w:eastAsia="en-US"/>
        </w:rPr>
        <w:t xml:space="preserve"> </w:t>
      </w:r>
      <w:r w:rsidRPr="003E76E7">
        <w:rPr>
          <w:rFonts w:eastAsia="Book Antiqua"/>
          <w:lang w:eastAsia="en-US"/>
        </w:rPr>
        <w:t>Acts</w:t>
      </w:r>
      <w:r w:rsidRPr="003E76E7">
        <w:rPr>
          <w:rFonts w:eastAsia="Book Antiqua"/>
          <w:spacing w:val="-2"/>
          <w:lang w:eastAsia="en-US"/>
        </w:rPr>
        <w:t xml:space="preserve"> </w:t>
      </w:r>
      <w:r w:rsidRPr="003E76E7">
        <w:rPr>
          <w:rFonts w:eastAsia="Book Antiqua"/>
          <w:lang w:eastAsia="en-US"/>
        </w:rPr>
        <w:t>according</w:t>
      </w:r>
      <w:r w:rsidRPr="003E76E7">
        <w:rPr>
          <w:rFonts w:eastAsia="Book Antiqua"/>
          <w:spacing w:val="-3"/>
          <w:lang w:eastAsia="en-US"/>
        </w:rPr>
        <w:t xml:space="preserve"> </w:t>
      </w:r>
      <w:r w:rsidRPr="003E76E7">
        <w:rPr>
          <w:rFonts w:eastAsia="Book Antiqua"/>
          <w:lang w:eastAsia="en-US"/>
        </w:rPr>
        <w:t xml:space="preserve">to section 15AB of the </w:t>
      </w:r>
      <w:r w:rsidRPr="003E76E7">
        <w:rPr>
          <w:rFonts w:eastAsia="Book Antiqua"/>
          <w:i/>
          <w:lang w:eastAsia="en-US"/>
        </w:rPr>
        <w:t>Acts Interpretation Act 1901</w:t>
      </w:r>
      <w:r w:rsidRPr="003E76E7">
        <w:rPr>
          <w:rFonts w:eastAsia="Book Antiqua"/>
          <w:lang w:eastAsia="en-US"/>
        </w:rPr>
        <w:t>.</w:t>
      </w:r>
    </w:p>
    <w:p w14:paraId="39EAE451" w14:textId="77777777" w:rsidR="00C429D7" w:rsidRPr="003E76E7" w:rsidRDefault="00C429D7" w:rsidP="00C4292D">
      <w:pPr>
        <w:spacing w:before="120" w:after="120"/>
        <w:rPr>
          <w:rFonts w:eastAsia="Book Antiqua"/>
          <w:lang w:eastAsia="en-US"/>
        </w:rPr>
      </w:pPr>
      <w:r w:rsidRPr="003E76E7">
        <w:rPr>
          <w:rFonts w:eastAsia="Book Antiqua"/>
          <w:lang w:eastAsia="en-US"/>
        </w:rPr>
        <w:t>The</w:t>
      </w:r>
      <w:r w:rsidRPr="003E76E7">
        <w:rPr>
          <w:rFonts w:eastAsia="Book Antiqua"/>
          <w:spacing w:val="-4"/>
          <w:lang w:eastAsia="en-US"/>
        </w:rPr>
        <w:t xml:space="preserve"> </w:t>
      </w:r>
      <w:r w:rsidRPr="003E76E7">
        <w:rPr>
          <w:rFonts w:eastAsia="Book Antiqua"/>
          <w:lang w:eastAsia="en-US"/>
        </w:rPr>
        <w:t>PB</w:t>
      </w:r>
      <w:r w:rsidRPr="003E76E7">
        <w:rPr>
          <w:rFonts w:eastAsia="Book Antiqua"/>
          <w:spacing w:val="-5"/>
          <w:lang w:eastAsia="en-US"/>
        </w:rPr>
        <w:t xml:space="preserve"> </w:t>
      </w:r>
      <w:r w:rsidRPr="003E76E7">
        <w:rPr>
          <w:rFonts w:eastAsia="Book Antiqua"/>
          <w:lang w:eastAsia="en-US"/>
        </w:rPr>
        <w:t>Statements</w:t>
      </w:r>
      <w:r w:rsidRPr="003E76E7">
        <w:rPr>
          <w:rFonts w:eastAsia="Book Antiqua"/>
          <w:spacing w:val="-3"/>
          <w:lang w:eastAsia="en-US"/>
        </w:rPr>
        <w:t xml:space="preserve"> </w:t>
      </w:r>
      <w:r w:rsidRPr="003E76E7">
        <w:rPr>
          <w:rFonts w:eastAsia="Book Antiqua"/>
          <w:lang w:eastAsia="en-US"/>
        </w:rPr>
        <w:t>provide</w:t>
      </w:r>
      <w:r w:rsidRPr="003E76E7">
        <w:rPr>
          <w:rFonts w:eastAsia="Book Antiqua"/>
          <w:spacing w:val="-4"/>
          <w:lang w:eastAsia="en-US"/>
        </w:rPr>
        <w:t xml:space="preserve"> </w:t>
      </w:r>
      <w:r w:rsidRPr="003E76E7">
        <w:rPr>
          <w:rFonts w:eastAsia="Book Antiqua"/>
          <w:lang w:eastAsia="en-US"/>
        </w:rPr>
        <w:t>information,</w:t>
      </w:r>
      <w:r w:rsidRPr="003E76E7">
        <w:rPr>
          <w:rFonts w:eastAsia="Book Antiqua"/>
          <w:spacing w:val="-3"/>
          <w:lang w:eastAsia="en-US"/>
        </w:rPr>
        <w:t xml:space="preserve"> </w:t>
      </w:r>
      <w:r w:rsidRPr="003E76E7">
        <w:rPr>
          <w:rFonts w:eastAsia="Book Antiqua"/>
          <w:lang w:eastAsia="en-US"/>
        </w:rPr>
        <w:t>explanation</w:t>
      </w:r>
      <w:r w:rsidRPr="003E76E7">
        <w:rPr>
          <w:rFonts w:eastAsia="Book Antiqua"/>
          <w:spacing w:val="-5"/>
          <w:lang w:eastAsia="en-US"/>
        </w:rPr>
        <w:t xml:space="preserve"> </w:t>
      </w:r>
      <w:r w:rsidRPr="003E76E7">
        <w:rPr>
          <w:rFonts w:eastAsia="Book Antiqua"/>
          <w:lang w:eastAsia="en-US"/>
        </w:rPr>
        <w:t>and</w:t>
      </w:r>
      <w:r w:rsidRPr="003E76E7">
        <w:rPr>
          <w:rFonts w:eastAsia="Book Antiqua"/>
          <w:spacing w:val="-5"/>
          <w:lang w:eastAsia="en-US"/>
        </w:rPr>
        <w:t xml:space="preserve"> </w:t>
      </w:r>
      <w:r w:rsidRPr="003E76E7">
        <w:rPr>
          <w:rFonts w:eastAsia="Book Antiqua"/>
          <w:lang w:eastAsia="en-US"/>
        </w:rPr>
        <w:t>justification</w:t>
      </w:r>
      <w:r w:rsidRPr="003E76E7">
        <w:rPr>
          <w:rFonts w:eastAsia="Book Antiqua"/>
          <w:spacing w:val="-4"/>
          <w:lang w:eastAsia="en-US"/>
        </w:rPr>
        <w:t xml:space="preserve"> </w:t>
      </w:r>
      <w:r w:rsidRPr="003E76E7">
        <w:rPr>
          <w:rFonts w:eastAsia="Book Antiqua"/>
          <w:lang w:eastAsia="en-US"/>
        </w:rPr>
        <w:t>to</w:t>
      </w:r>
      <w:r w:rsidRPr="003E76E7">
        <w:rPr>
          <w:rFonts w:eastAsia="Book Antiqua"/>
          <w:spacing w:val="-4"/>
          <w:lang w:eastAsia="en-US"/>
        </w:rPr>
        <w:t xml:space="preserve"> </w:t>
      </w:r>
      <w:r w:rsidRPr="003E76E7">
        <w:rPr>
          <w:rFonts w:eastAsia="Book Antiqua"/>
          <w:lang w:eastAsia="en-US"/>
        </w:rPr>
        <w:t>enable</w:t>
      </w:r>
      <w:r w:rsidRPr="003E76E7">
        <w:rPr>
          <w:rFonts w:eastAsia="Book Antiqua"/>
          <w:spacing w:val="-4"/>
          <w:lang w:eastAsia="en-US"/>
        </w:rPr>
        <w:t xml:space="preserve"> </w:t>
      </w:r>
      <w:r w:rsidRPr="003E76E7">
        <w:rPr>
          <w:rFonts w:eastAsia="Book Antiqua"/>
          <w:lang w:eastAsia="en-US"/>
        </w:rPr>
        <w:t>Parliament to understand the purpose of each outcome proposed in the Bills.</w:t>
      </w:r>
    </w:p>
    <w:p w14:paraId="0345B9F7" w14:textId="77777777" w:rsidR="00C429D7" w:rsidRPr="003E76E7" w:rsidRDefault="00C429D7" w:rsidP="00C4292D">
      <w:pPr>
        <w:spacing w:before="120" w:after="120"/>
        <w:rPr>
          <w:rFonts w:eastAsia="Book Antiqua"/>
          <w:lang w:eastAsia="en-US"/>
        </w:rPr>
      </w:pPr>
      <w:r w:rsidRPr="003E76E7">
        <w:rPr>
          <w:rFonts w:eastAsia="Book Antiqua"/>
          <w:lang w:eastAsia="en-US"/>
        </w:rPr>
        <w:t xml:space="preserve">As required under section 12 of the </w:t>
      </w:r>
      <w:r w:rsidRPr="003E76E7">
        <w:rPr>
          <w:rFonts w:eastAsia="Book Antiqua"/>
          <w:i/>
          <w:lang w:eastAsia="en-US"/>
        </w:rPr>
        <w:t>Charter of Budget Honesty Act 1998</w:t>
      </w:r>
      <w:r w:rsidRPr="003E76E7">
        <w:rPr>
          <w:rFonts w:eastAsia="Book Antiqua"/>
          <w:lang w:eastAsia="en-US"/>
        </w:rPr>
        <w:t>, only entities within the general government sector are included as part of the Commonwealth general government</w:t>
      </w:r>
      <w:r w:rsidRPr="003E76E7">
        <w:rPr>
          <w:rFonts w:eastAsia="Book Antiqua"/>
          <w:spacing w:val="-3"/>
          <w:lang w:eastAsia="en-US"/>
        </w:rPr>
        <w:t xml:space="preserve"> </w:t>
      </w:r>
      <w:r w:rsidRPr="003E76E7">
        <w:rPr>
          <w:rFonts w:eastAsia="Book Antiqua"/>
          <w:lang w:eastAsia="en-US"/>
        </w:rPr>
        <w:t>sector</w:t>
      </w:r>
      <w:r w:rsidRPr="003E76E7">
        <w:rPr>
          <w:rFonts w:eastAsia="Book Antiqua"/>
          <w:spacing w:val="-4"/>
          <w:lang w:eastAsia="en-US"/>
        </w:rPr>
        <w:t xml:space="preserve"> </w:t>
      </w:r>
      <w:r w:rsidRPr="003E76E7">
        <w:rPr>
          <w:rFonts w:eastAsia="Book Antiqua"/>
          <w:lang w:eastAsia="en-US"/>
        </w:rPr>
        <w:t>fiscal</w:t>
      </w:r>
      <w:r w:rsidRPr="003E76E7">
        <w:rPr>
          <w:rFonts w:eastAsia="Book Antiqua"/>
          <w:spacing w:val="-3"/>
          <w:lang w:eastAsia="en-US"/>
        </w:rPr>
        <w:t xml:space="preserve"> </w:t>
      </w:r>
      <w:r w:rsidRPr="003E76E7">
        <w:rPr>
          <w:rFonts w:eastAsia="Book Antiqua"/>
          <w:lang w:eastAsia="en-US"/>
        </w:rPr>
        <w:t>estimates</w:t>
      </w:r>
      <w:r w:rsidRPr="003E76E7">
        <w:rPr>
          <w:rFonts w:eastAsia="Book Antiqua"/>
          <w:spacing w:val="-4"/>
          <w:lang w:eastAsia="en-US"/>
        </w:rPr>
        <w:t xml:space="preserve"> </w:t>
      </w:r>
      <w:r w:rsidRPr="003E76E7">
        <w:rPr>
          <w:rFonts w:eastAsia="Book Antiqua"/>
          <w:lang w:eastAsia="en-US"/>
        </w:rPr>
        <w:t>and</w:t>
      </w:r>
      <w:r w:rsidRPr="003E76E7">
        <w:rPr>
          <w:rFonts w:eastAsia="Book Antiqua"/>
          <w:spacing w:val="-4"/>
          <w:lang w:eastAsia="en-US"/>
        </w:rPr>
        <w:t xml:space="preserve"> </w:t>
      </w:r>
      <w:r w:rsidRPr="003E76E7">
        <w:rPr>
          <w:rFonts w:eastAsia="Book Antiqua"/>
          <w:lang w:eastAsia="en-US"/>
        </w:rPr>
        <w:t>produce</w:t>
      </w:r>
      <w:r w:rsidRPr="003E76E7">
        <w:rPr>
          <w:rFonts w:eastAsia="Book Antiqua"/>
          <w:spacing w:val="-3"/>
          <w:lang w:eastAsia="en-US"/>
        </w:rPr>
        <w:t xml:space="preserve"> </w:t>
      </w:r>
      <w:r w:rsidRPr="003E76E7">
        <w:rPr>
          <w:rFonts w:eastAsia="Book Antiqua"/>
          <w:lang w:eastAsia="en-US"/>
        </w:rPr>
        <w:t>PB</w:t>
      </w:r>
      <w:r w:rsidRPr="003E76E7">
        <w:rPr>
          <w:rFonts w:eastAsia="Book Antiqua"/>
          <w:spacing w:val="-4"/>
          <w:lang w:eastAsia="en-US"/>
        </w:rPr>
        <w:t xml:space="preserve"> </w:t>
      </w:r>
      <w:r w:rsidRPr="003E76E7">
        <w:rPr>
          <w:rFonts w:eastAsia="Book Antiqua"/>
          <w:lang w:eastAsia="en-US"/>
        </w:rPr>
        <w:t>Statements</w:t>
      </w:r>
      <w:r w:rsidRPr="003E76E7">
        <w:rPr>
          <w:rFonts w:eastAsia="Book Antiqua"/>
          <w:spacing w:val="-2"/>
          <w:lang w:eastAsia="en-US"/>
        </w:rPr>
        <w:t xml:space="preserve"> </w:t>
      </w:r>
      <w:r w:rsidRPr="003E76E7">
        <w:rPr>
          <w:rFonts w:eastAsia="Book Antiqua"/>
          <w:lang w:eastAsia="en-US"/>
        </w:rPr>
        <w:t>where</w:t>
      </w:r>
      <w:r w:rsidRPr="003E76E7">
        <w:rPr>
          <w:rFonts w:eastAsia="Book Antiqua"/>
          <w:spacing w:val="-3"/>
          <w:lang w:eastAsia="en-US"/>
        </w:rPr>
        <w:t xml:space="preserve"> </w:t>
      </w:r>
      <w:r w:rsidRPr="003E76E7">
        <w:rPr>
          <w:rFonts w:eastAsia="Book Antiqua"/>
          <w:lang w:eastAsia="en-US"/>
        </w:rPr>
        <w:t>they</w:t>
      </w:r>
      <w:r w:rsidRPr="003E76E7">
        <w:rPr>
          <w:rFonts w:eastAsia="Book Antiqua"/>
          <w:spacing w:val="-3"/>
          <w:lang w:eastAsia="en-US"/>
        </w:rPr>
        <w:t xml:space="preserve"> </w:t>
      </w:r>
      <w:r w:rsidRPr="003E76E7">
        <w:rPr>
          <w:rFonts w:eastAsia="Book Antiqua"/>
          <w:lang w:eastAsia="en-US"/>
        </w:rPr>
        <w:t>receive</w:t>
      </w:r>
      <w:r w:rsidRPr="003E76E7">
        <w:rPr>
          <w:rFonts w:eastAsia="Book Antiqua"/>
          <w:spacing w:val="-3"/>
          <w:lang w:eastAsia="en-US"/>
        </w:rPr>
        <w:t xml:space="preserve"> </w:t>
      </w:r>
      <w:r w:rsidRPr="003E76E7">
        <w:rPr>
          <w:rFonts w:eastAsia="Book Antiqua"/>
          <w:lang w:eastAsia="en-US"/>
        </w:rPr>
        <w:t>funding (either directly or via portfolio departments) through the annual appropriation acts.</w:t>
      </w:r>
    </w:p>
    <w:p w14:paraId="24FBF799" w14:textId="77777777" w:rsidR="00CE4701" w:rsidRPr="003E76E7" w:rsidRDefault="00CE4701" w:rsidP="00C4292D">
      <w:pPr>
        <w:spacing w:before="120" w:after="120"/>
        <w:rPr>
          <w:rFonts w:ascii="Arial" w:hAnsi="Arial"/>
          <w:b/>
          <w:sz w:val="26"/>
          <w:szCs w:val="26"/>
        </w:rPr>
      </w:pPr>
      <w:r w:rsidRPr="003E76E7">
        <w:rPr>
          <w:rFonts w:ascii="Arial" w:hAnsi="Arial"/>
          <w:b/>
          <w:sz w:val="26"/>
          <w:szCs w:val="26"/>
        </w:rPr>
        <w:t>The Commonwealth Performance Framework</w:t>
      </w:r>
    </w:p>
    <w:p w14:paraId="71566B45" w14:textId="77777777" w:rsidR="00C429D7" w:rsidRPr="003E76E7" w:rsidRDefault="00C429D7" w:rsidP="00C4292D">
      <w:pPr>
        <w:spacing w:before="120" w:after="120"/>
      </w:pPr>
      <w:r w:rsidRPr="003E76E7">
        <w:t>The following diagram outlines the key components of the Commonwealth performance framework. The diagram identifies the content of each of the publications and the relationship between them. Links to the publications for each entity within the portfolio can be found in the introduct</w:t>
      </w:r>
      <w:r w:rsidR="0005360C" w:rsidRPr="003E76E7">
        <w:t>ion to Section 2: Outcomes and Planned P</w:t>
      </w:r>
      <w:r w:rsidRPr="003E76E7">
        <w:t>erformance.</w:t>
      </w:r>
    </w:p>
    <w:p w14:paraId="685A8C6A" w14:textId="2AF0608A" w:rsidR="00FB6212" w:rsidRPr="003E76E7" w:rsidRDefault="005F0DDA" w:rsidP="00C4292D">
      <w:pPr>
        <w:pStyle w:val="Heading3noTOC"/>
        <w:spacing w:before="0" w:after="60"/>
        <w:jc w:val="center"/>
      </w:pPr>
      <w:r w:rsidRPr="003E76E7">
        <w:rPr>
          <w:noProof/>
          <w:lang w:val="en-AU"/>
        </w:rPr>
        <w:br w:type="page"/>
      </w:r>
      <w:r w:rsidR="00FB6212" w:rsidRPr="003E76E7">
        <w:lastRenderedPageBreak/>
        <w:t xml:space="preserve">Commonwealth </w:t>
      </w:r>
      <w:r w:rsidR="000E448A" w:rsidRPr="003E76E7">
        <w:t>P</w:t>
      </w:r>
      <w:r w:rsidR="00FB6212" w:rsidRPr="003E76E7">
        <w:t xml:space="preserve">erformance </w:t>
      </w:r>
      <w:r w:rsidR="000E448A" w:rsidRPr="003E76E7">
        <w:t>F</w:t>
      </w:r>
      <w:r w:rsidR="00FB6212" w:rsidRPr="003E76E7">
        <w:t>ramework</w:t>
      </w:r>
    </w:p>
    <w:p w14:paraId="74C9B2F2" w14:textId="77777777" w:rsidR="00FB6212" w:rsidRPr="003E76E7" w:rsidRDefault="00FB6212" w:rsidP="00C4292D">
      <w:pPr>
        <w:pStyle w:val="Heading3noTOC"/>
        <w:spacing w:before="0"/>
        <w:jc w:val="center"/>
        <w:rPr>
          <w:b w:val="0"/>
          <w:bCs/>
        </w:rPr>
      </w:pPr>
      <w:r w:rsidRPr="003E76E7">
        <w:rPr>
          <w:b w:val="0"/>
          <w:bCs/>
        </w:rPr>
        <w:t>Key components of relevant publications</w:t>
      </w:r>
    </w:p>
    <w:p w14:paraId="78E2D217" w14:textId="77777777" w:rsidR="00FB6212" w:rsidRPr="003E76E7" w:rsidRDefault="00FB6212" w:rsidP="00C4292D">
      <w:pPr>
        <w:pStyle w:val="SingleParagraph"/>
      </w:pPr>
    </w:p>
    <w:p w14:paraId="6D53D543" w14:textId="08EA9989" w:rsidR="00FB6212" w:rsidRPr="003E76E7" w:rsidRDefault="00FB6212" w:rsidP="00C4292D">
      <w:pPr>
        <w:pStyle w:val="ChartGraphic"/>
      </w:pPr>
      <w:r w:rsidRPr="003E76E7">
        <w:rPr>
          <w:noProof/>
        </w:rPr>
        <w:drawing>
          <wp:inline distT="0" distB="0" distL="0" distR="0" wp14:anchorId="09D4B3C8" wp14:editId="4001AEF0">
            <wp:extent cx="4752000" cy="1452103"/>
            <wp:effectExtent l="0" t="0" r="0" b="0"/>
            <wp:docPr id="253528118" name="Graphic 1" descr="The Portfolio Budget Statements (PBS) link to the Commonwealth entity’s corporate plan through reporting key activities. Entities report on their actual performance results set out in both the PBS and corporate plan through their annual performance statements, included in the entity’s annua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528118" name="Graphic 1" descr="The Portfolio Budget Statements (PBS) link to the Commonwealth entity’s corporate plan through reporting key activities. Entities report on their actual performance results set out in both the PBS and corporate plan through their annual performance statements, included in the entity’s annual report."/>
                    <pic:cNvPicPr/>
                  </pic:nvPicPr>
                  <pic:blipFill>
                    <a:blip r:embed="rId27">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r:embed="rId35"/>
                        </a:ext>
                      </a:extLst>
                    </a:blip>
                    <a:stretch>
                      <a:fillRect/>
                    </a:stretch>
                  </pic:blipFill>
                  <pic:spPr>
                    <a:xfrm>
                      <a:off x="0" y="0"/>
                      <a:ext cx="4752000" cy="1452103"/>
                    </a:xfrm>
                    <a:prstGeom prst="rect">
                      <a:avLst/>
                    </a:prstGeom>
                  </pic:spPr>
                </pic:pic>
              </a:graphicData>
            </a:graphic>
          </wp:inline>
        </w:drawing>
      </w:r>
    </w:p>
    <w:p w14:paraId="4429701D" w14:textId="77777777" w:rsidR="00FB6212" w:rsidRPr="003E76E7" w:rsidRDefault="00FB6212" w:rsidP="00C4292D">
      <w:pPr>
        <w:pStyle w:val="SingleParagraph"/>
      </w:pPr>
    </w:p>
    <w:p w14:paraId="04BEDD48" w14:textId="77777777" w:rsidR="00FB6212" w:rsidRPr="003E76E7" w:rsidRDefault="00FB6212" w:rsidP="00C4292D">
      <w:pPr>
        <w:spacing w:before="0" w:after="0"/>
        <w:sectPr w:rsidR="00FB6212" w:rsidRPr="003E76E7" w:rsidSect="000E1A17">
          <w:headerReference w:type="even" r:id="rId36"/>
          <w:headerReference w:type="default" r:id="rId37"/>
          <w:footerReference w:type="even" r:id="rId38"/>
          <w:footerReference w:type="default" r:id="rId39"/>
          <w:pgSz w:w="11906" w:h="16838" w:code="9"/>
          <w:pgMar w:top="2835" w:right="2098" w:bottom="2466" w:left="2098" w:header="1134" w:footer="1009" w:gutter="0"/>
          <w:pgNumType w:fmt="lowerRoman"/>
          <w:cols w:space="708"/>
          <w:docGrid w:linePitch="360"/>
        </w:sectPr>
      </w:pPr>
    </w:p>
    <w:p w14:paraId="293BD758" w14:textId="77777777" w:rsidR="00FB6212" w:rsidRPr="003E76E7" w:rsidRDefault="00FB6212" w:rsidP="00C4292D">
      <w:pPr>
        <w:pStyle w:val="Heading4"/>
        <w:pBdr>
          <w:top w:val="single" w:sz="4" w:space="6" w:color="auto"/>
          <w:left w:val="single" w:sz="4" w:space="6" w:color="auto"/>
          <w:bottom w:val="single" w:sz="4" w:space="6" w:color="auto"/>
          <w:right w:val="single" w:sz="4" w:space="6" w:color="auto"/>
        </w:pBdr>
        <w:spacing w:after="60"/>
      </w:pPr>
      <w:bookmarkStart w:id="303" w:name="_Toc225847652"/>
      <w:bookmarkStart w:id="304" w:name="_Toc225847967"/>
      <w:bookmarkStart w:id="305" w:name="_Toc225848050"/>
      <w:bookmarkStart w:id="306" w:name="_Toc225848133"/>
      <w:bookmarkStart w:id="307" w:name="_Toc225848472"/>
      <w:bookmarkStart w:id="308" w:name="_Toc225941539"/>
      <w:bookmarkStart w:id="309" w:name="_Toc225942546"/>
      <w:bookmarkStart w:id="310" w:name="_Toc226703419"/>
      <w:bookmarkStart w:id="311" w:name="_Toc226983919"/>
      <w:bookmarkStart w:id="312" w:name="_Toc226984104"/>
      <w:bookmarkStart w:id="313" w:name="_Toc227334356"/>
      <w:bookmarkStart w:id="314" w:name="_Toc228547632"/>
      <w:bookmarkStart w:id="315" w:name="_Toc228988939"/>
      <w:bookmarkStart w:id="316" w:name="_Toc229072430"/>
      <w:bookmarkStart w:id="317" w:name="_Toc229072602"/>
      <w:r w:rsidRPr="003E76E7">
        <w:t>Portfolio Budget Statements</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p>
    <w:p w14:paraId="77C109AE" w14:textId="2140AAF0" w:rsidR="00FB6212" w:rsidRPr="003E76E7" w:rsidRDefault="00FB6212" w:rsidP="00C4292D">
      <w:pPr>
        <w:pBdr>
          <w:top w:val="single" w:sz="4" w:space="6" w:color="auto"/>
          <w:left w:val="single" w:sz="4" w:space="6" w:color="auto"/>
          <w:bottom w:val="single" w:sz="4" w:space="6" w:color="auto"/>
          <w:right w:val="single" w:sz="4" w:space="6" w:color="auto"/>
        </w:pBdr>
        <w:spacing w:before="0" w:after="120"/>
        <w:rPr>
          <w:rFonts w:ascii="Arial" w:hAnsi="Arial"/>
          <w:szCs w:val="22"/>
        </w:rPr>
      </w:pPr>
      <w:r w:rsidRPr="003E76E7">
        <w:rPr>
          <w:rFonts w:ascii="Arial" w:hAnsi="Arial"/>
          <w:szCs w:val="22"/>
        </w:rPr>
        <w:t>(</w:t>
      </w:r>
      <w:r w:rsidR="00F04E52" w:rsidRPr="003E76E7">
        <w:rPr>
          <w:rFonts w:ascii="Arial" w:hAnsi="Arial"/>
          <w:szCs w:val="22"/>
        </w:rPr>
        <w:t>Typically</w:t>
      </w:r>
      <w:r w:rsidRPr="003E76E7">
        <w:rPr>
          <w:rFonts w:ascii="Arial" w:hAnsi="Arial"/>
          <w:szCs w:val="22"/>
        </w:rPr>
        <w:t xml:space="preserve"> in May) Portfolio based</w:t>
      </w:r>
    </w:p>
    <w:p w14:paraId="439D59B0" w14:textId="77777777" w:rsidR="00FB6212" w:rsidRPr="003E76E7" w:rsidRDefault="00FB6212" w:rsidP="00C4292D">
      <w:pPr>
        <w:pBdr>
          <w:top w:val="single" w:sz="4" w:space="6" w:color="auto"/>
          <w:left w:val="single" w:sz="4" w:space="6" w:color="auto"/>
          <w:bottom w:val="single" w:sz="4" w:space="6" w:color="auto"/>
          <w:right w:val="single" w:sz="4" w:space="6" w:color="auto"/>
        </w:pBdr>
        <w:spacing w:after="120"/>
        <w:rPr>
          <w:rFonts w:ascii="Arial" w:hAnsi="Arial"/>
          <w:sz w:val="18"/>
          <w:szCs w:val="18"/>
        </w:rPr>
      </w:pPr>
      <w:r w:rsidRPr="003E76E7">
        <w:rPr>
          <w:rFonts w:ascii="Arial" w:hAnsi="Arial"/>
          <w:sz w:val="18"/>
          <w:szCs w:val="18"/>
        </w:rPr>
        <w:t>Supports Annual Appropriations. Informs senators and members of parliament of the proposed allocations of other resources to government outcomes and programs.</w:t>
      </w:r>
    </w:p>
    <w:p w14:paraId="068689FC" w14:textId="77777777" w:rsidR="00FB6212" w:rsidRPr="003E76E7" w:rsidRDefault="00FB6212" w:rsidP="00C4292D">
      <w:pPr>
        <w:pBdr>
          <w:top w:val="single" w:sz="4" w:space="6" w:color="auto"/>
          <w:left w:val="single" w:sz="4" w:space="6" w:color="auto"/>
          <w:bottom w:val="single" w:sz="4" w:space="6" w:color="auto"/>
          <w:right w:val="single" w:sz="4" w:space="6" w:color="auto"/>
        </w:pBdr>
        <w:spacing w:before="120" w:after="120"/>
        <w:rPr>
          <w:rFonts w:ascii="Arial" w:hAnsi="Arial"/>
          <w:sz w:val="18"/>
          <w:szCs w:val="18"/>
        </w:rPr>
      </w:pPr>
      <w:r w:rsidRPr="003E76E7">
        <w:rPr>
          <w:rFonts w:ascii="Arial" w:hAnsi="Arial"/>
          <w:sz w:val="18"/>
          <w:szCs w:val="18"/>
        </w:rPr>
        <w:t>Provides links to relevant programs undertaken by other Commonwealth entities.</w:t>
      </w:r>
    </w:p>
    <w:p w14:paraId="7268423D" w14:textId="77777777" w:rsidR="00FB6212" w:rsidRPr="003E76E7" w:rsidRDefault="00FB6212" w:rsidP="00C4292D">
      <w:pPr>
        <w:pBdr>
          <w:top w:val="single" w:sz="4" w:space="6" w:color="auto"/>
          <w:left w:val="single" w:sz="4" w:space="6" w:color="auto"/>
          <w:bottom w:val="single" w:sz="4" w:space="6" w:color="auto"/>
          <w:right w:val="single" w:sz="4" w:space="6" w:color="auto"/>
        </w:pBdr>
        <w:spacing w:before="120" w:after="120"/>
        <w:rPr>
          <w:rFonts w:ascii="Arial" w:hAnsi="Arial"/>
          <w:spacing w:val="-2"/>
          <w:sz w:val="18"/>
          <w:szCs w:val="18"/>
        </w:rPr>
      </w:pPr>
      <w:r w:rsidRPr="003E76E7">
        <w:rPr>
          <w:rFonts w:ascii="Arial" w:hAnsi="Arial"/>
          <w:spacing w:val="-2"/>
          <w:sz w:val="18"/>
          <w:szCs w:val="18"/>
        </w:rPr>
        <w:t>Provides high-level performance information for current, ongoing programs.</w:t>
      </w:r>
    </w:p>
    <w:p w14:paraId="24C2191F" w14:textId="181ED416" w:rsidR="00FB6212" w:rsidRPr="003E76E7" w:rsidRDefault="00FB6212" w:rsidP="00C4292D">
      <w:pPr>
        <w:pBdr>
          <w:top w:val="single" w:sz="4" w:space="6" w:color="auto"/>
          <w:left w:val="single" w:sz="4" w:space="6" w:color="auto"/>
          <w:bottom w:val="single" w:sz="4" w:space="6" w:color="auto"/>
          <w:right w:val="single" w:sz="4" w:space="6" w:color="auto"/>
        </w:pBdr>
        <w:spacing w:before="120" w:after="120"/>
        <w:rPr>
          <w:rFonts w:ascii="Arial" w:hAnsi="Arial"/>
          <w:sz w:val="18"/>
          <w:szCs w:val="18"/>
        </w:rPr>
      </w:pPr>
      <w:r w:rsidRPr="003E76E7">
        <w:rPr>
          <w:rFonts w:ascii="Arial" w:hAnsi="Arial"/>
          <w:sz w:val="18"/>
          <w:szCs w:val="18"/>
        </w:rPr>
        <w:t xml:space="preserve">Provides detailed performance </w:t>
      </w:r>
      <w:r w:rsidR="003C1DFC" w:rsidRPr="003E76E7">
        <w:rPr>
          <w:rFonts w:ascii="Arial" w:hAnsi="Arial"/>
          <w:sz w:val="18"/>
          <w:szCs w:val="18"/>
        </w:rPr>
        <w:t>information for proposed new Budget M</w:t>
      </w:r>
      <w:r w:rsidRPr="003E76E7">
        <w:rPr>
          <w:rFonts w:ascii="Arial" w:hAnsi="Arial"/>
          <w:sz w:val="18"/>
          <w:szCs w:val="18"/>
        </w:rPr>
        <w:t>easures that require a new program or significantly change an existing program.</w:t>
      </w:r>
    </w:p>
    <w:p w14:paraId="454A7096" w14:textId="58ABB9C9" w:rsidR="00FB6212" w:rsidRPr="003E76E7" w:rsidRDefault="00FB6212" w:rsidP="00C4292D">
      <w:pPr>
        <w:pBdr>
          <w:top w:val="single" w:sz="4" w:space="6" w:color="auto"/>
          <w:left w:val="single" w:sz="4" w:space="6" w:color="auto"/>
          <w:bottom w:val="single" w:sz="4" w:space="6" w:color="auto"/>
          <w:right w:val="single" w:sz="4" w:space="6" w:color="auto"/>
        </w:pBdr>
        <w:spacing w:before="120" w:after="0"/>
        <w:rPr>
          <w:rFonts w:ascii="Arial" w:hAnsi="Arial"/>
          <w:sz w:val="18"/>
          <w:szCs w:val="18"/>
        </w:rPr>
      </w:pPr>
      <w:r w:rsidRPr="003E76E7">
        <w:rPr>
          <w:rFonts w:ascii="Arial" w:hAnsi="Arial"/>
          <w:sz w:val="18"/>
          <w:szCs w:val="18"/>
        </w:rPr>
        <w:t>Links to the corporate plan through reporting</w:t>
      </w:r>
      <w:r w:rsidR="000E448A" w:rsidRPr="003E76E7">
        <w:rPr>
          <w:rFonts w:ascii="Arial" w:hAnsi="Arial"/>
          <w:sz w:val="18"/>
          <w:szCs w:val="18"/>
        </w:rPr>
        <w:t xml:space="preserve"> </w:t>
      </w:r>
      <w:r w:rsidRPr="003E76E7">
        <w:rPr>
          <w:rFonts w:ascii="Arial" w:hAnsi="Arial"/>
          <w:sz w:val="18"/>
          <w:szCs w:val="18"/>
        </w:rPr>
        <w:t>key activities.</w:t>
      </w:r>
    </w:p>
    <w:p w14:paraId="1FBFF71E" w14:textId="41FC2A8B" w:rsidR="00FB6212" w:rsidRPr="003E76E7" w:rsidRDefault="00FB6212" w:rsidP="00C4292D">
      <w:pPr>
        <w:pStyle w:val="Heading4"/>
        <w:pBdr>
          <w:top w:val="single" w:sz="4" w:space="6" w:color="auto"/>
          <w:left w:val="single" w:sz="4" w:space="6" w:color="auto"/>
          <w:bottom w:val="single" w:sz="4" w:space="6" w:color="auto"/>
          <w:right w:val="single" w:sz="4" w:space="6" w:color="auto"/>
        </w:pBdr>
        <w:spacing w:after="60"/>
      </w:pPr>
      <w:bookmarkStart w:id="318" w:name="_Toc225847653"/>
      <w:bookmarkStart w:id="319" w:name="_Toc225847968"/>
      <w:bookmarkStart w:id="320" w:name="_Toc225848051"/>
      <w:bookmarkStart w:id="321" w:name="_Toc225848134"/>
      <w:bookmarkStart w:id="322" w:name="_Toc225848473"/>
      <w:bookmarkStart w:id="323" w:name="_Toc225941540"/>
      <w:bookmarkStart w:id="324" w:name="_Toc225942547"/>
      <w:bookmarkStart w:id="325" w:name="_Toc226703420"/>
      <w:bookmarkStart w:id="326" w:name="_Toc226983920"/>
      <w:bookmarkStart w:id="327" w:name="_Toc226984105"/>
      <w:bookmarkStart w:id="328" w:name="_Toc227334357"/>
      <w:bookmarkStart w:id="329" w:name="_Toc228547633"/>
      <w:bookmarkStart w:id="330" w:name="_Toc228988940"/>
      <w:bookmarkStart w:id="331" w:name="_Toc229072431"/>
      <w:bookmarkStart w:id="332" w:name="_Toc229072603"/>
      <w:r w:rsidRPr="003E76E7">
        <w:t>Corporate</w:t>
      </w:r>
      <w:r w:rsidR="00F04E52" w:rsidRPr="003E76E7">
        <w:t xml:space="preserve"> P</w:t>
      </w:r>
      <w:r w:rsidRPr="003E76E7">
        <w:t>lan</w:t>
      </w:r>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p w14:paraId="2277F000" w14:textId="77777777" w:rsidR="00FB6212" w:rsidRPr="003E76E7" w:rsidRDefault="00FB6212" w:rsidP="009C6384">
      <w:pPr>
        <w:pBdr>
          <w:top w:val="single" w:sz="4" w:space="6" w:color="auto"/>
          <w:left w:val="single" w:sz="4" w:space="6" w:color="auto"/>
          <w:bottom w:val="single" w:sz="4" w:space="6" w:color="auto"/>
          <w:right w:val="single" w:sz="4" w:space="6" w:color="auto"/>
        </w:pBdr>
        <w:spacing w:before="0" w:after="120"/>
        <w:rPr>
          <w:rFonts w:ascii="Arial" w:hAnsi="Arial"/>
          <w:szCs w:val="22"/>
        </w:rPr>
      </w:pPr>
      <w:r w:rsidRPr="003E76E7">
        <w:rPr>
          <w:rFonts w:ascii="Arial" w:hAnsi="Arial"/>
          <w:szCs w:val="22"/>
        </w:rPr>
        <w:t>(by 31 August) Entity based</w:t>
      </w:r>
    </w:p>
    <w:p w14:paraId="6E3EE905" w14:textId="77777777" w:rsidR="00FB6212" w:rsidRPr="003E76E7" w:rsidRDefault="00FB6212" w:rsidP="00C4292D">
      <w:pPr>
        <w:pBdr>
          <w:top w:val="single" w:sz="4" w:space="6" w:color="auto"/>
          <w:left w:val="single" w:sz="4" w:space="6" w:color="auto"/>
          <w:bottom w:val="single" w:sz="4" w:space="6" w:color="auto"/>
          <w:right w:val="single" w:sz="4" w:space="6" w:color="auto"/>
        </w:pBdr>
        <w:spacing w:after="120"/>
        <w:rPr>
          <w:rFonts w:ascii="Arial" w:hAnsi="Arial"/>
          <w:sz w:val="18"/>
          <w:szCs w:val="18"/>
        </w:rPr>
      </w:pPr>
      <w:r w:rsidRPr="003E76E7">
        <w:rPr>
          <w:rFonts w:ascii="Arial" w:hAnsi="Arial"/>
          <w:sz w:val="18"/>
          <w:szCs w:val="18"/>
        </w:rPr>
        <w:t>Primary planning document of a Commonwealth entity.</w:t>
      </w:r>
    </w:p>
    <w:p w14:paraId="7E7E476B" w14:textId="77777777" w:rsidR="00FB6212" w:rsidRPr="003E76E7" w:rsidRDefault="00FB6212" w:rsidP="00C4292D">
      <w:pPr>
        <w:pBdr>
          <w:top w:val="single" w:sz="4" w:space="6" w:color="auto"/>
          <w:left w:val="single" w:sz="4" w:space="6" w:color="auto"/>
          <w:bottom w:val="single" w:sz="4" w:space="6" w:color="auto"/>
          <w:right w:val="single" w:sz="4" w:space="6" w:color="auto"/>
        </w:pBdr>
        <w:spacing w:before="120" w:after="120"/>
        <w:rPr>
          <w:rFonts w:ascii="Arial" w:hAnsi="Arial"/>
          <w:sz w:val="18"/>
          <w:szCs w:val="18"/>
        </w:rPr>
      </w:pPr>
      <w:r w:rsidRPr="003E76E7">
        <w:rPr>
          <w:rFonts w:ascii="Arial" w:hAnsi="Arial"/>
          <w:sz w:val="18"/>
          <w:szCs w:val="18"/>
        </w:rPr>
        <w:t>Sets out the purposes of the entity and the key activities it will undertake to achieve its purposes</w:t>
      </w:r>
      <w:r w:rsidRPr="003E76E7">
        <w:rPr>
          <w:rFonts w:ascii="Arial" w:hAnsi="Arial"/>
          <w:b/>
          <w:bCs/>
          <w:sz w:val="18"/>
          <w:szCs w:val="18"/>
        </w:rPr>
        <w:t>,</w:t>
      </w:r>
      <w:r w:rsidRPr="003E76E7">
        <w:rPr>
          <w:rFonts w:ascii="Arial" w:hAnsi="Arial"/>
          <w:sz w:val="18"/>
          <w:szCs w:val="18"/>
        </w:rPr>
        <w:t xml:space="preserve"> over a minimum 4</w:t>
      </w:r>
      <w:r w:rsidRPr="003E76E7">
        <w:rPr>
          <w:rFonts w:ascii="Arial" w:hAnsi="Arial"/>
          <w:sz w:val="18"/>
          <w:szCs w:val="18"/>
        </w:rPr>
        <w:noBreakHyphen/>
        <w:t>year period.</w:t>
      </w:r>
    </w:p>
    <w:p w14:paraId="4D86D592" w14:textId="77777777" w:rsidR="00FB6212" w:rsidRPr="003E76E7" w:rsidRDefault="00FB6212" w:rsidP="00C4292D">
      <w:pPr>
        <w:pBdr>
          <w:top w:val="single" w:sz="4" w:space="6" w:color="auto"/>
          <w:left w:val="single" w:sz="4" w:space="6" w:color="auto"/>
          <w:bottom w:val="single" w:sz="4" w:space="6" w:color="auto"/>
          <w:right w:val="single" w:sz="4" w:space="6" w:color="auto"/>
        </w:pBdr>
        <w:spacing w:before="120" w:after="120"/>
        <w:rPr>
          <w:rFonts w:ascii="Arial" w:hAnsi="Arial"/>
          <w:sz w:val="18"/>
          <w:szCs w:val="18"/>
        </w:rPr>
      </w:pPr>
      <w:r w:rsidRPr="003E76E7">
        <w:rPr>
          <w:rFonts w:ascii="Arial" w:hAnsi="Arial"/>
          <w:sz w:val="18"/>
          <w:szCs w:val="18"/>
        </w:rPr>
        <w:t>Describes the environment in which the entity operates, the capability it requires to undertake its key activities, its risk oversight and management systems including key risks and how those are managed, and how it will cooperate with others, including any subsidiaries, to achieve its purposes.</w:t>
      </w:r>
    </w:p>
    <w:p w14:paraId="48BC2C10" w14:textId="77777777" w:rsidR="00FB6212" w:rsidRPr="003E76E7" w:rsidRDefault="00FB6212" w:rsidP="00C4292D">
      <w:pPr>
        <w:pBdr>
          <w:top w:val="single" w:sz="4" w:space="6" w:color="auto"/>
          <w:left w:val="single" w:sz="4" w:space="6" w:color="auto"/>
          <w:bottom w:val="single" w:sz="4" w:space="6" w:color="auto"/>
          <w:right w:val="single" w:sz="4" w:space="6" w:color="auto"/>
        </w:pBdr>
        <w:spacing w:before="120" w:after="0"/>
        <w:rPr>
          <w:rFonts w:ascii="Arial" w:hAnsi="Arial"/>
          <w:sz w:val="18"/>
          <w:szCs w:val="18"/>
        </w:rPr>
      </w:pPr>
      <w:r w:rsidRPr="003E76E7">
        <w:rPr>
          <w:rFonts w:ascii="Arial" w:hAnsi="Arial"/>
          <w:sz w:val="18"/>
          <w:szCs w:val="18"/>
        </w:rPr>
        <w:t>Explains how the entity’s performance will be measured and assessed.</w:t>
      </w:r>
    </w:p>
    <w:p w14:paraId="75F33C79" w14:textId="77777777" w:rsidR="00FB6212" w:rsidRPr="003E76E7" w:rsidRDefault="00FB6212" w:rsidP="00C4292D">
      <w:pPr>
        <w:spacing w:before="0" w:after="0"/>
      </w:pPr>
    </w:p>
    <w:p w14:paraId="0F63E5EC" w14:textId="77777777" w:rsidR="00FB6212" w:rsidRPr="003E76E7" w:rsidRDefault="00FB6212" w:rsidP="00C4292D">
      <w:pPr>
        <w:pStyle w:val="SingleParagraph"/>
        <w:sectPr w:rsidR="00FB6212" w:rsidRPr="003E76E7" w:rsidSect="00CF10DD">
          <w:type w:val="continuous"/>
          <w:pgSz w:w="11906" w:h="16838" w:code="9"/>
          <w:pgMar w:top="2835" w:right="2098" w:bottom="2466" w:left="2098" w:header="1814" w:footer="1814" w:gutter="0"/>
          <w:cols w:num="2" w:space="566"/>
          <w:docGrid w:linePitch="360"/>
        </w:sectPr>
      </w:pPr>
    </w:p>
    <w:p w14:paraId="06783ADF" w14:textId="5B705E30" w:rsidR="00FB6212" w:rsidRPr="003E76E7" w:rsidRDefault="00F04E52" w:rsidP="00C4292D">
      <w:pPr>
        <w:pStyle w:val="Heading4"/>
        <w:pBdr>
          <w:top w:val="single" w:sz="4" w:space="6" w:color="auto"/>
          <w:left w:val="single" w:sz="4" w:space="6" w:color="auto"/>
          <w:bottom w:val="single" w:sz="4" w:space="6" w:color="auto"/>
          <w:right w:val="single" w:sz="4" w:space="6" w:color="auto"/>
        </w:pBdr>
        <w:spacing w:before="0" w:after="60"/>
      </w:pPr>
      <w:bookmarkStart w:id="333" w:name="_Toc225847654"/>
      <w:bookmarkStart w:id="334" w:name="_Toc225847969"/>
      <w:bookmarkStart w:id="335" w:name="_Toc225848052"/>
      <w:bookmarkStart w:id="336" w:name="_Toc225848135"/>
      <w:bookmarkStart w:id="337" w:name="_Toc225848474"/>
      <w:bookmarkStart w:id="338" w:name="_Toc225941541"/>
      <w:bookmarkStart w:id="339" w:name="_Toc225942548"/>
      <w:bookmarkStart w:id="340" w:name="_Toc226703421"/>
      <w:bookmarkStart w:id="341" w:name="_Toc226983921"/>
      <w:bookmarkStart w:id="342" w:name="_Toc226984106"/>
      <w:bookmarkStart w:id="343" w:name="_Toc227334358"/>
      <w:bookmarkStart w:id="344" w:name="_Toc228547634"/>
      <w:bookmarkStart w:id="345" w:name="_Toc228988941"/>
      <w:bookmarkStart w:id="346" w:name="_Toc229072432"/>
      <w:bookmarkStart w:id="347" w:name="_Toc229072604"/>
      <w:r w:rsidRPr="003E76E7">
        <w:t>Annual Performance S</w:t>
      </w:r>
      <w:r w:rsidR="00FB6212" w:rsidRPr="003E76E7">
        <w:t>tatements</w:t>
      </w:r>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p>
    <w:p w14:paraId="4D772FF6" w14:textId="77777777" w:rsidR="00FB6212" w:rsidRPr="003E76E7" w:rsidRDefault="00FB6212" w:rsidP="00C4292D">
      <w:pPr>
        <w:pBdr>
          <w:top w:val="single" w:sz="4" w:space="6" w:color="auto"/>
          <w:left w:val="single" w:sz="4" w:space="6" w:color="auto"/>
          <w:bottom w:val="single" w:sz="4" w:space="6" w:color="auto"/>
          <w:right w:val="single" w:sz="4" w:space="6" w:color="auto"/>
        </w:pBdr>
        <w:spacing w:before="0" w:after="120"/>
        <w:rPr>
          <w:rFonts w:ascii="Arial" w:hAnsi="Arial"/>
          <w:szCs w:val="22"/>
        </w:rPr>
      </w:pPr>
      <w:r w:rsidRPr="003E76E7">
        <w:rPr>
          <w:rFonts w:ascii="Arial" w:hAnsi="Arial"/>
          <w:szCs w:val="22"/>
        </w:rPr>
        <w:t>(October in the following year) Entity based</w:t>
      </w:r>
    </w:p>
    <w:p w14:paraId="7077DDFC" w14:textId="77777777" w:rsidR="00FB6212" w:rsidRPr="003E76E7" w:rsidRDefault="00FB6212" w:rsidP="00C4292D">
      <w:pPr>
        <w:pBdr>
          <w:top w:val="single" w:sz="4" w:space="6" w:color="auto"/>
          <w:left w:val="single" w:sz="4" w:space="6" w:color="auto"/>
          <w:bottom w:val="single" w:sz="4" w:space="6" w:color="auto"/>
          <w:right w:val="single" w:sz="4" w:space="6" w:color="auto"/>
        </w:pBdr>
        <w:spacing w:before="0" w:after="120"/>
        <w:rPr>
          <w:rFonts w:ascii="Arial" w:hAnsi="Arial"/>
          <w:sz w:val="18"/>
          <w:szCs w:val="18"/>
        </w:rPr>
      </w:pPr>
      <w:r w:rsidRPr="003E76E7">
        <w:rPr>
          <w:rFonts w:ascii="Arial" w:hAnsi="Arial"/>
          <w:sz w:val="18"/>
          <w:szCs w:val="18"/>
        </w:rPr>
        <w:t>Included in the Commonwealth entity’s annual report.</w:t>
      </w:r>
    </w:p>
    <w:p w14:paraId="418C02C9" w14:textId="77777777" w:rsidR="00FB6212" w:rsidRPr="003E76E7" w:rsidRDefault="00FB6212" w:rsidP="00C4292D">
      <w:pPr>
        <w:pBdr>
          <w:top w:val="single" w:sz="4" w:space="6" w:color="auto"/>
          <w:left w:val="single" w:sz="4" w:space="6" w:color="auto"/>
          <w:bottom w:val="single" w:sz="4" w:space="6" w:color="auto"/>
          <w:right w:val="single" w:sz="4" w:space="6" w:color="auto"/>
        </w:pBdr>
        <w:spacing w:before="0" w:after="120"/>
        <w:rPr>
          <w:rFonts w:ascii="Arial" w:hAnsi="Arial"/>
          <w:sz w:val="18"/>
          <w:szCs w:val="18"/>
        </w:rPr>
      </w:pPr>
      <w:r w:rsidRPr="003E76E7">
        <w:rPr>
          <w:rFonts w:ascii="Arial" w:hAnsi="Arial"/>
          <w:sz w:val="18"/>
          <w:szCs w:val="18"/>
        </w:rPr>
        <w:t>Reports on the actual performance results for the reporting year as set out in the corporate plan and Portfolio Budget Statements.</w:t>
      </w:r>
    </w:p>
    <w:p w14:paraId="3353A4C6" w14:textId="77777777" w:rsidR="00FB6212" w:rsidRPr="003E76E7" w:rsidRDefault="00FB6212" w:rsidP="00C4292D">
      <w:pPr>
        <w:pBdr>
          <w:top w:val="single" w:sz="4" w:space="6" w:color="auto"/>
          <w:left w:val="single" w:sz="4" w:space="6" w:color="auto"/>
          <w:bottom w:val="single" w:sz="4" w:space="6" w:color="auto"/>
          <w:right w:val="single" w:sz="4" w:space="6" w:color="auto"/>
        </w:pBdr>
        <w:spacing w:before="0" w:after="120"/>
        <w:rPr>
          <w:rFonts w:ascii="Arial" w:hAnsi="Arial"/>
          <w:sz w:val="18"/>
          <w:szCs w:val="18"/>
        </w:rPr>
      </w:pPr>
      <w:r w:rsidRPr="003E76E7">
        <w:rPr>
          <w:rFonts w:ascii="Arial" w:hAnsi="Arial"/>
          <w:sz w:val="18"/>
          <w:szCs w:val="18"/>
        </w:rPr>
        <w:t>Provides an analysis of the factors that may have contributed to the entity’s performance results.</w:t>
      </w:r>
    </w:p>
    <w:p w14:paraId="2AE50BE9" w14:textId="77777777" w:rsidR="00FB6212" w:rsidRPr="003E76E7" w:rsidRDefault="00FB6212" w:rsidP="00C4292D">
      <w:pPr>
        <w:pStyle w:val="SingleParagraph"/>
      </w:pPr>
    </w:p>
    <w:p w14:paraId="3006A42A" w14:textId="77777777" w:rsidR="00FB6212" w:rsidRPr="003E76E7" w:rsidRDefault="00FB6212" w:rsidP="00C4292D">
      <w:pPr>
        <w:sectPr w:rsidR="00FB6212" w:rsidRPr="003E76E7" w:rsidSect="00CF10DD">
          <w:headerReference w:type="even" r:id="rId40"/>
          <w:headerReference w:type="default" r:id="rId41"/>
          <w:footerReference w:type="even" r:id="rId42"/>
          <w:footerReference w:type="default" r:id="rId43"/>
          <w:headerReference w:type="first" r:id="rId44"/>
          <w:footerReference w:type="first" r:id="rId45"/>
          <w:type w:val="continuous"/>
          <w:pgSz w:w="11906" w:h="16838" w:code="9"/>
          <w:pgMar w:top="2835" w:right="2098" w:bottom="2466" w:left="2098" w:header="1814" w:footer="1814" w:gutter="0"/>
          <w:pgNumType w:fmt="lowerRoman"/>
          <w:cols w:space="708"/>
          <w:titlePg/>
          <w:docGrid w:linePitch="360"/>
        </w:sectPr>
      </w:pPr>
    </w:p>
    <w:p w14:paraId="65734898" w14:textId="36085F32" w:rsidR="00CF10DD" w:rsidRPr="003E76E7" w:rsidRDefault="001024BD" w:rsidP="00C4292D">
      <w:pPr>
        <w:pStyle w:val="Heading1"/>
        <w:jc w:val="left"/>
      </w:pPr>
      <w:bookmarkStart w:id="349" w:name="_Toc51689728"/>
      <w:bookmarkStart w:id="350" w:name="_Toc51689826"/>
      <w:bookmarkStart w:id="351" w:name="_Toc51690294"/>
      <w:bookmarkStart w:id="352" w:name="_Toc51690406"/>
      <w:bookmarkStart w:id="353" w:name="_Toc51690634"/>
      <w:bookmarkStart w:id="354" w:name="_Toc51690772"/>
      <w:bookmarkStart w:id="355" w:name="_Toc51690901"/>
      <w:bookmarkStart w:id="356" w:name="_Toc51691144"/>
      <w:bookmarkStart w:id="357" w:name="_Toc51691347"/>
      <w:bookmarkStart w:id="358" w:name="_Toc51691664"/>
      <w:bookmarkStart w:id="359" w:name="_Toc65150728"/>
      <w:bookmarkStart w:id="360" w:name="_Toc69729033"/>
      <w:bookmarkStart w:id="361" w:name="_Toc69913608"/>
      <w:bookmarkStart w:id="362" w:name="_Toc69917827"/>
      <w:bookmarkStart w:id="363" w:name="_Toc97747816"/>
      <w:bookmarkStart w:id="364" w:name="_Toc97809649"/>
      <w:bookmarkStart w:id="365" w:name="_Toc108088927"/>
      <w:bookmarkStart w:id="366" w:name="_Toc108089006"/>
      <w:bookmarkStart w:id="367" w:name="_Toc108089401"/>
      <w:bookmarkStart w:id="368" w:name="_Toc108089681"/>
      <w:bookmarkStart w:id="369" w:name="_Toc109227286"/>
      <w:bookmarkStart w:id="370" w:name="_Toc109227723"/>
      <w:bookmarkStart w:id="371" w:name="_Toc158896239"/>
      <w:bookmarkStart w:id="372" w:name="_Toc158896296"/>
      <w:bookmarkStart w:id="373" w:name="_Toc159499670"/>
      <w:bookmarkStart w:id="374" w:name="_Toc159499956"/>
      <w:bookmarkStart w:id="375" w:name="_Toc159857667"/>
      <w:bookmarkStart w:id="376" w:name="_Toc159857746"/>
      <w:bookmarkStart w:id="377" w:name="_Toc159858142"/>
      <w:bookmarkStart w:id="378" w:name="_Toc159858413"/>
      <w:bookmarkStart w:id="379" w:name="_Toc159858807"/>
      <w:bookmarkStart w:id="380" w:name="_Toc159858877"/>
      <w:bookmarkStart w:id="381" w:name="_Toc159859087"/>
      <w:bookmarkStart w:id="382" w:name="_Toc159859239"/>
      <w:bookmarkStart w:id="383" w:name="_Toc159862277"/>
      <w:bookmarkStart w:id="384" w:name="_Toc159862467"/>
      <w:bookmarkStart w:id="385" w:name="_Toc221786171"/>
      <w:bookmarkStart w:id="386" w:name="_Toc221889195"/>
      <w:bookmarkStart w:id="387" w:name="_Toc222126874"/>
      <w:bookmarkStart w:id="388" w:name="_Toc222129911"/>
      <w:bookmarkStart w:id="389" w:name="_Toc222130001"/>
      <w:bookmarkStart w:id="390" w:name="_Toc222131120"/>
      <w:bookmarkStart w:id="391" w:name="_Toc222134745"/>
      <w:bookmarkStart w:id="392" w:name="_Toc222134826"/>
      <w:bookmarkStart w:id="393" w:name="_Toc222148341"/>
      <w:bookmarkStart w:id="394" w:name="_Toc228547635"/>
      <w:bookmarkStart w:id="395" w:name="_Toc228988942"/>
      <w:bookmarkStart w:id="396" w:name="_Toc229072433"/>
      <w:bookmarkStart w:id="397" w:name="_Toc229072605"/>
      <w:r w:rsidRPr="003E76E7">
        <w:rPr>
          <w:smallCaps w:val="0"/>
        </w:rPr>
        <w:lastRenderedPageBreak/>
        <w:t>CONTENT</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r w:rsidRPr="003E76E7">
        <w:rPr>
          <w:smallCaps w:val="0"/>
        </w:rPr>
        <w:t>S</w:t>
      </w:r>
      <w:bookmarkEnd w:id="390"/>
      <w:bookmarkEnd w:id="391"/>
      <w:bookmarkEnd w:id="392"/>
      <w:bookmarkEnd w:id="393"/>
      <w:bookmarkEnd w:id="394"/>
      <w:bookmarkEnd w:id="395"/>
      <w:bookmarkEnd w:id="396"/>
      <w:bookmarkEnd w:id="397"/>
    </w:p>
    <w:p w14:paraId="2F6B784D" w14:textId="5B4E9B99" w:rsidR="00217180" w:rsidRDefault="002C433D">
      <w:pPr>
        <w:pStyle w:val="TOC2"/>
        <w:rPr>
          <w:rFonts w:asciiTheme="minorHAnsi" w:eastAsiaTheme="minorEastAsia" w:hAnsiTheme="minorHAnsi" w:cstheme="minorBidi"/>
          <w:b w:val="0"/>
          <w:caps w:val="0"/>
          <w:sz w:val="22"/>
          <w:szCs w:val="22"/>
          <w:lang w:val="en-AU"/>
        </w:rPr>
      </w:pPr>
      <w:r w:rsidRPr="003E76E7">
        <w:rPr>
          <w:rFonts w:ascii="Arial" w:hAnsi="Arial"/>
          <w:bCs/>
          <w:smallCaps/>
          <w:noProof w:val="0"/>
          <w:kern w:val="32"/>
          <w:sz w:val="34"/>
          <w:szCs w:val="32"/>
        </w:rPr>
        <w:fldChar w:fldCharType="begin"/>
      </w:r>
      <w:r w:rsidRPr="003E76E7">
        <w:rPr>
          <w:rFonts w:ascii="Arial" w:hAnsi="Arial"/>
        </w:rPr>
        <w:instrText xml:space="preserve"> TOC \o "1-4" \h \z \u </w:instrText>
      </w:r>
      <w:r w:rsidRPr="003E76E7">
        <w:rPr>
          <w:rFonts w:ascii="Arial" w:hAnsi="Arial"/>
          <w:bCs/>
          <w:smallCaps/>
          <w:noProof w:val="0"/>
          <w:kern w:val="32"/>
          <w:sz w:val="34"/>
          <w:szCs w:val="32"/>
        </w:rPr>
        <w:fldChar w:fldCharType="separate"/>
      </w:r>
      <w:hyperlink w:anchor="_Toc229072434" w:history="1">
        <w:r w:rsidR="00217180" w:rsidRPr="002F5019">
          <w:rPr>
            <w:rStyle w:val="Hyperlink"/>
          </w:rPr>
          <w:t>Portfolio Overview</w:t>
        </w:r>
        <w:r w:rsidR="00217180">
          <w:rPr>
            <w:webHidden/>
          </w:rPr>
          <w:tab/>
        </w:r>
        <w:r w:rsidR="00217180">
          <w:rPr>
            <w:webHidden/>
          </w:rPr>
          <w:fldChar w:fldCharType="begin"/>
        </w:r>
        <w:r w:rsidR="00217180">
          <w:rPr>
            <w:webHidden/>
          </w:rPr>
          <w:instrText xml:space="preserve"> PAGEREF _Toc229072434 \h </w:instrText>
        </w:r>
        <w:r w:rsidR="00217180">
          <w:rPr>
            <w:webHidden/>
          </w:rPr>
        </w:r>
        <w:r w:rsidR="00217180">
          <w:rPr>
            <w:webHidden/>
          </w:rPr>
          <w:fldChar w:fldCharType="separate"/>
        </w:r>
        <w:r w:rsidR="00E00C37">
          <w:rPr>
            <w:webHidden/>
          </w:rPr>
          <w:t>1</w:t>
        </w:r>
        <w:r w:rsidR="00217180">
          <w:rPr>
            <w:webHidden/>
          </w:rPr>
          <w:fldChar w:fldCharType="end"/>
        </w:r>
      </w:hyperlink>
    </w:p>
    <w:p w14:paraId="48F2E0EA" w14:textId="27DADAEE" w:rsidR="00217180" w:rsidRDefault="00AD70C0">
      <w:pPr>
        <w:pStyle w:val="TOC4"/>
        <w:rPr>
          <w:rFonts w:asciiTheme="minorHAnsi" w:eastAsiaTheme="minorEastAsia" w:hAnsiTheme="minorHAnsi" w:cstheme="minorBidi"/>
          <w:sz w:val="22"/>
          <w:szCs w:val="22"/>
          <w:lang w:val="en-AU"/>
        </w:rPr>
      </w:pPr>
      <w:hyperlink w:anchor="_Toc229072435" w:history="1">
        <w:r w:rsidR="00217180" w:rsidRPr="002F5019">
          <w:rPr>
            <w:rStyle w:val="Hyperlink"/>
          </w:rPr>
          <w:t>Ministers and their Portfolio Responsibilities</w:t>
        </w:r>
        <w:r w:rsidR="00217180">
          <w:rPr>
            <w:webHidden/>
          </w:rPr>
          <w:tab/>
        </w:r>
        <w:r w:rsidR="00217180">
          <w:rPr>
            <w:webHidden/>
          </w:rPr>
          <w:fldChar w:fldCharType="begin"/>
        </w:r>
        <w:r w:rsidR="00217180">
          <w:rPr>
            <w:webHidden/>
          </w:rPr>
          <w:instrText xml:space="preserve"> PAGEREF _Toc229072435 \h </w:instrText>
        </w:r>
        <w:r w:rsidR="00217180">
          <w:rPr>
            <w:webHidden/>
          </w:rPr>
        </w:r>
        <w:r w:rsidR="00217180">
          <w:rPr>
            <w:webHidden/>
          </w:rPr>
          <w:fldChar w:fldCharType="separate"/>
        </w:r>
        <w:r w:rsidR="00E00C37">
          <w:rPr>
            <w:webHidden/>
          </w:rPr>
          <w:t>3</w:t>
        </w:r>
        <w:r w:rsidR="00217180">
          <w:rPr>
            <w:webHidden/>
          </w:rPr>
          <w:fldChar w:fldCharType="end"/>
        </w:r>
      </w:hyperlink>
    </w:p>
    <w:p w14:paraId="28AB3AAA" w14:textId="2F407160" w:rsidR="00217180" w:rsidRDefault="00AD70C0">
      <w:pPr>
        <w:pStyle w:val="TOC4"/>
        <w:rPr>
          <w:rFonts w:asciiTheme="minorHAnsi" w:eastAsiaTheme="minorEastAsia" w:hAnsiTheme="minorHAnsi" w:cstheme="minorBidi"/>
          <w:sz w:val="22"/>
          <w:szCs w:val="22"/>
          <w:lang w:val="en-AU"/>
        </w:rPr>
      </w:pPr>
      <w:hyperlink w:anchor="_Toc229072436" w:history="1">
        <w:r w:rsidR="00217180" w:rsidRPr="002F5019">
          <w:rPr>
            <w:rStyle w:val="Hyperlink"/>
          </w:rPr>
          <w:t>The Defence Portfolio</w:t>
        </w:r>
        <w:r w:rsidR="00217180">
          <w:rPr>
            <w:webHidden/>
          </w:rPr>
          <w:tab/>
        </w:r>
        <w:r w:rsidR="00217180">
          <w:rPr>
            <w:webHidden/>
          </w:rPr>
          <w:fldChar w:fldCharType="begin"/>
        </w:r>
        <w:r w:rsidR="00217180">
          <w:rPr>
            <w:webHidden/>
          </w:rPr>
          <w:instrText xml:space="preserve"> PAGEREF _Toc229072436 \h </w:instrText>
        </w:r>
        <w:r w:rsidR="00217180">
          <w:rPr>
            <w:webHidden/>
          </w:rPr>
        </w:r>
        <w:r w:rsidR="00217180">
          <w:rPr>
            <w:webHidden/>
          </w:rPr>
          <w:fldChar w:fldCharType="separate"/>
        </w:r>
        <w:r w:rsidR="00E00C37">
          <w:rPr>
            <w:webHidden/>
          </w:rPr>
          <w:t>3</w:t>
        </w:r>
        <w:r w:rsidR="00217180">
          <w:rPr>
            <w:webHidden/>
          </w:rPr>
          <w:fldChar w:fldCharType="end"/>
        </w:r>
      </w:hyperlink>
    </w:p>
    <w:p w14:paraId="4BF65470" w14:textId="7B9A4BF9" w:rsidR="00217180" w:rsidRDefault="00AD70C0">
      <w:pPr>
        <w:pStyle w:val="TOC4"/>
        <w:rPr>
          <w:rFonts w:asciiTheme="minorHAnsi" w:eastAsiaTheme="minorEastAsia" w:hAnsiTheme="minorHAnsi" w:cstheme="minorBidi"/>
          <w:sz w:val="22"/>
          <w:szCs w:val="22"/>
          <w:lang w:val="en-AU"/>
        </w:rPr>
      </w:pPr>
      <w:hyperlink w:anchor="_Toc229072437" w:history="1">
        <w:r w:rsidR="00217180" w:rsidRPr="002F5019">
          <w:rPr>
            <w:rStyle w:val="Hyperlink"/>
          </w:rPr>
          <w:t>Portfolio Structure and Outcomes</w:t>
        </w:r>
        <w:r w:rsidR="00217180">
          <w:rPr>
            <w:webHidden/>
          </w:rPr>
          <w:tab/>
        </w:r>
        <w:r w:rsidR="00217180">
          <w:rPr>
            <w:webHidden/>
          </w:rPr>
          <w:fldChar w:fldCharType="begin"/>
        </w:r>
        <w:r w:rsidR="00217180">
          <w:rPr>
            <w:webHidden/>
          </w:rPr>
          <w:instrText xml:space="preserve"> PAGEREF _Toc229072437 \h </w:instrText>
        </w:r>
        <w:r w:rsidR="00217180">
          <w:rPr>
            <w:webHidden/>
          </w:rPr>
        </w:r>
        <w:r w:rsidR="00217180">
          <w:rPr>
            <w:webHidden/>
          </w:rPr>
          <w:fldChar w:fldCharType="separate"/>
        </w:r>
        <w:r w:rsidR="00E00C37">
          <w:rPr>
            <w:webHidden/>
          </w:rPr>
          <w:t>5</w:t>
        </w:r>
        <w:r w:rsidR="00217180">
          <w:rPr>
            <w:webHidden/>
          </w:rPr>
          <w:fldChar w:fldCharType="end"/>
        </w:r>
      </w:hyperlink>
    </w:p>
    <w:p w14:paraId="44122DDF" w14:textId="5C16977E" w:rsidR="00217180" w:rsidRDefault="00AD70C0">
      <w:pPr>
        <w:pStyle w:val="TOC2"/>
        <w:rPr>
          <w:rFonts w:asciiTheme="minorHAnsi" w:eastAsiaTheme="minorEastAsia" w:hAnsiTheme="minorHAnsi" w:cstheme="minorBidi"/>
          <w:b w:val="0"/>
          <w:caps w:val="0"/>
          <w:sz w:val="22"/>
          <w:szCs w:val="22"/>
          <w:lang w:val="en-AU"/>
        </w:rPr>
      </w:pPr>
      <w:hyperlink w:anchor="_Toc229072438" w:history="1">
        <w:r w:rsidR="00217180" w:rsidRPr="002F5019">
          <w:rPr>
            <w:rStyle w:val="Hyperlink"/>
          </w:rPr>
          <w:t>Defence</w:t>
        </w:r>
        <w:r w:rsidR="00217180">
          <w:rPr>
            <w:webHidden/>
          </w:rPr>
          <w:tab/>
        </w:r>
        <w:r w:rsidR="00217180">
          <w:rPr>
            <w:webHidden/>
          </w:rPr>
          <w:fldChar w:fldCharType="begin"/>
        </w:r>
        <w:r w:rsidR="00217180">
          <w:rPr>
            <w:webHidden/>
          </w:rPr>
          <w:instrText xml:space="preserve"> PAGEREF _Toc229072438 \h </w:instrText>
        </w:r>
        <w:r w:rsidR="00217180">
          <w:rPr>
            <w:webHidden/>
          </w:rPr>
        </w:r>
        <w:r w:rsidR="00217180">
          <w:rPr>
            <w:webHidden/>
          </w:rPr>
          <w:fldChar w:fldCharType="separate"/>
        </w:r>
        <w:r w:rsidR="00E00C37">
          <w:rPr>
            <w:webHidden/>
          </w:rPr>
          <w:t>9</w:t>
        </w:r>
        <w:r w:rsidR="00217180">
          <w:rPr>
            <w:webHidden/>
          </w:rPr>
          <w:fldChar w:fldCharType="end"/>
        </w:r>
      </w:hyperlink>
    </w:p>
    <w:p w14:paraId="08768E0B" w14:textId="502BF0A1" w:rsidR="00217180" w:rsidRDefault="00AD70C0">
      <w:pPr>
        <w:pStyle w:val="TOC3"/>
        <w:rPr>
          <w:rFonts w:asciiTheme="minorHAnsi" w:eastAsiaTheme="minorEastAsia" w:hAnsiTheme="minorHAnsi" w:cstheme="minorBidi"/>
          <w:b w:val="0"/>
          <w:sz w:val="22"/>
          <w:szCs w:val="22"/>
          <w:lang w:val="en-AU"/>
        </w:rPr>
      </w:pPr>
      <w:hyperlink w:anchor="_Toc229072439" w:history="1">
        <w:r w:rsidR="00217180" w:rsidRPr="002F5019">
          <w:rPr>
            <w:rStyle w:val="Hyperlink"/>
          </w:rPr>
          <w:t>Section 1: Defence Overview and Resources</w:t>
        </w:r>
        <w:r w:rsidR="00217180">
          <w:rPr>
            <w:webHidden/>
          </w:rPr>
          <w:tab/>
        </w:r>
        <w:r w:rsidR="00217180">
          <w:rPr>
            <w:webHidden/>
          </w:rPr>
          <w:fldChar w:fldCharType="begin"/>
        </w:r>
        <w:r w:rsidR="00217180">
          <w:rPr>
            <w:webHidden/>
          </w:rPr>
          <w:instrText xml:space="preserve"> PAGEREF _Toc229072439 \h </w:instrText>
        </w:r>
        <w:r w:rsidR="00217180">
          <w:rPr>
            <w:webHidden/>
          </w:rPr>
        </w:r>
        <w:r w:rsidR="00217180">
          <w:rPr>
            <w:webHidden/>
          </w:rPr>
          <w:fldChar w:fldCharType="separate"/>
        </w:r>
        <w:r w:rsidR="00E00C37">
          <w:rPr>
            <w:webHidden/>
          </w:rPr>
          <w:t>11</w:t>
        </w:r>
        <w:r w:rsidR="00217180">
          <w:rPr>
            <w:webHidden/>
          </w:rPr>
          <w:fldChar w:fldCharType="end"/>
        </w:r>
      </w:hyperlink>
    </w:p>
    <w:p w14:paraId="47340128" w14:textId="66FA8E32" w:rsidR="00217180" w:rsidRDefault="00AD70C0">
      <w:pPr>
        <w:pStyle w:val="TOC4"/>
        <w:rPr>
          <w:rFonts w:asciiTheme="minorHAnsi" w:eastAsiaTheme="minorEastAsia" w:hAnsiTheme="minorHAnsi" w:cstheme="minorBidi"/>
          <w:sz w:val="22"/>
          <w:szCs w:val="22"/>
          <w:lang w:val="en-AU"/>
        </w:rPr>
      </w:pPr>
      <w:hyperlink w:anchor="_Toc229072440" w:history="1">
        <w:r w:rsidR="00217180" w:rsidRPr="002F5019">
          <w:rPr>
            <w:rStyle w:val="Hyperlink"/>
          </w:rPr>
          <w:t>1.1 Strategic Direction Statement</w:t>
        </w:r>
        <w:r w:rsidR="00217180">
          <w:rPr>
            <w:webHidden/>
          </w:rPr>
          <w:tab/>
        </w:r>
        <w:r w:rsidR="00217180">
          <w:rPr>
            <w:webHidden/>
          </w:rPr>
          <w:fldChar w:fldCharType="begin"/>
        </w:r>
        <w:r w:rsidR="00217180">
          <w:rPr>
            <w:webHidden/>
          </w:rPr>
          <w:instrText xml:space="preserve"> PAGEREF _Toc229072440 \h </w:instrText>
        </w:r>
        <w:r w:rsidR="00217180">
          <w:rPr>
            <w:webHidden/>
          </w:rPr>
        </w:r>
        <w:r w:rsidR="00217180">
          <w:rPr>
            <w:webHidden/>
          </w:rPr>
          <w:fldChar w:fldCharType="separate"/>
        </w:r>
        <w:r w:rsidR="00E00C37">
          <w:rPr>
            <w:webHidden/>
          </w:rPr>
          <w:t>11</w:t>
        </w:r>
        <w:r w:rsidR="00217180">
          <w:rPr>
            <w:webHidden/>
          </w:rPr>
          <w:fldChar w:fldCharType="end"/>
        </w:r>
      </w:hyperlink>
    </w:p>
    <w:p w14:paraId="311D281C" w14:textId="3FE4F8F5" w:rsidR="00217180" w:rsidRDefault="00AD70C0">
      <w:pPr>
        <w:pStyle w:val="TOC4"/>
        <w:rPr>
          <w:rFonts w:asciiTheme="minorHAnsi" w:eastAsiaTheme="minorEastAsia" w:hAnsiTheme="minorHAnsi" w:cstheme="minorBidi"/>
          <w:sz w:val="22"/>
          <w:szCs w:val="22"/>
          <w:lang w:val="en-AU"/>
        </w:rPr>
      </w:pPr>
      <w:hyperlink w:anchor="_Toc229072441" w:history="1">
        <w:r w:rsidR="00217180" w:rsidRPr="002F5019">
          <w:rPr>
            <w:rStyle w:val="Hyperlink"/>
            <w:lang w:val="en-AU"/>
          </w:rPr>
          <w:t xml:space="preserve">1.2 </w:t>
        </w:r>
        <w:r w:rsidR="00217180" w:rsidRPr="002F5019">
          <w:rPr>
            <w:rStyle w:val="Hyperlink"/>
          </w:rPr>
          <w:t>Defence Resource Statement</w:t>
        </w:r>
        <w:r w:rsidR="00217180">
          <w:rPr>
            <w:webHidden/>
          </w:rPr>
          <w:tab/>
        </w:r>
        <w:r w:rsidR="00217180">
          <w:rPr>
            <w:webHidden/>
          </w:rPr>
          <w:fldChar w:fldCharType="begin"/>
        </w:r>
        <w:r w:rsidR="00217180">
          <w:rPr>
            <w:webHidden/>
          </w:rPr>
          <w:instrText xml:space="preserve"> PAGEREF _Toc229072441 \h </w:instrText>
        </w:r>
        <w:r w:rsidR="00217180">
          <w:rPr>
            <w:webHidden/>
          </w:rPr>
        </w:r>
        <w:r w:rsidR="00217180">
          <w:rPr>
            <w:webHidden/>
          </w:rPr>
          <w:fldChar w:fldCharType="separate"/>
        </w:r>
        <w:r w:rsidR="00E00C37">
          <w:rPr>
            <w:webHidden/>
          </w:rPr>
          <w:t>17</w:t>
        </w:r>
        <w:r w:rsidR="00217180">
          <w:rPr>
            <w:webHidden/>
          </w:rPr>
          <w:fldChar w:fldCharType="end"/>
        </w:r>
      </w:hyperlink>
    </w:p>
    <w:p w14:paraId="46988613" w14:textId="126DBAAC" w:rsidR="00217180" w:rsidRDefault="00AD70C0">
      <w:pPr>
        <w:pStyle w:val="TOC4"/>
        <w:rPr>
          <w:rFonts w:asciiTheme="minorHAnsi" w:eastAsiaTheme="minorEastAsia" w:hAnsiTheme="minorHAnsi" w:cstheme="minorBidi"/>
          <w:sz w:val="22"/>
          <w:szCs w:val="22"/>
          <w:lang w:val="en-AU"/>
        </w:rPr>
      </w:pPr>
      <w:hyperlink w:anchor="_Toc229072442" w:history="1">
        <w:r w:rsidR="00217180" w:rsidRPr="002F5019">
          <w:rPr>
            <w:rStyle w:val="Hyperlink"/>
            <w:lang w:val="en-AU"/>
          </w:rPr>
          <w:t>1.3 Budget Measures</w:t>
        </w:r>
        <w:r w:rsidR="00217180">
          <w:rPr>
            <w:webHidden/>
          </w:rPr>
          <w:tab/>
        </w:r>
        <w:r w:rsidR="00217180">
          <w:rPr>
            <w:webHidden/>
          </w:rPr>
          <w:fldChar w:fldCharType="begin"/>
        </w:r>
        <w:r w:rsidR="00217180">
          <w:rPr>
            <w:webHidden/>
          </w:rPr>
          <w:instrText xml:space="preserve"> PAGEREF _Toc229072442 \h </w:instrText>
        </w:r>
        <w:r w:rsidR="00217180">
          <w:rPr>
            <w:webHidden/>
          </w:rPr>
        </w:r>
        <w:r w:rsidR="00217180">
          <w:rPr>
            <w:webHidden/>
          </w:rPr>
          <w:fldChar w:fldCharType="separate"/>
        </w:r>
        <w:r w:rsidR="00E00C37">
          <w:rPr>
            <w:webHidden/>
          </w:rPr>
          <w:t>18</w:t>
        </w:r>
        <w:r w:rsidR="00217180">
          <w:rPr>
            <w:webHidden/>
          </w:rPr>
          <w:fldChar w:fldCharType="end"/>
        </w:r>
      </w:hyperlink>
    </w:p>
    <w:p w14:paraId="645C60D0" w14:textId="7274A1AD" w:rsidR="00217180" w:rsidRDefault="00AD70C0">
      <w:pPr>
        <w:pStyle w:val="TOC4"/>
        <w:rPr>
          <w:rFonts w:asciiTheme="minorHAnsi" w:eastAsiaTheme="minorEastAsia" w:hAnsiTheme="minorHAnsi" w:cstheme="minorBidi"/>
          <w:sz w:val="22"/>
          <w:szCs w:val="22"/>
          <w:lang w:val="en-AU"/>
        </w:rPr>
      </w:pPr>
      <w:hyperlink w:anchor="_Toc229072443" w:history="1">
        <w:r w:rsidR="00217180" w:rsidRPr="002F5019">
          <w:rPr>
            <w:rStyle w:val="Hyperlink"/>
            <w:lang w:val="en-AU"/>
          </w:rPr>
          <w:t>1.4 Key Cost Category Estimates</w:t>
        </w:r>
        <w:r w:rsidR="00217180">
          <w:rPr>
            <w:webHidden/>
          </w:rPr>
          <w:tab/>
        </w:r>
        <w:r w:rsidR="00217180">
          <w:rPr>
            <w:webHidden/>
          </w:rPr>
          <w:fldChar w:fldCharType="begin"/>
        </w:r>
        <w:r w:rsidR="00217180">
          <w:rPr>
            <w:webHidden/>
          </w:rPr>
          <w:instrText xml:space="preserve"> PAGEREF _Toc229072443 \h </w:instrText>
        </w:r>
        <w:r w:rsidR="00217180">
          <w:rPr>
            <w:webHidden/>
          </w:rPr>
        </w:r>
        <w:r w:rsidR="00217180">
          <w:rPr>
            <w:webHidden/>
          </w:rPr>
          <w:fldChar w:fldCharType="separate"/>
        </w:r>
        <w:r w:rsidR="00E00C37">
          <w:rPr>
            <w:webHidden/>
          </w:rPr>
          <w:t>21</w:t>
        </w:r>
        <w:r w:rsidR="00217180">
          <w:rPr>
            <w:webHidden/>
          </w:rPr>
          <w:fldChar w:fldCharType="end"/>
        </w:r>
      </w:hyperlink>
    </w:p>
    <w:p w14:paraId="46FB0A91" w14:textId="57A21CF4" w:rsidR="00217180" w:rsidRDefault="00AD70C0">
      <w:pPr>
        <w:pStyle w:val="TOC4"/>
        <w:rPr>
          <w:rFonts w:asciiTheme="minorHAnsi" w:eastAsiaTheme="minorEastAsia" w:hAnsiTheme="minorHAnsi" w:cstheme="minorBidi"/>
          <w:sz w:val="22"/>
          <w:szCs w:val="22"/>
          <w:lang w:val="en-AU"/>
        </w:rPr>
      </w:pPr>
      <w:hyperlink w:anchor="_Toc229072444" w:history="1">
        <w:r w:rsidR="00217180" w:rsidRPr="002F5019">
          <w:rPr>
            <w:rStyle w:val="Hyperlink"/>
            <w:lang w:val="en-AU"/>
          </w:rPr>
          <w:t>1.5 People</w:t>
        </w:r>
        <w:r w:rsidR="00217180">
          <w:rPr>
            <w:webHidden/>
          </w:rPr>
          <w:tab/>
        </w:r>
        <w:r w:rsidR="00217180">
          <w:rPr>
            <w:webHidden/>
          </w:rPr>
          <w:tab/>
        </w:r>
        <w:r w:rsidR="00217180">
          <w:rPr>
            <w:webHidden/>
          </w:rPr>
          <w:fldChar w:fldCharType="begin"/>
        </w:r>
        <w:r w:rsidR="00217180">
          <w:rPr>
            <w:webHidden/>
          </w:rPr>
          <w:instrText xml:space="preserve"> PAGEREF _Toc229072444 \h </w:instrText>
        </w:r>
        <w:r w:rsidR="00217180">
          <w:rPr>
            <w:webHidden/>
          </w:rPr>
        </w:r>
        <w:r w:rsidR="00217180">
          <w:rPr>
            <w:webHidden/>
          </w:rPr>
          <w:fldChar w:fldCharType="separate"/>
        </w:r>
        <w:r w:rsidR="00E00C37">
          <w:rPr>
            <w:webHidden/>
          </w:rPr>
          <w:t>23</w:t>
        </w:r>
        <w:r w:rsidR="00217180">
          <w:rPr>
            <w:webHidden/>
          </w:rPr>
          <w:fldChar w:fldCharType="end"/>
        </w:r>
      </w:hyperlink>
    </w:p>
    <w:p w14:paraId="27D131F2" w14:textId="339D3487" w:rsidR="00217180" w:rsidRDefault="00AD70C0">
      <w:pPr>
        <w:pStyle w:val="TOC3"/>
        <w:rPr>
          <w:rFonts w:asciiTheme="minorHAnsi" w:eastAsiaTheme="minorEastAsia" w:hAnsiTheme="minorHAnsi" w:cstheme="minorBidi"/>
          <w:b w:val="0"/>
          <w:sz w:val="22"/>
          <w:szCs w:val="22"/>
          <w:lang w:val="en-AU"/>
        </w:rPr>
      </w:pPr>
      <w:hyperlink w:anchor="_Toc229072445" w:history="1">
        <w:r w:rsidR="00217180" w:rsidRPr="002F5019">
          <w:rPr>
            <w:rStyle w:val="Hyperlink"/>
          </w:rPr>
          <w:t>Section 2: Defence Outcomes and Planned Performance</w:t>
        </w:r>
        <w:r w:rsidR="00217180">
          <w:rPr>
            <w:webHidden/>
          </w:rPr>
          <w:tab/>
        </w:r>
        <w:r w:rsidR="00217180">
          <w:rPr>
            <w:webHidden/>
          </w:rPr>
          <w:fldChar w:fldCharType="begin"/>
        </w:r>
        <w:r w:rsidR="00217180">
          <w:rPr>
            <w:webHidden/>
          </w:rPr>
          <w:instrText xml:space="preserve"> PAGEREF _Toc229072445 \h </w:instrText>
        </w:r>
        <w:r w:rsidR="00217180">
          <w:rPr>
            <w:webHidden/>
          </w:rPr>
        </w:r>
        <w:r w:rsidR="00217180">
          <w:rPr>
            <w:webHidden/>
          </w:rPr>
          <w:fldChar w:fldCharType="separate"/>
        </w:r>
        <w:r w:rsidR="00E00C37">
          <w:rPr>
            <w:webHidden/>
          </w:rPr>
          <w:t>27</w:t>
        </w:r>
        <w:r w:rsidR="00217180">
          <w:rPr>
            <w:webHidden/>
          </w:rPr>
          <w:fldChar w:fldCharType="end"/>
        </w:r>
      </w:hyperlink>
    </w:p>
    <w:p w14:paraId="1F75DF84" w14:textId="3FFA1EEA" w:rsidR="00217180" w:rsidRDefault="00AD70C0">
      <w:pPr>
        <w:pStyle w:val="TOC4"/>
        <w:rPr>
          <w:rFonts w:asciiTheme="minorHAnsi" w:eastAsiaTheme="minorEastAsia" w:hAnsiTheme="minorHAnsi" w:cstheme="minorBidi"/>
          <w:sz w:val="22"/>
          <w:szCs w:val="22"/>
          <w:lang w:val="en-AU"/>
        </w:rPr>
      </w:pPr>
      <w:hyperlink w:anchor="_Toc229072446" w:history="1">
        <w:r w:rsidR="00217180" w:rsidRPr="002F5019">
          <w:rPr>
            <w:rStyle w:val="Hyperlink"/>
          </w:rPr>
          <w:t>2.1 Budget Expenses and Performance for Outcome 1</w:t>
        </w:r>
        <w:r w:rsidR="00217180">
          <w:rPr>
            <w:webHidden/>
          </w:rPr>
          <w:tab/>
        </w:r>
        <w:r w:rsidR="00217180">
          <w:rPr>
            <w:webHidden/>
          </w:rPr>
          <w:fldChar w:fldCharType="begin"/>
        </w:r>
        <w:r w:rsidR="00217180">
          <w:rPr>
            <w:webHidden/>
          </w:rPr>
          <w:instrText xml:space="preserve"> PAGEREF _Toc229072446 \h </w:instrText>
        </w:r>
        <w:r w:rsidR="00217180">
          <w:rPr>
            <w:webHidden/>
          </w:rPr>
        </w:r>
        <w:r w:rsidR="00217180">
          <w:rPr>
            <w:webHidden/>
          </w:rPr>
          <w:fldChar w:fldCharType="separate"/>
        </w:r>
        <w:r w:rsidR="00E00C37">
          <w:rPr>
            <w:webHidden/>
          </w:rPr>
          <w:t>30</w:t>
        </w:r>
        <w:r w:rsidR="00217180">
          <w:rPr>
            <w:webHidden/>
          </w:rPr>
          <w:fldChar w:fldCharType="end"/>
        </w:r>
      </w:hyperlink>
    </w:p>
    <w:p w14:paraId="080C9330" w14:textId="5E10F405" w:rsidR="00217180" w:rsidRDefault="00AD70C0">
      <w:pPr>
        <w:pStyle w:val="TOC4"/>
        <w:rPr>
          <w:rFonts w:asciiTheme="minorHAnsi" w:eastAsiaTheme="minorEastAsia" w:hAnsiTheme="minorHAnsi" w:cstheme="minorBidi"/>
          <w:sz w:val="22"/>
          <w:szCs w:val="22"/>
          <w:lang w:val="en-AU"/>
        </w:rPr>
      </w:pPr>
      <w:hyperlink w:anchor="_Toc229072447" w:history="1">
        <w:r w:rsidR="00217180" w:rsidRPr="002F5019">
          <w:rPr>
            <w:rStyle w:val="Hyperlink"/>
          </w:rPr>
          <w:t>2.2 Budget Expenses and Performance for Outcome 2</w:t>
        </w:r>
        <w:r w:rsidR="00217180">
          <w:rPr>
            <w:webHidden/>
          </w:rPr>
          <w:tab/>
        </w:r>
        <w:r w:rsidR="00217180">
          <w:rPr>
            <w:webHidden/>
          </w:rPr>
          <w:fldChar w:fldCharType="begin"/>
        </w:r>
        <w:r w:rsidR="00217180">
          <w:rPr>
            <w:webHidden/>
          </w:rPr>
          <w:instrText xml:space="preserve"> PAGEREF _Toc229072447 \h </w:instrText>
        </w:r>
        <w:r w:rsidR="00217180">
          <w:rPr>
            <w:webHidden/>
          </w:rPr>
        </w:r>
        <w:r w:rsidR="00217180">
          <w:rPr>
            <w:webHidden/>
          </w:rPr>
          <w:fldChar w:fldCharType="separate"/>
        </w:r>
        <w:r w:rsidR="00E00C37">
          <w:rPr>
            <w:webHidden/>
          </w:rPr>
          <w:t>40</w:t>
        </w:r>
        <w:r w:rsidR="00217180">
          <w:rPr>
            <w:webHidden/>
          </w:rPr>
          <w:fldChar w:fldCharType="end"/>
        </w:r>
      </w:hyperlink>
    </w:p>
    <w:p w14:paraId="65774FCF" w14:textId="5F2928BC" w:rsidR="00217180" w:rsidRDefault="00AD70C0">
      <w:pPr>
        <w:pStyle w:val="TOC3"/>
        <w:rPr>
          <w:rFonts w:asciiTheme="minorHAnsi" w:eastAsiaTheme="minorEastAsia" w:hAnsiTheme="minorHAnsi" w:cstheme="minorBidi"/>
          <w:b w:val="0"/>
          <w:sz w:val="22"/>
          <w:szCs w:val="22"/>
          <w:lang w:val="en-AU"/>
        </w:rPr>
      </w:pPr>
      <w:hyperlink w:anchor="_Toc229072448" w:history="1">
        <w:r w:rsidR="00217180" w:rsidRPr="002F5019">
          <w:rPr>
            <w:rStyle w:val="Hyperlink"/>
          </w:rPr>
          <w:t>Section 3: Defence Budgeted Financial Statements</w:t>
        </w:r>
        <w:r w:rsidR="00217180">
          <w:rPr>
            <w:webHidden/>
          </w:rPr>
          <w:tab/>
        </w:r>
        <w:r w:rsidR="00217180">
          <w:rPr>
            <w:webHidden/>
          </w:rPr>
          <w:fldChar w:fldCharType="begin"/>
        </w:r>
        <w:r w:rsidR="00217180">
          <w:rPr>
            <w:webHidden/>
          </w:rPr>
          <w:instrText xml:space="preserve"> PAGEREF _Toc229072448 \h </w:instrText>
        </w:r>
        <w:r w:rsidR="00217180">
          <w:rPr>
            <w:webHidden/>
          </w:rPr>
        </w:r>
        <w:r w:rsidR="00217180">
          <w:rPr>
            <w:webHidden/>
          </w:rPr>
          <w:fldChar w:fldCharType="separate"/>
        </w:r>
        <w:r w:rsidR="00E00C37">
          <w:rPr>
            <w:webHidden/>
          </w:rPr>
          <w:t>100</w:t>
        </w:r>
        <w:r w:rsidR="00217180">
          <w:rPr>
            <w:webHidden/>
          </w:rPr>
          <w:fldChar w:fldCharType="end"/>
        </w:r>
      </w:hyperlink>
    </w:p>
    <w:p w14:paraId="2D3D9AF5" w14:textId="06952E43" w:rsidR="00217180" w:rsidRDefault="00AD70C0">
      <w:pPr>
        <w:pStyle w:val="TOC4"/>
        <w:rPr>
          <w:rFonts w:asciiTheme="minorHAnsi" w:eastAsiaTheme="minorEastAsia" w:hAnsiTheme="minorHAnsi" w:cstheme="minorBidi"/>
          <w:sz w:val="22"/>
          <w:szCs w:val="22"/>
          <w:lang w:val="en-AU"/>
        </w:rPr>
      </w:pPr>
      <w:hyperlink w:anchor="_Toc229072449" w:history="1">
        <w:r w:rsidR="00217180" w:rsidRPr="002F5019">
          <w:rPr>
            <w:rStyle w:val="Hyperlink"/>
          </w:rPr>
          <w:t>3.1 Grants</w:t>
        </w:r>
        <w:r w:rsidR="00217180">
          <w:rPr>
            <w:webHidden/>
          </w:rPr>
          <w:tab/>
        </w:r>
        <w:r w:rsidR="00217180">
          <w:rPr>
            <w:webHidden/>
          </w:rPr>
          <w:tab/>
        </w:r>
        <w:r w:rsidR="00217180">
          <w:rPr>
            <w:webHidden/>
          </w:rPr>
          <w:fldChar w:fldCharType="begin"/>
        </w:r>
        <w:r w:rsidR="00217180">
          <w:rPr>
            <w:webHidden/>
          </w:rPr>
          <w:instrText xml:space="preserve"> PAGEREF _Toc229072449 \h </w:instrText>
        </w:r>
        <w:r w:rsidR="00217180">
          <w:rPr>
            <w:webHidden/>
          </w:rPr>
        </w:r>
        <w:r w:rsidR="00217180">
          <w:rPr>
            <w:webHidden/>
          </w:rPr>
          <w:fldChar w:fldCharType="separate"/>
        </w:r>
        <w:r w:rsidR="00E00C37">
          <w:rPr>
            <w:webHidden/>
          </w:rPr>
          <w:t>100</w:t>
        </w:r>
        <w:r w:rsidR="00217180">
          <w:rPr>
            <w:webHidden/>
          </w:rPr>
          <w:fldChar w:fldCharType="end"/>
        </w:r>
      </w:hyperlink>
    </w:p>
    <w:p w14:paraId="2F6E6BEB" w14:textId="74B05248" w:rsidR="00217180" w:rsidRDefault="00AD70C0">
      <w:pPr>
        <w:pStyle w:val="TOC4"/>
        <w:rPr>
          <w:rFonts w:asciiTheme="minorHAnsi" w:eastAsiaTheme="minorEastAsia" w:hAnsiTheme="minorHAnsi" w:cstheme="minorBidi"/>
          <w:sz w:val="22"/>
          <w:szCs w:val="22"/>
          <w:lang w:val="en-AU"/>
        </w:rPr>
      </w:pPr>
      <w:hyperlink w:anchor="_Toc229072450" w:history="1">
        <w:r w:rsidR="00217180" w:rsidRPr="002F5019">
          <w:rPr>
            <w:rStyle w:val="Hyperlink"/>
          </w:rPr>
          <w:t>3.2 Resource Summary</w:t>
        </w:r>
        <w:r w:rsidR="00217180">
          <w:rPr>
            <w:webHidden/>
          </w:rPr>
          <w:tab/>
        </w:r>
        <w:r w:rsidR="00217180">
          <w:rPr>
            <w:webHidden/>
          </w:rPr>
          <w:fldChar w:fldCharType="begin"/>
        </w:r>
        <w:r w:rsidR="00217180">
          <w:rPr>
            <w:webHidden/>
          </w:rPr>
          <w:instrText xml:space="preserve"> PAGEREF _Toc229072450 \h </w:instrText>
        </w:r>
        <w:r w:rsidR="00217180">
          <w:rPr>
            <w:webHidden/>
          </w:rPr>
        </w:r>
        <w:r w:rsidR="00217180">
          <w:rPr>
            <w:webHidden/>
          </w:rPr>
          <w:fldChar w:fldCharType="separate"/>
        </w:r>
        <w:r w:rsidR="00E00C37">
          <w:rPr>
            <w:webHidden/>
          </w:rPr>
          <w:t>101</w:t>
        </w:r>
        <w:r w:rsidR="00217180">
          <w:rPr>
            <w:webHidden/>
          </w:rPr>
          <w:fldChar w:fldCharType="end"/>
        </w:r>
      </w:hyperlink>
    </w:p>
    <w:p w14:paraId="3A2ED1B7" w14:textId="7284ACE0" w:rsidR="00217180" w:rsidRDefault="00AD70C0">
      <w:pPr>
        <w:pStyle w:val="TOC4"/>
        <w:rPr>
          <w:rFonts w:asciiTheme="minorHAnsi" w:eastAsiaTheme="minorEastAsia" w:hAnsiTheme="minorHAnsi" w:cstheme="minorBidi"/>
          <w:sz w:val="22"/>
          <w:szCs w:val="22"/>
          <w:lang w:val="en-AU"/>
        </w:rPr>
      </w:pPr>
      <w:hyperlink w:anchor="_Toc229072451" w:history="1">
        <w:r w:rsidR="00217180" w:rsidRPr="002F5019">
          <w:rPr>
            <w:rStyle w:val="Hyperlink"/>
          </w:rPr>
          <w:t>3.3 Budgeted Financial Statements</w:t>
        </w:r>
        <w:r w:rsidR="00217180">
          <w:rPr>
            <w:webHidden/>
          </w:rPr>
          <w:tab/>
        </w:r>
        <w:r w:rsidR="00217180">
          <w:rPr>
            <w:webHidden/>
          </w:rPr>
          <w:fldChar w:fldCharType="begin"/>
        </w:r>
        <w:r w:rsidR="00217180">
          <w:rPr>
            <w:webHidden/>
          </w:rPr>
          <w:instrText xml:space="preserve"> PAGEREF _Toc229072451 \h </w:instrText>
        </w:r>
        <w:r w:rsidR="00217180">
          <w:rPr>
            <w:webHidden/>
          </w:rPr>
        </w:r>
        <w:r w:rsidR="00217180">
          <w:rPr>
            <w:webHidden/>
          </w:rPr>
          <w:fldChar w:fldCharType="separate"/>
        </w:r>
        <w:r w:rsidR="00E00C37">
          <w:rPr>
            <w:webHidden/>
          </w:rPr>
          <w:t>103</w:t>
        </w:r>
        <w:r w:rsidR="00217180">
          <w:rPr>
            <w:webHidden/>
          </w:rPr>
          <w:fldChar w:fldCharType="end"/>
        </w:r>
      </w:hyperlink>
    </w:p>
    <w:p w14:paraId="31302DED" w14:textId="132E35CC" w:rsidR="00217180" w:rsidRDefault="00AD70C0">
      <w:pPr>
        <w:pStyle w:val="TOC2"/>
        <w:rPr>
          <w:rFonts w:asciiTheme="minorHAnsi" w:eastAsiaTheme="minorEastAsia" w:hAnsiTheme="minorHAnsi" w:cstheme="minorBidi"/>
          <w:b w:val="0"/>
          <w:caps w:val="0"/>
          <w:sz w:val="22"/>
          <w:szCs w:val="22"/>
          <w:lang w:val="en-AU"/>
        </w:rPr>
      </w:pPr>
      <w:hyperlink w:anchor="_Toc229072452" w:history="1">
        <w:r w:rsidR="00217180" w:rsidRPr="002F5019">
          <w:rPr>
            <w:rStyle w:val="Hyperlink"/>
          </w:rPr>
          <w:t>Appendices</w:t>
        </w:r>
        <w:r w:rsidR="00217180">
          <w:rPr>
            <w:webHidden/>
          </w:rPr>
          <w:tab/>
        </w:r>
        <w:r w:rsidR="00217180">
          <w:rPr>
            <w:webHidden/>
          </w:rPr>
          <w:fldChar w:fldCharType="begin"/>
        </w:r>
        <w:r w:rsidR="00217180">
          <w:rPr>
            <w:webHidden/>
          </w:rPr>
          <w:instrText xml:space="preserve"> PAGEREF _Toc229072452 \h </w:instrText>
        </w:r>
        <w:r w:rsidR="00217180">
          <w:rPr>
            <w:webHidden/>
          </w:rPr>
        </w:r>
        <w:r w:rsidR="00217180">
          <w:rPr>
            <w:webHidden/>
          </w:rPr>
          <w:fldChar w:fldCharType="separate"/>
        </w:r>
        <w:r w:rsidR="00E00C37">
          <w:rPr>
            <w:webHidden/>
          </w:rPr>
          <w:t>115</w:t>
        </w:r>
        <w:r w:rsidR="00217180">
          <w:rPr>
            <w:webHidden/>
          </w:rPr>
          <w:fldChar w:fldCharType="end"/>
        </w:r>
      </w:hyperlink>
    </w:p>
    <w:p w14:paraId="205EABC6" w14:textId="1FA70177" w:rsidR="00217180" w:rsidRDefault="00AD70C0">
      <w:pPr>
        <w:pStyle w:val="TOC4"/>
        <w:rPr>
          <w:rFonts w:asciiTheme="minorHAnsi" w:eastAsiaTheme="minorEastAsia" w:hAnsiTheme="minorHAnsi" w:cstheme="minorBidi"/>
          <w:sz w:val="22"/>
          <w:szCs w:val="22"/>
          <w:lang w:val="en-AU"/>
        </w:rPr>
      </w:pPr>
      <w:hyperlink w:anchor="_Toc229072453" w:history="1">
        <w:r w:rsidR="00217180" w:rsidRPr="002F5019">
          <w:rPr>
            <w:rStyle w:val="Hyperlink"/>
            <w:lang w:val="en-AU"/>
          </w:rPr>
          <w:t>Appendix A: Defence Cooperation Program</w:t>
        </w:r>
        <w:r w:rsidR="00217180">
          <w:rPr>
            <w:webHidden/>
          </w:rPr>
          <w:tab/>
        </w:r>
        <w:r w:rsidR="00217180">
          <w:rPr>
            <w:webHidden/>
          </w:rPr>
          <w:fldChar w:fldCharType="begin"/>
        </w:r>
        <w:r w:rsidR="00217180">
          <w:rPr>
            <w:webHidden/>
          </w:rPr>
          <w:instrText xml:space="preserve"> PAGEREF _Toc229072453 \h </w:instrText>
        </w:r>
        <w:r w:rsidR="00217180">
          <w:rPr>
            <w:webHidden/>
          </w:rPr>
        </w:r>
        <w:r w:rsidR="00217180">
          <w:rPr>
            <w:webHidden/>
          </w:rPr>
          <w:fldChar w:fldCharType="separate"/>
        </w:r>
        <w:r w:rsidR="00E00C37">
          <w:rPr>
            <w:webHidden/>
          </w:rPr>
          <w:t>116</w:t>
        </w:r>
        <w:r w:rsidR="00217180">
          <w:rPr>
            <w:webHidden/>
          </w:rPr>
          <w:fldChar w:fldCharType="end"/>
        </w:r>
      </w:hyperlink>
    </w:p>
    <w:p w14:paraId="6AF09A20" w14:textId="6503C320" w:rsidR="00217180" w:rsidRDefault="00AD70C0">
      <w:pPr>
        <w:pStyle w:val="TOC4"/>
        <w:rPr>
          <w:rFonts w:asciiTheme="minorHAnsi" w:eastAsiaTheme="minorEastAsia" w:hAnsiTheme="minorHAnsi" w:cstheme="minorBidi"/>
          <w:sz w:val="22"/>
          <w:szCs w:val="22"/>
          <w:lang w:val="en-AU"/>
        </w:rPr>
      </w:pPr>
      <w:hyperlink w:anchor="_Toc229072454" w:history="1">
        <w:r w:rsidR="00217180" w:rsidRPr="002F5019">
          <w:rPr>
            <w:rStyle w:val="Hyperlink"/>
            <w:lang w:val="en-AU"/>
          </w:rPr>
          <w:t>Appendix B: Top 30 Military Equipment Acquisition Program Approved Projects</w:t>
        </w:r>
        <w:r w:rsidR="00217180">
          <w:rPr>
            <w:webHidden/>
          </w:rPr>
          <w:tab/>
        </w:r>
        <w:r w:rsidR="00217180">
          <w:rPr>
            <w:webHidden/>
          </w:rPr>
          <w:fldChar w:fldCharType="begin"/>
        </w:r>
        <w:r w:rsidR="00217180">
          <w:rPr>
            <w:webHidden/>
          </w:rPr>
          <w:instrText xml:space="preserve"> PAGEREF _Toc229072454 \h </w:instrText>
        </w:r>
        <w:r w:rsidR="00217180">
          <w:rPr>
            <w:webHidden/>
          </w:rPr>
        </w:r>
        <w:r w:rsidR="00217180">
          <w:rPr>
            <w:webHidden/>
          </w:rPr>
          <w:fldChar w:fldCharType="separate"/>
        </w:r>
        <w:r w:rsidR="00E00C37">
          <w:rPr>
            <w:webHidden/>
          </w:rPr>
          <w:t>118</w:t>
        </w:r>
        <w:r w:rsidR="00217180">
          <w:rPr>
            <w:webHidden/>
          </w:rPr>
          <w:fldChar w:fldCharType="end"/>
        </w:r>
      </w:hyperlink>
    </w:p>
    <w:p w14:paraId="2B55BD9B" w14:textId="28A4F135" w:rsidR="00217180" w:rsidRDefault="00AD70C0">
      <w:pPr>
        <w:pStyle w:val="TOC4"/>
        <w:rPr>
          <w:rFonts w:asciiTheme="minorHAnsi" w:eastAsiaTheme="minorEastAsia" w:hAnsiTheme="minorHAnsi" w:cstheme="minorBidi"/>
          <w:sz w:val="22"/>
          <w:szCs w:val="22"/>
          <w:lang w:val="en-AU"/>
        </w:rPr>
      </w:pPr>
      <w:hyperlink w:anchor="_Toc229072455" w:history="1">
        <w:r w:rsidR="00217180" w:rsidRPr="002F5019">
          <w:rPr>
            <w:rStyle w:val="Hyperlink"/>
            <w:lang w:val="en-AU"/>
          </w:rPr>
          <w:t>Appendix C: Top 30 Capability Sustainment Products</w:t>
        </w:r>
        <w:r w:rsidR="00217180">
          <w:rPr>
            <w:webHidden/>
          </w:rPr>
          <w:tab/>
        </w:r>
        <w:r w:rsidR="00217180">
          <w:rPr>
            <w:webHidden/>
          </w:rPr>
          <w:fldChar w:fldCharType="begin"/>
        </w:r>
        <w:r w:rsidR="00217180">
          <w:rPr>
            <w:webHidden/>
          </w:rPr>
          <w:instrText xml:space="preserve"> PAGEREF _Toc229072455 \h </w:instrText>
        </w:r>
        <w:r w:rsidR="00217180">
          <w:rPr>
            <w:webHidden/>
          </w:rPr>
        </w:r>
        <w:r w:rsidR="00217180">
          <w:rPr>
            <w:webHidden/>
          </w:rPr>
          <w:fldChar w:fldCharType="separate"/>
        </w:r>
        <w:r w:rsidR="00E00C37">
          <w:rPr>
            <w:webHidden/>
          </w:rPr>
          <w:t>134</w:t>
        </w:r>
        <w:r w:rsidR="00217180">
          <w:rPr>
            <w:webHidden/>
          </w:rPr>
          <w:fldChar w:fldCharType="end"/>
        </w:r>
      </w:hyperlink>
    </w:p>
    <w:p w14:paraId="1357A014" w14:textId="02D5C8EF" w:rsidR="00217180" w:rsidRDefault="00AD70C0">
      <w:pPr>
        <w:pStyle w:val="TOC4"/>
        <w:rPr>
          <w:rFonts w:asciiTheme="minorHAnsi" w:eastAsiaTheme="minorEastAsia" w:hAnsiTheme="minorHAnsi" w:cstheme="minorBidi"/>
          <w:sz w:val="22"/>
          <w:szCs w:val="22"/>
          <w:lang w:val="en-AU"/>
        </w:rPr>
      </w:pPr>
      <w:hyperlink w:anchor="_Toc229072456" w:history="1">
        <w:r w:rsidR="00217180" w:rsidRPr="002F5019">
          <w:rPr>
            <w:rStyle w:val="Hyperlink"/>
            <w:lang w:val="en-AU"/>
          </w:rPr>
          <w:t>Appendix D: Enterprise Estate and Infrastructure</w:t>
        </w:r>
        <w:r w:rsidR="00217180">
          <w:rPr>
            <w:webHidden/>
          </w:rPr>
          <w:tab/>
        </w:r>
        <w:r w:rsidR="00217180">
          <w:rPr>
            <w:webHidden/>
          </w:rPr>
          <w:fldChar w:fldCharType="begin"/>
        </w:r>
        <w:r w:rsidR="00217180">
          <w:rPr>
            <w:webHidden/>
          </w:rPr>
          <w:instrText xml:space="preserve"> PAGEREF _Toc229072456 \h </w:instrText>
        </w:r>
        <w:r w:rsidR="00217180">
          <w:rPr>
            <w:webHidden/>
          </w:rPr>
        </w:r>
        <w:r w:rsidR="00217180">
          <w:rPr>
            <w:webHidden/>
          </w:rPr>
          <w:fldChar w:fldCharType="separate"/>
        </w:r>
        <w:r w:rsidR="00E00C37">
          <w:rPr>
            <w:webHidden/>
          </w:rPr>
          <w:t>141</w:t>
        </w:r>
        <w:r w:rsidR="00217180">
          <w:rPr>
            <w:webHidden/>
          </w:rPr>
          <w:fldChar w:fldCharType="end"/>
        </w:r>
      </w:hyperlink>
    </w:p>
    <w:p w14:paraId="23A4DEA8" w14:textId="75D257A5" w:rsidR="00217180" w:rsidRDefault="00AD70C0">
      <w:pPr>
        <w:pStyle w:val="TOC4"/>
        <w:rPr>
          <w:rFonts w:asciiTheme="minorHAnsi" w:eastAsiaTheme="minorEastAsia" w:hAnsiTheme="minorHAnsi" w:cstheme="minorBidi"/>
          <w:sz w:val="22"/>
          <w:szCs w:val="22"/>
          <w:lang w:val="en-AU"/>
        </w:rPr>
      </w:pPr>
      <w:hyperlink w:anchor="_Toc229072457" w:history="1">
        <w:r w:rsidR="00217180" w:rsidRPr="002F5019">
          <w:rPr>
            <w:rStyle w:val="Hyperlink"/>
            <w:lang w:val="en-AU"/>
          </w:rPr>
          <w:t>Appendix E: Status of Projects Foreshadowed for Parliamentary Standing Committee on Public Works Consideration in 2026-27</w:t>
        </w:r>
        <w:r w:rsidR="00217180">
          <w:rPr>
            <w:webHidden/>
          </w:rPr>
          <w:tab/>
        </w:r>
        <w:r w:rsidR="00217180">
          <w:rPr>
            <w:webHidden/>
          </w:rPr>
          <w:fldChar w:fldCharType="begin"/>
        </w:r>
        <w:r w:rsidR="00217180">
          <w:rPr>
            <w:webHidden/>
          </w:rPr>
          <w:instrText xml:space="preserve"> PAGEREF _Toc229072457 \h </w:instrText>
        </w:r>
        <w:r w:rsidR="00217180">
          <w:rPr>
            <w:webHidden/>
          </w:rPr>
        </w:r>
        <w:r w:rsidR="00217180">
          <w:rPr>
            <w:webHidden/>
          </w:rPr>
          <w:fldChar w:fldCharType="separate"/>
        </w:r>
        <w:r w:rsidR="00E00C37">
          <w:rPr>
            <w:webHidden/>
          </w:rPr>
          <w:t>156</w:t>
        </w:r>
        <w:r w:rsidR="00217180">
          <w:rPr>
            <w:webHidden/>
          </w:rPr>
          <w:fldChar w:fldCharType="end"/>
        </w:r>
      </w:hyperlink>
    </w:p>
    <w:p w14:paraId="06FEA023" w14:textId="4465B967" w:rsidR="00217180" w:rsidRDefault="00AD70C0">
      <w:pPr>
        <w:pStyle w:val="TOC4"/>
        <w:rPr>
          <w:rFonts w:asciiTheme="minorHAnsi" w:eastAsiaTheme="minorEastAsia" w:hAnsiTheme="minorHAnsi" w:cstheme="minorBidi"/>
          <w:sz w:val="22"/>
          <w:szCs w:val="22"/>
          <w:lang w:val="en-AU"/>
        </w:rPr>
      </w:pPr>
      <w:hyperlink w:anchor="_Toc229072458" w:history="1">
        <w:r w:rsidR="00217180" w:rsidRPr="002F5019">
          <w:rPr>
            <w:rStyle w:val="Hyperlink"/>
            <w:lang w:val="en-AU"/>
          </w:rPr>
          <w:t>Appendix F: Top 5 Information and Communication Technology Approved Projects</w:t>
        </w:r>
        <w:r w:rsidR="00217180">
          <w:rPr>
            <w:webHidden/>
          </w:rPr>
          <w:tab/>
        </w:r>
        <w:r w:rsidR="00217180">
          <w:rPr>
            <w:webHidden/>
          </w:rPr>
          <w:fldChar w:fldCharType="begin"/>
        </w:r>
        <w:r w:rsidR="00217180">
          <w:rPr>
            <w:webHidden/>
          </w:rPr>
          <w:instrText xml:space="preserve"> PAGEREF _Toc229072458 \h </w:instrText>
        </w:r>
        <w:r w:rsidR="00217180">
          <w:rPr>
            <w:webHidden/>
          </w:rPr>
        </w:r>
        <w:r w:rsidR="00217180">
          <w:rPr>
            <w:webHidden/>
          </w:rPr>
          <w:fldChar w:fldCharType="separate"/>
        </w:r>
        <w:r w:rsidR="00E00C37">
          <w:rPr>
            <w:webHidden/>
          </w:rPr>
          <w:t>158</w:t>
        </w:r>
        <w:r w:rsidR="00217180">
          <w:rPr>
            <w:webHidden/>
          </w:rPr>
          <w:fldChar w:fldCharType="end"/>
        </w:r>
      </w:hyperlink>
    </w:p>
    <w:p w14:paraId="71520EAB" w14:textId="79A9B289" w:rsidR="00217180" w:rsidRDefault="00AD70C0">
      <w:pPr>
        <w:pStyle w:val="TOC4"/>
        <w:rPr>
          <w:rFonts w:asciiTheme="minorHAnsi" w:eastAsiaTheme="minorEastAsia" w:hAnsiTheme="minorHAnsi" w:cstheme="minorBidi"/>
          <w:sz w:val="22"/>
          <w:szCs w:val="22"/>
          <w:lang w:val="en-AU"/>
        </w:rPr>
      </w:pPr>
      <w:hyperlink w:anchor="_Toc229072459" w:history="1">
        <w:r w:rsidR="00217180" w:rsidRPr="002F5019">
          <w:rPr>
            <w:rStyle w:val="Hyperlink"/>
            <w:lang w:val="en-AU"/>
          </w:rPr>
          <w:t>Appendix G: Australian Government Indigenous Expenditure</w:t>
        </w:r>
        <w:r w:rsidR="00217180">
          <w:rPr>
            <w:webHidden/>
          </w:rPr>
          <w:tab/>
        </w:r>
        <w:r w:rsidR="00217180">
          <w:rPr>
            <w:webHidden/>
          </w:rPr>
          <w:fldChar w:fldCharType="begin"/>
        </w:r>
        <w:r w:rsidR="00217180">
          <w:rPr>
            <w:webHidden/>
          </w:rPr>
          <w:instrText xml:space="preserve"> PAGEREF _Toc229072459 \h </w:instrText>
        </w:r>
        <w:r w:rsidR="00217180">
          <w:rPr>
            <w:webHidden/>
          </w:rPr>
        </w:r>
        <w:r w:rsidR="00217180">
          <w:rPr>
            <w:webHidden/>
          </w:rPr>
          <w:fldChar w:fldCharType="separate"/>
        </w:r>
        <w:r w:rsidR="00E00C37">
          <w:rPr>
            <w:webHidden/>
          </w:rPr>
          <w:t>160</w:t>
        </w:r>
        <w:r w:rsidR="00217180">
          <w:rPr>
            <w:webHidden/>
          </w:rPr>
          <w:fldChar w:fldCharType="end"/>
        </w:r>
      </w:hyperlink>
    </w:p>
    <w:p w14:paraId="19CB8D43" w14:textId="77777777" w:rsidR="00217180" w:rsidRDefault="00217180">
      <w:pPr>
        <w:pStyle w:val="TOC2"/>
        <w:rPr>
          <w:rStyle w:val="Hyperlink"/>
        </w:rPr>
      </w:pPr>
    </w:p>
    <w:p w14:paraId="7409998C" w14:textId="0D13CF01" w:rsidR="00217180" w:rsidRDefault="00AD70C0">
      <w:pPr>
        <w:pStyle w:val="TOC2"/>
        <w:rPr>
          <w:rFonts w:asciiTheme="minorHAnsi" w:eastAsiaTheme="minorEastAsia" w:hAnsiTheme="minorHAnsi" w:cstheme="minorBidi"/>
          <w:b w:val="0"/>
          <w:caps w:val="0"/>
          <w:sz w:val="22"/>
          <w:szCs w:val="22"/>
          <w:lang w:val="en-AU"/>
        </w:rPr>
      </w:pPr>
      <w:hyperlink w:anchor="_Toc229072460" w:history="1">
        <w:r w:rsidR="00217180" w:rsidRPr="002F5019">
          <w:rPr>
            <w:rStyle w:val="Hyperlink"/>
          </w:rPr>
          <w:t>Australian Signals Directorate</w:t>
        </w:r>
        <w:r w:rsidR="00217180">
          <w:rPr>
            <w:webHidden/>
          </w:rPr>
          <w:tab/>
        </w:r>
        <w:r w:rsidR="00217180">
          <w:rPr>
            <w:webHidden/>
          </w:rPr>
          <w:fldChar w:fldCharType="begin"/>
        </w:r>
        <w:r w:rsidR="00217180">
          <w:rPr>
            <w:webHidden/>
          </w:rPr>
          <w:instrText xml:space="preserve"> PAGEREF _Toc229072460 \h </w:instrText>
        </w:r>
        <w:r w:rsidR="00217180">
          <w:rPr>
            <w:webHidden/>
          </w:rPr>
        </w:r>
        <w:r w:rsidR="00217180">
          <w:rPr>
            <w:webHidden/>
          </w:rPr>
          <w:fldChar w:fldCharType="separate"/>
        </w:r>
        <w:r w:rsidR="00E00C37">
          <w:rPr>
            <w:webHidden/>
          </w:rPr>
          <w:t>163</w:t>
        </w:r>
        <w:r w:rsidR="00217180">
          <w:rPr>
            <w:webHidden/>
          </w:rPr>
          <w:fldChar w:fldCharType="end"/>
        </w:r>
      </w:hyperlink>
    </w:p>
    <w:p w14:paraId="2F549190" w14:textId="2BC1ED8A" w:rsidR="00217180" w:rsidRDefault="00AD70C0">
      <w:pPr>
        <w:pStyle w:val="TOC3"/>
        <w:rPr>
          <w:rFonts w:asciiTheme="minorHAnsi" w:eastAsiaTheme="minorEastAsia" w:hAnsiTheme="minorHAnsi" w:cstheme="minorBidi"/>
          <w:b w:val="0"/>
          <w:sz w:val="22"/>
          <w:szCs w:val="22"/>
          <w:lang w:val="en-AU"/>
        </w:rPr>
      </w:pPr>
      <w:hyperlink w:anchor="_Toc229072461" w:history="1">
        <w:r w:rsidR="00217180" w:rsidRPr="002F5019">
          <w:rPr>
            <w:rStyle w:val="Hyperlink"/>
          </w:rPr>
          <w:t>Section 1: ASD Overview and Resources</w:t>
        </w:r>
        <w:r w:rsidR="00217180">
          <w:rPr>
            <w:webHidden/>
          </w:rPr>
          <w:tab/>
        </w:r>
        <w:r w:rsidR="00217180">
          <w:rPr>
            <w:webHidden/>
          </w:rPr>
          <w:fldChar w:fldCharType="begin"/>
        </w:r>
        <w:r w:rsidR="00217180">
          <w:rPr>
            <w:webHidden/>
          </w:rPr>
          <w:instrText xml:space="preserve"> PAGEREF _Toc229072461 \h </w:instrText>
        </w:r>
        <w:r w:rsidR="00217180">
          <w:rPr>
            <w:webHidden/>
          </w:rPr>
        </w:r>
        <w:r w:rsidR="00217180">
          <w:rPr>
            <w:webHidden/>
          </w:rPr>
          <w:fldChar w:fldCharType="separate"/>
        </w:r>
        <w:r w:rsidR="00E00C37">
          <w:rPr>
            <w:webHidden/>
          </w:rPr>
          <w:t>165</w:t>
        </w:r>
        <w:r w:rsidR="00217180">
          <w:rPr>
            <w:webHidden/>
          </w:rPr>
          <w:fldChar w:fldCharType="end"/>
        </w:r>
      </w:hyperlink>
    </w:p>
    <w:p w14:paraId="5A6104F9" w14:textId="4764A7A2" w:rsidR="00217180" w:rsidRDefault="00AD70C0">
      <w:pPr>
        <w:pStyle w:val="TOC4"/>
        <w:rPr>
          <w:rFonts w:asciiTheme="minorHAnsi" w:eastAsiaTheme="minorEastAsia" w:hAnsiTheme="minorHAnsi" w:cstheme="minorBidi"/>
          <w:sz w:val="22"/>
          <w:szCs w:val="22"/>
          <w:lang w:val="en-AU"/>
        </w:rPr>
      </w:pPr>
      <w:hyperlink w:anchor="_Toc229072462" w:history="1">
        <w:r w:rsidR="00217180" w:rsidRPr="002F5019">
          <w:rPr>
            <w:rStyle w:val="Hyperlink"/>
            <w:lang w:val="en-AU"/>
          </w:rPr>
          <w:t>1.1 Strategic Direction Statement</w:t>
        </w:r>
        <w:r w:rsidR="00217180">
          <w:rPr>
            <w:webHidden/>
          </w:rPr>
          <w:tab/>
        </w:r>
        <w:r w:rsidR="00217180">
          <w:rPr>
            <w:webHidden/>
          </w:rPr>
          <w:fldChar w:fldCharType="begin"/>
        </w:r>
        <w:r w:rsidR="00217180">
          <w:rPr>
            <w:webHidden/>
          </w:rPr>
          <w:instrText xml:space="preserve"> PAGEREF _Toc229072462 \h </w:instrText>
        </w:r>
        <w:r w:rsidR="00217180">
          <w:rPr>
            <w:webHidden/>
          </w:rPr>
        </w:r>
        <w:r w:rsidR="00217180">
          <w:rPr>
            <w:webHidden/>
          </w:rPr>
          <w:fldChar w:fldCharType="separate"/>
        </w:r>
        <w:r w:rsidR="00E00C37">
          <w:rPr>
            <w:webHidden/>
          </w:rPr>
          <w:t>165</w:t>
        </w:r>
        <w:r w:rsidR="00217180">
          <w:rPr>
            <w:webHidden/>
          </w:rPr>
          <w:fldChar w:fldCharType="end"/>
        </w:r>
      </w:hyperlink>
    </w:p>
    <w:p w14:paraId="57089F1F" w14:textId="71850DA9" w:rsidR="00217180" w:rsidRDefault="00AD70C0">
      <w:pPr>
        <w:pStyle w:val="TOC4"/>
        <w:rPr>
          <w:rFonts w:asciiTheme="minorHAnsi" w:eastAsiaTheme="minorEastAsia" w:hAnsiTheme="minorHAnsi" w:cstheme="minorBidi"/>
          <w:sz w:val="22"/>
          <w:szCs w:val="22"/>
          <w:lang w:val="en-AU"/>
        </w:rPr>
      </w:pPr>
      <w:hyperlink w:anchor="_Toc229072463" w:history="1">
        <w:r w:rsidR="00217180" w:rsidRPr="002F5019">
          <w:rPr>
            <w:rStyle w:val="Hyperlink"/>
            <w:lang w:val="en-AU"/>
          </w:rPr>
          <w:t>1.2 ASD Resource Statement</w:t>
        </w:r>
        <w:r w:rsidR="00217180">
          <w:rPr>
            <w:webHidden/>
          </w:rPr>
          <w:tab/>
        </w:r>
        <w:r w:rsidR="00217180">
          <w:rPr>
            <w:webHidden/>
          </w:rPr>
          <w:fldChar w:fldCharType="begin"/>
        </w:r>
        <w:r w:rsidR="00217180">
          <w:rPr>
            <w:webHidden/>
          </w:rPr>
          <w:instrText xml:space="preserve"> PAGEREF _Toc229072463 \h </w:instrText>
        </w:r>
        <w:r w:rsidR="00217180">
          <w:rPr>
            <w:webHidden/>
          </w:rPr>
        </w:r>
        <w:r w:rsidR="00217180">
          <w:rPr>
            <w:webHidden/>
          </w:rPr>
          <w:fldChar w:fldCharType="separate"/>
        </w:r>
        <w:r w:rsidR="00E00C37">
          <w:rPr>
            <w:webHidden/>
          </w:rPr>
          <w:t>169</w:t>
        </w:r>
        <w:r w:rsidR="00217180">
          <w:rPr>
            <w:webHidden/>
          </w:rPr>
          <w:fldChar w:fldCharType="end"/>
        </w:r>
      </w:hyperlink>
    </w:p>
    <w:p w14:paraId="00CD39DD" w14:textId="332DCC79" w:rsidR="00217180" w:rsidRDefault="00AD70C0">
      <w:pPr>
        <w:pStyle w:val="TOC4"/>
        <w:rPr>
          <w:rFonts w:asciiTheme="minorHAnsi" w:eastAsiaTheme="minorEastAsia" w:hAnsiTheme="minorHAnsi" w:cstheme="minorBidi"/>
          <w:sz w:val="22"/>
          <w:szCs w:val="22"/>
          <w:lang w:val="en-AU"/>
        </w:rPr>
      </w:pPr>
      <w:hyperlink w:anchor="_Toc229072464" w:history="1">
        <w:r w:rsidR="00217180" w:rsidRPr="002F5019">
          <w:rPr>
            <w:rStyle w:val="Hyperlink"/>
            <w:lang w:val="en-AU"/>
          </w:rPr>
          <w:t>1.3 Budget Measures</w:t>
        </w:r>
        <w:r w:rsidR="00217180">
          <w:rPr>
            <w:webHidden/>
          </w:rPr>
          <w:tab/>
        </w:r>
        <w:r w:rsidR="00217180">
          <w:rPr>
            <w:webHidden/>
          </w:rPr>
          <w:fldChar w:fldCharType="begin"/>
        </w:r>
        <w:r w:rsidR="00217180">
          <w:rPr>
            <w:webHidden/>
          </w:rPr>
          <w:instrText xml:space="preserve"> PAGEREF _Toc229072464 \h </w:instrText>
        </w:r>
        <w:r w:rsidR="00217180">
          <w:rPr>
            <w:webHidden/>
          </w:rPr>
        </w:r>
        <w:r w:rsidR="00217180">
          <w:rPr>
            <w:webHidden/>
          </w:rPr>
          <w:fldChar w:fldCharType="separate"/>
        </w:r>
        <w:r w:rsidR="00E00C37">
          <w:rPr>
            <w:webHidden/>
          </w:rPr>
          <w:t>170</w:t>
        </w:r>
        <w:r w:rsidR="00217180">
          <w:rPr>
            <w:webHidden/>
          </w:rPr>
          <w:fldChar w:fldCharType="end"/>
        </w:r>
      </w:hyperlink>
    </w:p>
    <w:p w14:paraId="5C317F57" w14:textId="41315F6E" w:rsidR="00217180" w:rsidRDefault="00AD70C0">
      <w:pPr>
        <w:pStyle w:val="TOC3"/>
        <w:rPr>
          <w:rFonts w:asciiTheme="minorHAnsi" w:eastAsiaTheme="minorEastAsia" w:hAnsiTheme="minorHAnsi" w:cstheme="minorBidi"/>
          <w:b w:val="0"/>
          <w:sz w:val="22"/>
          <w:szCs w:val="22"/>
          <w:lang w:val="en-AU"/>
        </w:rPr>
      </w:pPr>
      <w:hyperlink w:anchor="_Toc229072465" w:history="1">
        <w:r w:rsidR="00217180" w:rsidRPr="002F5019">
          <w:rPr>
            <w:rStyle w:val="Hyperlink"/>
          </w:rPr>
          <w:t>Section 2: ASD Outcomes and Planned Performance</w:t>
        </w:r>
        <w:r w:rsidR="00217180">
          <w:rPr>
            <w:webHidden/>
          </w:rPr>
          <w:tab/>
        </w:r>
        <w:r w:rsidR="00217180">
          <w:rPr>
            <w:webHidden/>
          </w:rPr>
          <w:fldChar w:fldCharType="begin"/>
        </w:r>
        <w:r w:rsidR="00217180">
          <w:rPr>
            <w:webHidden/>
          </w:rPr>
          <w:instrText xml:space="preserve"> PAGEREF _Toc229072465 \h </w:instrText>
        </w:r>
        <w:r w:rsidR="00217180">
          <w:rPr>
            <w:webHidden/>
          </w:rPr>
        </w:r>
        <w:r w:rsidR="00217180">
          <w:rPr>
            <w:webHidden/>
          </w:rPr>
          <w:fldChar w:fldCharType="separate"/>
        </w:r>
        <w:r w:rsidR="00E00C37">
          <w:rPr>
            <w:webHidden/>
          </w:rPr>
          <w:t>171</w:t>
        </w:r>
        <w:r w:rsidR="00217180">
          <w:rPr>
            <w:webHidden/>
          </w:rPr>
          <w:fldChar w:fldCharType="end"/>
        </w:r>
      </w:hyperlink>
    </w:p>
    <w:p w14:paraId="71EF2550" w14:textId="50A06171" w:rsidR="00217180" w:rsidRDefault="00AD70C0">
      <w:pPr>
        <w:pStyle w:val="TOC4"/>
        <w:rPr>
          <w:rFonts w:asciiTheme="minorHAnsi" w:eastAsiaTheme="minorEastAsia" w:hAnsiTheme="minorHAnsi" w:cstheme="minorBidi"/>
          <w:sz w:val="22"/>
          <w:szCs w:val="22"/>
          <w:lang w:val="en-AU"/>
        </w:rPr>
      </w:pPr>
      <w:hyperlink w:anchor="_Toc229072466" w:history="1">
        <w:r w:rsidR="00217180" w:rsidRPr="002F5019">
          <w:rPr>
            <w:rStyle w:val="Hyperlink"/>
            <w:lang w:val="en-AU"/>
          </w:rPr>
          <w:t>2.1 Budgeted Expenses and Performance for Outcome 1</w:t>
        </w:r>
        <w:r w:rsidR="00217180">
          <w:rPr>
            <w:webHidden/>
          </w:rPr>
          <w:tab/>
        </w:r>
        <w:r w:rsidR="00217180">
          <w:rPr>
            <w:webHidden/>
          </w:rPr>
          <w:fldChar w:fldCharType="begin"/>
        </w:r>
        <w:r w:rsidR="00217180">
          <w:rPr>
            <w:webHidden/>
          </w:rPr>
          <w:instrText xml:space="preserve"> PAGEREF _Toc229072466 \h </w:instrText>
        </w:r>
        <w:r w:rsidR="00217180">
          <w:rPr>
            <w:webHidden/>
          </w:rPr>
        </w:r>
        <w:r w:rsidR="00217180">
          <w:rPr>
            <w:webHidden/>
          </w:rPr>
          <w:fldChar w:fldCharType="separate"/>
        </w:r>
        <w:r w:rsidR="00E00C37">
          <w:rPr>
            <w:webHidden/>
          </w:rPr>
          <w:t>172</w:t>
        </w:r>
        <w:r w:rsidR="00217180">
          <w:rPr>
            <w:webHidden/>
          </w:rPr>
          <w:fldChar w:fldCharType="end"/>
        </w:r>
      </w:hyperlink>
    </w:p>
    <w:p w14:paraId="7E776B44" w14:textId="7522CE88" w:rsidR="00217180" w:rsidRDefault="00AD70C0">
      <w:pPr>
        <w:pStyle w:val="TOC3"/>
        <w:rPr>
          <w:rFonts w:asciiTheme="minorHAnsi" w:eastAsiaTheme="minorEastAsia" w:hAnsiTheme="minorHAnsi" w:cstheme="minorBidi"/>
          <w:b w:val="0"/>
          <w:sz w:val="22"/>
          <w:szCs w:val="22"/>
          <w:lang w:val="en-AU"/>
        </w:rPr>
      </w:pPr>
      <w:hyperlink w:anchor="_Toc229072467" w:history="1">
        <w:r w:rsidR="00217180" w:rsidRPr="002F5019">
          <w:rPr>
            <w:rStyle w:val="Hyperlink"/>
          </w:rPr>
          <w:t>Section 3: ASD Explanatory Tables and Budgeted Financial Statements</w:t>
        </w:r>
        <w:r w:rsidR="00217180">
          <w:rPr>
            <w:webHidden/>
          </w:rPr>
          <w:tab/>
        </w:r>
        <w:r w:rsidR="00217180">
          <w:rPr>
            <w:webHidden/>
          </w:rPr>
          <w:fldChar w:fldCharType="begin"/>
        </w:r>
        <w:r w:rsidR="00217180">
          <w:rPr>
            <w:webHidden/>
          </w:rPr>
          <w:instrText xml:space="preserve"> PAGEREF _Toc229072467 \h </w:instrText>
        </w:r>
        <w:r w:rsidR="00217180">
          <w:rPr>
            <w:webHidden/>
          </w:rPr>
        </w:r>
        <w:r w:rsidR="00217180">
          <w:rPr>
            <w:webHidden/>
          </w:rPr>
          <w:fldChar w:fldCharType="separate"/>
        </w:r>
        <w:r w:rsidR="00E00C37">
          <w:rPr>
            <w:webHidden/>
          </w:rPr>
          <w:t>176</w:t>
        </w:r>
        <w:r w:rsidR="00217180">
          <w:rPr>
            <w:webHidden/>
          </w:rPr>
          <w:fldChar w:fldCharType="end"/>
        </w:r>
      </w:hyperlink>
    </w:p>
    <w:p w14:paraId="465AFD9F" w14:textId="4633F782" w:rsidR="00217180" w:rsidRDefault="00AD70C0">
      <w:pPr>
        <w:pStyle w:val="TOC4"/>
        <w:rPr>
          <w:rFonts w:asciiTheme="minorHAnsi" w:eastAsiaTheme="minorEastAsia" w:hAnsiTheme="minorHAnsi" w:cstheme="minorBidi"/>
          <w:sz w:val="22"/>
          <w:szCs w:val="22"/>
          <w:lang w:val="en-AU"/>
        </w:rPr>
      </w:pPr>
      <w:hyperlink w:anchor="_Toc229072468" w:history="1">
        <w:r w:rsidR="00217180" w:rsidRPr="002F5019">
          <w:rPr>
            <w:rStyle w:val="Hyperlink"/>
            <w:lang w:val="en-AU"/>
          </w:rPr>
          <w:t>3.1 Explanatory Tables</w:t>
        </w:r>
        <w:r w:rsidR="00217180">
          <w:rPr>
            <w:webHidden/>
          </w:rPr>
          <w:tab/>
        </w:r>
        <w:r w:rsidR="00217180">
          <w:rPr>
            <w:webHidden/>
          </w:rPr>
          <w:fldChar w:fldCharType="begin"/>
        </w:r>
        <w:r w:rsidR="00217180">
          <w:rPr>
            <w:webHidden/>
          </w:rPr>
          <w:instrText xml:space="preserve"> PAGEREF _Toc229072468 \h </w:instrText>
        </w:r>
        <w:r w:rsidR="00217180">
          <w:rPr>
            <w:webHidden/>
          </w:rPr>
        </w:r>
        <w:r w:rsidR="00217180">
          <w:rPr>
            <w:webHidden/>
          </w:rPr>
          <w:fldChar w:fldCharType="separate"/>
        </w:r>
        <w:r w:rsidR="00E00C37">
          <w:rPr>
            <w:webHidden/>
          </w:rPr>
          <w:t>176</w:t>
        </w:r>
        <w:r w:rsidR="00217180">
          <w:rPr>
            <w:webHidden/>
          </w:rPr>
          <w:fldChar w:fldCharType="end"/>
        </w:r>
      </w:hyperlink>
    </w:p>
    <w:p w14:paraId="2BC0A896" w14:textId="04FC2BBA" w:rsidR="00217180" w:rsidRDefault="00AD70C0">
      <w:pPr>
        <w:pStyle w:val="TOC4"/>
        <w:rPr>
          <w:rFonts w:asciiTheme="minorHAnsi" w:eastAsiaTheme="minorEastAsia" w:hAnsiTheme="minorHAnsi" w:cstheme="minorBidi"/>
          <w:sz w:val="22"/>
          <w:szCs w:val="22"/>
          <w:lang w:val="en-AU"/>
        </w:rPr>
      </w:pPr>
      <w:hyperlink w:anchor="_Toc229072469" w:history="1">
        <w:r w:rsidR="00217180" w:rsidRPr="002F5019">
          <w:rPr>
            <w:rStyle w:val="Hyperlink"/>
            <w:lang w:val="en-AU"/>
          </w:rPr>
          <w:t>3.2 Budgeted Financial Statements</w:t>
        </w:r>
        <w:r w:rsidR="00217180">
          <w:rPr>
            <w:webHidden/>
          </w:rPr>
          <w:tab/>
        </w:r>
        <w:r w:rsidR="00217180">
          <w:rPr>
            <w:webHidden/>
          </w:rPr>
          <w:fldChar w:fldCharType="begin"/>
        </w:r>
        <w:r w:rsidR="00217180">
          <w:rPr>
            <w:webHidden/>
          </w:rPr>
          <w:instrText xml:space="preserve"> PAGEREF _Toc229072469 \h </w:instrText>
        </w:r>
        <w:r w:rsidR="00217180">
          <w:rPr>
            <w:webHidden/>
          </w:rPr>
        </w:r>
        <w:r w:rsidR="00217180">
          <w:rPr>
            <w:webHidden/>
          </w:rPr>
          <w:fldChar w:fldCharType="separate"/>
        </w:r>
        <w:r w:rsidR="00E00C37">
          <w:rPr>
            <w:webHidden/>
          </w:rPr>
          <w:t>177</w:t>
        </w:r>
        <w:r w:rsidR="00217180">
          <w:rPr>
            <w:webHidden/>
          </w:rPr>
          <w:fldChar w:fldCharType="end"/>
        </w:r>
      </w:hyperlink>
    </w:p>
    <w:p w14:paraId="19104495" w14:textId="28387518" w:rsidR="00217180" w:rsidRDefault="00AD70C0">
      <w:pPr>
        <w:pStyle w:val="TOC2"/>
        <w:rPr>
          <w:rFonts w:asciiTheme="minorHAnsi" w:eastAsiaTheme="minorEastAsia" w:hAnsiTheme="minorHAnsi" w:cstheme="minorBidi"/>
          <w:b w:val="0"/>
          <w:caps w:val="0"/>
          <w:sz w:val="22"/>
          <w:szCs w:val="22"/>
          <w:lang w:val="en-AU"/>
        </w:rPr>
      </w:pPr>
      <w:hyperlink w:anchor="_Toc229072470" w:history="1">
        <w:r w:rsidR="00217180" w:rsidRPr="002F5019">
          <w:rPr>
            <w:rStyle w:val="Hyperlink"/>
          </w:rPr>
          <w:t>Australian Submarine Agency</w:t>
        </w:r>
        <w:r w:rsidR="00217180">
          <w:rPr>
            <w:webHidden/>
          </w:rPr>
          <w:tab/>
        </w:r>
        <w:r w:rsidR="00217180">
          <w:rPr>
            <w:webHidden/>
          </w:rPr>
          <w:fldChar w:fldCharType="begin"/>
        </w:r>
        <w:r w:rsidR="00217180">
          <w:rPr>
            <w:webHidden/>
          </w:rPr>
          <w:instrText xml:space="preserve"> PAGEREF _Toc229072470 \h </w:instrText>
        </w:r>
        <w:r w:rsidR="00217180">
          <w:rPr>
            <w:webHidden/>
          </w:rPr>
        </w:r>
        <w:r w:rsidR="00217180">
          <w:rPr>
            <w:webHidden/>
          </w:rPr>
          <w:fldChar w:fldCharType="separate"/>
        </w:r>
        <w:r w:rsidR="00E00C37">
          <w:rPr>
            <w:webHidden/>
          </w:rPr>
          <w:t>185</w:t>
        </w:r>
        <w:r w:rsidR="00217180">
          <w:rPr>
            <w:webHidden/>
          </w:rPr>
          <w:fldChar w:fldCharType="end"/>
        </w:r>
      </w:hyperlink>
    </w:p>
    <w:p w14:paraId="2023C38D" w14:textId="6DCDF15A" w:rsidR="00217180" w:rsidRDefault="00AD70C0">
      <w:pPr>
        <w:pStyle w:val="TOC3"/>
        <w:rPr>
          <w:rFonts w:asciiTheme="minorHAnsi" w:eastAsiaTheme="minorEastAsia" w:hAnsiTheme="minorHAnsi" w:cstheme="minorBidi"/>
          <w:b w:val="0"/>
          <w:sz w:val="22"/>
          <w:szCs w:val="22"/>
          <w:lang w:val="en-AU"/>
        </w:rPr>
      </w:pPr>
      <w:hyperlink w:anchor="_Toc229072471" w:history="1">
        <w:r w:rsidR="00217180" w:rsidRPr="002F5019">
          <w:rPr>
            <w:rStyle w:val="Hyperlink"/>
          </w:rPr>
          <w:t>Section 1: ASA Overview and Resources</w:t>
        </w:r>
        <w:r w:rsidR="00217180">
          <w:rPr>
            <w:webHidden/>
          </w:rPr>
          <w:tab/>
        </w:r>
        <w:r w:rsidR="00217180">
          <w:rPr>
            <w:webHidden/>
          </w:rPr>
          <w:fldChar w:fldCharType="begin"/>
        </w:r>
        <w:r w:rsidR="00217180">
          <w:rPr>
            <w:webHidden/>
          </w:rPr>
          <w:instrText xml:space="preserve"> PAGEREF _Toc229072471 \h </w:instrText>
        </w:r>
        <w:r w:rsidR="00217180">
          <w:rPr>
            <w:webHidden/>
          </w:rPr>
        </w:r>
        <w:r w:rsidR="00217180">
          <w:rPr>
            <w:webHidden/>
          </w:rPr>
          <w:fldChar w:fldCharType="separate"/>
        </w:r>
        <w:r w:rsidR="00E00C37">
          <w:rPr>
            <w:webHidden/>
          </w:rPr>
          <w:t>187</w:t>
        </w:r>
        <w:r w:rsidR="00217180">
          <w:rPr>
            <w:webHidden/>
          </w:rPr>
          <w:fldChar w:fldCharType="end"/>
        </w:r>
      </w:hyperlink>
    </w:p>
    <w:p w14:paraId="1711AD46" w14:textId="7248B4B6" w:rsidR="00217180" w:rsidRDefault="00AD70C0">
      <w:pPr>
        <w:pStyle w:val="TOC4"/>
        <w:rPr>
          <w:rFonts w:asciiTheme="minorHAnsi" w:eastAsiaTheme="minorEastAsia" w:hAnsiTheme="minorHAnsi" w:cstheme="minorBidi"/>
          <w:sz w:val="22"/>
          <w:szCs w:val="22"/>
          <w:lang w:val="en-AU"/>
        </w:rPr>
      </w:pPr>
      <w:hyperlink w:anchor="_Toc229072472" w:history="1">
        <w:r w:rsidR="00217180" w:rsidRPr="002F5019">
          <w:rPr>
            <w:rStyle w:val="Hyperlink"/>
          </w:rPr>
          <w:t>1.1 Strategic Direction Statement</w:t>
        </w:r>
        <w:r w:rsidR="00217180">
          <w:rPr>
            <w:webHidden/>
          </w:rPr>
          <w:tab/>
        </w:r>
        <w:r w:rsidR="00217180">
          <w:rPr>
            <w:webHidden/>
          </w:rPr>
          <w:fldChar w:fldCharType="begin"/>
        </w:r>
        <w:r w:rsidR="00217180">
          <w:rPr>
            <w:webHidden/>
          </w:rPr>
          <w:instrText xml:space="preserve"> PAGEREF _Toc229072472 \h </w:instrText>
        </w:r>
        <w:r w:rsidR="00217180">
          <w:rPr>
            <w:webHidden/>
          </w:rPr>
        </w:r>
        <w:r w:rsidR="00217180">
          <w:rPr>
            <w:webHidden/>
          </w:rPr>
          <w:fldChar w:fldCharType="separate"/>
        </w:r>
        <w:r w:rsidR="00E00C37">
          <w:rPr>
            <w:webHidden/>
          </w:rPr>
          <w:t>187</w:t>
        </w:r>
        <w:r w:rsidR="00217180">
          <w:rPr>
            <w:webHidden/>
          </w:rPr>
          <w:fldChar w:fldCharType="end"/>
        </w:r>
      </w:hyperlink>
    </w:p>
    <w:p w14:paraId="1C3120FC" w14:textId="24E19717" w:rsidR="00217180" w:rsidRDefault="00AD70C0">
      <w:pPr>
        <w:pStyle w:val="TOC4"/>
        <w:rPr>
          <w:rFonts w:asciiTheme="minorHAnsi" w:eastAsiaTheme="minorEastAsia" w:hAnsiTheme="minorHAnsi" w:cstheme="minorBidi"/>
          <w:sz w:val="22"/>
          <w:szCs w:val="22"/>
          <w:lang w:val="en-AU"/>
        </w:rPr>
      </w:pPr>
      <w:hyperlink w:anchor="_Toc229072473" w:history="1">
        <w:r w:rsidR="00217180" w:rsidRPr="002F5019">
          <w:rPr>
            <w:rStyle w:val="Hyperlink"/>
            <w:lang w:val="en-AU"/>
          </w:rPr>
          <w:t>1.2 ASA Resource Statement</w:t>
        </w:r>
        <w:r w:rsidR="00217180">
          <w:rPr>
            <w:webHidden/>
          </w:rPr>
          <w:tab/>
        </w:r>
        <w:r w:rsidR="00217180">
          <w:rPr>
            <w:webHidden/>
          </w:rPr>
          <w:fldChar w:fldCharType="begin"/>
        </w:r>
        <w:r w:rsidR="00217180">
          <w:rPr>
            <w:webHidden/>
          </w:rPr>
          <w:instrText xml:space="preserve"> PAGEREF _Toc229072473 \h </w:instrText>
        </w:r>
        <w:r w:rsidR="00217180">
          <w:rPr>
            <w:webHidden/>
          </w:rPr>
        </w:r>
        <w:r w:rsidR="00217180">
          <w:rPr>
            <w:webHidden/>
          </w:rPr>
          <w:fldChar w:fldCharType="separate"/>
        </w:r>
        <w:r w:rsidR="00E00C37">
          <w:rPr>
            <w:webHidden/>
          </w:rPr>
          <w:t>190</w:t>
        </w:r>
        <w:r w:rsidR="00217180">
          <w:rPr>
            <w:webHidden/>
          </w:rPr>
          <w:fldChar w:fldCharType="end"/>
        </w:r>
      </w:hyperlink>
    </w:p>
    <w:p w14:paraId="23CB331F" w14:textId="0316BB0B" w:rsidR="00217180" w:rsidRDefault="00AD70C0">
      <w:pPr>
        <w:pStyle w:val="TOC4"/>
        <w:rPr>
          <w:rFonts w:asciiTheme="minorHAnsi" w:eastAsiaTheme="minorEastAsia" w:hAnsiTheme="minorHAnsi" w:cstheme="minorBidi"/>
          <w:sz w:val="22"/>
          <w:szCs w:val="22"/>
          <w:lang w:val="en-AU"/>
        </w:rPr>
      </w:pPr>
      <w:hyperlink w:anchor="_Toc229072474" w:history="1">
        <w:r w:rsidR="00217180" w:rsidRPr="002F5019">
          <w:rPr>
            <w:rStyle w:val="Hyperlink"/>
          </w:rPr>
          <w:t>1.3 Budget Measures</w:t>
        </w:r>
        <w:r w:rsidR="00217180">
          <w:rPr>
            <w:webHidden/>
          </w:rPr>
          <w:tab/>
        </w:r>
        <w:r w:rsidR="00217180">
          <w:rPr>
            <w:webHidden/>
          </w:rPr>
          <w:fldChar w:fldCharType="begin"/>
        </w:r>
        <w:r w:rsidR="00217180">
          <w:rPr>
            <w:webHidden/>
          </w:rPr>
          <w:instrText xml:space="preserve"> PAGEREF _Toc229072474 \h </w:instrText>
        </w:r>
        <w:r w:rsidR="00217180">
          <w:rPr>
            <w:webHidden/>
          </w:rPr>
        </w:r>
        <w:r w:rsidR="00217180">
          <w:rPr>
            <w:webHidden/>
          </w:rPr>
          <w:fldChar w:fldCharType="separate"/>
        </w:r>
        <w:r w:rsidR="00E00C37">
          <w:rPr>
            <w:webHidden/>
          </w:rPr>
          <w:t>191</w:t>
        </w:r>
        <w:r w:rsidR="00217180">
          <w:rPr>
            <w:webHidden/>
          </w:rPr>
          <w:fldChar w:fldCharType="end"/>
        </w:r>
      </w:hyperlink>
    </w:p>
    <w:p w14:paraId="4575025B" w14:textId="48F1ECF6" w:rsidR="00217180" w:rsidRDefault="00AD70C0">
      <w:pPr>
        <w:pStyle w:val="TOC3"/>
        <w:rPr>
          <w:rFonts w:asciiTheme="minorHAnsi" w:eastAsiaTheme="minorEastAsia" w:hAnsiTheme="minorHAnsi" w:cstheme="minorBidi"/>
          <w:b w:val="0"/>
          <w:sz w:val="22"/>
          <w:szCs w:val="22"/>
          <w:lang w:val="en-AU"/>
        </w:rPr>
      </w:pPr>
      <w:hyperlink w:anchor="_Toc229072475" w:history="1">
        <w:r w:rsidR="00217180" w:rsidRPr="002F5019">
          <w:rPr>
            <w:rStyle w:val="Hyperlink"/>
          </w:rPr>
          <w:t>Section 2: ASA Outcomes and Planned Performance</w:t>
        </w:r>
        <w:r w:rsidR="00217180">
          <w:rPr>
            <w:webHidden/>
          </w:rPr>
          <w:tab/>
        </w:r>
        <w:r w:rsidR="00217180">
          <w:rPr>
            <w:webHidden/>
          </w:rPr>
          <w:fldChar w:fldCharType="begin"/>
        </w:r>
        <w:r w:rsidR="00217180">
          <w:rPr>
            <w:webHidden/>
          </w:rPr>
          <w:instrText xml:space="preserve"> PAGEREF _Toc229072475 \h </w:instrText>
        </w:r>
        <w:r w:rsidR="00217180">
          <w:rPr>
            <w:webHidden/>
          </w:rPr>
        </w:r>
        <w:r w:rsidR="00217180">
          <w:rPr>
            <w:webHidden/>
          </w:rPr>
          <w:fldChar w:fldCharType="separate"/>
        </w:r>
        <w:r w:rsidR="00E00C37">
          <w:rPr>
            <w:webHidden/>
          </w:rPr>
          <w:t>192</w:t>
        </w:r>
        <w:r w:rsidR="00217180">
          <w:rPr>
            <w:webHidden/>
          </w:rPr>
          <w:fldChar w:fldCharType="end"/>
        </w:r>
      </w:hyperlink>
    </w:p>
    <w:p w14:paraId="34E82B96" w14:textId="5262AB17" w:rsidR="00217180" w:rsidRDefault="00AD70C0">
      <w:pPr>
        <w:pStyle w:val="TOC4"/>
        <w:rPr>
          <w:rFonts w:asciiTheme="minorHAnsi" w:eastAsiaTheme="minorEastAsia" w:hAnsiTheme="minorHAnsi" w:cstheme="minorBidi"/>
          <w:sz w:val="22"/>
          <w:szCs w:val="22"/>
          <w:lang w:val="en-AU"/>
        </w:rPr>
      </w:pPr>
      <w:hyperlink w:anchor="_Toc229072476" w:history="1">
        <w:r w:rsidR="00217180" w:rsidRPr="002F5019">
          <w:rPr>
            <w:rStyle w:val="Hyperlink"/>
          </w:rPr>
          <w:t>2.1 Budgeted Expenses and Performance for Outcome 1</w:t>
        </w:r>
        <w:r w:rsidR="00217180">
          <w:rPr>
            <w:webHidden/>
          </w:rPr>
          <w:tab/>
        </w:r>
        <w:r w:rsidR="00217180">
          <w:rPr>
            <w:webHidden/>
          </w:rPr>
          <w:fldChar w:fldCharType="begin"/>
        </w:r>
        <w:r w:rsidR="00217180">
          <w:rPr>
            <w:webHidden/>
          </w:rPr>
          <w:instrText xml:space="preserve"> PAGEREF _Toc229072476 \h </w:instrText>
        </w:r>
        <w:r w:rsidR="00217180">
          <w:rPr>
            <w:webHidden/>
          </w:rPr>
        </w:r>
        <w:r w:rsidR="00217180">
          <w:rPr>
            <w:webHidden/>
          </w:rPr>
          <w:fldChar w:fldCharType="separate"/>
        </w:r>
        <w:r w:rsidR="00E00C37">
          <w:rPr>
            <w:webHidden/>
          </w:rPr>
          <w:t>193</w:t>
        </w:r>
        <w:r w:rsidR="00217180">
          <w:rPr>
            <w:webHidden/>
          </w:rPr>
          <w:fldChar w:fldCharType="end"/>
        </w:r>
      </w:hyperlink>
    </w:p>
    <w:p w14:paraId="49DCDAC1" w14:textId="77BD11CF" w:rsidR="00217180" w:rsidRDefault="00AD70C0">
      <w:pPr>
        <w:pStyle w:val="TOC3"/>
        <w:rPr>
          <w:rFonts w:asciiTheme="minorHAnsi" w:eastAsiaTheme="minorEastAsia" w:hAnsiTheme="minorHAnsi" w:cstheme="minorBidi"/>
          <w:b w:val="0"/>
          <w:sz w:val="22"/>
          <w:szCs w:val="22"/>
          <w:lang w:val="en-AU"/>
        </w:rPr>
      </w:pPr>
      <w:hyperlink w:anchor="_Toc229072477" w:history="1">
        <w:r w:rsidR="00217180" w:rsidRPr="002F5019">
          <w:rPr>
            <w:rStyle w:val="Hyperlink"/>
          </w:rPr>
          <w:t>Section 3: ASA Explanatory Tables and Budgeted Financial Statements</w:t>
        </w:r>
        <w:r w:rsidR="00217180">
          <w:rPr>
            <w:webHidden/>
          </w:rPr>
          <w:tab/>
        </w:r>
        <w:r w:rsidR="00217180">
          <w:rPr>
            <w:webHidden/>
          </w:rPr>
          <w:fldChar w:fldCharType="begin"/>
        </w:r>
        <w:r w:rsidR="00217180">
          <w:rPr>
            <w:webHidden/>
          </w:rPr>
          <w:instrText xml:space="preserve"> PAGEREF _Toc229072477 \h </w:instrText>
        </w:r>
        <w:r w:rsidR="00217180">
          <w:rPr>
            <w:webHidden/>
          </w:rPr>
        </w:r>
        <w:r w:rsidR="00217180">
          <w:rPr>
            <w:webHidden/>
          </w:rPr>
          <w:fldChar w:fldCharType="separate"/>
        </w:r>
        <w:r w:rsidR="00E00C37">
          <w:rPr>
            <w:webHidden/>
          </w:rPr>
          <w:t>198</w:t>
        </w:r>
        <w:r w:rsidR="00217180">
          <w:rPr>
            <w:webHidden/>
          </w:rPr>
          <w:fldChar w:fldCharType="end"/>
        </w:r>
      </w:hyperlink>
    </w:p>
    <w:p w14:paraId="38C0FFF8" w14:textId="47BB2F10" w:rsidR="00217180" w:rsidRDefault="00AD70C0">
      <w:pPr>
        <w:pStyle w:val="TOC4"/>
        <w:rPr>
          <w:rFonts w:asciiTheme="minorHAnsi" w:eastAsiaTheme="minorEastAsia" w:hAnsiTheme="minorHAnsi" w:cstheme="minorBidi"/>
          <w:sz w:val="22"/>
          <w:szCs w:val="22"/>
          <w:lang w:val="en-AU"/>
        </w:rPr>
      </w:pPr>
      <w:hyperlink w:anchor="_Toc229072478" w:history="1">
        <w:r w:rsidR="00217180" w:rsidRPr="002F5019">
          <w:rPr>
            <w:rStyle w:val="Hyperlink"/>
          </w:rPr>
          <w:t>3.1 Explanatory Tables</w:t>
        </w:r>
        <w:r w:rsidR="00217180">
          <w:rPr>
            <w:webHidden/>
          </w:rPr>
          <w:tab/>
        </w:r>
        <w:r w:rsidR="00217180">
          <w:rPr>
            <w:webHidden/>
          </w:rPr>
          <w:fldChar w:fldCharType="begin"/>
        </w:r>
        <w:r w:rsidR="00217180">
          <w:rPr>
            <w:webHidden/>
          </w:rPr>
          <w:instrText xml:space="preserve"> PAGEREF _Toc229072478 \h </w:instrText>
        </w:r>
        <w:r w:rsidR="00217180">
          <w:rPr>
            <w:webHidden/>
          </w:rPr>
        </w:r>
        <w:r w:rsidR="00217180">
          <w:rPr>
            <w:webHidden/>
          </w:rPr>
          <w:fldChar w:fldCharType="separate"/>
        </w:r>
        <w:r w:rsidR="00E00C37">
          <w:rPr>
            <w:webHidden/>
          </w:rPr>
          <w:t>198</w:t>
        </w:r>
        <w:r w:rsidR="00217180">
          <w:rPr>
            <w:webHidden/>
          </w:rPr>
          <w:fldChar w:fldCharType="end"/>
        </w:r>
      </w:hyperlink>
    </w:p>
    <w:p w14:paraId="5F28AF79" w14:textId="4852BB3A" w:rsidR="00217180" w:rsidRDefault="00AD70C0">
      <w:pPr>
        <w:pStyle w:val="TOC4"/>
        <w:rPr>
          <w:rFonts w:asciiTheme="minorHAnsi" w:eastAsiaTheme="minorEastAsia" w:hAnsiTheme="minorHAnsi" w:cstheme="minorBidi"/>
          <w:sz w:val="22"/>
          <w:szCs w:val="22"/>
          <w:lang w:val="en-AU"/>
        </w:rPr>
      </w:pPr>
      <w:hyperlink w:anchor="_Toc229072479" w:history="1">
        <w:r w:rsidR="00217180" w:rsidRPr="002F5019">
          <w:rPr>
            <w:rStyle w:val="Hyperlink"/>
          </w:rPr>
          <w:t>3.2 Budgeted Financial Statements</w:t>
        </w:r>
        <w:r w:rsidR="00217180">
          <w:rPr>
            <w:webHidden/>
          </w:rPr>
          <w:tab/>
        </w:r>
        <w:r w:rsidR="00217180">
          <w:rPr>
            <w:webHidden/>
          </w:rPr>
          <w:fldChar w:fldCharType="begin"/>
        </w:r>
        <w:r w:rsidR="00217180">
          <w:rPr>
            <w:webHidden/>
          </w:rPr>
          <w:instrText xml:space="preserve"> PAGEREF _Toc229072479 \h </w:instrText>
        </w:r>
        <w:r w:rsidR="00217180">
          <w:rPr>
            <w:webHidden/>
          </w:rPr>
        </w:r>
        <w:r w:rsidR="00217180">
          <w:rPr>
            <w:webHidden/>
          </w:rPr>
          <w:fldChar w:fldCharType="separate"/>
        </w:r>
        <w:r w:rsidR="00E00C37">
          <w:rPr>
            <w:webHidden/>
          </w:rPr>
          <w:t>199</w:t>
        </w:r>
        <w:r w:rsidR="00217180">
          <w:rPr>
            <w:webHidden/>
          </w:rPr>
          <w:fldChar w:fldCharType="end"/>
        </w:r>
      </w:hyperlink>
    </w:p>
    <w:p w14:paraId="36E0A1C1" w14:textId="06FB6BE3" w:rsidR="00217180" w:rsidRDefault="00AD70C0">
      <w:pPr>
        <w:pStyle w:val="TOC2"/>
        <w:rPr>
          <w:rFonts w:asciiTheme="minorHAnsi" w:eastAsiaTheme="minorEastAsia" w:hAnsiTheme="minorHAnsi" w:cstheme="minorBidi"/>
          <w:b w:val="0"/>
          <w:caps w:val="0"/>
          <w:sz w:val="22"/>
          <w:szCs w:val="22"/>
          <w:lang w:val="en-AU"/>
        </w:rPr>
      </w:pPr>
      <w:hyperlink w:anchor="_Toc229072480" w:history="1">
        <w:r w:rsidR="00217180" w:rsidRPr="002F5019">
          <w:rPr>
            <w:rStyle w:val="Hyperlink"/>
          </w:rPr>
          <w:t>Defence Housing Australia</w:t>
        </w:r>
        <w:r w:rsidR="00217180">
          <w:rPr>
            <w:webHidden/>
          </w:rPr>
          <w:tab/>
        </w:r>
        <w:r w:rsidR="00217180">
          <w:rPr>
            <w:webHidden/>
          </w:rPr>
          <w:fldChar w:fldCharType="begin"/>
        </w:r>
        <w:r w:rsidR="00217180">
          <w:rPr>
            <w:webHidden/>
          </w:rPr>
          <w:instrText xml:space="preserve"> PAGEREF _Toc229072480 \h </w:instrText>
        </w:r>
        <w:r w:rsidR="00217180">
          <w:rPr>
            <w:webHidden/>
          </w:rPr>
        </w:r>
        <w:r w:rsidR="00217180">
          <w:rPr>
            <w:webHidden/>
          </w:rPr>
          <w:fldChar w:fldCharType="separate"/>
        </w:r>
        <w:r w:rsidR="00E00C37">
          <w:rPr>
            <w:webHidden/>
          </w:rPr>
          <w:t>207</w:t>
        </w:r>
        <w:r w:rsidR="00217180">
          <w:rPr>
            <w:webHidden/>
          </w:rPr>
          <w:fldChar w:fldCharType="end"/>
        </w:r>
      </w:hyperlink>
    </w:p>
    <w:p w14:paraId="62AA390F" w14:textId="5B76CDAA" w:rsidR="00217180" w:rsidRDefault="00AD70C0">
      <w:pPr>
        <w:pStyle w:val="TOC3"/>
        <w:rPr>
          <w:rFonts w:asciiTheme="minorHAnsi" w:eastAsiaTheme="minorEastAsia" w:hAnsiTheme="minorHAnsi" w:cstheme="minorBidi"/>
          <w:b w:val="0"/>
          <w:sz w:val="22"/>
          <w:szCs w:val="22"/>
          <w:lang w:val="en-AU"/>
        </w:rPr>
      </w:pPr>
      <w:hyperlink w:anchor="_Toc229072481" w:history="1">
        <w:r w:rsidR="00217180" w:rsidRPr="002F5019">
          <w:rPr>
            <w:rStyle w:val="Hyperlink"/>
          </w:rPr>
          <w:t>Section 1: DHA Overview and Resources</w:t>
        </w:r>
        <w:r w:rsidR="00217180">
          <w:rPr>
            <w:webHidden/>
          </w:rPr>
          <w:tab/>
        </w:r>
        <w:r w:rsidR="00217180">
          <w:rPr>
            <w:webHidden/>
          </w:rPr>
          <w:fldChar w:fldCharType="begin"/>
        </w:r>
        <w:r w:rsidR="00217180">
          <w:rPr>
            <w:webHidden/>
          </w:rPr>
          <w:instrText xml:space="preserve"> PAGEREF _Toc229072481 \h </w:instrText>
        </w:r>
        <w:r w:rsidR="00217180">
          <w:rPr>
            <w:webHidden/>
          </w:rPr>
        </w:r>
        <w:r w:rsidR="00217180">
          <w:rPr>
            <w:webHidden/>
          </w:rPr>
          <w:fldChar w:fldCharType="separate"/>
        </w:r>
        <w:r w:rsidR="00E00C37">
          <w:rPr>
            <w:webHidden/>
          </w:rPr>
          <w:t>209</w:t>
        </w:r>
        <w:r w:rsidR="00217180">
          <w:rPr>
            <w:webHidden/>
          </w:rPr>
          <w:fldChar w:fldCharType="end"/>
        </w:r>
      </w:hyperlink>
    </w:p>
    <w:p w14:paraId="375BED62" w14:textId="257FA787" w:rsidR="00217180" w:rsidRDefault="00AD70C0">
      <w:pPr>
        <w:pStyle w:val="TOC4"/>
        <w:rPr>
          <w:rFonts w:asciiTheme="minorHAnsi" w:eastAsiaTheme="minorEastAsia" w:hAnsiTheme="minorHAnsi" w:cstheme="minorBidi"/>
          <w:sz w:val="22"/>
          <w:szCs w:val="22"/>
          <w:lang w:val="en-AU"/>
        </w:rPr>
      </w:pPr>
      <w:hyperlink w:anchor="_Toc229072482" w:history="1">
        <w:r w:rsidR="00217180" w:rsidRPr="002F5019">
          <w:rPr>
            <w:rStyle w:val="Hyperlink"/>
          </w:rPr>
          <w:t>1.1 Strategic Direction Statement</w:t>
        </w:r>
        <w:r w:rsidR="00217180">
          <w:rPr>
            <w:webHidden/>
          </w:rPr>
          <w:tab/>
        </w:r>
        <w:r w:rsidR="00217180">
          <w:rPr>
            <w:webHidden/>
          </w:rPr>
          <w:fldChar w:fldCharType="begin"/>
        </w:r>
        <w:r w:rsidR="00217180">
          <w:rPr>
            <w:webHidden/>
          </w:rPr>
          <w:instrText xml:space="preserve"> PAGEREF _Toc229072482 \h </w:instrText>
        </w:r>
        <w:r w:rsidR="00217180">
          <w:rPr>
            <w:webHidden/>
          </w:rPr>
        </w:r>
        <w:r w:rsidR="00217180">
          <w:rPr>
            <w:webHidden/>
          </w:rPr>
          <w:fldChar w:fldCharType="separate"/>
        </w:r>
        <w:r w:rsidR="00E00C37">
          <w:rPr>
            <w:webHidden/>
          </w:rPr>
          <w:t>209</w:t>
        </w:r>
        <w:r w:rsidR="00217180">
          <w:rPr>
            <w:webHidden/>
          </w:rPr>
          <w:fldChar w:fldCharType="end"/>
        </w:r>
      </w:hyperlink>
    </w:p>
    <w:p w14:paraId="5CAEA8E2" w14:textId="2212D370" w:rsidR="00217180" w:rsidRDefault="00AD70C0">
      <w:pPr>
        <w:pStyle w:val="TOC4"/>
        <w:rPr>
          <w:rFonts w:asciiTheme="minorHAnsi" w:eastAsiaTheme="minorEastAsia" w:hAnsiTheme="minorHAnsi" w:cstheme="minorBidi"/>
          <w:sz w:val="22"/>
          <w:szCs w:val="22"/>
          <w:lang w:val="en-AU"/>
        </w:rPr>
      </w:pPr>
      <w:hyperlink w:anchor="_Toc229072483" w:history="1">
        <w:r w:rsidR="00217180" w:rsidRPr="002F5019">
          <w:rPr>
            <w:rStyle w:val="Hyperlink"/>
          </w:rPr>
          <w:t>1.2 DHA Resource Statement</w:t>
        </w:r>
        <w:r w:rsidR="00217180">
          <w:rPr>
            <w:webHidden/>
          </w:rPr>
          <w:tab/>
        </w:r>
        <w:r w:rsidR="00217180">
          <w:rPr>
            <w:webHidden/>
          </w:rPr>
          <w:fldChar w:fldCharType="begin"/>
        </w:r>
        <w:r w:rsidR="00217180">
          <w:rPr>
            <w:webHidden/>
          </w:rPr>
          <w:instrText xml:space="preserve"> PAGEREF _Toc229072483 \h </w:instrText>
        </w:r>
        <w:r w:rsidR="00217180">
          <w:rPr>
            <w:webHidden/>
          </w:rPr>
        </w:r>
        <w:r w:rsidR="00217180">
          <w:rPr>
            <w:webHidden/>
          </w:rPr>
          <w:fldChar w:fldCharType="separate"/>
        </w:r>
        <w:r w:rsidR="00E00C37">
          <w:rPr>
            <w:webHidden/>
          </w:rPr>
          <w:t>212</w:t>
        </w:r>
        <w:r w:rsidR="00217180">
          <w:rPr>
            <w:webHidden/>
          </w:rPr>
          <w:fldChar w:fldCharType="end"/>
        </w:r>
      </w:hyperlink>
    </w:p>
    <w:p w14:paraId="3391CF9A" w14:textId="6CC4E5A1" w:rsidR="00217180" w:rsidRDefault="00AD70C0">
      <w:pPr>
        <w:pStyle w:val="TOC4"/>
        <w:rPr>
          <w:rFonts w:asciiTheme="minorHAnsi" w:eastAsiaTheme="minorEastAsia" w:hAnsiTheme="minorHAnsi" w:cstheme="minorBidi"/>
          <w:sz w:val="22"/>
          <w:szCs w:val="22"/>
          <w:lang w:val="en-AU"/>
        </w:rPr>
      </w:pPr>
      <w:hyperlink w:anchor="_Toc229072484" w:history="1">
        <w:r w:rsidR="00217180" w:rsidRPr="002F5019">
          <w:rPr>
            <w:rStyle w:val="Hyperlink"/>
          </w:rPr>
          <w:t>1.3 Budget Measures</w:t>
        </w:r>
        <w:r w:rsidR="00217180">
          <w:rPr>
            <w:webHidden/>
          </w:rPr>
          <w:tab/>
        </w:r>
        <w:r w:rsidR="00217180">
          <w:rPr>
            <w:webHidden/>
          </w:rPr>
          <w:fldChar w:fldCharType="begin"/>
        </w:r>
        <w:r w:rsidR="00217180">
          <w:rPr>
            <w:webHidden/>
          </w:rPr>
          <w:instrText xml:space="preserve"> PAGEREF _Toc229072484 \h </w:instrText>
        </w:r>
        <w:r w:rsidR="00217180">
          <w:rPr>
            <w:webHidden/>
          </w:rPr>
        </w:r>
        <w:r w:rsidR="00217180">
          <w:rPr>
            <w:webHidden/>
          </w:rPr>
          <w:fldChar w:fldCharType="separate"/>
        </w:r>
        <w:r w:rsidR="00E00C37">
          <w:rPr>
            <w:webHidden/>
          </w:rPr>
          <w:t>213</w:t>
        </w:r>
        <w:r w:rsidR="00217180">
          <w:rPr>
            <w:webHidden/>
          </w:rPr>
          <w:fldChar w:fldCharType="end"/>
        </w:r>
      </w:hyperlink>
    </w:p>
    <w:p w14:paraId="7BD61731" w14:textId="165AE417" w:rsidR="00217180" w:rsidRDefault="00AD70C0">
      <w:pPr>
        <w:pStyle w:val="TOC3"/>
        <w:rPr>
          <w:rFonts w:asciiTheme="minorHAnsi" w:eastAsiaTheme="minorEastAsia" w:hAnsiTheme="minorHAnsi" w:cstheme="minorBidi"/>
          <w:b w:val="0"/>
          <w:sz w:val="22"/>
          <w:szCs w:val="22"/>
          <w:lang w:val="en-AU"/>
        </w:rPr>
      </w:pPr>
      <w:hyperlink w:anchor="_Toc229072485" w:history="1">
        <w:r w:rsidR="00217180" w:rsidRPr="002F5019">
          <w:rPr>
            <w:rStyle w:val="Hyperlink"/>
          </w:rPr>
          <w:t>Section 2: DHA Outcomes and Planned Performance</w:t>
        </w:r>
        <w:r w:rsidR="00217180">
          <w:rPr>
            <w:webHidden/>
          </w:rPr>
          <w:tab/>
        </w:r>
        <w:r w:rsidR="00217180">
          <w:rPr>
            <w:webHidden/>
          </w:rPr>
          <w:fldChar w:fldCharType="begin"/>
        </w:r>
        <w:r w:rsidR="00217180">
          <w:rPr>
            <w:webHidden/>
          </w:rPr>
          <w:instrText xml:space="preserve"> PAGEREF _Toc229072485 \h </w:instrText>
        </w:r>
        <w:r w:rsidR="00217180">
          <w:rPr>
            <w:webHidden/>
          </w:rPr>
        </w:r>
        <w:r w:rsidR="00217180">
          <w:rPr>
            <w:webHidden/>
          </w:rPr>
          <w:fldChar w:fldCharType="separate"/>
        </w:r>
        <w:r w:rsidR="00E00C37">
          <w:rPr>
            <w:webHidden/>
          </w:rPr>
          <w:t>214</w:t>
        </w:r>
        <w:r w:rsidR="00217180">
          <w:rPr>
            <w:webHidden/>
          </w:rPr>
          <w:fldChar w:fldCharType="end"/>
        </w:r>
      </w:hyperlink>
    </w:p>
    <w:p w14:paraId="5F44A13E" w14:textId="18F15549" w:rsidR="00217180" w:rsidRDefault="00AD70C0">
      <w:pPr>
        <w:pStyle w:val="TOC4"/>
        <w:rPr>
          <w:rFonts w:asciiTheme="minorHAnsi" w:eastAsiaTheme="minorEastAsia" w:hAnsiTheme="minorHAnsi" w:cstheme="minorBidi"/>
          <w:sz w:val="22"/>
          <w:szCs w:val="22"/>
          <w:lang w:val="en-AU"/>
        </w:rPr>
      </w:pPr>
      <w:hyperlink w:anchor="_Toc229072486" w:history="1">
        <w:r w:rsidR="00217180" w:rsidRPr="002F5019">
          <w:rPr>
            <w:rStyle w:val="Hyperlink"/>
          </w:rPr>
          <w:t>2.1 Budgeted Expenses and Performance for Outcome 1</w:t>
        </w:r>
        <w:r w:rsidR="00217180">
          <w:rPr>
            <w:webHidden/>
          </w:rPr>
          <w:tab/>
        </w:r>
        <w:r w:rsidR="00217180">
          <w:rPr>
            <w:webHidden/>
          </w:rPr>
          <w:fldChar w:fldCharType="begin"/>
        </w:r>
        <w:r w:rsidR="00217180">
          <w:rPr>
            <w:webHidden/>
          </w:rPr>
          <w:instrText xml:space="preserve"> PAGEREF _Toc229072486 \h </w:instrText>
        </w:r>
        <w:r w:rsidR="00217180">
          <w:rPr>
            <w:webHidden/>
          </w:rPr>
        </w:r>
        <w:r w:rsidR="00217180">
          <w:rPr>
            <w:webHidden/>
          </w:rPr>
          <w:fldChar w:fldCharType="separate"/>
        </w:r>
        <w:r w:rsidR="00E00C37">
          <w:rPr>
            <w:webHidden/>
          </w:rPr>
          <w:t>215</w:t>
        </w:r>
        <w:r w:rsidR="00217180">
          <w:rPr>
            <w:webHidden/>
          </w:rPr>
          <w:fldChar w:fldCharType="end"/>
        </w:r>
      </w:hyperlink>
    </w:p>
    <w:p w14:paraId="66EABDD5" w14:textId="2517AFB1" w:rsidR="00217180" w:rsidRDefault="00AD70C0">
      <w:pPr>
        <w:pStyle w:val="TOC3"/>
        <w:rPr>
          <w:rFonts w:asciiTheme="minorHAnsi" w:eastAsiaTheme="minorEastAsia" w:hAnsiTheme="minorHAnsi" w:cstheme="minorBidi"/>
          <w:b w:val="0"/>
          <w:sz w:val="22"/>
          <w:szCs w:val="22"/>
          <w:lang w:val="en-AU"/>
        </w:rPr>
      </w:pPr>
      <w:hyperlink w:anchor="_Toc229072487" w:history="1">
        <w:r w:rsidR="00217180" w:rsidRPr="002F5019">
          <w:rPr>
            <w:rStyle w:val="Hyperlink"/>
          </w:rPr>
          <w:t>Section 3: DHA Explanatory Tables and Budgeted Financial Statements</w:t>
        </w:r>
        <w:r w:rsidR="00217180">
          <w:rPr>
            <w:webHidden/>
          </w:rPr>
          <w:tab/>
        </w:r>
        <w:r w:rsidR="00217180">
          <w:rPr>
            <w:webHidden/>
          </w:rPr>
          <w:fldChar w:fldCharType="begin"/>
        </w:r>
        <w:r w:rsidR="00217180">
          <w:rPr>
            <w:webHidden/>
          </w:rPr>
          <w:instrText xml:space="preserve"> PAGEREF _Toc229072487 \h </w:instrText>
        </w:r>
        <w:r w:rsidR="00217180">
          <w:rPr>
            <w:webHidden/>
          </w:rPr>
        </w:r>
        <w:r w:rsidR="00217180">
          <w:rPr>
            <w:webHidden/>
          </w:rPr>
          <w:fldChar w:fldCharType="separate"/>
        </w:r>
        <w:r w:rsidR="00E00C37">
          <w:rPr>
            <w:webHidden/>
          </w:rPr>
          <w:t>218</w:t>
        </w:r>
        <w:r w:rsidR="00217180">
          <w:rPr>
            <w:webHidden/>
          </w:rPr>
          <w:fldChar w:fldCharType="end"/>
        </w:r>
      </w:hyperlink>
    </w:p>
    <w:p w14:paraId="56818D50" w14:textId="7D040267" w:rsidR="00217180" w:rsidRDefault="00AD70C0">
      <w:pPr>
        <w:pStyle w:val="TOC4"/>
        <w:rPr>
          <w:rFonts w:asciiTheme="minorHAnsi" w:eastAsiaTheme="minorEastAsia" w:hAnsiTheme="minorHAnsi" w:cstheme="minorBidi"/>
          <w:sz w:val="22"/>
          <w:szCs w:val="22"/>
          <w:lang w:val="en-AU"/>
        </w:rPr>
      </w:pPr>
      <w:hyperlink w:anchor="_Toc229072488" w:history="1">
        <w:r w:rsidR="00217180" w:rsidRPr="002F5019">
          <w:rPr>
            <w:rStyle w:val="Hyperlink"/>
          </w:rPr>
          <w:t>3.1 Explanatory Tables</w:t>
        </w:r>
        <w:r w:rsidR="00217180">
          <w:rPr>
            <w:webHidden/>
          </w:rPr>
          <w:tab/>
        </w:r>
        <w:r w:rsidR="00217180">
          <w:rPr>
            <w:webHidden/>
          </w:rPr>
          <w:fldChar w:fldCharType="begin"/>
        </w:r>
        <w:r w:rsidR="00217180">
          <w:rPr>
            <w:webHidden/>
          </w:rPr>
          <w:instrText xml:space="preserve"> PAGEREF _Toc229072488 \h </w:instrText>
        </w:r>
        <w:r w:rsidR="00217180">
          <w:rPr>
            <w:webHidden/>
          </w:rPr>
        </w:r>
        <w:r w:rsidR="00217180">
          <w:rPr>
            <w:webHidden/>
          </w:rPr>
          <w:fldChar w:fldCharType="separate"/>
        </w:r>
        <w:r w:rsidR="00E00C37">
          <w:rPr>
            <w:webHidden/>
          </w:rPr>
          <w:t>218</w:t>
        </w:r>
        <w:r w:rsidR="00217180">
          <w:rPr>
            <w:webHidden/>
          </w:rPr>
          <w:fldChar w:fldCharType="end"/>
        </w:r>
      </w:hyperlink>
    </w:p>
    <w:p w14:paraId="43171658" w14:textId="47BDD414" w:rsidR="00217180" w:rsidRDefault="00AD70C0">
      <w:pPr>
        <w:pStyle w:val="TOC4"/>
        <w:rPr>
          <w:rFonts w:asciiTheme="minorHAnsi" w:eastAsiaTheme="minorEastAsia" w:hAnsiTheme="minorHAnsi" w:cstheme="minorBidi"/>
          <w:sz w:val="22"/>
          <w:szCs w:val="22"/>
          <w:lang w:val="en-AU"/>
        </w:rPr>
      </w:pPr>
      <w:hyperlink w:anchor="_Toc229072489" w:history="1">
        <w:r w:rsidR="00217180" w:rsidRPr="002F5019">
          <w:rPr>
            <w:rStyle w:val="Hyperlink"/>
          </w:rPr>
          <w:t>3.2 Budgeted Financial Statements</w:t>
        </w:r>
        <w:r w:rsidR="00217180">
          <w:rPr>
            <w:webHidden/>
          </w:rPr>
          <w:tab/>
        </w:r>
        <w:r w:rsidR="00217180">
          <w:rPr>
            <w:webHidden/>
          </w:rPr>
          <w:fldChar w:fldCharType="begin"/>
        </w:r>
        <w:r w:rsidR="00217180">
          <w:rPr>
            <w:webHidden/>
          </w:rPr>
          <w:instrText xml:space="preserve"> PAGEREF _Toc229072489 \h </w:instrText>
        </w:r>
        <w:r w:rsidR="00217180">
          <w:rPr>
            <w:webHidden/>
          </w:rPr>
        </w:r>
        <w:r w:rsidR="00217180">
          <w:rPr>
            <w:webHidden/>
          </w:rPr>
          <w:fldChar w:fldCharType="separate"/>
        </w:r>
        <w:r w:rsidR="00E00C37">
          <w:rPr>
            <w:webHidden/>
          </w:rPr>
          <w:t>219</w:t>
        </w:r>
        <w:r w:rsidR="00217180">
          <w:rPr>
            <w:webHidden/>
          </w:rPr>
          <w:fldChar w:fldCharType="end"/>
        </w:r>
      </w:hyperlink>
    </w:p>
    <w:p w14:paraId="67C11777" w14:textId="70477E97" w:rsidR="00217180" w:rsidRDefault="00AD70C0">
      <w:pPr>
        <w:pStyle w:val="TOC2"/>
        <w:rPr>
          <w:rFonts w:asciiTheme="minorHAnsi" w:eastAsiaTheme="minorEastAsia" w:hAnsiTheme="minorHAnsi" w:cstheme="minorBidi"/>
          <w:b w:val="0"/>
          <w:caps w:val="0"/>
          <w:sz w:val="22"/>
          <w:szCs w:val="22"/>
          <w:lang w:val="en-AU"/>
        </w:rPr>
      </w:pPr>
      <w:hyperlink w:anchor="_Toc229072490" w:history="1">
        <w:r w:rsidR="00217180" w:rsidRPr="002F5019">
          <w:rPr>
            <w:rStyle w:val="Hyperlink"/>
          </w:rPr>
          <w:t>Australian Naval Nuclear Power Safety Regulator</w:t>
        </w:r>
        <w:r w:rsidR="00217180">
          <w:rPr>
            <w:webHidden/>
          </w:rPr>
          <w:tab/>
        </w:r>
        <w:r w:rsidR="00217180">
          <w:rPr>
            <w:webHidden/>
          </w:rPr>
          <w:fldChar w:fldCharType="begin"/>
        </w:r>
        <w:r w:rsidR="00217180">
          <w:rPr>
            <w:webHidden/>
          </w:rPr>
          <w:instrText xml:space="preserve"> PAGEREF _Toc229072490 \h </w:instrText>
        </w:r>
        <w:r w:rsidR="00217180">
          <w:rPr>
            <w:webHidden/>
          </w:rPr>
        </w:r>
        <w:r w:rsidR="00217180">
          <w:rPr>
            <w:webHidden/>
          </w:rPr>
          <w:fldChar w:fldCharType="separate"/>
        </w:r>
        <w:r w:rsidR="00E00C37">
          <w:rPr>
            <w:webHidden/>
          </w:rPr>
          <w:t>225</w:t>
        </w:r>
        <w:r w:rsidR="00217180">
          <w:rPr>
            <w:webHidden/>
          </w:rPr>
          <w:fldChar w:fldCharType="end"/>
        </w:r>
      </w:hyperlink>
    </w:p>
    <w:p w14:paraId="75AE26D7" w14:textId="2FCFC1A6" w:rsidR="00217180" w:rsidRDefault="00AD70C0">
      <w:pPr>
        <w:pStyle w:val="TOC3"/>
        <w:rPr>
          <w:rFonts w:asciiTheme="minorHAnsi" w:eastAsiaTheme="minorEastAsia" w:hAnsiTheme="minorHAnsi" w:cstheme="minorBidi"/>
          <w:b w:val="0"/>
          <w:sz w:val="22"/>
          <w:szCs w:val="22"/>
          <w:lang w:val="en-AU"/>
        </w:rPr>
      </w:pPr>
      <w:hyperlink w:anchor="_Toc229072491" w:history="1">
        <w:r w:rsidR="00217180" w:rsidRPr="002F5019">
          <w:rPr>
            <w:rStyle w:val="Hyperlink"/>
          </w:rPr>
          <w:t>Section 1: ANNPSR Overview and Resources</w:t>
        </w:r>
        <w:r w:rsidR="00217180">
          <w:rPr>
            <w:webHidden/>
          </w:rPr>
          <w:tab/>
        </w:r>
        <w:r w:rsidR="00217180">
          <w:rPr>
            <w:webHidden/>
          </w:rPr>
          <w:fldChar w:fldCharType="begin"/>
        </w:r>
        <w:r w:rsidR="00217180">
          <w:rPr>
            <w:webHidden/>
          </w:rPr>
          <w:instrText xml:space="preserve"> PAGEREF _Toc229072491 \h </w:instrText>
        </w:r>
        <w:r w:rsidR="00217180">
          <w:rPr>
            <w:webHidden/>
          </w:rPr>
        </w:r>
        <w:r w:rsidR="00217180">
          <w:rPr>
            <w:webHidden/>
          </w:rPr>
          <w:fldChar w:fldCharType="separate"/>
        </w:r>
        <w:r w:rsidR="00E00C37">
          <w:rPr>
            <w:webHidden/>
          </w:rPr>
          <w:t>227</w:t>
        </w:r>
        <w:r w:rsidR="00217180">
          <w:rPr>
            <w:webHidden/>
          </w:rPr>
          <w:fldChar w:fldCharType="end"/>
        </w:r>
      </w:hyperlink>
    </w:p>
    <w:p w14:paraId="3514F48D" w14:textId="78865713" w:rsidR="00217180" w:rsidRDefault="00AD70C0">
      <w:pPr>
        <w:pStyle w:val="TOC4"/>
        <w:rPr>
          <w:rFonts w:asciiTheme="minorHAnsi" w:eastAsiaTheme="minorEastAsia" w:hAnsiTheme="minorHAnsi" w:cstheme="minorBidi"/>
          <w:sz w:val="22"/>
          <w:szCs w:val="22"/>
          <w:lang w:val="en-AU"/>
        </w:rPr>
      </w:pPr>
      <w:hyperlink w:anchor="_Toc229072492" w:history="1">
        <w:r w:rsidR="00217180" w:rsidRPr="002F5019">
          <w:rPr>
            <w:rStyle w:val="Hyperlink"/>
          </w:rPr>
          <w:t>1.1 Strategic Direction Statement</w:t>
        </w:r>
        <w:r w:rsidR="00217180">
          <w:rPr>
            <w:webHidden/>
          </w:rPr>
          <w:tab/>
        </w:r>
        <w:r w:rsidR="00217180">
          <w:rPr>
            <w:webHidden/>
          </w:rPr>
          <w:fldChar w:fldCharType="begin"/>
        </w:r>
        <w:r w:rsidR="00217180">
          <w:rPr>
            <w:webHidden/>
          </w:rPr>
          <w:instrText xml:space="preserve"> PAGEREF _Toc229072492 \h </w:instrText>
        </w:r>
        <w:r w:rsidR="00217180">
          <w:rPr>
            <w:webHidden/>
          </w:rPr>
        </w:r>
        <w:r w:rsidR="00217180">
          <w:rPr>
            <w:webHidden/>
          </w:rPr>
          <w:fldChar w:fldCharType="separate"/>
        </w:r>
        <w:r w:rsidR="00E00C37">
          <w:rPr>
            <w:webHidden/>
          </w:rPr>
          <w:t>227</w:t>
        </w:r>
        <w:r w:rsidR="00217180">
          <w:rPr>
            <w:webHidden/>
          </w:rPr>
          <w:fldChar w:fldCharType="end"/>
        </w:r>
      </w:hyperlink>
    </w:p>
    <w:p w14:paraId="7FF6952B" w14:textId="026D852E" w:rsidR="00217180" w:rsidRDefault="00AD70C0">
      <w:pPr>
        <w:pStyle w:val="TOC4"/>
        <w:rPr>
          <w:rFonts w:asciiTheme="minorHAnsi" w:eastAsiaTheme="minorEastAsia" w:hAnsiTheme="minorHAnsi" w:cstheme="minorBidi"/>
          <w:sz w:val="22"/>
          <w:szCs w:val="22"/>
          <w:lang w:val="en-AU"/>
        </w:rPr>
      </w:pPr>
      <w:hyperlink w:anchor="_Toc229072493" w:history="1">
        <w:r w:rsidR="00217180" w:rsidRPr="002F5019">
          <w:rPr>
            <w:rStyle w:val="Hyperlink"/>
          </w:rPr>
          <w:t>1.2 ANNPSR Resource Statement</w:t>
        </w:r>
        <w:r w:rsidR="00217180">
          <w:rPr>
            <w:webHidden/>
          </w:rPr>
          <w:tab/>
        </w:r>
        <w:r w:rsidR="00217180">
          <w:rPr>
            <w:webHidden/>
          </w:rPr>
          <w:fldChar w:fldCharType="begin"/>
        </w:r>
        <w:r w:rsidR="00217180">
          <w:rPr>
            <w:webHidden/>
          </w:rPr>
          <w:instrText xml:space="preserve"> PAGEREF _Toc229072493 \h </w:instrText>
        </w:r>
        <w:r w:rsidR="00217180">
          <w:rPr>
            <w:webHidden/>
          </w:rPr>
        </w:r>
        <w:r w:rsidR="00217180">
          <w:rPr>
            <w:webHidden/>
          </w:rPr>
          <w:fldChar w:fldCharType="separate"/>
        </w:r>
        <w:r w:rsidR="00E00C37">
          <w:rPr>
            <w:webHidden/>
          </w:rPr>
          <w:t>229</w:t>
        </w:r>
        <w:r w:rsidR="00217180">
          <w:rPr>
            <w:webHidden/>
          </w:rPr>
          <w:fldChar w:fldCharType="end"/>
        </w:r>
      </w:hyperlink>
    </w:p>
    <w:p w14:paraId="31C58B8E" w14:textId="58F63C58" w:rsidR="00217180" w:rsidRDefault="00AD70C0">
      <w:pPr>
        <w:pStyle w:val="TOC4"/>
        <w:rPr>
          <w:rFonts w:asciiTheme="minorHAnsi" w:eastAsiaTheme="minorEastAsia" w:hAnsiTheme="minorHAnsi" w:cstheme="minorBidi"/>
          <w:sz w:val="22"/>
          <w:szCs w:val="22"/>
          <w:lang w:val="en-AU"/>
        </w:rPr>
      </w:pPr>
      <w:hyperlink w:anchor="_Toc229072494" w:history="1">
        <w:r w:rsidR="00217180" w:rsidRPr="002F5019">
          <w:rPr>
            <w:rStyle w:val="Hyperlink"/>
          </w:rPr>
          <w:t>1.3 Budget Measures</w:t>
        </w:r>
        <w:r w:rsidR="00217180">
          <w:rPr>
            <w:webHidden/>
          </w:rPr>
          <w:tab/>
        </w:r>
        <w:r w:rsidR="00217180">
          <w:rPr>
            <w:webHidden/>
          </w:rPr>
          <w:fldChar w:fldCharType="begin"/>
        </w:r>
        <w:r w:rsidR="00217180">
          <w:rPr>
            <w:webHidden/>
          </w:rPr>
          <w:instrText xml:space="preserve"> PAGEREF _Toc229072494 \h </w:instrText>
        </w:r>
        <w:r w:rsidR="00217180">
          <w:rPr>
            <w:webHidden/>
          </w:rPr>
        </w:r>
        <w:r w:rsidR="00217180">
          <w:rPr>
            <w:webHidden/>
          </w:rPr>
          <w:fldChar w:fldCharType="separate"/>
        </w:r>
        <w:r w:rsidR="00E00C37">
          <w:rPr>
            <w:webHidden/>
          </w:rPr>
          <w:t>230</w:t>
        </w:r>
        <w:r w:rsidR="00217180">
          <w:rPr>
            <w:webHidden/>
          </w:rPr>
          <w:fldChar w:fldCharType="end"/>
        </w:r>
      </w:hyperlink>
    </w:p>
    <w:p w14:paraId="0287A706" w14:textId="3784444A" w:rsidR="00217180" w:rsidRDefault="00AD70C0">
      <w:pPr>
        <w:pStyle w:val="TOC3"/>
        <w:rPr>
          <w:rFonts w:asciiTheme="minorHAnsi" w:eastAsiaTheme="minorEastAsia" w:hAnsiTheme="minorHAnsi" w:cstheme="minorBidi"/>
          <w:b w:val="0"/>
          <w:sz w:val="22"/>
          <w:szCs w:val="22"/>
          <w:lang w:val="en-AU"/>
        </w:rPr>
      </w:pPr>
      <w:hyperlink w:anchor="_Toc229072495" w:history="1">
        <w:r w:rsidR="00217180" w:rsidRPr="002F5019">
          <w:rPr>
            <w:rStyle w:val="Hyperlink"/>
          </w:rPr>
          <w:t>Section 2: ANNPSR Outcomes and Planned Performance</w:t>
        </w:r>
        <w:r w:rsidR="00217180">
          <w:rPr>
            <w:webHidden/>
          </w:rPr>
          <w:tab/>
        </w:r>
        <w:r w:rsidR="00217180">
          <w:rPr>
            <w:webHidden/>
          </w:rPr>
          <w:fldChar w:fldCharType="begin"/>
        </w:r>
        <w:r w:rsidR="00217180">
          <w:rPr>
            <w:webHidden/>
          </w:rPr>
          <w:instrText xml:space="preserve"> PAGEREF _Toc229072495 \h </w:instrText>
        </w:r>
        <w:r w:rsidR="00217180">
          <w:rPr>
            <w:webHidden/>
          </w:rPr>
        </w:r>
        <w:r w:rsidR="00217180">
          <w:rPr>
            <w:webHidden/>
          </w:rPr>
          <w:fldChar w:fldCharType="separate"/>
        </w:r>
        <w:r w:rsidR="00E00C37">
          <w:rPr>
            <w:webHidden/>
          </w:rPr>
          <w:t>231</w:t>
        </w:r>
        <w:r w:rsidR="00217180">
          <w:rPr>
            <w:webHidden/>
          </w:rPr>
          <w:fldChar w:fldCharType="end"/>
        </w:r>
      </w:hyperlink>
    </w:p>
    <w:p w14:paraId="291F3BE4" w14:textId="7588CCEA" w:rsidR="00217180" w:rsidRDefault="00AD70C0">
      <w:pPr>
        <w:pStyle w:val="TOC4"/>
        <w:rPr>
          <w:rFonts w:asciiTheme="minorHAnsi" w:eastAsiaTheme="minorEastAsia" w:hAnsiTheme="minorHAnsi" w:cstheme="minorBidi"/>
          <w:sz w:val="22"/>
          <w:szCs w:val="22"/>
          <w:lang w:val="en-AU"/>
        </w:rPr>
      </w:pPr>
      <w:hyperlink w:anchor="_Toc229072496" w:history="1">
        <w:r w:rsidR="00217180" w:rsidRPr="002F5019">
          <w:rPr>
            <w:rStyle w:val="Hyperlink"/>
          </w:rPr>
          <w:t>2.1 Budgeted Expenses and Performance for Outcome 1</w:t>
        </w:r>
        <w:r w:rsidR="00217180">
          <w:rPr>
            <w:webHidden/>
          </w:rPr>
          <w:tab/>
        </w:r>
        <w:r w:rsidR="00217180">
          <w:rPr>
            <w:webHidden/>
          </w:rPr>
          <w:fldChar w:fldCharType="begin"/>
        </w:r>
        <w:r w:rsidR="00217180">
          <w:rPr>
            <w:webHidden/>
          </w:rPr>
          <w:instrText xml:space="preserve"> PAGEREF _Toc229072496 \h </w:instrText>
        </w:r>
        <w:r w:rsidR="00217180">
          <w:rPr>
            <w:webHidden/>
          </w:rPr>
        </w:r>
        <w:r w:rsidR="00217180">
          <w:rPr>
            <w:webHidden/>
          </w:rPr>
          <w:fldChar w:fldCharType="separate"/>
        </w:r>
        <w:r w:rsidR="00E00C37">
          <w:rPr>
            <w:webHidden/>
          </w:rPr>
          <w:t>232</w:t>
        </w:r>
        <w:r w:rsidR="00217180">
          <w:rPr>
            <w:webHidden/>
          </w:rPr>
          <w:fldChar w:fldCharType="end"/>
        </w:r>
      </w:hyperlink>
    </w:p>
    <w:p w14:paraId="2E4961D7" w14:textId="1A68731B" w:rsidR="00217180" w:rsidRDefault="00AD70C0">
      <w:pPr>
        <w:pStyle w:val="TOC3"/>
        <w:rPr>
          <w:rFonts w:asciiTheme="minorHAnsi" w:eastAsiaTheme="minorEastAsia" w:hAnsiTheme="minorHAnsi" w:cstheme="minorBidi"/>
          <w:b w:val="0"/>
          <w:sz w:val="22"/>
          <w:szCs w:val="22"/>
          <w:lang w:val="en-AU"/>
        </w:rPr>
      </w:pPr>
      <w:hyperlink w:anchor="_Toc229072497" w:history="1">
        <w:r w:rsidR="00217180" w:rsidRPr="002F5019">
          <w:rPr>
            <w:rStyle w:val="Hyperlink"/>
          </w:rPr>
          <w:t>Section 3: ANNPSR Explanatory Tables and Budgeted Financial Statements</w:t>
        </w:r>
        <w:r w:rsidR="00217180">
          <w:rPr>
            <w:webHidden/>
          </w:rPr>
          <w:tab/>
        </w:r>
        <w:r w:rsidR="00217180">
          <w:rPr>
            <w:webHidden/>
          </w:rPr>
          <w:fldChar w:fldCharType="begin"/>
        </w:r>
        <w:r w:rsidR="00217180">
          <w:rPr>
            <w:webHidden/>
          </w:rPr>
          <w:instrText xml:space="preserve"> PAGEREF _Toc229072497 \h </w:instrText>
        </w:r>
        <w:r w:rsidR="00217180">
          <w:rPr>
            <w:webHidden/>
          </w:rPr>
        </w:r>
        <w:r w:rsidR="00217180">
          <w:rPr>
            <w:webHidden/>
          </w:rPr>
          <w:fldChar w:fldCharType="separate"/>
        </w:r>
        <w:r w:rsidR="00E00C37">
          <w:rPr>
            <w:webHidden/>
          </w:rPr>
          <w:t>236</w:t>
        </w:r>
        <w:r w:rsidR="00217180">
          <w:rPr>
            <w:webHidden/>
          </w:rPr>
          <w:fldChar w:fldCharType="end"/>
        </w:r>
      </w:hyperlink>
    </w:p>
    <w:p w14:paraId="503B2E93" w14:textId="1547AF7A" w:rsidR="00217180" w:rsidRDefault="00AD70C0">
      <w:pPr>
        <w:pStyle w:val="TOC4"/>
        <w:rPr>
          <w:rFonts w:asciiTheme="minorHAnsi" w:eastAsiaTheme="minorEastAsia" w:hAnsiTheme="minorHAnsi" w:cstheme="minorBidi"/>
          <w:sz w:val="22"/>
          <w:szCs w:val="22"/>
          <w:lang w:val="en-AU"/>
        </w:rPr>
      </w:pPr>
      <w:hyperlink w:anchor="_Toc229072498" w:history="1">
        <w:r w:rsidR="00217180" w:rsidRPr="002F5019">
          <w:rPr>
            <w:rStyle w:val="Hyperlink"/>
          </w:rPr>
          <w:t>3.1 Explanatory Tables</w:t>
        </w:r>
        <w:r w:rsidR="00217180">
          <w:rPr>
            <w:webHidden/>
          </w:rPr>
          <w:tab/>
        </w:r>
        <w:r w:rsidR="00217180">
          <w:rPr>
            <w:webHidden/>
          </w:rPr>
          <w:fldChar w:fldCharType="begin"/>
        </w:r>
        <w:r w:rsidR="00217180">
          <w:rPr>
            <w:webHidden/>
          </w:rPr>
          <w:instrText xml:space="preserve"> PAGEREF _Toc229072498 \h </w:instrText>
        </w:r>
        <w:r w:rsidR="00217180">
          <w:rPr>
            <w:webHidden/>
          </w:rPr>
        </w:r>
        <w:r w:rsidR="00217180">
          <w:rPr>
            <w:webHidden/>
          </w:rPr>
          <w:fldChar w:fldCharType="separate"/>
        </w:r>
        <w:r w:rsidR="00E00C37">
          <w:rPr>
            <w:webHidden/>
          </w:rPr>
          <w:t>236</w:t>
        </w:r>
        <w:r w:rsidR="00217180">
          <w:rPr>
            <w:webHidden/>
          </w:rPr>
          <w:fldChar w:fldCharType="end"/>
        </w:r>
      </w:hyperlink>
    </w:p>
    <w:p w14:paraId="0976A375" w14:textId="40132653" w:rsidR="00217180" w:rsidRDefault="00AD70C0">
      <w:pPr>
        <w:pStyle w:val="TOC4"/>
        <w:rPr>
          <w:rFonts w:asciiTheme="minorHAnsi" w:eastAsiaTheme="minorEastAsia" w:hAnsiTheme="minorHAnsi" w:cstheme="minorBidi"/>
          <w:sz w:val="22"/>
          <w:szCs w:val="22"/>
          <w:lang w:val="en-AU"/>
        </w:rPr>
      </w:pPr>
      <w:hyperlink w:anchor="_Toc229072499" w:history="1">
        <w:r w:rsidR="00217180" w:rsidRPr="002F5019">
          <w:rPr>
            <w:rStyle w:val="Hyperlink"/>
          </w:rPr>
          <w:t>3.2 Budgeted Financial Statements</w:t>
        </w:r>
        <w:r w:rsidR="00217180">
          <w:rPr>
            <w:webHidden/>
          </w:rPr>
          <w:tab/>
        </w:r>
        <w:r w:rsidR="00217180">
          <w:rPr>
            <w:webHidden/>
          </w:rPr>
          <w:fldChar w:fldCharType="begin"/>
        </w:r>
        <w:r w:rsidR="00217180">
          <w:rPr>
            <w:webHidden/>
          </w:rPr>
          <w:instrText xml:space="preserve"> PAGEREF _Toc229072499 \h </w:instrText>
        </w:r>
        <w:r w:rsidR="00217180">
          <w:rPr>
            <w:webHidden/>
          </w:rPr>
        </w:r>
        <w:r w:rsidR="00217180">
          <w:rPr>
            <w:webHidden/>
          </w:rPr>
          <w:fldChar w:fldCharType="separate"/>
        </w:r>
        <w:r w:rsidR="00E00C37">
          <w:rPr>
            <w:webHidden/>
          </w:rPr>
          <w:t>237</w:t>
        </w:r>
        <w:r w:rsidR="00217180">
          <w:rPr>
            <w:webHidden/>
          </w:rPr>
          <w:fldChar w:fldCharType="end"/>
        </w:r>
      </w:hyperlink>
    </w:p>
    <w:p w14:paraId="2769821E" w14:textId="02AAE1CA" w:rsidR="00217180" w:rsidRDefault="00AD70C0">
      <w:pPr>
        <w:pStyle w:val="TOC2"/>
        <w:rPr>
          <w:rFonts w:asciiTheme="minorHAnsi" w:eastAsiaTheme="minorEastAsia" w:hAnsiTheme="minorHAnsi" w:cstheme="minorBidi"/>
          <w:b w:val="0"/>
          <w:caps w:val="0"/>
          <w:sz w:val="22"/>
          <w:szCs w:val="22"/>
          <w:lang w:val="en-AU"/>
        </w:rPr>
      </w:pPr>
      <w:hyperlink w:anchor="_Toc229072500" w:history="1">
        <w:r w:rsidR="00217180" w:rsidRPr="002F5019">
          <w:rPr>
            <w:rStyle w:val="Hyperlink"/>
          </w:rPr>
          <w:t>Defence and Veterans’ Service Commission</w:t>
        </w:r>
        <w:r w:rsidR="00217180">
          <w:rPr>
            <w:webHidden/>
          </w:rPr>
          <w:tab/>
        </w:r>
        <w:r w:rsidR="00217180">
          <w:rPr>
            <w:webHidden/>
          </w:rPr>
          <w:fldChar w:fldCharType="begin"/>
        </w:r>
        <w:r w:rsidR="00217180">
          <w:rPr>
            <w:webHidden/>
          </w:rPr>
          <w:instrText xml:space="preserve"> PAGEREF _Toc229072500 \h </w:instrText>
        </w:r>
        <w:r w:rsidR="00217180">
          <w:rPr>
            <w:webHidden/>
          </w:rPr>
        </w:r>
        <w:r w:rsidR="00217180">
          <w:rPr>
            <w:webHidden/>
          </w:rPr>
          <w:fldChar w:fldCharType="separate"/>
        </w:r>
        <w:r w:rsidR="00E00C37">
          <w:rPr>
            <w:webHidden/>
          </w:rPr>
          <w:t>243</w:t>
        </w:r>
        <w:r w:rsidR="00217180">
          <w:rPr>
            <w:webHidden/>
          </w:rPr>
          <w:fldChar w:fldCharType="end"/>
        </w:r>
      </w:hyperlink>
    </w:p>
    <w:p w14:paraId="15B17EBC" w14:textId="7C59EE24" w:rsidR="00217180" w:rsidRDefault="00AD70C0">
      <w:pPr>
        <w:pStyle w:val="TOC3"/>
        <w:rPr>
          <w:rFonts w:asciiTheme="minorHAnsi" w:eastAsiaTheme="minorEastAsia" w:hAnsiTheme="minorHAnsi" w:cstheme="minorBidi"/>
          <w:b w:val="0"/>
          <w:sz w:val="22"/>
          <w:szCs w:val="22"/>
          <w:lang w:val="en-AU"/>
        </w:rPr>
      </w:pPr>
      <w:hyperlink w:anchor="_Toc229072501" w:history="1">
        <w:r w:rsidR="00217180" w:rsidRPr="002F5019">
          <w:rPr>
            <w:rStyle w:val="Hyperlink"/>
          </w:rPr>
          <w:t>Section 1: DVSC Overview and Resources</w:t>
        </w:r>
        <w:r w:rsidR="00217180">
          <w:rPr>
            <w:webHidden/>
          </w:rPr>
          <w:tab/>
        </w:r>
        <w:r w:rsidR="00217180">
          <w:rPr>
            <w:webHidden/>
          </w:rPr>
          <w:fldChar w:fldCharType="begin"/>
        </w:r>
        <w:r w:rsidR="00217180">
          <w:rPr>
            <w:webHidden/>
          </w:rPr>
          <w:instrText xml:space="preserve"> PAGEREF _Toc229072501 \h </w:instrText>
        </w:r>
        <w:r w:rsidR="00217180">
          <w:rPr>
            <w:webHidden/>
          </w:rPr>
        </w:r>
        <w:r w:rsidR="00217180">
          <w:rPr>
            <w:webHidden/>
          </w:rPr>
          <w:fldChar w:fldCharType="separate"/>
        </w:r>
        <w:r w:rsidR="00E00C37">
          <w:rPr>
            <w:webHidden/>
          </w:rPr>
          <w:t>245</w:t>
        </w:r>
        <w:r w:rsidR="00217180">
          <w:rPr>
            <w:webHidden/>
          </w:rPr>
          <w:fldChar w:fldCharType="end"/>
        </w:r>
      </w:hyperlink>
    </w:p>
    <w:p w14:paraId="5557B0DC" w14:textId="44D6EDC0" w:rsidR="00217180" w:rsidRDefault="00AD70C0">
      <w:pPr>
        <w:pStyle w:val="TOC4"/>
        <w:rPr>
          <w:rFonts w:asciiTheme="minorHAnsi" w:eastAsiaTheme="minorEastAsia" w:hAnsiTheme="minorHAnsi" w:cstheme="minorBidi"/>
          <w:sz w:val="22"/>
          <w:szCs w:val="22"/>
          <w:lang w:val="en-AU"/>
        </w:rPr>
      </w:pPr>
      <w:hyperlink w:anchor="_Toc229072502" w:history="1">
        <w:r w:rsidR="00217180" w:rsidRPr="002F5019">
          <w:rPr>
            <w:rStyle w:val="Hyperlink"/>
          </w:rPr>
          <w:t>1.1 Strategic Direction Statement</w:t>
        </w:r>
        <w:r w:rsidR="00217180">
          <w:rPr>
            <w:webHidden/>
          </w:rPr>
          <w:tab/>
        </w:r>
        <w:r w:rsidR="00217180">
          <w:rPr>
            <w:webHidden/>
          </w:rPr>
          <w:fldChar w:fldCharType="begin"/>
        </w:r>
        <w:r w:rsidR="00217180">
          <w:rPr>
            <w:webHidden/>
          </w:rPr>
          <w:instrText xml:space="preserve"> PAGEREF _Toc229072502 \h </w:instrText>
        </w:r>
        <w:r w:rsidR="00217180">
          <w:rPr>
            <w:webHidden/>
          </w:rPr>
        </w:r>
        <w:r w:rsidR="00217180">
          <w:rPr>
            <w:webHidden/>
          </w:rPr>
          <w:fldChar w:fldCharType="separate"/>
        </w:r>
        <w:r w:rsidR="00E00C37">
          <w:rPr>
            <w:webHidden/>
          </w:rPr>
          <w:t>245</w:t>
        </w:r>
        <w:r w:rsidR="00217180">
          <w:rPr>
            <w:webHidden/>
          </w:rPr>
          <w:fldChar w:fldCharType="end"/>
        </w:r>
      </w:hyperlink>
    </w:p>
    <w:p w14:paraId="2028DB77" w14:textId="30E64970" w:rsidR="00217180" w:rsidRDefault="00AD70C0">
      <w:pPr>
        <w:pStyle w:val="TOC4"/>
        <w:rPr>
          <w:rFonts w:asciiTheme="minorHAnsi" w:eastAsiaTheme="minorEastAsia" w:hAnsiTheme="minorHAnsi" w:cstheme="minorBidi"/>
          <w:sz w:val="22"/>
          <w:szCs w:val="22"/>
          <w:lang w:val="en-AU"/>
        </w:rPr>
      </w:pPr>
      <w:hyperlink w:anchor="_Toc229072503" w:history="1">
        <w:r w:rsidR="00217180" w:rsidRPr="002F5019">
          <w:rPr>
            <w:rStyle w:val="Hyperlink"/>
            <w:lang w:val="en-AU"/>
          </w:rPr>
          <w:t>1.2 DVSC Resource Statement</w:t>
        </w:r>
        <w:r w:rsidR="00217180">
          <w:rPr>
            <w:webHidden/>
          </w:rPr>
          <w:tab/>
        </w:r>
        <w:r w:rsidR="00217180">
          <w:rPr>
            <w:webHidden/>
          </w:rPr>
          <w:fldChar w:fldCharType="begin"/>
        </w:r>
        <w:r w:rsidR="00217180">
          <w:rPr>
            <w:webHidden/>
          </w:rPr>
          <w:instrText xml:space="preserve"> PAGEREF _Toc229072503 \h </w:instrText>
        </w:r>
        <w:r w:rsidR="00217180">
          <w:rPr>
            <w:webHidden/>
          </w:rPr>
        </w:r>
        <w:r w:rsidR="00217180">
          <w:rPr>
            <w:webHidden/>
          </w:rPr>
          <w:fldChar w:fldCharType="separate"/>
        </w:r>
        <w:r w:rsidR="00E00C37">
          <w:rPr>
            <w:webHidden/>
          </w:rPr>
          <w:t>248</w:t>
        </w:r>
        <w:r w:rsidR="00217180">
          <w:rPr>
            <w:webHidden/>
          </w:rPr>
          <w:fldChar w:fldCharType="end"/>
        </w:r>
      </w:hyperlink>
    </w:p>
    <w:p w14:paraId="5A781B27" w14:textId="38B3EE17" w:rsidR="00217180" w:rsidRDefault="00AD70C0">
      <w:pPr>
        <w:pStyle w:val="TOC4"/>
        <w:rPr>
          <w:rFonts w:asciiTheme="minorHAnsi" w:eastAsiaTheme="minorEastAsia" w:hAnsiTheme="minorHAnsi" w:cstheme="minorBidi"/>
          <w:sz w:val="22"/>
          <w:szCs w:val="22"/>
          <w:lang w:val="en-AU"/>
        </w:rPr>
      </w:pPr>
      <w:hyperlink w:anchor="_Toc229072504" w:history="1">
        <w:r w:rsidR="00217180" w:rsidRPr="002F5019">
          <w:rPr>
            <w:rStyle w:val="Hyperlink"/>
          </w:rPr>
          <w:t>1.3 Budget Measures</w:t>
        </w:r>
        <w:r w:rsidR="00217180">
          <w:rPr>
            <w:webHidden/>
          </w:rPr>
          <w:tab/>
        </w:r>
        <w:r w:rsidR="00217180">
          <w:rPr>
            <w:webHidden/>
          </w:rPr>
          <w:fldChar w:fldCharType="begin"/>
        </w:r>
        <w:r w:rsidR="00217180">
          <w:rPr>
            <w:webHidden/>
          </w:rPr>
          <w:instrText xml:space="preserve"> PAGEREF _Toc229072504 \h </w:instrText>
        </w:r>
        <w:r w:rsidR="00217180">
          <w:rPr>
            <w:webHidden/>
          </w:rPr>
        </w:r>
        <w:r w:rsidR="00217180">
          <w:rPr>
            <w:webHidden/>
          </w:rPr>
          <w:fldChar w:fldCharType="separate"/>
        </w:r>
        <w:r w:rsidR="00E00C37">
          <w:rPr>
            <w:webHidden/>
          </w:rPr>
          <w:t>249</w:t>
        </w:r>
        <w:r w:rsidR="00217180">
          <w:rPr>
            <w:webHidden/>
          </w:rPr>
          <w:fldChar w:fldCharType="end"/>
        </w:r>
      </w:hyperlink>
    </w:p>
    <w:p w14:paraId="4CB6867A" w14:textId="46CE4628" w:rsidR="00217180" w:rsidRDefault="00AD70C0">
      <w:pPr>
        <w:pStyle w:val="TOC3"/>
        <w:rPr>
          <w:rFonts w:asciiTheme="minorHAnsi" w:eastAsiaTheme="minorEastAsia" w:hAnsiTheme="minorHAnsi" w:cstheme="minorBidi"/>
          <w:b w:val="0"/>
          <w:sz w:val="22"/>
          <w:szCs w:val="22"/>
          <w:lang w:val="en-AU"/>
        </w:rPr>
      </w:pPr>
      <w:hyperlink w:anchor="_Toc229072505" w:history="1">
        <w:r w:rsidR="00217180" w:rsidRPr="002F5019">
          <w:rPr>
            <w:rStyle w:val="Hyperlink"/>
          </w:rPr>
          <w:t>Section 2: DVSC Outcomes and Planned Performance</w:t>
        </w:r>
        <w:r w:rsidR="00217180">
          <w:rPr>
            <w:webHidden/>
          </w:rPr>
          <w:tab/>
        </w:r>
        <w:r w:rsidR="00217180">
          <w:rPr>
            <w:webHidden/>
          </w:rPr>
          <w:fldChar w:fldCharType="begin"/>
        </w:r>
        <w:r w:rsidR="00217180">
          <w:rPr>
            <w:webHidden/>
          </w:rPr>
          <w:instrText xml:space="preserve"> PAGEREF _Toc229072505 \h </w:instrText>
        </w:r>
        <w:r w:rsidR="00217180">
          <w:rPr>
            <w:webHidden/>
          </w:rPr>
        </w:r>
        <w:r w:rsidR="00217180">
          <w:rPr>
            <w:webHidden/>
          </w:rPr>
          <w:fldChar w:fldCharType="separate"/>
        </w:r>
        <w:r w:rsidR="00E00C37">
          <w:rPr>
            <w:webHidden/>
          </w:rPr>
          <w:t>250</w:t>
        </w:r>
        <w:r w:rsidR="00217180">
          <w:rPr>
            <w:webHidden/>
          </w:rPr>
          <w:fldChar w:fldCharType="end"/>
        </w:r>
      </w:hyperlink>
    </w:p>
    <w:p w14:paraId="1151D1F6" w14:textId="5B9A7A2B" w:rsidR="00217180" w:rsidRDefault="00AD70C0">
      <w:pPr>
        <w:pStyle w:val="TOC4"/>
        <w:rPr>
          <w:rFonts w:asciiTheme="minorHAnsi" w:eastAsiaTheme="minorEastAsia" w:hAnsiTheme="minorHAnsi" w:cstheme="minorBidi"/>
          <w:sz w:val="22"/>
          <w:szCs w:val="22"/>
          <w:lang w:val="en-AU"/>
        </w:rPr>
      </w:pPr>
      <w:hyperlink w:anchor="_Toc229072506" w:history="1">
        <w:r w:rsidR="00217180" w:rsidRPr="002F5019">
          <w:rPr>
            <w:rStyle w:val="Hyperlink"/>
          </w:rPr>
          <w:t>2.1 Budgeted Expenses and Performance for Outcome 1</w:t>
        </w:r>
        <w:r w:rsidR="00217180">
          <w:rPr>
            <w:webHidden/>
          </w:rPr>
          <w:tab/>
        </w:r>
        <w:r w:rsidR="00217180">
          <w:rPr>
            <w:webHidden/>
          </w:rPr>
          <w:fldChar w:fldCharType="begin"/>
        </w:r>
        <w:r w:rsidR="00217180">
          <w:rPr>
            <w:webHidden/>
          </w:rPr>
          <w:instrText xml:space="preserve"> PAGEREF _Toc229072506 \h </w:instrText>
        </w:r>
        <w:r w:rsidR="00217180">
          <w:rPr>
            <w:webHidden/>
          </w:rPr>
        </w:r>
        <w:r w:rsidR="00217180">
          <w:rPr>
            <w:webHidden/>
          </w:rPr>
          <w:fldChar w:fldCharType="separate"/>
        </w:r>
        <w:r w:rsidR="00E00C37">
          <w:rPr>
            <w:webHidden/>
          </w:rPr>
          <w:t>251</w:t>
        </w:r>
        <w:r w:rsidR="00217180">
          <w:rPr>
            <w:webHidden/>
          </w:rPr>
          <w:fldChar w:fldCharType="end"/>
        </w:r>
      </w:hyperlink>
    </w:p>
    <w:p w14:paraId="0AF08377" w14:textId="50DD18A7" w:rsidR="00217180" w:rsidRDefault="00AD70C0">
      <w:pPr>
        <w:pStyle w:val="TOC3"/>
        <w:rPr>
          <w:rFonts w:asciiTheme="minorHAnsi" w:eastAsiaTheme="minorEastAsia" w:hAnsiTheme="minorHAnsi" w:cstheme="minorBidi"/>
          <w:b w:val="0"/>
          <w:sz w:val="22"/>
          <w:szCs w:val="22"/>
          <w:lang w:val="en-AU"/>
        </w:rPr>
      </w:pPr>
      <w:hyperlink w:anchor="_Toc229072507" w:history="1">
        <w:r w:rsidR="00217180" w:rsidRPr="002F5019">
          <w:rPr>
            <w:rStyle w:val="Hyperlink"/>
          </w:rPr>
          <w:t>Section 3: DVSC Explanatory Tables and Budgeted Financial Statements</w:t>
        </w:r>
        <w:r w:rsidR="00217180">
          <w:rPr>
            <w:webHidden/>
          </w:rPr>
          <w:tab/>
        </w:r>
        <w:r w:rsidR="00217180">
          <w:rPr>
            <w:webHidden/>
          </w:rPr>
          <w:fldChar w:fldCharType="begin"/>
        </w:r>
        <w:r w:rsidR="00217180">
          <w:rPr>
            <w:webHidden/>
          </w:rPr>
          <w:instrText xml:space="preserve"> PAGEREF _Toc229072507 \h </w:instrText>
        </w:r>
        <w:r w:rsidR="00217180">
          <w:rPr>
            <w:webHidden/>
          </w:rPr>
        </w:r>
        <w:r w:rsidR="00217180">
          <w:rPr>
            <w:webHidden/>
          </w:rPr>
          <w:fldChar w:fldCharType="separate"/>
        </w:r>
        <w:r w:rsidR="00E00C37">
          <w:rPr>
            <w:webHidden/>
          </w:rPr>
          <w:t>254</w:t>
        </w:r>
        <w:r w:rsidR="00217180">
          <w:rPr>
            <w:webHidden/>
          </w:rPr>
          <w:fldChar w:fldCharType="end"/>
        </w:r>
      </w:hyperlink>
    </w:p>
    <w:p w14:paraId="47F02F71" w14:textId="39A5EB8D" w:rsidR="00217180" w:rsidRDefault="00AD70C0">
      <w:pPr>
        <w:pStyle w:val="TOC4"/>
        <w:rPr>
          <w:rFonts w:asciiTheme="minorHAnsi" w:eastAsiaTheme="minorEastAsia" w:hAnsiTheme="minorHAnsi" w:cstheme="minorBidi"/>
          <w:sz w:val="22"/>
          <w:szCs w:val="22"/>
          <w:lang w:val="en-AU"/>
        </w:rPr>
      </w:pPr>
      <w:hyperlink w:anchor="_Toc229072508" w:history="1">
        <w:r w:rsidR="00217180" w:rsidRPr="002F5019">
          <w:rPr>
            <w:rStyle w:val="Hyperlink"/>
          </w:rPr>
          <w:t>3.1 Explanatory Tables</w:t>
        </w:r>
        <w:r w:rsidR="00217180">
          <w:rPr>
            <w:webHidden/>
          </w:rPr>
          <w:tab/>
        </w:r>
        <w:r w:rsidR="00217180">
          <w:rPr>
            <w:webHidden/>
          </w:rPr>
          <w:fldChar w:fldCharType="begin"/>
        </w:r>
        <w:r w:rsidR="00217180">
          <w:rPr>
            <w:webHidden/>
          </w:rPr>
          <w:instrText xml:space="preserve"> PAGEREF _Toc229072508 \h </w:instrText>
        </w:r>
        <w:r w:rsidR="00217180">
          <w:rPr>
            <w:webHidden/>
          </w:rPr>
        </w:r>
        <w:r w:rsidR="00217180">
          <w:rPr>
            <w:webHidden/>
          </w:rPr>
          <w:fldChar w:fldCharType="separate"/>
        </w:r>
        <w:r w:rsidR="00E00C37">
          <w:rPr>
            <w:webHidden/>
          </w:rPr>
          <w:t>254</w:t>
        </w:r>
        <w:r w:rsidR="00217180">
          <w:rPr>
            <w:webHidden/>
          </w:rPr>
          <w:fldChar w:fldCharType="end"/>
        </w:r>
      </w:hyperlink>
    </w:p>
    <w:p w14:paraId="6458D944" w14:textId="180C2DE2" w:rsidR="00217180" w:rsidRDefault="00AD70C0">
      <w:pPr>
        <w:pStyle w:val="TOC4"/>
        <w:rPr>
          <w:rFonts w:asciiTheme="minorHAnsi" w:eastAsiaTheme="minorEastAsia" w:hAnsiTheme="minorHAnsi" w:cstheme="minorBidi"/>
          <w:sz w:val="22"/>
          <w:szCs w:val="22"/>
          <w:lang w:val="en-AU"/>
        </w:rPr>
      </w:pPr>
      <w:hyperlink w:anchor="_Toc229072509" w:history="1">
        <w:r w:rsidR="00217180" w:rsidRPr="002F5019">
          <w:rPr>
            <w:rStyle w:val="Hyperlink"/>
          </w:rPr>
          <w:t>3.2 Budgeted Financial Statements</w:t>
        </w:r>
        <w:r w:rsidR="00217180">
          <w:rPr>
            <w:webHidden/>
          </w:rPr>
          <w:tab/>
        </w:r>
        <w:r w:rsidR="00217180">
          <w:rPr>
            <w:webHidden/>
          </w:rPr>
          <w:fldChar w:fldCharType="begin"/>
        </w:r>
        <w:r w:rsidR="00217180">
          <w:rPr>
            <w:webHidden/>
          </w:rPr>
          <w:instrText xml:space="preserve"> PAGEREF _Toc229072509 \h </w:instrText>
        </w:r>
        <w:r w:rsidR="00217180">
          <w:rPr>
            <w:webHidden/>
          </w:rPr>
        </w:r>
        <w:r w:rsidR="00217180">
          <w:rPr>
            <w:webHidden/>
          </w:rPr>
          <w:fldChar w:fldCharType="separate"/>
        </w:r>
        <w:r w:rsidR="00E00C37">
          <w:rPr>
            <w:webHidden/>
          </w:rPr>
          <w:t>254</w:t>
        </w:r>
        <w:r w:rsidR="00217180">
          <w:rPr>
            <w:webHidden/>
          </w:rPr>
          <w:fldChar w:fldCharType="end"/>
        </w:r>
      </w:hyperlink>
    </w:p>
    <w:p w14:paraId="3F93F007" w14:textId="5A0AD704" w:rsidR="00217180" w:rsidRDefault="00AD70C0">
      <w:pPr>
        <w:pStyle w:val="TOC2"/>
        <w:rPr>
          <w:rFonts w:asciiTheme="minorHAnsi" w:eastAsiaTheme="minorEastAsia" w:hAnsiTheme="minorHAnsi" w:cstheme="minorBidi"/>
          <w:b w:val="0"/>
          <w:caps w:val="0"/>
          <w:sz w:val="22"/>
          <w:szCs w:val="22"/>
          <w:lang w:val="en-AU"/>
        </w:rPr>
      </w:pPr>
      <w:hyperlink w:anchor="_Toc229072510" w:history="1">
        <w:r w:rsidR="00217180" w:rsidRPr="002F5019">
          <w:rPr>
            <w:rStyle w:val="Hyperlink"/>
          </w:rPr>
          <w:t>Glossary</w:t>
        </w:r>
        <w:r w:rsidR="00217180">
          <w:rPr>
            <w:webHidden/>
          </w:rPr>
          <w:tab/>
        </w:r>
        <w:r w:rsidR="00217180">
          <w:rPr>
            <w:webHidden/>
          </w:rPr>
          <w:fldChar w:fldCharType="begin"/>
        </w:r>
        <w:r w:rsidR="00217180">
          <w:rPr>
            <w:webHidden/>
          </w:rPr>
          <w:instrText xml:space="preserve"> PAGEREF _Toc229072510 \h </w:instrText>
        </w:r>
        <w:r w:rsidR="00217180">
          <w:rPr>
            <w:webHidden/>
          </w:rPr>
        </w:r>
        <w:r w:rsidR="00217180">
          <w:rPr>
            <w:webHidden/>
          </w:rPr>
          <w:fldChar w:fldCharType="separate"/>
        </w:r>
        <w:r w:rsidR="00E00C37">
          <w:rPr>
            <w:webHidden/>
          </w:rPr>
          <w:t>261</w:t>
        </w:r>
        <w:r w:rsidR="00217180">
          <w:rPr>
            <w:webHidden/>
          </w:rPr>
          <w:fldChar w:fldCharType="end"/>
        </w:r>
      </w:hyperlink>
    </w:p>
    <w:p w14:paraId="296C0CB8" w14:textId="0EA03300" w:rsidR="00217180" w:rsidRDefault="00AD70C0">
      <w:pPr>
        <w:pStyle w:val="TOC2"/>
        <w:rPr>
          <w:rFonts w:asciiTheme="minorHAnsi" w:eastAsiaTheme="minorEastAsia" w:hAnsiTheme="minorHAnsi" w:cstheme="minorBidi"/>
          <w:b w:val="0"/>
          <w:caps w:val="0"/>
          <w:sz w:val="22"/>
          <w:szCs w:val="22"/>
          <w:lang w:val="en-AU"/>
        </w:rPr>
      </w:pPr>
      <w:hyperlink w:anchor="_Toc229072511" w:history="1">
        <w:r w:rsidR="00217180" w:rsidRPr="002F5019">
          <w:rPr>
            <w:rStyle w:val="Hyperlink"/>
          </w:rPr>
          <w:t>Acronyms</w:t>
        </w:r>
        <w:r w:rsidR="00217180">
          <w:rPr>
            <w:webHidden/>
          </w:rPr>
          <w:tab/>
        </w:r>
        <w:r w:rsidR="00217180">
          <w:rPr>
            <w:webHidden/>
          </w:rPr>
          <w:fldChar w:fldCharType="begin"/>
        </w:r>
        <w:r w:rsidR="00217180">
          <w:rPr>
            <w:webHidden/>
          </w:rPr>
          <w:instrText xml:space="preserve"> PAGEREF _Toc229072511 \h </w:instrText>
        </w:r>
        <w:r w:rsidR="00217180">
          <w:rPr>
            <w:webHidden/>
          </w:rPr>
        </w:r>
        <w:r w:rsidR="00217180">
          <w:rPr>
            <w:webHidden/>
          </w:rPr>
          <w:fldChar w:fldCharType="separate"/>
        </w:r>
        <w:r w:rsidR="00E00C37">
          <w:rPr>
            <w:webHidden/>
          </w:rPr>
          <w:t>267</w:t>
        </w:r>
        <w:r w:rsidR="00217180">
          <w:rPr>
            <w:webHidden/>
          </w:rPr>
          <w:fldChar w:fldCharType="end"/>
        </w:r>
      </w:hyperlink>
    </w:p>
    <w:p w14:paraId="1016DB4E" w14:textId="2DB382D9" w:rsidR="002C433D" w:rsidRPr="003E76E7" w:rsidRDefault="002C433D" w:rsidP="00C4292D">
      <w:pPr>
        <w:tabs>
          <w:tab w:val="right" w:leader="dot" w:pos="7655"/>
          <w:tab w:val="right" w:leader="dot" w:pos="8647"/>
        </w:tabs>
        <w:spacing w:before="120" w:after="120"/>
        <w:rPr>
          <w:rFonts w:ascii="Arial" w:hAnsi="Arial"/>
          <w:b/>
          <w:noProof/>
          <w:szCs w:val="20"/>
        </w:rPr>
      </w:pPr>
      <w:r w:rsidRPr="003E76E7">
        <w:rPr>
          <w:rFonts w:ascii="Arial" w:hAnsi="Arial"/>
          <w:b/>
          <w:noProof/>
          <w:szCs w:val="20"/>
        </w:rPr>
        <w:fldChar w:fldCharType="end"/>
      </w:r>
    </w:p>
    <w:p w14:paraId="57E7EE04" w14:textId="77777777" w:rsidR="002C433D" w:rsidRPr="003E76E7" w:rsidRDefault="002C433D" w:rsidP="00C4292D">
      <w:pPr>
        <w:spacing w:before="0" w:after="0"/>
        <w:rPr>
          <w:noProof/>
          <w:lang w:val="en-AU"/>
        </w:rPr>
      </w:pPr>
    </w:p>
    <w:p w14:paraId="79356B07" w14:textId="77777777" w:rsidR="002C433D" w:rsidRPr="003E76E7" w:rsidRDefault="002C433D" w:rsidP="00C4292D">
      <w:pPr>
        <w:pStyle w:val="BodyText"/>
        <w:rPr>
          <w:noProof/>
          <w:lang w:val="en-AU"/>
        </w:rPr>
      </w:pPr>
    </w:p>
    <w:p w14:paraId="0F48A329" w14:textId="77777777" w:rsidR="001C3520" w:rsidRPr="003E76E7" w:rsidRDefault="001C3520" w:rsidP="00C4292D">
      <w:pPr>
        <w:rPr>
          <w:lang w:val="en-AU"/>
        </w:rPr>
        <w:sectPr w:rsidR="001C3520" w:rsidRPr="003E76E7" w:rsidSect="00C30BE6">
          <w:headerReference w:type="even" r:id="rId46"/>
          <w:headerReference w:type="default" r:id="rId47"/>
          <w:footerReference w:type="even" r:id="rId48"/>
          <w:footerReference w:type="default" r:id="rId49"/>
          <w:pgSz w:w="11906" w:h="16838" w:code="9"/>
          <w:pgMar w:top="1701" w:right="1361" w:bottom="1701" w:left="1928" w:header="720" w:footer="720" w:gutter="0"/>
          <w:pgNumType w:fmt="lowerRoman"/>
          <w:cols w:space="720"/>
        </w:sectPr>
      </w:pPr>
    </w:p>
    <w:bookmarkEnd w:id="226"/>
    <w:bookmarkEnd w:id="227"/>
    <w:bookmarkEnd w:id="228"/>
    <w:bookmarkEnd w:id="229"/>
    <w:bookmarkEnd w:id="230"/>
    <w:p w14:paraId="70A817FC" w14:textId="77777777" w:rsidR="00CE18F4" w:rsidRPr="003E76E7" w:rsidRDefault="00CE18F4" w:rsidP="00C4292D">
      <w:pPr>
        <w:ind w:left="2" w:firstLine="1"/>
        <w:jc w:val="center"/>
        <w:rPr>
          <w:lang w:val="en-AU"/>
        </w:rPr>
      </w:pPr>
    </w:p>
    <w:p w14:paraId="7BAD124F" w14:textId="77777777" w:rsidR="00F232BC" w:rsidRPr="003E76E7" w:rsidRDefault="00F232BC" w:rsidP="00C4292D">
      <w:pPr>
        <w:tabs>
          <w:tab w:val="right" w:leader="dot" w:pos="7655"/>
          <w:tab w:val="right" w:leader="dot" w:pos="8647"/>
        </w:tabs>
        <w:spacing w:before="80" w:after="80"/>
        <w:rPr>
          <w:rFonts w:ascii="Arial" w:hAnsi="Arial"/>
          <w:szCs w:val="20"/>
          <w:lang w:val="en-AU"/>
        </w:rPr>
      </w:pPr>
    </w:p>
    <w:p w14:paraId="39A452F7" w14:textId="77777777" w:rsidR="00053D39" w:rsidRPr="003E76E7" w:rsidRDefault="00053D39" w:rsidP="00C4292D">
      <w:pPr>
        <w:pStyle w:val="HeadingTitlePage"/>
        <w:rPr>
          <w:lang w:val="en-AU"/>
        </w:rPr>
      </w:pPr>
    </w:p>
    <w:p w14:paraId="700FA7B7" w14:textId="77777777" w:rsidR="00053D39" w:rsidRPr="003E76E7" w:rsidRDefault="00053D39" w:rsidP="00C4292D">
      <w:pPr>
        <w:pStyle w:val="HeadingTitlePage"/>
        <w:rPr>
          <w:lang w:val="en-AU"/>
        </w:rPr>
      </w:pPr>
    </w:p>
    <w:p w14:paraId="23A21D74" w14:textId="77777777" w:rsidR="00053D39" w:rsidRPr="003E76E7" w:rsidRDefault="00053D39" w:rsidP="00C4292D">
      <w:pPr>
        <w:pStyle w:val="HeadingTitlePage"/>
        <w:rPr>
          <w:lang w:val="en-AU"/>
        </w:rPr>
      </w:pPr>
    </w:p>
    <w:p w14:paraId="1D50BC4A" w14:textId="77777777" w:rsidR="00053D39" w:rsidRPr="003E76E7" w:rsidRDefault="00053D39" w:rsidP="00C4292D">
      <w:pPr>
        <w:pStyle w:val="HeadingTitlePage"/>
        <w:rPr>
          <w:lang w:val="en-AU"/>
        </w:rPr>
      </w:pPr>
    </w:p>
    <w:p w14:paraId="3D5431DC" w14:textId="77777777" w:rsidR="00E04BCF" w:rsidRPr="003E76E7" w:rsidRDefault="00E04BCF" w:rsidP="00C4292D">
      <w:pPr>
        <w:pStyle w:val="HeadingTitlePage"/>
        <w:rPr>
          <w:lang w:val="en-AU"/>
        </w:rPr>
      </w:pPr>
    </w:p>
    <w:p w14:paraId="620989A1" w14:textId="77777777" w:rsidR="00053D39" w:rsidRPr="003E76E7" w:rsidRDefault="00053D39" w:rsidP="00C4292D">
      <w:pPr>
        <w:pStyle w:val="HeadingTitlePage"/>
        <w:rPr>
          <w:lang w:val="en-AU"/>
        </w:rPr>
      </w:pPr>
    </w:p>
    <w:p w14:paraId="22F1D4FC" w14:textId="77777777" w:rsidR="00EA1050" w:rsidRPr="003E76E7" w:rsidRDefault="00EA1050" w:rsidP="00C4292D">
      <w:pPr>
        <w:pStyle w:val="Heading2"/>
        <w:spacing w:before="0" w:after="360"/>
        <w:jc w:val="center"/>
        <w:rPr>
          <w:rFonts w:ascii="Arial Bold" w:hAnsi="Arial Bold"/>
          <w:b/>
          <w:sz w:val="52"/>
          <w:szCs w:val="52"/>
        </w:rPr>
      </w:pPr>
      <w:bookmarkStart w:id="398" w:name="_Toc190766147"/>
      <w:bookmarkStart w:id="399" w:name="_Toc444523505"/>
      <w:bookmarkStart w:id="400" w:name="_Toc2018141"/>
      <w:bookmarkStart w:id="401" w:name="_Toc29898857"/>
      <w:bookmarkStart w:id="402" w:name="_Toc51691665"/>
      <w:bookmarkStart w:id="403" w:name="_Toc65150729"/>
      <w:bookmarkStart w:id="404" w:name="_Toc69729034"/>
      <w:bookmarkStart w:id="405" w:name="_Toc69913609"/>
      <w:bookmarkStart w:id="406" w:name="_Toc69917828"/>
      <w:bookmarkStart w:id="407" w:name="_Toc97747817"/>
      <w:bookmarkStart w:id="408" w:name="_Toc108088928"/>
      <w:bookmarkStart w:id="409" w:name="_Toc108089007"/>
      <w:bookmarkStart w:id="410" w:name="_Toc108089402"/>
      <w:bookmarkStart w:id="411" w:name="_Toc109227287"/>
      <w:bookmarkStart w:id="412" w:name="_Toc109227724"/>
      <w:bookmarkStart w:id="413" w:name="_Toc158896240"/>
      <w:bookmarkStart w:id="414" w:name="_Toc158896297"/>
      <w:bookmarkStart w:id="415" w:name="_Toc159499671"/>
      <w:bookmarkStart w:id="416" w:name="_Toc159857668"/>
      <w:bookmarkStart w:id="417" w:name="_Toc159857747"/>
      <w:bookmarkStart w:id="418" w:name="_Toc159858143"/>
      <w:bookmarkStart w:id="419" w:name="_Toc159858414"/>
      <w:bookmarkStart w:id="420" w:name="_Toc159858808"/>
      <w:bookmarkStart w:id="421" w:name="_Toc159858878"/>
      <w:bookmarkStart w:id="422" w:name="_Toc159859088"/>
      <w:bookmarkStart w:id="423" w:name="_Toc159862278"/>
      <w:bookmarkStart w:id="424" w:name="_Toc159862468"/>
      <w:bookmarkStart w:id="425" w:name="_Toc221786172"/>
      <w:bookmarkStart w:id="426" w:name="_Toc222129912"/>
      <w:bookmarkStart w:id="427" w:name="_Toc222148342"/>
      <w:bookmarkStart w:id="428" w:name="_Toc225847970"/>
      <w:bookmarkStart w:id="429" w:name="_Toc225848053"/>
      <w:bookmarkStart w:id="430" w:name="_Toc225848136"/>
      <w:bookmarkStart w:id="431" w:name="_Toc225848216"/>
      <w:bookmarkStart w:id="432" w:name="_Toc225848251"/>
      <w:bookmarkStart w:id="433" w:name="_Toc225848475"/>
      <w:bookmarkStart w:id="434" w:name="_Toc225941542"/>
      <w:bookmarkStart w:id="435" w:name="_Toc225942549"/>
      <w:bookmarkStart w:id="436" w:name="_Toc227334359"/>
      <w:bookmarkStart w:id="437" w:name="_Toc229072434"/>
      <w:bookmarkStart w:id="438" w:name="_Toc229072606"/>
      <w:r w:rsidRPr="003E76E7">
        <w:rPr>
          <w:rFonts w:ascii="Arial Bold" w:hAnsi="Arial Bold"/>
          <w:b/>
          <w:sz w:val="52"/>
          <w:szCs w:val="52"/>
        </w:rPr>
        <w:t xml:space="preserve">Portfolio </w:t>
      </w:r>
      <w:bookmarkEnd w:id="398"/>
      <w:r w:rsidRPr="003E76E7">
        <w:rPr>
          <w:rFonts w:ascii="Arial Bold" w:hAnsi="Arial Bold"/>
          <w:b/>
          <w:sz w:val="52"/>
          <w:szCs w:val="52"/>
        </w:rPr>
        <w:t>Overview</w:t>
      </w:r>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p>
    <w:p w14:paraId="328485D0" w14:textId="77777777" w:rsidR="0009532B" w:rsidRPr="003E76E7" w:rsidRDefault="005E0D14" w:rsidP="00C4292D">
      <w:pPr>
        <w:jc w:val="center"/>
        <w:rPr>
          <w:lang w:val="en-AU"/>
        </w:rPr>
      </w:pPr>
      <w:r w:rsidRPr="003E76E7">
        <w:rPr>
          <w:lang w:val="en-AU"/>
        </w:rPr>
        <w:br w:type="page"/>
      </w:r>
      <w:bookmarkStart w:id="439" w:name="_Toc340655851"/>
      <w:bookmarkStart w:id="440" w:name="_Toc340656259"/>
      <w:bookmarkStart w:id="441" w:name="_Toc340656889"/>
      <w:bookmarkStart w:id="442" w:name="_Toc340665289"/>
      <w:bookmarkStart w:id="443" w:name="_Toc340669813"/>
      <w:bookmarkStart w:id="444" w:name="_Toc346545720"/>
      <w:bookmarkStart w:id="445" w:name="_Toc346622274"/>
      <w:bookmarkStart w:id="446" w:name="_Toc346692734"/>
      <w:bookmarkStart w:id="447" w:name="_Toc346713077"/>
      <w:bookmarkStart w:id="448" w:name="_Toc346788746"/>
      <w:bookmarkStart w:id="449" w:name="_Toc346824122"/>
      <w:bookmarkStart w:id="450" w:name="_Toc346891293"/>
      <w:bookmarkStart w:id="451" w:name="_Toc347238745"/>
      <w:bookmarkStart w:id="452" w:name="_Toc347415194"/>
      <w:bookmarkStart w:id="453" w:name="_Toc347473793"/>
      <w:bookmarkStart w:id="454" w:name="_Toc347481819"/>
      <w:bookmarkStart w:id="455" w:name="_Toc347490054"/>
      <w:bookmarkStart w:id="456" w:name="_Toc347744280"/>
      <w:bookmarkStart w:id="457" w:name="_Toc347754522"/>
      <w:bookmarkStart w:id="458" w:name="_Toc347757648"/>
      <w:bookmarkStart w:id="459" w:name="_Toc347764590"/>
      <w:bookmarkStart w:id="460" w:name="_Toc347766451"/>
      <w:bookmarkStart w:id="461" w:name="_Toc353889397"/>
      <w:bookmarkStart w:id="462" w:name="_Toc354470953"/>
      <w:bookmarkStart w:id="463" w:name="_Toc354565554"/>
      <w:bookmarkStart w:id="464" w:name="_Toc354580477"/>
      <w:bookmarkStart w:id="465" w:name="_Toc354591377"/>
      <w:bookmarkStart w:id="466" w:name="_Toc354734107"/>
      <w:bookmarkStart w:id="467" w:name="_Toc355020205"/>
      <w:bookmarkStart w:id="468" w:name="_Toc355262882"/>
      <w:bookmarkStart w:id="469" w:name="_Toc355271237"/>
      <w:bookmarkStart w:id="470" w:name="_Toc355343306"/>
      <w:bookmarkStart w:id="471" w:name="_Toc355620794"/>
      <w:bookmarkStart w:id="472" w:name="_Toc359245763"/>
      <w:bookmarkStart w:id="473" w:name="_Toc374969017"/>
      <w:bookmarkStart w:id="474" w:name="_Toc375310529"/>
    </w:p>
    <w:p w14:paraId="0064F831" w14:textId="77777777" w:rsidR="000512AB" w:rsidRPr="003E76E7" w:rsidRDefault="000512AB" w:rsidP="00C4292D">
      <w:pPr>
        <w:ind w:left="2" w:firstLine="1"/>
        <w:jc w:val="center"/>
        <w:rPr>
          <w:lang w:val="en-AU"/>
        </w:rPr>
      </w:pPr>
    </w:p>
    <w:p w14:paraId="3C921B2F" w14:textId="77777777" w:rsidR="000512AB" w:rsidRPr="003E76E7" w:rsidRDefault="000512AB" w:rsidP="00C4292D">
      <w:pPr>
        <w:ind w:left="2" w:firstLine="1"/>
        <w:jc w:val="center"/>
        <w:rPr>
          <w:lang w:val="en-AU"/>
        </w:rPr>
      </w:pPr>
    </w:p>
    <w:p w14:paraId="4C29BA6F" w14:textId="77777777" w:rsidR="000512AB" w:rsidRPr="003E76E7" w:rsidRDefault="000512AB" w:rsidP="00C4292D">
      <w:pPr>
        <w:ind w:left="2" w:firstLine="1"/>
        <w:jc w:val="center"/>
        <w:rPr>
          <w:lang w:val="en-AU"/>
        </w:rPr>
      </w:pPr>
    </w:p>
    <w:p w14:paraId="77E20CD0" w14:textId="77777777" w:rsidR="000512AB" w:rsidRPr="003E76E7" w:rsidRDefault="000512AB" w:rsidP="00C4292D">
      <w:pPr>
        <w:ind w:left="2" w:firstLine="1"/>
        <w:jc w:val="center"/>
        <w:rPr>
          <w:lang w:val="en-AU"/>
        </w:rPr>
      </w:pPr>
    </w:p>
    <w:p w14:paraId="36127542" w14:textId="77777777" w:rsidR="000512AB" w:rsidRPr="003E76E7" w:rsidRDefault="000512AB" w:rsidP="00C4292D">
      <w:pPr>
        <w:ind w:left="2" w:firstLine="1"/>
        <w:jc w:val="center"/>
        <w:rPr>
          <w:lang w:val="en-AU"/>
        </w:rPr>
      </w:pPr>
    </w:p>
    <w:p w14:paraId="7D293BD1" w14:textId="77777777" w:rsidR="000512AB" w:rsidRPr="003E76E7" w:rsidRDefault="000512AB" w:rsidP="00C4292D">
      <w:pPr>
        <w:ind w:left="2" w:firstLine="1"/>
        <w:jc w:val="center"/>
        <w:rPr>
          <w:lang w:val="en-AU"/>
        </w:rPr>
      </w:pPr>
    </w:p>
    <w:p w14:paraId="31E8AEC6" w14:textId="3C063DA9" w:rsidR="000512AB" w:rsidRPr="003E76E7" w:rsidRDefault="000512AB" w:rsidP="00C4292D">
      <w:pPr>
        <w:ind w:left="2" w:firstLine="1"/>
        <w:jc w:val="center"/>
        <w:rPr>
          <w:lang w:val="en-AU"/>
        </w:rPr>
      </w:pPr>
    </w:p>
    <w:p w14:paraId="56784AFE" w14:textId="1435090E" w:rsidR="000512AB" w:rsidRPr="003E76E7" w:rsidRDefault="000512AB" w:rsidP="00C4292D">
      <w:pPr>
        <w:ind w:left="2" w:firstLine="1"/>
        <w:jc w:val="center"/>
        <w:rPr>
          <w:lang w:val="en-AU"/>
        </w:rPr>
      </w:pPr>
    </w:p>
    <w:p w14:paraId="51A92784" w14:textId="77777777" w:rsidR="000512AB" w:rsidRPr="003E76E7" w:rsidRDefault="000512AB" w:rsidP="00C4292D">
      <w:pPr>
        <w:ind w:left="2" w:firstLine="1"/>
        <w:jc w:val="center"/>
        <w:rPr>
          <w:lang w:val="en-AU"/>
        </w:rPr>
      </w:pPr>
    </w:p>
    <w:p w14:paraId="4685A07F" w14:textId="77777777" w:rsidR="000512AB" w:rsidRPr="003E76E7" w:rsidRDefault="000512AB" w:rsidP="00C4292D">
      <w:pPr>
        <w:ind w:left="2" w:firstLine="1"/>
        <w:jc w:val="center"/>
        <w:rPr>
          <w:lang w:val="en-AU"/>
        </w:rPr>
      </w:pPr>
    </w:p>
    <w:p w14:paraId="0F6AF551" w14:textId="77777777" w:rsidR="000512AB" w:rsidRPr="003E76E7" w:rsidRDefault="000512AB" w:rsidP="00C4292D">
      <w:pPr>
        <w:ind w:left="2" w:firstLine="1"/>
        <w:jc w:val="center"/>
        <w:rPr>
          <w:lang w:val="en-AU"/>
        </w:rPr>
      </w:pPr>
    </w:p>
    <w:p w14:paraId="1551DB5A" w14:textId="77777777" w:rsidR="000512AB" w:rsidRPr="003E76E7" w:rsidRDefault="000512AB" w:rsidP="00C4292D">
      <w:pPr>
        <w:ind w:left="2" w:firstLine="1"/>
        <w:jc w:val="center"/>
        <w:rPr>
          <w:lang w:val="en-AU"/>
        </w:rPr>
      </w:pPr>
    </w:p>
    <w:p w14:paraId="0058C4A5" w14:textId="77777777" w:rsidR="000512AB" w:rsidRPr="003E76E7" w:rsidRDefault="000512AB" w:rsidP="00C4292D">
      <w:pPr>
        <w:ind w:left="2" w:firstLine="1"/>
        <w:jc w:val="center"/>
        <w:rPr>
          <w:lang w:val="en-AU"/>
        </w:rPr>
      </w:pPr>
    </w:p>
    <w:p w14:paraId="687CA337" w14:textId="77777777" w:rsidR="000512AB" w:rsidRPr="003E76E7" w:rsidRDefault="000512AB" w:rsidP="00C4292D">
      <w:pPr>
        <w:ind w:left="2" w:firstLine="1"/>
        <w:jc w:val="center"/>
        <w:rPr>
          <w:lang w:val="en-AU"/>
        </w:rPr>
      </w:pPr>
    </w:p>
    <w:p w14:paraId="108E5472" w14:textId="77777777" w:rsidR="000512AB" w:rsidRPr="003E76E7" w:rsidRDefault="000512AB" w:rsidP="00C4292D">
      <w:pPr>
        <w:ind w:left="2" w:firstLine="1"/>
        <w:jc w:val="center"/>
        <w:rPr>
          <w:lang w:val="en-AU"/>
        </w:rPr>
      </w:pPr>
      <w:r w:rsidRPr="003E76E7">
        <w:rPr>
          <w:lang w:val="en-AU"/>
        </w:rPr>
        <w:t>This page intentionally left blank.</w:t>
      </w:r>
    </w:p>
    <w:p w14:paraId="348C5925" w14:textId="77777777" w:rsidR="00EA1050" w:rsidRPr="003E76E7" w:rsidRDefault="005E0D14" w:rsidP="00C4292D">
      <w:pPr>
        <w:pStyle w:val="BodyText"/>
        <w:spacing w:after="100"/>
        <w:jc w:val="center"/>
        <w:rPr>
          <w:rFonts w:ascii="Arial Bold" w:hAnsi="Arial Bold"/>
          <w:sz w:val="36"/>
          <w:szCs w:val="36"/>
        </w:rPr>
      </w:pPr>
      <w:r w:rsidRPr="003E76E7">
        <w:rPr>
          <w:lang w:val="en-AU"/>
        </w:rPr>
        <w:br w:type="page"/>
      </w:r>
      <w:bookmarkStart w:id="475" w:name="_Toc501442124"/>
      <w:bookmarkStart w:id="476" w:name="_Toc503861097"/>
      <w:bookmarkStart w:id="477" w:name="_Toc51690408"/>
      <w:bookmarkStart w:id="478" w:name="_Toc51690636"/>
      <w:bookmarkStart w:id="479" w:name="_Toc51690774"/>
      <w:bookmarkStart w:id="480" w:name="_Toc51691146"/>
      <w:bookmarkStart w:id="481" w:name="_Toc51691349"/>
      <w:bookmarkStart w:id="482" w:name="_Toc51691666"/>
      <w:bookmarkStart w:id="483" w:name="_Toc69729035"/>
      <w:bookmarkStart w:id="484" w:name="_Toc69917829"/>
      <w:bookmarkStart w:id="485" w:name="_Toc354591380"/>
      <w:bookmarkStart w:id="486" w:name="_Toc355020208"/>
      <w:bookmarkStart w:id="487" w:name="_Toc346545722"/>
      <w:bookmarkStart w:id="488" w:name="_Toc346622276"/>
      <w:bookmarkStart w:id="489" w:name="_Toc346692736"/>
      <w:bookmarkStart w:id="490" w:name="_Toc346713079"/>
      <w:bookmarkStart w:id="491" w:name="_Toc346788748"/>
      <w:bookmarkStart w:id="492" w:name="_Toc346824124"/>
      <w:bookmarkStart w:id="493" w:name="_Toc346891295"/>
      <w:bookmarkStart w:id="494" w:name="_Toc347238747"/>
      <w:bookmarkStart w:id="495" w:name="_Toc347415196"/>
      <w:bookmarkStart w:id="496" w:name="_Toc347473795"/>
      <w:bookmarkStart w:id="497" w:name="_Toc347481821"/>
      <w:bookmarkStart w:id="498" w:name="_Toc347490056"/>
      <w:bookmarkStart w:id="499" w:name="_Toc347744282"/>
      <w:bookmarkStart w:id="500" w:name="_Toc347754524"/>
      <w:bookmarkStart w:id="501" w:name="_Toc347757650"/>
      <w:bookmarkStart w:id="502" w:name="_Toc347764592"/>
      <w:bookmarkStart w:id="503" w:name="_Toc347766453"/>
      <w:bookmarkStart w:id="504" w:name="_Toc353889399"/>
      <w:bookmarkStart w:id="505" w:name="_Toc354470955"/>
      <w:bookmarkStart w:id="506" w:name="_Toc354565557"/>
      <w:bookmarkStart w:id="507" w:name="_Toc354580480"/>
      <w:bookmarkStart w:id="508" w:name="_Toc354591381"/>
      <w:bookmarkStart w:id="509" w:name="_Toc354734110"/>
      <w:bookmarkStart w:id="510" w:name="_Toc355020209"/>
      <w:bookmarkStart w:id="511" w:name="_Toc355262885"/>
      <w:bookmarkStart w:id="512" w:name="_Toc355271240"/>
      <w:bookmarkStart w:id="513" w:name="_Toc355343309"/>
      <w:bookmarkStart w:id="514" w:name="_Toc355620797"/>
      <w:bookmarkStart w:id="515" w:name="_Toc359245766"/>
      <w:bookmarkStart w:id="516" w:name="_Toc374969020"/>
      <w:bookmarkStart w:id="517" w:name="_Toc375310532"/>
      <w:bookmarkStart w:id="518" w:name="_Toc384298211"/>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r w:rsidR="00EA1050" w:rsidRPr="003E76E7">
        <w:rPr>
          <w:rFonts w:ascii="Arial Bold" w:hAnsi="Arial Bold"/>
          <w:sz w:val="36"/>
          <w:szCs w:val="36"/>
        </w:rPr>
        <w:lastRenderedPageBreak/>
        <w:t xml:space="preserve">Defence Portfolio </w:t>
      </w:r>
      <w:r w:rsidR="00D56E52" w:rsidRPr="003E76E7">
        <w:rPr>
          <w:rFonts w:ascii="Arial Bold" w:hAnsi="Arial Bold"/>
          <w:sz w:val="36"/>
          <w:szCs w:val="36"/>
        </w:rPr>
        <w:t>O</w:t>
      </w:r>
      <w:r w:rsidR="00EA1050" w:rsidRPr="003E76E7">
        <w:rPr>
          <w:rFonts w:ascii="Arial Bold" w:hAnsi="Arial Bold"/>
          <w:sz w:val="36"/>
          <w:szCs w:val="36"/>
        </w:rPr>
        <w:t>verview</w:t>
      </w:r>
      <w:bookmarkEnd w:id="475"/>
      <w:bookmarkEnd w:id="476"/>
      <w:bookmarkEnd w:id="477"/>
      <w:bookmarkEnd w:id="478"/>
      <w:bookmarkEnd w:id="479"/>
      <w:bookmarkEnd w:id="480"/>
      <w:bookmarkEnd w:id="481"/>
      <w:bookmarkEnd w:id="482"/>
      <w:bookmarkEnd w:id="483"/>
      <w:bookmarkEnd w:id="484"/>
    </w:p>
    <w:p w14:paraId="490AB228" w14:textId="77777777" w:rsidR="002743AB" w:rsidRPr="003E76E7" w:rsidRDefault="002743AB" w:rsidP="00C4292D">
      <w:pPr>
        <w:pStyle w:val="Heading4"/>
      </w:pPr>
      <w:bookmarkStart w:id="519" w:name="_Toc374969018"/>
      <w:bookmarkStart w:id="520" w:name="_Toc375310530"/>
      <w:bookmarkStart w:id="521" w:name="_Toc501442125"/>
      <w:bookmarkStart w:id="522" w:name="_Toc503861098"/>
      <w:bookmarkStart w:id="523" w:name="_Toc384298209"/>
      <w:bookmarkStart w:id="524" w:name="_Toc534886321"/>
      <w:bookmarkStart w:id="525" w:name="_Toc534886514"/>
      <w:bookmarkStart w:id="526" w:name="_Toc534908441"/>
      <w:bookmarkStart w:id="527" w:name="_Toc23502278"/>
      <w:bookmarkStart w:id="528" w:name="_Toc29898858"/>
      <w:bookmarkStart w:id="529" w:name="_Toc51691667"/>
      <w:bookmarkStart w:id="530" w:name="_Toc69729036"/>
      <w:bookmarkStart w:id="531" w:name="_Toc69917830"/>
      <w:bookmarkStart w:id="532" w:name="_Toc97747818"/>
      <w:bookmarkStart w:id="533" w:name="_Toc108088929"/>
      <w:bookmarkStart w:id="534" w:name="_Toc108089008"/>
      <w:bookmarkStart w:id="535" w:name="_Toc108089403"/>
      <w:bookmarkStart w:id="536" w:name="_Toc108089683"/>
      <w:bookmarkStart w:id="537" w:name="_Toc109227288"/>
      <w:bookmarkStart w:id="538" w:name="_Toc109227725"/>
      <w:bookmarkStart w:id="539" w:name="_Toc149060102"/>
      <w:bookmarkStart w:id="540" w:name="_Toc149115986"/>
      <w:bookmarkStart w:id="541" w:name="_Toc149233099"/>
      <w:bookmarkStart w:id="542" w:name="_Toc155955115"/>
      <w:bookmarkStart w:id="543" w:name="_Toc218594892"/>
      <w:bookmarkStart w:id="544" w:name="_Toc218596276"/>
      <w:bookmarkStart w:id="545" w:name="_Toc218596630"/>
      <w:bookmarkStart w:id="546" w:name="_Toc218596769"/>
      <w:bookmarkStart w:id="547" w:name="_Toc218597013"/>
      <w:bookmarkStart w:id="548" w:name="_Toc218597149"/>
      <w:bookmarkStart w:id="549" w:name="_Toc218597653"/>
      <w:bookmarkStart w:id="550" w:name="_Toc218597790"/>
      <w:bookmarkStart w:id="551" w:name="_Toc218761686"/>
      <w:bookmarkStart w:id="552" w:name="_Toc218765417"/>
      <w:bookmarkStart w:id="553" w:name="_Toc218765497"/>
      <w:bookmarkStart w:id="554" w:name="_Toc219290636"/>
      <w:bookmarkStart w:id="555" w:name="_Toc222148343"/>
      <w:bookmarkStart w:id="556" w:name="_Toc225847971"/>
      <w:bookmarkStart w:id="557" w:name="_Toc225848054"/>
      <w:bookmarkStart w:id="558" w:name="_Toc225848137"/>
      <w:bookmarkStart w:id="559" w:name="_Toc225848217"/>
      <w:bookmarkStart w:id="560" w:name="_Toc225848252"/>
      <w:bookmarkStart w:id="561" w:name="_Toc225848476"/>
      <w:bookmarkStart w:id="562" w:name="_Toc225941543"/>
      <w:bookmarkStart w:id="563" w:name="_Toc225942550"/>
      <w:bookmarkStart w:id="564" w:name="_Toc227334360"/>
      <w:bookmarkStart w:id="565" w:name="_Toc229072435"/>
      <w:bookmarkStart w:id="566" w:name="_Toc229072607"/>
      <w:bookmarkStart w:id="567" w:name="_Toc501442127"/>
      <w:bookmarkStart w:id="568" w:name="_Toc503861100"/>
      <w:bookmarkStart w:id="569" w:name="_Toc534886323"/>
      <w:bookmarkStart w:id="570" w:name="_Toc534886516"/>
      <w:bookmarkStart w:id="571" w:name="_Toc534908443"/>
      <w:bookmarkStart w:id="572" w:name="_Toc23502280"/>
      <w:bookmarkStart w:id="573" w:name="_Toc29898860"/>
      <w:bookmarkStart w:id="574" w:name="_Toc51691669"/>
      <w:bookmarkStart w:id="575" w:name="_Toc69729037"/>
      <w:bookmarkStart w:id="576" w:name="_Toc69917832"/>
      <w:bookmarkStart w:id="577" w:name="_Toc340655854"/>
      <w:bookmarkStart w:id="578" w:name="_Toc340656262"/>
      <w:bookmarkStart w:id="579" w:name="_Toc340656892"/>
      <w:bookmarkStart w:id="580" w:name="_Toc340665292"/>
      <w:bookmarkStart w:id="581" w:name="_Toc340669816"/>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r w:rsidRPr="003E76E7">
        <w:rPr>
          <w:sz w:val="26"/>
          <w:szCs w:val="26"/>
        </w:rPr>
        <w:t>Ministers and their Portfolio Responsibilities</w:t>
      </w:r>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p>
    <w:p w14:paraId="11E006F4" w14:textId="77777777" w:rsidR="00FC447A" w:rsidRPr="003E76E7" w:rsidRDefault="00FC447A" w:rsidP="00C4292D">
      <w:pPr>
        <w:pStyle w:val="BodyText"/>
        <w:spacing w:after="0"/>
      </w:pPr>
      <w:r w:rsidRPr="003E76E7">
        <w:t>The Defence Portfolio has four Ministers:</w:t>
      </w:r>
    </w:p>
    <w:p w14:paraId="5A776CA5" w14:textId="77777777" w:rsidR="00FC447A" w:rsidRPr="003E76E7" w:rsidRDefault="00FC447A" w:rsidP="00C4292D">
      <w:pPr>
        <w:numPr>
          <w:ilvl w:val="0"/>
          <w:numId w:val="15"/>
        </w:numPr>
        <w:spacing w:before="60" w:after="60"/>
        <w:ind w:hanging="340"/>
        <w:rPr>
          <w:rFonts w:eastAsia="Calibri" w:cs="Calibri"/>
          <w:szCs w:val="20"/>
          <w:lang w:val="en-AU" w:eastAsia="en-US"/>
        </w:rPr>
      </w:pPr>
      <w:r w:rsidRPr="003E76E7">
        <w:rPr>
          <w:rFonts w:eastAsia="Calibri" w:cs="Calibri"/>
          <w:szCs w:val="20"/>
          <w:lang w:val="en-AU" w:eastAsia="en-US"/>
        </w:rPr>
        <w:t>the Hon Richard Marles MP, Deputy Prime Minister and Minister for Defence;</w:t>
      </w:r>
    </w:p>
    <w:p w14:paraId="328FE403" w14:textId="77777777" w:rsidR="00FC447A" w:rsidRPr="003E76E7" w:rsidRDefault="00FC447A" w:rsidP="00C4292D">
      <w:pPr>
        <w:numPr>
          <w:ilvl w:val="0"/>
          <w:numId w:val="15"/>
        </w:numPr>
        <w:spacing w:before="60" w:after="60"/>
        <w:ind w:hanging="340"/>
        <w:rPr>
          <w:rFonts w:eastAsia="Calibri" w:cs="Calibri"/>
          <w:szCs w:val="20"/>
          <w:lang w:val="en-AU" w:eastAsia="en-US"/>
        </w:rPr>
      </w:pPr>
      <w:r w:rsidRPr="003E76E7">
        <w:rPr>
          <w:rFonts w:eastAsia="Calibri" w:cs="Calibri"/>
          <w:szCs w:val="20"/>
          <w:lang w:val="en-AU" w:eastAsia="en-US"/>
        </w:rPr>
        <w:t xml:space="preserve">the Hon Pat Conroy MP, Minister for Defence Industry and Minister for Pacific Island Affairs; </w:t>
      </w:r>
    </w:p>
    <w:p w14:paraId="552B1A69" w14:textId="77777777" w:rsidR="00FC447A" w:rsidRPr="003E76E7" w:rsidRDefault="00FC447A" w:rsidP="00C4292D">
      <w:pPr>
        <w:numPr>
          <w:ilvl w:val="0"/>
          <w:numId w:val="15"/>
        </w:numPr>
        <w:spacing w:before="60" w:after="60"/>
        <w:ind w:hanging="340"/>
        <w:rPr>
          <w:rFonts w:eastAsia="Calibri" w:cs="Calibri"/>
          <w:szCs w:val="20"/>
          <w:lang w:val="en-AU" w:eastAsia="en-US"/>
        </w:rPr>
      </w:pPr>
      <w:r w:rsidRPr="003E76E7">
        <w:rPr>
          <w:rFonts w:eastAsia="Calibri" w:cs="Calibri"/>
          <w:szCs w:val="20"/>
          <w:lang w:val="en-AU" w:eastAsia="en-US"/>
        </w:rPr>
        <w:t>the Hon Matt Keogh MP, Minister for Veterans’ Affairs and Minister for Defence Personnel; and</w:t>
      </w:r>
    </w:p>
    <w:p w14:paraId="71A10762" w14:textId="77777777" w:rsidR="00FC447A" w:rsidRPr="003E76E7" w:rsidRDefault="00FC447A" w:rsidP="00C4292D">
      <w:pPr>
        <w:numPr>
          <w:ilvl w:val="0"/>
          <w:numId w:val="15"/>
        </w:numPr>
        <w:spacing w:before="60" w:after="60"/>
        <w:ind w:hanging="340"/>
        <w:rPr>
          <w:rFonts w:eastAsia="Calibri" w:cs="Calibri"/>
          <w:szCs w:val="20"/>
          <w:lang w:val="en-AU" w:eastAsia="en-US"/>
        </w:rPr>
      </w:pPr>
      <w:r w:rsidRPr="003E76E7">
        <w:rPr>
          <w:rFonts w:eastAsia="Calibri" w:cs="Calibri"/>
          <w:szCs w:val="20"/>
          <w:lang w:val="en-AU" w:eastAsia="en-US"/>
        </w:rPr>
        <w:t>the Hon Peter Khalil MP, Assistant Minister for Defence.</w:t>
      </w:r>
    </w:p>
    <w:p w14:paraId="49A52141" w14:textId="77777777" w:rsidR="00FC447A" w:rsidRPr="003E76E7" w:rsidRDefault="00FC447A" w:rsidP="00C4292D">
      <w:pPr>
        <w:pStyle w:val="BodyText"/>
        <w:tabs>
          <w:tab w:val="left" w:pos="284"/>
        </w:tabs>
        <w:spacing w:after="0"/>
      </w:pPr>
      <w:r w:rsidRPr="003E76E7">
        <w:t>In addition to these Ministers, the following Minister was sworn in as a Minister involved in the administration of the Department of Defence:</w:t>
      </w:r>
    </w:p>
    <w:p w14:paraId="5EF98EC2" w14:textId="77777777" w:rsidR="00FC447A" w:rsidRPr="003E76E7" w:rsidRDefault="00FC447A" w:rsidP="00C4292D">
      <w:pPr>
        <w:numPr>
          <w:ilvl w:val="0"/>
          <w:numId w:val="15"/>
        </w:numPr>
        <w:spacing w:before="60" w:after="60"/>
        <w:ind w:hanging="340"/>
        <w:rPr>
          <w:rFonts w:eastAsia="Calibri" w:cs="Calibri"/>
          <w:szCs w:val="20"/>
          <w:lang w:val="en-AU" w:eastAsia="en-US"/>
        </w:rPr>
      </w:pPr>
      <w:r w:rsidRPr="003E76E7">
        <w:rPr>
          <w:rFonts w:eastAsia="Calibri" w:cs="Calibri"/>
          <w:szCs w:val="20"/>
          <w:lang w:val="en-AU" w:eastAsia="en-US"/>
        </w:rPr>
        <w:t>the Hon Tony Burke MP, Minister for Home Affairs, Minister for Immigration and Citizenship, Minister for Cyber Security and Minister for the Arts.</w:t>
      </w:r>
    </w:p>
    <w:p w14:paraId="26E681A5" w14:textId="77777777" w:rsidR="00FC447A" w:rsidRPr="003E76E7" w:rsidRDefault="00FC447A" w:rsidP="00C4292D">
      <w:pPr>
        <w:pStyle w:val="BodyText"/>
        <w:tabs>
          <w:tab w:val="left" w:pos="284"/>
        </w:tabs>
        <w:spacing w:after="0"/>
      </w:pPr>
      <w:r w:rsidRPr="003E76E7">
        <w:t>In addition to the above Ministers, the Prime Minister made the following non</w:t>
      </w:r>
      <w:r w:rsidRPr="003E76E7">
        <w:noBreakHyphen/>
        <w:t xml:space="preserve">Ministerial appointment: </w:t>
      </w:r>
    </w:p>
    <w:p w14:paraId="74085042" w14:textId="77777777" w:rsidR="00FC447A" w:rsidRPr="003E76E7" w:rsidRDefault="00FC447A" w:rsidP="00C4292D">
      <w:pPr>
        <w:numPr>
          <w:ilvl w:val="0"/>
          <w:numId w:val="15"/>
        </w:numPr>
        <w:spacing w:before="60" w:after="60"/>
        <w:ind w:hanging="340"/>
        <w:rPr>
          <w:rFonts w:eastAsia="Calibri" w:cs="Calibri"/>
          <w:szCs w:val="20"/>
          <w:lang w:val="en-AU" w:eastAsia="en-US"/>
        </w:rPr>
      </w:pPr>
      <w:r w:rsidRPr="003E76E7">
        <w:rPr>
          <w:rFonts w:eastAsia="Calibri" w:cs="Calibri"/>
          <w:szCs w:val="20"/>
          <w:lang w:val="en-AU" w:eastAsia="en-US"/>
        </w:rPr>
        <w:t>Mr Luke Gosling OAM MP, Special Envoy for Defence, Veterans’ Affairs and Northern Australia.</w:t>
      </w:r>
    </w:p>
    <w:p w14:paraId="7DFBF274" w14:textId="0DFD29C1" w:rsidR="00FC447A" w:rsidRPr="003E76E7" w:rsidRDefault="002743AB" w:rsidP="00C4292D">
      <w:pPr>
        <w:pStyle w:val="Heading4"/>
        <w:rPr>
          <w:bCs w:val="0"/>
        </w:rPr>
      </w:pPr>
      <w:bookmarkStart w:id="582" w:name="_Toc149060103"/>
      <w:bookmarkStart w:id="583" w:name="_Toc149115987"/>
      <w:bookmarkStart w:id="584" w:name="_Toc149233100"/>
      <w:bookmarkStart w:id="585" w:name="_Toc155955116"/>
      <w:bookmarkStart w:id="586" w:name="_Toc218594893"/>
      <w:bookmarkStart w:id="587" w:name="_Toc218596277"/>
      <w:bookmarkStart w:id="588" w:name="_Toc218596631"/>
      <w:bookmarkStart w:id="589" w:name="_Toc218596770"/>
      <w:bookmarkStart w:id="590" w:name="_Toc218597014"/>
      <w:bookmarkStart w:id="591" w:name="_Toc218597150"/>
      <w:bookmarkStart w:id="592" w:name="_Toc218597654"/>
      <w:bookmarkStart w:id="593" w:name="_Toc218597791"/>
      <w:bookmarkStart w:id="594" w:name="_Toc218761687"/>
      <w:bookmarkStart w:id="595" w:name="_Toc218765418"/>
      <w:bookmarkStart w:id="596" w:name="_Toc218765498"/>
      <w:bookmarkStart w:id="597" w:name="_Toc219290637"/>
      <w:bookmarkStart w:id="598" w:name="_Toc222148344"/>
      <w:bookmarkStart w:id="599" w:name="_Toc225847972"/>
      <w:bookmarkStart w:id="600" w:name="_Toc225848055"/>
      <w:bookmarkStart w:id="601" w:name="_Toc225848138"/>
      <w:bookmarkStart w:id="602" w:name="_Toc225848218"/>
      <w:bookmarkStart w:id="603" w:name="_Toc225848253"/>
      <w:bookmarkStart w:id="604" w:name="_Toc225848477"/>
      <w:bookmarkStart w:id="605" w:name="_Toc225941544"/>
      <w:bookmarkStart w:id="606" w:name="_Toc225942551"/>
      <w:bookmarkStart w:id="607" w:name="_Toc227334361"/>
      <w:bookmarkStart w:id="608" w:name="_Toc229072436"/>
      <w:bookmarkStart w:id="609" w:name="_Toc229072608"/>
      <w:r w:rsidRPr="003E76E7">
        <w:rPr>
          <w:sz w:val="26"/>
          <w:szCs w:val="26"/>
        </w:rPr>
        <w:t>The Defence Portfolio</w:t>
      </w:r>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p>
    <w:p w14:paraId="45913D5B" w14:textId="77777777" w:rsidR="00FC447A" w:rsidRPr="003E76E7" w:rsidRDefault="00FC447A" w:rsidP="00C4292D">
      <w:pPr>
        <w:pStyle w:val="BodyText"/>
        <w:spacing w:after="0"/>
      </w:pPr>
      <w:r w:rsidRPr="003E76E7">
        <w:t>The Defence Portfolio (Portfolio) consists of component organisations that together are responsible for the defence of Australia and its national interests. The most significant bodies are the:</w:t>
      </w:r>
    </w:p>
    <w:p w14:paraId="6FEBB794" w14:textId="77777777" w:rsidR="00FC447A" w:rsidRPr="003E76E7" w:rsidRDefault="00FC447A" w:rsidP="00C4292D">
      <w:pPr>
        <w:numPr>
          <w:ilvl w:val="0"/>
          <w:numId w:val="15"/>
        </w:numPr>
        <w:spacing w:before="60" w:after="60"/>
        <w:ind w:hanging="340"/>
        <w:rPr>
          <w:rFonts w:eastAsia="Calibri" w:cs="Calibri"/>
          <w:szCs w:val="20"/>
          <w:lang w:val="en-AU" w:eastAsia="en-US"/>
        </w:rPr>
      </w:pPr>
      <w:r w:rsidRPr="003E76E7">
        <w:rPr>
          <w:rFonts w:eastAsia="Calibri" w:cs="Calibri"/>
          <w:szCs w:val="20"/>
          <w:lang w:val="en-AU" w:eastAsia="en-US"/>
        </w:rPr>
        <w:t>Department of Defence, headed by the Secretary of the Department of Defence; and</w:t>
      </w:r>
    </w:p>
    <w:p w14:paraId="40EE9BB5" w14:textId="77777777" w:rsidR="00FC447A" w:rsidRPr="003E76E7" w:rsidRDefault="00FC447A" w:rsidP="00C4292D">
      <w:pPr>
        <w:numPr>
          <w:ilvl w:val="0"/>
          <w:numId w:val="15"/>
        </w:numPr>
        <w:spacing w:before="60" w:after="60"/>
        <w:ind w:hanging="340"/>
        <w:rPr>
          <w:rFonts w:eastAsia="Calibri" w:cs="Calibri"/>
          <w:szCs w:val="20"/>
          <w:lang w:val="en-AU" w:eastAsia="en-US"/>
        </w:rPr>
      </w:pPr>
      <w:r w:rsidRPr="003E76E7">
        <w:rPr>
          <w:rFonts w:eastAsia="Calibri" w:cs="Calibri"/>
          <w:szCs w:val="20"/>
          <w:lang w:val="en-AU" w:eastAsia="en-US"/>
        </w:rPr>
        <w:t>Australian Defence Force (ADF), commanded by the Chief of the Defence Force.</w:t>
      </w:r>
    </w:p>
    <w:p w14:paraId="1CD83ACF" w14:textId="77777777" w:rsidR="00FC447A" w:rsidRPr="003E76E7" w:rsidRDefault="00FC447A" w:rsidP="00C4292D">
      <w:pPr>
        <w:pStyle w:val="BodyText"/>
        <w:spacing w:after="100"/>
      </w:pPr>
      <w:r w:rsidRPr="003E76E7">
        <w:t xml:space="preserve">Defence is established as a Department of State under the Administrative Arrangements Order. The Department of Defence operates under the </w:t>
      </w:r>
      <w:r w:rsidRPr="003E76E7">
        <w:rPr>
          <w:i/>
        </w:rPr>
        <w:t>Public Service Act 1999</w:t>
      </w:r>
      <w:r w:rsidRPr="003E76E7">
        <w:t xml:space="preserve"> and is a non-corporate Commonwealth entity under the </w:t>
      </w:r>
      <w:r w:rsidRPr="003E76E7">
        <w:rPr>
          <w:i/>
        </w:rPr>
        <w:t>Public Governance, Performance and Accountability Act 2013</w:t>
      </w:r>
      <w:r w:rsidRPr="003E76E7">
        <w:t xml:space="preserve">. The ADF is constituted </w:t>
      </w:r>
      <w:r w:rsidRPr="003E76E7">
        <w:rPr>
          <w:lang w:val="en-AU"/>
        </w:rPr>
        <w:t>through</w:t>
      </w:r>
      <w:r w:rsidRPr="003E76E7">
        <w:t xml:space="preserve"> the </w:t>
      </w:r>
      <w:r w:rsidRPr="003E76E7">
        <w:rPr>
          <w:i/>
        </w:rPr>
        <w:t>Defence Act 1903</w:t>
      </w:r>
      <w:r w:rsidRPr="003E76E7">
        <w:t>. In practice, these bodies work together closely and are broadly regarded as one organisation known simply as ‘Defence’.</w:t>
      </w:r>
    </w:p>
    <w:p w14:paraId="2E54D8B0" w14:textId="77777777" w:rsidR="00FC447A" w:rsidRPr="003E76E7" w:rsidRDefault="00FC447A" w:rsidP="00C4292D">
      <w:pPr>
        <w:pStyle w:val="BodyText"/>
        <w:spacing w:after="100"/>
      </w:pPr>
      <w:r w:rsidRPr="003E76E7">
        <w:t>Defence’s primary roles are to protect and advance Australia’s strategic interests through the promotion of security and stability, provide military capabilities to defend Australia and its national interests, and support the Australian community and civilian authorities as directed by the Government.</w:t>
      </w:r>
    </w:p>
    <w:p w14:paraId="0809A857" w14:textId="2C163C2E" w:rsidR="00FC447A" w:rsidRPr="003E76E7" w:rsidRDefault="00FC447A" w:rsidP="00C4292D">
      <w:pPr>
        <w:pStyle w:val="BodyText"/>
        <w:spacing w:after="100"/>
      </w:pPr>
      <w:r w:rsidRPr="003E76E7">
        <w:t xml:space="preserve">The Portfolio includes the Australian Signals Directorate (ASD), the Australian Submarine Agency (ASA), Defence Housing </w:t>
      </w:r>
      <w:r w:rsidRPr="003E76E7">
        <w:rPr>
          <w:lang w:val="en-AU"/>
        </w:rPr>
        <w:t>Australia</w:t>
      </w:r>
      <w:r w:rsidRPr="003E76E7">
        <w:t xml:space="preserve"> (DHA), the Australian Naval Nuclear Power Safety Regulator (ANNPSR)</w:t>
      </w:r>
      <w:r w:rsidR="004A6093">
        <w:t>,</w:t>
      </w:r>
      <w:r w:rsidRPr="003E76E7">
        <w:t xml:space="preserve"> and the Defence and Veterans’ Service Commission (DVSC). The Portfolio also contains some smaller entities, including a number of statutory offices, trusts and companies created under </w:t>
      </w:r>
      <w:r w:rsidRPr="003E76E7">
        <w:rPr>
          <w:i/>
        </w:rPr>
        <w:t xml:space="preserve">the Public Governance, Performance and Accountability Act 2013, Defence Force Discipline Act 1982 </w:t>
      </w:r>
      <w:r w:rsidRPr="003E76E7">
        <w:t>and</w:t>
      </w:r>
      <w:r w:rsidRPr="003E76E7">
        <w:rPr>
          <w:i/>
        </w:rPr>
        <w:t xml:space="preserve"> Defence Act 1903</w:t>
      </w:r>
      <w:r w:rsidRPr="003E76E7">
        <w:t xml:space="preserve">, which are independent but reside administratively within the Portfolio. </w:t>
      </w:r>
    </w:p>
    <w:p w14:paraId="312BBCF9" w14:textId="77777777" w:rsidR="00FE3471" w:rsidRPr="003E76E7" w:rsidRDefault="00FE3471" w:rsidP="00C4292D">
      <w:pPr>
        <w:spacing w:before="0" w:after="0"/>
      </w:pPr>
      <w:r w:rsidRPr="003E76E7">
        <w:br w:type="page"/>
      </w:r>
    </w:p>
    <w:p w14:paraId="758BC142" w14:textId="68ACDB0E" w:rsidR="00FC447A" w:rsidRPr="003E76E7" w:rsidRDefault="00FC447A" w:rsidP="00C4292D">
      <w:pPr>
        <w:pStyle w:val="BodyText"/>
        <w:spacing w:after="100"/>
      </w:pPr>
      <w:r w:rsidRPr="003E76E7">
        <w:lastRenderedPageBreak/>
        <w:t xml:space="preserve">The Department of Veterans’ Affairs (DVA) and associated bodies, as designated in the </w:t>
      </w:r>
      <w:r w:rsidRPr="003E76E7">
        <w:rPr>
          <w:lang w:val="en-AU"/>
        </w:rPr>
        <w:t>Administrative</w:t>
      </w:r>
      <w:r w:rsidRPr="003E76E7">
        <w:t xml:space="preserve"> Arrangements Order, also form part of the Portfolio. DVA is administered separately to Defence, and information related to the DVA can be found in its Portfolio Budget and Portfolio Additional Estimate</w:t>
      </w:r>
      <w:r w:rsidR="00B31F25">
        <w:t>s</w:t>
      </w:r>
      <w:r w:rsidRPr="003E76E7">
        <w:t xml:space="preserve"> Statements.</w:t>
      </w:r>
    </w:p>
    <w:p w14:paraId="0D81EEE6" w14:textId="77777777" w:rsidR="00FC447A" w:rsidRPr="003E76E7" w:rsidRDefault="00FC447A" w:rsidP="00C4292D">
      <w:pPr>
        <w:pStyle w:val="BodyText"/>
        <w:spacing w:after="100"/>
      </w:pPr>
      <w:r w:rsidRPr="003E76E7">
        <w:t>For information on resourcing across the Portfolio, please refer to Part 1: Agency Financial Resourcing in Budget Paper No. 4: Agency Resourcing.</w:t>
      </w:r>
    </w:p>
    <w:p w14:paraId="2E646C47" w14:textId="77777777" w:rsidR="00A75C8C" w:rsidRPr="003E76E7" w:rsidRDefault="00F9132B" w:rsidP="00E447C0">
      <w:pPr>
        <w:pStyle w:val="Heading4"/>
        <w:spacing w:before="0"/>
        <w:rPr>
          <w:lang w:val="en-AU"/>
        </w:rPr>
      </w:pPr>
      <w:r w:rsidRPr="003E76E7">
        <w:rPr>
          <w:sz w:val="28"/>
        </w:rPr>
        <w:br w:type="page"/>
      </w:r>
      <w:bookmarkStart w:id="610" w:name="_Toc62822919"/>
      <w:bookmarkStart w:id="611" w:name="_Toc62823015"/>
      <w:bookmarkStart w:id="612" w:name="_Toc62823176"/>
      <w:bookmarkStart w:id="613" w:name="_Toc93329703"/>
      <w:bookmarkStart w:id="614" w:name="_Toc93330371"/>
      <w:bookmarkStart w:id="615" w:name="_Toc93331363"/>
      <w:bookmarkStart w:id="616" w:name="_Toc93331447"/>
      <w:bookmarkStart w:id="617" w:name="_Toc97747820"/>
      <w:bookmarkStart w:id="618" w:name="_Toc108088931"/>
      <w:bookmarkStart w:id="619" w:name="_Toc108089010"/>
      <w:bookmarkStart w:id="620" w:name="_Toc108089405"/>
      <w:bookmarkStart w:id="621" w:name="_Toc109227290"/>
      <w:bookmarkStart w:id="622" w:name="_Toc109227727"/>
      <w:bookmarkStart w:id="623" w:name="_Toc158896243"/>
      <w:bookmarkStart w:id="624" w:name="_Toc158896300"/>
      <w:bookmarkStart w:id="625" w:name="_Toc159499674"/>
      <w:bookmarkStart w:id="626" w:name="_Toc159857671"/>
      <w:bookmarkStart w:id="627" w:name="_Toc159857750"/>
      <w:bookmarkStart w:id="628" w:name="_Toc159858146"/>
      <w:bookmarkStart w:id="629" w:name="_Toc159858417"/>
      <w:bookmarkStart w:id="630" w:name="_Toc159858811"/>
      <w:bookmarkStart w:id="631" w:name="_Toc159858881"/>
      <w:bookmarkStart w:id="632" w:name="_Toc159859091"/>
      <w:bookmarkStart w:id="633" w:name="_Toc159862281"/>
      <w:bookmarkStart w:id="634" w:name="_Toc159862471"/>
      <w:bookmarkStart w:id="635" w:name="_Toc221786175"/>
      <w:bookmarkStart w:id="636" w:name="_Toc222129915"/>
      <w:bookmarkStart w:id="637" w:name="_Toc222148345"/>
      <w:bookmarkStart w:id="638" w:name="_Toc225847973"/>
      <w:bookmarkStart w:id="639" w:name="_Toc225848056"/>
      <w:bookmarkStart w:id="640" w:name="_Toc225848139"/>
      <w:bookmarkStart w:id="641" w:name="_Toc225848219"/>
      <w:bookmarkStart w:id="642" w:name="_Toc225848254"/>
      <w:bookmarkStart w:id="643" w:name="_Toc225848478"/>
      <w:bookmarkStart w:id="644" w:name="_Toc225941545"/>
      <w:bookmarkStart w:id="645" w:name="_Toc225942552"/>
      <w:bookmarkStart w:id="646" w:name="_Toc227334362"/>
      <w:bookmarkStart w:id="647" w:name="_Toc229072437"/>
      <w:bookmarkStart w:id="648" w:name="_Toc229072609"/>
      <w:bookmarkEnd w:id="567"/>
      <w:bookmarkEnd w:id="568"/>
      <w:bookmarkEnd w:id="569"/>
      <w:bookmarkEnd w:id="570"/>
      <w:bookmarkEnd w:id="571"/>
      <w:bookmarkEnd w:id="572"/>
      <w:bookmarkEnd w:id="573"/>
      <w:bookmarkEnd w:id="574"/>
      <w:bookmarkEnd w:id="575"/>
      <w:bookmarkEnd w:id="576"/>
      <w:r w:rsidR="00A75C8C" w:rsidRPr="003E76E7">
        <w:rPr>
          <w:sz w:val="26"/>
          <w:szCs w:val="26"/>
        </w:rPr>
        <w:lastRenderedPageBreak/>
        <w:t>Portfolio Structure and Outcomes</w:t>
      </w:r>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p>
    <w:p w14:paraId="26E9EE30" w14:textId="4053F792" w:rsidR="005A3BE4" w:rsidRPr="003E76E7" w:rsidRDefault="00FC447A" w:rsidP="00C4292D">
      <w:pPr>
        <w:pStyle w:val="FigureHeading"/>
        <w:numPr>
          <w:ilvl w:val="0"/>
          <w:numId w:val="56"/>
        </w:numPr>
        <w:tabs>
          <w:tab w:val="clear" w:pos="280"/>
          <w:tab w:val="num" w:pos="426"/>
          <w:tab w:val="num" w:pos="567"/>
        </w:tabs>
        <w:spacing w:before="0"/>
        <w:ind w:left="0" w:firstLine="0"/>
        <w:outlineLvl w:val="4"/>
        <w:rPr>
          <w:lang w:val="en-AU"/>
        </w:rPr>
      </w:pPr>
      <w:r w:rsidRPr="003E76E7">
        <w:rPr>
          <w:noProof/>
          <w:lang w:val="en-AU"/>
        </w:rPr>
        <mc:AlternateContent>
          <mc:Choice Requires="wps">
            <w:drawing>
              <wp:anchor distT="0" distB="0" distL="114300" distR="114300" simplePos="0" relativeHeight="251727360" behindDoc="0" locked="0" layoutInCell="1" allowOverlap="1" wp14:anchorId="0325D93D" wp14:editId="5E0BA105">
                <wp:simplePos x="0" y="0"/>
                <wp:positionH relativeFrom="column">
                  <wp:posOffset>1440815</wp:posOffset>
                </wp:positionH>
                <wp:positionV relativeFrom="paragraph">
                  <wp:posOffset>179705</wp:posOffset>
                </wp:positionV>
                <wp:extent cx="2584450" cy="463550"/>
                <wp:effectExtent l="19050" t="19050" r="6350" b="0"/>
                <wp:wrapNone/>
                <wp:docPr id="64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0" cy="463550"/>
                        </a:xfrm>
                        <a:prstGeom prst="rect">
                          <a:avLst/>
                        </a:prstGeom>
                        <a:solidFill>
                          <a:srgbClr val="FFFFFF"/>
                        </a:solidFill>
                        <a:ln w="41275" cmpd="dbl">
                          <a:solidFill>
                            <a:srgbClr val="000000"/>
                          </a:solidFill>
                          <a:miter lim="800000"/>
                          <a:headEnd/>
                          <a:tailEnd/>
                        </a:ln>
                      </wps:spPr>
                      <wps:txbx>
                        <w:txbxContent>
                          <w:p w14:paraId="08C126E6" w14:textId="77777777" w:rsidR="00CA309D" w:rsidRPr="00BF08CB" w:rsidRDefault="00CA309D" w:rsidP="00FC447A">
                            <w:pPr>
                              <w:spacing w:before="0" w:after="0"/>
                              <w:jc w:val="center"/>
                              <w:rPr>
                                <w:rFonts w:ascii="Arial" w:hAnsi="Arial"/>
                                <w:sz w:val="15"/>
                                <w:szCs w:val="15"/>
                              </w:rPr>
                            </w:pPr>
                            <w:r w:rsidRPr="00BF08CB">
                              <w:rPr>
                                <w:rFonts w:ascii="Arial" w:hAnsi="Arial"/>
                                <w:sz w:val="15"/>
                                <w:szCs w:val="15"/>
                              </w:rPr>
                              <w:t xml:space="preserve">Deputy Prime Minister </w:t>
                            </w:r>
                            <w:r w:rsidRPr="00BF08CB">
                              <w:rPr>
                                <w:rFonts w:ascii="Arial" w:hAnsi="Arial"/>
                                <w:sz w:val="15"/>
                                <w:szCs w:val="15"/>
                              </w:rPr>
                              <w:br/>
                              <w:t>Minister for Defence</w:t>
                            </w:r>
                            <w:r w:rsidRPr="00BF08CB">
                              <w:rPr>
                                <w:rFonts w:ascii="Arial" w:hAnsi="Arial"/>
                                <w:sz w:val="15"/>
                                <w:szCs w:val="15"/>
                              </w:rPr>
                              <w:br/>
                              <w:t>The Hon Richard Marles MP</w:t>
                            </w:r>
                          </w:p>
                          <w:p w14:paraId="74FE0611" w14:textId="77777777" w:rsidR="00CA309D" w:rsidRPr="00BF08CB" w:rsidRDefault="00CA309D" w:rsidP="00FC447A">
                            <w:pPr>
                              <w:spacing w:before="0" w:after="0"/>
                              <w:jc w:val="center"/>
                              <w:rPr>
                                <w:sz w:val="15"/>
                                <w:szCs w:val="15"/>
                              </w:rPr>
                            </w:pPr>
                          </w:p>
                        </w:txbxContent>
                      </wps:txbx>
                      <wps:bodyPr rot="0" vert="horz" wrap="square" lIns="18000" tIns="45720" rIns="1800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0325D93D" id="_x0000_t202" coordsize="21600,21600" o:spt="202" path="m,l,21600r21600,l21600,xe">
                <v:stroke joinstyle="miter"/>
                <v:path gradientshapeok="t" o:connecttype="rect"/>
              </v:shapetype>
              <v:shape id="Text Box 4" o:spid="_x0000_s1026" type="#_x0000_t202" style="position:absolute;left:0;text-align:left;margin-left:113.45pt;margin-top:14.15pt;width:203.5pt;height:36.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" strokeweight="3.25pt">
                <v:stroke linestyle="thinThin"/>
                <v:textbox inset=".5mm,,.5mm">
                  <w:txbxContent>
                    <w:p w14:paraId="08C126E6" w14:textId="77777777" w:rsidR="00CA309D" w:rsidRPr="00BF08CB" w:rsidRDefault="00CA309D" w:rsidP="00FC447A">
                      <w:pPr>
                        <w:spacing w:before="0" w:after="0"/>
                        <w:jc w:val="center"/>
                        <w:rPr>
                          <w:rFonts w:ascii="Arial" w:hAnsi="Arial"/>
                          <w:sz w:val="15"/>
                          <w:szCs w:val="15"/>
                        </w:rPr>
                      </w:pPr>
                      <w:r w:rsidRPr="00BF08CB">
                        <w:rPr>
                          <w:rFonts w:ascii="Arial" w:hAnsi="Arial"/>
                          <w:sz w:val="15"/>
                          <w:szCs w:val="15"/>
                        </w:rPr>
                        <w:t xml:space="preserve">Deputy Prime Minister </w:t>
                      </w:r>
                      <w:r w:rsidRPr="00BF08CB">
                        <w:rPr>
                          <w:rFonts w:ascii="Arial" w:hAnsi="Arial"/>
                          <w:sz w:val="15"/>
                          <w:szCs w:val="15"/>
                        </w:rPr>
                        <w:br/>
                        <w:t>Minister for Defence</w:t>
                      </w:r>
                      <w:r w:rsidRPr="00BF08CB">
                        <w:rPr>
                          <w:rFonts w:ascii="Arial" w:hAnsi="Arial"/>
                          <w:sz w:val="15"/>
                          <w:szCs w:val="15"/>
                        </w:rPr>
                        <w:br/>
                        <w:t>The Hon Richard Marles MP</w:t>
                      </w:r>
                    </w:p>
                    <w:p w14:paraId="74FE0611" w14:textId="77777777" w:rsidR="00CA309D" w:rsidRPr="00BF08CB" w:rsidRDefault="00CA309D" w:rsidP="00FC447A">
                      <w:pPr>
                        <w:spacing w:before="0" w:after="0"/>
                        <w:jc w:val="center"/>
                        <w:rPr>
                          <w:sz w:val="15"/>
                          <w:szCs w:val="15"/>
                        </w:rPr>
                      </w:pPr>
                    </w:p>
                  </w:txbxContent>
                </v:textbox>
              </v:shape>
            </w:pict>
          </mc:Fallback>
        </mc:AlternateContent>
      </w:r>
      <w:r w:rsidR="005A3BE4" w:rsidRPr="003E76E7">
        <w:rPr>
          <w:noProof/>
          <w:lang w:val="en-AU"/>
        </w:rPr>
        <mc:AlternateContent>
          <mc:Choice Requires="wps">
            <w:drawing>
              <wp:anchor distT="0" distB="0" distL="114300" distR="114300" simplePos="0" relativeHeight="251843072" behindDoc="0" locked="0" layoutInCell="1" allowOverlap="1" wp14:anchorId="776363FA" wp14:editId="3AFF6508">
                <wp:simplePos x="0" y="0"/>
                <wp:positionH relativeFrom="column">
                  <wp:posOffset>1440815</wp:posOffset>
                </wp:positionH>
                <wp:positionV relativeFrom="paragraph">
                  <wp:posOffset>179705</wp:posOffset>
                </wp:positionV>
                <wp:extent cx="2584450" cy="463550"/>
                <wp:effectExtent l="19050" t="19050" r="635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0" cy="463550"/>
                        </a:xfrm>
                        <a:prstGeom prst="rect">
                          <a:avLst/>
                        </a:prstGeom>
                        <a:solidFill>
                          <a:srgbClr val="FFFFFF"/>
                        </a:solidFill>
                        <a:ln w="41275" cmpd="dbl">
                          <a:solidFill>
                            <a:srgbClr val="000000"/>
                          </a:solidFill>
                          <a:miter lim="800000"/>
                          <a:headEnd/>
                          <a:tailEnd/>
                        </a:ln>
                      </wps:spPr>
                      <wps:txbx>
                        <w:txbxContent>
                          <w:p w14:paraId="0417C698" w14:textId="77777777" w:rsidR="00CA309D" w:rsidRPr="00BF08CB" w:rsidRDefault="00CA309D" w:rsidP="005A3BE4">
                            <w:pPr>
                              <w:spacing w:before="0" w:after="0"/>
                              <w:jc w:val="center"/>
                              <w:rPr>
                                <w:rFonts w:ascii="Arial" w:hAnsi="Arial"/>
                                <w:sz w:val="15"/>
                                <w:szCs w:val="15"/>
                              </w:rPr>
                            </w:pPr>
                            <w:r w:rsidRPr="00BF08CB">
                              <w:rPr>
                                <w:rFonts w:ascii="Arial" w:hAnsi="Arial"/>
                                <w:sz w:val="15"/>
                                <w:szCs w:val="15"/>
                              </w:rPr>
                              <w:t xml:space="preserve">Deputy Prime Minister </w:t>
                            </w:r>
                            <w:r w:rsidRPr="00BF08CB">
                              <w:rPr>
                                <w:rFonts w:ascii="Arial" w:hAnsi="Arial"/>
                                <w:sz w:val="15"/>
                                <w:szCs w:val="15"/>
                              </w:rPr>
                              <w:br/>
                              <w:t>Minister for Defence</w:t>
                            </w:r>
                            <w:r w:rsidRPr="00BF08CB">
                              <w:rPr>
                                <w:rFonts w:ascii="Arial" w:hAnsi="Arial"/>
                                <w:sz w:val="15"/>
                                <w:szCs w:val="15"/>
                              </w:rPr>
                              <w:br/>
                              <w:t>The Hon Richard Marles MP</w:t>
                            </w:r>
                          </w:p>
                          <w:p w14:paraId="1F2A55D1" w14:textId="77777777" w:rsidR="00CA309D" w:rsidRPr="00BF08CB" w:rsidRDefault="00CA309D" w:rsidP="005A3BE4">
                            <w:pPr>
                              <w:spacing w:before="0" w:after="0"/>
                              <w:jc w:val="center"/>
                              <w:rPr>
                                <w:sz w:val="15"/>
                                <w:szCs w:val="15"/>
                              </w:rPr>
                            </w:pPr>
                          </w:p>
                        </w:txbxContent>
                      </wps:txbx>
                      <wps:bodyPr rot="0" vert="horz" wrap="square" lIns="18000" tIns="45720" rIns="1800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76363FA" id="_x0000_s1027" type="#_x0000_t202" style="position:absolute;left:0;text-align:left;margin-left:113.45pt;margin-top:14.15pt;width:203.5pt;height:36.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" strokeweight="3.25pt">
                <v:stroke linestyle="thinThin"/>
                <v:textbox inset=".5mm,,.5mm">
                  <w:txbxContent>
                    <w:p w14:paraId="0417C698" w14:textId="77777777" w:rsidR="00CA309D" w:rsidRPr="00BF08CB" w:rsidRDefault="00CA309D" w:rsidP="005A3BE4">
                      <w:pPr>
                        <w:spacing w:before="0" w:after="0"/>
                        <w:jc w:val="center"/>
                        <w:rPr>
                          <w:rFonts w:ascii="Arial" w:hAnsi="Arial"/>
                          <w:sz w:val="15"/>
                          <w:szCs w:val="15"/>
                        </w:rPr>
                      </w:pPr>
                      <w:r w:rsidRPr="00BF08CB">
                        <w:rPr>
                          <w:rFonts w:ascii="Arial" w:hAnsi="Arial"/>
                          <w:sz w:val="15"/>
                          <w:szCs w:val="15"/>
                        </w:rPr>
                        <w:t xml:space="preserve">Deputy Prime Minister </w:t>
                      </w:r>
                      <w:r w:rsidRPr="00BF08CB">
                        <w:rPr>
                          <w:rFonts w:ascii="Arial" w:hAnsi="Arial"/>
                          <w:sz w:val="15"/>
                          <w:szCs w:val="15"/>
                        </w:rPr>
                        <w:br/>
                        <w:t>Minister for Defence</w:t>
                      </w:r>
                      <w:r w:rsidRPr="00BF08CB">
                        <w:rPr>
                          <w:rFonts w:ascii="Arial" w:hAnsi="Arial"/>
                          <w:sz w:val="15"/>
                          <w:szCs w:val="15"/>
                        </w:rPr>
                        <w:br/>
                        <w:t>The Hon Richard Marles MP</w:t>
                      </w:r>
                    </w:p>
                    <w:p w14:paraId="1F2A55D1" w14:textId="77777777" w:rsidR="00CA309D" w:rsidRPr="00BF08CB" w:rsidRDefault="00CA309D" w:rsidP="005A3BE4">
                      <w:pPr>
                        <w:spacing w:before="0" w:after="0"/>
                        <w:jc w:val="center"/>
                        <w:rPr>
                          <w:sz w:val="15"/>
                          <w:szCs w:val="15"/>
                        </w:rPr>
                      </w:pPr>
                    </w:p>
                  </w:txbxContent>
                </v:textbox>
              </v:shape>
            </w:pict>
          </mc:Fallback>
        </mc:AlternateContent>
      </w:r>
      <w:r w:rsidR="005A3BE4" w:rsidRPr="003E76E7">
        <w:rPr>
          <w:lang w:val="en-AU"/>
        </w:rPr>
        <w:t>Defence Portfolio Structure and Outcomes</w:t>
      </w:r>
    </w:p>
    <w:p w14:paraId="2657E90B" w14:textId="2628BE43" w:rsidR="00FC447A" w:rsidRPr="003E76E7" w:rsidRDefault="00FC447A" w:rsidP="00C4292D">
      <w:pPr>
        <w:pStyle w:val="BodyText"/>
        <w:rPr>
          <w:lang w:val="en-AU"/>
        </w:rPr>
      </w:pPr>
    </w:p>
    <w:p w14:paraId="15941B3F" w14:textId="77777777" w:rsidR="00FC447A" w:rsidRPr="003E76E7" w:rsidRDefault="00FC447A" w:rsidP="00C4292D">
      <w:pPr>
        <w:spacing w:before="120"/>
        <w:rPr>
          <w:lang w:val="en-AU"/>
        </w:rPr>
      </w:pPr>
      <w:r w:rsidRPr="003E76E7">
        <w:rPr>
          <w:noProof/>
          <w:lang w:val="en-AU"/>
        </w:rPr>
        <mc:AlternateContent>
          <mc:Choice Requires="wps">
            <w:drawing>
              <wp:anchor distT="0" distB="0" distL="114300" distR="114300" simplePos="0" relativeHeight="251728384" behindDoc="0" locked="0" layoutInCell="1" allowOverlap="1" wp14:anchorId="7F2D2EEE" wp14:editId="6C2F62C2">
                <wp:simplePos x="0" y="0"/>
                <wp:positionH relativeFrom="column">
                  <wp:posOffset>109855</wp:posOffset>
                </wp:positionH>
                <wp:positionV relativeFrom="paragraph">
                  <wp:posOffset>220345</wp:posOffset>
                </wp:positionV>
                <wp:extent cx="2584450" cy="466725"/>
                <wp:effectExtent l="19050" t="19050" r="6350" b="9525"/>
                <wp:wrapNone/>
                <wp:docPr id="64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0" cy="466725"/>
                        </a:xfrm>
                        <a:prstGeom prst="rect">
                          <a:avLst/>
                        </a:prstGeom>
                        <a:solidFill>
                          <a:srgbClr val="FFFFFF"/>
                        </a:solidFill>
                        <a:ln w="41275" cmpd="dbl">
                          <a:solidFill>
                            <a:srgbClr val="000000"/>
                          </a:solidFill>
                          <a:miter lim="800000"/>
                          <a:headEnd/>
                          <a:tailEnd/>
                        </a:ln>
                      </wps:spPr>
                      <wps:txbx>
                        <w:txbxContent>
                          <w:p w14:paraId="503BA313" w14:textId="749068F2" w:rsidR="00CA309D" w:rsidRPr="00BC0FA1" w:rsidRDefault="00CA309D" w:rsidP="00FC447A">
                            <w:pPr>
                              <w:spacing w:before="0" w:after="0"/>
                              <w:jc w:val="center"/>
                              <w:rPr>
                                <w:rFonts w:ascii="Arial" w:hAnsi="Arial"/>
                                <w:sz w:val="15"/>
                                <w:szCs w:val="15"/>
                              </w:rPr>
                            </w:pPr>
                            <w:r w:rsidRPr="00BC0FA1">
                              <w:rPr>
                                <w:rFonts w:ascii="Arial" w:hAnsi="Arial"/>
                                <w:sz w:val="15"/>
                                <w:szCs w:val="15"/>
                              </w:rPr>
                              <w:t>Minister for Defence Indust</w:t>
                            </w:r>
                            <w:r>
                              <w:rPr>
                                <w:rFonts w:ascii="Arial" w:hAnsi="Arial"/>
                                <w:sz w:val="15"/>
                                <w:szCs w:val="15"/>
                              </w:rPr>
                              <w:t>ry</w:t>
                            </w:r>
                          </w:p>
                          <w:p w14:paraId="1AEBF522" w14:textId="77777777" w:rsidR="00CA309D" w:rsidRPr="00BC0FA1" w:rsidRDefault="00CA309D" w:rsidP="00FC447A">
                            <w:pPr>
                              <w:spacing w:before="0" w:after="0"/>
                              <w:jc w:val="center"/>
                              <w:rPr>
                                <w:rFonts w:ascii="Arial" w:hAnsi="Arial"/>
                                <w:sz w:val="15"/>
                                <w:szCs w:val="15"/>
                              </w:rPr>
                            </w:pPr>
                            <w:r w:rsidRPr="00BC0FA1">
                              <w:rPr>
                                <w:rFonts w:ascii="Arial" w:hAnsi="Arial"/>
                                <w:sz w:val="15"/>
                                <w:szCs w:val="15"/>
                              </w:rPr>
                              <w:t>Minister for Pacific</w:t>
                            </w:r>
                            <w:r>
                              <w:rPr>
                                <w:rFonts w:ascii="Arial" w:hAnsi="Arial"/>
                                <w:sz w:val="15"/>
                                <w:szCs w:val="15"/>
                              </w:rPr>
                              <w:t xml:space="preserve"> Island Affairs</w:t>
                            </w:r>
                            <w:r w:rsidRPr="00BC0FA1">
                              <w:rPr>
                                <w:rFonts w:ascii="Arial" w:hAnsi="Arial"/>
                                <w:sz w:val="15"/>
                                <w:szCs w:val="15"/>
                              </w:rPr>
                              <w:br/>
                              <w:t>The Hon Pat Conroy MP</w:t>
                            </w:r>
                          </w:p>
                          <w:p w14:paraId="6927DC09" w14:textId="77777777" w:rsidR="00CA309D" w:rsidRPr="00BC0FA1" w:rsidRDefault="00CA309D" w:rsidP="00FC447A">
                            <w:pPr>
                              <w:spacing w:before="0" w:after="0"/>
                              <w:rPr>
                                <w:sz w:val="15"/>
                                <w:szCs w:val="15"/>
                              </w:rPr>
                            </w:pPr>
                          </w:p>
                        </w:txbxContent>
                      </wps:txbx>
                      <wps:bodyPr rot="0" vert="horz" wrap="square" lIns="18000" tIns="45720" rIns="1800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F2D2EEE" id="Text Box 6" o:spid="_x0000_s1028" type="#_x0000_t202" style="position:absolute;margin-left:8.65pt;margin-top:17.35pt;width:203.5pt;height:36.7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" strokeweight="3.25pt">
                <v:stroke linestyle="thinThin"/>
                <v:textbox inset=".5mm,,.5mm">
                  <w:txbxContent>
                    <w:p w14:paraId="503BA313" w14:textId="749068F2" w:rsidR="00CA309D" w:rsidRPr="00BC0FA1" w:rsidRDefault="00CA309D" w:rsidP="00FC447A">
                      <w:pPr>
                        <w:spacing w:before="0" w:after="0"/>
                        <w:jc w:val="center"/>
                        <w:rPr>
                          <w:rFonts w:ascii="Arial" w:hAnsi="Arial"/>
                          <w:sz w:val="15"/>
                          <w:szCs w:val="15"/>
                        </w:rPr>
                      </w:pPr>
                      <w:r w:rsidRPr="00BC0FA1">
                        <w:rPr>
                          <w:rFonts w:ascii="Arial" w:hAnsi="Arial"/>
                          <w:sz w:val="15"/>
                          <w:szCs w:val="15"/>
                        </w:rPr>
                        <w:t>Minister for Defence Indust</w:t>
                      </w:r>
                      <w:r>
                        <w:rPr>
                          <w:rFonts w:ascii="Arial" w:hAnsi="Arial"/>
                          <w:sz w:val="15"/>
                          <w:szCs w:val="15"/>
                        </w:rPr>
                        <w:t>ry</w:t>
                      </w:r>
                    </w:p>
                    <w:p w14:paraId="1AEBF522" w14:textId="77777777" w:rsidR="00CA309D" w:rsidRPr="00BC0FA1" w:rsidRDefault="00CA309D" w:rsidP="00FC447A">
                      <w:pPr>
                        <w:spacing w:before="0" w:after="0"/>
                        <w:jc w:val="center"/>
                        <w:rPr>
                          <w:rFonts w:ascii="Arial" w:hAnsi="Arial"/>
                          <w:sz w:val="15"/>
                          <w:szCs w:val="15"/>
                        </w:rPr>
                      </w:pPr>
                      <w:r w:rsidRPr="00BC0FA1">
                        <w:rPr>
                          <w:rFonts w:ascii="Arial" w:hAnsi="Arial"/>
                          <w:sz w:val="15"/>
                          <w:szCs w:val="15"/>
                        </w:rPr>
                        <w:t>Minister for Pacific</w:t>
                      </w:r>
                      <w:r>
                        <w:rPr>
                          <w:rFonts w:ascii="Arial" w:hAnsi="Arial"/>
                          <w:sz w:val="15"/>
                          <w:szCs w:val="15"/>
                        </w:rPr>
                        <w:t xml:space="preserve"> Island Affairs</w:t>
                      </w:r>
                      <w:r w:rsidRPr="00BC0FA1">
                        <w:rPr>
                          <w:rFonts w:ascii="Arial" w:hAnsi="Arial"/>
                          <w:sz w:val="15"/>
                          <w:szCs w:val="15"/>
                        </w:rPr>
                        <w:br/>
                        <w:t>The Hon Pat Conroy MP</w:t>
                      </w:r>
                    </w:p>
                    <w:p w14:paraId="6927DC09" w14:textId="77777777" w:rsidR="00CA309D" w:rsidRPr="00BC0FA1" w:rsidRDefault="00CA309D" w:rsidP="00FC447A">
                      <w:pPr>
                        <w:spacing w:before="0" w:after="0"/>
                        <w:rPr>
                          <w:sz w:val="15"/>
                          <w:szCs w:val="15"/>
                        </w:rPr>
                      </w:pPr>
                    </w:p>
                  </w:txbxContent>
                </v:textbox>
              </v:shape>
            </w:pict>
          </mc:Fallback>
        </mc:AlternateContent>
      </w:r>
      <w:r w:rsidRPr="003E76E7">
        <w:rPr>
          <w:noProof/>
          <w:lang w:val="en-AU"/>
        </w:rPr>
        <mc:AlternateContent>
          <mc:Choice Requires="wps">
            <w:drawing>
              <wp:anchor distT="0" distB="0" distL="114300" distR="114300" simplePos="0" relativeHeight="251732480" behindDoc="0" locked="0" layoutInCell="1" allowOverlap="1" wp14:anchorId="3DDDDBBA" wp14:editId="7DB0818D">
                <wp:simplePos x="0" y="0"/>
                <wp:positionH relativeFrom="column">
                  <wp:posOffset>2800350</wp:posOffset>
                </wp:positionH>
                <wp:positionV relativeFrom="paragraph">
                  <wp:posOffset>220345</wp:posOffset>
                </wp:positionV>
                <wp:extent cx="2585085" cy="466725"/>
                <wp:effectExtent l="19050" t="19050" r="5715" b="9525"/>
                <wp:wrapNone/>
                <wp:docPr id="64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085" cy="466725"/>
                        </a:xfrm>
                        <a:prstGeom prst="rect">
                          <a:avLst/>
                        </a:prstGeom>
                        <a:solidFill>
                          <a:srgbClr val="FFFFFF"/>
                        </a:solidFill>
                        <a:ln w="41275" cmpd="dbl">
                          <a:solidFill>
                            <a:srgbClr val="000000"/>
                          </a:solidFill>
                          <a:miter lim="800000"/>
                          <a:headEnd/>
                          <a:tailEnd/>
                        </a:ln>
                      </wps:spPr>
                      <wps:txbx>
                        <w:txbxContent>
                          <w:p w14:paraId="3931386F" w14:textId="77777777" w:rsidR="00CA309D" w:rsidRPr="00BC0FA1" w:rsidRDefault="00CA309D" w:rsidP="00FC447A">
                            <w:pPr>
                              <w:spacing w:before="0" w:after="0"/>
                              <w:jc w:val="center"/>
                              <w:rPr>
                                <w:sz w:val="15"/>
                                <w:szCs w:val="15"/>
                              </w:rPr>
                            </w:pPr>
                            <w:r w:rsidRPr="00BC0FA1">
                              <w:rPr>
                                <w:rFonts w:ascii="Arial" w:hAnsi="Arial"/>
                                <w:sz w:val="15"/>
                                <w:szCs w:val="15"/>
                              </w:rPr>
                              <w:t>Minister for Veterans’ Affairs</w:t>
                            </w:r>
                            <w:r w:rsidRPr="00BC0FA1">
                              <w:rPr>
                                <w:rFonts w:ascii="Arial" w:hAnsi="Arial"/>
                                <w:sz w:val="15"/>
                                <w:szCs w:val="15"/>
                              </w:rPr>
                              <w:br/>
                              <w:t>Minister for Defence Personnel</w:t>
                            </w:r>
                            <w:r w:rsidRPr="00BC0FA1">
                              <w:rPr>
                                <w:rFonts w:ascii="Arial" w:hAnsi="Arial"/>
                                <w:sz w:val="15"/>
                                <w:szCs w:val="15"/>
                              </w:rPr>
                              <w:br/>
                              <w:t>The Hon Matt Keogh MP</w:t>
                            </w:r>
                          </w:p>
                          <w:p w14:paraId="304EDB22" w14:textId="77777777" w:rsidR="00CA309D" w:rsidRPr="00BC0FA1" w:rsidRDefault="00CA309D" w:rsidP="00FC447A">
                            <w:pPr>
                              <w:spacing w:before="0" w:after="0"/>
                              <w:rPr>
                                <w:rFonts w:ascii="Arial" w:hAnsi="Arial"/>
                                <w:sz w:val="15"/>
                                <w:szCs w:val="15"/>
                              </w:rPr>
                            </w:pPr>
                          </w:p>
                        </w:txbxContent>
                      </wps:txbx>
                      <wps:bodyPr rot="0" vert="horz" wrap="square" lIns="18000" tIns="4572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DDDBBA" id="Text Box 5" o:spid="_x0000_s1029" type="#_x0000_t202" style="position:absolute;margin-left:220.5pt;margin-top:17.35pt;width:203.55pt;height:36.7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" strokeweight="3.25pt">
                <v:stroke linestyle="thinThin"/>
                <v:textbox inset=".5mm,,.5mm">
                  <w:txbxContent>
                    <w:p w14:paraId="3931386F" w14:textId="77777777" w:rsidR="00CA309D" w:rsidRPr="00BC0FA1" w:rsidRDefault="00CA309D" w:rsidP="00FC447A">
                      <w:pPr>
                        <w:spacing w:before="0" w:after="0"/>
                        <w:jc w:val="center"/>
                        <w:rPr>
                          <w:sz w:val="15"/>
                          <w:szCs w:val="15"/>
                        </w:rPr>
                      </w:pPr>
                      <w:r w:rsidRPr="00BC0FA1">
                        <w:rPr>
                          <w:rFonts w:ascii="Arial" w:hAnsi="Arial"/>
                          <w:sz w:val="15"/>
                          <w:szCs w:val="15"/>
                        </w:rPr>
                        <w:t>Minister for Veterans’ Affairs</w:t>
                      </w:r>
                      <w:r w:rsidRPr="00BC0FA1">
                        <w:rPr>
                          <w:rFonts w:ascii="Arial" w:hAnsi="Arial"/>
                          <w:sz w:val="15"/>
                          <w:szCs w:val="15"/>
                        </w:rPr>
                        <w:br/>
                        <w:t>Minister for Defence Personnel</w:t>
                      </w:r>
                      <w:r w:rsidRPr="00BC0FA1">
                        <w:rPr>
                          <w:rFonts w:ascii="Arial" w:hAnsi="Arial"/>
                          <w:sz w:val="15"/>
                          <w:szCs w:val="15"/>
                        </w:rPr>
                        <w:br/>
                        <w:t>The Hon Matt Keogh MP</w:t>
                      </w:r>
                    </w:p>
                    <w:p w14:paraId="304EDB22" w14:textId="77777777" w:rsidR="00CA309D" w:rsidRPr="00BC0FA1" w:rsidRDefault="00CA309D" w:rsidP="00FC447A">
                      <w:pPr>
                        <w:spacing w:before="0" w:after="0"/>
                        <w:rPr>
                          <w:rFonts w:ascii="Arial" w:hAnsi="Arial"/>
                          <w:sz w:val="15"/>
                          <w:szCs w:val="15"/>
                        </w:rPr>
                      </w:pPr>
                    </w:p>
                  </w:txbxContent>
                </v:textbox>
              </v:shape>
            </w:pict>
          </mc:Fallback>
        </mc:AlternateContent>
      </w:r>
    </w:p>
    <w:p w14:paraId="6DE607F7" w14:textId="77777777" w:rsidR="00FC447A" w:rsidRPr="003E76E7" w:rsidRDefault="00FC447A" w:rsidP="00C4292D">
      <w:pPr>
        <w:rPr>
          <w:lang w:val="en-AU"/>
        </w:rPr>
      </w:pPr>
    </w:p>
    <w:p w14:paraId="2CCC84E5" w14:textId="77777777" w:rsidR="00FC447A" w:rsidRPr="003E76E7" w:rsidRDefault="00FC447A" w:rsidP="00C4292D">
      <w:pPr>
        <w:spacing w:before="200"/>
        <w:rPr>
          <w:lang w:val="en-AU"/>
        </w:rPr>
      </w:pPr>
      <w:r w:rsidRPr="003E76E7">
        <w:rPr>
          <w:noProof/>
          <w:lang w:val="en-AU"/>
        </w:rPr>
        <mc:AlternateContent>
          <mc:Choice Requires="wps">
            <w:drawing>
              <wp:anchor distT="0" distB="0" distL="114300" distR="114300" simplePos="0" relativeHeight="251740672" behindDoc="0" locked="0" layoutInCell="1" allowOverlap="1" wp14:anchorId="479C918C" wp14:editId="0737594D">
                <wp:simplePos x="0" y="0"/>
                <wp:positionH relativeFrom="column">
                  <wp:posOffset>1440815</wp:posOffset>
                </wp:positionH>
                <wp:positionV relativeFrom="paragraph">
                  <wp:posOffset>151130</wp:posOffset>
                </wp:positionV>
                <wp:extent cx="2584450" cy="688340"/>
                <wp:effectExtent l="19050" t="19050" r="6350" b="0"/>
                <wp:wrapNone/>
                <wp:docPr id="6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0" cy="688340"/>
                        </a:xfrm>
                        <a:prstGeom prst="rect">
                          <a:avLst/>
                        </a:prstGeom>
                        <a:solidFill>
                          <a:srgbClr val="FFFFFF"/>
                        </a:solidFill>
                        <a:ln w="41275" cmpd="dbl">
                          <a:solidFill>
                            <a:srgbClr val="000000"/>
                          </a:solidFill>
                          <a:miter lim="800000"/>
                          <a:headEnd/>
                          <a:tailEnd/>
                        </a:ln>
                      </wps:spPr>
                      <wps:txbx>
                        <w:txbxContent>
                          <w:p w14:paraId="5C3974E7" w14:textId="77777777" w:rsidR="00CA309D" w:rsidRPr="00BC0FA1" w:rsidRDefault="00CA309D" w:rsidP="00FC447A">
                            <w:pPr>
                              <w:spacing w:before="0" w:after="0"/>
                              <w:jc w:val="center"/>
                              <w:rPr>
                                <w:rFonts w:ascii="Arial" w:hAnsi="Arial"/>
                                <w:sz w:val="15"/>
                                <w:szCs w:val="15"/>
                              </w:rPr>
                            </w:pPr>
                            <w:r w:rsidRPr="00BC0FA1">
                              <w:rPr>
                                <w:rFonts w:ascii="Arial" w:hAnsi="Arial"/>
                                <w:sz w:val="15"/>
                                <w:szCs w:val="15"/>
                              </w:rPr>
                              <w:t>Minister for Home Affairs</w:t>
                            </w:r>
                          </w:p>
                          <w:p w14:paraId="23469BAF" w14:textId="77777777" w:rsidR="00CA309D" w:rsidRPr="00BC0FA1" w:rsidRDefault="00CA309D" w:rsidP="00FC447A">
                            <w:pPr>
                              <w:spacing w:before="0" w:after="0"/>
                              <w:jc w:val="center"/>
                              <w:rPr>
                                <w:rFonts w:ascii="Arial" w:hAnsi="Arial"/>
                                <w:sz w:val="15"/>
                                <w:szCs w:val="15"/>
                              </w:rPr>
                            </w:pPr>
                            <w:r w:rsidRPr="00BC0FA1">
                              <w:rPr>
                                <w:rFonts w:ascii="Arial" w:hAnsi="Arial"/>
                                <w:sz w:val="15"/>
                                <w:szCs w:val="15"/>
                              </w:rPr>
                              <w:t xml:space="preserve">Minister for Immigration </w:t>
                            </w:r>
                            <w:r>
                              <w:rPr>
                                <w:rFonts w:ascii="Arial" w:hAnsi="Arial"/>
                                <w:sz w:val="15"/>
                                <w:szCs w:val="15"/>
                              </w:rPr>
                              <w:t>and Citizenship</w:t>
                            </w:r>
                          </w:p>
                          <w:p w14:paraId="66CF5347" w14:textId="77777777" w:rsidR="00CA309D" w:rsidRPr="00BC0FA1" w:rsidRDefault="00CA309D" w:rsidP="00FC447A">
                            <w:pPr>
                              <w:spacing w:before="0" w:after="0"/>
                              <w:jc w:val="center"/>
                              <w:rPr>
                                <w:rFonts w:ascii="Arial" w:hAnsi="Arial"/>
                                <w:sz w:val="15"/>
                                <w:szCs w:val="15"/>
                              </w:rPr>
                            </w:pPr>
                            <w:r w:rsidRPr="00BC0FA1">
                              <w:rPr>
                                <w:rFonts w:ascii="Arial" w:hAnsi="Arial"/>
                                <w:sz w:val="15"/>
                                <w:szCs w:val="15"/>
                              </w:rPr>
                              <w:t>Minister for Cyber Security</w:t>
                            </w:r>
                          </w:p>
                          <w:p w14:paraId="3ABAA84E" w14:textId="77777777" w:rsidR="00CA309D" w:rsidRPr="00BC0FA1" w:rsidRDefault="00CA309D" w:rsidP="00FC447A">
                            <w:pPr>
                              <w:spacing w:before="0" w:after="0"/>
                              <w:jc w:val="center"/>
                              <w:rPr>
                                <w:rFonts w:ascii="Arial" w:hAnsi="Arial"/>
                                <w:sz w:val="15"/>
                                <w:szCs w:val="15"/>
                              </w:rPr>
                            </w:pPr>
                            <w:r w:rsidRPr="00BC0FA1">
                              <w:rPr>
                                <w:rFonts w:ascii="Arial" w:hAnsi="Arial"/>
                                <w:sz w:val="15"/>
                                <w:szCs w:val="15"/>
                              </w:rPr>
                              <w:t>Minister for the Arts</w:t>
                            </w:r>
                          </w:p>
                          <w:p w14:paraId="25D78630" w14:textId="77777777" w:rsidR="00CA309D" w:rsidRPr="00BC0FA1" w:rsidRDefault="00CA309D" w:rsidP="00FC447A">
                            <w:pPr>
                              <w:spacing w:before="0" w:after="0"/>
                              <w:jc w:val="center"/>
                              <w:rPr>
                                <w:rFonts w:ascii="Arial" w:hAnsi="Arial"/>
                                <w:sz w:val="15"/>
                                <w:szCs w:val="15"/>
                              </w:rPr>
                            </w:pPr>
                            <w:r w:rsidRPr="00BC0FA1">
                              <w:rPr>
                                <w:rFonts w:ascii="Arial" w:hAnsi="Arial"/>
                                <w:sz w:val="15"/>
                                <w:szCs w:val="15"/>
                              </w:rPr>
                              <w:t>The Hon Tony Burke MP</w:t>
                            </w:r>
                          </w:p>
                          <w:p w14:paraId="5843AEB6" w14:textId="77777777" w:rsidR="00CA309D" w:rsidRPr="00BC0FA1" w:rsidRDefault="00CA309D" w:rsidP="00FC447A">
                            <w:pPr>
                              <w:spacing w:before="200" w:after="0"/>
                              <w:jc w:val="center"/>
                              <w:rPr>
                                <w:sz w:val="15"/>
                                <w:szCs w:val="15"/>
                              </w:rPr>
                            </w:pP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C918C" id="Text Box 9" o:spid="_x0000_s1030" type="#_x0000_t202" style="position:absolute;margin-left:113.45pt;margin-top:11.9pt;width:203.5pt;height:54.2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" strokeweight="3.25pt">
                <v:stroke linestyle="thinThin"/>
                <v:textbox inset=".5mm,,.5mm">
                  <w:txbxContent>
                    <w:p w14:paraId="5C3974E7" w14:textId="77777777" w:rsidR="00CA309D" w:rsidRPr="00BC0FA1" w:rsidRDefault="00CA309D" w:rsidP="00FC447A">
                      <w:pPr>
                        <w:spacing w:before="0" w:after="0"/>
                        <w:jc w:val="center"/>
                        <w:rPr>
                          <w:rFonts w:ascii="Arial" w:hAnsi="Arial"/>
                          <w:sz w:val="15"/>
                          <w:szCs w:val="15"/>
                        </w:rPr>
                      </w:pPr>
                      <w:r w:rsidRPr="00BC0FA1">
                        <w:rPr>
                          <w:rFonts w:ascii="Arial" w:hAnsi="Arial"/>
                          <w:sz w:val="15"/>
                          <w:szCs w:val="15"/>
                        </w:rPr>
                        <w:t>Minister for Home Affairs</w:t>
                      </w:r>
                    </w:p>
                    <w:p w14:paraId="23469BAF" w14:textId="77777777" w:rsidR="00CA309D" w:rsidRPr="00BC0FA1" w:rsidRDefault="00CA309D" w:rsidP="00FC447A">
                      <w:pPr>
                        <w:spacing w:before="0" w:after="0"/>
                        <w:jc w:val="center"/>
                        <w:rPr>
                          <w:rFonts w:ascii="Arial" w:hAnsi="Arial"/>
                          <w:sz w:val="15"/>
                          <w:szCs w:val="15"/>
                        </w:rPr>
                      </w:pPr>
                      <w:r w:rsidRPr="00BC0FA1">
                        <w:rPr>
                          <w:rFonts w:ascii="Arial" w:hAnsi="Arial"/>
                          <w:sz w:val="15"/>
                          <w:szCs w:val="15"/>
                        </w:rPr>
                        <w:t xml:space="preserve">Minister for Immigration </w:t>
                      </w:r>
                      <w:r>
                        <w:rPr>
                          <w:rFonts w:ascii="Arial" w:hAnsi="Arial"/>
                          <w:sz w:val="15"/>
                          <w:szCs w:val="15"/>
                        </w:rPr>
                        <w:t>and Citizenship</w:t>
                      </w:r>
                    </w:p>
                    <w:p w14:paraId="66CF5347" w14:textId="77777777" w:rsidR="00CA309D" w:rsidRPr="00BC0FA1" w:rsidRDefault="00CA309D" w:rsidP="00FC447A">
                      <w:pPr>
                        <w:spacing w:before="0" w:after="0"/>
                        <w:jc w:val="center"/>
                        <w:rPr>
                          <w:rFonts w:ascii="Arial" w:hAnsi="Arial"/>
                          <w:sz w:val="15"/>
                          <w:szCs w:val="15"/>
                        </w:rPr>
                      </w:pPr>
                      <w:r w:rsidRPr="00BC0FA1">
                        <w:rPr>
                          <w:rFonts w:ascii="Arial" w:hAnsi="Arial"/>
                          <w:sz w:val="15"/>
                          <w:szCs w:val="15"/>
                        </w:rPr>
                        <w:t>Minister for Cyber Security</w:t>
                      </w:r>
                    </w:p>
                    <w:p w14:paraId="3ABAA84E" w14:textId="77777777" w:rsidR="00CA309D" w:rsidRPr="00BC0FA1" w:rsidRDefault="00CA309D" w:rsidP="00FC447A">
                      <w:pPr>
                        <w:spacing w:before="0" w:after="0"/>
                        <w:jc w:val="center"/>
                        <w:rPr>
                          <w:rFonts w:ascii="Arial" w:hAnsi="Arial"/>
                          <w:sz w:val="15"/>
                          <w:szCs w:val="15"/>
                        </w:rPr>
                      </w:pPr>
                      <w:r w:rsidRPr="00BC0FA1">
                        <w:rPr>
                          <w:rFonts w:ascii="Arial" w:hAnsi="Arial"/>
                          <w:sz w:val="15"/>
                          <w:szCs w:val="15"/>
                        </w:rPr>
                        <w:t>Minister for the Arts</w:t>
                      </w:r>
                    </w:p>
                    <w:p w14:paraId="25D78630" w14:textId="77777777" w:rsidR="00CA309D" w:rsidRPr="00BC0FA1" w:rsidRDefault="00CA309D" w:rsidP="00FC447A">
                      <w:pPr>
                        <w:spacing w:before="0" w:after="0"/>
                        <w:jc w:val="center"/>
                        <w:rPr>
                          <w:rFonts w:ascii="Arial" w:hAnsi="Arial"/>
                          <w:sz w:val="15"/>
                          <w:szCs w:val="15"/>
                        </w:rPr>
                      </w:pPr>
                      <w:r w:rsidRPr="00BC0FA1">
                        <w:rPr>
                          <w:rFonts w:ascii="Arial" w:hAnsi="Arial"/>
                          <w:sz w:val="15"/>
                          <w:szCs w:val="15"/>
                        </w:rPr>
                        <w:t>The Hon Tony Burke MP</w:t>
                      </w:r>
                    </w:p>
                    <w:p w14:paraId="5843AEB6" w14:textId="77777777" w:rsidR="00CA309D" w:rsidRPr="00BC0FA1" w:rsidRDefault="00CA309D" w:rsidP="00FC447A">
                      <w:pPr>
                        <w:spacing w:before="200" w:after="0"/>
                        <w:jc w:val="center"/>
                        <w:rPr>
                          <w:sz w:val="15"/>
                          <w:szCs w:val="15"/>
                        </w:rPr>
                      </w:pPr>
                    </w:p>
                  </w:txbxContent>
                </v:textbox>
              </v:shape>
            </w:pict>
          </mc:Fallback>
        </mc:AlternateContent>
      </w:r>
    </w:p>
    <w:p w14:paraId="3D1309E7" w14:textId="77777777" w:rsidR="00FC447A" w:rsidRPr="003E76E7" w:rsidRDefault="00FC447A" w:rsidP="00C4292D">
      <w:pPr>
        <w:rPr>
          <w:lang w:val="en-AU"/>
        </w:rPr>
      </w:pPr>
    </w:p>
    <w:p w14:paraId="1E6FAC0D" w14:textId="77777777" w:rsidR="00FC447A" w:rsidRPr="003E76E7" w:rsidRDefault="00FC447A" w:rsidP="00C4292D">
      <w:pPr>
        <w:rPr>
          <w:lang w:val="en-AU"/>
        </w:rPr>
      </w:pPr>
      <w:r w:rsidRPr="003E76E7">
        <w:rPr>
          <w:noProof/>
          <w:lang w:val="en-AU"/>
        </w:rPr>
        <mc:AlternateContent>
          <mc:Choice Requires="wps">
            <w:drawing>
              <wp:anchor distT="0" distB="0" distL="114300" distR="114300" simplePos="0" relativeHeight="251739648" behindDoc="0" locked="0" layoutInCell="1" allowOverlap="1" wp14:anchorId="7E711B57" wp14:editId="20643B54">
                <wp:simplePos x="0" y="0"/>
                <wp:positionH relativeFrom="column">
                  <wp:posOffset>90170</wp:posOffset>
                </wp:positionH>
                <wp:positionV relativeFrom="paragraph">
                  <wp:posOffset>261620</wp:posOffset>
                </wp:positionV>
                <wp:extent cx="2616200" cy="481965"/>
                <wp:effectExtent l="19050" t="19050" r="0" b="0"/>
                <wp:wrapNone/>
                <wp:docPr id="64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481965"/>
                        </a:xfrm>
                        <a:prstGeom prst="rect">
                          <a:avLst/>
                        </a:prstGeom>
                        <a:solidFill>
                          <a:srgbClr val="FFFFFF"/>
                        </a:solidFill>
                        <a:ln w="41275" cmpd="dbl">
                          <a:solidFill>
                            <a:srgbClr val="000000"/>
                          </a:solidFill>
                          <a:miter lim="800000"/>
                          <a:headEnd/>
                          <a:tailEnd/>
                        </a:ln>
                      </wps:spPr>
                      <wps:txbx>
                        <w:txbxContent>
                          <w:p w14:paraId="37925CB3" w14:textId="77777777" w:rsidR="00CA309D" w:rsidRPr="00BC0FA1" w:rsidRDefault="00CA309D" w:rsidP="00FC447A">
                            <w:pPr>
                              <w:spacing w:before="0" w:after="0"/>
                              <w:jc w:val="center"/>
                              <w:rPr>
                                <w:rFonts w:ascii="Arial" w:hAnsi="Arial"/>
                                <w:sz w:val="7"/>
                                <w:szCs w:val="15"/>
                              </w:rPr>
                            </w:pPr>
                          </w:p>
                          <w:p w14:paraId="04FB1E0A" w14:textId="77777777" w:rsidR="00CA309D" w:rsidRPr="00BC0FA1" w:rsidRDefault="00CA309D" w:rsidP="00FC447A">
                            <w:pPr>
                              <w:spacing w:before="0" w:after="0"/>
                              <w:jc w:val="center"/>
                              <w:rPr>
                                <w:rFonts w:ascii="Arial" w:hAnsi="Arial"/>
                                <w:sz w:val="15"/>
                                <w:szCs w:val="15"/>
                              </w:rPr>
                            </w:pPr>
                            <w:r w:rsidRPr="00BC0FA1">
                              <w:rPr>
                                <w:rFonts w:ascii="Arial" w:hAnsi="Arial"/>
                                <w:sz w:val="15"/>
                                <w:szCs w:val="15"/>
                              </w:rPr>
                              <w:t>Assistant Minister for Defence</w:t>
                            </w:r>
                          </w:p>
                          <w:p w14:paraId="30BC2566" w14:textId="77777777" w:rsidR="00CA309D" w:rsidRPr="00BC0FA1" w:rsidRDefault="00CA309D" w:rsidP="00FC447A">
                            <w:pPr>
                              <w:spacing w:before="0" w:after="0"/>
                              <w:jc w:val="center"/>
                              <w:rPr>
                                <w:rFonts w:ascii="Arial" w:hAnsi="Arial"/>
                                <w:sz w:val="15"/>
                                <w:szCs w:val="15"/>
                              </w:rPr>
                            </w:pPr>
                            <w:r w:rsidRPr="00BC0FA1">
                              <w:rPr>
                                <w:rFonts w:ascii="Arial" w:hAnsi="Arial"/>
                                <w:sz w:val="15"/>
                                <w:szCs w:val="15"/>
                              </w:rPr>
                              <w:t>The Hon Peter Khalil MP</w:t>
                            </w:r>
                          </w:p>
                          <w:p w14:paraId="3CF383A3" w14:textId="77777777" w:rsidR="00CA309D" w:rsidRPr="00BC0FA1" w:rsidRDefault="00CA309D" w:rsidP="00FC447A">
                            <w:pPr>
                              <w:spacing w:before="200" w:after="0"/>
                              <w:jc w:val="center"/>
                              <w:rPr>
                                <w:sz w:val="15"/>
                                <w:szCs w:val="15"/>
                              </w:rPr>
                            </w:pP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11B57" id="_x0000_s1031" type="#_x0000_t202" style="position:absolute;margin-left:7.1pt;margin-top:20.6pt;width:206pt;height:37.9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" strokeweight="3.25pt">
                <v:stroke linestyle="thinThin"/>
                <v:textbox inset=".5mm,,.5mm">
                  <w:txbxContent>
                    <w:p w14:paraId="37925CB3" w14:textId="77777777" w:rsidR="00CA309D" w:rsidRPr="00BC0FA1" w:rsidRDefault="00CA309D" w:rsidP="00FC447A">
                      <w:pPr>
                        <w:spacing w:before="0" w:after="0"/>
                        <w:jc w:val="center"/>
                        <w:rPr>
                          <w:rFonts w:ascii="Arial" w:hAnsi="Arial"/>
                          <w:sz w:val="7"/>
                          <w:szCs w:val="15"/>
                        </w:rPr>
                      </w:pPr>
                    </w:p>
                    <w:p w14:paraId="04FB1E0A" w14:textId="77777777" w:rsidR="00CA309D" w:rsidRPr="00BC0FA1" w:rsidRDefault="00CA309D" w:rsidP="00FC447A">
                      <w:pPr>
                        <w:spacing w:before="0" w:after="0"/>
                        <w:jc w:val="center"/>
                        <w:rPr>
                          <w:rFonts w:ascii="Arial" w:hAnsi="Arial"/>
                          <w:sz w:val="15"/>
                          <w:szCs w:val="15"/>
                        </w:rPr>
                      </w:pPr>
                      <w:r w:rsidRPr="00BC0FA1">
                        <w:rPr>
                          <w:rFonts w:ascii="Arial" w:hAnsi="Arial"/>
                          <w:sz w:val="15"/>
                          <w:szCs w:val="15"/>
                        </w:rPr>
                        <w:t>Assistant Minister for Defence</w:t>
                      </w:r>
                    </w:p>
                    <w:p w14:paraId="30BC2566" w14:textId="77777777" w:rsidR="00CA309D" w:rsidRPr="00BC0FA1" w:rsidRDefault="00CA309D" w:rsidP="00FC447A">
                      <w:pPr>
                        <w:spacing w:before="0" w:after="0"/>
                        <w:jc w:val="center"/>
                        <w:rPr>
                          <w:rFonts w:ascii="Arial" w:hAnsi="Arial"/>
                          <w:sz w:val="15"/>
                          <w:szCs w:val="15"/>
                        </w:rPr>
                      </w:pPr>
                      <w:r w:rsidRPr="00BC0FA1">
                        <w:rPr>
                          <w:rFonts w:ascii="Arial" w:hAnsi="Arial"/>
                          <w:sz w:val="15"/>
                          <w:szCs w:val="15"/>
                        </w:rPr>
                        <w:t>The Hon Peter Khalil MP</w:t>
                      </w:r>
                    </w:p>
                    <w:p w14:paraId="3CF383A3" w14:textId="77777777" w:rsidR="00CA309D" w:rsidRPr="00BC0FA1" w:rsidRDefault="00CA309D" w:rsidP="00FC447A">
                      <w:pPr>
                        <w:spacing w:before="200" w:after="0"/>
                        <w:jc w:val="center"/>
                        <w:rPr>
                          <w:sz w:val="15"/>
                          <w:szCs w:val="15"/>
                        </w:rPr>
                      </w:pPr>
                    </w:p>
                  </w:txbxContent>
                </v:textbox>
              </v:shape>
            </w:pict>
          </mc:Fallback>
        </mc:AlternateContent>
      </w:r>
      <w:r w:rsidRPr="003E76E7">
        <w:rPr>
          <w:noProof/>
          <w:lang w:val="en-AU"/>
        </w:rPr>
        <mc:AlternateContent>
          <mc:Choice Requires="wps">
            <w:drawing>
              <wp:anchor distT="0" distB="0" distL="114300" distR="114300" simplePos="0" relativeHeight="251737600" behindDoc="0" locked="0" layoutInCell="1" allowOverlap="1" wp14:anchorId="3FD0B6A2" wp14:editId="02EB4AA5">
                <wp:simplePos x="0" y="0"/>
                <wp:positionH relativeFrom="column">
                  <wp:posOffset>2778760</wp:posOffset>
                </wp:positionH>
                <wp:positionV relativeFrom="paragraph">
                  <wp:posOffset>262255</wp:posOffset>
                </wp:positionV>
                <wp:extent cx="2567940" cy="482600"/>
                <wp:effectExtent l="24765" t="29845" r="26670" b="20955"/>
                <wp:wrapNone/>
                <wp:docPr id="61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940" cy="482600"/>
                        </a:xfrm>
                        <a:prstGeom prst="rect">
                          <a:avLst/>
                        </a:prstGeom>
                        <a:solidFill>
                          <a:srgbClr val="FFFFFF"/>
                        </a:solidFill>
                        <a:ln w="41275" cmpd="dbl">
                          <a:solidFill>
                            <a:srgbClr val="000000"/>
                          </a:solidFill>
                          <a:miter lim="800000"/>
                          <a:headEnd/>
                          <a:tailEnd/>
                        </a:ln>
                      </wps:spPr>
                      <wps:txbx>
                        <w:txbxContent>
                          <w:p w14:paraId="650DC5ED" w14:textId="77777777" w:rsidR="00CA309D" w:rsidRPr="00BC0FA1" w:rsidRDefault="00CA309D" w:rsidP="00FC447A">
                            <w:pPr>
                              <w:spacing w:before="0" w:after="0"/>
                              <w:jc w:val="center"/>
                              <w:rPr>
                                <w:rFonts w:ascii="Arial" w:hAnsi="Arial"/>
                                <w:sz w:val="15"/>
                                <w:szCs w:val="15"/>
                              </w:rPr>
                            </w:pPr>
                            <w:r w:rsidRPr="00BC0FA1">
                              <w:rPr>
                                <w:rFonts w:ascii="Arial" w:hAnsi="Arial"/>
                                <w:sz w:val="15"/>
                                <w:szCs w:val="15"/>
                              </w:rPr>
                              <w:t>Special Envoy for Defence, Veterans’ Affairs and</w:t>
                            </w:r>
                            <w:r>
                              <w:rPr>
                                <w:rFonts w:ascii="Arial" w:hAnsi="Arial"/>
                                <w:sz w:val="15"/>
                                <w:szCs w:val="15"/>
                              </w:rPr>
                              <w:t xml:space="preserve"> </w:t>
                            </w:r>
                            <w:r>
                              <w:rPr>
                                <w:rFonts w:ascii="Arial" w:hAnsi="Arial"/>
                                <w:sz w:val="15"/>
                                <w:szCs w:val="15"/>
                              </w:rPr>
                              <w:br/>
                            </w:r>
                            <w:r w:rsidRPr="00BC0FA1">
                              <w:rPr>
                                <w:rFonts w:ascii="Arial" w:hAnsi="Arial"/>
                                <w:sz w:val="15"/>
                                <w:szCs w:val="15"/>
                              </w:rPr>
                              <w:t>Northern Australia</w:t>
                            </w:r>
                          </w:p>
                          <w:p w14:paraId="5C6EFA66" w14:textId="77777777" w:rsidR="00CA309D" w:rsidRPr="00BC0FA1" w:rsidRDefault="00CA309D" w:rsidP="00FC447A">
                            <w:pPr>
                              <w:spacing w:before="0" w:after="0"/>
                              <w:jc w:val="center"/>
                              <w:rPr>
                                <w:rFonts w:ascii="Arial" w:hAnsi="Arial"/>
                                <w:sz w:val="15"/>
                                <w:szCs w:val="15"/>
                              </w:rPr>
                            </w:pPr>
                            <w:r w:rsidRPr="00BC0FA1">
                              <w:rPr>
                                <w:rFonts w:ascii="Arial" w:hAnsi="Arial"/>
                                <w:sz w:val="15"/>
                                <w:szCs w:val="15"/>
                              </w:rPr>
                              <w:t>Mr Luke Gosling OAM MP</w:t>
                            </w:r>
                          </w:p>
                          <w:p w14:paraId="28890B13" w14:textId="77777777" w:rsidR="00CA309D" w:rsidRPr="00BC0FA1" w:rsidRDefault="00CA309D" w:rsidP="00FC447A">
                            <w:pPr>
                              <w:spacing w:before="200" w:after="0"/>
                              <w:jc w:val="center"/>
                              <w:rPr>
                                <w:sz w:val="15"/>
                                <w:szCs w:val="15"/>
                              </w:rPr>
                            </w:pP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0B6A2" id="_x0000_s1032" type="#_x0000_t202" style="position:absolute;margin-left:218.8pt;margin-top:20.65pt;width:202.2pt;height:38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" strokeweight="3.25pt">
                <v:stroke linestyle="thinThin"/>
                <v:textbox inset=".5mm,,.5mm">
                  <w:txbxContent>
                    <w:p w14:paraId="650DC5ED" w14:textId="77777777" w:rsidR="00CA309D" w:rsidRPr="00BC0FA1" w:rsidRDefault="00CA309D" w:rsidP="00FC447A">
                      <w:pPr>
                        <w:spacing w:before="0" w:after="0"/>
                        <w:jc w:val="center"/>
                        <w:rPr>
                          <w:rFonts w:ascii="Arial" w:hAnsi="Arial"/>
                          <w:sz w:val="15"/>
                          <w:szCs w:val="15"/>
                        </w:rPr>
                      </w:pPr>
                      <w:r w:rsidRPr="00BC0FA1">
                        <w:rPr>
                          <w:rFonts w:ascii="Arial" w:hAnsi="Arial"/>
                          <w:sz w:val="15"/>
                          <w:szCs w:val="15"/>
                        </w:rPr>
                        <w:t>Special Envoy for Defence, Veterans’ Affairs and</w:t>
                      </w:r>
                      <w:r>
                        <w:rPr>
                          <w:rFonts w:ascii="Arial" w:hAnsi="Arial"/>
                          <w:sz w:val="15"/>
                          <w:szCs w:val="15"/>
                        </w:rPr>
                        <w:t xml:space="preserve"> </w:t>
                      </w:r>
                      <w:r>
                        <w:rPr>
                          <w:rFonts w:ascii="Arial" w:hAnsi="Arial"/>
                          <w:sz w:val="15"/>
                          <w:szCs w:val="15"/>
                        </w:rPr>
                        <w:br/>
                      </w:r>
                      <w:r w:rsidRPr="00BC0FA1">
                        <w:rPr>
                          <w:rFonts w:ascii="Arial" w:hAnsi="Arial"/>
                          <w:sz w:val="15"/>
                          <w:szCs w:val="15"/>
                        </w:rPr>
                        <w:t>Northern Australia</w:t>
                      </w:r>
                    </w:p>
                    <w:p w14:paraId="5C6EFA66" w14:textId="77777777" w:rsidR="00CA309D" w:rsidRPr="00BC0FA1" w:rsidRDefault="00CA309D" w:rsidP="00FC447A">
                      <w:pPr>
                        <w:spacing w:before="0" w:after="0"/>
                        <w:jc w:val="center"/>
                        <w:rPr>
                          <w:rFonts w:ascii="Arial" w:hAnsi="Arial"/>
                          <w:sz w:val="15"/>
                          <w:szCs w:val="15"/>
                        </w:rPr>
                      </w:pPr>
                      <w:r w:rsidRPr="00BC0FA1">
                        <w:rPr>
                          <w:rFonts w:ascii="Arial" w:hAnsi="Arial"/>
                          <w:sz w:val="15"/>
                          <w:szCs w:val="15"/>
                        </w:rPr>
                        <w:t>Mr Luke Gosling OAM MP</w:t>
                      </w:r>
                    </w:p>
                    <w:p w14:paraId="28890B13" w14:textId="77777777" w:rsidR="00CA309D" w:rsidRPr="00BC0FA1" w:rsidRDefault="00CA309D" w:rsidP="00FC447A">
                      <w:pPr>
                        <w:spacing w:before="200" w:after="0"/>
                        <w:jc w:val="center"/>
                        <w:rPr>
                          <w:sz w:val="15"/>
                          <w:szCs w:val="15"/>
                        </w:rPr>
                      </w:pPr>
                    </w:p>
                  </w:txbxContent>
                </v:textbox>
              </v:shape>
            </w:pict>
          </mc:Fallback>
        </mc:AlternateContent>
      </w:r>
    </w:p>
    <w:p w14:paraId="3D282CFD" w14:textId="77777777" w:rsidR="00FC447A" w:rsidRPr="003E76E7" w:rsidRDefault="00FC447A" w:rsidP="00C4292D">
      <w:pPr>
        <w:rPr>
          <w:lang w:val="en-AU"/>
        </w:rPr>
      </w:pPr>
    </w:p>
    <w:p w14:paraId="4952BD93" w14:textId="77777777" w:rsidR="00FC447A" w:rsidRPr="003E76E7" w:rsidRDefault="00FC447A" w:rsidP="00C4292D">
      <w:pPr>
        <w:rPr>
          <w:lang w:val="en-AU"/>
        </w:rPr>
      </w:pPr>
      <w:r w:rsidRPr="003E76E7">
        <w:rPr>
          <w:noProof/>
          <w:lang w:val="en-AU"/>
        </w:rPr>
        <mc:AlternateContent>
          <mc:Choice Requires="wps">
            <w:drawing>
              <wp:anchor distT="0" distB="0" distL="114300" distR="114300" simplePos="0" relativeHeight="251729408" behindDoc="0" locked="0" layoutInCell="1" allowOverlap="1" wp14:anchorId="757B7FA7" wp14:editId="6FE78877">
                <wp:simplePos x="0" y="0"/>
                <wp:positionH relativeFrom="column">
                  <wp:posOffset>100330</wp:posOffset>
                </wp:positionH>
                <wp:positionV relativeFrom="paragraph">
                  <wp:posOffset>229870</wp:posOffset>
                </wp:positionV>
                <wp:extent cx="2606040" cy="278765"/>
                <wp:effectExtent l="19050" t="19050" r="3810" b="6985"/>
                <wp:wrapNone/>
                <wp:docPr id="64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278765"/>
                        </a:xfrm>
                        <a:prstGeom prst="rect">
                          <a:avLst/>
                        </a:prstGeom>
                        <a:solidFill>
                          <a:srgbClr val="FFFFFF"/>
                        </a:solidFill>
                        <a:ln w="41275" cmpd="dbl">
                          <a:solidFill>
                            <a:srgbClr val="000000"/>
                          </a:solidFill>
                          <a:miter lim="800000"/>
                          <a:headEnd/>
                          <a:tailEnd/>
                        </a:ln>
                      </wps:spPr>
                      <wps:txbx>
                        <w:txbxContent>
                          <w:p w14:paraId="2C7AA096" w14:textId="77777777" w:rsidR="00CA309D" w:rsidRPr="00BC0FA1" w:rsidRDefault="00CA309D" w:rsidP="00FC447A">
                            <w:pPr>
                              <w:spacing w:before="0" w:after="0"/>
                              <w:jc w:val="center"/>
                              <w:rPr>
                                <w:rFonts w:ascii="Arial" w:hAnsi="Arial"/>
                                <w:sz w:val="15"/>
                                <w:szCs w:val="15"/>
                              </w:rPr>
                            </w:pPr>
                            <w:r w:rsidRPr="00BC0FA1">
                              <w:rPr>
                                <w:rFonts w:ascii="Arial" w:hAnsi="Arial"/>
                                <w:sz w:val="15"/>
                                <w:szCs w:val="15"/>
                              </w:rPr>
                              <w:t>Secretary</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B7FA7" id="Text Box 7" o:spid="_x0000_s1033" type="#_x0000_t202" style="position:absolute;margin-left:7.9pt;margin-top:18.1pt;width:205.2pt;height:21.9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" strokeweight="3.25pt">
                <v:stroke linestyle="thinThin"/>
                <v:textbox inset=".5mm,,.5mm">
                  <w:txbxContent>
                    <w:p w14:paraId="2C7AA096" w14:textId="77777777" w:rsidR="00CA309D" w:rsidRPr="00BC0FA1" w:rsidRDefault="00CA309D" w:rsidP="00FC447A">
                      <w:pPr>
                        <w:spacing w:before="0" w:after="0"/>
                        <w:jc w:val="center"/>
                        <w:rPr>
                          <w:rFonts w:ascii="Arial" w:hAnsi="Arial"/>
                          <w:sz w:val="15"/>
                          <w:szCs w:val="15"/>
                        </w:rPr>
                      </w:pPr>
                      <w:r w:rsidRPr="00BC0FA1">
                        <w:rPr>
                          <w:rFonts w:ascii="Arial" w:hAnsi="Arial"/>
                          <w:sz w:val="15"/>
                          <w:szCs w:val="15"/>
                        </w:rPr>
                        <w:t>Secretary</w:t>
                      </w:r>
                    </w:p>
                  </w:txbxContent>
                </v:textbox>
              </v:shape>
            </w:pict>
          </mc:Fallback>
        </mc:AlternateContent>
      </w:r>
      <w:r w:rsidRPr="003E76E7">
        <w:rPr>
          <w:noProof/>
          <w:lang w:val="en-AU"/>
        </w:rPr>
        <mc:AlternateContent>
          <mc:Choice Requires="wps">
            <w:drawing>
              <wp:anchor distT="0" distB="0" distL="114300" distR="114300" simplePos="0" relativeHeight="251730432" behindDoc="0" locked="0" layoutInCell="1" allowOverlap="1" wp14:anchorId="4512AA6C" wp14:editId="41863E8F">
                <wp:simplePos x="0" y="0"/>
                <wp:positionH relativeFrom="column">
                  <wp:posOffset>2778760</wp:posOffset>
                </wp:positionH>
                <wp:positionV relativeFrom="paragraph">
                  <wp:posOffset>228600</wp:posOffset>
                </wp:positionV>
                <wp:extent cx="2566670" cy="273050"/>
                <wp:effectExtent l="24765" t="22860" r="27940" b="27940"/>
                <wp:wrapNone/>
                <wp:docPr id="6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6670" cy="273050"/>
                        </a:xfrm>
                        <a:prstGeom prst="rect">
                          <a:avLst/>
                        </a:prstGeom>
                        <a:solidFill>
                          <a:srgbClr val="FFFFFF"/>
                        </a:solidFill>
                        <a:ln w="41275" cmpd="dbl">
                          <a:solidFill>
                            <a:srgbClr val="000000"/>
                          </a:solidFill>
                          <a:miter lim="800000"/>
                          <a:headEnd/>
                          <a:tailEnd/>
                        </a:ln>
                      </wps:spPr>
                      <wps:txbx>
                        <w:txbxContent>
                          <w:p w14:paraId="776F554F" w14:textId="77777777" w:rsidR="00CA309D" w:rsidRPr="00BC0FA1" w:rsidRDefault="00CA309D" w:rsidP="00FC447A">
                            <w:pPr>
                              <w:spacing w:before="0" w:after="0" w:line="276" w:lineRule="auto"/>
                              <w:jc w:val="center"/>
                              <w:rPr>
                                <w:rFonts w:ascii="Arial" w:hAnsi="Arial"/>
                                <w:sz w:val="15"/>
                                <w:szCs w:val="15"/>
                              </w:rPr>
                            </w:pPr>
                            <w:r w:rsidRPr="00BC0FA1">
                              <w:rPr>
                                <w:rFonts w:ascii="Arial" w:hAnsi="Arial"/>
                                <w:sz w:val="15"/>
                                <w:szCs w:val="15"/>
                              </w:rPr>
                              <w:t>Chief of the Defence Force</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2AA6C" id="Text Box 8" o:spid="_x0000_s1034" type="#_x0000_t202" style="position:absolute;margin-left:218.8pt;margin-top:18pt;width:202.1pt;height:21.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" strokeweight="3.25pt">
                <v:stroke linestyle="thinThin"/>
                <v:textbox inset=".5mm,,.5mm">
                  <w:txbxContent>
                    <w:p w14:paraId="776F554F" w14:textId="77777777" w:rsidR="00CA309D" w:rsidRPr="00BC0FA1" w:rsidRDefault="00CA309D" w:rsidP="00FC447A">
                      <w:pPr>
                        <w:spacing w:before="0" w:after="0" w:line="276" w:lineRule="auto"/>
                        <w:jc w:val="center"/>
                        <w:rPr>
                          <w:rFonts w:ascii="Arial" w:hAnsi="Arial"/>
                          <w:sz w:val="15"/>
                          <w:szCs w:val="15"/>
                        </w:rPr>
                      </w:pPr>
                      <w:r w:rsidRPr="00BC0FA1">
                        <w:rPr>
                          <w:rFonts w:ascii="Arial" w:hAnsi="Arial"/>
                          <w:sz w:val="15"/>
                          <w:szCs w:val="15"/>
                        </w:rPr>
                        <w:t>Chief of the Defence Force</w:t>
                      </w:r>
                    </w:p>
                  </w:txbxContent>
                </v:textbox>
              </v:shape>
            </w:pict>
          </mc:Fallback>
        </mc:AlternateContent>
      </w:r>
    </w:p>
    <w:p w14:paraId="063F9E2D" w14:textId="77777777" w:rsidR="00FC447A" w:rsidRPr="003E76E7" w:rsidRDefault="00FC447A" w:rsidP="00C4292D">
      <w:pPr>
        <w:spacing w:before="60" w:after="0"/>
        <w:rPr>
          <w:lang w:val="en-AU"/>
        </w:rPr>
      </w:pPr>
    </w:p>
    <w:p w14:paraId="51A3DBCB" w14:textId="77777777" w:rsidR="00FC447A" w:rsidRPr="003E76E7" w:rsidRDefault="00FC447A" w:rsidP="00C4292D">
      <w:pPr>
        <w:spacing w:before="0" w:after="0"/>
        <w:rPr>
          <w:lang w:val="en-AU"/>
        </w:rPr>
      </w:pPr>
      <w:r w:rsidRPr="003E76E7">
        <w:rPr>
          <w:noProof/>
          <w:lang w:val="en-AU"/>
        </w:rPr>
        <mc:AlternateContent>
          <mc:Choice Requires="wps">
            <w:drawing>
              <wp:anchor distT="0" distB="0" distL="114300" distR="114300" simplePos="0" relativeHeight="251726336" behindDoc="0" locked="0" layoutInCell="1" allowOverlap="1" wp14:anchorId="1C1B9516" wp14:editId="784EFBBC">
                <wp:simplePos x="0" y="0"/>
                <wp:positionH relativeFrom="column">
                  <wp:posOffset>93345</wp:posOffset>
                </wp:positionH>
                <wp:positionV relativeFrom="paragraph">
                  <wp:posOffset>89535</wp:posOffset>
                </wp:positionV>
                <wp:extent cx="5292090" cy="4773295"/>
                <wp:effectExtent l="25400" t="21590" r="26035" b="24765"/>
                <wp:wrapNone/>
                <wp:docPr id="615" name="Text Box 8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2090" cy="4773295"/>
                        </a:xfrm>
                        <a:prstGeom prst="rect">
                          <a:avLst/>
                        </a:prstGeom>
                        <a:solidFill>
                          <a:srgbClr val="FFFFFF"/>
                        </a:solidFill>
                        <a:ln w="38100" cmpd="dbl">
                          <a:solidFill>
                            <a:srgbClr val="000000"/>
                          </a:solidFill>
                          <a:miter lim="800000"/>
                          <a:headEnd/>
                          <a:tailEnd/>
                        </a:ln>
                      </wps:spPr>
                      <wps:txbx>
                        <w:txbxContent>
                          <w:p w14:paraId="0528A818" w14:textId="77777777" w:rsidR="00CA309D" w:rsidRPr="00BC0FA1" w:rsidRDefault="00CA309D" w:rsidP="00FC447A">
                            <w:pPr>
                              <w:spacing w:before="0" w:after="0"/>
                              <w:jc w:val="center"/>
                              <w:rPr>
                                <w:rFonts w:ascii="Arial" w:hAnsi="Arial"/>
                                <w:b/>
                                <w:position w:val="-18"/>
                                <w:sz w:val="15"/>
                                <w:szCs w:val="15"/>
                              </w:rPr>
                            </w:pPr>
                            <w:r w:rsidRPr="00BC0FA1">
                              <w:rPr>
                                <w:rFonts w:ascii="Arial" w:hAnsi="Arial"/>
                                <w:b/>
                                <w:position w:val="-18"/>
                                <w:sz w:val="15"/>
                                <w:szCs w:val="15"/>
                              </w:rPr>
                              <w:t>Defence and the Australian Defence Force</w:t>
                            </w:r>
                          </w:p>
                          <w:p w14:paraId="03C565E2" w14:textId="77777777" w:rsidR="00CA309D" w:rsidRPr="00BC0FA1" w:rsidRDefault="00CA309D" w:rsidP="00FC447A">
                            <w:pPr>
                              <w:spacing w:before="60" w:after="0"/>
                              <w:jc w:val="center"/>
                              <w:rPr>
                                <w:rFonts w:ascii="Arial" w:hAnsi="Arial"/>
                                <w:position w:val="-18"/>
                                <w:sz w:val="9"/>
                                <w:szCs w:val="15"/>
                              </w:rPr>
                            </w:pPr>
                          </w:p>
                          <w:p w14:paraId="46E23551" w14:textId="77777777" w:rsidR="00CA309D" w:rsidRPr="00BC0FA1" w:rsidRDefault="00CA309D" w:rsidP="00FC447A">
                            <w:pPr>
                              <w:spacing w:before="60" w:after="0"/>
                              <w:jc w:val="center"/>
                              <w:rPr>
                                <w:rFonts w:ascii="Arial" w:hAnsi="Arial"/>
                                <w:position w:val="-18"/>
                                <w:sz w:val="2"/>
                                <w:szCs w:val="15"/>
                              </w:rPr>
                            </w:pPr>
                          </w:p>
                          <w:p w14:paraId="6F243053" w14:textId="77777777" w:rsidR="00CA309D" w:rsidRPr="00BC0FA1" w:rsidRDefault="00CA309D" w:rsidP="00FC447A">
                            <w:pPr>
                              <w:spacing w:before="40" w:after="0"/>
                              <w:jc w:val="center"/>
                              <w:rPr>
                                <w:rFonts w:ascii="Arial" w:hAnsi="Arial"/>
                                <w:position w:val="-18"/>
                                <w:sz w:val="15"/>
                                <w:szCs w:val="15"/>
                              </w:rPr>
                            </w:pPr>
                            <w:r w:rsidRPr="00BC0FA1">
                              <w:rPr>
                                <w:rFonts w:ascii="Arial" w:hAnsi="Arial"/>
                                <w:b/>
                                <w:position w:val="-18"/>
                                <w:sz w:val="15"/>
                                <w:szCs w:val="15"/>
                              </w:rPr>
                              <w:t>Outcome 1:</w:t>
                            </w:r>
                            <w:r w:rsidRPr="00BC0FA1">
                              <w:rPr>
                                <w:rFonts w:ascii="Arial" w:hAnsi="Arial"/>
                                <w:position w:val="-18"/>
                                <w:sz w:val="15"/>
                                <w:szCs w:val="15"/>
                              </w:rPr>
                              <w:t xml:space="preserve"> Defend Australia and its national interests through the conduct</w:t>
                            </w:r>
                            <w:r>
                              <w:rPr>
                                <w:rFonts w:ascii="Arial" w:hAnsi="Arial"/>
                                <w:position w:val="-18"/>
                                <w:sz w:val="15"/>
                                <w:szCs w:val="15"/>
                              </w:rPr>
                              <w:t xml:space="preserve"> of operations and provision of</w:t>
                            </w:r>
                            <w:r>
                              <w:rPr>
                                <w:rFonts w:ascii="Arial" w:hAnsi="Arial"/>
                                <w:position w:val="-18"/>
                                <w:sz w:val="15"/>
                                <w:szCs w:val="15"/>
                              </w:rPr>
                              <w:br/>
                            </w:r>
                            <w:r w:rsidRPr="00BC0FA1">
                              <w:rPr>
                                <w:rFonts w:ascii="Arial" w:hAnsi="Arial"/>
                                <w:position w:val="-18"/>
                                <w:sz w:val="15"/>
                                <w:szCs w:val="15"/>
                              </w:rPr>
                              <w:t>support for the Australian community and civilian authorities in accordance with Government direction.</w:t>
                            </w:r>
                          </w:p>
                          <w:p w14:paraId="5A5EE06E" w14:textId="77777777" w:rsidR="00CA309D" w:rsidRPr="00BC0FA1" w:rsidRDefault="00CA309D" w:rsidP="00FC447A">
                            <w:pPr>
                              <w:spacing w:before="40" w:after="0"/>
                              <w:jc w:val="center"/>
                              <w:rPr>
                                <w:rFonts w:ascii="Arial" w:hAnsi="Arial"/>
                                <w:sz w:val="15"/>
                                <w:szCs w:val="15"/>
                              </w:rPr>
                            </w:pPr>
                            <w:r w:rsidRPr="00BC0FA1">
                              <w:rPr>
                                <w:rFonts w:ascii="Arial" w:hAnsi="Arial"/>
                                <w:b/>
                                <w:sz w:val="15"/>
                                <w:szCs w:val="15"/>
                              </w:rPr>
                              <w:t>Outcome 2</w:t>
                            </w:r>
                            <w:r w:rsidRPr="00BC0FA1">
                              <w:rPr>
                                <w:rFonts w:ascii="Arial" w:hAnsi="Arial"/>
                                <w:sz w:val="15"/>
                                <w:szCs w:val="15"/>
                              </w:rPr>
                              <w:t xml:space="preserve">: Protect and advance Australia’s strategic interests through the provision of strategic policy, the development, delivery and sustainment of military, intelligence and enabling capabilities, and the promotion of </w:t>
                            </w:r>
                            <w:r>
                              <w:rPr>
                                <w:rFonts w:ascii="Arial" w:hAnsi="Arial"/>
                                <w:sz w:val="15"/>
                                <w:szCs w:val="15"/>
                              </w:rPr>
                              <w:br/>
                            </w:r>
                            <w:r w:rsidRPr="00BC0FA1">
                              <w:rPr>
                                <w:rFonts w:ascii="Arial" w:hAnsi="Arial"/>
                                <w:sz w:val="15"/>
                                <w:szCs w:val="15"/>
                              </w:rPr>
                              <w:t>regional and global security and stability as directed by Government.</w:t>
                            </w:r>
                          </w:p>
                          <w:p w14:paraId="04D4B49B" w14:textId="77777777" w:rsidR="00CA309D" w:rsidRDefault="00CA309D" w:rsidP="00FC447A">
                            <w:pPr>
                              <w:spacing w:after="0"/>
                              <w:jc w:val="center"/>
                              <w:rPr>
                                <w:b/>
                                <w:position w:val="-18"/>
                                <w:sz w:val="16"/>
                                <w:szCs w:val="16"/>
                              </w:rPr>
                            </w:pPr>
                          </w:p>
                          <w:p w14:paraId="6F214D36" w14:textId="77777777" w:rsidR="00CA309D" w:rsidRDefault="00CA309D" w:rsidP="00FC447A">
                            <w:pPr>
                              <w:spacing w:after="0"/>
                              <w:jc w:val="center"/>
                              <w:rPr>
                                <w:b/>
                                <w:position w:val="-18"/>
                                <w:sz w:val="16"/>
                                <w:szCs w:val="16"/>
                              </w:rPr>
                            </w:pPr>
                          </w:p>
                          <w:p w14:paraId="6B9C0594" w14:textId="77777777" w:rsidR="00CA309D" w:rsidRDefault="00CA309D" w:rsidP="00FC447A">
                            <w:pPr>
                              <w:spacing w:after="0"/>
                              <w:jc w:val="center"/>
                              <w:rPr>
                                <w:b/>
                                <w:position w:val="-18"/>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B9516" id="Text Box 8431" o:spid="_x0000_s1035" type="#_x0000_t202" style="position:absolute;margin-left:7.35pt;margin-top:7.05pt;width:416.7pt;height:375.8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" strokeweight="3pt">
                <v:stroke linestyle="thinThin"/>
                <v:textbox>
                  <w:txbxContent>
                    <w:p w14:paraId="0528A818" w14:textId="77777777" w:rsidR="00CA309D" w:rsidRPr="00BC0FA1" w:rsidRDefault="00CA309D" w:rsidP="00FC447A">
                      <w:pPr>
                        <w:spacing w:before="0" w:after="0"/>
                        <w:jc w:val="center"/>
                        <w:rPr>
                          <w:rFonts w:ascii="Arial" w:hAnsi="Arial"/>
                          <w:b/>
                          <w:position w:val="-18"/>
                          <w:sz w:val="15"/>
                          <w:szCs w:val="15"/>
                        </w:rPr>
                      </w:pPr>
                      <w:r w:rsidRPr="00BC0FA1">
                        <w:rPr>
                          <w:rFonts w:ascii="Arial" w:hAnsi="Arial"/>
                          <w:b/>
                          <w:position w:val="-18"/>
                          <w:sz w:val="15"/>
                          <w:szCs w:val="15"/>
                        </w:rPr>
                        <w:t>Defence and the Australian Defence Force</w:t>
                      </w:r>
                    </w:p>
                    <w:p w14:paraId="03C565E2" w14:textId="77777777" w:rsidR="00CA309D" w:rsidRPr="00BC0FA1" w:rsidRDefault="00CA309D" w:rsidP="00FC447A">
                      <w:pPr>
                        <w:spacing w:before="60" w:after="0"/>
                        <w:jc w:val="center"/>
                        <w:rPr>
                          <w:rFonts w:ascii="Arial" w:hAnsi="Arial"/>
                          <w:position w:val="-18"/>
                          <w:sz w:val="9"/>
                          <w:szCs w:val="15"/>
                        </w:rPr>
                      </w:pPr>
                    </w:p>
                    <w:p w14:paraId="46E23551" w14:textId="77777777" w:rsidR="00CA309D" w:rsidRPr="00BC0FA1" w:rsidRDefault="00CA309D" w:rsidP="00FC447A">
                      <w:pPr>
                        <w:spacing w:before="60" w:after="0"/>
                        <w:jc w:val="center"/>
                        <w:rPr>
                          <w:rFonts w:ascii="Arial" w:hAnsi="Arial"/>
                          <w:position w:val="-18"/>
                          <w:sz w:val="2"/>
                          <w:szCs w:val="15"/>
                        </w:rPr>
                      </w:pPr>
                    </w:p>
                    <w:p w14:paraId="6F243053" w14:textId="77777777" w:rsidR="00CA309D" w:rsidRPr="00BC0FA1" w:rsidRDefault="00CA309D" w:rsidP="00FC447A">
                      <w:pPr>
                        <w:spacing w:before="40" w:after="0"/>
                        <w:jc w:val="center"/>
                        <w:rPr>
                          <w:rFonts w:ascii="Arial" w:hAnsi="Arial"/>
                          <w:position w:val="-18"/>
                          <w:sz w:val="15"/>
                          <w:szCs w:val="15"/>
                        </w:rPr>
                      </w:pPr>
                      <w:r w:rsidRPr="00BC0FA1">
                        <w:rPr>
                          <w:rFonts w:ascii="Arial" w:hAnsi="Arial"/>
                          <w:b/>
                          <w:position w:val="-18"/>
                          <w:sz w:val="15"/>
                          <w:szCs w:val="15"/>
                        </w:rPr>
                        <w:t>Outcome 1:</w:t>
                      </w:r>
                      <w:r w:rsidRPr="00BC0FA1">
                        <w:rPr>
                          <w:rFonts w:ascii="Arial" w:hAnsi="Arial"/>
                          <w:position w:val="-18"/>
                          <w:sz w:val="15"/>
                          <w:szCs w:val="15"/>
                        </w:rPr>
                        <w:t xml:space="preserve"> Defend Australia and its national interests through the conduct</w:t>
                      </w:r>
                      <w:r>
                        <w:rPr>
                          <w:rFonts w:ascii="Arial" w:hAnsi="Arial"/>
                          <w:position w:val="-18"/>
                          <w:sz w:val="15"/>
                          <w:szCs w:val="15"/>
                        </w:rPr>
                        <w:t xml:space="preserve"> of operations and provision of</w:t>
                      </w:r>
                      <w:r>
                        <w:rPr>
                          <w:rFonts w:ascii="Arial" w:hAnsi="Arial"/>
                          <w:position w:val="-18"/>
                          <w:sz w:val="15"/>
                          <w:szCs w:val="15"/>
                        </w:rPr>
                        <w:br/>
                      </w:r>
                      <w:r w:rsidRPr="00BC0FA1">
                        <w:rPr>
                          <w:rFonts w:ascii="Arial" w:hAnsi="Arial"/>
                          <w:position w:val="-18"/>
                          <w:sz w:val="15"/>
                          <w:szCs w:val="15"/>
                        </w:rPr>
                        <w:t>support for the Australian community and civilian authorities in accordance with Government direction.</w:t>
                      </w:r>
                    </w:p>
                    <w:p w14:paraId="5A5EE06E" w14:textId="77777777" w:rsidR="00CA309D" w:rsidRPr="00BC0FA1" w:rsidRDefault="00CA309D" w:rsidP="00FC447A">
                      <w:pPr>
                        <w:spacing w:before="40" w:after="0"/>
                        <w:jc w:val="center"/>
                        <w:rPr>
                          <w:rFonts w:ascii="Arial" w:hAnsi="Arial"/>
                          <w:sz w:val="15"/>
                          <w:szCs w:val="15"/>
                        </w:rPr>
                      </w:pPr>
                      <w:r w:rsidRPr="00BC0FA1">
                        <w:rPr>
                          <w:rFonts w:ascii="Arial" w:hAnsi="Arial"/>
                          <w:b/>
                          <w:sz w:val="15"/>
                          <w:szCs w:val="15"/>
                        </w:rPr>
                        <w:t>Outcome 2</w:t>
                      </w:r>
                      <w:r w:rsidRPr="00BC0FA1">
                        <w:rPr>
                          <w:rFonts w:ascii="Arial" w:hAnsi="Arial"/>
                          <w:sz w:val="15"/>
                          <w:szCs w:val="15"/>
                        </w:rPr>
                        <w:t xml:space="preserve">: Protect and advance Australia’s strategic interests through the provision of strategic policy, the development, delivery and sustainment of military, intelligence and enabling capabilities, and the promotion of </w:t>
                      </w:r>
                      <w:r>
                        <w:rPr>
                          <w:rFonts w:ascii="Arial" w:hAnsi="Arial"/>
                          <w:sz w:val="15"/>
                          <w:szCs w:val="15"/>
                        </w:rPr>
                        <w:br/>
                      </w:r>
                      <w:r w:rsidRPr="00BC0FA1">
                        <w:rPr>
                          <w:rFonts w:ascii="Arial" w:hAnsi="Arial"/>
                          <w:sz w:val="15"/>
                          <w:szCs w:val="15"/>
                        </w:rPr>
                        <w:t>regional and global security and stability as directed by Government.</w:t>
                      </w:r>
                    </w:p>
                    <w:p w14:paraId="04D4B49B" w14:textId="77777777" w:rsidR="00CA309D" w:rsidRDefault="00CA309D" w:rsidP="00FC447A">
                      <w:pPr>
                        <w:spacing w:after="0"/>
                        <w:jc w:val="center"/>
                        <w:rPr>
                          <w:b/>
                          <w:position w:val="-18"/>
                          <w:sz w:val="16"/>
                          <w:szCs w:val="16"/>
                        </w:rPr>
                      </w:pPr>
                    </w:p>
                    <w:p w14:paraId="6F214D36" w14:textId="77777777" w:rsidR="00CA309D" w:rsidRDefault="00CA309D" w:rsidP="00FC447A">
                      <w:pPr>
                        <w:spacing w:after="0"/>
                        <w:jc w:val="center"/>
                        <w:rPr>
                          <w:b/>
                          <w:position w:val="-18"/>
                          <w:sz w:val="16"/>
                          <w:szCs w:val="16"/>
                        </w:rPr>
                      </w:pPr>
                    </w:p>
                    <w:p w14:paraId="6B9C0594" w14:textId="77777777" w:rsidR="00CA309D" w:rsidRDefault="00CA309D" w:rsidP="00FC447A">
                      <w:pPr>
                        <w:spacing w:after="0"/>
                        <w:jc w:val="center"/>
                        <w:rPr>
                          <w:b/>
                          <w:position w:val="-18"/>
                          <w:sz w:val="16"/>
                          <w:szCs w:val="16"/>
                        </w:rPr>
                      </w:pPr>
                    </w:p>
                  </w:txbxContent>
                </v:textbox>
              </v:shape>
            </w:pict>
          </mc:Fallback>
        </mc:AlternateContent>
      </w:r>
    </w:p>
    <w:p w14:paraId="1633E479" w14:textId="77777777" w:rsidR="00FC447A" w:rsidRPr="003E76E7" w:rsidRDefault="00FC447A" w:rsidP="00C4292D">
      <w:pPr>
        <w:spacing w:after="0"/>
        <w:rPr>
          <w:lang w:val="en-AU"/>
        </w:rPr>
      </w:pPr>
      <w:r w:rsidRPr="003E76E7">
        <w:rPr>
          <w:noProof/>
          <w:lang w:val="en-AU"/>
        </w:rPr>
        <mc:AlternateContent>
          <mc:Choice Requires="wps">
            <w:drawing>
              <wp:anchor distT="0" distB="0" distL="114300" distR="114300" simplePos="0" relativeHeight="251736576" behindDoc="0" locked="0" layoutInCell="1" allowOverlap="1" wp14:anchorId="6C9C08CB" wp14:editId="64113C46">
                <wp:simplePos x="0" y="0"/>
                <wp:positionH relativeFrom="column">
                  <wp:posOffset>2988310</wp:posOffset>
                </wp:positionH>
                <wp:positionV relativeFrom="paragraph">
                  <wp:posOffset>83185</wp:posOffset>
                </wp:positionV>
                <wp:extent cx="2095500" cy="595630"/>
                <wp:effectExtent l="0" t="0" r="0" b="0"/>
                <wp:wrapNone/>
                <wp:docPr id="637"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595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8EED6F" w14:textId="3D312061" w:rsidR="00CA309D" w:rsidRPr="00BC0FA1" w:rsidRDefault="00CA309D" w:rsidP="00FC447A">
                            <w:pPr>
                              <w:spacing w:before="0" w:after="0"/>
                              <w:jc w:val="center"/>
                              <w:rPr>
                                <w:rFonts w:ascii="Arial" w:hAnsi="Arial"/>
                                <w:position w:val="-18"/>
                                <w:sz w:val="15"/>
                                <w:szCs w:val="15"/>
                              </w:rPr>
                            </w:pPr>
                            <w:r w:rsidRPr="00BC0FA1">
                              <w:rPr>
                                <w:rFonts w:ascii="Arial" w:hAnsi="Arial"/>
                                <w:position w:val="-18"/>
                                <w:sz w:val="15"/>
                                <w:szCs w:val="15"/>
                              </w:rPr>
                              <w:t>Chief of the Defen</w:t>
                            </w:r>
                            <w:r>
                              <w:rPr>
                                <w:rFonts w:ascii="Arial" w:hAnsi="Arial"/>
                                <w:position w:val="-18"/>
                                <w:sz w:val="15"/>
                                <w:szCs w:val="15"/>
                              </w:rPr>
                              <w:t>ce Force</w:t>
                            </w:r>
                            <w:r>
                              <w:rPr>
                                <w:rFonts w:ascii="Arial" w:hAnsi="Arial"/>
                                <w:position w:val="-18"/>
                                <w:sz w:val="15"/>
                                <w:szCs w:val="15"/>
                              </w:rPr>
                              <w:br/>
                            </w:r>
                            <w:r w:rsidRPr="00F50089">
                              <w:rPr>
                                <w:rFonts w:ascii="Arial" w:hAnsi="Arial"/>
                                <w:position w:val="-18"/>
                                <w:sz w:val="15"/>
                                <w:szCs w:val="15"/>
                              </w:rPr>
                              <w:t>Admiral David Johnston AC RAN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C08CB" id="Text Box 537" o:spid="_x0000_s1036" type="#_x0000_t202" style="position:absolute;margin-left:235.3pt;margin-top:6.55pt;width:165pt;height:46.9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" filled="f" stroked="f" strokeweight="0">
                <v:textbox>
                  <w:txbxContent>
                    <w:p w14:paraId="5B8EED6F" w14:textId="3D312061" w:rsidR="00CA309D" w:rsidRPr="00BC0FA1" w:rsidRDefault="00CA309D" w:rsidP="00FC447A">
                      <w:pPr>
                        <w:spacing w:before="0" w:after="0"/>
                        <w:jc w:val="center"/>
                        <w:rPr>
                          <w:rFonts w:ascii="Arial" w:hAnsi="Arial"/>
                          <w:position w:val="-18"/>
                          <w:sz w:val="15"/>
                          <w:szCs w:val="15"/>
                        </w:rPr>
                      </w:pPr>
                      <w:r w:rsidRPr="00BC0FA1">
                        <w:rPr>
                          <w:rFonts w:ascii="Arial" w:hAnsi="Arial"/>
                          <w:position w:val="-18"/>
                          <w:sz w:val="15"/>
                          <w:szCs w:val="15"/>
                        </w:rPr>
                        <w:t>Chief of the Defen</w:t>
                      </w:r>
                      <w:r>
                        <w:rPr>
                          <w:rFonts w:ascii="Arial" w:hAnsi="Arial"/>
                          <w:position w:val="-18"/>
                          <w:sz w:val="15"/>
                          <w:szCs w:val="15"/>
                        </w:rPr>
                        <w:t>ce Force</w:t>
                      </w:r>
                      <w:r>
                        <w:rPr>
                          <w:rFonts w:ascii="Arial" w:hAnsi="Arial"/>
                          <w:position w:val="-18"/>
                          <w:sz w:val="15"/>
                          <w:szCs w:val="15"/>
                        </w:rPr>
                        <w:br/>
                      </w:r>
                      <w:r w:rsidRPr="00F50089">
                        <w:rPr>
                          <w:rFonts w:ascii="Arial" w:hAnsi="Arial"/>
                          <w:position w:val="-18"/>
                          <w:sz w:val="15"/>
                          <w:szCs w:val="15"/>
                        </w:rPr>
                        <w:t>Admiral David Johnston AC RAN</w:t>
                      </w:r>
                    </w:p>
                  </w:txbxContent>
                </v:textbox>
              </v:shape>
            </w:pict>
          </mc:Fallback>
        </mc:AlternateContent>
      </w:r>
      <w:r w:rsidRPr="003E76E7">
        <w:rPr>
          <w:noProof/>
          <w:lang w:val="en-AU"/>
        </w:rPr>
        <mc:AlternateContent>
          <mc:Choice Requires="wps">
            <w:drawing>
              <wp:anchor distT="0" distB="0" distL="114300" distR="114300" simplePos="0" relativeHeight="251735552" behindDoc="0" locked="0" layoutInCell="1" allowOverlap="1" wp14:anchorId="5A82F733" wp14:editId="0442467D">
                <wp:simplePos x="0" y="0"/>
                <wp:positionH relativeFrom="column">
                  <wp:posOffset>518795</wp:posOffset>
                </wp:positionH>
                <wp:positionV relativeFrom="paragraph">
                  <wp:posOffset>76200</wp:posOffset>
                </wp:positionV>
                <wp:extent cx="1752600" cy="576580"/>
                <wp:effectExtent l="0" t="0" r="0" b="0"/>
                <wp:wrapNone/>
                <wp:docPr id="636"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5765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37A01B" w14:textId="0DE233DA" w:rsidR="00CA309D" w:rsidRPr="00BC0FA1" w:rsidRDefault="00CA309D" w:rsidP="00FC447A">
                            <w:pPr>
                              <w:spacing w:before="0" w:after="0"/>
                              <w:jc w:val="center"/>
                              <w:rPr>
                                <w:rFonts w:ascii="Arial" w:hAnsi="Arial"/>
                                <w:position w:val="-18"/>
                                <w:sz w:val="15"/>
                                <w:szCs w:val="15"/>
                              </w:rPr>
                            </w:pPr>
                            <w:r w:rsidRPr="000B29FF">
                              <w:rPr>
                                <w:rFonts w:ascii="Arial" w:hAnsi="Arial"/>
                                <w:position w:val="-18"/>
                                <w:sz w:val="15"/>
                                <w:szCs w:val="15"/>
                              </w:rPr>
                              <w:t>Secretary</w:t>
                            </w:r>
                            <w:r w:rsidRPr="000B29FF">
                              <w:rPr>
                                <w:rFonts w:ascii="Arial" w:hAnsi="Arial"/>
                                <w:position w:val="-18"/>
                                <w:sz w:val="15"/>
                                <w:szCs w:val="15"/>
                              </w:rPr>
                              <w:br/>
                            </w:r>
                            <w:r w:rsidRPr="000B29FF">
                              <w:t xml:space="preserve"> </w:t>
                            </w:r>
                            <w:r w:rsidRPr="00A211F5">
                              <w:rPr>
                                <w:rFonts w:ascii="Arial" w:hAnsi="Arial"/>
                                <w:position w:val="-18"/>
                                <w:sz w:val="15"/>
                                <w:szCs w:val="15"/>
                              </w:rPr>
                              <w:t>Ms Catherine Patterson (A/g)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2F733" id="Text Box 536" o:spid="_x0000_s1037" type="#_x0000_t202" style="position:absolute;margin-left:40.85pt;margin-top:6pt;width:138pt;height:45.4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" filled="f" stroked="f" strokeweight="0">
                <v:textbox>
                  <w:txbxContent>
                    <w:p w14:paraId="1537A01B" w14:textId="0DE233DA" w:rsidR="00CA309D" w:rsidRPr="00BC0FA1" w:rsidRDefault="00CA309D" w:rsidP="00FC447A">
                      <w:pPr>
                        <w:spacing w:before="0" w:after="0"/>
                        <w:jc w:val="center"/>
                        <w:rPr>
                          <w:rFonts w:ascii="Arial" w:hAnsi="Arial"/>
                          <w:position w:val="-18"/>
                          <w:sz w:val="15"/>
                          <w:szCs w:val="15"/>
                        </w:rPr>
                      </w:pPr>
                      <w:r w:rsidRPr="000B29FF">
                        <w:rPr>
                          <w:rFonts w:ascii="Arial" w:hAnsi="Arial"/>
                          <w:position w:val="-18"/>
                          <w:sz w:val="15"/>
                          <w:szCs w:val="15"/>
                        </w:rPr>
                        <w:t>Secretary</w:t>
                      </w:r>
                      <w:r w:rsidRPr="000B29FF">
                        <w:rPr>
                          <w:rFonts w:ascii="Arial" w:hAnsi="Arial"/>
                          <w:position w:val="-18"/>
                          <w:sz w:val="15"/>
                          <w:szCs w:val="15"/>
                        </w:rPr>
                        <w:br/>
                      </w:r>
                      <w:r w:rsidRPr="000B29FF">
                        <w:t xml:space="preserve"> </w:t>
                      </w:r>
                      <w:r w:rsidRPr="00A211F5">
                        <w:rPr>
                          <w:rFonts w:ascii="Arial" w:hAnsi="Arial"/>
                          <w:position w:val="-18"/>
                          <w:sz w:val="15"/>
                          <w:szCs w:val="15"/>
                        </w:rPr>
                        <w:t>Ms Catherine Patterson (A/g)</w:t>
                      </w:r>
                    </w:p>
                  </w:txbxContent>
                </v:textbox>
              </v:shape>
            </w:pict>
          </mc:Fallback>
        </mc:AlternateContent>
      </w:r>
      <w:r w:rsidRPr="003E76E7">
        <w:rPr>
          <w:noProof/>
          <w:lang w:val="en-AU"/>
        </w:rPr>
        <mc:AlternateContent>
          <mc:Choice Requires="wps">
            <w:drawing>
              <wp:anchor distT="0" distB="0" distL="114300" distR="114300" simplePos="0" relativeHeight="251725312" behindDoc="0" locked="0" layoutInCell="1" allowOverlap="1" wp14:anchorId="0605419C" wp14:editId="7D96E2F4">
                <wp:simplePos x="0" y="0"/>
                <wp:positionH relativeFrom="column">
                  <wp:posOffset>121920</wp:posOffset>
                </wp:positionH>
                <wp:positionV relativeFrom="paragraph">
                  <wp:posOffset>210185</wp:posOffset>
                </wp:positionV>
                <wp:extent cx="5219700" cy="1284605"/>
                <wp:effectExtent l="6350" t="5080" r="12700" b="5715"/>
                <wp:wrapNone/>
                <wp:docPr id="614"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284605"/>
                        </a:xfrm>
                        <a:prstGeom prst="rect">
                          <a:avLst/>
                        </a:prstGeom>
                        <a:solidFill>
                          <a:srgbClr val="FFFFFF"/>
                        </a:solidFill>
                        <a:ln w="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05EB0D" w14:textId="77777777" w:rsidR="00CA309D" w:rsidRPr="00BC0FA1" w:rsidRDefault="00CA309D" w:rsidP="00FC447A">
                            <w:pPr>
                              <w:spacing w:before="60" w:after="0"/>
                              <w:jc w:val="center"/>
                              <w:rPr>
                                <w:rFonts w:ascii="Arial" w:hAnsi="Arial"/>
                                <w:sz w:val="15"/>
                                <w:szCs w:val="15"/>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5419C" id="Text Box 533" o:spid="_x0000_s1038" type="#_x0000_t202" style="position:absolute;margin-left:9.6pt;margin-top:16.55pt;width:411pt;height:101.1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" strokeweight="0">
                <v:textbox>
                  <w:txbxContent>
                    <w:p w14:paraId="1205EB0D" w14:textId="77777777" w:rsidR="00CA309D" w:rsidRPr="00BC0FA1" w:rsidRDefault="00CA309D" w:rsidP="00FC447A">
                      <w:pPr>
                        <w:spacing w:before="60" w:after="0"/>
                        <w:jc w:val="center"/>
                        <w:rPr>
                          <w:rFonts w:ascii="Arial" w:hAnsi="Arial"/>
                          <w:sz w:val="15"/>
                          <w:szCs w:val="15"/>
                        </w:rPr>
                      </w:pPr>
                    </w:p>
                  </w:txbxContent>
                </v:textbox>
              </v:shape>
            </w:pict>
          </mc:Fallback>
        </mc:AlternateContent>
      </w:r>
    </w:p>
    <w:p w14:paraId="5FD0B4BF" w14:textId="77777777" w:rsidR="00FC447A" w:rsidRPr="003E76E7" w:rsidRDefault="00FC447A" w:rsidP="00C4292D">
      <w:pPr>
        <w:spacing w:before="0"/>
        <w:rPr>
          <w:lang w:val="en-AU"/>
        </w:rPr>
      </w:pPr>
    </w:p>
    <w:p w14:paraId="64B2E577" w14:textId="77777777" w:rsidR="00FC447A" w:rsidRPr="003E76E7" w:rsidRDefault="00FC447A" w:rsidP="00C4292D">
      <w:pPr>
        <w:rPr>
          <w:lang w:val="en-AU"/>
        </w:rPr>
      </w:pPr>
    </w:p>
    <w:p w14:paraId="3E19FD84" w14:textId="77777777" w:rsidR="00FC447A" w:rsidRPr="003E76E7" w:rsidRDefault="00FC447A" w:rsidP="00C4292D">
      <w:pPr>
        <w:rPr>
          <w:lang w:val="en-AU"/>
        </w:rPr>
      </w:pPr>
    </w:p>
    <w:p w14:paraId="061F9164" w14:textId="77777777" w:rsidR="00FC447A" w:rsidRPr="003E76E7" w:rsidRDefault="00FC447A" w:rsidP="00C4292D">
      <w:pPr>
        <w:rPr>
          <w:lang w:val="en-AU"/>
        </w:rPr>
      </w:pPr>
      <w:r w:rsidRPr="003E76E7">
        <w:rPr>
          <w:noProof/>
          <w:lang w:val="en-AU"/>
        </w:rPr>
        <mc:AlternateContent>
          <mc:Choice Requires="wps">
            <w:drawing>
              <wp:anchor distT="0" distB="0" distL="114300" distR="114300" simplePos="0" relativeHeight="251731456" behindDoc="0" locked="0" layoutInCell="1" allowOverlap="1" wp14:anchorId="6C0F12CD" wp14:editId="1CE92E17">
                <wp:simplePos x="0" y="0"/>
                <wp:positionH relativeFrom="column">
                  <wp:posOffset>113030</wp:posOffset>
                </wp:positionH>
                <wp:positionV relativeFrom="paragraph">
                  <wp:posOffset>113030</wp:posOffset>
                </wp:positionV>
                <wp:extent cx="5255895" cy="741680"/>
                <wp:effectExtent l="6985" t="5715" r="13970" b="5080"/>
                <wp:wrapNone/>
                <wp:docPr id="613"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5895" cy="741680"/>
                        </a:xfrm>
                        <a:prstGeom prst="rect">
                          <a:avLst/>
                        </a:prstGeom>
                        <a:solidFill>
                          <a:srgbClr val="FFFFFF"/>
                        </a:solidFill>
                        <a:ln w="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81710E4" w14:textId="77777777" w:rsidR="00CA309D" w:rsidRPr="00BC0FA1" w:rsidRDefault="00CA309D" w:rsidP="00FC447A">
                            <w:pPr>
                              <w:spacing w:before="0" w:after="0"/>
                              <w:jc w:val="center"/>
                              <w:rPr>
                                <w:rFonts w:ascii="Arial" w:hAnsi="Arial"/>
                                <w:b/>
                                <w:position w:val="-18"/>
                                <w:sz w:val="15"/>
                                <w:szCs w:val="15"/>
                              </w:rPr>
                            </w:pPr>
                            <w:r w:rsidRPr="00BC0FA1">
                              <w:rPr>
                                <w:rFonts w:ascii="Arial" w:hAnsi="Arial"/>
                                <w:b/>
                                <w:position w:val="-18"/>
                                <w:sz w:val="15"/>
                                <w:szCs w:val="15"/>
                              </w:rPr>
                              <w:t>Australian Signals Directorate</w:t>
                            </w:r>
                          </w:p>
                          <w:p w14:paraId="77EFB305" w14:textId="475C79EF" w:rsidR="00CA309D" w:rsidRPr="00BC0FA1" w:rsidRDefault="00CA309D" w:rsidP="00FC447A">
                            <w:pPr>
                              <w:spacing w:before="60" w:after="0"/>
                              <w:jc w:val="center"/>
                              <w:rPr>
                                <w:rFonts w:ascii="Arial" w:hAnsi="Arial"/>
                                <w:position w:val="-18"/>
                                <w:sz w:val="15"/>
                                <w:szCs w:val="15"/>
                              </w:rPr>
                            </w:pPr>
                            <w:r w:rsidRPr="00BC0FA1">
                              <w:rPr>
                                <w:rFonts w:ascii="Arial" w:hAnsi="Arial"/>
                                <w:position w:val="-18"/>
                                <w:sz w:val="15"/>
                                <w:szCs w:val="15"/>
                              </w:rPr>
                              <w:t xml:space="preserve"> Direct</w:t>
                            </w:r>
                            <w:r>
                              <w:rPr>
                                <w:rFonts w:ascii="Arial" w:hAnsi="Arial"/>
                                <w:position w:val="-18"/>
                                <w:sz w:val="15"/>
                                <w:szCs w:val="15"/>
                              </w:rPr>
                              <w:t>or-General: Ms Abigail Bradshaw</w:t>
                            </w:r>
                            <w:r w:rsidRPr="00BC0FA1">
                              <w:rPr>
                                <w:rFonts w:ascii="Arial" w:hAnsi="Arial"/>
                                <w:position w:val="-18"/>
                                <w:sz w:val="15"/>
                                <w:szCs w:val="15"/>
                              </w:rPr>
                              <w:t xml:space="preserve"> CSC</w:t>
                            </w:r>
                          </w:p>
                          <w:p w14:paraId="41B3CFDC" w14:textId="77777777" w:rsidR="00CA309D" w:rsidRPr="00BC0FA1" w:rsidRDefault="00CA309D" w:rsidP="00FC447A">
                            <w:pPr>
                              <w:spacing w:before="60" w:after="0"/>
                              <w:jc w:val="center"/>
                              <w:rPr>
                                <w:rFonts w:ascii="Arial" w:hAnsi="Arial"/>
                                <w:position w:val="-18"/>
                                <w:sz w:val="15"/>
                                <w:szCs w:val="15"/>
                              </w:rPr>
                            </w:pPr>
                            <w:r w:rsidRPr="00BC0FA1">
                              <w:rPr>
                                <w:rFonts w:ascii="Arial" w:hAnsi="Arial"/>
                                <w:b/>
                                <w:position w:val="-18"/>
                                <w:sz w:val="15"/>
                                <w:szCs w:val="15"/>
                              </w:rPr>
                              <w:t>Outcome 1</w:t>
                            </w:r>
                            <w:r w:rsidRPr="00BC0FA1">
                              <w:rPr>
                                <w:rFonts w:ascii="Arial" w:hAnsi="Arial"/>
                                <w:position w:val="-18"/>
                                <w:sz w:val="15"/>
                                <w:szCs w:val="15"/>
                              </w:rPr>
                              <w:t xml:space="preserve">: Defend Australia from global threats and advance our national interests through the provision of </w:t>
                            </w:r>
                            <w:r>
                              <w:rPr>
                                <w:rFonts w:ascii="Arial" w:hAnsi="Arial"/>
                                <w:position w:val="-18"/>
                                <w:sz w:val="15"/>
                                <w:szCs w:val="15"/>
                              </w:rPr>
                              <w:br/>
                            </w:r>
                            <w:r w:rsidRPr="00BC0FA1">
                              <w:rPr>
                                <w:rFonts w:ascii="Arial" w:hAnsi="Arial"/>
                                <w:position w:val="-18"/>
                                <w:sz w:val="15"/>
                                <w:szCs w:val="15"/>
                              </w:rPr>
                              <w:t>foreign signals intelligence, cyber security and offensive cyber operations, as directed by Government.</w:t>
                            </w:r>
                          </w:p>
                          <w:p w14:paraId="2A3A0D4E" w14:textId="77777777" w:rsidR="00CA309D" w:rsidRPr="00BC0FA1" w:rsidRDefault="00CA309D" w:rsidP="00FC447A">
                            <w:pPr>
                              <w:rPr>
                                <w:sz w:val="15"/>
                                <w:szCs w:val="15"/>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F12CD" id="Text Box 535" o:spid="_x0000_s1039" type="#_x0000_t202" style="position:absolute;margin-left:8.9pt;margin-top:8.9pt;width:413.85pt;height:58.4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" strokeweight="0">
                <v:textbox>
                  <w:txbxContent>
                    <w:p w14:paraId="081710E4" w14:textId="77777777" w:rsidR="00CA309D" w:rsidRPr="00BC0FA1" w:rsidRDefault="00CA309D" w:rsidP="00FC447A">
                      <w:pPr>
                        <w:spacing w:before="0" w:after="0"/>
                        <w:jc w:val="center"/>
                        <w:rPr>
                          <w:rFonts w:ascii="Arial" w:hAnsi="Arial"/>
                          <w:b/>
                          <w:position w:val="-18"/>
                          <w:sz w:val="15"/>
                          <w:szCs w:val="15"/>
                        </w:rPr>
                      </w:pPr>
                      <w:r w:rsidRPr="00BC0FA1">
                        <w:rPr>
                          <w:rFonts w:ascii="Arial" w:hAnsi="Arial"/>
                          <w:b/>
                          <w:position w:val="-18"/>
                          <w:sz w:val="15"/>
                          <w:szCs w:val="15"/>
                        </w:rPr>
                        <w:t>Australian Signals Directorate</w:t>
                      </w:r>
                    </w:p>
                    <w:p w14:paraId="77EFB305" w14:textId="475C79EF" w:rsidR="00CA309D" w:rsidRPr="00BC0FA1" w:rsidRDefault="00CA309D" w:rsidP="00FC447A">
                      <w:pPr>
                        <w:spacing w:before="60" w:after="0"/>
                        <w:jc w:val="center"/>
                        <w:rPr>
                          <w:rFonts w:ascii="Arial" w:hAnsi="Arial"/>
                          <w:position w:val="-18"/>
                          <w:sz w:val="15"/>
                          <w:szCs w:val="15"/>
                        </w:rPr>
                      </w:pPr>
                      <w:r w:rsidRPr="00BC0FA1">
                        <w:rPr>
                          <w:rFonts w:ascii="Arial" w:hAnsi="Arial"/>
                          <w:position w:val="-18"/>
                          <w:sz w:val="15"/>
                          <w:szCs w:val="15"/>
                        </w:rPr>
                        <w:t xml:space="preserve"> Direct</w:t>
                      </w:r>
                      <w:r>
                        <w:rPr>
                          <w:rFonts w:ascii="Arial" w:hAnsi="Arial"/>
                          <w:position w:val="-18"/>
                          <w:sz w:val="15"/>
                          <w:szCs w:val="15"/>
                        </w:rPr>
                        <w:t>or-General: Ms Abigail Bradshaw</w:t>
                      </w:r>
                      <w:r w:rsidRPr="00BC0FA1">
                        <w:rPr>
                          <w:rFonts w:ascii="Arial" w:hAnsi="Arial"/>
                          <w:position w:val="-18"/>
                          <w:sz w:val="15"/>
                          <w:szCs w:val="15"/>
                        </w:rPr>
                        <w:t xml:space="preserve"> CSC</w:t>
                      </w:r>
                    </w:p>
                    <w:p w14:paraId="41B3CFDC" w14:textId="77777777" w:rsidR="00CA309D" w:rsidRPr="00BC0FA1" w:rsidRDefault="00CA309D" w:rsidP="00FC447A">
                      <w:pPr>
                        <w:spacing w:before="60" w:after="0"/>
                        <w:jc w:val="center"/>
                        <w:rPr>
                          <w:rFonts w:ascii="Arial" w:hAnsi="Arial"/>
                          <w:position w:val="-18"/>
                          <w:sz w:val="15"/>
                          <w:szCs w:val="15"/>
                        </w:rPr>
                      </w:pPr>
                      <w:r w:rsidRPr="00BC0FA1">
                        <w:rPr>
                          <w:rFonts w:ascii="Arial" w:hAnsi="Arial"/>
                          <w:b/>
                          <w:position w:val="-18"/>
                          <w:sz w:val="15"/>
                          <w:szCs w:val="15"/>
                        </w:rPr>
                        <w:t>Outcome 1</w:t>
                      </w:r>
                      <w:r w:rsidRPr="00BC0FA1">
                        <w:rPr>
                          <w:rFonts w:ascii="Arial" w:hAnsi="Arial"/>
                          <w:position w:val="-18"/>
                          <w:sz w:val="15"/>
                          <w:szCs w:val="15"/>
                        </w:rPr>
                        <w:t xml:space="preserve">: Defend Australia from global threats and advance our national interests through the provision of </w:t>
                      </w:r>
                      <w:r>
                        <w:rPr>
                          <w:rFonts w:ascii="Arial" w:hAnsi="Arial"/>
                          <w:position w:val="-18"/>
                          <w:sz w:val="15"/>
                          <w:szCs w:val="15"/>
                        </w:rPr>
                        <w:br/>
                      </w:r>
                      <w:r w:rsidRPr="00BC0FA1">
                        <w:rPr>
                          <w:rFonts w:ascii="Arial" w:hAnsi="Arial"/>
                          <w:position w:val="-18"/>
                          <w:sz w:val="15"/>
                          <w:szCs w:val="15"/>
                        </w:rPr>
                        <w:t>foreign signals intelligence, cyber security and offensive cyber operations, as directed by Government.</w:t>
                      </w:r>
                    </w:p>
                    <w:p w14:paraId="2A3A0D4E" w14:textId="77777777" w:rsidR="00CA309D" w:rsidRPr="00BC0FA1" w:rsidRDefault="00CA309D" w:rsidP="00FC447A">
                      <w:pPr>
                        <w:rPr>
                          <w:sz w:val="15"/>
                          <w:szCs w:val="15"/>
                        </w:rPr>
                      </w:pPr>
                    </w:p>
                  </w:txbxContent>
                </v:textbox>
              </v:shape>
            </w:pict>
          </mc:Fallback>
        </mc:AlternateContent>
      </w:r>
    </w:p>
    <w:p w14:paraId="0419540B" w14:textId="77777777" w:rsidR="00FC447A" w:rsidRPr="003E76E7" w:rsidRDefault="00FC447A" w:rsidP="00C4292D">
      <w:pPr>
        <w:rPr>
          <w:lang w:val="en-AU"/>
        </w:rPr>
      </w:pPr>
    </w:p>
    <w:p w14:paraId="5AB9CBA3" w14:textId="77777777" w:rsidR="00FC447A" w:rsidRPr="003E76E7" w:rsidRDefault="00FC447A" w:rsidP="00C4292D">
      <w:pPr>
        <w:rPr>
          <w:lang w:val="en-AU"/>
        </w:rPr>
      </w:pPr>
      <w:r w:rsidRPr="003E76E7">
        <w:rPr>
          <w:noProof/>
          <w:lang w:val="en-AU"/>
        </w:rPr>
        <mc:AlternateContent>
          <mc:Choice Requires="wps">
            <w:drawing>
              <wp:anchor distT="0" distB="0" distL="114300" distR="114300" simplePos="0" relativeHeight="251733504" behindDoc="0" locked="0" layoutInCell="1" allowOverlap="1" wp14:anchorId="5D04BDC4" wp14:editId="2070A7FC">
                <wp:simplePos x="0" y="0"/>
                <wp:positionH relativeFrom="column">
                  <wp:posOffset>109855</wp:posOffset>
                </wp:positionH>
                <wp:positionV relativeFrom="paragraph">
                  <wp:posOffset>217170</wp:posOffset>
                </wp:positionV>
                <wp:extent cx="5255895" cy="696595"/>
                <wp:effectExtent l="13335" t="12700" r="7620" b="5080"/>
                <wp:wrapNone/>
                <wp:docPr id="612"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5895" cy="696595"/>
                        </a:xfrm>
                        <a:prstGeom prst="rect">
                          <a:avLst/>
                        </a:prstGeom>
                        <a:solidFill>
                          <a:srgbClr val="FFFFFF"/>
                        </a:solidFill>
                        <a:ln w="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01D2FC6" w14:textId="77777777" w:rsidR="00CA309D" w:rsidRPr="00BC0FA1" w:rsidRDefault="00CA309D" w:rsidP="00FC447A">
                            <w:pPr>
                              <w:spacing w:before="0" w:after="0"/>
                              <w:jc w:val="center"/>
                              <w:rPr>
                                <w:rFonts w:ascii="Arial" w:hAnsi="Arial"/>
                                <w:b/>
                                <w:position w:val="-18"/>
                                <w:sz w:val="15"/>
                                <w:szCs w:val="15"/>
                              </w:rPr>
                            </w:pPr>
                            <w:r w:rsidRPr="00BC0FA1">
                              <w:rPr>
                                <w:rFonts w:ascii="Arial" w:hAnsi="Arial"/>
                                <w:b/>
                                <w:position w:val="-18"/>
                                <w:sz w:val="15"/>
                                <w:szCs w:val="15"/>
                              </w:rPr>
                              <w:t>Australian Submarine Agency</w:t>
                            </w:r>
                          </w:p>
                          <w:p w14:paraId="4ABE6884" w14:textId="4BF389ED" w:rsidR="00CA309D" w:rsidRPr="00BC0FA1" w:rsidRDefault="00CA309D" w:rsidP="00FC447A">
                            <w:pPr>
                              <w:spacing w:before="0" w:after="0"/>
                              <w:jc w:val="center"/>
                              <w:rPr>
                                <w:rFonts w:ascii="Arial" w:hAnsi="Arial"/>
                                <w:position w:val="-18"/>
                                <w:sz w:val="15"/>
                                <w:szCs w:val="15"/>
                              </w:rPr>
                            </w:pPr>
                            <w:r w:rsidRPr="00BC0FA1">
                              <w:rPr>
                                <w:rFonts w:ascii="Arial" w:hAnsi="Arial"/>
                                <w:position w:val="-18"/>
                                <w:sz w:val="15"/>
                                <w:szCs w:val="15"/>
                              </w:rPr>
                              <w:t xml:space="preserve">Director-General: </w:t>
                            </w:r>
                            <w:r>
                              <w:rPr>
                                <w:rFonts w:ascii="Arial" w:hAnsi="Arial"/>
                                <w:position w:val="-18"/>
                                <w:sz w:val="15"/>
                                <w:szCs w:val="15"/>
                              </w:rPr>
                              <w:t>Vice Admiral Jonathan Mead AO</w:t>
                            </w:r>
                            <w:r w:rsidRPr="00BC0FA1">
                              <w:rPr>
                                <w:rFonts w:ascii="Arial" w:hAnsi="Arial"/>
                                <w:position w:val="-18"/>
                                <w:sz w:val="15"/>
                                <w:szCs w:val="15"/>
                              </w:rPr>
                              <w:t xml:space="preserve"> RAN</w:t>
                            </w:r>
                          </w:p>
                          <w:p w14:paraId="05BC6287" w14:textId="265CFB79" w:rsidR="00CA309D" w:rsidRPr="00BC0FA1" w:rsidRDefault="00CA309D" w:rsidP="00FC447A">
                            <w:pPr>
                              <w:spacing w:before="60" w:after="0"/>
                              <w:jc w:val="center"/>
                              <w:rPr>
                                <w:rFonts w:ascii="Arial" w:hAnsi="Arial"/>
                                <w:position w:val="-18"/>
                                <w:sz w:val="15"/>
                                <w:szCs w:val="15"/>
                              </w:rPr>
                            </w:pPr>
                            <w:r w:rsidRPr="00BC0FA1">
                              <w:rPr>
                                <w:rFonts w:ascii="Arial" w:hAnsi="Arial"/>
                                <w:b/>
                                <w:position w:val="-18"/>
                                <w:sz w:val="15"/>
                                <w:szCs w:val="15"/>
                              </w:rPr>
                              <w:t>Outcome 1</w:t>
                            </w:r>
                            <w:r w:rsidRPr="00BC0FA1">
                              <w:rPr>
                                <w:rFonts w:ascii="Arial" w:hAnsi="Arial"/>
                                <w:position w:val="-18"/>
                                <w:sz w:val="15"/>
                                <w:szCs w:val="15"/>
                              </w:rPr>
                              <w:t xml:space="preserve">: Safely and securely acquire, construct, deliver, technically govern, sustain and dispose of </w:t>
                            </w:r>
                            <w:r>
                              <w:rPr>
                                <w:rFonts w:ascii="Arial" w:hAnsi="Arial"/>
                                <w:position w:val="-18"/>
                                <w:sz w:val="15"/>
                                <w:szCs w:val="15"/>
                              </w:rPr>
                              <w:br/>
                            </w:r>
                            <w:r w:rsidRPr="00BC0FA1">
                              <w:rPr>
                                <w:rFonts w:ascii="Arial" w:hAnsi="Arial"/>
                                <w:position w:val="-18"/>
                                <w:sz w:val="15"/>
                                <w:szCs w:val="15"/>
                              </w:rPr>
                              <w:t xml:space="preserve">Australia’s conventionally-armed, nuclear-powered submarine capability, </w:t>
                            </w:r>
                            <w:r>
                              <w:rPr>
                                <w:rFonts w:ascii="Arial" w:hAnsi="Arial"/>
                                <w:position w:val="-18"/>
                                <w:sz w:val="15"/>
                                <w:szCs w:val="15"/>
                              </w:rPr>
                              <w:t>through</w:t>
                            </w:r>
                            <w:r w:rsidRPr="00BC0FA1">
                              <w:rPr>
                                <w:rFonts w:ascii="Arial" w:hAnsi="Arial"/>
                                <w:position w:val="-18"/>
                                <w:sz w:val="15"/>
                                <w:szCs w:val="15"/>
                              </w:rPr>
                              <w:t xml:space="preserve"> the AUKUS partnership.</w:t>
                            </w:r>
                          </w:p>
                          <w:p w14:paraId="271C8EF7" w14:textId="77777777" w:rsidR="00CA309D" w:rsidRPr="00BC0FA1" w:rsidRDefault="00CA309D" w:rsidP="00FC447A">
                            <w:pPr>
                              <w:rPr>
                                <w:sz w:val="15"/>
                                <w:szCs w:val="15"/>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4BDC4" id="Text Box 538" o:spid="_x0000_s1040" type="#_x0000_t202" style="position:absolute;margin-left:8.65pt;margin-top:17.1pt;width:413.85pt;height:54.8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" strokeweight="0">
                <v:textbox>
                  <w:txbxContent>
                    <w:p w14:paraId="101D2FC6" w14:textId="77777777" w:rsidR="00CA309D" w:rsidRPr="00BC0FA1" w:rsidRDefault="00CA309D" w:rsidP="00FC447A">
                      <w:pPr>
                        <w:spacing w:before="0" w:after="0"/>
                        <w:jc w:val="center"/>
                        <w:rPr>
                          <w:rFonts w:ascii="Arial" w:hAnsi="Arial"/>
                          <w:b/>
                          <w:position w:val="-18"/>
                          <w:sz w:val="15"/>
                          <w:szCs w:val="15"/>
                        </w:rPr>
                      </w:pPr>
                      <w:r w:rsidRPr="00BC0FA1">
                        <w:rPr>
                          <w:rFonts w:ascii="Arial" w:hAnsi="Arial"/>
                          <w:b/>
                          <w:position w:val="-18"/>
                          <w:sz w:val="15"/>
                          <w:szCs w:val="15"/>
                        </w:rPr>
                        <w:t>Australian Submarine Agency</w:t>
                      </w:r>
                    </w:p>
                    <w:p w14:paraId="4ABE6884" w14:textId="4BF389ED" w:rsidR="00CA309D" w:rsidRPr="00BC0FA1" w:rsidRDefault="00CA309D" w:rsidP="00FC447A">
                      <w:pPr>
                        <w:spacing w:before="0" w:after="0"/>
                        <w:jc w:val="center"/>
                        <w:rPr>
                          <w:rFonts w:ascii="Arial" w:hAnsi="Arial"/>
                          <w:position w:val="-18"/>
                          <w:sz w:val="15"/>
                          <w:szCs w:val="15"/>
                        </w:rPr>
                      </w:pPr>
                      <w:r w:rsidRPr="00BC0FA1">
                        <w:rPr>
                          <w:rFonts w:ascii="Arial" w:hAnsi="Arial"/>
                          <w:position w:val="-18"/>
                          <w:sz w:val="15"/>
                          <w:szCs w:val="15"/>
                        </w:rPr>
                        <w:t xml:space="preserve">Director-General: </w:t>
                      </w:r>
                      <w:r>
                        <w:rPr>
                          <w:rFonts w:ascii="Arial" w:hAnsi="Arial"/>
                          <w:position w:val="-18"/>
                          <w:sz w:val="15"/>
                          <w:szCs w:val="15"/>
                        </w:rPr>
                        <w:t>Vice Admiral Jonathan Mead AO</w:t>
                      </w:r>
                      <w:r w:rsidRPr="00BC0FA1">
                        <w:rPr>
                          <w:rFonts w:ascii="Arial" w:hAnsi="Arial"/>
                          <w:position w:val="-18"/>
                          <w:sz w:val="15"/>
                          <w:szCs w:val="15"/>
                        </w:rPr>
                        <w:t xml:space="preserve"> RAN</w:t>
                      </w:r>
                    </w:p>
                    <w:p w14:paraId="05BC6287" w14:textId="265CFB79" w:rsidR="00CA309D" w:rsidRPr="00BC0FA1" w:rsidRDefault="00CA309D" w:rsidP="00FC447A">
                      <w:pPr>
                        <w:spacing w:before="60" w:after="0"/>
                        <w:jc w:val="center"/>
                        <w:rPr>
                          <w:rFonts w:ascii="Arial" w:hAnsi="Arial"/>
                          <w:position w:val="-18"/>
                          <w:sz w:val="15"/>
                          <w:szCs w:val="15"/>
                        </w:rPr>
                      </w:pPr>
                      <w:r w:rsidRPr="00BC0FA1">
                        <w:rPr>
                          <w:rFonts w:ascii="Arial" w:hAnsi="Arial"/>
                          <w:b/>
                          <w:position w:val="-18"/>
                          <w:sz w:val="15"/>
                          <w:szCs w:val="15"/>
                        </w:rPr>
                        <w:t>Outcome 1</w:t>
                      </w:r>
                      <w:r w:rsidRPr="00BC0FA1">
                        <w:rPr>
                          <w:rFonts w:ascii="Arial" w:hAnsi="Arial"/>
                          <w:position w:val="-18"/>
                          <w:sz w:val="15"/>
                          <w:szCs w:val="15"/>
                        </w:rPr>
                        <w:t xml:space="preserve">: Safely and securely acquire, construct, deliver, technically govern, sustain and dispose of </w:t>
                      </w:r>
                      <w:r>
                        <w:rPr>
                          <w:rFonts w:ascii="Arial" w:hAnsi="Arial"/>
                          <w:position w:val="-18"/>
                          <w:sz w:val="15"/>
                          <w:szCs w:val="15"/>
                        </w:rPr>
                        <w:br/>
                      </w:r>
                      <w:r w:rsidRPr="00BC0FA1">
                        <w:rPr>
                          <w:rFonts w:ascii="Arial" w:hAnsi="Arial"/>
                          <w:position w:val="-18"/>
                          <w:sz w:val="15"/>
                          <w:szCs w:val="15"/>
                        </w:rPr>
                        <w:t xml:space="preserve">Australia’s conventionally-armed, nuclear-powered submarine capability, </w:t>
                      </w:r>
                      <w:r>
                        <w:rPr>
                          <w:rFonts w:ascii="Arial" w:hAnsi="Arial"/>
                          <w:position w:val="-18"/>
                          <w:sz w:val="15"/>
                          <w:szCs w:val="15"/>
                        </w:rPr>
                        <w:t>through</w:t>
                      </w:r>
                      <w:r w:rsidRPr="00BC0FA1">
                        <w:rPr>
                          <w:rFonts w:ascii="Arial" w:hAnsi="Arial"/>
                          <w:position w:val="-18"/>
                          <w:sz w:val="15"/>
                          <w:szCs w:val="15"/>
                        </w:rPr>
                        <w:t xml:space="preserve"> the AUKUS partnership.</w:t>
                      </w:r>
                    </w:p>
                    <w:p w14:paraId="271C8EF7" w14:textId="77777777" w:rsidR="00CA309D" w:rsidRPr="00BC0FA1" w:rsidRDefault="00CA309D" w:rsidP="00FC447A">
                      <w:pPr>
                        <w:rPr>
                          <w:sz w:val="15"/>
                          <w:szCs w:val="15"/>
                        </w:rPr>
                      </w:pPr>
                    </w:p>
                  </w:txbxContent>
                </v:textbox>
              </v:shape>
            </w:pict>
          </mc:Fallback>
        </mc:AlternateContent>
      </w:r>
    </w:p>
    <w:p w14:paraId="24C61B69" w14:textId="77777777" w:rsidR="00FC447A" w:rsidRPr="003E76E7" w:rsidRDefault="00FC447A" w:rsidP="00C4292D">
      <w:pPr>
        <w:rPr>
          <w:lang w:val="en-AU"/>
        </w:rPr>
      </w:pPr>
    </w:p>
    <w:p w14:paraId="5F1653E6" w14:textId="77777777" w:rsidR="00FC447A" w:rsidRPr="003E76E7" w:rsidRDefault="00FC447A" w:rsidP="00C4292D">
      <w:pPr>
        <w:rPr>
          <w:lang w:val="en-AU"/>
        </w:rPr>
      </w:pPr>
    </w:p>
    <w:p w14:paraId="769D86B4" w14:textId="77777777" w:rsidR="00FC447A" w:rsidRPr="003E76E7" w:rsidRDefault="00FC447A" w:rsidP="00C4292D">
      <w:pPr>
        <w:rPr>
          <w:lang w:val="en-AU"/>
        </w:rPr>
      </w:pPr>
      <w:r w:rsidRPr="003E76E7">
        <w:rPr>
          <w:noProof/>
          <w:lang w:val="en-AU"/>
        </w:rPr>
        <mc:AlternateContent>
          <mc:Choice Requires="wps">
            <w:drawing>
              <wp:anchor distT="0" distB="0" distL="114300" distR="114300" simplePos="0" relativeHeight="251734528" behindDoc="0" locked="0" layoutInCell="1" allowOverlap="1" wp14:anchorId="4BCB92C2" wp14:editId="41597880">
                <wp:simplePos x="0" y="0"/>
                <wp:positionH relativeFrom="column">
                  <wp:posOffset>114935</wp:posOffset>
                </wp:positionH>
                <wp:positionV relativeFrom="paragraph">
                  <wp:posOffset>5715</wp:posOffset>
                </wp:positionV>
                <wp:extent cx="5255895" cy="713105"/>
                <wp:effectExtent l="8890" t="8255" r="12065" b="12065"/>
                <wp:wrapNone/>
                <wp:docPr id="611"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5895" cy="713105"/>
                        </a:xfrm>
                        <a:prstGeom prst="rect">
                          <a:avLst/>
                        </a:prstGeom>
                        <a:solidFill>
                          <a:srgbClr val="FFFFFF"/>
                        </a:solidFill>
                        <a:ln w="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DA55CDF" w14:textId="77777777" w:rsidR="00CA309D" w:rsidRPr="00BC0FA1" w:rsidRDefault="00CA309D" w:rsidP="00FC447A">
                            <w:pPr>
                              <w:spacing w:before="0" w:after="0"/>
                              <w:jc w:val="center"/>
                              <w:rPr>
                                <w:rFonts w:ascii="Arial" w:hAnsi="Arial"/>
                                <w:b/>
                                <w:position w:val="-18"/>
                                <w:sz w:val="15"/>
                                <w:szCs w:val="15"/>
                              </w:rPr>
                            </w:pPr>
                            <w:r w:rsidRPr="00BC0FA1">
                              <w:rPr>
                                <w:rFonts w:ascii="Arial" w:hAnsi="Arial"/>
                                <w:b/>
                                <w:position w:val="-18"/>
                                <w:sz w:val="15"/>
                                <w:szCs w:val="15"/>
                              </w:rPr>
                              <w:t>Defence Housing Australia</w:t>
                            </w:r>
                          </w:p>
                          <w:p w14:paraId="1BE880E6" w14:textId="77777777" w:rsidR="00CA309D" w:rsidRPr="00BC0FA1" w:rsidRDefault="00CA309D" w:rsidP="00FC447A">
                            <w:pPr>
                              <w:spacing w:before="60" w:after="0"/>
                              <w:jc w:val="center"/>
                              <w:rPr>
                                <w:rFonts w:ascii="Arial" w:hAnsi="Arial"/>
                                <w:position w:val="-18"/>
                                <w:sz w:val="15"/>
                                <w:szCs w:val="15"/>
                              </w:rPr>
                            </w:pPr>
                            <w:r w:rsidRPr="00BC0FA1">
                              <w:rPr>
                                <w:rFonts w:ascii="Arial" w:hAnsi="Arial"/>
                                <w:position w:val="-18"/>
                                <w:sz w:val="15"/>
                                <w:szCs w:val="15"/>
                              </w:rPr>
                              <w:t xml:space="preserve">Managing Director: Mr </w:t>
                            </w:r>
                            <w:r>
                              <w:rPr>
                                <w:rFonts w:ascii="Arial" w:hAnsi="Arial"/>
                                <w:position w:val="-18"/>
                                <w:sz w:val="15"/>
                                <w:szCs w:val="15"/>
                              </w:rPr>
                              <w:t>Andrew Jaggers PSM</w:t>
                            </w:r>
                          </w:p>
                          <w:p w14:paraId="41A5BFA3" w14:textId="77777777" w:rsidR="00CA309D" w:rsidRPr="00BC0FA1" w:rsidRDefault="00CA309D" w:rsidP="00FC447A">
                            <w:pPr>
                              <w:spacing w:before="60" w:after="0"/>
                              <w:jc w:val="center"/>
                              <w:rPr>
                                <w:rFonts w:ascii="Arial" w:hAnsi="Arial"/>
                                <w:position w:val="-18"/>
                                <w:sz w:val="15"/>
                                <w:szCs w:val="15"/>
                              </w:rPr>
                            </w:pPr>
                            <w:r w:rsidRPr="00BC0FA1">
                              <w:rPr>
                                <w:rFonts w:ascii="Arial" w:hAnsi="Arial"/>
                                <w:b/>
                                <w:position w:val="-18"/>
                                <w:sz w:val="15"/>
                                <w:szCs w:val="15"/>
                              </w:rPr>
                              <w:t>Outcome 1</w:t>
                            </w:r>
                            <w:r w:rsidRPr="00BC0FA1">
                              <w:rPr>
                                <w:rFonts w:ascii="Arial" w:hAnsi="Arial"/>
                                <w:position w:val="-18"/>
                                <w:sz w:val="15"/>
                                <w:szCs w:val="15"/>
                              </w:rPr>
                              <w:t xml:space="preserve">: To contribute to Defence outcomes by providing total housing services that meet Defence </w:t>
                            </w:r>
                            <w:r>
                              <w:rPr>
                                <w:rFonts w:ascii="Arial" w:hAnsi="Arial"/>
                                <w:position w:val="-18"/>
                                <w:sz w:val="15"/>
                                <w:szCs w:val="15"/>
                              </w:rPr>
                              <w:br/>
                            </w:r>
                            <w:r w:rsidRPr="00BC0FA1">
                              <w:rPr>
                                <w:rFonts w:ascii="Arial" w:hAnsi="Arial"/>
                                <w:position w:val="-18"/>
                                <w:sz w:val="15"/>
                                <w:szCs w:val="15"/>
                              </w:rPr>
                              <w:t>operational and client needs through a strong customer and business focus.</w:t>
                            </w:r>
                          </w:p>
                          <w:p w14:paraId="0EB5A004" w14:textId="77777777" w:rsidR="00CA309D" w:rsidRPr="00BC0FA1" w:rsidRDefault="00CA309D" w:rsidP="00FC447A">
                            <w:pPr>
                              <w:rPr>
                                <w:sz w:val="15"/>
                                <w:szCs w:val="15"/>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B92C2" id="Text Box 534" o:spid="_x0000_s1041" type="#_x0000_t202" style="position:absolute;margin-left:9.05pt;margin-top:.45pt;width:413.85pt;height:56.1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" strokeweight="0">
                <v:textbox>
                  <w:txbxContent>
                    <w:p w14:paraId="0DA55CDF" w14:textId="77777777" w:rsidR="00CA309D" w:rsidRPr="00BC0FA1" w:rsidRDefault="00CA309D" w:rsidP="00FC447A">
                      <w:pPr>
                        <w:spacing w:before="0" w:after="0"/>
                        <w:jc w:val="center"/>
                        <w:rPr>
                          <w:rFonts w:ascii="Arial" w:hAnsi="Arial"/>
                          <w:b/>
                          <w:position w:val="-18"/>
                          <w:sz w:val="15"/>
                          <w:szCs w:val="15"/>
                        </w:rPr>
                      </w:pPr>
                      <w:r w:rsidRPr="00BC0FA1">
                        <w:rPr>
                          <w:rFonts w:ascii="Arial" w:hAnsi="Arial"/>
                          <w:b/>
                          <w:position w:val="-18"/>
                          <w:sz w:val="15"/>
                          <w:szCs w:val="15"/>
                        </w:rPr>
                        <w:t>Defence Housing Australia</w:t>
                      </w:r>
                    </w:p>
                    <w:p w14:paraId="1BE880E6" w14:textId="77777777" w:rsidR="00CA309D" w:rsidRPr="00BC0FA1" w:rsidRDefault="00CA309D" w:rsidP="00FC447A">
                      <w:pPr>
                        <w:spacing w:before="60" w:after="0"/>
                        <w:jc w:val="center"/>
                        <w:rPr>
                          <w:rFonts w:ascii="Arial" w:hAnsi="Arial"/>
                          <w:position w:val="-18"/>
                          <w:sz w:val="15"/>
                          <w:szCs w:val="15"/>
                        </w:rPr>
                      </w:pPr>
                      <w:r w:rsidRPr="00BC0FA1">
                        <w:rPr>
                          <w:rFonts w:ascii="Arial" w:hAnsi="Arial"/>
                          <w:position w:val="-18"/>
                          <w:sz w:val="15"/>
                          <w:szCs w:val="15"/>
                        </w:rPr>
                        <w:t xml:space="preserve">Managing Director: Mr </w:t>
                      </w:r>
                      <w:r>
                        <w:rPr>
                          <w:rFonts w:ascii="Arial" w:hAnsi="Arial"/>
                          <w:position w:val="-18"/>
                          <w:sz w:val="15"/>
                          <w:szCs w:val="15"/>
                        </w:rPr>
                        <w:t>Andrew Jaggers PSM</w:t>
                      </w:r>
                    </w:p>
                    <w:p w14:paraId="41A5BFA3" w14:textId="77777777" w:rsidR="00CA309D" w:rsidRPr="00BC0FA1" w:rsidRDefault="00CA309D" w:rsidP="00FC447A">
                      <w:pPr>
                        <w:spacing w:before="60" w:after="0"/>
                        <w:jc w:val="center"/>
                        <w:rPr>
                          <w:rFonts w:ascii="Arial" w:hAnsi="Arial"/>
                          <w:position w:val="-18"/>
                          <w:sz w:val="15"/>
                          <w:szCs w:val="15"/>
                        </w:rPr>
                      </w:pPr>
                      <w:r w:rsidRPr="00BC0FA1">
                        <w:rPr>
                          <w:rFonts w:ascii="Arial" w:hAnsi="Arial"/>
                          <w:b/>
                          <w:position w:val="-18"/>
                          <w:sz w:val="15"/>
                          <w:szCs w:val="15"/>
                        </w:rPr>
                        <w:t>Outcome 1</w:t>
                      </w:r>
                      <w:r w:rsidRPr="00BC0FA1">
                        <w:rPr>
                          <w:rFonts w:ascii="Arial" w:hAnsi="Arial"/>
                          <w:position w:val="-18"/>
                          <w:sz w:val="15"/>
                          <w:szCs w:val="15"/>
                        </w:rPr>
                        <w:t xml:space="preserve">: To contribute to Defence outcomes by providing total housing services that meet Defence </w:t>
                      </w:r>
                      <w:r>
                        <w:rPr>
                          <w:rFonts w:ascii="Arial" w:hAnsi="Arial"/>
                          <w:position w:val="-18"/>
                          <w:sz w:val="15"/>
                          <w:szCs w:val="15"/>
                        </w:rPr>
                        <w:br/>
                      </w:r>
                      <w:r w:rsidRPr="00BC0FA1">
                        <w:rPr>
                          <w:rFonts w:ascii="Arial" w:hAnsi="Arial"/>
                          <w:position w:val="-18"/>
                          <w:sz w:val="15"/>
                          <w:szCs w:val="15"/>
                        </w:rPr>
                        <w:t>operational and client needs through a strong customer and business focus.</w:t>
                      </w:r>
                    </w:p>
                    <w:p w14:paraId="0EB5A004" w14:textId="77777777" w:rsidR="00CA309D" w:rsidRPr="00BC0FA1" w:rsidRDefault="00CA309D" w:rsidP="00FC447A">
                      <w:pPr>
                        <w:rPr>
                          <w:sz w:val="15"/>
                          <w:szCs w:val="15"/>
                        </w:rPr>
                      </w:pPr>
                    </w:p>
                  </w:txbxContent>
                </v:textbox>
              </v:shape>
            </w:pict>
          </mc:Fallback>
        </mc:AlternateContent>
      </w:r>
    </w:p>
    <w:p w14:paraId="144593AA" w14:textId="77777777" w:rsidR="00FC447A" w:rsidRPr="003E76E7" w:rsidRDefault="00FC447A" w:rsidP="00C4292D">
      <w:pPr>
        <w:rPr>
          <w:lang w:val="en-AU"/>
        </w:rPr>
      </w:pPr>
    </w:p>
    <w:p w14:paraId="4C3EA65E" w14:textId="77777777" w:rsidR="00FC447A" w:rsidRPr="003E76E7" w:rsidRDefault="00FC447A" w:rsidP="00C4292D">
      <w:pPr>
        <w:spacing w:after="240"/>
        <w:rPr>
          <w:lang w:val="en-AU"/>
        </w:rPr>
      </w:pPr>
      <w:r w:rsidRPr="003E76E7">
        <w:rPr>
          <w:noProof/>
          <w:lang w:val="en-AU"/>
        </w:rPr>
        <mc:AlternateContent>
          <mc:Choice Requires="wps">
            <w:drawing>
              <wp:anchor distT="0" distB="0" distL="114300" distR="114300" simplePos="0" relativeHeight="251738624" behindDoc="0" locked="0" layoutInCell="1" allowOverlap="1" wp14:anchorId="6FCA1E46" wp14:editId="056651B6">
                <wp:simplePos x="0" y="0"/>
                <wp:positionH relativeFrom="column">
                  <wp:posOffset>110490</wp:posOffset>
                </wp:positionH>
                <wp:positionV relativeFrom="paragraph">
                  <wp:posOffset>104775</wp:posOffset>
                </wp:positionV>
                <wp:extent cx="5255895" cy="766445"/>
                <wp:effectExtent l="13970" t="10160" r="6985" b="13970"/>
                <wp:wrapNone/>
                <wp:docPr id="610"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5895" cy="766445"/>
                        </a:xfrm>
                        <a:prstGeom prst="rect">
                          <a:avLst/>
                        </a:prstGeom>
                        <a:solidFill>
                          <a:srgbClr val="FFFFFF"/>
                        </a:solidFill>
                        <a:ln w="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8C87E16" w14:textId="77777777" w:rsidR="00CA309D" w:rsidRDefault="00CA309D" w:rsidP="00FC447A">
                            <w:pPr>
                              <w:spacing w:before="0"/>
                              <w:jc w:val="center"/>
                              <w:rPr>
                                <w:rFonts w:ascii="Arial" w:hAnsi="Arial"/>
                                <w:b/>
                                <w:position w:val="-18"/>
                                <w:sz w:val="15"/>
                                <w:szCs w:val="15"/>
                              </w:rPr>
                            </w:pPr>
                            <w:r w:rsidRPr="00BC0FA1">
                              <w:rPr>
                                <w:rFonts w:ascii="Arial" w:hAnsi="Arial"/>
                                <w:b/>
                                <w:position w:val="-18"/>
                                <w:sz w:val="15"/>
                                <w:szCs w:val="15"/>
                              </w:rPr>
                              <w:t>Australian Naval Nuclear Power Safety Regulator</w:t>
                            </w:r>
                          </w:p>
                          <w:p w14:paraId="6E99FA84" w14:textId="77777777" w:rsidR="00CA309D" w:rsidRPr="00BC0FA1" w:rsidRDefault="00CA309D" w:rsidP="00FC447A">
                            <w:pPr>
                              <w:spacing w:before="0"/>
                              <w:jc w:val="center"/>
                              <w:rPr>
                                <w:rFonts w:ascii="Arial" w:hAnsi="Arial"/>
                                <w:position w:val="-18"/>
                                <w:sz w:val="15"/>
                                <w:szCs w:val="15"/>
                              </w:rPr>
                            </w:pPr>
                            <w:r w:rsidRPr="00BC0FA1">
                              <w:rPr>
                                <w:rFonts w:ascii="Arial" w:hAnsi="Arial"/>
                                <w:position w:val="-18"/>
                                <w:sz w:val="15"/>
                                <w:szCs w:val="15"/>
                              </w:rPr>
                              <w:t>Director-General: Mr Michael Drake</w:t>
                            </w:r>
                          </w:p>
                          <w:p w14:paraId="242C82B4" w14:textId="0FCD6587" w:rsidR="00CA309D" w:rsidRPr="00BC0FA1" w:rsidRDefault="00CA309D" w:rsidP="00FC447A">
                            <w:pPr>
                              <w:spacing w:before="0" w:after="0"/>
                              <w:jc w:val="center"/>
                              <w:rPr>
                                <w:sz w:val="15"/>
                                <w:szCs w:val="15"/>
                              </w:rPr>
                            </w:pPr>
                            <w:r w:rsidRPr="00BC0FA1">
                              <w:rPr>
                                <w:rFonts w:ascii="Arial" w:hAnsi="Arial"/>
                                <w:b/>
                                <w:position w:val="-18"/>
                                <w:sz w:val="15"/>
                                <w:szCs w:val="15"/>
                              </w:rPr>
                              <w:t>Outcome 1</w:t>
                            </w:r>
                            <w:r w:rsidRPr="00BC0FA1">
                              <w:rPr>
                                <w:rFonts w:ascii="Arial" w:hAnsi="Arial"/>
                                <w:position w:val="-18"/>
                                <w:sz w:val="15"/>
                                <w:szCs w:val="15"/>
                              </w:rPr>
                              <w:t xml:space="preserve">: </w:t>
                            </w:r>
                            <w:r>
                              <w:rPr>
                                <w:rFonts w:ascii="Arial" w:hAnsi="Arial"/>
                                <w:position w:val="-18"/>
                                <w:sz w:val="15"/>
                                <w:szCs w:val="15"/>
                              </w:rPr>
                              <w:t xml:space="preserve">Assure the protection of people and the environment and the regulation of naval nuclear power </w:t>
                            </w:r>
                            <w:r>
                              <w:rPr>
                                <w:rFonts w:ascii="Arial" w:hAnsi="Arial"/>
                                <w:position w:val="-18"/>
                                <w:sz w:val="15"/>
                                <w:szCs w:val="15"/>
                              </w:rPr>
                              <w:br/>
                              <w:t xml:space="preserve">activities across the lifecycle of Australia’s </w:t>
                            </w:r>
                            <w:r w:rsidRPr="00BC0FA1">
                              <w:rPr>
                                <w:rFonts w:ascii="Arial" w:hAnsi="Arial"/>
                                <w:position w:val="-18"/>
                                <w:sz w:val="15"/>
                                <w:szCs w:val="15"/>
                              </w:rPr>
                              <w:t>conventionally</w:t>
                            </w:r>
                            <w:r>
                              <w:rPr>
                                <w:rFonts w:ascii="Arial" w:hAnsi="Arial"/>
                                <w:position w:val="-18"/>
                                <w:sz w:val="15"/>
                                <w:szCs w:val="15"/>
                              </w:rPr>
                              <w:t>-armed, nuclear-powered submarine capability.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A1E46" id="_x0000_s1042" type="#_x0000_t202" style="position:absolute;margin-left:8.7pt;margin-top:8.25pt;width:413.85pt;height:60.3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" strokeweight="0">
                <v:textbox>
                  <w:txbxContent>
                    <w:p w14:paraId="68C87E16" w14:textId="77777777" w:rsidR="00CA309D" w:rsidRDefault="00CA309D" w:rsidP="00FC447A">
                      <w:pPr>
                        <w:spacing w:before="0"/>
                        <w:jc w:val="center"/>
                        <w:rPr>
                          <w:rFonts w:ascii="Arial" w:hAnsi="Arial"/>
                          <w:b/>
                          <w:position w:val="-18"/>
                          <w:sz w:val="15"/>
                          <w:szCs w:val="15"/>
                        </w:rPr>
                      </w:pPr>
                      <w:r w:rsidRPr="00BC0FA1">
                        <w:rPr>
                          <w:rFonts w:ascii="Arial" w:hAnsi="Arial"/>
                          <w:b/>
                          <w:position w:val="-18"/>
                          <w:sz w:val="15"/>
                          <w:szCs w:val="15"/>
                        </w:rPr>
                        <w:t>Australian Naval Nuclear Power Safety Regulator</w:t>
                      </w:r>
                    </w:p>
                    <w:p w14:paraId="6E99FA84" w14:textId="77777777" w:rsidR="00CA309D" w:rsidRPr="00BC0FA1" w:rsidRDefault="00CA309D" w:rsidP="00FC447A">
                      <w:pPr>
                        <w:spacing w:before="0"/>
                        <w:jc w:val="center"/>
                        <w:rPr>
                          <w:rFonts w:ascii="Arial" w:hAnsi="Arial"/>
                          <w:position w:val="-18"/>
                          <w:sz w:val="15"/>
                          <w:szCs w:val="15"/>
                        </w:rPr>
                      </w:pPr>
                      <w:r w:rsidRPr="00BC0FA1">
                        <w:rPr>
                          <w:rFonts w:ascii="Arial" w:hAnsi="Arial"/>
                          <w:position w:val="-18"/>
                          <w:sz w:val="15"/>
                          <w:szCs w:val="15"/>
                        </w:rPr>
                        <w:t>Director-General: Mr Michael Drake</w:t>
                      </w:r>
                    </w:p>
                    <w:p w14:paraId="242C82B4" w14:textId="0FCD6587" w:rsidR="00CA309D" w:rsidRPr="00BC0FA1" w:rsidRDefault="00CA309D" w:rsidP="00FC447A">
                      <w:pPr>
                        <w:spacing w:before="0" w:after="0"/>
                        <w:jc w:val="center"/>
                        <w:rPr>
                          <w:sz w:val="15"/>
                          <w:szCs w:val="15"/>
                        </w:rPr>
                      </w:pPr>
                      <w:r w:rsidRPr="00BC0FA1">
                        <w:rPr>
                          <w:rFonts w:ascii="Arial" w:hAnsi="Arial"/>
                          <w:b/>
                          <w:position w:val="-18"/>
                          <w:sz w:val="15"/>
                          <w:szCs w:val="15"/>
                        </w:rPr>
                        <w:t>Outcome 1</w:t>
                      </w:r>
                      <w:r w:rsidRPr="00BC0FA1">
                        <w:rPr>
                          <w:rFonts w:ascii="Arial" w:hAnsi="Arial"/>
                          <w:position w:val="-18"/>
                          <w:sz w:val="15"/>
                          <w:szCs w:val="15"/>
                        </w:rPr>
                        <w:t xml:space="preserve">: </w:t>
                      </w:r>
                      <w:r>
                        <w:rPr>
                          <w:rFonts w:ascii="Arial" w:hAnsi="Arial"/>
                          <w:position w:val="-18"/>
                          <w:sz w:val="15"/>
                          <w:szCs w:val="15"/>
                        </w:rPr>
                        <w:t xml:space="preserve">Assure the protection of people and the environment and the regulation of naval nuclear power </w:t>
                      </w:r>
                      <w:r>
                        <w:rPr>
                          <w:rFonts w:ascii="Arial" w:hAnsi="Arial"/>
                          <w:position w:val="-18"/>
                          <w:sz w:val="15"/>
                          <w:szCs w:val="15"/>
                        </w:rPr>
                        <w:br/>
                        <w:t xml:space="preserve">activities across the lifecycle of Australia’s </w:t>
                      </w:r>
                      <w:r w:rsidRPr="00BC0FA1">
                        <w:rPr>
                          <w:rFonts w:ascii="Arial" w:hAnsi="Arial"/>
                          <w:position w:val="-18"/>
                          <w:sz w:val="15"/>
                          <w:szCs w:val="15"/>
                        </w:rPr>
                        <w:t>conventionally</w:t>
                      </w:r>
                      <w:r>
                        <w:rPr>
                          <w:rFonts w:ascii="Arial" w:hAnsi="Arial"/>
                          <w:position w:val="-18"/>
                          <w:sz w:val="15"/>
                          <w:szCs w:val="15"/>
                        </w:rPr>
                        <w:t>-armed, nuclear-powered submarine capability.</w:t>
                      </w:r>
                    </w:p>
                  </w:txbxContent>
                </v:textbox>
              </v:shape>
            </w:pict>
          </mc:Fallback>
        </mc:AlternateContent>
      </w:r>
    </w:p>
    <w:p w14:paraId="1A81342D" w14:textId="77777777" w:rsidR="00FC447A" w:rsidRPr="003E76E7" w:rsidRDefault="00FC447A" w:rsidP="00C4292D">
      <w:pPr>
        <w:spacing w:before="120"/>
        <w:rPr>
          <w:lang w:val="en-AU"/>
        </w:rPr>
      </w:pPr>
    </w:p>
    <w:p w14:paraId="69BB5585" w14:textId="77777777" w:rsidR="00FC447A" w:rsidRPr="003E76E7" w:rsidRDefault="00FC447A" w:rsidP="00C4292D">
      <w:pPr>
        <w:spacing w:before="120"/>
        <w:rPr>
          <w:lang w:val="en-AU"/>
        </w:rPr>
      </w:pPr>
      <w:r w:rsidRPr="003E76E7">
        <w:rPr>
          <w:noProof/>
          <w:lang w:val="en-AU"/>
        </w:rPr>
        <mc:AlternateContent>
          <mc:Choice Requires="wps">
            <w:drawing>
              <wp:anchor distT="0" distB="0" distL="114300" distR="114300" simplePos="0" relativeHeight="251741696" behindDoc="0" locked="0" layoutInCell="1" allowOverlap="1" wp14:anchorId="4D4FC3FA" wp14:editId="253BE253">
                <wp:simplePos x="0" y="0"/>
                <wp:positionH relativeFrom="column">
                  <wp:posOffset>115570</wp:posOffset>
                </wp:positionH>
                <wp:positionV relativeFrom="paragraph">
                  <wp:posOffset>170180</wp:posOffset>
                </wp:positionV>
                <wp:extent cx="5255895" cy="845820"/>
                <wp:effectExtent l="9525" t="13335" r="11430" b="7620"/>
                <wp:wrapNone/>
                <wp:docPr id="609"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5895" cy="845820"/>
                        </a:xfrm>
                        <a:prstGeom prst="rect">
                          <a:avLst/>
                        </a:prstGeom>
                        <a:solidFill>
                          <a:srgbClr val="FFFFFF"/>
                        </a:solidFill>
                        <a:ln w="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A9F0AD5" w14:textId="77777777" w:rsidR="00CA309D" w:rsidRPr="00BC0FA1" w:rsidRDefault="00CA309D" w:rsidP="00FC447A">
                            <w:pPr>
                              <w:spacing w:before="0" w:after="0"/>
                              <w:jc w:val="center"/>
                              <w:rPr>
                                <w:rFonts w:ascii="Arial" w:hAnsi="Arial"/>
                                <w:b/>
                                <w:position w:val="-18"/>
                                <w:sz w:val="15"/>
                                <w:szCs w:val="15"/>
                              </w:rPr>
                            </w:pPr>
                            <w:r w:rsidRPr="00BC0FA1">
                              <w:rPr>
                                <w:rFonts w:ascii="Arial" w:hAnsi="Arial"/>
                                <w:b/>
                                <w:position w:val="-18"/>
                                <w:sz w:val="15"/>
                                <w:szCs w:val="15"/>
                              </w:rPr>
                              <w:t>Defence and Veterans’ Service Commission</w:t>
                            </w:r>
                          </w:p>
                          <w:p w14:paraId="226F663F" w14:textId="77777777" w:rsidR="00CA309D" w:rsidRPr="00BC0FA1" w:rsidRDefault="00CA309D" w:rsidP="00FC447A">
                            <w:pPr>
                              <w:spacing w:before="60" w:after="0"/>
                              <w:jc w:val="center"/>
                              <w:rPr>
                                <w:rFonts w:ascii="Arial" w:hAnsi="Arial"/>
                                <w:position w:val="-18"/>
                                <w:sz w:val="15"/>
                                <w:szCs w:val="15"/>
                              </w:rPr>
                            </w:pPr>
                            <w:r w:rsidRPr="000B29FF">
                              <w:rPr>
                                <w:rFonts w:ascii="Arial" w:hAnsi="Arial"/>
                                <w:position w:val="-18"/>
                                <w:sz w:val="15"/>
                                <w:szCs w:val="15"/>
                              </w:rPr>
                              <w:t>Acting Commissioner: Ms Penny McKay</w:t>
                            </w:r>
                          </w:p>
                          <w:p w14:paraId="26B242B3" w14:textId="77777777" w:rsidR="00CA309D" w:rsidRPr="00BC0FA1" w:rsidRDefault="00CA309D" w:rsidP="00FC447A">
                            <w:pPr>
                              <w:spacing w:before="60" w:after="0"/>
                              <w:jc w:val="center"/>
                              <w:rPr>
                                <w:rFonts w:ascii="Arial" w:hAnsi="Arial"/>
                                <w:position w:val="-18"/>
                                <w:sz w:val="15"/>
                                <w:szCs w:val="15"/>
                              </w:rPr>
                            </w:pPr>
                            <w:r w:rsidRPr="00BC0FA1">
                              <w:rPr>
                                <w:rFonts w:ascii="Arial" w:hAnsi="Arial"/>
                                <w:b/>
                                <w:position w:val="-18"/>
                                <w:sz w:val="15"/>
                                <w:szCs w:val="15"/>
                              </w:rPr>
                              <w:t>Outcome 1</w:t>
                            </w:r>
                            <w:r w:rsidRPr="00BC0FA1">
                              <w:rPr>
                                <w:rFonts w:ascii="Arial" w:hAnsi="Arial"/>
                                <w:position w:val="-18"/>
                                <w:sz w:val="15"/>
                                <w:szCs w:val="15"/>
                              </w:rPr>
                              <w:t>: Improve suicide prevention and wellbeing outcomes for serving Australian Defence Force members and Veterans by providing independent oversight and evidence-based advice to the Australian Government and Parliament, including by monitoring, inquiring and reporting on reforms to systems affecting ADF members and Veterans.</w:t>
                            </w:r>
                          </w:p>
                          <w:p w14:paraId="1FB58F44" w14:textId="77777777" w:rsidR="00CA309D" w:rsidRPr="00BC0FA1" w:rsidRDefault="00CA309D" w:rsidP="00FC447A">
                            <w:pPr>
                              <w:rPr>
                                <w:sz w:val="15"/>
                                <w:szCs w:val="15"/>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FC3FA" id="_x0000_s1043" type="#_x0000_t202" style="position:absolute;margin-left:9.1pt;margin-top:13.4pt;width:413.85pt;height:66.6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" strokeweight="0">
                <v:textbox>
                  <w:txbxContent>
                    <w:p w14:paraId="5A9F0AD5" w14:textId="77777777" w:rsidR="00CA309D" w:rsidRPr="00BC0FA1" w:rsidRDefault="00CA309D" w:rsidP="00FC447A">
                      <w:pPr>
                        <w:spacing w:before="0" w:after="0"/>
                        <w:jc w:val="center"/>
                        <w:rPr>
                          <w:rFonts w:ascii="Arial" w:hAnsi="Arial"/>
                          <w:b/>
                          <w:position w:val="-18"/>
                          <w:sz w:val="15"/>
                          <w:szCs w:val="15"/>
                        </w:rPr>
                      </w:pPr>
                      <w:r w:rsidRPr="00BC0FA1">
                        <w:rPr>
                          <w:rFonts w:ascii="Arial" w:hAnsi="Arial"/>
                          <w:b/>
                          <w:position w:val="-18"/>
                          <w:sz w:val="15"/>
                          <w:szCs w:val="15"/>
                        </w:rPr>
                        <w:t>Defence and Veterans’ Service Commission</w:t>
                      </w:r>
                    </w:p>
                    <w:p w14:paraId="226F663F" w14:textId="77777777" w:rsidR="00CA309D" w:rsidRPr="00BC0FA1" w:rsidRDefault="00CA309D" w:rsidP="00FC447A">
                      <w:pPr>
                        <w:spacing w:before="60" w:after="0"/>
                        <w:jc w:val="center"/>
                        <w:rPr>
                          <w:rFonts w:ascii="Arial" w:hAnsi="Arial"/>
                          <w:position w:val="-18"/>
                          <w:sz w:val="15"/>
                          <w:szCs w:val="15"/>
                        </w:rPr>
                      </w:pPr>
                      <w:r w:rsidRPr="000B29FF">
                        <w:rPr>
                          <w:rFonts w:ascii="Arial" w:hAnsi="Arial"/>
                          <w:position w:val="-18"/>
                          <w:sz w:val="15"/>
                          <w:szCs w:val="15"/>
                        </w:rPr>
                        <w:t>Acting Commissioner: Ms Penny McKay</w:t>
                      </w:r>
                    </w:p>
                    <w:p w14:paraId="26B242B3" w14:textId="77777777" w:rsidR="00CA309D" w:rsidRPr="00BC0FA1" w:rsidRDefault="00CA309D" w:rsidP="00FC447A">
                      <w:pPr>
                        <w:spacing w:before="60" w:after="0"/>
                        <w:jc w:val="center"/>
                        <w:rPr>
                          <w:rFonts w:ascii="Arial" w:hAnsi="Arial"/>
                          <w:position w:val="-18"/>
                          <w:sz w:val="15"/>
                          <w:szCs w:val="15"/>
                        </w:rPr>
                      </w:pPr>
                      <w:r w:rsidRPr="00BC0FA1">
                        <w:rPr>
                          <w:rFonts w:ascii="Arial" w:hAnsi="Arial"/>
                          <w:b/>
                          <w:position w:val="-18"/>
                          <w:sz w:val="15"/>
                          <w:szCs w:val="15"/>
                        </w:rPr>
                        <w:t>Outcome 1</w:t>
                      </w:r>
                      <w:r w:rsidRPr="00BC0FA1">
                        <w:rPr>
                          <w:rFonts w:ascii="Arial" w:hAnsi="Arial"/>
                          <w:position w:val="-18"/>
                          <w:sz w:val="15"/>
                          <w:szCs w:val="15"/>
                        </w:rPr>
                        <w:t>: Improve suicide prevention and wellbeing outcomes for serving Australian Defence Force members and Veterans by providing independent oversight and evidence-based advice to the Australian Government and Parliament, including by monitoring, inquiring and reporting on reforms to systems affecting ADF members and Veterans.</w:t>
                      </w:r>
                    </w:p>
                    <w:p w14:paraId="1FB58F44" w14:textId="77777777" w:rsidR="00CA309D" w:rsidRPr="00BC0FA1" w:rsidRDefault="00CA309D" w:rsidP="00FC447A">
                      <w:pPr>
                        <w:rPr>
                          <w:sz w:val="15"/>
                          <w:szCs w:val="15"/>
                        </w:rPr>
                      </w:pPr>
                    </w:p>
                  </w:txbxContent>
                </v:textbox>
              </v:shape>
            </w:pict>
          </mc:Fallback>
        </mc:AlternateContent>
      </w:r>
    </w:p>
    <w:p w14:paraId="52CCD1D7" w14:textId="77777777" w:rsidR="00FC447A" w:rsidRPr="003E76E7" w:rsidRDefault="00FC447A" w:rsidP="00C4292D">
      <w:pPr>
        <w:spacing w:before="120"/>
        <w:rPr>
          <w:lang w:val="en-AU"/>
        </w:rPr>
      </w:pPr>
    </w:p>
    <w:p w14:paraId="169B0EFB" w14:textId="77777777" w:rsidR="00FC447A" w:rsidRPr="003E76E7" w:rsidRDefault="00FC447A" w:rsidP="00C4292D">
      <w:pPr>
        <w:spacing w:before="120"/>
        <w:rPr>
          <w:lang w:val="en-AU"/>
        </w:rPr>
      </w:pPr>
    </w:p>
    <w:p w14:paraId="559A7FE9" w14:textId="77777777" w:rsidR="00FC447A" w:rsidRPr="003E76E7" w:rsidRDefault="00FC447A" w:rsidP="00C4292D">
      <w:pPr>
        <w:rPr>
          <w:lang w:val="en-AU"/>
        </w:rPr>
      </w:pPr>
      <w:r w:rsidRPr="003E76E7">
        <w:rPr>
          <w:noProof/>
          <w:lang w:val="en-AU"/>
        </w:rPr>
        <mc:AlternateContent>
          <mc:Choice Requires="wpg">
            <w:drawing>
              <wp:anchor distT="0" distB="0" distL="114300" distR="114300" simplePos="0" relativeHeight="251742720" behindDoc="0" locked="0" layoutInCell="1" allowOverlap="1" wp14:anchorId="092361B7" wp14:editId="2D685F6E">
                <wp:simplePos x="0" y="0"/>
                <wp:positionH relativeFrom="column">
                  <wp:posOffset>90170</wp:posOffset>
                </wp:positionH>
                <wp:positionV relativeFrom="paragraph">
                  <wp:posOffset>196215</wp:posOffset>
                </wp:positionV>
                <wp:extent cx="5306695" cy="294640"/>
                <wp:effectExtent l="22225" t="26670" r="24130" b="21590"/>
                <wp:wrapNone/>
                <wp:docPr id="605" name="Group 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6695" cy="294640"/>
                          <a:chOff x="2160" y="14661"/>
                          <a:chExt cx="8211" cy="401"/>
                        </a:xfrm>
                      </wpg:grpSpPr>
                      <wps:wsp>
                        <wps:cNvPr id="606" name="Rectangle 8514"/>
                        <wps:cNvSpPr>
                          <a:spLocks noChangeArrowheads="1"/>
                        </wps:cNvSpPr>
                        <wps:spPr bwMode="auto">
                          <a:xfrm>
                            <a:off x="2160" y="14661"/>
                            <a:ext cx="8211" cy="401"/>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wps:wsp>
                        <wps:cNvPr id="607" name="Text Box 8529"/>
                        <wps:cNvSpPr txBox="1">
                          <a:spLocks noChangeArrowheads="1"/>
                        </wps:cNvSpPr>
                        <wps:spPr bwMode="auto">
                          <a:xfrm>
                            <a:off x="2176" y="14714"/>
                            <a:ext cx="4139" cy="292"/>
                          </a:xfrm>
                          <a:prstGeom prst="rect">
                            <a:avLst/>
                          </a:prstGeom>
                          <a:solidFill>
                            <a:srgbClr val="FFFFFF"/>
                          </a:solidFill>
                          <a:ln w="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345ED10" w14:textId="77777777" w:rsidR="00CA309D" w:rsidRPr="00BC0FA1" w:rsidRDefault="00CA309D" w:rsidP="00FC447A">
                              <w:pPr>
                                <w:spacing w:before="0" w:after="0"/>
                                <w:jc w:val="center"/>
                                <w:rPr>
                                  <w:rFonts w:ascii="Arial" w:hAnsi="Arial"/>
                                  <w:sz w:val="15"/>
                                  <w:szCs w:val="15"/>
                                </w:rPr>
                              </w:pPr>
                              <w:r w:rsidRPr="00BC0FA1">
                                <w:rPr>
                                  <w:rFonts w:ascii="Arial" w:hAnsi="Arial"/>
                                  <w:sz w:val="15"/>
                                  <w:szCs w:val="15"/>
                                </w:rPr>
                                <w:t>Military Justice Appointments.</w:t>
                              </w:r>
                            </w:p>
                          </w:txbxContent>
                        </wps:txbx>
                        <wps:bodyPr rot="0" vert="horz" wrap="square" lIns="91440" tIns="45720" rIns="91440" bIns="45720" anchor="t" anchorCtr="0" upright="1">
                          <a:noAutofit/>
                        </wps:bodyPr>
                      </wps:wsp>
                      <wps:wsp>
                        <wps:cNvPr id="608" name="Text Box 8594"/>
                        <wps:cNvSpPr txBox="1">
                          <a:spLocks noChangeArrowheads="1"/>
                        </wps:cNvSpPr>
                        <wps:spPr bwMode="auto">
                          <a:xfrm>
                            <a:off x="6197" y="14712"/>
                            <a:ext cx="4139" cy="295"/>
                          </a:xfrm>
                          <a:prstGeom prst="rect">
                            <a:avLst/>
                          </a:prstGeom>
                          <a:solidFill>
                            <a:srgbClr val="FFFFFF"/>
                          </a:solidFill>
                          <a:ln w="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12A3E11" w14:textId="77777777" w:rsidR="00CA309D" w:rsidRPr="00BC0FA1" w:rsidRDefault="00CA309D" w:rsidP="00FC447A">
                              <w:pPr>
                                <w:spacing w:before="0" w:after="0"/>
                                <w:jc w:val="center"/>
                                <w:rPr>
                                  <w:rFonts w:ascii="Arial" w:hAnsi="Arial"/>
                                  <w:sz w:val="15"/>
                                  <w:szCs w:val="15"/>
                                </w:rPr>
                              </w:pPr>
                              <w:r w:rsidRPr="00BC0FA1">
                                <w:rPr>
                                  <w:rFonts w:ascii="Arial" w:hAnsi="Arial"/>
                                  <w:sz w:val="15"/>
                                  <w:szCs w:val="15"/>
                                </w:rPr>
                                <w:t>Trusts, companies and other statutory offices and entities.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2361B7" id="Group 767" o:spid="_x0000_s1044" style="position:absolute;margin-left:7.1pt;margin-top:15.45pt;width:417.85pt;height:23.2pt;z-index:251742720" coordorigin="2160,14661" coordsize="8211,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">
                <v:rect id="Rectangle 8514" o:spid="_x0000_s1045" style="position:absolute;left:2160;top:14661;width:8211;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" strokeweight="3pt">
                  <v:stroke linestyle="thinThin"/>
                </v:rect>
                <v:shape id="Text Box 8529" o:spid="_x0000_s1046" type="#_x0000_t202" style="position:absolute;left:2176;top:14714;width:4139;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" strokeweight="0">
                  <v:textbox>
                    <w:txbxContent>
                      <w:p w14:paraId="1345ED10" w14:textId="77777777" w:rsidR="00CA309D" w:rsidRPr="00BC0FA1" w:rsidRDefault="00CA309D" w:rsidP="00FC447A">
                        <w:pPr>
                          <w:spacing w:before="0" w:after="0"/>
                          <w:jc w:val="center"/>
                          <w:rPr>
                            <w:rFonts w:ascii="Arial" w:hAnsi="Arial"/>
                            <w:sz w:val="15"/>
                            <w:szCs w:val="15"/>
                          </w:rPr>
                        </w:pPr>
                        <w:r w:rsidRPr="00BC0FA1">
                          <w:rPr>
                            <w:rFonts w:ascii="Arial" w:hAnsi="Arial"/>
                            <w:sz w:val="15"/>
                            <w:szCs w:val="15"/>
                          </w:rPr>
                          <w:t>Military Justice Appointments.</w:t>
                        </w:r>
                      </w:p>
                    </w:txbxContent>
                  </v:textbox>
                </v:shape>
                <v:shape id="Text Box 8594" o:spid="_x0000_s1047" type="#_x0000_t202" style="position:absolute;left:6197;top:14712;width:4139;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" strokeweight="0">
                  <v:textbox>
                    <w:txbxContent>
                      <w:p w14:paraId="412A3E11" w14:textId="77777777" w:rsidR="00CA309D" w:rsidRPr="00BC0FA1" w:rsidRDefault="00CA309D" w:rsidP="00FC447A">
                        <w:pPr>
                          <w:spacing w:before="0" w:after="0"/>
                          <w:jc w:val="center"/>
                          <w:rPr>
                            <w:rFonts w:ascii="Arial" w:hAnsi="Arial"/>
                            <w:sz w:val="15"/>
                            <w:szCs w:val="15"/>
                          </w:rPr>
                        </w:pPr>
                        <w:r w:rsidRPr="00BC0FA1">
                          <w:rPr>
                            <w:rFonts w:ascii="Arial" w:hAnsi="Arial"/>
                            <w:sz w:val="15"/>
                            <w:szCs w:val="15"/>
                          </w:rPr>
                          <w:t>Trusts, companies and other statutory offices and entities.</w:t>
                        </w:r>
                      </w:p>
                    </w:txbxContent>
                  </v:textbox>
                </v:shape>
              </v:group>
            </w:pict>
          </mc:Fallback>
        </mc:AlternateContent>
      </w:r>
    </w:p>
    <w:p w14:paraId="2329E77C" w14:textId="742AEABE" w:rsidR="00FC447A" w:rsidRPr="00E447C0" w:rsidRDefault="00FC447A" w:rsidP="00C4292D">
      <w:pPr>
        <w:spacing w:before="120" w:after="0"/>
        <w:rPr>
          <w:sz w:val="22"/>
          <w:szCs w:val="20"/>
          <w:lang w:val="en-AU"/>
        </w:rPr>
      </w:pPr>
    </w:p>
    <w:p w14:paraId="7216C834" w14:textId="197D4433" w:rsidR="00E447C0" w:rsidRPr="00E447C0" w:rsidRDefault="00E447C0" w:rsidP="00E447C0">
      <w:pPr>
        <w:spacing w:before="120" w:after="0"/>
        <w:jc w:val="center"/>
        <w:rPr>
          <w:sz w:val="16"/>
          <w:szCs w:val="14"/>
          <w:lang w:val="en-AU"/>
        </w:rPr>
      </w:pPr>
      <w:r w:rsidRPr="00E447C0">
        <w:rPr>
          <w:sz w:val="16"/>
          <w:szCs w:val="14"/>
          <w:lang w:val="en-AU"/>
        </w:rPr>
        <w:t>On 28 April 2026, Ms Meghan Quinn PSM was announced as the Secretary of Defence, and will commence 18 May 2026.</w:t>
      </w:r>
    </w:p>
    <w:p w14:paraId="5E27D207" w14:textId="122CE572" w:rsidR="00D562AB" w:rsidRPr="003E76E7" w:rsidRDefault="009A4A94" w:rsidP="00C4292D">
      <w:pPr>
        <w:pStyle w:val="FigureHeading"/>
        <w:numPr>
          <w:ilvl w:val="0"/>
          <w:numId w:val="0"/>
        </w:numPr>
        <w:tabs>
          <w:tab w:val="num" w:pos="3261"/>
        </w:tabs>
        <w:spacing w:before="0"/>
        <w:outlineLvl w:val="4"/>
        <w:rPr>
          <w:b w:val="0"/>
          <w:sz w:val="26"/>
          <w:szCs w:val="26"/>
          <w:lang w:val="en-AU"/>
        </w:rPr>
      </w:pPr>
      <w:r w:rsidRPr="003E76E7">
        <w:rPr>
          <w:lang w:val="en-AU"/>
        </w:rPr>
        <w:br w:type="page"/>
      </w:r>
      <w:r w:rsidR="009B4335" w:rsidRPr="003E76E7">
        <w:rPr>
          <w:sz w:val="26"/>
          <w:szCs w:val="26"/>
          <w:lang w:val="en-AU"/>
        </w:rPr>
        <w:lastRenderedPageBreak/>
        <w:t xml:space="preserve">Other </w:t>
      </w:r>
      <w:r w:rsidR="005A3BE4" w:rsidRPr="003E76E7">
        <w:rPr>
          <w:sz w:val="26"/>
          <w:szCs w:val="26"/>
          <w:lang w:val="en-AU"/>
        </w:rPr>
        <w:t>Defence Portfolio Bodies</w:t>
      </w:r>
    </w:p>
    <w:p w14:paraId="38B13447" w14:textId="77777777" w:rsidR="00A13E82" w:rsidRPr="003E76E7" w:rsidRDefault="00A13E82" w:rsidP="00C4292D">
      <w:pPr>
        <w:rPr>
          <w:rFonts w:ascii="Arial" w:hAnsi="Arial"/>
          <w:b/>
          <w:szCs w:val="20"/>
          <w:lang w:val="en-AU"/>
        </w:rPr>
      </w:pPr>
      <w:r w:rsidRPr="003E76E7">
        <w:rPr>
          <w:rFonts w:ascii="Arial" w:hAnsi="Arial"/>
          <w:b/>
          <w:szCs w:val="20"/>
          <w:lang w:val="en-AU"/>
        </w:rPr>
        <w:t>AAF Company</w:t>
      </w:r>
    </w:p>
    <w:p w14:paraId="012F6A8D" w14:textId="599B5F69" w:rsidR="00A13E82" w:rsidRPr="003E76E7" w:rsidRDefault="00EF47D7" w:rsidP="00C4292D">
      <w:r w:rsidRPr="003E76E7">
        <w:t xml:space="preserve">Chair: </w:t>
      </w:r>
      <w:r w:rsidR="0033325A" w:rsidRPr="003E76E7">
        <w:t>Colonel James Murray</w:t>
      </w:r>
    </w:p>
    <w:p w14:paraId="13176623" w14:textId="78ECA94E" w:rsidR="00A13E82" w:rsidRPr="003E76E7" w:rsidRDefault="00A13E82" w:rsidP="00C4292D">
      <w:r w:rsidRPr="003E76E7">
        <w:t xml:space="preserve">The AAF Company is a Commonwealth company under the </w:t>
      </w:r>
      <w:r w:rsidRPr="003E76E7">
        <w:rPr>
          <w:i/>
          <w:iCs/>
        </w:rPr>
        <w:t xml:space="preserve">Public Governance, Performance and Accountability Act 2013. </w:t>
      </w:r>
      <w:r w:rsidRPr="003E76E7">
        <w:t xml:space="preserve">It was incorporated in 1987 under the </w:t>
      </w:r>
      <w:r w:rsidRPr="003E76E7">
        <w:rPr>
          <w:i/>
          <w:iCs/>
        </w:rPr>
        <w:t xml:space="preserve">Corporations ACT 2001. </w:t>
      </w:r>
      <w:r w:rsidRPr="003E76E7">
        <w:t xml:space="preserve">The </w:t>
      </w:r>
      <w:r w:rsidR="0087640C">
        <w:br/>
      </w:r>
      <w:r w:rsidRPr="003E76E7">
        <w:t>AAF Company undertakes the management and trusteeship of the Army’s</w:t>
      </w:r>
      <w:r w:rsidR="00AC2CF1" w:rsidRPr="003E76E7">
        <w:t xml:space="preserve"> two</w:t>
      </w:r>
      <w:r w:rsidRPr="003E76E7">
        <w:t xml:space="preserve"> trust funds known as the ‘Army Amenities Fund’ and the ‘Messes Trust Fund’. The AAF Company promotes and supports the objectives of the two funds which provides amenities for members of the Australian Army.</w:t>
      </w:r>
    </w:p>
    <w:p w14:paraId="03B60810" w14:textId="77777777" w:rsidR="00D562AB" w:rsidRPr="003E76E7" w:rsidRDefault="00D562AB" w:rsidP="00C4292D">
      <w:pPr>
        <w:pStyle w:val="Heading5noTOC"/>
      </w:pPr>
      <w:r w:rsidRPr="003E76E7">
        <w:t>Army and Air Force Canteen Service</w:t>
      </w:r>
    </w:p>
    <w:p w14:paraId="79600764" w14:textId="320E42F5" w:rsidR="00D562AB" w:rsidRPr="003E76E7" w:rsidRDefault="00D562AB" w:rsidP="00C4292D">
      <w:pPr>
        <w:spacing w:before="120" w:after="120"/>
        <w:rPr>
          <w:lang w:val="en-AU"/>
        </w:rPr>
      </w:pPr>
      <w:r w:rsidRPr="003E76E7">
        <w:rPr>
          <w:lang w:val="en-AU"/>
        </w:rPr>
        <w:t xml:space="preserve">Chair: </w:t>
      </w:r>
      <w:r w:rsidR="004D20D0" w:rsidRPr="003E76E7">
        <w:rPr>
          <w:lang w:val="en-AU"/>
        </w:rPr>
        <w:t>Peter Goldsworthy</w:t>
      </w:r>
      <w:r w:rsidR="00FC447A" w:rsidRPr="003E76E7">
        <w:rPr>
          <w:lang w:val="en-AU"/>
        </w:rPr>
        <w:t xml:space="preserve"> FCPA GAICD</w:t>
      </w:r>
    </w:p>
    <w:p w14:paraId="74088B03" w14:textId="391A6E49" w:rsidR="00D562AB" w:rsidRPr="003E76E7" w:rsidRDefault="00D562AB" w:rsidP="00C4292D">
      <w:pPr>
        <w:spacing w:before="120" w:after="120"/>
        <w:rPr>
          <w:lang w:val="en-AU"/>
        </w:rPr>
      </w:pPr>
      <w:r w:rsidRPr="003E76E7">
        <w:rPr>
          <w:lang w:val="en-AU"/>
        </w:rPr>
        <w:t xml:space="preserve">The Army and Air Force Canteen Service (AAFCANS), a Commonwealth authority established under the </w:t>
      </w:r>
      <w:r w:rsidRPr="003E76E7">
        <w:rPr>
          <w:i/>
          <w:lang w:val="en-AU"/>
        </w:rPr>
        <w:t>Army and Air Force Canteen Service Regulations 1959</w:t>
      </w:r>
      <w:r w:rsidRPr="003E76E7">
        <w:rPr>
          <w:lang w:val="en-AU"/>
        </w:rPr>
        <w:t xml:space="preserve"> supplies goods, facilities and services to, or for the entertainment and recreation of, members of the Army and the Air Force including persons employed in, or in connection with, Army or Air Force installations and dependants of those members or persons, visitors to such installati</w:t>
      </w:r>
      <w:r w:rsidR="0014725F" w:rsidRPr="003E76E7">
        <w:rPr>
          <w:lang w:val="en-AU"/>
        </w:rPr>
        <w:t xml:space="preserve">ons and members of the </w:t>
      </w:r>
      <w:r w:rsidR="0087640C">
        <w:rPr>
          <w:lang w:val="en-AU"/>
        </w:rPr>
        <w:br/>
      </w:r>
      <w:r w:rsidRPr="003E76E7">
        <w:rPr>
          <w:lang w:val="en-AU"/>
        </w:rPr>
        <w:t>Army or Air Force Cadets.</w:t>
      </w:r>
    </w:p>
    <w:p w14:paraId="06C9E81B" w14:textId="77777777" w:rsidR="00A13E82" w:rsidRPr="003E76E7" w:rsidRDefault="00A13E82" w:rsidP="00C4292D">
      <w:pPr>
        <w:rPr>
          <w:rFonts w:ascii="Arial" w:hAnsi="Arial"/>
          <w:b/>
          <w:szCs w:val="20"/>
          <w:lang w:val="en-AU"/>
        </w:rPr>
      </w:pPr>
      <w:r w:rsidRPr="003E76E7">
        <w:rPr>
          <w:rFonts w:ascii="Arial" w:hAnsi="Arial"/>
          <w:b/>
          <w:szCs w:val="20"/>
          <w:lang w:val="en-AU"/>
        </w:rPr>
        <w:t>Australian Military Forces Relief Trust Fund</w:t>
      </w:r>
    </w:p>
    <w:p w14:paraId="0ADA0A96" w14:textId="603B0975" w:rsidR="00A13E82" w:rsidRPr="003E76E7" w:rsidRDefault="00A13E82" w:rsidP="00C4292D">
      <w:pPr>
        <w:rPr>
          <w:rFonts w:cs="PalatinoLinotype-Roman"/>
          <w:szCs w:val="20"/>
          <w:lang w:val="en-AU"/>
        </w:rPr>
      </w:pPr>
      <w:r w:rsidRPr="003E76E7">
        <w:rPr>
          <w:rFonts w:cs="PalatinoLinotype-Roman"/>
          <w:szCs w:val="20"/>
          <w:lang w:val="en-AU"/>
        </w:rPr>
        <w:t>Ch</w:t>
      </w:r>
      <w:r w:rsidR="00EF47D7" w:rsidRPr="003E76E7">
        <w:rPr>
          <w:rFonts w:cs="PalatinoLinotype-Roman"/>
          <w:szCs w:val="20"/>
          <w:lang w:val="en-AU"/>
        </w:rPr>
        <w:t>air: Major General Craig Dobson AM</w:t>
      </w:r>
      <w:r w:rsidRPr="003E76E7">
        <w:rPr>
          <w:rFonts w:cs="PalatinoLinotype-Roman"/>
          <w:szCs w:val="20"/>
          <w:lang w:val="en-AU"/>
        </w:rPr>
        <w:t xml:space="preserve"> CSC</w:t>
      </w:r>
    </w:p>
    <w:p w14:paraId="69D4C780" w14:textId="485EF82F" w:rsidR="00A13E82" w:rsidRPr="003E76E7" w:rsidRDefault="00A13E82" w:rsidP="00C4292D">
      <w:pPr>
        <w:rPr>
          <w:rFonts w:cs="PalatinoLinotype-Roman"/>
          <w:szCs w:val="20"/>
          <w:lang w:val="en-AU"/>
        </w:rPr>
      </w:pPr>
      <w:r w:rsidRPr="003E76E7">
        <w:rPr>
          <w:rFonts w:cs="PalatinoLinotype-Roman"/>
          <w:szCs w:val="20"/>
          <w:lang w:val="en-AU"/>
        </w:rPr>
        <w:t xml:space="preserve">The Australian Military Forces Relief Trust Fund (AMFRTF) is a corporate Commonwealth entity under the </w:t>
      </w:r>
      <w:r w:rsidRPr="003E76E7">
        <w:rPr>
          <w:rFonts w:cs="PalatinoLinotype-Roman"/>
          <w:i/>
          <w:szCs w:val="20"/>
          <w:lang w:val="en-AU"/>
        </w:rPr>
        <w:t>Public Governance, Performance and Accountability Act 2013</w:t>
      </w:r>
      <w:r w:rsidRPr="003E76E7">
        <w:rPr>
          <w:rFonts w:cs="PalatinoLinotype-Roman"/>
          <w:szCs w:val="20"/>
          <w:lang w:val="en-AU"/>
        </w:rPr>
        <w:t xml:space="preserve">. It was a Commonwealth authority established under the </w:t>
      </w:r>
      <w:r w:rsidRPr="003E76E7">
        <w:rPr>
          <w:rFonts w:cs="PalatinoLinotype-Roman"/>
          <w:i/>
          <w:szCs w:val="20"/>
          <w:lang w:val="en-AU"/>
        </w:rPr>
        <w:t>Services Trust Funds Act 1947</w:t>
      </w:r>
      <w:r w:rsidRPr="003E76E7">
        <w:rPr>
          <w:rFonts w:cs="PalatinoLinotype-Roman"/>
          <w:szCs w:val="20"/>
          <w:lang w:val="en-AU"/>
        </w:rPr>
        <w:t>. The AMFRTF provides benefits to members of the A</w:t>
      </w:r>
      <w:r w:rsidR="008B1059">
        <w:rPr>
          <w:rFonts w:cs="PalatinoLinotype-Roman"/>
          <w:szCs w:val="20"/>
          <w:lang w:val="en-AU"/>
        </w:rPr>
        <w:t xml:space="preserve">ustralian </w:t>
      </w:r>
      <w:r w:rsidRPr="003E76E7">
        <w:rPr>
          <w:rFonts w:cs="PalatinoLinotype-Roman"/>
          <w:szCs w:val="20"/>
          <w:lang w:val="en-AU"/>
        </w:rPr>
        <w:t>D</w:t>
      </w:r>
      <w:r w:rsidR="008B1059">
        <w:rPr>
          <w:rFonts w:cs="PalatinoLinotype-Roman"/>
          <w:szCs w:val="20"/>
          <w:lang w:val="en-AU"/>
        </w:rPr>
        <w:t xml:space="preserve">efence </w:t>
      </w:r>
      <w:r w:rsidRPr="003E76E7">
        <w:rPr>
          <w:rFonts w:cs="PalatinoLinotype-Roman"/>
          <w:szCs w:val="20"/>
          <w:lang w:val="en-AU"/>
        </w:rPr>
        <w:t>F</w:t>
      </w:r>
      <w:r w:rsidR="008B1059">
        <w:rPr>
          <w:rFonts w:cs="PalatinoLinotype-Roman"/>
          <w:szCs w:val="20"/>
          <w:lang w:val="en-AU"/>
        </w:rPr>
        <w:t>orce (ADF)</w:t>
      </w:r>
      <w:r w:rsidRPr="003E76E7">
        <w:rPr>
          <w:rFonts w:cs="PalatinoLinotype-Roman"/>
          <w:szCs w:val="20"/>
          <w:lang w:val="en-AU"/>
        </w:rPr>
        <w:t xml:space="preserve"> who have served in, or in association with the Australian Army and to the dependants of such members.</w:t>
      </w:r>
    </w:p>
    <w:p w14:paraId="22F65D62" w14:textId="77777777" w:rsidR="00A13E82" w:rsidRPr="003E76E7" w:rsidRDefault="00A13E82" w:rsidP="00C4292D">
      <w:pPr>
        <w:rPr>
          <w:rFonts w:ascii="Arial" w:hAnsi="Arial"/>
          <w:b/>
          <w:szCs w:val="20"/>
          <w:lang w:val="en-AU"/>
        </w:rPr>
      </w:pPr>
      <w:r w:rsidRPr="003E76E7">
        <w:rPr>
          <w:rFonts w:ascii="Arial" w:hAnsi="Arial"/>
          <w:b/>
          <w:szCs w:val="20"/>
          <w:lang w:val="en-AU"/>
        </w:rPr>
        <w:t>Australian Strategic Policy Institute Limited</w:t>
      </w:r>
    </w:p>
    <w:p w14:paraId="158AD409" w14:textId="77777777" w:rsidR="009B33F1" w:rsidRPr="003E76E7" w:rsidRDefault="009B33F1" w:rsidP="00C4292D">
      <w:pPr>
        <w:autoSpaceDE w:val="0"/>
        <w:autoSpaceDN w:val="0"/>
        <w:rPr>
          <w:rFonts w:cs="Calibri"/>
          <w:color w:val="000000"/>
          <w:szCs w:val="20"/>
        </w:rPr>
      </w:pPr>
      <w:r w:rsidRPr="003E76E7">
        <w:rPr>
          <w:color w:val="000000"/>
          <w:szCs w:val="20"/>
        </w:rPr>
        <w:t>Chair: Ms Gai Brodtmann GAICD</w:t>
      </w:r>
    </w:p>
    <w:p w14:paraId="49969F6A" w14:textId="5476F772" w:rsidR="005F6D51" w:rsidRPr="003E76E7" w:rsidRDefault="009B33F1" w:rsidP="00C4292D">
      <w:pPr>
        <w:rPr>
          <w:rFonts w:ascii="Arial" w:hAnsi="Arial"/>
          <w:b/>
          <w:bCs/>
          <w:iCs/>
          <w:szCs w:val="26"/>
          <w:lang w:val="en-AU"/>
        </w:rPr>
      </w:pPr>
      <w:r w:rsidRPr="003E76E7">
        <w:rPr>
          <w:color w:val="000000"/>
          <w:szCs w:val="20"/>
        </w:rPr>
        <w:t>The Australian Strategic Policy Institute Limited is a Commonwealth company that provides policy-relevant research and analysis to better inform Government decision-makers and public understanding of strategic and defence issues.</w:t>
      </w:r>
    </w:p>
    <w:p w14:paraId="74BFCF78" w14:textId="77777777" w:rsidR="00D562AB" w:rsidRPr="003E76E7" w:rsidRDefault="00D562AB" w:rsidP="00C4292D">
      <w:pPr>
        <w:pStyle w:val="Heading5noTOC"/>
      </w:pPr>
      <w:r w:rsidRPr="003E76E7">
        <w:t>Royal Australian Air Force Veterans’ Residences Trust</w:t>
      </w:r>
    </w:p>
    <w:p w14:paraId="0622075E" w14:textId="77777777" w:rsidR="009B33F1" w:rsidRPr="003E76E7" w:rsidRDefault="009B33F1" w:rsidP="00C4292D">
      <w:pPr>
        <w:spacing w:before="120" w:after="120"/>
        <w:rPr>
          <w:lang w:val="en-AU"/>
        </w:rPr>
      </w:pPr>
      <w:r w:rsidRPr="003E76E7">
        <w:rPr>
          <w:lang w:val="en-AU"/>
        </w:rPr>
        <w:t>Chair: Mr David E. Tindal</w:t>
      </w:r>
    </w:p>
    <w:p w14:paraId="62814A95" w14:textId="77777777" w:rsidR="009B33F1" w:rsidRPr="003E76E7" w:rsidRDefault="009B33F1" w:rsidP="00C4292D">
      <w:pPr>
        <w:spacing w:before="120" w:after="120"/>
      </w:pPr>
      <w:r w:rsidRPr="003E76E7">
        <w:rPr>
          <w:lang w:val="en-AU"/>
        </w:rPr>
        <w:t xml:space="preserve">The Royal Australian Air Force Veterans’ Residences Trust, a Commonwealth authority established by the </w:t>
      </w:r>
      <w:r w:rsidRPr="003E76E7">
        <w:rPr>
          <w:i/>
          <w:lang w:val="en-AU"/>
        </w:rPr>
        <w:t>Royal Australian Air Force Veterans’ Residences Act 1953</w:t>
      </w:r>
      <w:r w:rsidRPr="003E76E7">
        <w:rPr>
          <w:lang w:val="en-AU"/>
        </w:rPr>
        <w:t>, provides residences in which eligible persons (as defined in the Act) who are in necessitous circumstances and, if the Trust so approves, the dependants of such eligible persons, may be accommodated or supported.</w:t>
      </w:r>
    </w:p>
    <w:p w14:paraId="13DFE870" w14:textId="77777777" w:rsidR="00101E53" w:rsidRPr="003E76E7" w:rsidRDefault="00101E53" w:rsidP="00C4292D">
      <w:pPr>
        <w:spacing w:before="0" w:after="0"/>
        <w:rPr>
          <w:rFonts w:ascii="Arial" w:hAnsi="Arial"/>
          <w:b/>
          <w:szCs w:val="20"/>
          <w:lang w:val="en-AU"/>
        </w:rPr>
      </w:pPr>
      <w:r w:rsidRPr="003E76E7">
        <w:rPr>
          <w:rFonts w:ascii="Arial" w:hAnsi="Arial"/>
          <w:b/>
          <w:szCs w:val="20"/>
          <w:lang w:val="en-AU"/>
        </w:rPr>
        <w:br w:type="page"/>
      </w:r>
    </w:p>
    <w:p w14:paraId="46AA5062" w14:textId="7386C27B" w:rsidR="002957B5" w:rsidRPr="003E76E7" w:rsidRDefault="002957B5" w:rsidP="00C4292D">
      <w:pPr>
        <w:spacing w:before="120" w:after="120"/>
      </w:pPr>
      <w:r w:rsidRPr="003E76E7">
        <w:rPr>
          <w:rFonts w:ascii="Arial" w:hAnsi="Arial"/>
          <w:b/>
          <w:szCs w:val="20"/>
          <w:lang w:val="en-AU"/>
        </w:rPr>
        <w:lastRenderedPageBreak/>
        <w:t>Royal Australian Air Force Welfare Recreational Company</w:t>
      </w:r>
    </w:p>
    <w:p w14:paraId="3648F9CD" w14:textId="77777777" w:rsidR="009B33F1" w:rsidRPr="003E76E7" w:rsidRDefault="009B33F1" w:rsidP="00C4292D">
      <w:pPr>
        <w:spacing w:before="120" w:after="120"/>
        <w:rPr>
          <w:lang w:val="en-AU"/>
        </w:rPr>
      </w:pPr>
      <w:r w:rsidRPr="003E76E7">
        <w:rPr>
          <w:lang w:val="en-AU"/>
        </w:rPr>
        <w:t>Chair: Air Commodore Martin Smith GAICD</w:t>
      </w:r>
    </w:p>
    <w:p w14:paraId="75B89923" w14:textId="77777777" w:rsidR="002957B5" w:rsidRPr="003E76E7" w:rsidRDefault="002957B5" w:rsidP="00C4292D">
      <w:pPr>
        <w:spacing w:before="120" w:after="120"/>
        <w:rPr>
          <w:lang w:val="en-AU"/>
        </w:rPr>
      </w:pPr>
      <w:r w:rsidRPr="003E76E7">
        <w:rPr>
          <w:lang w:val="en-AU"/>
        </w:rPr>
        <w:t>The Royal Australian Air Force Welfare Recreational Company is a Commonwealth company that provides access to discounted recreational accommodation and manages and promotes the Royal Australian Air Force Central Welfare Trust Fund owned recreational facilities for the Royal Australian Air Force members, their families and other eligible persons. It also provides financial support to, and assists in the provision of, recreational facilities and services to the Royal Australian Air Force members.</w:t>
      </w:r>
    </w:p>
    <w:p w14:paraId="45D7DD6F" w14:textId="77777777" w:rsidR="00A13E82" w:rsidRPr="003E76E7" w:rsidRDefault="00A13E82" w:rsidP="00C4292D">
      <w:pPr>
        <w:rPr>
          <w:rFonts w:ascii="Arial" w:hAnsi="Arial"/>
          <w:b/>
          <w:szCs w:val="20"/>
          <w:lang w:val="en-AU"/>
        </w:rPr>
      </w:pPr>
      <w:r w:rsidRPr="003E76E7">
        <w:rPr>
          <w:rFonts w:ascii="Arial" w:hAnsi="Arial"/>
          <w:b/>
          <w:szCs w:val="20"/>
          <w:lang w:val="en-AU"/>
        </w:rPr>
        <w:t>Royal Australian Air Force Welfare Trust Fund</w:t>
      </w:r>
    </w:p>
    <w:p w14:paraId="0556BFC6" w14:textId="77777777" w:rsidR="00A13E82" w:rsidRPr="003E76E7" w:rsidRDefault="00A13E82" w:rsidP="00C4292D">
      <w:pPr>
        <w:rPr>
          <w:rFonts w:cs="PalatinoLinotype-Roman"/>
          <w:szCs w:val="20"/>
        </w:rPr>
      </w:pPr>
      <w:r w:rsidRPr="003E76E7">
        <w:rPr>
          <w:rFonts w:cs="PalatinoLinotype-Roman"/>
          <w:szCs w:val="20"/>
          <w:lang w:val="en-AU"/>
        </w:rPr>
        <w:t>Chair: Principal Air Chaplain James Cox</w:t>
      </w:r>
    </w:p>
    <w:p w14:paraId="0CDFA066" w14:textId="6B67B90E" w:rsidR="009B33F1" w:rsidRPr="003E76E7" w:rsidRDefault="009B33F1" w:rsidP="00C4292D">
      <w:pPr>
        <w:rPr>
          <w:rFonts w:ascii="Calibri" w:hAnsi="Calibri"/>
          <w:sz w:val="22"/>
          <w:szCs w:val="22"/>
        </w:rPr>
      </w:pPr>
      <w:r w:rsidRPr="003E76E7">
        <w:rPr>
          <w:szCs w:val="20"/>
        </w:rPr>
        <w:t xml:space="preserve">The Royal Australian Air Force Welfare Trust Fund, a corporate Commonwealth entity established under the </w:t>
      </w:r>
      <w:r w:rsidRPr="003E76E7">
        <w:rPr>
          <w:i/>
          <w:iCs/>
          <w:szCs w:val="20"/>
        </w:rPr>
        <w:t>Services Trust Funds Act 1947</w:t>
      </w:r>
      <w:r w:rsidRPr="003E76E7">
        <w:rPr>
          <w:szCs w:val="20"/>
        </w:rPr>
        <w:t xml:space="preserve">, provides benefits for members of the </w:t>
      </w:r>
      <w:r w:rsidR="0087640C">
        <w:rPr>
          <w:szCs w:val="20"/>
        </w:rPr>
        <w:br/>
      </w:r>
      <w:r w:rsidRPr="003E76E7">
        <w:rPr>
          <w:szCs w:val="20"/>
        </w:rPr>
        <w:t xml:space="preserve">Defence Force who have served in, or in association with, the Royal Australian Air Force and to the </w:t>
      </w:r>
      <w:r w:rsidR="00D020AF" w:rsidRPr="003E76E7">
        <w:rPr>
          <w:szCs w:val="20"/>
        </w:rPr>
        <w:t>dependa</w:t>
      </w:r>
      <w:r w:rsidR="00B5440C" w:rsidRPr="003E76E7">
        <w:rPr>
          <w:szCs w:val="20"/>
        </w:rPr>
        <w:t>nts</w:t>
      </w:r>
      <w:r w:rsidRPr="003E76E7">
        <w:rPr>
          <w:szCs w:val="20"/>
        </w:rPr>
        <w:t xml:space="preserve"> of such members.</w:t>
      </w:r>
    </w:p>
    <w:p w14:paraId="7F0D94B8" w14:textId="77777777" w:rsidR="00A13E82" w:rsidRPr="003E76E7" w:rsidRDefault="00A13E82" w:rsidP="00C4292D">
      <w:pPr>
        <w:rPr>
          <w:rFonts w:ascii="Arial" w:hAnsi="Arial"/>
          <w:b/>
          <w:szCs w:val="20"/>
          <w:lang w:val="en-AU"/>
        </w:rPr>
      </w:pPr>
      <w:r w:rsidRPr="003E76E7">
        <w:rPr>
          <w:rFonts w:ascii="Arial" w:hAnsi="Arial"/>
          <w:b/>
          <w:szCs w:val="20"/>
          <w:lang w:val="en-AU"/>
        </w:rPr>
        <w:t>Royal Australian Navy Central Canteens Board</w:t>
      </w:r>
    </w:p>
    <w:p w14:paraId="470F56E5" w14:textId="0B305970" w:rsidR="00A13E82" w:rsidRPr="003E76E7" w:rsidRDefault="00A13E82" w:rsidP="00C4292D">
      <w:pPr>
        <w:pStyle w:val="Default"/>
        <w:spacing w:before="100" w:after="100"/>
        <w:rPr>
          <w:rFonts w:ascii="Book Antiqua" w:hAnsi="Book Antiqua"/>
          <w:sz w:val="20"/>
          <w:szCs w:val="20"/>
        </w:rPr>
      </w:pPr>
      <w:r w:rsidRPr="003E76E7">
        <w:rPr>
          <w:rFonts w:ascii="Book Antiqua" w:hAnsi="Book Antiqua"/>
          <w:sz w:val="20"/>
          <w:szCs w:val="20"/>
        </w:rPr>
        <w:t>Chair: Captain Steve Bowater OAM RAN</w:t>
      </w:r>
    </w:p>
    <w:p w14:paraId="6EE14920" w14:textId="317B8527" w:rsidR="00101E53" w:rsidRPr="003E76E7" w:rsidRDefault="00A13E82" w:rsidP="00C4292D">
      <w:pPr>
        <w:rPr>
          <w:sz w:val="8"/>
          <w:szCs w:val="20"/>
        </w:rPr>
      </w:pPr>
      <w:r w:rsidRPr="003E76E7">
        <w:rPr>
          <w:szCs w:val="20"/>
        </w:rPr>
        <w:t xml:space="preserve">The Royal Australian Navy Central Canteens Board (RANCCB), a corporate Commonwealth entity established under the </w:t>
      </w:r>
      <w:r w:rsidRPr="003E76E7">
        <w:rPr>
          <w:i/>
          <w:iCs/>
          <w:szCs w:val="20"/>
        </w:rPr>
        <w:t>Navy (Canteens) Regulations 1954</w:t>
      </w:r>
      <w:r w:rsidRPr="003E76E7">
        <w:rPr>
          <w:szCs w:val="20"/>
        </w:rPr>
        <w:t>, administers the Royal Australian Navy Central Canteens Fund. The principal activities of the RANCCB are to provide welfare and lifestyle related benefits and services to Navy members and their families.</w:t>
      </w:r>
    </w:p>
    <w:p w14:paraId="3C8E76B6" w14:textId="3C0F8BD4" w:rsidR="00101E53" w:rsidRPr="003E76E7" w:rsidRDefault="00101E53" w:rsidP="00C4292D">
      <w:pPr>
        <w:spacing w:before="0"/>
        <w:rPr>
          <w:sz w:val="2"/>
        </w:rPr>
      </w:pPr>
    </w:p>
    <w:p w14:paraId="0984092F" w14:textId="1014ACDF" w:rsidR="00101E53" w:rsidRPr="003E76E7" w:rsidRDefault="00101E53" w:rsidP="00C4292D">
      <w:pPr>
        <w:rPr>
          <w:rFonts w:ascii="Arial" w:hAnsi="Arial"/>
          <w:b/>
          <w:szCs w:val="20"/>
          <w:lang w:val="en-AU"/>
        </w:rPr>
      </w:pPr>
      <w:r w:rsidRPr="003E76E7">
        <w:rPr>
          <w:rFonts w:ascii="Arial" w:hAnsi="Arial"/>
          <w:b/>
          <w:szCs w:val="20"/>
          <w:lang w:val="en-AU"/>
        </w:rPr>
        <w:t xml:space="preserve">Royal Australian Navy </w:t>
      </w:r>
      <w:r w:rsidR="00255F8C" w:rsidRPr="003E76E7">
        <w:rPr>
          <w:rFonts w:ascii="Arial" w:hAnsi="Arial"/>
          <w:b/>
          <w:szCs w:val="20"/>
          <w:lang w:val="en-AU"/>
        </w:rPr>
        <w:t>Relief Trust Fund</w:t>
      </w:r>
    </w:p>
    <w:p w14:paraId="6C0D1851" w14:textId="66A631FC" w:rsidR="00D562AB" w:rsidRPr="003E76E7" w:rsidRDefault="00D562AB" w:rsidP="00C4292D">
      <w:pPr>
        <w:spacing w:before="120" w:after="120"/>
        <w:rPr>
          <w:lang w:val="en-AU"/>
        </w:rPr>
      </w:pPr>
      <w:r w:rsidRPr="003E76E7">
        <w:rPr>
          <w:lang w:val="en-AU"/>
        </w:rPr>
        <w:t xml:space="preserve">Chair: </w:t>
      </w:r>
      <w:r w:rsidR="001A7840" w:rsidRPr="003E76E7">
        <w:rPr>
          <w:szCs w:val="20"/>
        </w:rPr>
        <w:t>Commodore Shane Glassock CSC RAN</w:t>
      </w:r>
    </w:p>
    <w:p w14:paraId="35D95281" w14:textId="6B49FEA7" w:rsidR="004D20D0" w:rsidRPr="003E76E7" w:rsidRDefault="009B33F1" w:rsidP="00C4292D">
      <w:pPr>
        <w:spacing w:before="120" w:after="120"/>
        <w:rPr>
          <w:lang w:val="en-AU"/>
        </w:rPr>
      </w:pPr>
      <w:r w:rsidRPr="003E76E7">
        <w:rPr>
          <w:lang w:val="en-AU"/>
        </w:rPr>
        <w:t xml:space="preserve">The Royal Australian Navy Relief Trust Fund, a corporate Commonwealth entity established under the </w:t>
      </w:r>
      <w:r w:rsidRPr="003E76E7">
        <w:rPr>
          <w:i/>
          <w:lang w:val="en-AU"/>
        </w:rPr>
        <w:t>Services Trust Funds Act 1947</w:t>
      </w:r>
      <w:r w:rsidRPr="003E76E7">
        <w:rPr>
          <w:lang w:val="en-AU"/>
        </w:rPr>
        <w:t>, provides benefits for members of the ADF who have served in, or in association with, the Royal Australian Navy (RAN) and to the dependants of such members.</w:t>
      </w:r>
    </w:p>
    <w:p w14:paraId="0AA350A6" w14:textId="2A44F37B" w:rsidR="00567BD9" w:rsidRPr="003E76E7" w:rsidRDefault="00D020AF" w:rsidP="00C4292D">
      <w:pPr>
        <w:rPr>
          <w:lang w:val="en-AU"/>
        </w:rPr>
      </w:pPr>
      <w:r w:rsidRPr="003E76E7">
        <w:rPr>
          <w:lang w:val="en-AU"/>
        </w:rPr>
        <w:br/>
      </w:r>
      <w:bookmarkStart w:id="649" w:name="_Toc1561672"/>
      <w:bookmarkEnd w:id="577"/>
      <w:bookmarkEnd w:id="578"/>
      <w:bookmarkEnd w:id="579"/>
      <w:bookmarkEnd w:id="580"/>
      <w:bookmarkEnd w:id="581"/>
    </w:p>
    <w:p w14:paraId="46804E24" w14:textId="7AE02CA8" w:rsidR="00CC47BF" w:rsidRPr="003E76E7" w:rsidRDefault="00CC47BF" w:rsidP="00C4292D">
      <w:pPr>
        <w:spacing w:before="0" w:after="0"/>
        <w:rPr>
          <w:lang w:val="en-AU"/>
        </w:rPr>
      </w:pPr>
      <w:bookmarkStart w:id="650" w:name="_Toc534886324"/>
      <w:bookmarkStart w:id="651" w:name="_Toc534886517"/>
      <w:bookmarkStart w:id="652" w:name="_Toc534908444"/>
      <w:bookmarkStart w:id="653" w:name="_Toc23502281"/>
      <w:bookmarkStart w:id="654" w:name="_Toc29898861"/>
      <w:bookmarkStart w:id="655" w:name="_Toc51691670"/>
      <w:bookmarkStart w:id="656" w:name="_Toc69729038"/>
      <w:bookmarkStart w:id="657" w:name="_Toc69917833"/>
      <w:bookmarkStart w:id="658" w:name="_Toc97747821"/>
      <w:bookmarkStart w:id="659" w:name="_Toc108088932"/>
      <w:bookmarkStart w:id="660" w:name="_Toc108089011"/>
      <w:bookmarkStart w:id="661" w:name="_Toc108089406"/>
      <w:bookmarkStart w:id="662" w:name="_Toc109227291"/>
      <w:bookmarkStart w:id="663" w:name="_Toc109227728"/>
      <w:bookmarkStart w:id="664" w:name="_Toc158896244"/>
      <w:bookmarkStart w:id="665" w:name="_Toc158896301"/>
      <w:bookmarkStart w:id="666" w:name="_Toc159499675"/>
      <w:bookmarkStart w:id="667" w:name="_Toc159857672"/>
      <w:bookmarkStart w:id="668" w:name="_Toc159857751"/>
      <w:bookmarkStart w:id="669" w:name="_Toc159858147"/>
      <w:bookmarkStart w:id="670" w:name="_Toc159858418"/>
      <w:bookmarkStart w:id="671" w:name="_Toc159858812"/>
      <w:bookmarkStart w:id="672" w:name="_Toc159858882"/>
      <w:bookmarkStart w:id="673" w:name="_Toc159859092"/>
      <w:bookmarkStart w:id="674" w:name="_Toc159862282"/>
      <w:bookmarkStart w:id="675" w:name="_Toc159862472"/>
      <w:bookmarkStart w:id="676" w:name="_Toc221786176"/>
      <w:bookmarkEnd w:id="649"/>
      <w:r w:rsidRPr="003E76E7">
        <w:rPr>
          <w:lang w:val="en-AU"/>
        </w:rPr>
        <w:br w:type="page"/>
      </w:r>
    </w:p>
    <w:p w14:paraId="051E3440" w14:textId="77777777" w:rsidR="00DC6420" w:rsidRPr="003E76E7" w:rsidRDefault="00DC6420" w:rsidP="00C4292D">
      <w:pPr>
        <w:ind w:left="2" w:firstLine="1"/>
        <w:jc w:val="center"/>
        <w:rPr>
          <w:lang w:val="en-AU"/>
        </w:rPr>
      </w:pPr>
    </w:p>
    <w:p w14:paraId="43428B54" w14:textId="77777777" w:rsidR="00DC6420" w:rsidRPr="003E76E7" w:rsidRDefault="00DC6420" w:rsidP="00C4292D">
      <w:pPr>
        <w:ind w:left="2" w:firstLine="1"/>
        <w:jc w:val="center"/>
        <w:rPr>
          <w:lang w:val="en-AU"/>
        </w:rPr>
      </w:pPr>
    </w:p>
    <w:p w14:paraId="6AE7DD98" w14:textId="77777777" w:rsidR="00DC6420" w:rsidRPr="003E76E7" w:rsidRDefault="00DC6420" w:rsidP="00C4292D">
      <w:pPr>
        <w:ind w:left="2" w:firstLine="1"/>
        <w:jc w:val="center"/>
        <w:rPr>
          <w:lang w:val="en-AU"/>
        </w:rPr>
      </w:pPr>
    </w:p>
    <w:p w14:paraId="5C2D0661" w14:textId="77777777" w:rsidR="00DC6420" w:rsidRPr="003E76E7" w:rsidRDefault="00DC6420" w:rsidP="00C4292D">
      <w:pPr>
        <w:ind w:left="2" w:firstLine="1"/>
        <w:jc w:val="center"/>
        <w:rPr>
          <w:lang w:val="en-AU"/>
        </w:rPr>
      </w:pPr>
    </w:p>
    <w:p w14:paraId="465AA250" w14:textId="77777777" w:rsidR="00DC6420" w:rsidRPr="003E76E7" w:rsidRDefault="00DC6420" w:rsidP="00C4292D">
      <w:pPr>
        <w:ind w:left="2" w:firstLine="1"/>
        <w:jc w:val="center"/>
        <w:rPr>
          <w:lang w:val="en-AU"/>
        </w:rPr>
      </w:pPr>
    </w:p>
    <w:p w14:paraId="1E11A032" w14:textId="77777777" w:rsidR="00DC6420" w:rsidRPr="003E76E7" w:rsidRDefault="00DC6420" w:rsidP="00C4292D">
      <w:pPr>
        <w:ind w:left="2" w:firstLine="1"/>
        <w:jc w:val="center"/>
        <w:rPr>
          <w:lang w:val="en-AU"/>
        </w:rPr>
      </w:pPr>
    </w:p>
    <w:p w14:paraId="253B5C6E" w14:textId="77777777" w:rsidR="00DC6420" w:rsidRPr="003E76E7" w:rsidRDefault="00DC6420" w:rsidP="00C4292D">
      <w:pPr>
        <w:ind w:left="2" w:firstLine="1"/>
        <w:jc w:val="center"/>
        <w:rPr>
          <w:lang w:val="en-AU"/>
        </w:rPr>
      </w:pPr>
    </w:p>
    <w:p w14:paraId="7155BFA0" w14:textId="77777777" w:rsidR="00DC6420" w:rsidRPr="003E76E7" w:rsidRDefault="00DC6420" w:rsidP="00C4292D">
      <w:pPr>
        <w:ind w:left="2" w:firstLine="1"/>
        <w:jc w:val="center"/>
        <w:rPr>
          <w:lang w:val="en-AU"/>
        </w:rPr>
      </w:pPr>
    </w:p>
    <w:p w14:paraId="01A54AE6" w14:textId="77777777" w:rsidR="00DC6420" w:rsidRPr="003E76E7" w:rsidRDefault="00DC6420" w:rsidP="00C4292D">
      <w:pPr>
        <w:ind w:left="2" w:firstLine="1"/>
        <w:jc w:val="center"/>
        <w:rPr>
          <w:lang w:val="en-AU"/>
        </w:rPr>
      </w:pPr>
    </w:p>
    <w:p w14:paraId="3D371114" w14:textId="77777777" w:rsidR="00DC6420" w:rsidRPr="003E76E7" w:rsidRDefault="00DC6420" w:rsidP="00C4292D">
      <w:pPr>
        <w:ind w:left="2" w:firstLine="1"/>
        <w:jc w:val="center"/>
        <w:rPr>
          <w:lang w:val="en-AU"/>
        </w:rPr>
      </w:pPr>
    </w:p>
    <w:p w14:paraId="0496F69A" w14:textId="77777777" w:rsidR="00DC6420" w:rsidRPr="003E76E7" w:rsidRDefault="00DC6420" w:rsidP="00C4292D">
      <w:pPr>
        <w:ind w:left="2" w:firstLine="1"/>
        <w:jc w:val="center"/>
        <w:rPr>
          <w:lang w:val="en-AU"/>
        </w:rPr>
      </w:pPr>
    </w:p>
    <w:p w14:paraId="2E7F11B7" w14:textId="77777777" w:rsidR="00DC6420" w:rsidRPr="003E76E7" w:rsidRDefault="00DC6420" w:rsidP="00C4292D">
      <w:pPr>
        <w:ind w:left="2" w:firstLine="1"/>
        <w:jc w:val="center"/>
        <w:rPr>
          <w:lang w:val="en-AU"/>
        </w:rPr>
      </w:pPr>
    </w:p>
    <w:p w14:paraId="5BD773EB" w14:textId="77777777" w:rsidR="00DC6420" w:rsidRPr="003E76E7" w:rsidRDefault="00DC6420" w:rsidP="00C4292D">
      <w:pPr>
        <w:ind w:left="2" w:firstLine="1"/>
        <w:jc w:val="center"/>
        <w:rPr>
          <w:lang w:val="en-AU"/>
        </w:rPr>
      </w:pPr>
    </w:p>
    <w:p w14:paraId="7386E16C" w14:textId="77777777" w:rsidR="00DC6420" w:rsidRPr="003E76E7" w:rsidRDefault="00DC6420" w:rsidP="00C4292D">
      <w:pPr>
        <w:ind w:left="2" w:firstLine="1"/>
        <w:jc w:val="center"/>
        <w:rPr>
          <w:lang w:val="en-AU"/>
        </w:rPr>
      </w:pPr>
    </w:p>
    <w:p w14:paraId="1882F162" w14:textId="77777777" w:rsidR="00DC6420" w:rsidRPr="003E76E7" w:rsidRDefault="00DC6420" w:rsidP="00C4292D">
      <w:pPr>
        <w:ind w:left="2" w:firstLine="1"/>
        <w:jc w:val="center"/>
        <w:rPr>
          <w:lang w:val="en-AU"/>
        </w:rPr>
      </w:pPr>
      <w:r w:rsidRPr="003E76E7">
        <w:rPr>
          <w:lang w:val="en-AU"/>
        </w:rPr>
        <w:t>This page intentionally left blank.</w:t>
      </w:r>
    </w:p>
    <w:p w14:paraId="65F892F9" w14:textId="76846F92" w:rsidR="00CC47BF" w:rsidRPr="003E76E7" w:rsidRDefault="00CC47BF" w:rsidP="00C4292D">
      <w:pPr>
        <w:rPr>
          <w:lang w:val="en-AU"/>
        </w:rPr>
      </w:pPr>
    </w:p>
    <w:p w14:paraId="51B93DC2" w14:textId="77777777" w:rsidR="00CC47BF" w:rsidRPr="003E76E7" w:rsidRDefault="00CC47BF" w:rsidP="00C4292D">
      <w:pPr>
        <w:rPr>
          <w:lang w:val="en-AU"/>
        </w:rPr>
        <w:sectPr w:rsidR="00CC47BF" w:rsidRPr="003E76E7" w:rsidSect="00C30BE6">
          <w:headerReference w:type="even" r:id="rId50"/>
          <w:headerReference w:type="default" r:id="rId51"/>
          <w:footerReference w:type="even" r:id="rId52"/>
          <w:footerReference w:type="default" r:id="rId53"/>
          <w:headerReference w:type="first" r:id="rId54"/>
          <w:pgSz w:w="11906" w:h="16838" w:code="9"/>
          <w:pgMar w:top="1701" w:right="1361" w:bottom="1701" w:left="1928" w:header="720" w:footer="720" w:gutter="0"/>
          <w:pgNumType w:start="1"/>
          <w:cols w:space="720"/>
        </w:sectPr>
      </w:pPr>
    </w:p>
    <w:p w14:paraId="30FFFFD6" w14:textId="77777777" w:rsidR="001A4E61" w:rsidRPr="003E76E7" w:rsidRDefault="001A4E61" w:rsidP="00C4292D">
      <w:pPr>
        <w:pStyle w:val="Heading1noTOC"/>
        <w:jc w:val="left"/>
      </w:pPr>
    </w:p>
    <w:p w14:paraId="4B3360F2" w14:textId="04EE6F06" w:rsidR="001A4E61" w:rsidRPr="003E76E7" w:rsidRDefault="001A4E61" w:rsidP="00C4292D">
      <w:pPr>
        <w:pStyle w:val="BodyText"/>
        <w:rPr>
          <w:szCs w:val="20"/>
        </w:rPr>
      </w:pPr>
    </w:p>
    <w:p w14:paraId="1DE3BCCF" w14:textId="77777777" w:rsidR="001A4E61" w:rsidRPr="003E76E7" w:rsidRDefault="001A4E61" w:rsidP="00C4292D">
      <w:pPr>
        <w:pStyle w:val="BodyText"/>
      </w:pPr>
    </w:p>
    <w:p w14:paraId="683D24B4" w14:textId="4755AB2A" w:rsidR="00EA1050" w:rsidRPr="003E76E7" w:rsidRDefault="009F75B3" w:rsidP="00C4292D">
      <w:pPr>
        <w:pStyle w:val="Heading2"/>
        <w:spacing w:before="0" w:after="360"/>
        <w:jc w:val="center"/>
        <w:rPr>
          <w:rFonts w:ascii="Arial Bold" w:hAnsi="Arial Bold"/>
          <w:b/>
          <w:sz w:val="52"/>
          <w:szCs w:val="52"/>
        </w:rPr>
      </w:pPr>
      <w:bookmarkStart w:id="677" w:name="_Toc225848140"/>
      <w:bookmarkStart w:id="678" w:name="_Toc225848220"/>
      <w:bookmarkStart w:id="679" w:name="_Toc225848255"/>
      <w:bookmarkStart w:id="680" w:name="_Toc225848479"/>
      <w:bookmarkStart w:id="681" w:name="_Toc225941546"/>
      <w:bookmarkStart w:id="682" w:name="_Toc225942553"/>
      <w:bookmarkStart w:id="683" w:name="_Toc227334363"/>
      <w:bookmarkStart w:id="684" w:name="_Toc229072438"/>
      <w:bookmarkStart w:id="685" w:name="_Toc229072610"/>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r w:rsidRPr="003E76E7">
        <w:rPr>
          <w:rFonts w:ascii="Arial Bold" w:hAnsi="Arial Bold"/>
          <w:b/>
          <w:sz w:val="52"/>
          <w:szCs w:val="52"/>
        </w:rPr>
        <w:t>Defence</w:t>
      </w:r>
      <w:bookmarkEnd w:id="677"/>
      <w:bookmarkEnd w:id="678"/>
      <w:bookmarkEnd w:id="679"/>
      <w:bookmarkEnd w:id="680"/>
      <w:bookmarkEnd w:id="681"/>
      <w:bookmarkEnd w:id="682"/>
      <w:bookmarkEnd w:id="683"/>
      <w:bookmarkEnd w:id="684"/>
      <w:bookmarkEnd w:id="685"/>
    </w:p>
    <w:p w14:paraId="0CB5F120" w14:textId="77777777" w:rsidR="00B21C1A" w:rsidRPr="003E76E7" w:rsidRDefault="00A12F12" w:rsidP="00C4292D">
      <w:pPr>
        <w:spacing w:before="0" w:after="480"/>
        <w:rPr>
          <w:lang w:val="en-AU"/>
        </w:rPr>
      </w:pPr>
      <w:r w:rsidRPr="003E76E7">
        <w:rPr>
          <w:lang w:val="en-AU"/>
        </w:rPr>
        <w:tab/>
      </w:r>
    </w:p>
    <w:p w14:paraId="3AF00309" w14:textId="77777777" w:rsidR="00F9005F" w:rsidRPr="003E76E7" w:rsidRDefault="004F04AE" w:rsidP="00C4292D">
      <w:pPr>
        <w:pStyle w:val="DepartmentalSubtitle"/>
        <w:rPr>
          <w:sz w:val="48"/>
          <w:szCs w:val="48"/>
          <w:lang w:val="en-AU"/>
        </w:rPr>
      </w:pPr>
      <w:r w:rsidRPr="003E76E7">
        <w:rPr>
          <w:sz w:val="48"/>
          <w:szCs w:val="48"/>
          <w:lang w:val="en-AU"/>
        </w:rPr>
        <w:t>Entity</w:t>
      </w:r>
      <w:r w:rsidR="00D51782" w:rsidRPr="003E76E7">
        <w:rPr>
          <w:sz w:val="48"/>
          <w:szCs w:val="48"/>
          <w:lang w:val="en-AU"/>
        </w:rPr>
        <w:t xml:space="preserve"> Resources and Planned P</w:t>
      </w:r>
      <w:r w:rsidR="00F9005F" w:rsidRPr="003E76E7">
        <w:rPr>
          <w:sz w:val="48"/>
          <w:szCs w:val="48"/>
          <w:lang w:val="en-AU"/>
        </w:rPr>
        <w:t>erformance</w:t>
      </w:r>
    </w:p>
    <w:p w14:paraId="56F07463" w14:textId="1D440FDC" w:rsidR="00B96C93" w:rsidRDefault="00CF1300" w:rsidP="00B96C93">
      <w:pPr>
        <w:pStyle w:val="TOC2"/>
        <w:rPr>
          <w:rFonts w:asciiTheme="minorHAnsi" w:eastAsiaTheme="minorEastAsia" w:hAnsiTheme="minorHAnsi" w:cstheme="minorBidi"/>
          <w:b w:val="0"/>
          <w:caps w:val="0"/>
          <w:sz w:val="22"/>
          <w:szCs w:val="22"/>
          <w:lang w:val="en-AU"/>
        </w:rPr>
      </w:pPr>
      <w:r w:rsidRPr="003E76E7">
        <w:fldChar w:fldCharType="begin"/>
      </w:r>
      <w:r w:rsidRPr="003E76E7">
        <w:instrText xml:space="preserve"> TOC \o "1-4" \h \z \u </w:instrText>
      </w:r>
      <w:r w:rsidRPr="003E76E7">
        <w:fldChar w:fldCharType="separate"/>
      </w:r>
    </w:p>
    <w:p w14:paraId="61ADD766" w14:textId="4BD861BB" w:rsidR="00B96C93" w:rsidRDefault="00AD70C0">
      <w:pPr>
        <w:pStyle w:val="TOC3"/>
        <w:rPr>
          <w:rFonts w:asciiTheme="minorHAnsi" w:eastAsiaTheme="minorEastAsia" w:hAnsiTheme="minorHAnsi" w:cstheme="minorBidi"/>
          <w:b w:val="0"/>
          <w:sz w:val="22"/>
          <w:szCs w:val="22"/>
          <w:lang w:val="en-AU"/>
        </w:rPr>
      </w:pPr>
      <w:hyperlink w:anchor="_Toc229072611" w:history="1">
        <w:r w:rsidR="00B96C93" w:rsidRPr="009A5130">
          <w:rPr>
            <w:rStyle w:val="Hyperlink"/>
          </w:rPr>
          <w:t>Section 1: Defence Overview and Resources</w:t>
        </w:r>
        <w:r w:rsidR="00B96C93">
          <w:rPr>
            <w:webHidden/>
          </w:rPr>
          <w:tab/>
        </w:r>
        <w:r w:rsidR="00B96C93">
          <w:rPr>
            <w:webHidden/>
          </w:rPr>
          <w:fldChar w:fldCharType="begin"/>
        </w:r>
        <w:r w:rsidR="00B96C93">
          <w:rPr>
            <w:webHidden/>
          </w:rPr>
          <w:instrText xml:space="preserve"> PAGEREF _Toc229072611 \h </w:instrText>
        </w:r>
        <w:r w:rsidR="00B96C93">
          <w:rPr>
            <w:webHidden/>
          </w:rPr>
        </w:r>
        <w:r w:rsidR="00B96C93">
          <w:rPr>
            <w:webHidden/>
          </w:rPr>
          <w:fldChar w:fldCharType="separate"/>
        </w:r>
        <w:r w:rsidR="00E00C37">
          <w:rPr>
            <w:webHidden/>
          </w:rPr>
          <w:t>11</w:t>
        </w:r>
        <w:r w:rsidR="00B96C93">
          <w:rPr>
            <w:webHidden/>
          </w:rPr>
          <w:fldChar w:fldCharType="end"/>
        </w:r>
      </w:hyperlink>
    </w:p>
    <w:p w14:paraId="652D514C" w14:textId="36763FE7" w:rsidR="00B96C93" w:rsidRDefault="00AD70C0">
      <w:pPr>
        <w:pStyle w:val="TOC4"/>
        <w:rPr>
          <w:rFonts w:asciiTheme="minorHAnsi" w:eastAsiaTheme="minorEastAsia" w:hAnsiTheme="minorHAnsi" w:cstheme="minorBidi"/>
          <w:sz w:val="22"/>
          <w:szCs w:val="22"/>
          <w:lang w:val="en-AU"/>
        </w:rPr>
      </w:pPr>
      <w:hyperlink w:anchor="_Toc229072612" w:history="1">
        <w:r w:rsidR="00B96C93" w:rsidRPr="009A5130">
          <w:rPr>
            <w:rStyle w:val="Hyperlink"/>
          </w:rPr>
          <w:t>1.1 Strategic Direction Statement</w:t>
        </w:r>
        <w:r w:rsidR="00B96C93">
          <w:rPr>
            <w:webHidden/>
          </w:rPr>
          <w:tab/>
        </w:r>
        <w:r w:rsidR="00B96C93">
          <w:rPr>
            <w:webHidden/>
          </w:rPr>
          <w:fldChar w:fldCharType="begin"/>
        </w:r>
        <w:r w:rsidR="00B96C93">
          <w:rPr>
            <w:webHidden/>
          </w:rPr>
          <w:instrText xml:space="preserve"> PAGEREF _Toc229072612 \h </w:instrText>
        </w:r>
        <w:r w:rsidR="00B96C93">
          <w:rPr>
            <w:webHidden/>
          </w:rPr>
        </w:r>
        <w:r w:rsidR="00B96C93">
          <w:rPr>
            <w:webHidden/>
          </w:rPr>
          <w:fldChar w:fldCharType="separate"/>
        </w:r>
        <w:r w:rsidR="00E00C37">
          <w:rPr>
            <w:webHidden/>
          </w:rPr>
          <w:t>11</w:t>
        </w:r>
        <w:r w:rsidR="00B96C93">
          <w:rPr>
            <w:webHidden/>
          </w:rPr>
          <w:fldChar w:fldCharType="end"/>
        </w:r>
      </w:hyperlink>
    </w:p>
    <w:p w14:paraId="1694CA5F" w14:textId="1707FAAD" w:rsidR="00B96C93" w:rsidRDefault="00AD70C0">
      <w:pPr>
        <w:pStyle w:val="TOC4"/>
        <w:rPr>
          <w:rFonts w:asciiTheme="minorHAnsi" w:eastAsiaTheme="minorEastAsia" w:hAnsiTheme="minorHAnsi" w:cstheme="minorBidi"/>
          <w:sz w:val="22"/>
          <w:szCs w:val="22"/>
          <w:lang w:val="en-AU"/>
        </w:rPr>
      </w:pPr>
      <w:hyperlink w:anchor="_Toc229072613" w:history="1">
        <w:r w:rsidR="00B96C93" w:rsidRPr="009A5130">
          <w:rPr>
            <w:rStyle w:val="Hyperlink"/>
          </w:rPr>
          <w:t>1.2 Defence Resource Statement</w:t>
        </w:r>
        <w:r w:rsidR="00B96C93">
          <w:rPr>
            <w:webHidden/>
          </w:rPr>
          <w:tab/>
        </w:r>
        <w:r w:rsidR="00B96C93">
          <w:rPr>
            <w:webHidden/>
          </w:rPr>
          <w:fldChar w:fldCharType="begin"/>
        </w:r>
        <w:r w:rsidR="00B96C93">
          <w:rPr>
            <w:webHidden/>
          </w:rPr>
          <w:instrText xml:space="preserve"> PAGEREF _Toc229072613 \h </w:instrText>
        </w:r>
        <w:r w:rsidR="00B96C93">
          <w:rPr>
            <w:webHidden/>
          </w:rPr>
        </w:r>
        <w:r w:rsidR="00B96C93">
          <w:rPr>
            <w:webHidden/>
          </w:rPr>
          <w:fldChar w:fldCharType="separate"/>
        </w:r>
        <w:r w:rsidR="00E00C37">
          <w:rPr>
            <w:webHidden/>
          </w:rPr>
          <w:t>17</w:t>
        </w:r>
        <w:r w:rsidR="00B96C93">
          <w:rPr>
            <w:webHidden/>
          </w:rPr>
          <w:fldChar w:fldCharType="end"/>
        </w:r>
      </w:hyperlink>
    </w:p>
    <w:p w14:paraId="6524585B" w14:textId="37067A2A" w:rsidR="00B96C93" w:rsidRDefault="00AD70C0">
      <w:pPr>
        <w:pStyle w:val="TOC4"/>
        <w:rPr>
          <w:rFonts w:asciiTheme="minorHAnsi" w:eastAsiaTheme="minorEastAsia" w:hAnsiTheme="minorHAnsi" w:cstheme="minorBidi"/>
          <w:sz w:val="22"/>
          <w:szCs w:val="22"/>
          <w:lang w:val="en-AU"/>
        </w:rPr>
      </w:pPr>
      <w:hyperlink w:anchor="_Toc229072614" w:history="1">
        <w:r w:rsidR="00B96C93" w:rsidRPr="009A5130">
          <w:rPr>
            <w:rStyle w:val="Hyperlink"/>
            <w:lang w:val="en-AU"/>
          </w:rPr>
          <w:t>1.3 Budget Measures</w:t>
        </w:r>
        <w:r w:rsidR="00B96C93">
          <w:rPr>
            <w:webHidden/>
          </w:rPr>
          <w:tab/>
        </w:r>
        <w:r w:rsidR="00B96C93">
          <w:rPr>
            <w:webHidden/>
          </w:rPr>
          <w:fldChar w:fldCharType="begin"/>
        </w:r>
        <w:r w:rsidR="00B96C93">
          <w:rPr>
            <w:webHidden/>
          </w:rPr>
          <w:instrText xml:space="preserve"> PAGEREF _Toc229072614 \h </w:instrText>
        </w:r>
        <w:r w:rsidR="00B96C93">
          <w:rPr>
            <w:webHidden/>
          </w:rPr>
        </w:r>
        <w:r w:rsidR="00B96C93">
          <w:rPr>
            <w:webHidden/>
          </w:rPr>
          <w:fldChar w:fldCharType="separate"/>
        </w:r>
        <w:r w:rsidR="00E00C37">
          <w:rPr>
            <w:webHidden/>
          </w:rPr>
          <w:t>18</w:t>
        </w:r>
        <w:r w:rsidR="00B96C93">
          <w:rPr>
            <w:webHidden/>
          </w:rPr>
          <w:fldChar w:fldCharType="end"/>
        </w:r>
      </w:hyperlink>
    </w:p>
    <w:p w14:paraId="3E5E7D97" w14:textId="49299D15" w:rsidR="00B96C93" w:rsidRDefault="00AD70C0">
      <w:pPr>
        <w:pStyle w:val="TOC4"/>
        <w:rPr>
          <w:rFonts w:asciiTheme="minorHAnsi" w:eastAsiaTheme="minorEastAsia" w:hAnsiTheme="minorHAnsi" w:cstheme="minorBidi"/>
          <w:sz w:val="22"/>
          <w:szCs w:val="22"/>
          <w:lang w:val="en-AU"/>
        </w:rPr>
      </w:pPr>
      <w:hyperlink w:anchor="_Toc229072615" w:history="1">
        <w:r w:rsidR="00B96C93" w:rsidRPr="009A5130">
          <w:rPr>
            <w:rStyle w:val="Hyperlink"/>
            <w:lang w:val="en-AU"/>
          </w:rPr>
          <w:t>1.4 Key Cost Category Estimates</w:t>
        </w:r>
        <w:r w:rsidR="00B96C93">
          <w:rPr>
            <w:webHidden/>
          </w:rPr>
          <w:tab/>
        </w:r>
        <w:r w:rsidR="00B96C93">
          <w:rPr>
            <w:webHidden/>
          </w:rPr>
          <w:fldChar w:fldCharType="begin"/>
        </w:r>
        <w:r w:rsidR="00B96C93">
          <w:rPr>
            <w:webHidden/>
          </w:rPr>
          <w:instrText xml:space="preserve"> PAGEREF _Toc229072615 \h </w:instrText>
        </w:r>
        <w:r w:rsidR="00B96C93">
          <w:rPr>
            <w:webHidden/>
          </w:rPr>
        </w:r>
        <w:r w:rsidR="00B96C93">
          <w:rPr>
            <w:webHidden/>
          </w:rPr>
          <w:fldChar w:fldCharType="separate"/>
        </w:r>
        <w:r w:rsidR="00E00C37">
          <w:rPr>
            <w:webHidden/>
          </w:rPr>
          <w:t>21</w:t>
        </w:r>
        <w:r w:rsidR="00B96C93">
          <w:rPr>
            <w:webHidden/>
          </w:rPr>
          <w:fldChar w:fldCharType="end"/>
        </w:r>
      </w:hyperlink>
    </w:p>
    <w:p w14:paraId="4A04DE39" w14:textId="1F911BEC" w:rsidR="00B96C93" w:rsidRDefault="00AD70C0">
      <w:pPr>
        <w:pStyle w:val="TOC4"/>
        <w:rPr>
          <w:rFonts w:asciiTheme="minorHAnsi" w:eastAsiaTheme="minorEastAsia" w:hAnsiTheme="minorHAnsi" w:cstheme="minorBidi"/>
          <w:sz w:val="22"/>
          <w:szCs w:val="22"/>
          <w:lang w:val="en-AU"/>
        </w:rPr>
      </w:pPr>
      <w:hyperlink w:anchor="_Toc229072616" w:history="1">
        <w:r w:rsidR="00B96C93" w:rsidRPr="009A5130">
          <w:rPr>
            <w:rStyle w:val="Hyperlink"/>
            <w:lang w:val="en-AU"/>
          </w:rPr>
          <w:t>1.5 People</w:t>
        </w:r>
        <w:r w:rsidR="00B96C93">
          <w:rPr>
            <w:webHidden/>
          </w:rPr>
          <w:tab/>
        </w:r>
        <w:r w:rsidR="00B96C93">
          <w:rPr>
            <w:webHidden/>
          </w:rPr>
          <w:tab/>
        </w:r>
        <w:r w:rsidR="00B96C93">
          <w:rPr>
            <w:webHidden/>
          </w:rPr>
          <w:fldChar w:fldCharType="begin"/>
        </w:r>
        <w:r w:rsidR="00B96C93">
          <w:rPr>
            <w:webHidden/>
          </w:rPr>
          <w:instrText xml:space="preserve"> PAGEREF _Toc229072616 \h </w:instrText>
        </w:r>
        <w:r w:rsidR="00B96C93">
          <w:rPr>
            <w:webHidden/>
          </w:rPr>
        </w:r>
        <w:r w:rsidR="00B96C93">
          <w:rPr>
            <w:webHidden/>
          </w:rPr>
          <w:fldChar w:fldCharType="separate"/>
        </w:r>
        <w:r w:rsidR="00E00C37">
          <w:rPr>
            <w:webHidden/>
          </w:rPr>
          <w:t>23</w:t>
        </w:r>
        <w:r w:rsidR="00B96C93">
          <w:rPr>
            <w:webHidden/>
          </w:rPr>
          <w:fldChar w:fldCharType="end"/>
        </w:r>
      </w:hyperlink>
    </w:p>
    <w:p w14:paraId="37CE1EC7" w14:textId="2C8C8DB0" w:rsidR="00B96C93" w:rsidRDefault="00AD70C0">
      <w:pPr>
        <w:pStyle w:val="TOC3"/>
        <w:rPr>
          <w:rFonts w:asciiTheme="minorHAnsi" w:eastAsiaTheme="minorEastAsia" w:hAnsiTheme="minorHAnsi" w:cstheme="minorBidi"/>
          <w:b w:val="0"/>
          <w:sz w:val="22"/>
          <w:szCs w:val="22"/>
          <w:lang w:val="en-AU"/>
        </w:rPr>
      </w:pPr>
      <w:hyperlink w:anchor="_Toc229072617" w:history="1">
        <w:r w:rsidR="00B96C93" w:rsidRPr="009A5130">
          <w:rPr>
            <w:rStyle w:val="Hyperlink"/>
          </w:rPr>
          <w:t>Section 2: Defence Outcomes and Planned Performance</w:t>
        </w:r>
        <w:r w:rsidR="00B96C93">
          <w:rPr>
            <w:webHidden/>
          </w:rPr>
          <w:tab/>
        </w:r>
        <w:r w:rsidR="00B96C93">
          <w:rPr>
            <w:webHidden/>
          </w:rPr>
          <w:fldChar w:fldCharType="begin"/>
        </w:r>
        <w:r w:rsidR="00B96C93">
          <w:rPr>
            <w:webHidden/>
          </w:rPr>
          <w:instrText xml:space="preserve"> PAGEREF _Toc229072617 \h </w:instrText>
        </w:r>
        <w:r w:rsidR="00B96C93">
          <w:rPr>
            <w:webHidden/>
          </w:rPr>
        </w:r>
        <w:r w:rsidR="00B96C93">
          <w:rPr>
            <w:webHidden/>
          </w:rPr>
          <w:fldChar w:fldCharType="separate"/>
        </w:r>
        <w:r w:rsidR="00E00C37">
          <w:rPr>
            <w:webHidden/>
          </w:rPr>
          <w:t>27</w:t>
        </w:r>
        <w:r w:rsidR="00B96C93">
          <w:rPr>
            <w:webHidden/>
          </w:rPr>
          <w:fldChar w:fldCharType="end"/>
        </w:r>
      </w:hyperlink>
    </w:p>
    <w:p w14:paraId="797F8B9C" w14:textId="3A4325C3" w:rsidR="00B96C93" w:rsidRDefault="00AD70C0">
      <w:pPr>
        <w:pStyle w:val="TOC4"/>
        <w:rPr>
          <w:rFonts w:asciiTheme="minorHAnsi" w:eastAsiaTheme="minorEastAsia" w:hAnsiTheme="minorHAnsi" w:cstheme="minorBidi"/>
          <w:sz w:val="22"/>
          <w:szCs w:val="22"/>
          <w:lang w:val="en-AU"/>
        </w:rPr>
      </w:pPr>
      <w:hyperlink w:anchor="_Toc229072618" w:history="1">
        <w:r w:rsidR="00B96C93" w:rsidRPr="009A5130">
          <w:rPr>
            <w:rStyle w:val="Hyperlink"/>
          </w:rPr>
          <w:t>2.1 Budget Expenses and Performance for Outcome 1</w:t>
        </w:r>
        <w:r w:rsidR="00B96C93">
          <w:rPr>
            <w:webHidden/>
          </w:rPr>
          <w:tab/>
        </w:r>
        <w:r w:rsidR="00B96C93">
          <w:rPr>
            <w:webHidden/>
          </w:rPr>
          <w:fldChar w:fldCharType="begin"/>
        </w:r>
        <w:r w:rsidR="00B96C93">
          <w:rPr>
            <w:webHidden/>
          </w:rPr>
          <w:instrText xml:space="preserve"> PAGEREF _Toc229072618 \h </w:instrText>
        </w:r>
        <w:r w:rsidR="00B96C93">
          <w:rPr>
            <w:webHidden/>
          </w:rPr>
        </w:r>
        <w:r w:rsidR="00B96C93">
          <w:rPr>
            <w:webHidden/>
          </w:rPr>
          <w:fldChar w:fldCharType="separate"/>
        </w:r>
        <w:r w:rsidR="00E00C37">
          <w:rPr>
            <w:webHidden/>
          </w:rPr>
          <w:t>30</w:t>
        </w:r>
        <w:r w:rsidR="00B96C93">
          <w:rPr>
            <w:webHidden/>
          </w:rPr>
          <w:fldChar w:fldCharType="end"/>
        </w:r>
      </w:hyperlink>
    </w:p>
    <w:p w14:paraId="2D1BDF47" w14:textId="22BA4C2E" w:rsidR="00B96C93" w:rsidRDefault="00AD70C0">
      <w:pPr>
        <w:pStyle w:val="TOC4"/>
        <w:rPr>
          <w:rFonts w:asciiTheme="minorHAnsi" w:eastAsiaTheme="minorEastAsia" w:hAnsiTheme="minorHAnsi" w:cstheme="minorBidi"/>
          <w:sz w:val="22"/>
          <w:szCs w:val="22"/>
          <w:lang w:val="en-AU"/>
        </w:rPr>
      </w:pPr>
      <w:hyperlink w:anchor="_Toc229072619" w:history="1">
        <w:r w:rsidR="00B96C93" w:rsidRPr="009A5130">
          <w:rPr>
            <w:rStyle w:val="Hyperlink"/>
          </w:rPr>
          <w:t>2.2 Budget Expenses and Performance for Outcome 2</w:t>
        </w:r>
        <w:r w:rsidR="00B96C93">
          <w:rPr>
            <w:webHidden/>
          </w:rPr>
          <w:tab/>
        </w:r>
        <w:r w:rsidR="00B96C93">
          <w:rPr>
            <w:webHidden/>
          </w:rPr>
          <w:fldChar w:fldCharType="begin"/>
        </w:r>
        <w:r w:rsidR="00B96C93">
          <w:rPr>
            <w:webHidden/>
          </w:rPr>
          <w:instrText xml:space="preserve"> PAGEREF _Toc229072619 \h </w:instrText>
        </w:r>
        <w:r w:rsidR="00B96C93">
          <w:rPr>
            <w:webHidden/>
          </w:rPr>
        </w:r>
        <w:r w:rsidR="00B96C93">
          <w:rPr>
            <w:webHidden/>
          </w:rPr>
          <w:fldChar w:fldCharType="separate"/>
        </w:r>
        <w:r w:rsidR="00E00C37">
          <w:rPr>
            <w:webHidden/>
          </w:rPr>
          <w:t>40</w:t>
        </w:r>
        <w:r w:rsidR="00B96C93">
          <w:rPr>
            <w:webHidden/>
          </w:rPr>
          <w:fldChar w:fldCharType="end"/>
        </w:r>
      </w:hyperlink>
    </w:p>
    <w:p w14:paraId="21516729" w14:textId="5F264473" w:rsidR="00B96C93" w:rsidRDefault="00AD70C0">
      <w:pPr>
        <w:pStyle w:val="TOC3"/>
        <w:rPr>
          <w:rFonts w:asciiTheme="minorHAnsi" w:eastAsiaTheme="minorEastAsia" w:hAnsiTheme="minorHAnsi" w:cstheme="minorBidi"/>
          <w:b w:val="0"/>
          <w:sz w:val="22"/>
          <w:szCs w:val="22"/>
          <w:lang w:val="en-AU"/>
        </w:rPr>
      </w:pPr>
      <w:hyperlink w:anchor="_Toc229072620" w:history="1">
        <w:r w:rsidR="00B96C93" w:rsidRPr="009A5130">
          <w:rPr>
            <w:rStyle w:val="Hyperlink"/>
          </w:rPr>
          <w:t>Section 3: Defence Budgeted Financial Statements</w:t>
        </w:r>
        <w:r w:rsidR="00B96C93">
          <w:rPr>
            <w:webHidden/>
          </w:rPr>
          <w:tab/>
        </w:r>
        <w:r w:rsidR="00B96C93">
          <w:rPr>
            <w:webHidden/>
          </w:rPr>
          <w:fldChar w:fldCharType="begin"/>
        </w:r>
        <w:r w:rsidR="00B96C93">
          <w:rPr>
            <w:webHidden/>
          </w:rPr>
          <w:instrText xml:space="preserve"> PAGEREF _Toc229072620 \h </w:instrText>
        </w:r>
        <w:r w:rsidR="00B96C93">
          <w:rPr>
            <w:webHidden/>
          </w:rPr>
        </w:r>
        <w:r w:rsidR="00B96C93">
          <w:rPr>
            <w:webHidden/>
          </w:rPr>
          <w:fldChar w:fldCharType="separate"/>
        </w:r>
        <w:r w:rsidR="00E00C37">
          <w:rPr>
            <w:webHidden/>
          </w:rPr>
          <w:t>100</w:t>
        </w:r>
        <w:r w:rsidR="00B96C93">
          <w:rPr>
            <w:webHidden/>
          </w:rPr>
          <w:fldChar w:fldCharType="end"/>
        </w:r>
      </w:hyperlink>
    </w:p>
    <w:p w14:paraId="4AEF447E" w14:textId="1E94B6E2" w:rsidR="00B96C93" w:rsidRDefault="00AD70C0">
      <w:pPr>
        <w:pStyle w:val="TOC4"/>
        <w:rPr>
          <w:rFonts w:asciiTheme="minorHAnsi" w:eastAsiaTheme="minorEastAsia" w:hAnsiTheme="minorHAnsi" w:cstheme="minorBidi"/>
          <w:sz w:val="22"/>
          <w:szCs w:val="22"/>
          <w:lang w:val="en-AU"/>
        </w:rPr>
      </w:pPr>
      <w:hyperlink w:anchor="_Toc229072621" w:history="1">
        <w:r w:rsidR="00B96C93" w:rsidRPr="009A5130">
          <w:rPr>
            <w:rStyle w:val="Hyperlink"/>
          </w:rPr>
          <w:t>3.1 Grants</w:t>
        </w:r>
        <w:r w:rsidR="00B96C93">
          <w:rPr>
            <w:webHidden/>
          </w:rPr>
          <w:tab/>
        </w:r>
        <w:r w:rsidR="00B96C93">
          <w:rPr>
            <w:webHidden/>
          </w:rPr>
          <w:tab/>
        </w:r>
        <w:r w:rsidR="00B96C93">
          <w:rPr>
            <w:webHidden/>
          </w:rPr>
          <w:fldChar w:fldCharType="begin"/>
        </w:r>
        <w:r w:rsidR="00B96C93">
          <w:rPr>
            <w:webHidden/>
          </w:rPr>
          <w:instrText xml:space="preserve"> PAGEREF _Toc229072621 \h </w:instrText>
        </w:r>
        <w:r w:rsidR="00B96C93">
          <w:rPr>
            <w:webHidden/>
          </w:rPr>
        </w:r>
        <w:r w:rsidR="00B96C93">
          <w:rPr>
            <w:webHidden/>
          </w:rPr>
          <w:fldChar w:fldCharType="separate"/>
        </w:r>
        <w:r w:rsidR="00E00C37">
          <w:rPr>
            <w:webHidden/>
          </w:rPr>
          <w:t>100</w:t>
        </w:r>
        <w:r w:rsidR="00B96C93">
          <w:rPr>
            <w:webHidden/>
          </w:rPr>
          <w:fldChar w:fldCharType="end"/>
        </w:r>
      </w:hyperlink>
    </w:p>
    <w:p w14:paraId="5823833E" w14:textId="7BE2905D" w:rsidR="00B96C93" w:rsidRDefault="00AD70C0">
      <w:pPr>
        <w:pStyle w:val="TOC4"/>
        <w:rPr>
          <w:rFonts w:asciiTheme="minorHAnsi" w:eastAsiaTheme="minorEastAsia" w:hAnsiTheme="minorHAnsi" w:cstheme="minorBidi"/>
          <w:sz w:val="22"/>
          <w:szCs w:val="22"/>
          <w:lang w:val="en-AU"/>
        </w:rPr>
      </w:pPr>
      <w:hyperlink w:anchor="_Toc229072622" w:history="1">
        <w:r w:rsidR="00B96C93" w:rsidRPr="009A5130">
          <w:rPr>
            <w:rStyle w:val="Hyperlink"/>
          </w:rPr>
          <w:t>3.2 Resource Summary</w:t>
        </w:r>
        <w:r w:rsidR="00B96C93">
          <w:rPr>
            <w:webHidden/>
          </w:rPr>
          <w:tab/>
        </w:r>
        <w:r w:rsidR="00B96C93">
          <w:rPr>
            <w:webHidden/>
          </w:rPr>
          <w:fldChar w:fldCharType="begin"/>
        </w:r>
        <w:r w:rsidR="00B96C93">
          <w:rPr>
            <w:webHidden/>
          </w:rPr>
          <w:instrText xml:space="preserve"> PAGEREF _Toc229072622 \h </w:instrText>
        </w:r>
        <w:r w:rsidR="00B96C93">
          <w:rPr>
            <w:webHidden/>
          </w:rPr>
        </w:r>
        <w:r w:rsidR="00B96C93">
          <w:rPr>
            <w:webHidden/>
          </w:rPr>
          <w:fldChar w:fldCharType="separate"/>
        </w:r>
        <w:r w:rsidR="00E00C37">
          <w:rPr>
            <w:webHidden/>
          </w:rPr>
          <w:t>101</w:t>
        </w:r>
        <w:r w:rsidR="00B96C93">
          <w:rPr>
            <w:webHidden/>
          </w:rPr>
          <w:fldChar w:fldCharType="end"/>
        </w:r>
      </w:hyperlink>
    </w:p>
    <w:p w14:paraId="656EC9D2" w14:textId="6E354CCF" w:rsidR="00B96C93" w:rsidRDefault="00AD70C0">
      <w:pPr>
        <w:pStyle w:val="TOC4"/>
        <w:rPr>
          <w:rFonts w:asciiTheme="minorHAnsi" w:eastAsiaTheme="minorEastAsia" w:hAnsiTheme="minorHAnsi" w:cstheme="minorBidi"/>
          <w:sz w:val="22"/>
          <w:szCs w:val="22"/>
          <w:lang w:val="en-AU"/>
        </w:rPr>
      </w:pPr>
      <w:hyperlink w:anchor="_Toc229072623" w:history="1">
        <w:r w:rsidR="00B96C93" w:rsidRPr="009A5130">
          <w:rPr>
            <w:rStyle w:val="Hyperlink"/>
          </w:rPr>
          <w:t>3.3 Budgeted Financial Statements</w:t>
        </w:r>
        <w:r w:rsidR="00B96C93">
          <w:rPr>
            <w:webHidden/>
          </w:rPr>
          <w:tab/>
        </w:r>
        <w:r w:rsidR="00B96C93">
          <w:rPr>
            <w:webHidden/>
          </w:rPr>
          <w:fldChar w:fldCharType="begin"/>
        </w:r>
        <w:r w:rsidR="00B96C93">
          <w:rPr>
            <w:webHidden/>
          </w:rPr>
          <w:instrText xml:space="preserve"> PAGEREF _Toc229072623 \h </w:instrText>
        </w:r>
        <w:r w:rsidR="00B96C93">
          <w:rPr>
            <w:webHidden/>
          </w:rPr>
        </w:r>
        <w:r w:rsidR="00B96C93">
          <w:rPr>
            <w:webHidden/>
          </w:rPr>
          <w:fldChar w:fldCharType="separate"/>
        </w:r>
        <w:r w:rsidR="00E00C37">
          <w:rPr>
            <w:webHidden/>
          </w:rPr>
          <w:t>103</w:t>
        </w:r>
        <w:r w:rsidR="00B96C93">
          <w:rPr>
            <w:webHidden/>
          </w:rPr>
          <w:fldChar w:fldCharType="end"/>
        </w:r>
      </w:hyperlink>
    </w:p>
    <w:p w14:paraId="03713A2A" w14:textId="2EF1F435" w:rsidR="00E732C9" w:rsidRPr="003E76E7" w:rsidRDefault="00CF1300" w:rsidP="00C4292D">
      <w:pPr>
        <w:pStyle w:val="TOC1"/>
      </w:pPr>
      <w:r w:rsidRPr="003E76E7">
        <w:rPr>
          <w:rFonts w:ascii="Arial" w:hAnsi="Arial"/>
          <w:b/>
          <w:caps w:val="0"/>
        </w:rPr>
        <w:fldChar w:fldCharType="end"/>
      </w:r>
    </w:p>
    <w:p w14:paraId="29D12125" w14:textId="77777777" w:rsidR="008742BA" w:rsidRPr="003E76E7" w:rsidRDefault="00F9005F" w:rsidP="00C4292D">
      <w:pPr>
        <w:pStyle w:val="TOC3"/>
      </w:pPr>
      <w:r w:rsidRPr="003E76E7">
        <w:br w:type="page"/>
      </w:r>
      <w:bookmarkStart w:id="686" w:name="_Toc353889402"/>
      <w:bookmarkStart w:id="687" w:name="_Toc354470958"/>
      <w:bookmarkStart w:id="688" w:name="_Toc354565558"/>
      <w:bookmarkStart w:id="689" w:name="_Toc354580481"/>
      <w:bookmarkStart w:id="690" w:name="_Toc354591382"/>
      <w:bookmarkStart w:id="691" w:name="_Toc354734111"/>
      <w:bookmarkStart w:id="692" w:name="_Toc355020210"/>
      <w:bookmarkStart w:id="693" w:name="_Toc355262886"/>
      <w:bookmarkStart w:id="694" w:name="_Toc355271241"/>
      <w:bookmarkStart w:id="695" w:name="_Toc355343310"/>
      <w:bookmarkStart w:id="696" w:name="_Toc355620798"/>
      <w:bookmarkStart w:id="697" w:name="_Toc359245767"/>
    </w:p>
    <w:p w14:paraId="6C6C2111" w14:textId="77777777" w:rsidR="00DC6420" w:rsidRPr="003E76E7" w:rsidRDefault="00DC6420" w:rsidP="00C4292D">
      <w:pPr>
        <w:ind w:left="2" w:firstLine="1"/>
        <w:jc w:val="center"/>
        <w:rPr>
          <w:lang w:val="en-AU"/>
        </w:rPr>
      </w:pPr>
      <w:bookmarkStart w:id="698" w:name="_Toc501442128"/>
      <w:bookmarkStart w:id="699" w:name="_Toc503861101"/>
      <w:bookmarkStart w:id="700" w:name="_Toc340655857"/>
      <w:bookmarkStart w:id="701" w:name="_Toc340656265"/>
      <w:bookmarkStart w:id="702" w:name="_Toc340656895"/>
      <w:bookmarkStart w:id="703" w:name="_Toc340665295"/>
      <w:bookmarkStart w:id="704" w:name="_Toc340669819"/>
      <w:bookmarkStart w:id="705" w:name="_Toc346545726"/>
      <w:bookmarkStart w:id="706" w:name="_Toc346622280"/>
      <w:bookmarkStart w:id="707" w:name="_Toc346692740"/>
      <w:bookmarkStart w:id="708" w:name="_Toc346713083"/>
      <w:bookmarkStart w:id="709" w:name="_Toc346788752"/>
      <w:bookmarkStart w:id="710" w:name="_Toc346824128"/>
      <w:bookmarkStart w:id="711" w:name="_Toc346891299"/>
      <w:bookmarkStart w:id="712" w:name="_Toc347238751"/>
      <w:bookmarkStart w:id="713" w:name="_Toc347415200"/>
      <w:bookmarkStart w:id="714" w:name="_Toc347473799"/>
      <w:bookmarkStart w:id="715" w:name="_Toc347481825"/>
      <w:bookmarkStart w:id="716" w:name="_Toc347490060"/>
      <w:bookmarkStart w:id="717" w:name="_Toc347744286"/>
      <w:bookmarkStart w:id="718" w:name="_Toc347754528"/>
      <w:bookmarkStart w:id="719" w:name="_Toc347757654"/>
      <w:bookmarkStart w:id="720" w:name="_Toc347764596"/>
      <w:bookmarkStart w:id="721" w:name="_Toc347766457"/>
      <w:bookmarkStart w:id="722" w:name="_Toc353889403"/>
      <w:bookmarkStart w:id="723" w:name="_Toc354470959"/>
      <w:bookmarkStart w:id="724" w:name="_Toc354565559"/>
      <w:bookmarkStart w:id="725" w:name="_Toc354580482"/>
      <w:bookmarkStart w:id="726" w:name="_Toc354591383"/>
      <w:bookmarkStart w:id="727" w:name="_Toc354734112"/>
      <w:bookmarkStart w:id="728" w:name="_Toc355020211"/>
      <w:bookmarkStart w:id="729" w:name="_Toc355262887"/>
      <w:bookmarkStart w:id="730" w:name="_Toc355271242"/>
      <w:bookmarkStart w:id="731" w:name="_Toc355343311"/>
      <w:bookmarkStart w:id="732" w:name="_Toc355620799"/>
      <w:bookmarkStart w:id="733" w:name="_Toc359245768"/>
      <w:bookmarkStart w:id="734" w:name="_Toc374969022"/>
      <w:bookmarkStart w:id="735" w:name="_Toc375310534"/>
      <w:bookmarkStart w:id="736" w:name="_Toc384298213"/>
      <w:bookmarkStart w:id="737" w:name="_Toc476581143"/>
      <w:bookmarkStart w:id="738" w:name="_Toc507595415"/>
      <w:bookmarkStart w:id="739" w:name="_Toc536089223"/>
      <w:bookmarkStart w:id="740" w:name="_Toc536089483"/>
      <w:bookmarkStart w:id="741" w:name="_Toc536089589"/>
      <w:bookmarkStart w:id="742" w:name="_Toc340655858"/>
      <w:bookmarkStart w:id="743" w:name="_Toc340656266"/>
      <w:bookmarkStart w:id="744" w:name="_Toc340656896"/>
      <w:bookmarkStart w:id="745" w:name="_Toc340665296"/>
      <w:bookmarkStart w:id="746" w:name="_Toc340669820"/>
      <w:bookmarkStart w:id="747" w:name="_Toc346545727"/>
      <w:bookmarkStart w:id="748" w:name="_Toc346622281"/>
      <w:bookmarkStart w:id="749" w:name="_Toc346692741"/>
      <w:bookmarkStart w:id="750" w:name="_Toc346713084"/>
      <w:bookmarkStart w:id="751" w:name="_Toc346788753"/>
      <w:bookmarkStart w:id="752" w:name="_Toc346824129"/>
      <w:bookmarkStart w:id="753" w:name="_Toc346891300"/>
      <w:bookmarkStart w:id="754" w:name="_Toc347238752"/>
      <w:bookmarkStart w:id="755" w:name="_Toc347415201"/>
      <w:bookmarkStart w:id="756" w:name="_Toc347473800"/>
      <w:bookmarkStart w:id="757" w:name="_Toc347481826"/>
      <w:bookmarkStart w:id="758" w:name="_Toc347490061"/>
      <w:bookmarkStart w:id="759" w:name="_Toc347744287"/>
      <w:bookmarkStart w:id="760" w:name="_Toc347754529"/>
      <w:bookmarkStart w:id="761" w:name="_Toc347757655"/>
      <w:bookmarkStart w:id="762" w:name="_Toc347764597"/>
      <w:bookmarkStart w:id="763" w:name="_Toc347766458"/>
      <w:bookmarkStart w:id="764" w:name="_Toc353889404"/>
      <w:bookmarkStart w:id="765" w:name="_Toc354470960"/>
      <w:bookmarkStart w:id="766" w:name="_Toc354565560"/>
      <w:bookmarkStart w:id="767" w:name="_Toc354580483"/>
      <w:bookmarkStart w:id="768" w:name="_Toc354591384"/>
      <w:bookmarkStart w:id="769" w:name="_Toc354734113"/>
      <w:bookmarkStart w:id="770" w:name="_Toc355020212"/>
      <w:bookmarkStart w:id="771" w:name="_Toc355262888"/>
      <w:bookmarkStart w:id="772" w:name="_Toc355271243"/>
      <w:bookmarkStart w:id="773" w:name="_Toc355343312"/>
      <w:bookmarkStart w:id="774" w:name="_Toc355620800"/>
      <w:bookmarkStart w:id="775" w:name="_Toc359245769"/>
      <w:bookmarkStart w:id="776" w:name="_Toc374969023"/>
      <w:bookmarkStart w:id="777" w:name="_Toc375310535"/>
      <w:bookmarkStart w:id="778" w:name="_Toc384298214"/>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686"/>
      <w:bookmarkEnd w:id="687"/>
      <w:bookmarkEnd w:id="688"/>
      <w:bookmarkEnd w:id="689"/>
      <w:bookmarkEnd w:id="690"/>
      <w:bookmarkEnd w:id="691"/>
      <w:bookmarkEnd w:id="692"/>
      <w:bookmarkEnd w:id="693"/>
      <w:bookmarkEnd w:id="694"/>
      <w:bookmarkEnd w:id="695"/>
      <w:bookmarkEnd w:id="696"/>
      <w:bookmarkEnd w:id="697"/>
    </w:p>
    <w:p w14:paraId="0B3D686A" w14:textId="77777777" w:rsidR="00DC6420" w:rsidRPr="003E76E7" w:rsidRDefault="00DC6420" w:rsidP="00C4292D">
      <w:pPr>
        <w:ind w:left="2" w:firstLine="1"/>
        <w:jc w:val="center"/>
        <w:rPr>
          <w:lang w:val="en-AU"/>
        </w:rPr>
      </w:pPr>
    </w:p>
    <w:p w14:paraId="4DDB58E3" w14:textId="77777777" w:rsidR="00DC6420" w:rsidRPr="003E76E7" w:rsidRDefault="00DC6420" w:rsidP="00C4292D">
      <w:pPr>
        <w:ind w:left="2" w:firstLine="1"/>
        <w:jc w:val="center"/>
        <w:rPr>
          <w:lang w:val="en-AU"/>
        </w:rPr>
      </w:pPr>
    </w:p>
    <w:p w14:paraId="72EDE703" w14:textId="77777777" w:rsidR="00DC6420" w:rsidRPr="003E76E7" w:rsidRDefault="00DC6420" w:rsidP="00C4292D">
      <w:pPr>
        <w:ind w:left="2" w:firstLine="1"/>
        <w:jc w:val="center"/>
        <w:rPr>
          <w:lang w:val="en-AU"/>
        </w:rPr>
      </w:pPr>
    </w:p>
    <w:p w14:paraId="2BC4432B" w14:textId="77777777" w:rsidR="00DC6420" w:rsidRPr="003E76E7" w:rsidRDefault="00DC6420" w:rsidP="00C4292D">
      <w:pPr>
        <w:ind w:left="2" w:firstLine="1"/>
        <w:jc w:val="center"/>
        <w:rPr>
          <w:lang w:val="en-AU"/>
        </w:rPr>
      </w:pPr>
    </w:p>
    <w:p w14:paraId="2351A3D0" w14:textId="77777777" w:rsidR="00DC6420" w:rsidRPr="003E76E7" w:rsidRDefault="00DC6420" w:rsidP="00C4292D">
      <w:pPr>
        <w:ind w:left="2" w:firstLine="1"/>
        <w:jc w:val="center"/>
        <w:rPr>
          <w:lang w:val="en-AU"/>
        </w:rPr>
      </w:pPr>
    </w:p>
    <w:p w14:paraId="0E061837" w14:textId="77777777" w:rsidR="00DC6420" w:rsidRPr="003E76E7" w:rsidRDefault="00DC6420" w:rsidP="00C4292D">
      <w:pPr>
        <w:ind w:left="2" w:firstLine="1"/>
        <w:jc w:val="center"/>
        <w:rPr>
          <w:lang w:val="en-AU"/>
        </w:rPr>
      </w:pPr>
    </w:p>
    <w:p w14:paraId="1ADBAB8F" w14:textId="77777777" w:rsidR="00DC6420" w:rsidRPr="003E76E7" w:rsidRDefault="00DC6420" w:rsidP="00C4292D">
      <w:pPr>
        <w:ind w:left="2" w:firstLine="1"/>
        <w:jc w:val="center"/>
        <w:rPr>
          <w:lang w:val="en-AU"/>
        </w:rPr>
      </w:pPr>
    </w:p>
    <w:p w14:paraId="78513B8D" w14:textId="77777777" w:rsidR="00DC6420" w:rsidRPr="003E76E7" w:rsidRDefault="00DC6420" w:rsidP="00C4292D">
      <w:pPr>
        <w:ind w:left="2" w:firstLine="1"/>
        <w:jc w:val="center"/>
        <w:rPr>
          <w:lang w:val="en-AU"/>
        </w:rPr>
      </w:pPr>
    </w:p>
    <w:p w14:paraId="5F668FAD" w14:textId="77777777" w:rsidR="00DC6420" w:rsidRPr="003E76E7" w:rsidRDefault="00DC6420" w:rsidP="00C4292D">
      <w:pPr>
        <w:ind w:left="2" w:firstLine="1"/>
        <w:jc w:val="center"/>
        <w:rPr>
          <w:lang w:val="en-AU"/>
        </w:rPr>
      </w:pPr>
    </w:p>
    <w:p w14:paraId="7CA2B8A2" w14:textId="77777777" w:rsidR="00DC6420" w:rsidRPr="003E76E7" w:rsidRDefault="00DC6420" w:rsidP="00C4292D">
      <w:pPr>
        <w:ind w:left="2" w:firstLine="1"/>
        <w:jc w:val="center"/>
        <w:rPr>
          <w:lang w:val="en-AU"/>
        </w:rPr>
      </w:pPr>
    </w:p>
    <w:p w14:paraId="0992286C" w14:textId="77777777" w:rsidR="00DC6420" w:rsidRPr="003E76E7" w:rsidRDefault="00DC6420" w:rsidP="00C4292D">
      <w:pPr>
        <w:ind w:left="2" w:firstLine="1"/>
        <w:jc w:val="center"/>
        <w:rPr>
          <w:lang w:val="en-AU"/>
        </w:rPr>
      </w:pPr>
    </w:p>
    <w:p w14:paraId="47257D98" w14:textId="77777777" w:rsidR="00DC6420" w:rsidRPr="003E76E7" w:rsidRDefault="00DC6420" w:rsidP="00C4292D">
      <w:pPr>
        <w:ind w:left="2" w:firstLine="1"/>
        <w:jc w:val="center"/>
        <w:rPr>
          <w:lang w:val="en-AU"/>
        </w:rPr>
      </w:pPr>
    </w:p>
    <w:p w14:paraId="044FF934" w14:textId="77777777" w:rsidR="00DC6420" w:rsidRPr="003E76E7" w:rsidRDefault="00DC6420" w:rsidP="00C4292D">
      <w:pPr>
        <w:ind w:left="2" w:firstLine="1"/>
        <w:jc w:val="center"/>
        <w:rPr>
          <w:lang w:val="en-AU"/>
        </w:rPr>
      </w:pPr>
    </w:p>
    <w:p w14:paraId="0B17F039" w14:textId="77777777" w:rsidR="00DC6420" w:rsidRPr="003E76E7" w:rsidRDefault="00DC6420" w:rsidP="00C4292D">
      <w:pPr>
        <w:ind w:left="2" w:firstLine="1"/>
        <w:jc w:val="center"/>
        <w:rPr>
          <w:lang w:val="en-AU"/>
        </w:rPr>
      </w:pPr>
      <w:r w:rsidRPr="003E76E7">
        <w:rPr>
          <w:lang w:val="en-AU"/>
        </w:rPr>
        <w:t>This page intentionally left blank.</w:t>
      </w:r>
    </w:p>
    <w:p w14:paraId="22F2057F" w14:textId="30677441" w:rsidR="00EA1050" w:rsidRPr="003E76E7" w:rsidRDefault="00DC6420" w:rsidP="00C4292D">
      <w:pPr>
        <w:spacing w:before="0" w:after="320"/>
        <w:rPr>
          <w:rFonts w:ascii="Arial" w:hAnsi="Arial"/>
          <w:b/>
          <w:sz w:val="36"/>
          <w:szCs w:val="36"/>
        </w:rPr>
      </w:pPr>
      <w:r w:rsidRPr="003E76E7">
        <w:rPr>
          <w:lang w:val="en-AU"/>
        </w:rPr>
        <w:br w:type="page"/>
      </w:r>
      <w:r w:rsidR="00EA1050" w:rsidRPr="003E76E7">
        <w:rPr>
          <w:rFonts w:ascii="Arial" w:hAnsi="Arial"/>
          <w:b/>
          <w:sz w:val="36"/>
          <w:szCs w:val="36"/>
        </w:rPr>
        <w:lastRenderedPageBreak/>
        <w:t>Defence</w:t>
      </w:r>
      <w:bookmarkEnd w:id="698"/>
      <w:bookmarkEnd w:id="699"/>
    </w:p>
    <w:p w14:paraId="39C9A437" w14:textId="77777777" w:rsidR="00EA1050" w:rsidRPr="003E76E7" w:rsidRDefault="00EA1050" w:rsidP="00C4292D">
      <w:pPr>
        <w:pStyle w:val="Heading2level3"/>
        <w:spacing w:before="120" w:after="120"/>
        <w:rPr>
          <w:rStyle w:val="Heading2Char"/>
          <w:bCs/>
          <w:iCs/>
          <w:sz w:val="26"/>
          <w:szCs w:val="26"/>
        </w:rPr>
      </w:pPr>
      <w:bookmarkStart w:id="779" w:name="_Toc501442129"/>
      <w:bookmarkStart w:id="780" w:name="_Toc503861102"/>
      <w:bookmarkStart w:id="781" w:name="_Toc534886325"/>
      <w:bookmarkStart w:id="782" w:name="_Toc534886518"/>
      <w:bookmarkStart w:id="783" w:name="_Toc534908445"/>
      <w:bookmarkStart w:id="784" w:name="_Toc23502282"/>
      <w:bookmarkStart w:id="785" w:name="_Toc29898862"/>
      <w:bookmarkStart w:id="786" w:name="_Toc69729039"/>
      <w:bookmarkStart w:id="787" w:name="_Toc97747822"/>
      <w:bookmarkStart w:id="788" w:name="_Toc108088933"/>
      <w:bookmarkStart w:id="789" w:name="_Toc108089012"/>
      <w:bookmarkStart w:id="790" w:name="_Toc108089407"/>
      <w:bookmarkStart w:id="791" w:name="_Toc109227292"/>
      <w:bookmarkStart w:id="792" w:name="_Toc158896245"/>
      <w:bookmarkStart w:id="793" w:name="_Toc158896302"/>
      <w:bookmarkStart w:id="794" w:name="_Toc159499676"/>
      <w:bookmarkStart w:id="795" w:name="_Toc159857673"/>
      <w:bookmarkStart w:id="796" w:name="_Toc159857752"/>
      <w:bookmarkStart w:id="797" w:name="_Toc159858148"/>
      <w:bookmarkStart w:id="798" w:name="_Toc159858813"/>
      <w:bookmarkStart w:id="799" w:name="_Toc159858883"/>
      <w:bookmarkStart w:id="800" w:name="_Toc159862283"/>
      <w:bookmarkStart w:id="801" w:name="_Toc159862473"/>
      <w:bookmarkStart w:id="802" w:name="_Toc221786177"/>
      <w:bookmarkStart w:id="803" w:name="_Toc222129917"/>
      <w:bookmarkStart w:id="804" w:name="_Toc222148347"/>
      <w:bookmarkStart w:id="805" w:name="_Toc225847975"/>
      <w:bookmarkStart w:id="806" w:name="_Toc225848058"/>
      <w:bookmarkStart w:id="807" w:name="_Toc225848141"/>
      <w:bookmarkStart w:id="808" w:name="_Toc225848221"/>
      <w:bookmarkStart w:id="809" w:name="_Toc225848256"/>
      <w:bookmarkStart w:id="810" w:name="_Toc225848480"/>
      <w:bookmarkStart w:id="811" w:name="_Toc225941547"/>
      <w:bookmarkStart w:id="812" w:name="_Toc225942554"/>
      <w:bookmarkStart w:id="813" w:name="_Toc227334364"/>
      <w:bookmarkStart w:id="814" w:name="_Toc229072439"/>
      <w:bookmarkStart w:id="815" w:name="_Toc229072611"/>
      <w:bookmarkStart w:id="816" w:name="_Toc340655859"/>
      <w:bookmarkStart w:id="817" w:name="_Toc340656267"/>
      <w:bookmarkStart w:id="818" w:name="_Toc340656897"/>
      <w:bookmarkStart w:id="819" w:name="_Toc340665297"/>
      <w:bookmarkStart w:id="820" w:name="_Toc340669821"/>
      <w:bookmarkStart w:id="821" w:name="_Toc346545728"/>
      <w:bookmarkStart w:id="822" w:name="_Toc346622282"/>
      <w:bookmarkStart w:id="823" w:name="_Toc346692742"/>
      <w:bookmarkStart w:id="824" w:name="_Toc346713085"/>
      <w:bookmarkStart w:id="825" w:name="_Toc346788754"/>
      <w:bookmarkStart w:id="826" w:name="_Toc346824130"/>
      <w:bookmarkStart w:id="827" w:name="_Toc346891301"/>
      <w:bookmarkStart w:id="828" w:name="_Toc347238753"/>
      <w:bookmarkStart w:id="829" w:name="_Toc347415202"/>
      <w:bookmarkStart w:id="830" w:name="_Toc347473801"/>
      <w:bookmarkStart w:id="831" w:name="_Toc347481827"/>
      <w:bookmarkStart w:id="832" w:name="_Toc347490062"/>
      <w:bookmarkStart w:id="833" w:name="_Toc347744288"/>
      <w:bookmarkStart w:id="834" w:name="_Toc347754530"/>
      <w:bookmarkStart w:id="835" w:name="_Toc347757656"/>
      <w:bookmarkStart w:id="836" w:name="_Toc347764598"/>
      <w:bookmarkStart w:id="837" w:name="_Toc347766459"/>
      <w:bookmarkStart w:id="838" w:name="_Toc353889405"/>
      <w:bookmarkStart w:id="839" w:name="_Toc354470961"/>
      <w:bookmarkStart w:id="840" w:name="_Toc354565561"/>
      <w:bookmarkStart w:id="841" w:name="_Toc354580484"/>
      <w:bookmarkStart w:id="842" w:name="_Toc354591385"/>
      <w:bookmarkStart w:id="843" w:name="_Toc354734114"/>
      <w:bookmarkStart w:id="844" w:name="_Toc355020213"/>
      <w:bookmarkStart w:id="845" w:name="_Toc355262889"/>
      <w:bookmarkStart w:id="846" w:name="_Toc355271244"/>
      <w:bookmarkStart w:id="847" w:name="_Toc355343313"/>
      <w:bookmarkStart w:id="848" w:name="_Toc355620801"/>
      <w:bookmarkStart w:id="849" w:name="_Toc359245770"/>
      <w:bookmarkStart w:id="850" w:name="_Toc374969024"/>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r w:rsidRPr="003E76E7">
        <w:rPr>
          <w:rStyle w:val="Heading2Char"/>
          <w:sz w:val="26"/>
          <w:szCs w:val="26"/>
        </w:rPr>
        <w:t>Section</w:t>
      </w:r>
      <w:r w:rsidR="00D51782" w:rsidRPr="003E76E7">
        <w:rPr>
          <w:rStyle w:val="Heading2Char"/>
          <w:sz w:val="26"/>
          <w:szCs w:val="26"/>
        </w:rPr>
        <w:t xml:space="preserve"> 1: Defence Overview and R</w:t>
      </w:r>
      <w:r w:rsidRPr="003E76E7">
        <w:rPr>
          <w:rStyle w:val="Heading2Char"/>
          <w:sz w:val="26"/>
          <w:szCs w:val="26"/>
        </w:rPr>
        <w:t>esources</w:t>
      </w:r>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p>
    <w:p w14:paraId="07ADABF9" w14:textId="79E64C43" w:rsidR="00EA1050" w:rsidRPr="003E76E7" w:rsidRDefault="00F11584" w:rsidP="00C4292D">
      <w:pPr>
        <w:pStyle w:val="Heading4"/>
        <w:rPr>
          <w:sz w:val="26"/>
          <w:szCs w:val="26"/>
        </w:rPr>
      </w:pPr>
      <w:bookmarkStart w:id="851" w:name="_Toc501442130"/>
      <w:bookmarkStart w:id="852" w:name="_Toc503861103"/>
      <w:bookmarkStart w:id="853" w:name="_Toc534886326"/>
      <w:bookmarkStart w:id="854" w:name="_Toc534886519"/>
      <w:bookmarkStart w:id="855" w:name="_Toc534908446"/>
      <w:bookmarkStart w:id="856" w:name="_Toc23502283"/>
      <w:bookmarkStart w:id="857" w:name="_Toc29898863"/>
      <w:bookmarkStart w:id="858" w:name="_Toc69729040"/>
      <w:bookmarkStart w:id="859" w:name="_Toc97747823"/>
      <w:bookmarkStart w:id="860" w:name="_Toc108088934"/>
      <w:bookmarkStart w:id="861" w:name="_Toc108089013"/>
      <w:bookmarkStart w:id="862" w:name="_Toc108089408"/>
      <w:bookmarkStart w:id="863" w:name="_Toc159499677"/>
      <w:bookmarkStart w:id="864" w:name="_Toc222129918"/>
      <w:bookmarkStart w:id="865" w:name="_Toc222148348"/>
      <w:bookmarkStart w:id="866" w:name="_Toc225847976"/>
      <w:bookmarkStart w:id="867" w:name="_Toc225848059"/>
      <w:bookmarkStart w:id="868" w:name="_Toc225848142"/>
      <w:bookmarkStart w:id="869" w:name="_Toc225848481"/>
      <w:bookmarkStart w:id="870" w:name="_Toc225941548"/>
      <w:bookmarkStart w:id="871" w:name="_Toc225942555"/>
      <w:bookmarkStart w:id="872" w:name="_Toc227334365"/>
      <w:bookmarkStart w:id="873" w:name="_Toc229072440"/>
      <w:bookmarkStart w:id="874" w:name="_Toc229072612"/>
      <w:r w:rsidRPr="003E76E7">
        <w:rPr>
          <w:sz w:val="26"/>
          <w:szCs w:val="26"/>
        </w:rPr>
        <w:t xml:space="preserve">1.1 </w:t>
      </w:r>
      <w:r w:rsidR="00D51782" w:rsidRPr="003E76E7">
        <w:rPr>
          <w:sz w:val="26"/>
          <w:szCs w:val="26"/>
        </w:rPr>
        <w:t>Strategic Direction S</w:t>
      </w:r>
      <w:r w:rsidR="00EA1050" w:rsidRPr="003E76E7">
        <w:rPr>
          <w:sz w:val="26"/>
          <w:szCs w:val="26"/>
        </w:rPr>
        <w:t>tatement</w:t>
      </w:r>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p>
    <w:p w14:paraId="1479810D" w14:textId="77777777" w:rsidR="00106BA1" w:rsidRPr="003E76E7" w:rsidRDefault="00106BA1" w:rsidP="00C4292D">
      <w:pPr>
        <w:spacing w:before="60" w:after="60" w:line="256" w:lineRule="auto"/>
        <w:rPr>
          <w:rFonts w:eastAsia="Calibri" w:cs="Calibri"/>
          <w:szCs w:val="20"/>
          <w:lang w:val="en-AU" w:eastAsia="en-US"/>
        </w:rPr>
      </w:pPr>
      <w:bookmarkStart w:id="875" w:name="_Toc375310536"/>
      <w:bookmarkStart w:id="876" w:name="_Toc384298215"/>
      <w:bookmarkStart w:id="877" w:name="_Toc507595417"/>
      <w:bookmarkStart w:id="878" w:name="_Toc536089225"/>
      <w:bookmarkStart w:id="879" w:name="_Toc536089485"/>
      <w:bookmarkStart w:id="880" w:name="_Toc536089591"/>
      <w:r w:rsidRPr="003E76E7">
        <w:rPr>
          <w:rFonts w:eastAsia="Calibri" w:cs="Calibri"/>
          <w:szCs w:val="20"/>
          <w:lang w:val="en-AU" w:eastAsia="en-US"/>
        </w:rPr>
        <w:t xml:space="preserve">The deteriorating trends in the strategic environment that were identified in the </w:t>
      </w:r>
      <w:r w:rsidRPr="003E76E7">
        <w:rPr>
          <w:rFonts w:eastAsia="Calibri" w:cs="Calibri"/>
          <w:i/>
          <w:szCs w:val="20"/>
          <w:lang w:val="en-AU" w:eastAsia="en-US"/>
        </w:rPr>
        <w:t xml:space="preserve">2024 National Defence Strategy </w:t>
      </w:r>
      <w:r w:rsidRPr="003E76E7">
        <w:rPr>
          <w:rFonts w:eastAsia="Calibri" w:cs="Calibri"/>
          <w:szCs w:val="20"/>
          <w:lang w:val="en-AU" w:eastAsia="en-US"/>
        </w:rPr>
        <w:t xml:space="preserve">have broadened and intensified. New strategic challenges have emerged that further threaten Australia’s security and complicate the pursuit of Australia’s interests. Australia will face elevated levels of geopolitical risk over the coming decade and our exposure to force projection and military coercion will reach levels not seen since the Second World War.  </w:t>
      </w:r>
    </w:p>
    <w:p w14:paraId="14587989" w14:textId="6AC567C4" w:rsidR="00106BA1" w:rsidRPr="003E76E7" w:rsidRDefault="00106BA1" w:rsidP="00C4292D">
      <w:pPr>
        <w:spacing w:before="60" w:after="60" w:line="256" w:lineRule="auto"/>
        <w:rPr>
          <w:rFonts w:eastAsia="Calibri" w:cs="Calibri"/>
          <w:szCs w:val="20"/>
          <w:lang w:val="en-AU" w:eastAsia="en-US"/>
        </w:rPr>
      </w:pPr>
      <w:r w:rsidRPr="003E76E7">
        <w:rPr>
          <w:rFonts w:eastAsia="Calibri" w:cs="Calibri"/>
          <w:szCs w:val="20"/>
          <w:lang w:val="en-AU" w:eastAsia="en-US"/>
        </w:rPr>
        <w:t xml:space="preserve">The </w:t>
      </w:r>
      <w:r w:rsidRPr="003E76E7">
        <w:rPr>
          <w:rFonts w:eastAsia="Calibri" w:cs="Calibri"/>
          <w:i/>
          <w:szCs w:val="20"/>
          <w:lang w:val="en-AU" w:eastAsia="en-US"/>
        </w:rPr>
        <w:t>2026 National Defence Strategy</w:t>
      </w:r>
      <w:r w:rsidRPr="003E76E7">
        <w:rPr>
          <w:rFonts w:eastAsia="Calibri" w:cs="Calibri"/>
          <w:szCs w:val="20"/>
          <w:lang w:val="en-AU" w:eastAsia="en-US"/>
        </w:rPr>
        <w:t xml:space="preserve"> sets out the Government’s strategic framework to guide the continued transformation of Defence’s capability, force structure, force posture, acquisition, recruitment and international engagement. </w:t>
      </w:r>
      <w:r w:rsidR="0089153F" w:rsidRPr="003E76E7">
        <w:rPr>
          <w:rFonts w:eastAsia="Calibri" w:cs="Calibri"/>
          <w:szCs w:val="20"/>
          <w:lang w:val="en-AU" w:eastAsia="en-US"/>
        </w:rPr>
        <w:t xml:space="preserve">This includes the continued implementation of </w:t>
      </w:r>
      <w:r w:rsidR="0089153F" w:rsidRPr="003E76E7">
        <w:rPr>
          <w:rFonts w:eastAsia="Calibri" w:cs="Calibri"/>
          <w:i/>
          <w:szCs w:val="20"/>
          <w:lang w:val="en-AU" w:eastAsia="en-US"/>
        </w:rPr>
        <w:t>National Defence</w:t>
      </w:r>
      <w:r w:rsidR="0089153F" w:rsidRPr="003E76E7">
        <w:rPr>
          <w:rFonts w:eastAsia="Calibri" w:cs="Calibri"/>
          <w:szCs w:val="20"/>
          <w:lang w:val="en-AU" w:eastAsia="en-US"/>
        </w:rPr>
        <w:t xml:space="preserve">, and the Strategy of Denial, set out in the </w:t>
      </w:r>
      <w:r w:rsidR="0089153F" w:rsidRPr="003E76E7">
        <w:rPr>
          <w:rFonts w:eastAsia="Calibri" w:cs="Calibri"/>
          <w:i/>
          <w:szCs w:val="20"/>
          <w:lang w:val="en-AU" w:eastAsia="en-US"/>
        </w:rPr>
        <w:t>2024 National Defence Strategy</w:t>
      </w:r>
      <w:r w:rsidR="0089153F" w:rsidRPr="003E76E7">
        <w:rPr>
          <w:rFonts w:eastAsia="Calibri" w:cs="Calibri"/>
          <w:szCs w:val="20"/>
          <w:lang w:val="en-AU" w:eastAsia="en-US"/>
        </w:rPr>
        <w:t>.</w:t>
      </w:r>
    </w:p>
    <w:p w14:paraId="78C1DB05" w14:textId="77F89524" w:rsidR="00106BA1" w:rsidRPr="003E76E7" w:rsidRDefault="00106BA1" w:rsidP="00C4292D">
      <w:pPr>
        <w:spacing w:before="60" w:after="60" w:line="256" w:lineRule="auto"/>
        <w:rPr>
          <w:rFonts w:eastAsia="Calibri" w:cs="Calibri"/>
          <w:szCs w:val="20"/>
          <w:lang w:val="en-AU" w:eastAsia="en-US"/>
        </w:rPr>
      </w:pPr>
      <w:r w:rsidRPr="003E76E7">
        <w:rPr>
          <w:rFonts w:eastAsia="Calibri" w:cs="Calibri"/>
          <w:i/>
          <w:szCs w:val="20"/>
          <w:lang w:val="en-AU" w:eastAsia="en-US"/>
        </w:rPr>
        <w:t xml:space="preserve">National Defence </w:t>
      </w:r>
      <w:r w:rsidRPr="003E76E7">
        <w:rPr>
          <w:rFonts w:eastAsia="Calibri" w:cs="Calibri"/>
          <w:szCs w:val="20"/>
          <w:lang w:val="en-AU" w:eastAsia="en-US"/>
        </w:rPr>
        <w:t>is a coordinated, whole</w:t>
      </w:r>
      <w:r w:rsidRPr="003E76E7">
        <w:rPr>
          <w:rFonts w:eastAsia="Calibri" w:cs="Calibri"/>
          <w:szCs w:val="20"/>
          <w:lang w:val="en-AU" w:eastAsia="en-US"/>
        </w:rPr>
        <w:noBreakHyphen/>
        <w:t>of</w:t>
      </w:r>
      <w:r w:rsidRPr="003E76E7">
        <w:rPr>
          <w:rFonts w:eastAsia="Calibri" w:cs="Calibri"/>
          <w:szCs w:val="20"/>
          <w:lang w:val="en-AU" w:eastAsia="en-US"/>
        </w:rPr>
        <w:noBreakHyphen/>
        <w:t xml:space="preserve">government and whole-of-nation approach to meet the strategic challenges Australia faces, including the threat of conflict and prospect of coercion. It harnesses all arms of Australia’s national power to establish a holistic, integrated and focused approach to protect our security and advance Australia’s interest. The Government is determined to ensure that Australia becomes more self-reliant, more resilient and takes greater responsibility for our own security. Strengthening Australia’s </w:t>
      </w:r>
      <w:r w:rsidRPr="003E76E7">
        <w:rPr>
          <w:rFonts w:eastAsia="Calibri" w:cs="Calibri"/>
          <w:i/>
          <w:szCs w:val="20"/>
          <w:lang w:val="en-AU" w:eastAsia="en-US"/>
        </w:rPr>
        <w:t>National Defence</w:t>
      </w:r>
      <w:r w:rsidRPr="003E76E7">
        <w:rPr>
          <w:rFonts w:eastAsia="Calibri" w:cs="Calibri"/>
          <w:szCs w:val="20"/>
          <w:lang w:val="en-AU" w:eastAsia="en-US"/>
        </w:rPr>
        <w:t xml:space="preserve"> is a prudent and effective approach t</w:t>
      </w:r>
      <w:r w:rsidR="0001233E" w:rsidRPr="003E76E7">
        <w:rPr>
          <w:rFonts w:eastAsia="Calibri" w:cs="Calibri"/>
          <w:szCs w:val="20"/>
          <w:lang w:val="en-AU" w:eastAsia="en-US"/>
        </w:rPr>
        <w:t>o achieve these objectives.</w:t>
      </w:r>
    </w:p>
    <w:p w14:paraId="3FFC3971" w14:textId="53C025AF" w:rsidR="00106BA1" w:rsidRPr="003E76E7" w:rsidRDefault="00106BA1" w:rsidP="00C4292D">
      <w:pPr>
        <w:spacing w:before="60" w:after="60" w:line="256" w:lineRule="auto"/>
        <w:rPr>
          <w:rFonts w:eastAsia="Calibri" w:cs="Calibri"/>
          <w:szCs w:val="20"/>
          <w:lang w:val="en-AU" w:eastAsia="en-US"/>
        </w:rPr>
      </w:pPr>
      <w:r w:rsidRPr="003E76E7">
        <w:rPr>
          <w:rFonts w:eastAsia="Calibri" w:cs="Calibri"/>
          <w:szCs w:val="20"/>
          <w:lang w:val="en-AU" w:eastAsia="en-US"/>
        </w:rPr>
        <w:t xml:space="preserve">The Strategy of Denial is designed to deter a potential adversary from taking actions that would be inimical to Australia’s interests and regional stability. It requires demonstrating the </w:t>
      </w:r>
      <w:r w:rsidR="000B2EA6" w:rsidRPr="003E76E7">
        <w:rPr>
          <w:rFonts w:eastAsia="Calibri" w:cs="Calibri"/>
          <w:szCs w:val="20"/>
          <w:lang w:val="en-AU" w:eastAsia="en-US"/>
        </w:rPr>
        <w:t>Australian Defence Force’s (ADF)</w:t>
      </w:r>
      <w:r w:rsidRPr="003E76E7">
        <w:rPr>
          <w:rFonts w:eastAsia="Calibri" w:cs="Calibri"/>
          <w:szCs w:val="20"/>
          <w:lang w:val="en-AU" w:eastAsia="en-US"/>
        </w:rPr>
        <w:t xml:space="preserve"> credible capability, capacity and resolve to hold a potential adversary</w:t>
      </w:r>
      <w:r w:rsidR="00DE0200">
        <w:rPr>
          <w:rFonts w:eastAsia="Calibri" w:cs="Calibri"/>
          <w:szCs w:val="20"/>
          <w:lang w:val="en-AU" w:eastAsia="en-US"/>
        </w:rPr>
        <w:t>’s</w:t>
      </w:r>
      <w:r w:rsidRPr="003E76E7">
        <w:rPr>
          <w:rFonts w:eastAsia="Calibri" w:cs="Calibri"/>
          <w:szCs w:val="20"/>
          <w:lang w:val="en-AU" w:eastAsia="en-US"/>
        </w:rPr>
        <w:t xml:space="preserve"> forces at risk and degrade their willingness and confidence to employ force or military coercion against us. It involves working with the United States and key partners to contribute to regional stability and security and strengthen deterrence against the threat of military coercion or a conflict. </w:t>
      </w:r>
    </w:p>
    <w:p w14:paraId="4A3469CF" w14:textId="41F927FF" w:rsidR="00106BA1" w:rsidRPr="003E76E7" w:rsidRDefault="00106BA1" w:rsidP="00C4292D">
      <w:pPr>
        <w:spacing w:before="60" w:after="60" w:line="256" w:lineRule="auto"/>
        <w:rPr>
          <w:rFonts w:eastAsia="Calibri" w:cs="Calibri"/>
          <w:szCs w:val="20"/>
          <w:lang w:val="en-AU" w:eastAsia="en-US"/>
        </w:rPr>
      </w:pPr>
      <w:r w:rsidRPr="003E76E7">
        <w:rPr>
          <w:rFonts w:eastAsia="Calibri" w:cs="Calibri"/>
          <w:szCs w:val="20"/>
          <w:lang w:val="en-AU" w:eastAsia="en-US"/>
        </w:rPr>
        <w:t xml:space="preserve">The </w:t>
      </w:r>
      <w:r w:rsidRPr="003E76E7">
        <w:rPr>
          <w:rFonts w:eastAsia="Calibri" w:cs="Calibri"/>
          <w:i/>
          <w:szCs w:val="20"/>
          <w:lang w:val="en-AU" w:eastAsia="en-US"/>
        </w:rPr>
        <w:t xml:space="preserve">2026 National Defence Strategy </w:t>
      </w:r>
      <w:r w:rsidRPr="003E76E7">
        <w:rPr>
          <w:rFonts w:eastAsia="Calibri" w:cs="Calibri"/>
          <w:szCs w:val="20"/>
          <w:lang w:val="en-AU" w:eastAsia="en-US"/>
        </w:rPr>
        <w:t>builds on the foundations</w:t>
      </w:r>
      <w:r w:rsidR="0089153F" w:rsidRPr="003E76E7">
        <w:rPr>
          <w:rFonts w:eastAsia="Calibri" w:cs="Calibri"/>
          <w:szCs w:val="20"/>
          <w:lang w:val="en-AU" w:eastAsia="en-US"/>
        </w:rPr>
        <w:t xml:space="preserve"> of the </w:t>
      </w:r>
      <w:r w:rsidR="0089153F" w:rsidRPr="003E76E7">
        <w:rPr>
          <w:rFonts w:eastAsia="Calibri" w:cs="Calibri"/>
          <w:i/>
          <w:szCs w:val="20"/>
          <w:lang w:val="en-AU" w:eastAsia="en-US"/>
        </w:rPr>
        <w:t>2024 National Defence Strategy</w:t>
      </w:r>
      <w:r w:rsidRPr="003E76E7">
        <w:rPr>
          <w:rFonts w:eastAsia="Calibri" w:cs="Calibri"/>
          <w:szCs w:val="20"/>
          <w:lang w:val="en-AU" w:eastAsia="en-US"/>
        </w:rPr>
        <w:t xml:space="preserve"> by:</w:t>
      </w:r>
    </w:p>
    <w:p w14:paraId="57CC0828" w14:textId="77777777" w:rsidR="00106BA1" w:rsidRPr="003E76E7" w:rsidRDefault="00106BA1" w:rsidP="005B1916">
      <w:pPr>
        <w:numPr>
          <w:ilvl w:val="0"/>
          <w:numId w:val="15"/>
        </w:numPr>
        <w:tabs>
          <w:tab w:val="clear" w:pos="340"/>
          <w:tab w:val="num" w:pos="567"/>
        </w:tabs>
        <w:spacing w:before="0" w:after="60"/>
        <w:ind w:hanging="340"/>
        <w:rPr>
          <w:szCs w:val="20"/>
        </w:rPr>
      </w:pPr>
      <w:r w:rsidRPr="003E76E7">
        <w:rPr>
          <w:szCs w:val="20"/>
        </w:rPr>
        <w:t>increasing efforts to develop greater self-reliance over the longer term so Defence can more ably and independently deter force projection against Australia;</w:t>
      </w:r>
    </w:p>
    <w:p w14:paraId="4961DE31" w14:textId="77777777" w:rsidR="00106BA1" w:rsidRPr="003E76E7" w:rsidRDefault="00106BA1" w:rsidP="00C4292D">
      <w:pPr>
        <w:numPr>
          <w:ilvl w:val="0"/>
          <w:numId w:val="15"/>
        </w:numPr>
        <w:tabs>
          <w:tab w:val="clear" w:pos="340"/>
          <w:tab w:val="num" w:pos="567"/>
        </w:tabs>
        <w:spacing w:before="60" w:after="60"/>
        <w:ind w:hanging="340"/>
        <w:rPr>
          <w:szCs w:val="20"/>
        </w:rPr>
      </w:pPr>
      <w:r w:rsidRPr="003E76E7">
        <w:rPr>
          <w:szCs w:val="20"/>
        </w:rPr>
        <w:t>prioritising capability acquisition and sustainment plans to deliver the Strategy of Denial, drawing on lessons learned from the war in Ukraine and conflicts in the Middle East;</w:t>
      </w:r>
    </w:p>
    <w:p w14:paraId="4A95DAB6" w14:textId="77777777" w:rsidR="00106BA1" w:rsidRPr="003E76E7" w:rsidRDefault="00106BA1" w:rsidP="00C4292D">
      <w:pPr>
        <w:numPr>
          <w:ilvl w:val="0"/>
          <w:numId w:val="15"/>
        </w:numPr>
        <w:tabs>
          <w:tab w:val="clear" w:pos="340"/>
          <w:tab w:val="num" w:pos="567"/>
        </w:tabs>
        <w:spacing w:before="60" w:after="60"/>
        <w:ind w:hanging="340"/>
        <w:rPr>
          <w:szCs w:val="20"/>
        </w:rPr>
      </w:pPr>
      <w:r w:rsidRPr="003E76E7">
        <w:rPr>
          <w:szCs w:val="20"/>
        </w:rPr>
        <w:t>strengthening the resilience of Australia’s sovereign defence industrial base and building stronger, more diverse international industrial partnerships;</w:t>
      </w:r>
    </w:p>
    <w:p w14:paraId="71F45AF2" w14:textId="114605ED" w:rsidR="00106BA1" w:rsidRPr="003E76E7" w:rsidRDefault="00106BA1" w:rsidP="00C4292D">
      <w:pPr>
        <w:numPr>
          <w:ilvl w:val="0"/>
          <w:numId w:val="15"/>
        </w:numPr>
        <w:tabs>
          <w:tab w:val="clear" w:pos="340"/>
          <w:tab w:val="num" w:pos="567"/>
        </w:tabs>
        <w:spacing w:before="60" w:after="60"/>
        <w:ind w:hanging="340"/>
        <w:rPr>
          <w:szCs w:val="20"/>
        </w:rPr>
      </w:pPr>
      <w:r w:rsidRPr="003E76E7">
        <w:rPr>
          <w:szCs w:val="20"/>
        </w:rPr>
        <w:t xml:space="preserve">improving national civil preparedness and national resilience as part of </w:t>
      </w:r>
      <w:r w:rsidRPr="003E76E7">
        <w:rPr>
          <w:i/>
          <w:szCs w:val="20"/>
        </w:rPr>
        <w:t>National Defence</w:t>
      </w:r>
      <w:r w:rsidRPr="003E76E7">
        <w:rPr>
          <w:szCs w:val="20"/>
        </w:rPr>
        <w:t xml:space="preserve"> to help shield Australia from regional and glob</w:t>
      </w:r>
      <w:r w:rsidR="00C05745" w:rsidRPr="003E76E7">
        <w:rPr>
          <w:szCs w:val="20"/>
        </w:rPr>
        <w:t>al</w:t>
      </w:r>
      <w:r w:rsidRPr="003E76E7">
        <w:rPr>
          <w:szCs w:val="20"/>
        </w:rPr>
        <w:t xml:space="preserve"> disruptions; and </w:t>
      </w:r>
    </w:p>
    <w:p w14:paraId="4EF76A44" w14:textId="26161946" w:rsidR="00106BA1" w:rsidRPr="003E76E7" w:rsidRDefault="00106BA1" w:rsidP="00C4292D">
      <w:pPr>
        <w:numPr>
          <w:ilvl w:val="0"/>
          <w:numId w:val="15"/>
        </w:numPr>
        <w:tabs>
          <w:tab w:val="clear" w:pos="340"/>
          <w:tab w:val="num" w:pos="567"/>
        </w:tabs>
        <w:spacing w:before="60" w:after="60"/>
        <w:ind w:hanging="340"/>
        <w:rPr>
          <w:szCs w:val="20"/>
        </w:rPr>
      </w:pPr>
      <w:r w:rsidRPr="003E76E7">
        <w:rPr>
          <w:szCs w:val="20"/>
        </w:rPr>
        <w:t xml:space="preserve">increasing coordination with regional partners to collectively deter actions inimical to our shared interests and shape a region governed by rights and rules, not </w:t>
      </w:r>
      <w:r w:rsidR="00C05745" w:rsidRPr="003E76E7">
        <w:rPr>
          <w:szCs w:val="20"/>
        </w:rPr>
        <w:t>f</w:t>
      </w:r>
      <w:r w:rsidRPr="003E76E7">
        <w:rPr>
          <w:szCs w:val="20"/>
        </w:rPr>
        <w:t xml:space="preserve">ear or force. </w:t>
      </w:r>
    </w:p>
    <w:p w14:paraId="26C6A3DC" w14:textId="77777777" w:rsidR="00803880" w:rsidRPr="003E76E7" w:rsidRDefault="00803880" w:rsidP="00C4292D">
      <w:pPr>
        <w:spacing w:before="0" w:after="0"/>
        <w:rPr>
          <w:rFonts w:eastAsia="Calibri" w:cs="Calibri"/>
          <w:szCs w:val="20"/>
          <w:lang w:val="en-AU" w:eastAsia="en-US"/>
        </w:rPr>
      </w:pPr>
      <w:r w:rsidRPr="003E76E7">
        <w:rPr>
          <w:rFonts w:eastAsia="Calibri" w:cs="Calibri"/>
          <w:szCs w:val="20"/>
          <w:lang w:val="en-AU" w:eastAsia="en-US"/>
        </w:rPr>
        <w:br w:type="page"/>
      </w:r>
    </w:p>
    <w:p w14:paraId="1ED692C8" w14:textId="5370ADD5" w:rsidR="00106BA1" w:rsidRPr="003E76E7" w:rsidRDefault="00F208E2" w:rsidP="00C4292D">
      <w:pPr>
        <w:spacing w:before="60" w:after="60" w:line="256" w:lineRule="auto"/>
        <w:rPr>
          <w:rFonts w:eastAsia="Calibri" w:cs="Calibri"/>
          <w:szCs w:val="20"/>
          <w:lang w:val="en-AU" w:eastAsia="en-US"/>
        </w:rPr>
      </w:pPr>
      <w:r w:rsidRPr="003E76E7">
        <w:rPr>
          <w:rFonts w:eastAsia="Calibri" w:cs="Calibri"/>
          <w:szCs w:val="20"/>
          <w:lang w:val="en-AU" w:eastAsia="en-US"/>
        </w:rPr>
        <w:lastRenderedPageBreak/>
        <w:t xml:space="preserve">To deliver the </w:t>
      </w:r>
      <w:r w:rsidRPr="003E76E7">
        <w:rPr>
          <w:rFonts w:eastAsia="Calibri" w:cs="Calibri"/>
          <w:i/>
          <w:szCs w:val="20"/>
          <w:lang w:val="en-AU" w:eastAsia="en-US"/>
        </w:rPr>
        <w:t>2026 National Defence Strategy</w:t>
      </w:r>
      <w:r w:rsidRPr="00F034BA">
        <w:rPr>
          <w:rFonts w:eastAsia="Calibri" w:cs="Calibri"/>
          <w:szCs w:val="20"/>
          <w:lang w:val="en-AU" w:eastAsia="en-US"/>
        </w:rPr>
        <w:t>,</w:t>
      </w:r>
      <w:r w:rsidRPr="003E76E7">
        <w:rPr>
          <w:rFonts w:eastAsia="Calibri" w:cs="Calibri"/>
          <w:szCs w:val="20"/>
          <w:lang w:val="en-AU" w:eastAsia="en-US"/>
        </w:rPr>
        <w:t xml:space="preserve"> the Government is</w:t>
      </w:r>
      <w:r w:rsidR="00106BA1" w:rsidRPr="003E76E7">
        <w:rPr>
          <w:rFonts w:eastAsia="Calibri" w:cs="Calibri"/>
          <w:szCs w:val="20"/>
          <w:lang w:val="en-AU" w:eastAsia="en-US"/>
        </w:rPr>
        <w:t xml:space="preserve"> increa</w:t>
      </w:r>
      <w:r w:rsidRPr="003E76E7">
        <w:rPr>
          <w:rFonts w:eastAsia="Calibri" w:cs="Calibri"/>
          <w:szCs w:val="20"/>
          <w:lang w:val="en-AU" w:eastAsia="en-US"/>
        </w:rPr>
        <w:t>sing</w:t>
      </w:r>
      <w:r w:rsidR="00106BA1" w:rsidRPr="003E76E7">
        <w:rPr>
          <w:rFonts w:eastAsia="Calibri" w:cs="Calibri"/>
          <w:szCs w:val="20"/>
          <w:lang w:val="en-AU" w:eastAsia="en-US"/>
        </w:rPr>
        <w:t xml:space="preserve"> investment </w:t>
      </w:r>
      <w:r w:rsidRPr="003E76E7">
        <w:rPr>
          <w:rFonts w:eastAsia="Calibri" w:cs="Calibri"/>
          <w:szCs w:val="20"/>
          <w:lang w:val="en-AU" w:eastAsia="en-US"/>
        </w:rPr>
        <w:t>in the</w:t>
      </w:r>
      <w:r w:rsidR="00106BA1" w:rsidRPr="003E76E7">
        <w:rPr>
          <w:rFonts w:eastAsia="Calibri" w:cs="Calibri"/>
          <w:szCs w:val="20"/>
          <w:lang w:val="en-AU" w:eastAsia="en-US"/>
        </w:rPr>
        <w:t xml:space="preserve"> </w:t>
      </w:r>
      <w:r w:rsidR="0089153F" w:rsidRPr="003E76E7">
        <w:rPr>
          <w:rFonts w:eastAsia="Calibri" w:cs="Calibri"/>
          <w:szCs w:val="20"/>
          <w:lang w:val="en-AU" w:eastAsia="en-US"/>
        </w:rPr>
        <w:br/>
      </w:r>
      <w:r w:rsidR="00106BA1" w:rsidRPr="003E76E7">
        <w:rPr>
          <w:rFonts w:eastAsia="Calibri" w:cs="Calibri"/>
          <w:i/>
          <w:szCs w:val="20"/>
          <w:lang w:val="en-AU" w:eastAsia="en-US"/>
        </w:rPr>
        <w:t>2026 Integrated Investment Program</w:t>
      </w:r>
      <w:r w:rsidR="007E6683">
        <w:rPr>
          <w:rFonts w:eastAsia="Calibri" w:cs="Calibri"/>
          <w:szCs w:val="20"/>
          <w:lang w:val="en-AU" w:eastAsia="en-US"/>
        </w:rPr>
        <w:t xml:space="preserve"> to record levels</w:t>
      </w:r>
      <w:r w:rsidRPr="003E76E7">
        <w:rPr>
          <w:rFonts w:eastAsia="Calibri" w:cs="Calibri"/>
          <w:i/>
          <w:szCs w:val="20"/>
          <w:lang w:val="en-AU" w:eastAsia="en-US"/>
        </w:rPr>
        <w:t>.</w:t>
      </w:r>
      <w:r w:rsidR="00106BA1" w:rsidRPr="003E76E7">
        <w:rPr>
          <w:rFonts w:eastAsia="Calibri" w:cs="Calibri"/>
          <w:szCs w:val="20"/>
          <w:lang w:val="en-AU" w:eastAsia="en-US"/>
        </w:rPr>
        <w:t xml:space="preserve"> </w:t>
      </w:r>
      <w:r w:rsidRPr="003E76E7">
        <w:rPr>
          <w:rFonts w:eastAsia="Calibri" w:cs="Calibri"/>
          <w:szCs w:val="20"/>
          <w:lang w:val="en-AU" w:eastAsia="en-US"/>
        </w:rPr>
        <w:t xml:space="preserve">This includes new investments </w:t>
      </w:r>
      <w:r w:rsidR="00106BA1" w:rsidRPr="003E76E7">
        <w:rPr>
          <w:rFonts w:eastAsia="Calibri" w:cs="Calibri"/>
          <w:szCs w:val="20"/>
          <w:lang w:val="en-AU" w:eastAsia="en-US"/>
        </w:rPr>
        <w:t>in capabilities that increase the ADF’s ability to deter and respond to current and emerging threats, while also investing in the longer term</w:t>
      </w:r>
      <w:r w:rsidR="007E6683">
        <w:rPr>
          <w:rFonts w:eastAsia="Calibri" w:cs="Calibri"/>
          <w:szCs w:val="20"/>
          <w:lang w:val="en-AU" w:eastAsia="en-US"/>
        </w:rPr>
        <w:t xml:space="preserve"> to build a more</w:t>
      </w:r>
      <w:r w:rsidR="00DE0200">
        <w:rPr>
          <w:rFonts w:eastAsia="Calibri" w:cs="Calibri"/>
          <w:szCs w:val="20"/>
          <w:lang w:val="en-AU" w:eastAsia="en-US"/>
        </w:rPr>
        <w:t xml:space="preserve"> </w:t>
      </w:r>
      <w:r w:rsidR="00106BA1" w:rsidRPr="003E76E7">
        <w:rPr>
          <w:rFonts w:eastAsia="Calibri" w:cs="Calibri"/>
          <w:szCs w:val="20"/>
          <w:lang w:val="en-AU" w:eastAsia="en-US"/>
        </w:rPr>
        <w:t xml:space="preserve">self-reliant ADF. It also includes targeted investments to increase preparedness and resilience to ensure the ADF is postured and ready today to respond to unforeseen events tomorrow. </w:t>
      </w:r>
      <w:r w:rsidR="00106BA1" w:rsidRPr="003E76E7">
        <w:rPr>
          <w:rFonts w:cs="Calibri"/>
        </w:rPr>
        <w:t xml:space="preserve"> </w:t>
      </w:r>
    </w:p>
    <w:p w14:paraId="28C9BE00" w14:textId="3BF95C08" w:rsidR="00106BA1" w:rsidRPr="003E76E7" w:rsidRDefault="00106BA1" w:rsidP="00C4292D">
      <w:pPr>
        <w:spacing w:before="60" w:after="0" w:line="256" w:lineRule="auto"/>
        <w:rPr>
          <w:rFonts w:eastAsia="Calibri" w:cs="Calibri"/>
          <w:szCs w:val="20"/>
          <w:lang w:val="en-AU" w:eastAsia="en-US"/>
        </w:rPr>
      </w:pPr>
      <w:r w:rsidRPr="003E76E7">
        <w:rPr>
          <w:rFonts w:eastAsia="Calibri" w:cs="Calibri"/>
          <w:szCs w:val="20"/>
          <w:lang w:val="en-AU" w:eastAsia="en-US"/>
        </w:rPr>
        <w:t xml:space="preserve">Together, the </w:t>
      </w:r>
      <w:r w:rsidRPr="003E76E7">
        <w:rPr>
          <w:rFonts w:eastAsia="Calibri" w:cs="Calibri"/>
          <w:i/>
          <w:szCs w:val="20"/>
          <w:lang w:val="en-AU" w:eastAsia="en-US"/>
        </w:rPr>
        <w:t>2026 National Defence Strategy</w:t>
      </w:r>
      <w:r w:rsidRPr="003E76E7">
        <w:rPr>
          <w:rFonts w:eastAsia="Calibri" w:cs="Calibri"/>
          <w:szCs w:val="20"/>
          <w:lang w:val="en-AU" w:eastAsia="en-US"/>
        </w:rPr>
        <w:t xml:space="preserve"> and the</w:t>
      </w:r>
      <w:r w:rsidRPr="003E76E7">
        <w:rPr>
          <w:rFonts w:eastAsia="Calibri" w:cs="Calibri"/>
          <w:i/>
          <w:szCs w:val="20"/>
          <w:lang w:val="en-AU" w:eastAsia="en-US"/>
        </w:rPr>
        <w:t xml:space="preserve"> 2026 Integrated Investment Program</w:t>
      </w:r>
      <w:r w:rsidRPr="003E76E7">
        <w:rPr>
          <w:rFonts w:eastAsia="Calibri" w:cs="Calibri"/>
          <w:szCs w:val="20"/>
          <w:lang w:val="en-AU" w:eastAsia="en-US"/>
        </w:rPr>
        <w:t xml:space="preserve"> are designed to ensure the </w:t>
      </w:r>
      <w:r w:rsidR="000B2EA6" w:rsidRPr="003E76E7">
        <w:rPr>
          <w:rFonts w:eastAsia="Calibri" w:cs="Calibri"/>
          <w:szCs w:val="20"/>
          <w:lang w:val="en-AU" w:eastAsia="en-US"/>
        </w:rPr>
        <w:t xml:space="preserve">ADF </w:t>
      </w:r>
      <w:r w:rsidRPr="003E76E7">
        <w:rPr>
          <w:rFonts w:eastAsia="Calibri" w:cs="Calibri"/>
          <w:szCs w:val="20"/>
          <w:lang w:val="en-AU" w:eastAsia="en-US"/>
        </w:rPr>
        <w:t>has the capacity to:</w:t>
      </w:r>
    </w:p>
    <w:p w14:paraId="5E8ADA71" w14:textId="77777777" w:rsidR="00106BA1" w:rsidRPr="003E76E7" w:rsidRDefault="00106BA1" w:rsidP="00C4292D">
      <w:pPr>
        <w:numPr>
          <w:ilvl w:val="0"/>
          <w:numId w:val="15"/>
        </w:numPr>
        <w:tabs>
          <w:tab w:val="clear" w:pos="340"/>
          <w:tab w:val="num" w:pos="567"/>
        </w:tabs>
        <w:spacing w:before="60" w:after="60"/>
        <w:ind w:hanging="340"/>
        <w:rPr>
          <w:rFonts w:eastAsia="Calibri" w:cs="Calibri"/>
          <w:szCs w:val="20"/>
          <w:lang w:val="en-AU" w:eastAsia="en-US"/>
        </w:rPr>
      </w:pPr>
      <w:r w:rsidRPr="003E76E7">
        <w:rPr>
          <w:rFonts w:eastAsia="Calibri" w:cs="Calibri"/>
          <w:b/>
          <w:szCs w:val="20"/>
          <w:lang w:val="en-AU" w:eastAsia="en-US"/>
        </w:rPr>
        <w:t>defend</w:t>
      </w:r>
      <w:r w:rsidRPr="003E76E7">
        <w:rPr>
          <w:rFonts w:eastAsia="Calibri" w:cs="Calibri"/>
          <w:szCs w:val="20"/>
          <w:lang w:val="en-AU" w:eastAsia="en-US"/>
        </w:rPr>
        <w:t xml:space="preserve"> Australia and </w:t>
      </w:r>
      <w:r w:rsidRPr="003E76E7">
        <w:rPr>
          <w:szCs w:val="20"/>
        </w:rPr>
        <w:t>our</w:t>
      </w:r>
      <w:r w:rsidRPr="003E76E7">
        <w:rPr>
          <w:rFonts w:eastAsia="Calibri" w:cs="Calibri"/>
          <w:szCs w:val="20"/>
          <w:lang w:val="en-AU" w:eastAsia="en-US"/>
        </w:rPr>
        <w:t xml:space="preserve"> immediate region;</w:t>
      </w:r>
    </w:p>
    <w:p w14:paraId="0FEB1618" w14:textId="77777777" w:rsidR="00106BA1" w:rsidRPr="003E76E7" w:rsidRDefault="00106BA1" w:rsidP="00C4292D">
      <w:pPr>
        <w:numPr>
          <w:ilvl w:val="0"/>
          <w:numId w:val="15"/>
        </w:numPr>
        <w:tabs>
          <w:tab w:val="clear" w:pos="340"/>
          <w:tab w:val="num" w:pos="567"/>
        </w:tabs>
        <w:spacing w:before="60" w:after="60"/>
        <w:ind w:hanging="340"/>
        <w:rPr>
          <w:rFonts w:eastAsia="Calibri" w:cs="Calibri"/>
          <w:szCs w:val="20"/>
          <w:lang w:val="en-AU" w:eastAsia="en-US"/>
        </w:rPr>
      </w:pPr>
      <w:r w:rsidRPr="003E76E7">
        <w:rPr>
          <w:rFonts w:eastAsia="Calibri" w:cs="Calibri"/>
          <w:b/>
          <w:szCs w:val="20"/>
          <w:lang w:val="en-AU" w:eastAsia="en-US"/>
        </w:rPr>
        <w:t>deter</w:t>
      </w:r>
      <w:r w:rsidRPr="003E76E7">
        <w:rPr>
          <w:rFonts w:eastAsia="Calibri" w:cs="Calibri"/>
          <w:szCs w:val="20"/>
          <w:lang w:val="en-AU" w:eastAsia="en-US"/>
        </w:rPr>
        <w:t xml:space="preserve"> through denial any adversary’s attempt to project force against Australia through our northern approaches; </w:t>
      </w:r>
    </w:p>
    <w:p w14:paraId="48BB3F8E" w14:textId="77777777" w:rsidR="00106BA1" w:rsidRPr="003E76E7" w:rsidRDefault="00106BA1" w:rsidP="00C4292D">
      <w:pPr>
        <w:numPr>
          <w:ilvl w:val="0"/>
          <w:numId w:val="15"/>
        </w:numPr>
        <w:tabs>
          <w:tab w:val="clear" w:pos="340"/>
          <w:tab w:val="num" w:pos="567"/>
        </w:tabs>
        <w:spacing w:before="60" w:after="60"/>
        <w:ind w:hanging="340"/>
        <w:rPr>
          <w:rFonts w:eastAsia="Calibri" w:cs="Calibri"/>
          <w:szCs w:val="20"/>
          <w:lang w:val="en-AU" w:eastAsia="en-US"/>
        </w:rPr>
      </w:pPr>
      <w:r w:rsidRPr="003E76E7">
        <w:rPr>
          <w:rFonts w:eastAsia="Calibri" w:cs="Calibri"/>
          <w:b/>
          <w:szCs w:val="20"/>
          <w:lang w:val="en-AU" w:eastAsia="en-US"/>
        </w:rPr>
        <w:t>protect</w:t>
      </w:r>
      <w:r w:rsidRPr="003E76E7">
        <w:rPr>
          <w:rFonts w:eastAsia="Calibri" w:cs="Calibri"/>
          <w:szCs w:val="20"/>
          <w:lang w:val="en-AU" w:eastAsia="en-US"/>
        </w:rPr>
        <w:t xml:space="preserve"> Australia’s economic connection to our region and the world;</w:t>
      </w:r>
    </w:p>
    <w:p w14:paraId="52820433" w14:textId="77777777" w:rsidR="00106BA1" w:rsidRPr="003E76E7" w:rsidRDefault="00106BA1" w:rsidP="00C4292D">
      <w:pPr>
        <w:numPr>
          <w:ilvl w:val="0"/>
          <w:numId w:val="15"/>
        </w:numPr>
        <w:tabs>
          <w:tab w:val="clear" w:pos="340"/>
          <w:tab w:val="num" w:pos="567"/>
        </w:tabs>
        <w:spacing w:before="60" w:after="60"/>
        <w:ind w:hanging="340"/>
        <w:rPr>
          <w:rFonts w:eastAsia="Calibri" w:cs="Calibri"/>
          <w:szCs w:val="20"/>
          <w:lang w:val="en-AU" w:eastAsia="en-US"/>
        </w:rPr>
      </w:pPr>
      <w:r w:rsidRPr="003E76E7">
        <w:rPr>
          <w:rFonts w:eastAsia="Calibri" w:cs="Calibri"/>
          <w:b/>
          <w:szCs w:val="20"/>
          <w:lang w:val="en-AU" w:eastAsia="en-US"/>
        </w:rPr>
        <w:t>contribute</w:t>
      </w:r>
      <w:r w:rsidRPr="003E76E7">
        <w:rPr>
          <w:rFonts w:eastAsia="Calibri" w:cs="Calibri"/>
          <w:szCs w:val="20"/>
          <w:lang w:val="en-AU" w:eastAsia="en-US"/>
        </w:rPr>
        <w:t xml:space="preserve"> with our partners to the collective security of the Indo-Pacific; and</w:t>
      </w:r>
    </w:p>
    <w:p w14:paraId="60E7FBA8" w14:textId="29B49426" w:rsidR="00106BA1" w:rsidRPr="003E76E7" w:rsidRDefault="00106BA1" w:rsidP="00C4292D">
      <w:pPr>
        <w:numPr>
          <w:ilvl w:val="0"/>
          <w:numId w:val="15"/>
        </w:numPr>
        <w:tabs>
          <w:tab w:val="clear" w:pos="340"/>
          <w:tab w:val="num" w:pos="567"/>
        </w:tabs>
        <w:spacing w:before="60" w:after="60"/>
        <w:ind w:hanging="340"/>
        <w:rPr>
          <w:rFonts w:eastAsia="Calibri" w:cs="Calibri"/>
          <w:szCs w:val="20"/>
          <w:lang w:val="en-AU" w:eastAsia="en-US"/>
        </w:rPr>
      </w:pPr>
      <w:r w:rsidRPr="003E76E7">
        <w:rPr>
          <w:rFonts w:eastAsia="Calibri" w:cs="Calibri"/>
          <w:b/>
          <w:szCs w:val="20"/>
          <w:lang w:val="en-AU" w:eastAsia="en-US"/>
        </w:rPr>
        <w:t xml:space="preserve">contribute </w:t>
      </w:r>
      <w:r w:rsidRPr="003E76E7">
        <w:rPr>
          <w:rFonts w:eastAsia="Calibri" w:cs="Calibri"/>
          <w:szCs w:val="20"/>
          <w:lang w:val="en-AU" w:eastAsia="en-US"/>
        </w:rPr>
        <w:t xml:space="preserve">with our partners to protecting and upholding global rules and norms. </w:t>
      </w:r>
    </w:p>
    <w:p w14:paraId="3EAE41C9" w14:textId="6631E31D" w:rsidR="00106BA1" w:rsidRPr="003E76E7" w:rsidRDefault="00106BA1" w:rsidP="00C4292D">
      <w:pPr>
        <w:spacing w:before="60" w:after="60" w:line="256" w:lineRule="auto"/>
        <w:rPr>
          <w:rFonts w:cs="Calibri"/>
        </w:rPr>
      </w:pPr>
      <w:r w:rsidRPr="003E76E7">
        <w:rPr>
          <w:rFonts w:cs="Calibri"/>
        </w:rPr>
        <w:t xml:space="preserve">To meet the challenges posed by our complex strategic environment and ensure the Government’s </w:t>
      </w:r>
      <w:r w:rsidRPr="003E76E7">
        <w:rPr>
          <w:rFonts w:eastAsia="Calibri" w:cs="Calibri"/>
          <w:szCs w:val="20"/>
          <w:lang w:val="en-AU" w:eastAsia="en-US"/>
        </w:rPr>
        <w:t>investment</w:t>
      </w:r>
      <w:r w:rsidRPr="003E76E7">
        <w:rPr>
          <w:rFonts w:cs="Calibri"/>
        </w:rPr>
        <w:t xml:space="preserve"> is well spent, Defence will continue to drive urgent and fundament</w:t>
      </w:r>
      <w:r w:rsidR="001F6071" w:rsidRPr="003E76E7">
        <w:rPr>
          <w:rFonts w:cs="Calibri"/>
        </w:rPr>
        <w:t>al reform</w:t>
      </w:r>
      <w:r w:rsidRPr="003E76E7">
        <w:rPr>
          <w:rFonts w:cs="Calibri"/>
        </w:rPr>
        <w:t>.</w:t>
      </w:r>
      <w:r w:rsidR="00173F8C" w:rsidRPr="003E76E7">
        <w:rPr>
          <w:rFonts w:cs="Calibri"/>
        </w:rPr>
        <w:t xml:space="preserve"> </w:t>
      </w:r>
      <w:r w:rsidRPr="003E76E7">
        <w:rPr>
          <w:rFonts w:cs="Calibri"/>
        </w:rPr>
        <w:t xml:space="preserve">It includes: </w:t>
      </w:r>
    </w:p>
    <w:p w14:paraId="3E1E891F" w14:textId="77777777" w:rsidR="00106BA1" w:rsidRPr="003E76E7" w:rsidRDefault="00106BA1" w:rsidP="00C4292D">
      <w:pPr>
        <w:numPr>
          <w:ilvl w:val="0"/>
          <w:numId w:val="15"/>
        </w:numPr>
        <w:tabs>
          <w:tab w:val="clear" w:pos="340"/>
          <w:tab w:val="num" w:pos="567"/>
        </w:tabs>
        <w:spacing w:before="60" w:after="60"/>
        <w:ind w:hanging="340"/>
        <w:rPr>
          <w:szCs w:val="20"/>
        </w:rPr>
      </w:pPr>
      <w:r w:rsidRPr="003E76E7">
        <w:rPr>
          <w:rFonts w:eastAsia="Calibri" w:cs="Calibri"/>
          <w:szCs w:val="20"/>
          <w:lang w:val="en-AU" w:eastAsia="en-US"/>
        </w:rPr>
        <w:t xml:space="preserve">reforming the </w:t>
      </w:r>
      <w:r w:rsidRPr="003E76E7">
        <w:rPr>
          <w:szCs w:val="20"/>
        </w:rPr>
        <w:t>portfolio’s capability development and delivery functions;</w:t>
      </w:r>
    </w:p>
    <w:p w14:paraId="347F4095" w14:textId="77777777" w:rsidR="00106BA1" w:rsidRPr="003E76E7" w:rsidRDefault="00106BA1" w:rsidP="00C4292D">
      <w:pPr>
        <w:numPr>
          <w:ilvl w:val="0"/>
          <w:numId w:val="15"/>
        </w:numPr>
        <w:tabs>
          <w:tab w:val="clear" w:pos="340"/>
          <w:tab w:val="num" w:pos="567"/>
        </w:tabs>
        <w:spacing w:before="60" w:after="60"/>
        <w:ind w:hanging="340"/>
        <w:rPr>
          <w:szCs w:val="20"/>
        </w:rPr>
      </w:pPr>
      <w:r w:rsidRPr="003E76E7">
        <w:rPr>
          <w:szCs w:val="20"/>
        </w:rPr>
        <w:t>enhancing the delivery of the conventionally-armed, nuclear-powered submarine enterprise; and</w:t>
      </w:r>
    </w:p>
    <w:p w14:paraId="10DD5133" w14:textId="6ADD79FA" w:rsidR="00106BA1" w:rsidRPr="003E76E7" w:rsidRDefault="00106BA1" w:rsidP="00C4292D">
      <w:pPr>
        <w:numPr>
          <w:ilvl w:val="0"/>
          <w:numId w:val="15"/>
        </w:numPr>
        <w:tabs>
          <w:tab w:val="clear" w:pos="340"/>
          <w:tab w:val="num" w:pos="567"/>
        </w:tabs>
        <w:spacing w:before="60" w:after="60"/>
        <w:ind w:hanging="340"/>
        <w:rPr>
          <w:rFonts w:eastAsia="Calibri" w:cs="Calibri"/>
          <w:szCs w:val="20"/>
          <w:lang w:val="en-AU" w:eastAsia="en-US"/>
        </w:rPr>
      </w:pPr>
      <w:r w:rsidRPr="003E76E7">
        <w:rPr>
          <w:szCs w:val="20"/>
        </w:rPr>
        <w:t>delivering the Government’s</w:t>
      </w:r>
      <w:r w:rsidRPr="003E76E7">
        <w:rPr>
          <w:rFonts w:eastAsia="Calibri" w:cs="Calibri"/>
          <w:szCs w:val="20"/>
          <w:lang w:val="en-AU" w:eastAsia="en-US"/>
        </w:rPr>
        <w:t xml:space="preserve"> response to the D</w:t>
      </w:r>
      <w:r w:rsidR="000867F3" w:rsidRPr="003E76E7">
        <w:rPr>
          <w:rFonts w:eastAsia="Calibri" w:cs="Calibri"/>
          <w:szCs w:val="20"/>
          <w:lang w:val="en-AU" w:eastAsia="en-US"/>
        </w:rPr>
        <w:t>efence Estate A</w:t>
      </w:r>
      <w:r w:rsidRPr="003E76E7">
        <w:rPr>
          <w:rFonts w:eastAsia="Calibri" w:cs="Calibri"/>
          <w:szCs w:val="20"/>
          <w:lang w:val="en-AU" w:eastAsia="en-US"/>
        </w:rPr>
        <w:t>udit.</w:t>
      </w:r>
    </w:p>
    <w:p w14:paraId="1580C66E" w14:textId="00134F22" w:rsidR="00106BA1" w:rsidRPr="003E76E7" w:rsidRDefault="00106BA1" w:rsidP="00C4292D">
      <w:pPr>
        <w:spacing w:before="60" w:after="60" w:line="256" w:lineRule="auto"/>
        <w:rPr>
          <w:rFonts w:eastAsia="Calibri" w:cs="Calibri"/>
          <w:szCs w:val="20"/>
          <w:lang w:val="en-AU" w:eastAsia="en-US"/>
        </w:rPr>
      </w:pPr>
      <w:r w:rsidRPr="003E76E7">
        <w:rPr>
          <w:rFonts w:eastAsia="Calibri" w:cs="Calibri"/>
          <w:szCs w:val="20"/>
          <w:lang w:val="en-AU" w:eastAsia="en-US"/>
        </w:rPr>
        <w:t>The establishment of the Defence Delivery Agency</w:t>
      </w:r>
      <w:r w:rsidR="00BF2B12" w:rsidRPr="003E76E7">
        <w:rPr>
          <w:rFonts w:eastAsia="Calibri" w:cs="Calibri"/>
          <w:szCs w:val="20"/>
          <w:lang w:val="en-AU" w:eastAsia="en-US"/>
        </w:rPr>
        <w:t xml:space="preserve"> (DDA)</w:t>
      </w:r>
      <w:r w:rsidRPr="003E76E7">
        <w:rPr>
          <w:rFonts w:eastAsia="Calibri" w:cs="Calibri"/>
          <w:szCs w:val="20"/>
          <w:lang w:val="en-AU" w:eastAsia="en-US"/>
        </w:rPr>
        <w:t xml:space="preserve"> will ensure capability acquisition and sustainment are streamlined and </w:t>
      </w:r>
      <w:r w:rsidRPr="003E76E7">
        <w:rPr>
          <w:rFonts w:cs="Calibri"/>
        </w:rPr>
        <w:t>accelerated</w:t>
      </w:r>
      <w:r w:rsidRPr="003E76E7">
        <w:rPr>
          <w:rFonts w:eastAsia="Calibri" w:cs="Calibri"/>
          <w:szCs w:val="20"/>
          <w:lang w:val="en-AU" w:eastAsia="en-US"/>
        </w:rPr>
        <w:t xml:space="preserve">. The implementation plan includes two phases. </w:t>
      </w:r>
      <w:r w:rsidRPr="003E76E7">
        <w:rPr>
          <w:rFonts w:eastAsia="Calibri" w:cs="Calibri"/>
          <w:szCs w:val="20"/>
          <w:lang w:val="en-AU" w:eastAsia="en-US"/>
        </w:rPr>
        <w:br/>
        <w:t>Phase 1 involves the consolidation of the capability development functions under the Vice Chief of the Defence Force and the three delivery groups (Capability Acquisition and Sustainment Group, Guided Weapons and Explosive Ordnance Group and Naval Shipbuilding and Sustainment Group) into a Defence Delivery Group</w:t>
      </w:r>
      <w:r w:rsidR="00DE352C" w:rsidRPr="003E76E7">
        <w:rPr>
          <w:rFonts w:eastAsia="Calibri" w:cs="Calibri"/>
          <w:szCs w:val="20"/>
          <w:lang w:val="en-AU" w:eastAsia="en-US"/>
        </w:rPr>
        <w:t xml:space="preserve"> Organisation </w:t>
      </w:r>
      <w:r w:rsidRPr="003E76E7">
        <w:rPr>
          <w:rFonts w:eastAsia="Calibri" w:cs="Calibri"/>
          <w:szCs w:val="20"/>
          <w:lang w:val="en-AU" w:eastAsia="en-US"/>
        </w:rPr>
        <w:t xml:space="preserve">by 1 July 2026. </w:t>
      </w:r>
    </w:p>
    <w:p w14:paraId="3092399C" w14:textId="5FEF837D" w:rsidR="00F14EE3" w:rsidRPr="003E76E7" w:rsidRDefault="00F208E2" w:rsidP="00C4292D">
      <w:pPr>
        <w:spacing w:before="60" w:after="60" w:line="256" w:lineRule="auto"/>
        <w:rPr>
          <w:rFonts w:eastAsia="Calibri" w:cs="Calibri"/>
          <w:szCs w:val="20"/>
          <w:lang w:val="en-AU" w:eastAsia="en-US"/>
        </w:rPr>
      </w:pPr>
      <w:r w:rsidRPr="003E76E7">
        <w:rPr>
          <w:rFonts w:eastAsia="Calibri" w:cs="Calibri"/>
          <w:szCs w:val="20"/>
          <w:lang w:val="en-AU" w:eastAsia="en-US"/>
        </w:rPr>
        <w:t>Under Phase 2, t</w:t>
      </w:r>
      <w:r w:rsidR="00106BA1" w:rsidRPr="003E76E7">
        <w:rPr>
          <w:rFonts w:eastAsia="Calibri" w:cs="Calibri"/>
          <w:szCs w:val="20"/>
          <w:lang w:val="en-AU" w:eastAsia="en-US"/>
        </w:rPr>
        <w:t xml:space="preserve">he </w:t>
      </w:r>
      <w:r w:rsidR="00BF2B12" w:rsidRPr="003E76E7">
        <w:rPr>
          <w:rFonts w:eastAsia="Calibri" w:cs="Calibri"/>
          <w:szCs w:val="20"/>
          <w:lang w:val="en-AU" w:eastAsia="en-US"/>
        </w:rPr>
        <w:t>DDA</w:t>
      </w:r>
      <w:r w:rsidR="00106BA1" w:rsidRPr="003E76E7">
        <w:rPr>
          <w:rFonts w:eastAsia="Calibri" w:cs="Calibri"/>
          <w:szCs w:val="20"/>
          <w:lang w:val="en-AU" w:eastAsia="en-US"/>
        </w:rPr>
        <w:t xml:space="preserve"> will commence from July 2027 and be led by the National Armaments Director, who will report directly to Ministers. The National Armaments Director will play a crucial role in providing advice to the Government on acquisition strategies and delivery of acquisition and sustainment projects. The </w:t>
      </w:r>
      <w:r w:rsidR="00BF2B12" w:rsidRPr="003E76E7">
        <w:rPr>
          <w:rFonts w:eastAsia="Calibri" w:cs="Calibri"/>
          <w:szCs w:val="20"/>
          <w:lang w:val="en-AU" w:eastAsia="en-US"/>
        </w:rPr>
        <w:t>DDA</w:t>
      </w:r>
      <w:r w:rsidR="00106BA1" w:rsidRPr="003E76E7">
        <w:rPr>
          <w:rFonts w:eastAsia="Calibri" w:cs="Calibri"/>
          <w:szCs w:val="20"/>
          <w:lang w:val="en-AU" w:eastAsia="en-US"/>
        </w:rPr>
        <w:t xml:space="preserve"> wi</w:t>
      </w:r>
      <w:r w:rsidR="00C91456">
        <w:rPr>
          <w:rFonts w:eastAsia="Calibri" w:cs="Calibri"/>
          <w:szCs w:val="20"/>
          <w:lang w:val="en-AU" w:eastAsia="en-US"/>
        </w:rPr>
        <w:t>ll have control over its budget, which</w:t>
      </w:r>
      <w:r w:rsidR="00106BA1" w:rsidRPr="003E76E7">
        <w:rPr>
          <w:rFonts w:eastAsia="Calibri" w:cs="Calibri"/>
          <w:szCs w:val="20"/>
          <w:lang w:val="en-AU" w:eastAsia="en-US"/>
        </w:rPr>
        <w:t xml:space="preserve"> will enable coordinated and holistic delivery of defence capability and improve Australia’s ability to maintain its sovereign defence industrial base. </w:t>
      </w:r>
    </w:p>
    <w:p w14:paraId="733EAE1E" w14:textId="7B18BFF5" w:rsidR="00853EA6" w:rsidRPr="003E76E7" w:rsidRDefault="00106BA1" w:rsidP="00C4292D">
      <w:pPr>
        <w:spacing w:before="60" w:after="60" w:line="256" w:lineRule="auto"/>
        <w:rPr>
          <w:rFonts w:eastAsia="Calibri" w:cs="Calibri"/>
          <w:szCs w:val="20"/>
          <w:lang w:val="en-AU" w:eastAsia="en-US"/>
        </w:rPr>
      </w:pPr>
      <w:r w:rsidRPr="003E76E7">
        <w:rPr>
          <w:rFonts w:eastAsia="Calibri" w:cs="Calibri"/>
          <w:szCs w:val="20"/>
          <w:lang w:val="en-AU" w:eastAsia="en-US"/>
        </w:rPr>
        <w:t>Defence will also continue to grow naval shipbuilding and sustainment capabilities and deliver the co</w:t>
      </w:r>
      <w:r w:rsidR="00C91456">
        <w:rPr>
          <w:rFonts w:eastAsia="Calibri" w:cs="Calibri"/>
          <w:szCs w:val="20"/>
          <w:lang w:val="en-AU" w:eastAsia="en-US"/>
        </w:rPr>
        <w:t>nventionally-armed, n</w:t>
      </w:r>
      <w:r w:rsidRPr="003E76E7">
        <w:rPr>
          <w:rFonts w:eastAsia="Calibri" w:cs="Calibri"/>
          <w:szCs w:val="20"/>
          <w:lang w:val="en-AU" w:eastAsia="en-US"/>
        </w:rPr>
        <w:t>ucl</w:t>
      </w:r>
      <w:r w:rsidR="00C91456">
        <w:rPr>
          <w:rFonts w:eastAsia="Calibri" w:cs="Calibri"/>
          <w:szCs w:val="20"/>
          <w:lang w:val="en-AU" w:eastAsia="en-US"/>
        </w:rPr>
        <w:t>ear-powered submarine program</w:t>
      </w:r>
      <w:r w:rsidRPr="003E76E7">
        <w:rPr>
          <w:rFonts w:eastAsia="Calibri" w:cs="Calibri"/>
          <w:szCs w:val="20"/>
          <w:lang w:val="en-AU" w:eastAsia="en-US"/>
        </w:rPr>
        <w:t xml:space="preserve">, in coordination with </w:t>
      </w:r>
      <w:r w:rsidRPr="003E76E7">
        <w:rPr>
          <w:rFonts w:eastAsia="Calibri" w:cs="Calibri"/>
          <w:szCs w:val="20"/>
          <w:lang w:val="en-AU" w:eastAsia="en-US"/>
        </w:rPr>
        <w:br/>
        <w:t xml:space="preserve">whole-of-government and whole-of-nation partners. </w:t>
      </w:r>
      <w:r w:rsidR="00041FC8" w:rsidRPr="003E76E7">
        <w:rPr>
          <w:rFonts w:eastAsia="Calibri" w:cs="Calibri"/>
          <w:szCs w:val="20"/>
          <w:lang w:val="en-AU" w:eastAsia="en-US"/>
        </w:rPr>
        <w:t>Under the</w:t>
      </w:r>
      <w:r w:rsidR="00173F8C" w:rsidRPr="003E76E7">
        <w:rPr>
          <w:rFonts w:eastAsia="Calibri" w:cs="Calibri"/>
          <w:szCs w:val="20"/>
          <w:lang w:val="en-AU" w:eastAsia="en-US"/>
        </w:rPr>
        <w:t xml:space="preserve"> trilateral partnership between</w:t>
      </w:r>
      <w:r w:rsidRPr="003E76E7">
        <w:rPr>
          <w:rFonts w:eastAsia="Calibri" w:cs="Calibri"/>
          <w:szCs w:val="20"/>
          <w:lang w:val="en-AU" w:eastAsia="en-US"/>
        </w:rPr>
        <w:t xml:space="preserve"> </w:t>
      </w:r>
      <w:r w:rsidR="00BF2B12" w:rsidRPr="003E76E7">
        <w:rPr>
          <w:rFonts w:eastAsia="Calibri" w:cs="Calibri"/>
          <w:szCs w:val="20"/>
          <w:lang w:val="en-AU" w:eastAsia="en-US"/>
        </w:rPr>
        <w:t>Australia, the United Kingdom and the United States (</w:t>
      </w:r>
      <w:r w:rsidRPr="003E76E7">
        <w:rPr>
          <w:rFonts w:eastAsia="Calibri" w:cs="Calibri"/>
          <w:szCs w:val="20"/>
          <w:lang w:val="en-AU" w:eastAsia="en-US"/>
        </w:rPr>
        <w:t>AUKUS</w:t>
      </w:r>
      <w:r w:rsidR="00BF2B12" w:rsidRPr="003E76E7">
        <w:rPr>
          <w:rFonts w:eastAsia="Calibri" w:cs="Calibri"/>
          <w:szCs w:val="20"/>
          <w:lang w:val="en-AU" w:eastAsia="en-US"/>
        </w:rPr>
        <w:t>)</w:t>
      </w:r>
      <w:r w:rsidR="00173F8C" w:rsidRPr="003E76E7">
        <w:rPr>
          <w:rFonts w:eastAsia="Calibri" w:cs="Calibri"/>
          <w:szCs w:val="20"/>
          <w:lang w:val="en-AU" w:eastAsia="en-US"/>
        </w:rPr>
        <w:t>,</w:t>
      </w:r>
      <w:r w:rsidRPr="003E76E7">
        <w:rPr>
          <w:rFonts w:eastAsia="Calibri" w:cs="Calibri"/>
          <w:szCs w:val="20"/>
          <w:lang w:val="en-AU" w:eastAsia="en-US"/>
        </w:rPr>
        <w:t xml:space="preserve"> </w:t>
      </w:r>
      <w:r w:rsidR="009D6FD4" w:rsidRPr="003E76E7">
        <w:rPr>
          <w:rFonts w:eastAsia="Calibri" w:cs="Calibri"/>
          <w:szCs w:val="20"/>
          <w:lang w:val="en-AU" w:eastAsia="en-US"/>
        </w:rPr>
        <w:t>Australia will acquire a fleet of conventionally-armed, nuclear-powered submarines to enhance our ability to deter aggression and contribute to stability in the Indo-Pacific.</w:t>
      </w:r>
    </w:p>
    <w:p w14:paraId="0FDADF56" w14:textId="4BE3E5A1" w:rsidR="009D6FD4" w:rsidRPr="003E76E7" w:rsidRDefault="009D6FD4" w:rsidP="00C4292D">
      <w:pPr>
        <w:spacing w:before="60" w:after="60" w:line="256" w:lineRule="auto"/>
        <w:rPr>
          <w:rFonts w:eastAsia="Calibri" w:cs="Calibri"/>
          <w:szCs w:val="20"/>
          <w:lang w:val="en-AU" w:eastAsia="en-US"/>
        </w:rPr>
      </w:pPr>
      <w:r w:rsidRPr="003E76E7">
        <w:rPr>
          <w:rFonts w:eastAsia="Calibri" w:cs="Calibri"/>
          <w:szCs w:val="20"/>
          <w:lang w:val="en-AU" w:eastAsia="en-US"/>
        </w:rPr>
        <w:t xml:space="preserve">AUKUS Pillar II is harnessing developments in cutting-edge technologies with the United Kingdom and the United States to deliver asymmetric advantage to our defence forces, </w:t>
      </w:r>
      <w:r w:rsidR="00245325" w:rsidRPr="003E76E7">
        <w:rPr>
          <w:rFonts w:eastAsia="Calibri" w:cs="Calibri"/>
          <w:szCs w:val="20"/>
          <w:lang w:val="en-AU" w:eastAsia="en-US"/>
        </w:rPr>
        <w:br/>
      </w:r>
      <w:r w:rsidRPr="003E76E7">
        <w:rPr>
          <w:rFonts w:eastAsia="Calibri" w:cs="Calibri"/>
          <w:szCs w:val="20"/>
          <w:lang w:val="en-AU" w:eastAsia="en-US"/>
        </w:rPr>
        <w:t>as well as bolstering industry and in</w:t>
      </w:r>
      <w:r w:rsidR="00FE5A03">
        <w:rPr>
          <w:rFonts w:eastAsia="Calibri" w:cs="Calibri"/>
          <w:szCs w:val="20"/>
          <w:lang w:val="en-AU" w:eastAsia="en-US"/>
        </w:rPr>
        <w:t xml:space="preserve">novation sector collaboration. </w:t>
      </w:r>
      <w:r w:rsidRPr="003E76E7">
        <w:rPr>
          <w:rFonts w:eastAsia="Calibri" w:cs="Calibri"/>
          <w:szCs w:val="20"/>
          <w:lang w:val="en-AU" w:eastAsia="en-US"/>
        </w:rPr>
        <w:t xml:space="preserve">This collaboration is focused on near-term warfighting objectives. </w:t>
      </w:r>
    </w:p>
    <w:p w14:paraId="0616D07A" w14:textId="204431FE" w:rsidR="00106BA1" w:rsidRPr="003E76E7" w:rsidRDefault="00106BA1" w:rsidP="00C4292D">
      <w:pPr>
        <w:spacing w:before="60" w:after="60" w:line="256" w:lineRule="auto"/>
        <w:rPr>
          <w:rFonts w:eastAsia="Calibri" w:cs="Calibri"/>
          <w:szCs w:val="20"/>
          <w:lang w:val="en-AU" w:eastAsia="en-US"/>
        </w:rPr>
      </w:pPr>
      <w:r w:rsidRPr="003E76E7">
        <w:rPr>
          <w:rFonts w:eastAsia="Calibri" w:cs="Calibri"/>
          <w:szCs w:val="20"/>
          <w:lang w:val="en-AU" w:eastAsia="en-US"/>
        </w:rPr>
        <w:lastRenderedPageBreak/>
        <w:t xml:space="preserve">Acquiring, building and sustaining Australia’s conventionally-armed, nuclear-powered submarine capability is one of Australia’s most complex national endeavours. Successful delivery of the Optimal Pathway will require whole-of-government support and expertise in workforce delivery, industrial uplift, environmental planning, infrastructure, education and training and diplomacy. This requires close coordination with whole-of-government and whole-of-nation partners, as well as industry and workers. </w:t>
      </w:r>
    </w:p>
    <w:p w14:paraId="5D86EA06" w14:textId="6FD3714D" w:rsidR="00106BA1" w:rsidRPr="003E76E7" w:rsidRDefault="00106BA1" w:rsidP="00C4292D">
      <w:pPr>
        <w:spacing w:before="60" w:after="60" w:line="256" w:lineRule="auto"/>
        <w:rPr>
          <w:rFonts w:eastAsia="Calibri" w:cs="Calibri"/>
          <w:szCs w:val="20"/>
          <w:lang w:val="en-AU" w:eastAsia="en-US"/>
        </w:rPr>
      </w:pPr>
      <w:r w:rsidRPr="003E76E7">
        <w:rPr>
          <w:rFonts w:eastAsia="Calibri" w:cs="Calibri"/>
          <w:szCs w:val="20"/>
          <w:lang w:val="en-AU" w:eastAsia="en-US"/>
        </w:rPr>
        <w:t xml:space="preserve">Defence will also continue to implement the recommendations of the Defence Estate Audit to ensure that the defence estate is fit for purpose. </w:t>
      </w:r>
    </w:p>
    <w:p w14:paraId="05788E1B" w14:textId="52CF003F" w:rsidR="00106BA1" w:rsidRPr="003E76E7" w:rsidRDefault="00106BA1" w:rsidP="00C4292D">
      <w:pPr>
        <w:spacing w:before="60" w:after="60" w:line="256" w:lineRule="auto"/>
        <w:rPr>
          <w:rFonts w:eastAsia="Calibri" w:cs="Calibri"/>
          <w:szCs w:val="20"/>
          <w:lang w:val="en-AU" w:eastAsia="en-US"/>
        </w:rPr>
      </w:pPr>
      <w:r w:rsidRPr="003E76E7">
        <w:rPr>
          <w:rFonts w:eastAsia="Calibri" w:cs="Calibri"/>
          <w:szCs w:val="20"/>
          <w:lang w:val="en-AU" w:eastAsia="en-US"/>
        </w:rPr>
        <w:t>Improving Defence’s culture is fundamental to achieving the Defence mission</w:t>
      </w:r>
      <w:r w:rsidR="00F208E2" w:rsidRPr="003E76E7">
        <w:rPr>
          <w:rFonts w:eastAsia="Calibri" w:cs="Calibri"/>
          <w:szCs w:val="20"/>
          <w:lang w:val="en-AU" w:eastAsia="en-US"/>
        </w:rPr>
        <w:t xml:space="preserve"> and delivering the </w:t>
      </w:r>
      <w:r w:rsidR="00F208E2" w:rsidRPr="003E76E7">
        <w:rPr>
          <w:rFonts w:eastAsia="Calibri" w:cs="Calibri"/>
          <w:i/>
          <w:szCs w:val="20"/>
          <w:lang w:val="en-AU" w:eastAsia="en-US"/>
        </w:rPr>
        <w:t>2026 National Defence Strategy</w:t>
      </w:r>
      <w:r w:rsidRPr="003E76E7">
        <w:rPr>
          <w:rFonts w:eastAsia="Calibri" w:cs="Calibri"/>
          <w:szCs w:val="20"/>
          <w:lang w:val="en-AU" w:eastAsia="en-US"/>
        </w:rPr>
        <w:t>. Defence will continue to implement initiatives that enable an inclusive, respectful and psychologically safe workplace</w:t>
      </w:r>
      <w:r w:rsidR="00F208E2" w:rsidRPr="003E76E7">
        <w:rPr>
          <w:rFonts w:eastAsia="Calibri" w:cs="Calibri"/>
          <w:szCs w:val="20"/>
          <w:lang w:val="en-AU" w:eastAsia="en-US"/>
        </w:rPr>
        <w:t>,</w:t>
      </w:r>
      <w:r w:rsidRPr="003E76E7">
        <w:rPr>
          <w:rFonts w:eastAsia="Calibri" w:cs="Calibri"/>
          <w:szCs w:val="20"/>
          <w:lang w:val="en-AU" w:eastAsia="en-US"/>
        </w:rPr>
        <w:t xml:space="preserve"> </w:t>
      </w:r>
      <w:r w:rsidR="00F208E2" w:rsidRPr="003E76E7">
        <w:rPr>
          <w:rFonts w:eastAsia="Calibri" w:cs="Calibri"/>
          <w:szCs w:val="20"/>
          <w:lang w:val="en-AU" w:eastAsia="en-US"/>
        </w:rPr>
        <w:t>i</w:t>
      </w:r>
      <w:r w:rsidRPr="003E76E7">
        <w:rPr>
          <w:rFonts w:eastAsia="Calibri" w:cs="Calibri"/>
          <w:szCs w:val="20"/>
          <w:lang w:val="en-AU" w:eastAsia="en-US"/>
        </w:rPr>
        <w:t xml:space="preserve">ncluding </w:t>
      </w:r>
      <w:r w:rsidR="00F208E2" w:rsidRPr="003E76E7">
        <w:rPr>
          <w:rFonts w:eastAsia="Calibri" w:cs="Calibri"/>
          <w:szCs w:val="20"/>
          <w:lang w:val="en-AU" w:eastAsia="en-US"/>
        </w:rPr>
        <w:t xml:space="preserve">continued implementation of </w:t>
      </w:r>
      <w:r w:rsidRPr="003E76E7">
        <w:rPr>
          <w:rFonts w:eastAsia="Calibri" w:cs="Calibri"/>
          <w:szCs w:val="20"/>
          <w:lang w:val="en-AU" w:eastAsia="en-US"/>
        </w:rPr>
        <w:t xml:space="preserve">the recommendations of the Royal Commission into Defence and Veteran Suicide. </w:t>
      </w:r>
    </w:p>
    <w:p w14:paraId="7CF06684" w14:textId="5CA6A058" w:rsidR="00106BA1" w:rsidRPr="003E76E7" w:rsidRDefault="00106BA1" w:rsidP="00C4292D">
      <w:pPr>
        <w:spacing w:before="60" w:after="60" w:line="256" w:lineRule="auto"/>
        <w:rPr>
          <w:rFonts w:cs="Book Antiqua"/>
          <w:szCs w:val="20"/>
          <w:lang w:val="en-AU"/>
        </w:rPr>
      </w:pPr>
      <w:r w:rsidRPr="003E76E7">
        <w:rPr>
          <w:rFonts w:cs="Calibri"/>
        </w:rPr>
        <w:t xml:space="preserve">The biennial National Defence Strategy cycle </w:t>
      </w:r>
      <w:r w:rsidR="00F208E2" w:rsidRPr="003E76E7">
        <w:rPr>
          <w:rFonts w:cs="Calibri"/>
        </w:rPr>
        <w:t xml:space="preserve">will continue to form </w:t>
      </w:r>
      <w:r w:rsidRPr="003E76E7">
        <w:rPr>
          <w:rFonts w:cs="Calibri"/>
        </w:rPr>
        <w:t xml:space="preserve">the structured basis for Government to regularly re-evaluate effort to support </w:t>
      </w:r>
      <w:r w:rsidRPr="003E76E7">
        <w:rPr>
          <w:rFonts w:cs="Calibri"/>
          <w:i/>
        </w:rPr>
        <w:t>National Defence</w:t>
      </w:r>
      <w:r w:rsidRPr="003E76E7">
        <w:rPr>
          <w:rFonts w:cs="Calibri"/>
        </w:rPr>
        <w:t xml:space="preserve">. This ensures policy, strategy, capability and planning keeps pace with the </w:t>
      </w:r>
      <w:r w:rsidRPr="003E76E7">
        <w:rPr>
          <w:rFonts w:eastAsia="Calibri" w:cs="Calibri"/>
          <w:szCs w:val="20"/>
          <w:lang w:val="en-AU" w:eastAsia="en-US"/>
        </w:rPr>
        <w:t>rapidly</w:t>
      </w:r>
      <w:r w:rsidRPr="003E76E7">
        <w:rPr>
          <w:rFonts w:cs="Calibri"/>
        </w:rPr>
        <w:t xml:space="preserve"> evolving strategic environment, and remains fit-</w:t>
      </w:r>
      <w:r w:rsidR="00010DD1">
        <w:rPr>
          <w:rFonts w:cs="Calibri"/>
        </w:rPr>
        <w:t>f</w:t>
      </w:r>
      <w:r w:rsidRPr="003E76E7">
        <w:rPr>
          <w:rFonts w:cs="Calibri"/>
        </w:rPr>
        <w:t xml:space="preserve">or-purpose to respond to Australia’s national security priorities and to provide clarity of process and approach to Defence and defence industry. The next National Defence Strategy will be delivered in 2028. </w:t>
      </w:r>
      <w:r w:rsidRPr="003E76E7">
        <w:rPr>
          <w:rFonts w:cs="Calibri"/>
        </w:rPr>
        <w:br/>
      </w:r>
    </w:p>
    <w:p w14:paraId="4C927714" w14:textId="07758405" w:rsidR="0017380A" w:rsidRPr="003E76E7" w:rsidRDefault="004D20D0" w:rsidP="00C4292D">
      <w:pPr>
        <w:spacing w:before="0" w:after="0"/>
        <w:rPr>
          <w:rFonts w:cs="Book Antiqua"/>
          <w:szCs w:val="20"/>
          <w:lang w:val="en-AU"/>
        </w:rPr>
      </w:pPr>
      <w:r w:rsidRPr="003E76E7">
        <w:rPr>
          <w:rFonts w:cs="Book Antiqua"/>
          <w:szCs w:val="20"/>
          <w:lang w:val="en-AU"/>
        </w:rPr>
        <w:br w:type="page"/>
      </w:r>
    </w:p>
    <w:p w14:paraId="7A3C876C" w14:textId="25619F8A" w:rsidR="00B007E4" w:rsidRPr="003E76E7" w:rsidRDefault="00D56E52" w:rsidP="00C4292D">
      <w:pPr>
        <w:autoSpaceDE w:val="0"/>
        <w:autoSpaceDN w:val="0"/>
        <w:adjustRightInd w:val="0"/>
        <w:spacing w:before="120" w:after="120"/>
        <w:jc w:val="both"/>
        <w:outlineLvl w:val="4"/>
        <w:rPr>
          <w:rFonts w:ascii="Arial" w:hAnsi="Arial"/>
          <w:b/>
          <w:sz w:val="22"/>
          <w:szCs w:val="22"/>
        </w:rPr>
      </w:pPr>
      <w:r w:rsidRPr="003E76E7">
        <w:rPr>
          <w:rFonts w:ascii="Arial" w:hAnsi="Arial"/>
          <w:b/>
          <w:sz w:val="22"/>
          <w:szCs w:val="22"/>
        </w:rPr>
        <w:lastRenderedPageBreak/>
        <w:t>De</w:t>
      </w:r>
      <w:r w:rsidR="00D51782" w:rsidRPr="003E76E7">
        <w:rPr>
          <w:rFonts w:ascii="Arial" w:hAnsi="Arial"/>
          <w:b/>
          <w:sz w:val="22"/>
          <w:szCs w:val="22"/>
        </w:rPr>
        <w:t>fence Organisational C</w:t>
      </w:r>
      <w:r w:rsidR="00BD4B18" w:rsidRPr="003E76E7">
        <w:rPr>
          <w:rFonts w:ascii="Arial" w:hAnsi="Arial"/>
          <w:b/>
          <w:sz w:val="22"/>
          <w:szCs w:val="22"/>
        </w:rPr>
        <w:t>hart</w:t>
      </w:r>
    </w:p>
    <w:p w14:paraId="0AE450BC" w14:textId="05FBFF20" w:rsidR="00B007E4" w:rsidRPr="003E76E7" w:rsidRDefault="00B007E4" w:rsidP="00C4292D">
      <w:pPr>
        <w:pStyle w:val="FigureHeading"/>
        <w:numPr>
          <w:ilvl w:val="0"/>
          <w:numId w:val="94"/>
        </w:numPr>
        <w:tabs>
          <w:tab w:val="num" w:pos="567"/>
        </w:tabs>
        <w:spacing w:before="0"/>
        <w:ind w:left="426" w:hanging="426"/>
        <w:outlineLvl w:val="4"/>
        <w:rPr>
          <w:lang w:val="en-AU"/>
        </w:rPr>
      </w:pPr>
      <w:r w:rsidRPr="003E76E7">
        <w:rPr>
          <w:lang w:val="en-AU"/>
        </w:rPr>
        <w:t>Defence Organisational Chart</w:t>
      </w:r>
    </w:p>
    <w:p w14:paraId="3E0A126E" w14:textId="2BE64179" w:rsidR="00435413" w:rsidRPr="003E76E7" w:rsidRDefault="00435413" w:rsidP="00C4292D">
      <w:pPr>
        <w:pStyle w:val="BodyText"/>
        <w:rPr>
          <w:lang w:val="en-AU"/>
        </w:rPr>
      </w:pPr>
      <w:r w:rsidRPr="003E76E7">
        <w:rPr>
          <w:noProof/>
          <w:lang w:val="en-AU"/>
        </w:rPr>
        <mc:AlternateContent>
          <mc:Choice Requires="wps">
            <w:drawing>
              <wp:anchor distT="0" distB="0" distL="114300" distR="114300" simplePos="0" relativeHeight="251749888" behindDoc="0" locked="0" layoutInCell="1" allowOverlap="1" wp14:anchorId="335AB981" wp14:editId="3A8B4EA6">
                <wp:simplePos x="0" y="0"/>
                <wp:positionH relativeFrom="column">
                  <wp:posOffset>1512570</wp:posOffset>
                </wp:positionH>
                <wp:positionV relativeFrom="paragraph">
                  <wp:posOffset>113030</wp:posOffset>
                </wp:positionV>
                <wp:extent cx="2008505" cy="490855"/>
                <wp:effectExtent l="0" t="0" r="0" b="0"/>
                <wp:wrapNone/>
                <wp:docPr id="604"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8505" cy="490855"/>
                        </a:xfrm>
                        <a:prstGeom prst="rect">
                          <a:avLst/>
                        </a:prstGeom>
                        <a:solidFill>
                          <a:srgbClr val="FFFFFF"/>
                        </a:solidFill>
                        <a:ln w="9525">
                          <a:noFill/>
                          <a:miter lim="800000"/>
                          <a:headEnd/>
                          <a:tailEnd/>
                        </a:ln>
                        <a:extLst/>
                      </wps:spPr>
                      <wps:txbx>
                        <w:txbxContent>
                          <w:p w14:paraId="4EA24610" w14:textId="77777777" w:rsidR="00CA309D" w:rsidRPr="00A01209" w:rsidRDefault="00CA309D" w:rsidP="00435413">
                            <w:pPr>
                              <w:pStyle w:val="OrgChart"/>
                              <w:jc w:val="center"/>
                              <w:rPr>
                                <w:rFonts w:ascii="Arial" w:hAnsi="Arial"/>
                                <w:szCs w:val="16"/>
                                <w:lang w:val="en-AU"/>
                              </w:rPr>
                            </w:pPr>
                            <w:r w:rsidRPr="00A01209">
                              <w:rPr>
                                <w:rFonts w:ascii="Arial" w:hAnsi="Arial"/>
                                <w:szCs w:val="16"/>
                                <w:lang w:val="en-AU"/>
                              </w:rPr>
                              <w:t>Deputy Prime Minister</w:t>
                            </w:r>
                            <w:r w:rsidRPr="00A01209">
                              <w:rPr>
                                <w:rFonts w:ascii="Arial" w:hAnsi="Arial"/>
                                <w:szCs w:val="16"/>
                                <w:lang w:val="en-AU"/>
                              </w:rPr>
                              <w:br/>
                              <w:t>Minister for Defence</w:t>
                            </w:r>
                          </w:p>
                          <w:p w14:paraId="4266C2B5" w14:textId="77777777" w:rsidR="00CA309D" w:rsidRPr="00A01209" w:rsidRDefault="00CA309D" w:rsidP="00435413">
                            <w:pPr>
                              <w:pStyle w:val="OrgChart"/>
                              <w:jc w:val="center"/>
                              <w:rPr>
                                <w:rFonts w:ascii="Arial" w:hAnsi="Arial"/>
                                <w:szCs w:val="16"/>
                                <w:lang w:val="en-AU"/>
                              </w:rPr>
                            </w:pPr>
                            <w:r w:rsidRPr="00A01209">
                              <w:rPr>
                                <w:rFonts w:ascii="Arial" w:hAnsi="Arial"/>
                                <w:szCs w:val="16"/>
                              </w:rPr>
                              <w:t>The Hon Richard Marles 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AB981" id="Text Box 580" o:spid="_x0000_s1048" type="#_x0000_t202" style="position:absolute;margin-left:119.1pt;margin-top:8.9pt;width:158.15pt;height:38.6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" stroked="f">
                <v:textbox>
                  <w:txbxContent>
                    <w:p w14:paraId="4EA24610" w14:textId="77777777" w:rsidR="00CA309D" w:rsidRPr="00A01209" w:rsidRDefault="00CA309D" w:rsidP="00435413">
                      <w:pPr>
                        <w:pStyle w:val="OrgChart"/>
                        <w:jc w:val="center"/>
                        <w:rPr>
                          <w:rFonts w:ascii="Arial" w:hAnsi="Arial"/>
                          <w:szCs w:val="16"/>
                          <w:lang w:val="en-AU"/>
                        </w:rPr>
                      </w:pPr>
                      <w:r w:rsidRPr="00A01209">
                        <w:rPr>
                          <w:rFonts w:ascii="Arial" w:hAnsi="Arial"/>
                          <w:szCs w:val="16"/>
                          <w:lang w:val="en-AU"/>
                        </w:rPr>
                        <w:t>Deputy Prime Minister</w:t>
                      </w:r>
                      <w:r w:rsidRPr="00A01209">
                        <w:rPr>
                          <w:rFonts w:ascii="Arial" w:hAnsi="Arial"/>
                          <w:szCs w:val="16"/>
                          <w:lang w:val="en-AU"/>
                        </w:rPr>
                        <w:br/>
                        <w:t>Minister for Defence</w:t>
                      </w:r>
                    </w:p>
                    <w:p w14:paraId="4266C2B5" w14:textId="77777777" w:rsidR="00CA309D" w:rsidRPr="00A01209" w:rsidRDefault="00CA309D" w:rsidP="00435413">
                      <w:pPr>
                        <w:pStyle w:val="OrgChart"/>
                        <w:jc w:val="center"/>
                        <w:rPr>
                          <w:rFonts w:ascii="Arial" w:hAnsi="Arial"/>
                          <w:szCs w:val="16"/>
                          <w:lang w:val="en-AU"/>
                        </w:rPr>
                      </w:pPr>
                      <w:r w:rsidRPr="00A01209">
                        <w:rPr>
                          <w:rFonts w:ascii="Arial" w:hAnsi="Arial"/>
                          <w:szCs w:val="16"/>
                        </w:rPr>
                        <w:t>The Hon Richard Marles MP</w:t>
                      </w:r>
                    </w:p>
                  </w:txbxContent>
                </v:textbox>
              </v:shape>
            </w:pict>
          </mc:Fallback>
        </mc:AlternateContent>
      </w:r>
    </w:p>
    <w:p w14:paraId="2371D949" w14:textId="7CA17B4C" w:rsidR="00435413" w:rsidRPr="003E76E7" w:rsidRDefault="00435413" w:rsidP="00C4292D">
      <w:pPr>
        <w:rPr>
          <w:szCs w:val="20"/>
        </w:rPr>
      </w:pPr>
    </w:p>
    <w:p w14:paraId="61A97865" w14:textId="62BBFAAA" w:rsidR="00435413" w:rsidRPr="003E76E7" w:rsidRDefault="0045208A" w:rsidP="00C4292D">
      <w:pPr>
        <w:rPr>
          <w:szCs w:val="20"/>
        </w:rPr>
      </w:pPr>
      <w:r w:rsidRPr="003E76E7">
        <w:rPr>
          <w:noProof/>
          <w:lang w:val="en-AU"/>
        </w:rPr>
        <mc:AlternateContent>
          <mc:Choice Requires="wps">
            <w:drawing>
              <wp:anchor distT="0" distB="0" distL="114299" distR="114299" simplePos="0" relativeHeight="251794944" behindDoc="0" locked="0" layoutInCell="1" allowOverlap="1" wp14:anchorId="0D550668" wp14:editId="23E338A0">
                <wp:simplePos x="0" y="0"/>
                <wp:positionH relativeFrom="column">
                  <wp:posOffset>2589199</wp:posOffset>
                </wp:positionH>
                <wp:positionV relativeFrom="paragraph">
                  <wp:posOffset>6322</wp:posOffset>
                </wp:positionV>
                <wp:extent cx="5356" cy="1105232"/>
                <wp:effectExtent l="0" t="0" r="33020" b="19050"/>
                <wp:wrapNone/>
                <wp:docPr id="603" name="Straight Connector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356" cy="1105232"/>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606623E6" id="Straight Connector 575" o:spid="_x0000_s1026" style="position:absolute;flip:y;z-index:251794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03.85pt,.5pt" to="204.25pt,8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">
                <v:stroke joinstyle="miter"/>
                <o:lock v:ext="edit" shapetype="f"/>
              </v:line>
            </w:pict>
          </mc:Fallback>
        </mc:AlternateContent>
      </w:r>
      <w:r w:rsidR="00435413" w:rsidRPr="003E76E7">
        <w:rPr>
          <w:noProof/>
          <w:lang w:val="en-AU"/>
        </w:rPr>
        <mc:AlternateContent>
          <mc:Choice Requires="wps">
            <w:drawing>
              <wp:anchor distT="0" distB="0" distL="114300" distR="114300" simplePos="0" relativeHeight="251798016" behindDoc="0" locked="0" layoutInCell="1" allowOverlap="1" wp14:anchorId="5F62C523" wp14:editId="6B31B9F6">
                <wp:simplePos x="0" y="0"/>
                <wp:positionH relativeFrom="column">
                  <wp:posOffset>1778635</wp:posOffset>
                </wp:positionH>
                <wp:positionV relativeFrom="paragraph">
                  <wp:posOffset>213360</wp:posOffset>
                </wp:positionV>
                <wp:extent cx="1624330" cy="347980"/>
                <wp:effectExtent l="0" t="0" r="0" b="0"/>
                <wp:wrapNone/>
                <wp:docPr id="602"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347980"/>
                        </a:xfrm>
                        <a:prstGeom prst="rect">
                          <a:avLst/>
                        </a:prstGeom>
                        <a:solidFill>
                          <a:srgbClr val="FFFFFF"/>
                        </a:solidFill>
                        <a:ln w="9525">
                          <a:noFill/>
                          <a:miter lim="800000"/>
                          <a:headEnd/>
                          <a:tailEnd/>
                        </a:ln>
                        <a:extLst/>
                      </wps:spPr>
                      <wps:txbx>
                        <w:txbxContent>
                          <w:p w14:paraId="7B486CFF" w14:textId="77777777" w:rsidR="00CA309D" w:rsidRDefault="00CA309D" w:rsidP="00435413">
                            <w:pPr>
                              <w:pStyle w:val="OrgChart"/>
                              <w:jc w:val="center"/>
                              <w:rPr>
                                <w:rFonts w:ascii="Arial" w:hAnsi="Arial"/>
                                <w:szCs w:val="16"/>
                              </w:rPr>
                            </w:pPr>
                            <w:r>
                              <w:rPr>
                                <w:rFonts w:ascii="Arial" w:hAnsi="Arial"/>
                                <w:szCs w:val="16"/>
                              </w:rPr>
                              <w:t>Assistant Minister for Defence</w:t>
                            </w:r>
                          </w:p>
                          <w:p w14:paraId="248A6B46" w14:textId="77777777" w:rsidR="00CA309D" w:rsidRPr="00A01209" w:rsidRDefault="00CA309D" w:rsidP="00435413">
                            <w:pPr>
                              <w:pStyle w:val="OrgChart"/>
                              <w:jc w:val="center"/>
                              <w:rPr>
                                <w:rFonts w:ascii="Arial" w:hAnsi="Arial"/>
                                <w:lang w:val="en-AU"/>
                              </w:rPr>
                            </w:pPr>
                            <w:r w:rsidRPr="00A01209">
                              <w:rPr>
                                <w:rFonts w:ascii="Arial" w:hAnsi="Arial"/>
                                <w:szCs w:val="16"/>
                              </w:rPr>
                              <w:t>The Hon P</w:t>
                            </w:r>
                            <w:r>
                              <w:rPr>
                                <w:rFonts w:ascii="Arial" w:hAnsi="Arial"/>
                                <w:szCs w:val="16"/>
                              </w:rPr>
                              <w:t>eter Khalil MP</w:t>
                            </w:r>
                          </w:p>
                          <w:p w14:paraId="6D4220FD" w14:textId="77777777" w:rsidR="00CA309D" w:rsidRPr="00A01209" w:rsidRDefault="00CA309D" w:rsidP="00435413">
                            <w:pPr>
                              <w:pStyle w:val="OrgChart"/>
                              <w:jc w:val="center"/>
                              <w:rPr>
                                <w:rFonts w:ascii="Arial" w:hAnsi="Arial"/>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2C523" id="Text Box 576" o:spid="_x0000_s1049" type="#_x0000_t202" style="position:absolute;margin-left:140.05pt;margin-top:16.8pt;width:127.9pt;height:27.4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" stroked="f">
                <v:textbox>
                  <w:txbxContent>
                    <w:p w14:paraId="7B486CFF" w14:textId="77777777" w:rsidR="00CA309D" w:rsidRDefault="00CA309D" w:rsidP="00435413">
                      <w:pPr>
                        <w:pStyle w:val="OrgChart"/>
                        <w:jc w:val="center"/>
                        <w:rPr>
                          <w:rFonts w:ascii="Arial" w:hAnsi="Arial"/>
                          <w:szCs w:val="16"/>
                        </w:rPr>
                      </w:pPr>
                      <w:r>
                        <w:rPr>
                          <w:rFonts w:ascii="Arial" w:hAnsi="Arial"/>
                          <w:szCs w:val="16"/>
                        </w:rPr>
                        <w:t>Assistant Minister for Defence</w:t>
                      </w:r>
                    </w:p>
                    <w:p w14:paraId="248A6B46" w14:textId="77777777" w:rsidR="00CA309D" w:rsidRPr="00A01209" w:rsidRDefault="00CA309D" w:rsidP="00435413">
                      <w:pPr>
                        <w:pStyle w:val="OrgChart"/>
                        <w:jc w:val="center"/>
                        <w:rPr>
                          <w:rFonts w:ascii="Arial" w:hAnsi="Arial"/>
                          <w:lang w:val="en-AU"/>
                        </w:rPr>
                      </w:pPr>
                      <w:r w:rsidRPr="00A01209">
                        <w:rPr>
                          <w:rFonts w:ascii="Arial" w:hAnsi="Arial"/>
                          <w:szCs w:val="16"/>
                        </w:rPr>
                        <w:t>The Hon P</w:t>
                      </w:r>
                      <w:r>
                        <w:rPr>
                          <w:rFonts w:ascii="Arial" w:hAnsi="Arial"/>
                          <w:szCs w:val="16"/>
                        </w:rPr>
                        <w:t>eter Khalil MP</w:t>
                      </w:r>
                    </w:p>
                    <w:p w14:paraId="6D4220FD" w14:textId="77777777" w:rsidR="00CA309D" w:rsidRPr="00A01209" w:rsidRDefault="00CA309D" w:rsidP="00435413">
                      <w:pPr>
                        <w:pStyle w:val="OrgChart"/>
                        <w:jc w:val="center"/>
                        <w:rPr>
                          <w:rFonts w:ascii="Arial" w:hAnsi="Arial"/>
                          <w:szCs w:val="16"/>
                        </w:rPr>
                      </w:pPr>
                    </w:p>
                  </w:txbxContent>
                </v:textbox>
              </v:shape>
            </w:pict>
          </mc:Fallback>
        </mc:AlternateContent>
      </w:r>
      <w:r w:rsidR="00435413" w:rsidRPr="003E76E7">
        <w:rPr>
          <w:noProof/>
          <w:lang w:val="en-AU"/>
        </w:rPr>
        <mc:AlternateContent>
          <mc:Choice Requires="wps">
            <w:drawing>
              <wp:anchor distT="0" distB="0" distL="114300" distR="114300" simplePos="0" relativeHeight="251751936" behindDoc="0" locked="0" layoutInCell="1" allowOverlap="1" wp14:anchorId="6DB801EF" wp14:editId="472F197F">
                <wp:simplePos x="0" y="0"/>
                <wp:positionH relativeFrom="column">
                  <wp:posOffset>-210185</wp:posOffset>
                </wp:positionH>
                <wp:positionV relativeFrom="paragraph">
                  <wp:posOffset>137160</wp:posOffset>
                </wp:positionV>
                <wp:extent cx="2009775" cy="476885"/>
                <wp:effectExtent l="0" t="0" r="0" b="0"/>
                <wp:wrapNone/>
                <wp:docPr id="601"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476885"/>
                        </a:xfrm>
                        <a:prstGeom prst="rect">
                          <a:avLst/>
                        </a:prstGeom>
                        <a:solidFill>
                          <a:srgbClr val="FFFFFF"/>
                        </a:solidFill>
                        <a:ln w="9525">
                          <a:noFill/>
                          <a:miter lim="800000"/>
                          <a:headEnd/>
                          <a:tailEnd/>
                        </a:ln>
                        <a:extLst/>
                      </wps:spPr>
                      <wps:txbx>
                        <w:txbxContent>
                          <w:p w14:paraId="1CF86B78" w14:textId="77777777" w:rsidR="00CA309D" w:rsidRPr="00A01209" w:rsidRDefault="00CA309D" w:rsidP="00435413">
                            <w:pPr>
                              <w:spacing w:before="0" w:after="0"/>
                              <w:jc w:val="center"/>
                              <w:rPr>
                                <w:rFonts w:ascii="Arial" w:hAnsi="Arial"/>
                                <w:sz w:val="16"/>
                                <w:szCs w:val="16"/>
                              </w:rPr>
                            </w:pPr>
                            <w:r w:rsidRPr="00A01209">
                              <w:rPr>
                                <w:rFonts w:ascii="Arial" w:hAnsi="Arial"/>
                                <w:sz w:val="16"/>
                                <w:szCs w:val="16"/>
                              </w:rPr>
                              <w:t>Minister for Veterans’ Affairs</w:t>
                            </w:r>
                          </w:p>
                          <w:p w14:paraId="013FA141" w14:textId="77777777" w:rsidR="00CA309D" w:rsidRPr="00A01209" w:rsidRDefault="00CA309D" w:rsidP="00435413">
                            <w:pPr>
                              <w:pStyle w:val="OrgChart"/>
                              <w:jc w:val="center"/>
                              <w:rPr>
                                <w:rFonts w:ascii="Arial" w:hAnsi="Arial"/>
                                <w:szCs w:val="16"/>
                              </w:rPr>
                            </w:pPr>
                            <w:r w:rsidRPr="00A01209">
                              <w:rPr>
                                <w:rFonts w:ascii="Arial" w:hAnsi="Arial"/>
                                <w:szCs w:val="16"/>
                              </w:rPr>
                              <w:t>Minister for Defence Personnel</w:t>
                            </w:r>
                          </w:p>
                          <w:p w14:paraId="0119F91C" w14:textId="77777777" w:rsidR="00CA309D" w:rsidRPr="00A01209" w:rsidRDefault="00CA309D" w:rsidP="00435413">
                            <w:pPr>
                              <w:spacing w:before="0" w:after="0"/>
                              <w:jc w:val="center"/>
                              <w:rPr>
                                <w:rFonts w:ascii="Arial" w:hAnsi="Arial"/>
                                <w:sz w:val="16"/>
                                <w:szCs w:val="16"/>
                              </w:rPr>
                            </w:pPr>
                            <w:r w:rsidRPr="00A01209">
                              <w:rPr>
                                <w:rFonts w:ascii="Arial" w:hAnsi="Arial"/>
                                <w:sz w:val="16"/>
                                <w:szCs w:val="16"/>
                              </w:rPr>
                              <w:t>The Hon Matt Keogh 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801EF" id="Text Box 579" o:spid="_x0000_s1050" type="#_x0000_t202" style="position:absolute;margin-left:-16.55pt;margin-top:10.8pt;width:158.25pt;height:37.5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" stroked="f">
                <v:textbox>
                  <w:txbxContent>
                    <w:p w14:paraId="1CF86B78" w14:textId="77777777" w:rsidR="00CA309D" w:rsidRPr="00A01209" w:rsidRDefault="00CA309D" w:rsidP="00435413">
                      <w:pPr>
                        <w:spacing w:before="0" w:after="0"/>
                        <w:jc w:val="center"/>
                        <w:rPr>
                          <w:rFonts w:ascii="Arial" w:hAnsi="Arial"/>
                          <w:sz w:val="16"/>
                          <w:szCs w:val="16"/>
                        </w:rPr>
                      </w:pPr>
                      <w:r w:rsidRPr="00A01209">
                        <w:rPr>
                          <w:rFonts w:ascii="Arial" w:hAnsi="Arial"/>
                          <w:sz w:val="16"/>
                          <w:szCs w:val="16"/>
                        </w:rPr>
                        <w:t>Minister for Veterans’ Affairs</w:t>
                      </w:r>
                    </w:p>
                    <w:p w14:paraId="013FA141" w14:textId="77777777" w:rsidR="00CA309D" w:rsidRPr="00A01209" w:rsidRDefault="00CA309D" w:rsidP="00435413">
                      <w:pPr>
                        <w:pStyle w:val="OrgChart"/>
                        <w:jc w:val="center"/>
                        <w:rPr>
                          <w:rFonts w:ascii="Arial" w:hAnsi="Arial"/>
                          <w:szCs w:val="16"/>
                        </w:rPr>
                      </w:pPr>
                      <w:r w:rsidRPr="00A01209">
                        <w:rPr>
                          <w:rFonts w:ascii="Arial" w:hAnsi="Arial"/>
                          <w:szCs w:val="16"/>
                        </w:rPr>
                        <w:t>Minister for Defence Personnel</w:t>
                      </w:r>
                    </w:p>
                    <w:p w14:paraId="0119F91C" w14:textId="77777777" w:rsidR="00CA309D" w:rsidRPr="00A01209" w:rsidRDefault="00CA309D" w:rsidP="00435413">
                      <w:pPr>
                        <w:spacing w:before="0" w:after="0"/>
                        <w:jc w:val="center"/>
                        <w:rPr>
                          <w:rFonts w:ascii="Arial" w:hAnsi="Arial"/>
                          <w:sz w:val="16"/>
                          <w:szCs w:val="16"/>
                        </w:rPr>
                      </w:pPr>
                      <w:r w:rsidRPr="00A01209">
                        <w:rPr>
                          <w:rFonts w:ascii="Arial" w:hAnsi="Arial"/>
                          <w:sz w:val="16"/>
                          <w:szCs w:val="16"/>
                        </w:rPr>
                        <w:t>The Hon Matt Keogh MP</w:t>
                      </w:r>
                    </w:p>
                  </w:txbxContent>
                </v:textbox>
              </v:shape>
            </w:pict>
          </mc:Fallback>
        </mc:AlternateContent>
      </w:r>
      <w:r w:rsidR="00435413" w:rsidRPr="003E76E7">
        <w:rPr>
          <w:noProof/>
          <w:lang w:val="en-AU"/>
        </w:rPr>
        <mc:AlternateContent>
          <mc:Choice Requires="wps">
            <w:drawing>
              <wp:anchor distT="0" distB="0" distL="114300" distR="114300" simplePos="0" relativeHeight="251750912" behindDoc="0" locked="0" layoutInCell="1" allowOverlap="1" wp14:anchorId="74F1F7B9" wp14:editId="01B96534">
                <wp:simplePos x="0" y="0"/>
                <wp:positionH relativeFrom="column">
                  <wp:posOffset>3375025</wp:posOffset>
                </wp:positionH>
                <wp:positionV relativeFrom="paragraph">
                  <wp:posOffset>175260</wp:posOffset>
                </wp:positionV>
                <wp:extent cx="2297430" cy="589280"/>
                <wp:effectExtent l="0" t="0" r="0" b="0"/>
                <wp:wrapNone/>
                <wp:docPr id="600"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7430" cy="589280"/>
                        </a:xfrm>
                        <a:prstGeom prst="rect">
                          <a:avLst/>
                        </a:prstGeom>
                        <a:solidFill>
                          <a:srgbClr val="FFFFFF"/>
                        </a:solidFill>
                        <a:ln w="9525">
                          <a:noFill/>
                          <a:miter lim="800000"/>
                          <a:headEnd/>
                          <a:tailEnd/>
                        </a:ln>
                        <a:extLst/>
                      </wps:spPr>
                      <wps:txbx>
                        <w:txbxContent>
                          <w:p w14:paraId="5C764704" w14:textId="77777777" w:rsidR="00CA309D" w:rsidRDefault="00CA309D" w:rsidP="00435413">
                            <w:pPr>
                              <w:pStyle w:val="OrgChart"/>
                              <w:jc w:val="center"/>
                              <w:rPr>
                                <w:rFonts w:ascii="Arial" w:hAnsi="Arial"/>
                                <w:szCs w:val="16"/>
                              </w:rPr>
                            </w:pPr>
                            <w:r w:rsidRPr="00A01209">
                              <w:rPr>
                                <w:rFonts w:ascii="Arial" w:hAnsi="Arial"/>
                                <w:szCs w:val="16"/>
                              </w:rPr>
                              <w:t>Minister for Defence Industry</w:t>
                            </w:r>
                          </w:p>
                          <w:p w14:paraId="408F515C" w14:textId="77777777" w:rsidR="00CA309D" w:rsidRDefault="00CA309D" w:rsidP="00435413">
                            <w:pPr>
                              <w:pStyle w:val="OrgChart"/>
                              <w:jc w:val="center"/>
                              <w:rPr>
                                <w:rFonts w:ascii="Arial" w:hAnsi="Arial"/>
                                <w:szCs w:val="16"/>
                              </w:rPr>
                            </w:pPr>
                            <w:r>
                              <w:rPr>
                                <w:rFonts w:ascii="Arial" w:hAnsi="Arial"/>
                                <w:szCs w:val="16"/>
                              </w:rPr>
                              <w:t xml:space="preserve">Minister for Pacific Island Affairs </w:t>
                            </w:r>
                          </w:p>
                          <w:p w14:paraId="55310D0A" w14:textId="77777777" w:rsidR="00CA309D" w:rsidRPr="00A01209" w:rsidRDefault="00CA309D" w:rsidP="00435413">
                            <w:pPr>
                              <w:pStyle w:val="OrgChart"/>
                              <w:jc w:val="center"/>
                              <w:rPr>
                                <w:rFonts w:ascii="Arial" w:hAnsi="Arial"/>
                                <w:lang w:val="en-AU"/>
                              </w:rPr>
                            </w:pPr>
                            <w:r w:rsidRPr="00A01209">
                              <w:rPr>
                                <w:rFonts w:ascii="Arial" w:hAnsi="Arial"/>
                                <w:szCs w:val="16"/>
                              </w:rPr>
                              <w:t>The Hon Pat Conroy MP</w:t>
                            </w:r>
                          </w:p>
                          <w:p w14:paraId="55CE1192" w14:textId="77777777" w:rsidR="00CA309D" w:rsidRPr="00A01209" w:rsidRDefault="00CA309D" w:rsidP="00435413">
                            <w:pPr>
                              <w:pStyle w:val="OrgChart"/>
                              <w:jc w:val="center"/>
                              <w:rPr>
                                <w:rFonts w:ascii="Arial" w:hAnsi="Arial"/>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1F7B9" id="_x0000_s1051" type="#_x0000_t202" style="position:absolute;margin-left:265.75pt;margin-top:13.8pt;width:180.9pt;height:46.4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" stroked="f">
                <v:textbox>
                  <w:txbxContent>
                    <w:p w14:paraId="5C764704" w14:textId="77777777" w:rsidR="00CA309D" w:rsidRDefault="00CA309D" w:rsidP="00435413">
                      <w:pPr>
                        <w:pStyle w:val="OrgChart"/>
                        <w:jc w:val="center"/>
                        <w:rPr>
                          <w:rFonts w:ascii="Arial" w:hAnsi="Arial"/>
                          <w:szCs w:val="16"/>
                        </w:rPr>
                      </w:pPr>
                      <w:r w:rsidRPr="00A01209">
                        <w:rPr>
                          <w:rFonts w:ascii="Arial" w:hAnsi="Arial"/>
                          <w:szCs w:val="16"/>
                        </w:rPr>
                        <w:t>Minister for Defence Industry</w:t>
                      </w:r>
                    </w:p>
                    <w:p w14:paraId="408F515C" w14:textId="77777777" w:rsidR="00CA309D" w:rsidRDefault="00CA309D" w:rsidP="00435413">
                      <w:pPr>
                        <w:pStyle w:val="OrgChart"/>
                        <w:jc w:val="center"/>
                        <w:rPr>
                          <w:rFonts w:ascii="Arial" w:hAnsi="Arial"/>
                          <w:szCs w:val="16"/>
                        </w:rPr>
                      </w:pPr>
                      <w:r>
                        <w:rPr>
                          <w:rFonts w:ascii="Arial" w:hAnsi="Arial"/>
                          <w:szCs w:val="16"/>
                        </w:rPr>
                        <w:t xml:space="preserve">Minister for Pacific Island Affairs </w:t>
                      </w:r>
                    </w:p>
                    <w:p w14:paraId="55310D0A" w14:textId="77777777" w:rsidR="00CA309D" w:rsidRPr="00A01209" w:rsidRDefault="00CA309D" w:rsidP="00435413">
                      <w:pPr>
                        <w:pStyle w:val="OrgChart"/>
                        <w:jc w:val="center"/>
                        <w:rPr>
                          <w:rFonts w:ascii="Arial" w:hAnsi="Arial"/>
                          <w:lang w:val="en-AU"/>
                        </w:rPr>
                      </w:pPr>
                      <w:r w:rsidRPr="00A01209">
                        <w:rPr>
                          <w:rFonts w:ascii="Arial" w:hAnsi="Arial"/>
                          <w:szCs w:val="16"/>
                        </w:rPr>
                        <w:t>The Hon Pat Conroy MP</w:t>
                      </w:r>
                    </w:p>
                    <w:p w14:paraId="55CE1192" w14:textId="77777777" w:rsidR="00CA309D" w:rsidRPr="00A01209" w:rsidRDefault="00CA309D" w:rsidP="00435413">
                      <w:pPr>
                        <w:pStyle w:val="OrgChart"/>
                        <w:jc w:val="center"/>
                        <w:rPr>
                          <w:rFonts w:ascii="Arial" w:hAnsi="Arial"/>
                          <w:szCs w:val="16"/>
                        </w:rPr>
                      </w:pPr>
                    </w:p>
                  </w:txbxContent>
                </v:textbox>
              </v:shape>
            </w:pict>
          </mc:Fallback>
        </mc:AlternateContent>
      </w:r>
    </w:p>
    <w:p w14:paraId="3D7CA158" w14:textId="676788FA" w:rsidR="00435413" w:rsidRPr="003E76E7" w:rsidRDefault="00435413" w:rsidP="00C4292D">
      <w:pPr>
        <w:tabs>
          <w:tab w:val="center" w:pos="4308"/>
        </w:tabs>
        <w:rPr>
          <w:szCs w:val="20"/>
        </w:rPr>
      </w:pPr>
      <w:r w:rsidRPr="003E76E7">
        <w:rPr>
          <w:noProof/>
          <w:lang w:val="en-AU"/>
        </w:rPr>
        <mc:AlternateContent>
          <mc:Choice Requires="wps">
            <w:drawing>
              <wp:anchor distT="0" distB="0" distL="114300" distR="114300" simplePos="0" relativeHeight="251747840" behindDoc="0" locked="0" layoutInCell="1" allowOverlap="1" wp14:anchorId="406C2C12" wp14:editId="10E38084">
                <wp:simplePos x="0" y="0"/>
                <wp:positionH relativeFrom="column">
                  <wp:posOffset>102235</wp:posOffset>
                </wp:positionH>
                <wp:positionV relativeFrom="paragraph">
                  <wp:posOffset>10097770</wp:posOffset>
                </wp:positionV>
                <wp:extent cx="1943100" cy="457200"/>
                <wp:effectExtent l="0" t="0" r="0" b="0"/>
                <wp:wrapNone/>
                <wp:docPr id="599"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84FF2E" w14:textId="77777777" w:rsidR="00CA309D" w:rsidRDefault="00CA309D" w:rsidP="00435413">
                            <w:pPr>
                              <w:pStyle w:val="OrgChart"/>
                              <w:rPr>
                                <w:lang w:val="en-AU"/>
                              </w:rPr>
                            </w:pPr>
                          </w:p>
                          <w:p w14:paraId="523E6C30" w14:textId="77777777" w:rsidR="00CA309D" w:rsidRDefault="00CA309D" w:rsidP="00435413">
                            <w:pPr>
                              <w:pStyle w:val="OrgChart"/>
                              <w:rPr>
                                <w:lang w:val="en-AU"/>
                              </w:rPr>
                            </w:pPr>
                            <w:r>
                              <w:rPr>
                                <w:lang w:val="en-AU"/>
                              </w:rPr>
                              <w:t>Stars (</w:t>
                            </w:r>
                            <w:r>
                              <w:rPr>
                                <w:vertAlign w:val="subscript"/>
                                <w:lang w:val="en-AU"/>
                              </w:rPr>
                              <w:t>*</w:t>
                            </w:r>
                            <w:r>
                              <w:rPr>
                                <w:lang w:val="en-AU"/>
                              </w:rPr>
                              <w:t>) refer to ADF Star Rank</w:t>
                            </w:r>
                            <w:r>
                              <w:rPr>
                                <w:lang w:val="en-AU"/>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C2C12" id="Text Box 578" o:spid="_x0000_s1052" type="#_x0000_t202" style="position:absolute;margin-left:8.05pt;margin-top:795.1pt;width:153pt;height:36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" stroked="f">
                <v:textbox>
                  <w:txbxContent>
                    <w:p w14:paraId="5D84FF2E" w14:textId="77777777" w:rsidR="00CA309D" w:rsidRDefault="00CA309D" w:rsidP="00435413">
                      <w:pPr>
                        <w:pStyle w:val="OrgChart"/>
                        <w:rPr>
                          <w:lang w:val="en-AU"/>
                        </w:rPr>
                      </w:pPr>
                    </w:p>
                    <w:p w14:paraId="523E6C30" w14:textId="77777777" w:rsidR="00CA309D" w:rsidRDefault="00CA309D" w:rsidP="00435413">
                      <w:pPr>
                        <w:pStyle w:val="OrgChart"/>
                        <w:rPr>
                          <w:lang w:val="en-AU"/>
                        </w:rPr>
                      </w:pPr>
                      <w:r>
                        <w:rPr>
                          <w:lang w:val="en-AU"/>
                        </w:rPr>
                        <w:t>Stars (</w:t>
                      </w:r>
                      <w:r>
                        <w:rPr>
                          <w:vertAlign w:val="subscript"/>
                          <w:lang w:val="en-AU"/>
                        </w:rPr>
                        <w:t>*</w:t>
                      </w:r>
                      <w:r>
                        <w:rPr>
                          <w:lang w:val="en-AU"/>
                        </w:rPr>
                        <w:t>) refer to ADF Star Rank</w:t>
                      </w:r>
                      <w:r>
                        <w:rPr>
                          <w:lang w:val="en-AU"/>
                        </w:rPr>
                        <w:br/>
                      </w:r>
                    </w:p>
                  </w:txbxContent>
                </v:textbox>
              </v:shape>
            </w:pict>
          </mc:Fallback>
        </mc:AlternateContent>
      </w:r>
      <w:r w:rsidRPr="003E76E7">
        <w:rPr>
          <w:szCs w:val="20"/>
        </w:rPr>
        <w:tab/>
      </w:r>
    </w:p>
    <w:p w14:paraId="714680F6" w14:textId="7C28E282" w:rsidR="00435413" w:rsidRPr="003E76E7" w:rsidRDefault="00435413" w:rsidP="00C4292D">
      <w:pPr>
        <w:rPr>
          <w:szCs w:val="20"/>
        </w:rPr>
      </w:pPr>
      <w:r w:rsidRPr="003E76E7">
        <w:rPr>
          <w:noProof/>
          <w:lang w:val="en-AU"/>
        </w:rPr>
        <mc:AlternateContent>
          <mc:Choice Requires="wps">
            <w:drawing>
              <wp:anchor distT="0" distB="0" distL="114299" distR="114299" simplePos="0" relativeHeight="251774464" behindDoc="0" locked="0" layoutInCell="1" allowOverlap="1" wp14:anchorId="02C6077F" wp14:editId="021A47D1">
                <wp:simplePos x="0" y="0"/>
                <wp:positionH relativeFrom="column">
                  <wp:posOffset>764540</wp:posOffset>
                </wp:positionH>
                <wp:positionV relativeFrom="paragraph">
                  <wp:posOffset>39370</wp:posOffset>
                </wp:positionV>
                <wp:extent cx="0" cy="154305"/>
                <wp:effectExtent l="9525" t="9525" r="9525" b="7620"/>
                <wp:wrapNone/>
                <wp:docPr id="598" name="Straight Connector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54305"/>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2783FB56" id="Straight Connector 575" o:spid="_x0000_s1026" style="position:absolute;flip:y;z-index:251774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60.2pt,3.1pt" to="60.2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">
                <v:stroke joinstyle="miter"/>
                <o:lock v:ext="edit" shapetype="f"/>
              </v:line>
            </w:pict>
          </mc:Fallback>
        </mc:AlternateContent>
      </w:r>
      <w:r w:rsidRPr="003E76E7">
        <w:rPr>
          <w:noProof/>
          <w:lang w:val="en-AU"/>
        </w:rPr>
        <mc:AlternateContent>
          <mc:Choice Requires="wps">
            <w:drawing>
              <wp:anchor distT="0" distB="0" distL="114300" distR="114300" simplePos="0" relativeHeight="251776512" behindDoc="0" locked="0" layoutInCell="1" allowOverlap="1" wp14:anchorId="4541C4A4" wp14:editId="07219C65">
                <wp:simplePos x="0" y="0"/>
                <wp:positionH relativeFrom="column">
                  <wp:posOffset>763270</wp:posOffset>
                </wp:positionH>
                <wp:positionV relativeFrom="paragraph">
                  <wp:posOffset>194310</wp:posOffset>
                </wp:positionV>
                <wp:extent cx="3746500" cy="1905"/>
                <wp:effectExtent l="8255" t="12065" r="7620" b="5080"/>
                <wp:wrapNone/>
                <wp:docPr id="597"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650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C21CEA" id="Line 47" o:spid="_x0000_s1026" style="position:absolute;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1pt,15.3pt" to="355.1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"/>
            </w:pict>
          </mc:Fallback>
        </mc:AlternateContent>
      </w:r>
      <w:r w:rsidRPr="003E76E7">
        <w:rPr>
          <w:noProof/>
          <w:lang w:val="en-AU"/>
        </w:rPr>
        <mc:AlternateContent>
          <mc:Choice Requires="wps">
            <w:drawing>
              <wp:anchor distT="0" distB="0" distL="114299" distR="114299" simplePos="0" relativeHeight="251775488" behindDoc="0" locked="0" layoutInCell="1" allowOverlap="1" wp14:anchorId="2F799234" wp14:editId="65EAA19D">
                <wp:simplePos x="0" y="0"/>
                <wp:positionH relativeFrom="column">
                  <wp:posOffset>4509770</wp:posOffset>
                </wp:positionH>
                <wp:positionV relativeFrom="paragraph">
                  <wp:posOffset>39370</wp:posOffset>
                </wp:positionV>
                <wp:extent cx="0" cy="160655"/>
                <wp:effectExtent l="11430" t="9525" r="7620" b="10795"/>
                <wp:wrapNone/>
                <wp:docPr id="596" name="Straight Connector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60655"/>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57937FDF" id="Straight Connector 575" o:spid="_x0000_s1026" style="position:absolute;flip:y;z-index:251775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55.1pt,3.1pt" to="355.1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">
                <v:stroke joinstyle="miter"/>
                <o:lock v:ext="edit" shapetype="f"/>
              </v:line>
            </w:pict>
          </mc:Fallback>
        </mc:AlternateContent>
      </w:r>
    </w:p>
    <w:p w14:paraId="38CE4EF6" w14:textId="77777777" w:rsidR="00435413" w:rsidRPr="003E76E7" w:rsidRDefault="00435413" w:rsidP="00C4292D">
      <w:pPr>
        <w:rPr>
          <w:szCs w:val="20"/>
        </w:rPr>
      </w:pPr>
    </w:p>
    <w:p w14:paraId="5DB7F4EE" w14:textId="24677E24" w:rsidR="00435413" w:rsidRPr="003E76E7" w:rsidRDefault="00435413" w:rsidP="00C4292D">
      <w:pPr>
        <w:spacing w:after="0"/>
        <w:rPr>
          <w:szCs w:val="20"/>
        </w:rPr>
      </w:pPr>
      <w:r w:rsidRPr="003E76E7">
        <w:rPr>
          <w:noProof/>
          <w:lang w:val="en-AU"/>
        </w:rPr>
        <mc:AlternateContent>
          <mc:Choice Requires="wps">
            <w:drawing>
              <wp:anchor distT="0" distB="0" distL="114299" distR="114299" simplePos="0" relativeHeight="251777536" behindDoc="0" locked="0" layoutInCell="1" allowOverlap="1" wp14:anchorId="7547043C" wp14:editId="407A69D5">
                <wp:simplePos x="0" y="0"/>
                <wp:positionH relativeFrom="column">
                  <wp:posOffset>3781425</wp:posOffset>
                </wp:positionH>
                <wp:positionV relativeFrom="paragraph">
                  <wp:posOffset>24130</wp:posOffset>
                </wp:positionV>
                <wp:extent cx="0" cy="171450"/>
                <wp:effectExtent l="6985" t="11430" r="12065" b="7620"/>
                <wp:wrapNone/>
                <wp:docPr id="595" name="Straight Connector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71450"/>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130AA134" id="Straight Connector 575" o:spid="_x0000_s1026" style="position:absolute;flip:y;z-index:251777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97.75pt,1.9pt" to="297.7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">
                <v:stroke joinstyle="miter"/>
                <o:lock v:ext="edit" shapetype="f"/>
              </v:line>
            </w:pict>
          </mc:Fallback>
        </mc:AlternateContent>
      </w:r>
      <w:r w:rsidRPr="003E76E7">
        <w:rPr>
          <w:noProof/>
          <w:lang w:val="en-AU"/>
        </w:rPr>
        <mc:AlternateContent>
          <mc:Choice Requires="wps">
            <w:drawing>
              <wp:anchor distT="0" distB="0" distL="114300" distR="114300" simplePos="0" relativeHeight="251785728" behindDoc="0" locked="0" layoutInCell="1" allowOverlap="1" wp14:anchorId="333AE9EB" wp14:editId="762CB888">
                <wp:simplePos x="0" y="0"/>
                <wp:positionH relativeFrom="column">
                  <wp:posOffset>1379855</wp:posOffset>
                </wp:positionH>
                <wp:positionV relativeFrom="paragraph">
                  <wp:posOffset>20320</wp:posOffset>
                </wp:positionV>
                <wp:extent cx="2407285" cy="0"/>
                <wp:effectExtent l="5715" t="7620" r="6350" b="11430"/>
                <wp:wrapNone/>
                <wp:docPr id="594"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7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9515AC" id="Line 47" o:spid="_x0000_s1026" style="position:absolute;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65pt,1.6pt" to="298.2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xS9FQIAACs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"/>
            </w:pict>
          </mc:Fallback>
        </mc:AlternateContent>
      </w:r>
      <w:r w:rsidRPr="003E76E7">
        <w:rPr>
          <w:noProof/>
          <w:szCs w:val="20"/>
          <w:lang w:val="en-AU"/>
        </w:rPr>
        <mc:AlternateContent>
          <mc:Choice Requires="wps">
            <w:drawing>
              <wp:anchor distT="0" distB="0" distL="114299" distR="114299" simplePos="0" relativeHeight="251778560" behindDoc="0" locked="0" layoutInCell="1" allowOverlap="1" wp14:anchorId="2CB02348" wp14:editId="7C464DF4">
                <wp:simplePos x="0" y="0"/>
                <wp:positionH relativeFrom="column">
                  <wp:posOffset>1384300</wp:posOffset>
                </wp:positionH>
                <wp:positionV relativeFrom="paragraph">
                  <wp:posOffset>23495</wp:posOffset>
                </wp:positionV>
                <wp:extent cx="0" cy="171450"/>
                <wp:effectExtent l="10160" t="10795" r="8890" b="8255"/>
                <wp:wrapNone/>
                <wp:docPr id="593" name="Straight Connector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71450"/>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5B59167B" id="Straight Connector 575" o:spid="_x0000_s1026" style="position:absolute;flip:y;z-index:251778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09pt,1.85pt" to="109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">
                <v:stroke joinstyle="miter"/>
                <o:lock v:ext="edit" shapetype="f"/>
              </v:line>
            </w:pict>
          </mc:Fallback>
        </mc:AlternateContent>
      </w:r>
      <w:r w:rsidRPr="003E76E7">
        <w:rPr>
          <w:noProof/>
          <w:lang w:val="en-AU"/>
        </w:rPr>
        <mc:AlternateContent>
          <mc:Choice Requires="wps">
            <w:drawing>
              <wp:anchor distT="0" distB="0" distL="114300" distR="114300" simplePos="0" relativeHeight="251745792" behindDoc="0" locked="0" layoutInCell="1" allowOverlap="1" wp14:anchorId="302990D0" wp14:editId="45A5491D">
                <wp:simplePos x="0" y="0"/>
                <wp:positionH relativeFrom="column">
                  <wp:posOffset>473075</wp:posOffset>
                </wp:positionH>
                <wp:positionV relativeFrom="paragraph">
                  <wp:posOffset>197485</wp:posOffset>
                </wp:positionV>
                <wp:extent cx="1714500" cy="461010"/>
                <wp:effectExtent l="0" t="0" r="0" b="0"/>
                <wp:wrapNone/>
                <wp:docPr id="592"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61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C95D88" w14:textId="39EBFD20" w:rsidR="00CA309D" w:rsidRPr="00A01209" w:rsidRDefault="00CA309D" w:rsidP="00435413">
                            <w:pPr>
                              <w:pStyle w:val="OrgChart"/>
                              <w:jc w:val="center"/>
                              <w:rPr>
                                <w:rFonts w:ascii="Arial" w:hAnsi="Arial"/>
                                <w:lang w:val="en-AU"/>
                              </w:rPr>
                            </w:pPr>
                            <w:r w:rsidRPr="00A211F5">
                              <w:rPr>
                                <w:rFonts w:ascii="Arial" w:hAnsi="Arial"/>
                                <w:lang w:val="en-AU"/>
                              </w:rPr>
                              <w:t xml:space="preserve">Secretary </w:t>
                            </w:r>
                            <w:r w:rsidRPr="00A211F5">
                              <w:rPr>
                                <w:rFonts w:ascii="Arial" w:hAnsi="Arial"/>
                                <w:lang w:val="en-AU"/>
                              </w:rPr>
                              <w:br/>
                              <w:t>Ms Catherine Patterson (A/g)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990D0" id="Text Box 570" o:spid="_x0000_s1053" type="#_x0000_t202" style="position:absolute;margin-left:37.25pt;margin-top:15.55pt;width:135pt;height:36.3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" stroked="f">
                <v:textbox>
                  <w:txbxContent>
                    <w:p w14:paraId="3FC95D88" w14:textId="39EBFD20" w:rsidR="00CA309D" w:rsidRPr="00A01209" w:rsidRDefault="00CA309D" w:rsidP="00435413">
                      <w:pPr>
                        <w:pStyle w:val="OrgChart"/>
                        <w:jc w:val="center"/>
                        <w:rPr>
                          <w:rFonts w:ascii="Arial" w:hAnsi="Arial"/>
                          <w:lang w:val="en-AU"/>
                        </w:rPr>
                      </w:pPr>
                      <w:r w:rsidRPr="00A211F5">
                        <w:rPr>
                          <w:rFonts w:ascii="Arial" w:hAnsi="Arial"/>
                          <w:lang w:val="en-AU"/>
                        </w:rPr>
                        <w:t xml:space="preserve">Secretary </w:t>
                      </w:r>
                      <w:r w:rsidRPr="00A211F5">
                        <w:rPr>
                          <w:rFonts w:ascii="Arial" w:hAnsi="Arial"/>
                          <w:lang w:val="en-AU"/>
                        </w:rPr>
                        <w:br/>
                        <w:t>Ms Catherine Patterson (A/g)</w:t>
                      </w:r>
                    </w:p>
                  </w:txbxContent>
                </v:textbox>
              </v:shape>
            </w:pict>
          </mc:Fallback>
        </mc:AlternateContent>
      </w:r>
      <w:r w:rsidRPr="003E76E7">
        <w:rPr>
          <w:noProof/>
          <w:lang w:val="en-AU"/>
        </w:rPr>
        <mc:AlternateContent>
          <mc:Choice Requires="wps">
            <w:drawing>
              <wp:anchor distT="0" distB="0" distL="114300" distR="114300" simplePos="0" relativeHeight="251746816" behindDoc="0" locked="0" layoutInCell="1" allowOverlap="1" wp14:anchorId="70F2B74C" wp14:editId="2A6ECFAE">
                <wp:simplePos x="0" y="0"/>
                <wp:positionH relativeFrom="column">
                  <wp:posOffset>2746375</wp:posOffset>
                </wp:positionH>
                <wp:positionV relativeFrom="paragraph">
                  <wp:posOffset>197485</wp:posOffset>
                </wp:positionV>
                <wp:extent cx="2032635" cy="478790"/>
                <wp:effectExtent l="0" t="0" r="0" b="0"/>
                <wp:wrapNone/>
                <wp:docPr id="591"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635" cy="478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15FA0E" w14:textId="1A49BF9B" w:rsidR="00CA309D" w:rsidRPr="00A01209" w:rsidRDefault="00CA309D" w:rsidP="00435413">
                            <w:pPr>
                              <w:pStyle w:val="OrgChart"/>
                              <w:jc w:val="center"/>
                              <w:rPr>
                                <w:rFonts w:ascii="Arial" w:hAnsi="Arial"/>
                                <w:lang w:val="en-AU"/>
                              </w:rPr>
                            </w:pPr>
                            <w:r w:rsidRPr="00A01209">
                              <w:rPr>
                                <w:rFonts w:ascii="Arial" w:hAnsi="Arial"/>
                                <w:lang w:val="en-AU"/>
                              </w:rPr>
                              <w:t xml:space="preserve">Chief </w:t>
                            </w:r>
                            <w:r w:rsidRPr="00F50089">
                              <w:rPr>
                                <w:rFonts w:ascii="Arial" w:hAnsi="Arial"/>
                                <w:lang w:val="en-AU"/>
                              </w:rPr>
                              <w:t>of the Defence Force</w:t>
                            </w:r>
                            <w:r w:rsidRPr="00F50089">
                              <w:rPr>
                                <w:rFonts w:ascii="Arial" w:hAnsi="Arial"/>
                                <w:lang w:val="en-AU"/>
                              </w:rPr>
                              <w:br/>
                              <w:t>Admiral David Johnston AC RAN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2B74C" id="Text Box 569" o:spid="_x0000_s1054" type="#_x0000_t202" style="position:absolute;margin-left:216.25pt;margin-top:15.55pt;width:160.05pt;height:37.7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" stroked="f">
                <v:textbox>
                  <w:txbxContent>
                    <w:p w14:paraId="2B15FA0E" w14:textId="1A49BF9B" w:rsidR="00CA309D" w:rsidRPr="00A01209" w:rsidRDefault="00CA309D" w:rsidP="00435413">
                      <w:pPr>
                        <w:pStyle w:val="OrgChart"/>
                        <w:jc w:val="center"/>
                        <w:rPr>
                          <w:rFonts w:ascii="Arial" w:hAnsi="Arial"/>
                          <w:lang w:val="en-AU"/>
                        </w:rPr>
                      </w:pPr>
                      <w:r w:rsidRPr="00A01209">
                        <w:rPr>
                          <w:rFonts w:ascii="Arial" w:hAnsi="Arial"/>
                          <w:lang w:val="en-AU"/>
                        </w:rPr>
                        <w:t xml:space="preserve">Chief </w:t>
                      </w:r>
                      <w:r w:rsidRPr="00F50089">
                        <w:rPr>
                          <w:rFonts w:ascii="Arial" w:hAnsi="Arial"/>
                          <w:lang w:val="en-AU"/>
                        </w:rPr>
                        <w:t>of the Defence Force</w:t>
                      </w:r>
                      <w:r w:rsidRPr="00F50089">
                        <w:rPr>
                          <w:rFonts w:ascii="Arial" w:hAnsi="Arial"/>
                          <w:lang w:val="en-AU"/>
                        </w:rPr>
                        <w:br/>
                        <w:t>Admiral David Johnston AC RAN</w:t>
                      </w:r>
                    </w:p>
                  </w:txbxContent>
                </v:textbox>
              </v:shape>
            </w:pict>
          </mc:Fallback>
        </mc:AlternateContent>
      </w:r>
    </w:p>
    <w:p w14:paraId="753C25D3" w14:textId="77777777" w:rsidR="00435413" w:rsidRPr="003E76E7" w:rsidRDefault="00435413" w:rsidP="00C4292D">
      <w:pPr>
        <w:spacing w:before="0" w:after="0"/>
        <w:rPr>
          <w:szCs w:val="20"/>
        </w:rPr>
      </w:pPr>
    </w:p>
    <w:p w14:paraId="1F8407EA" w14:textId="3AE3F05E" w:rsidR="00435413" w:rsidRPr="003E76E7" w:rsidRDefault="00435413" w:rsidP="00C4292D">
      <w:pPr>
        <w:spacing w:after="0"/>
        <w:rPr>
          <w:szCs w:val="20"/>
        </w:rPr>
      </w:pPr>
      <w:r w:rsidRPr="003E76E7">
        <w:rPr>
          <w:noProof/>
          <w:lang w:val="en-AU"/>
        </w:rPr>
        <mc:AlternateContent>
          <mc:Choice Requires="wps">
            <w:drawing>
              <wp:anchor distT="0" distB="0" distL="114300" distR="114300" simplePos="0" relativeHeight="251790848" behindDoc="0" locked="0" layoutInCell="1" allowOverlap="1" wp14:anchorId="7821FD6E" wp14:editId="3426E8A7">
                <wp:simplePos x="0" y="0"/>
                <wp:positionH relativeFrom="column">
                  <wp:posOffset>319405</wp:posOffset>
                </wp:positionH>
                <wp:positionV relativeFrom="paragraph">
                  <wp:posOffset>224155</wp:posOffset>
                </wp:positionV>
                <wp:extent cx="10160" cy="4161600"/>
                <wp:effectExtent l="0" t="0" r="27940" b="29845"/>
                <wp:wrapNone/>
                <wp:docPr id="590" name="AutoShape 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416160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12F1EAC" id="_x0000_t32" coordsize="21600,21600" o:spt="32" o:oned="t" path="m,l21600,21600e" filled="f">
                <v:path arrowok="t" fillok="f" o:connecttype="none"/>
                <o:lock v:ext="edit" shapetype="t"/>
              </v:shapetype>
              <v:shape id="AutoShape 741" o:spid="_x0000_s1026" type="#_x0000_t32" style="position:absolute;margin-left:25.15pt;margin-top:17.65pt;width:.8pt;height:327.7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"/>
            </w:pict>
          </mc:Fallback>
        </mc:AlternateContent>
      </w:r>
      <w:r w:rsidRPr="003E76E7">
        <w:rPr>
          <w:noProof/>
          <w:lang w:val="en-AU"/>
        </w:rPr>
        <mc:AlternateContent>
          <mc:Choice Requires="wps">
            <w:drawing>
              <wp:anchor distT="0" distB="0" distL="114299" distR="114299" simplePos="0" relativeHeight="251780608" behindDoc="0" locked="0" layoutInCell="1" allowOverlap="1" wp14:anchorId="01E93699" wp14:editId="6AE0462C">
                <wp:simplePos x="0" y="0"/>
                <wp:positionH relativeFrom="column">
                  <wp:posOffset>3781425</wp:posOffset>
                </wp:positionH>
                <wp:positionV relativeFrom="paragraph">
                  <wp:posOffset>109220</wp:posOffset>
                </wp:positionV>
                <wp:extent cx="0" cy="115570"/>
                <wp:effectExtent l="6985" t="8890" r="12065" b="8890"/>
                <wp:wrapNone/>
                <wp:docPr id="589" name="Straight Connector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15570"/>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5676F410" id="Straight Connector 575" o:spid="_x0000_s1026" style="position:absolute;flip:y;z-index:251780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97.75pt,8.6pt" to="297.7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">
                <v:stroke joinstyle="miter"/>
                <o:lock v:ext="edit" shapetype="f"/>
              </v:line>
            </w:pict>
          </mc:Fallback>
        </mc:AlternateContent>
      </w:r>
      <w:r w:rsidRPr="003E76E7">
        <w:rPr>
          <w:noProof/>
          <w:lang w:val="en-AU"/>
        </w:rPr>
        <mc:AlternateContent>
          <mc:Choice Requires="wps">
            <w:drawing>
              <wp:anchor distT="0" distB="0" distL="114300" distR="114300" simplePos="0" relativeHeight="251755008" behindDoc="0" locked="0" layoutInCell="1" allowOverlap="1" wp14:anchorId="38F107D7" wp14:editId="11C68545">
                <wp:simplePos x="0" y="0"/>
                <wp:positionH relativeFrom="column">
                  <wp:posOffset>329565</wp:posOffset>
                </wp:positionH>
                <wp:positionV relativeFrom="paragraph">
                  <wp:posOffset>224790</wp:posOffset>
                </wp:positionV>
                <wp:extent cx="5038725" cy="0"/>
                <wp:effectExtent l="12700" t="10160" r="6350" b="8890"/>
                <wp:wrapNone/>
                <wp:docPr id="588"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8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71A7B4" id="Line 47" o:spid="_x0000_s1026" style="position:absolute;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5pt,17.7pt" to="422.7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znnEwIAACsEAAAOAAAAZHJzL2Uyb0RvYy54bWysU8GO2jAQvVfqP1i+QxI2sB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"/>
            </w:pict>
          </mc:Fallback>
        </mc:AlternateContent>
      </w:r>
      <w:r w:rsidRPr="003E76E7">
        <w:rPr>
          <w:noProof/>
          <w:szCs w:val="20"/>
          <w:lang w:val="en-AU"/>
        </w:rPr>
        <mc:AlternateContent>
          <mc:Choice Requires="wps">
            <w:drawing>
              <wp:anchor distT="0" distB="0" distL="114299" distR="114299" simplePos="0" relativeHeight="251779584" behindDoc="0" locked="0" layoutInCell="1" allowOverlap="1" wp14:anchorId="07F36A75" wp14:editId="2047BB6F">
                <wp:simplePos x="0" y="0"/>
                <wp:positionH relativeFrom="column">
                  <wp:posOffset>1385570</wp:posOffset>
                </wp:positionH>
                <wp:positionV relativeFrom="paragraph">
                  <wp:posOffset>109220</wp:posOffset>
                </wp:positionV>
                <wp:extent cx="0" cy="115570"/>
                <wp:effectExtent l="11430" t="8890" r="7620" b="8890"/>
                <wp:wrapNone/>
                <wp:docPr id="587" name="Straight Connector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15570"/>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13A4B778" id="Straight Connector 575" o:spid="_x0000_s1026" style="position:absolute;flip:y;z-index:251779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09.1pt,8.6pt" to="109.1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">
                <v:stroke joinstyle="miter"/>
                <o:lock v:ext="edit" shapetype="f"/>
              </v:line>
            </w:pict>
          </mc:Fallback>
        </mc:AlternateContent>
      </w:r>
    </w:p>
    <w:p w14:paraId="27306404" w14:textId="45953101" w:rsidR="00435413" w:rsidRPr="003E76E7" w:rsidRDefault="00435413" w:rsidP="00C4292D">
      <w:pPr>
        <w:spacing w:before="0" w:after="0"/>
        <w:rPr>
          <w:szCs w:val="20"/>
        </w:rPr>
      </w:pPr>
      <w:r w:rsidRPr="003E76E7">
        <w:rPr>
          <w:noProof/>
          <w:lang w:val="en-AU"/>
        </w:rPr>
        <mc:AlternateContent>
          <mc:Choice Requires="wps">
            <w:drawing>
              <wp:anchor distT="0" distB="0" distL="114300" distR="114300" simplePos="0" relativeHeight="251765248" behindDoc="0" locked="0" layoutInCell="1" allowOverlap="1" wp14:anchorId="7AEE5C40" wp14:editId="65FCCD85">
                <wp:simplePos x="0" y="0"/>
                <wp:positionH relativeFrom="column">
                  <wp:posOffset>2930525</wp:posOffset>
                </wp:positionH>
                <wp:positionV relativeFrom="paragraph">
                  <wp:posOffset>9096</wp:posOffset>
                </wp:positionV>
                <wp:extent cx="0" cy="2970479"/>
                <wp:effectExtent l="0" t="0" r="19050" b="20955"/>
                <wp:wrapNone/>
                <wp:docPr id="586" name="Straight Connector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04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8FCB89" id="Straight Connector 567" o:spid="_x0000_s1026" style="position:absolute;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75pt,.7pt" to="230.75pt,2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"/>
            </w:pict>
          </mc:Fallback>
        </mc:AlternateContent>
      </w:r>
      <w:r w:rsidRPr="003E76E7">
        <w:rPr>
          <w:noProof/>
          <w:lang w:val="en-AU"/>
        </w:rPr>
        <mc:AlternateContent>
          <mc:Choice Requires="wps">
            <w:drawing>
              <wp:anchor distT="0" distB="0" distL="114300" distR="114300" simplePos="0" relativeHeight="251756032" behindDoc="0" locked="0" layoutInCell="1" allowOverlap="1" wp14:anchorId="6DBE62AE" wp14:editId="3BDCAAF1">
                <wp:simplePos x="0" y="0"/>
                <wp:positionH relativeFrom="column">
                  <wp:posOffset>416560</wp:posOffset>
                </wp:positionH>
                <wp:positionV relativeFrom="paragraph">
                  <wp:posOffset>100330</wp:posOffset>
                </wp:positionV>
                <wp:extent cx="1250315" cy="325120"/>
                <wp:effectExtent l="4445" t="2540" r="2540" b="0"/>
                <wp:wrapNone/>
                <wp:docPr id="58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3251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0526C827" w14:textId="77777777" w:rsidR="00CA309D" w:rsidRPr="00A211F5" w:rsidRDefault="00CA309D" w:rsidP="00435413">
                            <w:pPr>
                              <w:pStyle w:val="OrgChart"/>
                              <w:rPr>
                                <w:rFonts w:ascii="Arial" w:hAnsi="Arial"/>
                                <w:lang w:val="en-AU"/>
                              </w:rPr>
                            </w:pPr>
                            <w:r w:rsidRPr="00A211F5">
                              <w:rPr>
                                <w:rFonts w:ascii="Arial" w:hAnsi="Arial"/>
                                <w:lang w:val="en-AU"/>
                              </w:rPr>
                              <w:t>Associate Secretary</w:t>
                            </w:r>
                          </w:p>
                          <w:p w14:paraId="3BD92436" w14:textId="7C91FE5E" w:rsidR="00CA309D" w:rsidRPr="00A01209" w:rsidRDefault="00CA309D" w:rsidP="00435413">
                            <w:pPr>
                              <w:pStyle w:val="OrgChart"/>
                              <w:rPr>
                                <w:rFonts w:ascii="Arial" w:hAnsi="Arial"/>
                                <w:lang w:val="en-AU"/>
                              </w:rPr>
                            </w:pPr>
                            <w:r w:rsidRPr="00A211F5">
                              <w:rPr>
                                <w:rFonts w:ascii="Arial" w:hAnsi="Arial"/>
                                <w:lang w:val="en-AU"/>
                              </w:rPr>
                              <w:t>Ms Celia Perkins (A/g)</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DBE62AE" id="Text Box 51" o:spid="_x0000_s1055" type="#_x0000_t202" style="position:absolute;margin-left:32.8pt;margin-top:7.9pt;width:98.45pt;height:25.6pt;z-index:251756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" stroked="f" strokeweight="0">
                <v:textbox style="mso-fit-shape-to-text:t">
                  <w:txbxContent>
                    <w:p w14:paraId="0526C827" w14:textId="77777777" w:rsidR="00CA309D" w:rsidRPr="00A211F5" w:rsidRDefault="00CA309D" w:rsidP="00435413">
                      <w:pPr>
                        <w:pStyle w:val="OrgChart"/>
                        <w:rPr>
                          <w:rFonts w:ascii="Arial" w:hAnsi="Arial"/>
                          <w:lang w:val="en-AU"/>
                        </w:rPr>
                      </w:pPr>
                      <w:r w:rsidRPr="00A211F5">
                        <w:rPr>
                          <w:rFonts w:ascii="Arial" w:hAnsi="Arial"/>
                          <w:lang w:val="en-AU"/>
                        </w:rPr>
                        <w:t>Associate Secretary</w:t>
                      </w:r>
                    </w:p>
                    <w:p w14:paraId="3BD92436" w14:textId="7C91FE5E" w:rsidR="00CA309D" w:rsidRPr="00A01209" w:rsidRDefault="00CA309D" w:rsidP="00435413">
                      <w:pPr>
                        <w:pStyle w:val="OrgChart"/>
                        <w:rPr>
                          <w:rFonts w:ascii="Arial" w:hAnsi="Arial"/>
                          <w:lang w:val="en-AU"/>
                        </w:rPr>
                      </w:pPr>
                      <w:r w:rsidRPr="00A211F5">
                        <w:rPr>
                          <w:rFonts w:ascii="Arial" w:hAnsi="Arial"/>
                          <w:lang w:val="en-AU"/>
                        </w:rPr>
                        <w:t>Ms Celia Perkins (A/g)</w:t>
                      </w:r>
                    </w:p>
                  </w:txbxContent>
                </v:textbox>
              </v:shape>
            </w:pict>
          </mc:Fallback>
        </mc:AlternateContent>
      </w:r>
      <w:r w:rsidRPr="003E76E7">
        <w:rPr>
          <w:noProof/>
          <w:lang w:val="en-AU"/>
        </w:rPr>
        <mc:AlternateContent>
          <mc:Choice Requires="wpg">
            <w:drawing>
              <wp:anchor distT="0" distB="0" distL="114300" distR="114300" simplePos="0" relativeHeight="251769344" behindDoc="0" locked="0" layoutInCell="1" allowOverlap="1" wp14:anchorId="1B96B19A" wp14:editId="7F281072">
                <wp:simplePos x="0" y="0"/>
                <wp:positionH relativeFrom="column">
                  <wp:posOffset>2932430</wp:posOffset>
                </wp:positionH>
                <wp:positionV relativeFrom="paragraph">
                  <wp:posOffset>133985</wp:posOffset>
                </wp:positionV>
                <wp:extent cx="2162175" cy="408305"/>
                <wp:effectExtent l="5715" t="0" r="3810" b="3175"/>
                <wp:wrapNone/>
                <wp:docPr id="582" name="Group 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2175" cy="408305"/>
                          <a:chOff x="5778" y="6208"/>
                          <a:chExt cx="3405" cy="643"/>
                        </a:xfrm>
                      </wpg:grpSpPr>
                      <wps:wsp>
                        <wps:cNvPr id="583" name="Line 22"/>
                        <wps:cNvCnPr>
                          <a:cxnSpLocks noChangeShapeType="1"/>
                        </wps:cNvCnPr>
                        <wps:spPr bwMode="auto">
                          <a:xfrm>
                            <a:off x="5778" y="6388"/>
                            <a:ext cx="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4" name="Text Box 23"/>
                        <wps:cNvSpPr txBox="1">
                          <a:spLocks noChangeArrowheads="1"/>
                        </wps:cNvSpPr>
                        <wps:spPr bwMode="auto">
                          <a:xfrm>
                            <a:off x="5968" y="6208"/>
                            <a:ext cx="3215" cy="6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4EED42" w14:textId="77777777" w:rsidR="00CA309D" w:rsidRPr="00A01209" w:rsidRDefault="00CA309D" w:rsidP="00435413">
                              <w:pPr>
                                <w:pStyle w:val="OrgChart"/>
                                <w:rPr>
                                  <w:rFonts w:ascii="Arial" w:hAnsi="Arial"/>
                                  <w:lang w:val="en-AU"/>
                                </w:rPr>
                              </w:pPr>
                              <w:r w:rsidRPr="00A01209">
                                <w:rPr>
                                  <w:rFonts w:ascii="Arial" w:hAnsi="Arial"/>
                                  <w:lang w:val="en-AU"/>
                                </w:rPr>
                                <w:t>Vice Chief of the Defence Force</w:t>
                              </w:r>
                            </w:p>
                            <w:p w14:paraId="32F0B4F3" w14:textId="49CAA4DF" w:rsidR="00CA309D" w:rsidRPr="00A01209" w:rsidRDefault="00CA309D" w:rsidP="00435413">
                              <w:pPr>
                                <w:pStyle w:val="OrgChart"/>
                                <w:rPr>
                                  <w:rFonts w:ascii="Arial" w:hAnsi="Arial"/>
                                  <w:lang w:val="en-AU"/>
                                </w:rPr>
                              </w:pPr>
                              <w:r>
                                <w:rPr>
                                  <w:rFonts w:ascii="Arial" w:hAnsi="Arial"/>
                                  <w:lang w:val="en-AU"/>
                                </w:rPr>
                                <w:t>Air Marshal Robert Chipman</w:t>
                              </w:r>
                              <w:r w:rsidRPr="00A01209">
                                <w:rPr>
                                  <w:rFonts w:ascii="Arial" w:hAnsi="Arial"/>
                                  <w:lang w:val="en-AU"/>
                                </w:rPr>
                                <w:t xml:space="preserve"> A</w:t>
                              </w:r>
                              <w:r>
                                <w:rPr>
                                  <w:rFonts w:ascii="Arial" w:hAnsi="Arial"/>
                                  <w:lang w:val="en-AU"/>
                                </w:rPr>
                                <w:t>O CSC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96B19A" id="Group 718" o:spid="_x0000_s1056" style="position:absolute;margin-left:230.9pt;margin-top:10.55pt;width:170.25pt;height:32.15pt;z-index:251769344" coordorigin="5778,6208" coordsize="3405,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">
                <v:line id="Line 22" o:spid="_x0000_s1057" style="position:absolute;visibility:visible;mso-wrap-style:square" from="5778,6388" to="5968,6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"/>
                <v:shape id="Text Box 23" o:spid="_x0000_s1058" type="#_x0000_t202" style="position:absolute;left:5968;top:6208;width:3215;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" stroked="f">
                  <v:textbox>
                    <w:txbxContent>
                      <w:p w14:paraId="144EED42" w14:textId="77777777" w:rsidR="00CA309D" w:rsidRPr="00A01209" w:rsidRDefault="00CA309D" w:rsidP="00435413">
                        <w:pPr>
                          <w:pStyle w:val="OrgChart"/>
                          <w:rPr>
                            <w:rFonts w:ascii="Arial" w:hAnsi="Arial"/>
                            <w:lang w:val="en-AU"/>
                          </w:rPr>
                        </w:pPr>
                        <w:r w:rsidRPr="00A01209">
                          <w:rPr>
                            <w:rFonts w:ascii="Arial" w:hAnsi="Arial"/>
                            <w:lang w:val="en-AU"/>
                          </w:rPr>
                          <w:t>Vice Chief of the Defence Force</w:t>
                        </w:r>
                      </w:p>
                      <w:p w14:paraId="32F0B4F3" w14:textId="49CAA4DF" w:rsidR="00CA309D" w:rsidRPr="00A01209" w:rsidRDefault="00CA309D" w:rsidP="00435413">
                        <w:pPr>
                          <w:pStyle w:val="OrgChart"/>
                          <w:rPr>
                            <w:rFonts w:ascii="Arial" w:hAnsi="Arial"/>
                            <w:lang w:val="en-AU"/>
                          </w:rPr>
                        </w:pPr>
                        <w:r>
                          <w:rPr>
                            <w:rFonts w:ascii="Arial" w:hAnsi="Arial"/>
                            <w:lang w:val="en-AU"/>
                          </w:rPr>
                          <w:t>Air Marshal Robert Chipman</w:t>
                        </w:r>
                        <w:r w:rsidRPr="00A01209">
                          <w:rPr>
                            <w:rFonts w:ascii="Arial" w:hAnsi="Arial"/>
                            <w:lang w:val="en-AU"/>
                          </w:rPr>
                          <w:t xml:space="preserve"> A</w:t>
                        </w:r>
                        <w:r>
                          <w:rPr>
                            <w:rFonts w:ascii="Arial" w:hAnsi="Arial"/>
                            <w:lang w:val="en-AU"/>
                          </w:rPr>
                          <w:t>O CSC</w:t>
                        </w:r>
                      </w:p>
                    </w:txbxContent>
                  </v:textbox>
                </v:shape>
              </v:group>
            </w:pict>
          </mc:Fallback>
        </mc:AlternateContent>
      </w:r>
    </w:p>
    <w:p w14:paraId="0679B64A" w14:textId="0C5144F3" w:rsidR="00435413" w:rsidRPr="003E76E7" w:rsidRDefault="00435413" w:rsidP="00C4292D">
      <w:pPr>
        <w:spacing w:before="0" w:after="200" w:line="276" w:lineRule="auto"/>
      </w:pPr>
      <w:r w:rsidRPr="003E76E7">
        <w:rPr>
          <w:noProof/>
          <w:lang w:val="en-AU"/>
        </w:rPr>
        <mc:AlternateContent>
          <mc:Choice Requires="wps">
            <w:drawing>
              <wp:anchor distT="0" distB="0" distL="114300" distR="114300" simplePos="0" relativeHeight="251759104" behindDoc="0" locked="0" layoutInCell="1" allowOverlap="1" wp14:anchorId="3F0BEBC3" wp14:editId="4760658A">
                <wp:simplePos x="0" y="0"/>
                <wp:positionH relativeFrom="column">
                  <wp:posOffset>325755</wp:posOffset>
                </wp:positionH>
                <wp:positionV relativeFrom="paragraph">
                  <wp:posOffset>65405</wp:posOffset>
                </wp:positionV>
                <wp:extent cx="104775" cy="0"/>
                <wp:effectExtent l="8890" t="10795" r="10160" b="8255"/>
                <wp:wrapNone/>
                <wp:docPr id="581"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4AC3FF" id="Line 54" o:spid="_x0000_s1026" style="position:absolute;flip:y;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5.15pt" to="33.9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"/>
            </w:pict>
          </mc:Fallback>
        </mc:AlternateContent>
      </w:r>
      <w:r w:rsidRPr="003E76E7">
        <w:rPr>
          <w:noProof/>
          <w:lang w:val="en-AU"/>
        </w:rPr>
        <mc:AlternateContent>
          <mc:Choice Requires="wps">
            <w:drawing>
              <wp:anchor distT="0" distB="0" distL="114300" distR="114300" simplePos="0" relativeHeight="251757056" behindDoc="0" locked="0" layoutInCell="1" allowOverlap="1" wp14:anchorId="582446D5" wp14:editId="02BE4235">
                <wp:simplePos x="0" y="0"/>
                <wp:positionH relativeFrom="column">
                  <wp:posOffset>690245</wp:posOffset>
                </wp:positionH>
                <wp:positionV relativeFrom="paragraph">
                  <wp:posOffset>267970</wp:posOffset>
                </wp:positionV>
                <wp:extent cx="1600200" cy="342900"/>
                <wp:effectExtent l="1905" t="3810" r="0" b="0"/>
                <wp:wrapNone/>
                <wp:docPr id="57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5A9C0D" w14:textId="77777777" w:rsidR="00CA309D" w:rsidRPr="00CA1AEB" w:rsidRDefault="00CA309D" w:rsidP="00435413">
                            <w:pPr>
                              <w:pStyle w:val="OrgChart"/>
                              <w:rPr>
                                <w:rFonts w:ascii="Arial" w:hAnsi="Arial"/>
                                <w:lang w:val="en-AU"/>
                              </w:rPr>
                            </w:pPr>
                            <w:r w:rsidRPr="00CA1AEB">
                              <w:rPr>
                                <w:rFonts w:ascii="Arial" w:hAnsi="Arial"/>
                                <w:lang w:val="en-AU"/>
                              </w:rPr>
                              <w:t>Chief Information Officer</w:t>
                            </w:r>
                          </w:p>
                          <w:p w14:paraId="4A218D64" w14:textId="77777777" w:rsidR="00CA309D" w:rsidRPr="00A01209" w:rsidRDefault="00CA309D" w:rsidP="00435413">
                            <w:pPr>
                              <w:pStyle w:val="OrgChart"/>
                              <w:rPr>
                                <w:rFonts w:ascii="Arial" w:hAnsi="Arial"/>
                                <w:lang w:val="en-AU"/>
                              </w:rPr>
                            </w:pPr>
                            <w:r w:rsidRPr="00CA1AEB">
                              <w:rPr>
                                <w:rFonts w:ascii="Arial" w:hAnsi="Arial"/>
                                <w:color w:val="000000"/>
                              </w:rPr>
                              <w:t>Mr Chris Crozier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446D5" id="Text Box 52" o:spid="_x0000_s1059" type="#_x0000_t202" style="position:absolute;margin-left:54.35pt;margin-top:21.1pt;width:126pt;height:27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BwLhAIAABo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" stroked="f">
                <v:textbox>
                  <w:txbxContent>
                    <w:p w14:paraId="575A9C0D" w14:textId="77777777" w:rsidR="00CA309D" w:rsidRPr="00CA1AEB" w:rsidRDefault="00CA309D" w:rsidP="00435413">
                      <w:pPr>
                        <w:pStyle w:val="OrgChart"/>
                        <w:rPr>
                          <w:rFonts w:ascii="Arial" w:hAnsi="Arial"/>
                          <w:lang w:val="en-AU"/>
                        </w:rPr>
                      </w:pPr>
                      <w:r w:rsidRPr="00CA1AEB">
                        <w:rPr>
                          <w:rFonts w:ascii="Arial" w:hAnsi="Arial"/>
                          <w:lang w:val="en-AU"/>
                        </w:rPr>
                        <w:t>Chief Information Officer</w:t>
                      </w:r>
                    </w:p>
                    <w:p w14:paraId="4A218D64" w14:textId="77777777" w:rsidR="00CA309D" w:rsidRPr="00A01209" w:rsidRDefault="00CA309D" w:rsidP="00435413">
                      <w:pPr>
                        <w:pStyle w:val="OrgChart"/>
                        <w:rPr>
                          <w:rFonts w:ascii="Arial" w:hAnsi="Arial"/>
                          <w:lang w:val="en-AU"/>
                        </w:rPr>
                      </w:pPr>
                      <w:r w:rsidRPr="00CA1AEB">
                        <w:rPr>
                          <w:rFonts w:ascii="Arial" w:hAnsi="Arial"/>
                          <w:color w:val="000000"/>
                        </w:rPr>
                        <w:t>Mr Chris Crozier</w:t>
                      </w:r>
                    </w:p>
                  </w:txbxContent>
                </v:textbox>
              </v:shape>
            </w:pict>
          </mc:Fallback>
        </mc:AlternateContent>
      </w:r>
    </w:p>
    <w:p w14:paraId="0652D747" w14:textId="017F6131" w:rsidR="00435413" w:rsidRPr="003E76E7" w:rsidRDefault="00435413" w:rsidP="00C4292D">
      <w:pPr>
        <w:rPr>
          <w:szCs w:val="20"/>
        </w:rPr>
      </w:pPr>
      <w:r w:rsidRPr="003E76E7">
        <w:rPr>
          <w:noProof/>
          <w:lang w:val="en-AU"/>
        </w:rPr>
        <mc:AlternateContent>
          <mc:Choice Requires="wps">
            <w:drawing>
              <wp:anchor distT="0" distB="0" distL="114300" distR="114300" simplePos="0" relativeHeight="251793920" behindDoc="0" locked="0" layoutInCell="1" allowOverlap="1" wp14:anchorId="57FEA326" wp14:editId="5EC5D5FA">
                <wp:simplePos x="0" y="0"/>
                <wp:positionH relativeFrom="column">
                  <wp:posOffset>593090</wp:posOffset>
                </wp:positionH>
                <wp:positionV relativeFrom="paragraph">
                  <wp:posOffset>52070</wp:posOffset>
                </wp:positionV>
                <wp:extent cx="11430" cy="1486535"/>
                <wp:effectExtent l="9525" t="10795" r="7620" b="7620"/>
                <wp:wrapNone/>
                <wp:docPr id="576" name="AutoShape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148653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CE2F2B4" id="AutoShape 744" o:spid="_x0000_s1026" type="#_x0000_t32" style="position:absolute;margin-left:46.7pt;margin-top:4.1pt;width:.9pt;height:117.0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"/>
            </w:pict>
          </mc:Fallback>
        </mc:AlternateContent>
      </w:r>
      <w:r w:rsidRPr="003E76E7">
        <w:rPr>
          <w:noProof/>
          <w:lang w:val="en-AU"/>
        </w:rPr>
        <mc:AlternateContent>
          <mc:Choice Requires="wps">
            <w:drawing>
              <wp:anchor distT="0" distB="0" distL="114300" distR="114300" simplePos="0" relativeHeight="251760128" behindDoc="0" locked="0" layoutInCell="1" allowOverlap="1" wp14:anchorId="66AEBB40" wp14:editId="58526183">
                <wp:simplePos x="0" y="0"/>
                <wp:positionH relativeFrom="column">
                  <wp:posOffset>593090</wp:posOffset>
                </wp:positionH>
                <wp:positionV relativeFrom="paragraph">
                  <wp:posOffset>55245</wp:posOffset>
                </wp:positionV>
                <wp:extent cx="114300" cy="0"/>
                <wp:effectExtent l="9525" t="13970" r="9525" b="5080"/>
                <wp:wrapNone/>
                <wp:docPr id="575"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FEE5A8" id="Line 56" o:spid="_x0000_s1026" style="position:absolute;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7pt,4.35pt" to="55.7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8yzFQIAACo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"/>
            </w:pict>
          </mc:Fallback>
        </mc:AlternateContent>
      </w:r>
      <w:r w:rsidRPr="003E76E7">
        <w:rPr>
          <w:noProof/>
          <w:lang w:val="en-AU"/>
        </w:rPr>
        <mc:AlternateContent>
          <mc:Choice Requires="wps">
            <w:drawing>
              <wp:anchor distT="0" distB="0" distL="114300" distR="114300" simplePos="0" relativeHeight="251781632" behindDoc="0" locked="0" layoutInCell="1" allowOverlap="1" wp14:anchorId="6B73C191" wp14:editId="52D5D5DB">
                <wp:simplePos x="0" y="0"/>
                <wp:positionH relativeFrom="column">
                  <wp:posOffset>690245</wp:posOffset>
                </wp:positionH>
                <wp:positionV relativeFrom="paragraph">
                  <wp:posOffset>262255</wp:posOffset>
                </wp:positionV>
                <wp:extent cx="1337945" cy="368300"/>
                <wp:effectExtent l="0" t="0" r="0" b="0"/>
                <wp:wrapNone/>
                <wp:docPr id="574"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945"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3A1A09" w14:textId="77777777" w:rsidR="00CA309D" w:rsidRDefault="00CA309D" w:rsidP="00435413">
                            <w:pPr>
                              <w:pStyle w:val="OrgChart"/>
                              <w:rPr>
                                <w:rFonts w:ascii="Arial" w:hAnsi="Arial"/>
                                <w:lang w:val="en-AU"/>
                              </w:rPr>
                            </w:pPr>
                            <w:r>
                              <w:rPr>
                                <w:rFonts w:ascii="Arial" w:hAnsi="Arial"/>
                                <w:lang w:val="en-AU"/>
                              </w:rPr>
                              <w:t>Chief Finance Officer</w:t>
                            </w:r>
                          </w:p>
                          <w:p w14:paraId="4405838A" w14:textId="77777777" w:rsidR="00CA309D" w:rsidRPr="00A01209" w:rsidRDefault="00CA309D" w:rsidP="00435413">
                            <w:pPr>
                              <w:pStyle w:val="OrgChart"/>
                              <w:rPr>
                                <w:rFonts w:ascii="Arial" w:hAnsi="Arial"/>
                                <w:lang w:val="en-AU"/>
                              </w:rPr>
                            </w:pPr>
                            <w:r>
                              <w:rPr>
                                <w:rFonts w:ascii="Arial" w:hAnsi="Arial"/>
                                <w:lang w:val="en-AU"/>
                              </w:rPr>
                              <w:t xml:space="preserve">Mr </w:t>
                            </w:r>
                            <w:r>
                              <w:rPr>
                                <w:rFonts w:ascii="Arial" w:hAnsi="Arial"/>
                                <w:lang w:val="en-AU"/>
                              </w:rPr>
                              <w:tab/>
                            </w:r>
                            <w:r>
                              <w:rPr>
                                <w:rFonts w:ascii="Arial" w:hAnsi="Arial"/>
                                <w:lang w:val="en-AU"/>
                              </w:rPr>
                              <w:tab/>
                            </w:r>
                            <w:r>
                              <w:rPr>
                                <w:rFonts w:ascii="Arial" w:hAnsi="Arial"/>
                                <w:lang w:val="en-AU"/>
                              </w:rPr>
                              <w:tab/>
                            </w:r>
                            <w:r>
                              <w:rPr>
                                <w:rFonts w:ascii="Arial" w:hAnsi="Arial"/>
                                <w:lang w:val="en-AU"/>
                              </w:rPr>
                              <w:tab/>
                            </w:r>
                            <w:r>
                              <w:rPr>
                                <w:rFonts w:ascii="Arial" w:hAnsi="Arial"/>
                                <w:lang w:val="en-AU"/>
                              </w:rPr>
                              <w:tab/>
                            </w:r>
                            <w:r>
                              <w:rPr>
                                <w:rFonts w:ascii="Arial" w:hAnsi="Arial"/>
                                <w:lang w:val="en-AU"/>
                              </w:rPr>
                              <w:tab/>
                            </w:r>
                            <w:r>
                              <w:rPr>
                                <w:rFonts w:ascii="Arial" w:hAnsi="Arial"/>
                                <w:lang w:val="en-AU"/>
                              </w:rPr>
                              <w:tab/>
                              <w:t>Steven Groves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3C191" id="Text Box 125" o:spid="_x0000_s1060" type="#_x0000_t202" style="position:absolute;margin-left:54.35pt;margin-top:20.65pt;width:105.35pt;height:29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" stroked="f">
                <v:textbox>
                  <w:txbxContent>
                    <w:p w14:paraId="043A1A09" w14:textId="77777777" w:rsidR="00CA309D" w:rsidRDefault="00CA309D" w:rsidP="00435413">
                      <w:pPr>
                        <w:pStyle w:val="OrgChart"/>
                        <w:rPr>
                          <w:rFonts w:ascii="Arial" w:hAnsi="Arial"/>
                          <w:lang w:val="en-AU"/>
                        </w:rPr>
                      </w:pPr>
                      <w:r>
                        <w:rPr>
                          <w:rFonts w:ascii="Arial" w:hAnsi="Arial"/>
                          <w:lang w:val="en-AU"/>
                        </w:rPr>
                        <w:t>Chief Finance Officer</w:t>
                      </w:r>
                    </w:p>
                    <w:p w14:paraId="4405838A" w14:textId="77777777" w:rsidR="00CA309D" w:rsidRPr="00A01209" w:rsidRDefault="00CA309D" w:rsidP="00435413">
                      <w:pPr>
                        <w:pStyle w:val="OrgChart"/>
                        <w:rPr>
                          <w:rFonts w:ascii="Arial" w:hAnsi="Arial"/>
                          <w:lang w:val="en-AU"/>
                        </w:rPr>
                      </w:pPr>
                      <w:r>
                        <w:rPr>
                          <w:rFonts w:ascii="Arial" w:hAnsi="Arial"/>
                          <w:lang w:val="en-AU"/>
                        </w:rPr>
                        <w:t xml:space="preserve">Mr </w:t>
                      </w:r>
                      <w:r>
                        <w:rPr>
                          <w:rFonts w:ascii="Arial" w:hAnsi="Arial"/>
                          <w:lang w:val="en-AU"/>
                        </w:rPr>
                        <w:tab/>
                      </w:r>
                      <w:r>
                        <w:rPr>
                          <w:rFonts w:ascii="Arial" w:hAnsi="Arial"/>
                          <w:lang w:val="en-AU"/>
                        </w:rPr>
                        <w:tab/>
                      </w:r>
                      <w:r>
                        <w:rPr>
                          <w:rFonts w:ascii="Arial" w:hAnsi="Arial"/>
                          <w:lang w:val="en-AU"/>
                        </w:rPr>
                        <w:tab/>
                      </w:r>
                      <w:r>
                        <w:rPr>
                          <w:rFonts w:ascii="Arial" w:hAnsi="Arial"/>
                          <w:lang w:val="en-AU"/>
                        </w:rPr>
                        <w:tab/>
                      </w:r>
                      <w:r>
                        <w:rPr>
                          <w:rFonts w:ascii="Arial" w:hAnsi="Arial"/>
                          <w:lang w:val="en-AU"/>
                        </w:rPr>
                        <w:tab/>
                      </w:r>
                      <w:r>
                        <w:rPr>
                          <w:rFonts w:ascii="Arial" w:hAnsi="Arial"/>
                          <w:lang w:val="en-AU"/>
                        </w:rPr>
                        <w:tab/>
                      </w:r>
                      <w:r>
                        <w:rPr>
                          <w:rFonts w:ascii="Arial" w:hAnsi="Arial"/>
                          <w:lang w:val="en-AU"/>
                        </w:rPr>
                        <w:tab/>
                        <w:t>Steven Groves</w:t>
                      </w:r>
                    </w:p>
                  </w:txbxContent>
                </v:textbox>
              </v:shape>
            </w:pict>
          </mc:Fallback>
        </mc:AlternateContent>
      </w:r>
      <w:r w:rsidRPr="003E76E7">
        <w:rPr>
          <w:noProof/>
          <w:lang w:val="en-AU"/>
        </w:rPr>
        <mc:AlternateContent>
          <mc:Choice Requires="wpg">
            <w:drawing>
              <wp:anchor distT="0" distB="0" distL="114300" distR="114300" simplePos="0" relativeHeight="251766272" behindDoc="0" locked="0" layoutInCell="1" allowOverlap="1" wp14:anchorId="707A07E6" wp14:editId="148DFE7D">
                <wp:simplePos x="0" y="0"/>
                <wp:positionH relativeFrom="column">
                  <wp:posOffset>2931160</wp:posOffset>
                </wp:positionH>
                <wp:positionV relativeFrom="paragraph">
                  <wp:posOffset>30480</wp:posOffset>
                </wp:positionV>
                <wp:extent cx="2265045" cy="408305"/>
                <wp:effectExtent l="13970" t="0" r="0" b="2540"/>
                <wp:wrapNone/>
                <wp:docPr id="571" name="Group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5045" cy="408305"/>
                          <a:chOff x="5122" y="6597"/>
                          <a:chExt cx="3223" cy="643"/>
                        </a:xfrm>
                      </wpg:grpSpPr>
                      <wps:wsp>
                        <wps:cNvPr id="572" name="Text Box 25"/>
                        <wps:cNvSpPr txBox="1">
                          <a:spLocks noChangeArrowheads="1"/>
                        </wps:cNvSpPr>
                        <wps:spPr bwMode="auto">
                          <a:xfrm>
                            <a:off x="5302" y="6597"/>
                            <a:ext cx="3043" cy="6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942EC9" w14:textId="77777777" w:rsidR="00CA309D" w:rsidRPr="00F50089" w:rsidRDefault="00CA309D" w:rsidP="00435413">
                              <w:pPr>
                                <w:pStyle w:val="OrgChart"/>
                                <w:rPr>
                                  <w:rFonts w:ascii="Arial" w:hAnsi="Arial"/>
                                  <w:lang w:val="en-AU"/>
                                </w:rPr>
                              </w:pPr>
                              <w:r w:rsidRPr="00F50089">
                                <w:rPr>
                                  <w:rFonts w:ascii="Arial" w:hAnsi="Arial"/>
                                  <w:lang w:val="en-AU"/>
                                </w:rPr>
                                <w:t>Chief of Navy</w:t>
                              </w:r>
                            </w:p>
                            <w:p w14:paraId="29D38CD8" w14:textId="46F178BA" w:rsidR="00CA309D" w:rsidRDefault="00CA309D" w:rsidP="00435413">
                              <w:pPr>
                                <w:pStyle w:val="OrgChart"/>
                                <w:rPr>
                                  <w:lang w:val="en-AU"/>
                                </w:rPr>
                              </w:pPr>
                              <w:r w:rsidRPr="00F50089">
                                <w:rPr>
                                  <w:rFonts w:ascii="Arial" w:hAnsi="Arial"/>
                                  <w:lang w:val="en-AU"/>
                                </w:rPr>
                                <w:t>Vice Admiral Mark Hammond AO RAN</w:t>
                              </w:r>
                            </w:p>
                          </w:txbxContent>
                        </wps:txbx>
                        <wps:bodyPr rot="0" vert="horz" wrap="square" lIns="91440" tIns="45720" rIns="91440" bIns="45720" anchor="t" anchorCtr="0" upright="1">
                          <a:noAutofit/>
                        </wps:bodyPr>
                      </wps:wsp>
                      <wps:wsp>
                        <wps:cNvPr id="573" name="Line 26"/>
                        <wps:cNvCnPr>
                          <a:cxnSpLocks noChangeShapeType="1"/>
                        </wps:cNvCnPr>
                        <wps:spPr bwMode="auto">
                          <a:xfrm>
                            <a:off x="5122" y="6777"/>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7A07E6" id="Group 545" o:spid="_x0000_s1061" style="position:absolute;margin-left:230.8pt;margin-top:2.4pt;width:178.35pt;height:32.15pt;z-index:251766272" coordorigin="5122,6597" coordsize="322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">
                <v:shape id="Text Box 25" o:spid="_x0000_s1062" type="#_x0000_t202" style="position:absolute;left:5302;top:6597;width:3043;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" stroked="f">
                  <v:textbox>
                    <w:txbxContent>
                      <w:p w14:paraId="22942EC9" w14:textId="77777777" w:rsidR="00CA309D" w:rsidRPr="00F50089" w:rsidRDefault="00CA309D" w:rsidP="00435413">
                        <w:pPr>
                          <w:pStyle w:val="OrgChart"/>
                          <w:rPr>
                            <w:rFonts w:ascii="Arial" w:hAnsi="Arial"/>
                            <w:lang w:val="en-AU"/>
                          </w:rPr>
                        </w:pPr>
                        <w:r w:rsidRPr="00F50089">
                          <w:rPr>
                            <w:rFonts w:ascii="Arial" w:hAnsi="Arial"/>
                            <w:lang w:val="en-AU"/>
                          </w:rPr>
                          <w:t>Chief of Navy</w:t>
                        </w:r>
                      </w:p>
                      <w:p w14:paraId="29D38CD8" w14:textId="46F178BA" w:rsidR="00CA309D" w:rsidRDefault="00CA309D" w:rsidP="00435413">
                        <w:pPr>
                          <w:pStyle w:val="OrgChart"/>
                          <w:rPr>
                            <w:lang w:val="en-AU"/>
                          </w:rPr>
                        </w:pPr>
                        <w:r w:rsidRPr="00F50089">
                          <w:rPr>
                            <w:rFonts w:ascii="Arial" w:hAnsi="Arial"/>
                            <w:lang w:val="en-AU"/>
                          </w:rPr>
                          <w:t>Vice Admiral Mark Hammond AO RAN</w:t>
                        </w:r>
                      </w:p>
                    </w:txbxContent>
                  </v:textbox>
                </v:shape>
                <v:line id="Line 26" o:spid="_x0000_s1063" style="position:absolute;visibility:visible;mso-wrap-style:square" from="5122,6777" to="5302,6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"/>
              </v:group>
            </w:pict>
          </mc:Fallback>
        </mc:AlternateContent>
      </w:r>
    </w:p>
    <w:p w14:paraId="33198095" w14:textId="481DA7B1" w:rsidR="00435413" w:rsidRPr="003E76E7" w:rsidRDefault="00435413" w:rsidP="00C4292D">
      <w:pPr>
        <w:rPr>
          <w:szCs w:val="20"/>
          <w:u w:val="single"/>
        </w:rPr>
      </w:pPr>
      <w:r w:rsidRPr="003E76E7">
        <w:rPr>
          <w:noProof/>
          <w:lang w:val="en-AU"/>
        </w:rPr>
        <mc:AlternateContent>
          <mc:Choice Requires="wps">
            <w:drawing>
              <wp:anchor distT="0" distB="0" distL="114300" distR="114300" simplePos="0" relativeHeight="251782656" behindDoc="0" locked="0" layoutInCell="1" allowOverlap="1" wp14:anchorId="2668C5AC" wp14:editId="1C741D2C">
                <wp:simplePos x="0" y="0"/>
                <wp:positionH relativeFrom="column">
                  <wp:posOffset>593090</wp:posOffset>
                </wp:positionH>
                <wp:positionV relativeFrom="paragraph">
                  <wp:posOffset>115570</wp:posOffset>
                </wp:positionV>
                <wp:extent cx="114300" cy="0"/>
                <wp:effectExtent l="9525" t="6985" r="9525" b="12065"/>
                <wp:wrapNone/>
                <wp:docPr id="568"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44F78E" id="Line 58" o:spid="_x0000_s1026" style="position:absolute;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7pt,9.1pt" to="55.7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HvS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"/>
            </w:pict>
          </mc:Fallback>
        </mc:AlternateContent>
      </w:r>
      <w:r w:rsidRPr="003E76E7">
        <w:rPr>
          <w:noProof/>
          <w:lang w:val="en-AU"/>
        </w:rPr>
        <mc:AlternateContent>
          <mc:Choice Requires="wpg">
            <w:drawing>
              <wp:anchor distT="0" distB="0" distL="114300" distR="114300" simplePos="0" relativeHeight="251767296" behindDoc="0" locked="0" layoutInCell="1" allowOverlap="1" wp14:anchorId="2D8FD19D" wp14:editId="01694975">
                <wp:simplePos x="0" y="0"/>
                <wp:positionH relativeFrom="column">
                  <wp:posOffset>2932430</wp:posOffset>
                </wp:positionH>
                <wp:positionV relativeFrom="paragraph">
                  <wp:posOffset>153670</wp:posOffset>
                </wp:positionV>
                <wp:extent cx="2437130" cy="408305"/>
                <wp:effectExtent l="5715" t="0" r="0" b="3810"/>
                <wp:wrapNone/>
                <wp:docPr id="565"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7130" cy="408305"/>
                          <a:chOff x="5122" y="7318"/>
                          <a:chExt cx="4123" cy="643"/>
                        </a:xfrm>
                      </wpg:grpSpPr>
                      <wps:wsp>
                        <wps:cNvPr id="566" name="Text Box 28"/>
                        <wps:cNvSpPr txBox="1">
                          <a:spLocks noChangeArrowheads="1"/>
                        </wps:cNvSpPr>
                        <wps:spPr bwMode="auto">
                          <a:xfrm>
                            <a:off x="5302" y="7318"/>
                            <a:ext cx="3943" cy="6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CEFA4F" w14:textId="77777777" w:rsidR="00CA309D" w:rsidRPr="00F50089" w:rsidRDefault="00CA309D" w:rsidP="00435413">
                              <w:pPr>
                                <w:pStyle w:val="OrgChart"/>
                                <w:rPr>
                                  <w:rFonts w:ascii="Arial" w:hAnsi="Arial"/>
                                  <w:lang w:val="en-AU"/>
                                </w:rPr>
                              </w:pPr>
                              <w:r w:rsidRPr="00F50089">
                                <w:rPr>
                                  <w:rFonts w:ascii="Arial" w:hAnsi="Arial"/>
                                  <w:lang w:val="en-AU"/>
                                </w:rPr>
                                <w:t>Chief of Army</w:t>
                              </w:r>
                            </w:p>
                            <w:p w14:paraId="26657940" w14:textId="48A51DFA" w:rsidR="00CA309D" w:rsidRDefault="00CA309D" w:rsidP="00435413">
                              <w:pPr>
                                <w:pStyle w:val="OrgChart"/>
                                <w:rPr>
                                  <w:lang w:val="en-AU"/>
                                </w:rPr>
                              </w:pPr>
                              <w:r w:rsidRPr="00F50089">
                                <w:rPr>
                                  <w:rFonts w:ascii="Arial" w:hAnsi="Arial"/>
                                  <w:lang w:val="en-AU"/>
                                </w:rPr>
                                <w:t>Lieutenant General Simon Stuart AO DSC</w:t>
                              </w:r>
                            </w:p>
                          </w:txbxContent>
                        </wps:txbx>
                        <wps:bodyPr rot="0" vert="horz" wrap="square" lIns="91440" tIns="45720" rIns="91440" bIns="45720" anchor="t" anchorCtr="0" upright="1">
                          <a:noAutofit/>
                        </wps:bodyPr>
                      </wps:wsp>
                      <wps:wsp>
                        <wps:cNvPr id="567" name="Line 29"/>
                        <wps:cNvCnPr>
                          <a:cxnSpLocks noChangeShapeType="1"/>
                        </wps:cNvCnPr>
                        <wps:spPr bwMode="auto">
                          <a:xfrm>
                            <a:off x="5122" y="7498"/>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8FD19D" id="Group 126" o:spid="_x0000_s1064" style="position:absolute;margin-left:230.9pt;margin-top:12.1pt;width:191.9pt;height:32.15pt;z-index:251767296" coordorigin="5122,7318" coordsize="412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">
                <v:shape id="Text Box 28" o:spid="_x0000_s1065" type="#_x0000_t202" style="position:absolute;left:5302;top:7318;width:3943;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" stroked="f">
                  <v:textbox>
                    <w:txbxContent>
                      <w:p w14:paraId="33CEFA4F" w14:textId="77777777" w:rsidR="00CA309D" w:rsidRPr="00F50089" w:rsidRDefault="00CA309D" w:rsidP="00435413">
                        <w:pPr>
                          <w:pStyle w:val="OrgChart"/>
                          <w:rPr>
                            <w:rFonts w:ascii="Arial" w:hAnsi="Arial"/>
                            <w:lang w:val="en-AU"/>
                          </w:rPr>
                        </w:pPr>
                        <w:r w:rsidRPr="00F50089">
                          <w:rPr>
                            <w:rFonts w:ascii="Arial" w:hAnsi="Arial"/>
                            <w:lang w:val="en-AU"/>
                          </w:rPr>
                          <w:t>Chief of Army</w:t>
                        </w:r>
                      </w:p>
                      <w:p w14:paraId="26657940" w14:textId="48A51DFA" w:rsidR="00CA309D" w:rsidRDefault="00CA309D" w:rsidP="00435413">
                        <w:pPr>
                          <w:pStyle w:val="OrgChart"/>
                          <w:rPr>
                            <w:lang w:val="en-AU"/>
                          </w:rPr>
                        </w:pPr>
                        <w:r w:rsidRPr="00F50089">
                          <w:rPr>
                            <w:rFonts w:ascii="Arial" w:hAnsi="Arial"/>
                            <w:lang w:val="en-AU"/>
                          </w:rPr>
                          <w:t>Lieutenant General Simon Stuart AO DSC</w:t>
                        </w:r>
                      </w:p>
                    </w:txbxContent>
                  </v:textbox>
                </v:shape>
                <v:line id="Line 29" o:spid="_x0000_s1066" style="position:absolute;visibility:visible;mso-wrap-style:square" from="5122,7498" to="5302,7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"/>
              </v:group>
            </w:pict>
          </mc:Fallback>
        </mc:AlternateContent>
      </w:r>
    </w:p>
    <w:p w14:paraId="74669A09" w14:textId="18D487A0" w:rsidR="00435413" w:rsidRPr="003E76E7" w:rsidRDefault="00435413" w:rsidP="00C4292D">
      <w:r w:rsidRPr="003E76E7">
        <w:rPr>
          <w:noProof/>
          <w:lang w:val="en-AU"/>
        </w:rPr>
        <mc:AlternateContent>
          <mc:Choice Requires="wps">
            <w:drawing>
              <wp:anchor distT="0" distB="0" distL="114300" distR="114300" simplePos="0" relativeHeight="251799040" behindDoc="0" locked="0" layoutInCell="1" allowOverlap="1" wp14:anchorId="3F33C3AD" wp14:editId="3FE6AA34">
                <wp:simplePos x="0" y="0"/>
                <wp:positionH relativeFrom="column">
                  <wp:posOffset>3054985</wp:posOffset>
                </wp:positionH>
                <wp:positionV relativeFrom="paragraph">
                  <wp:posOffset>264795</wp:posOffset>
                </wp:positionV>
                <wp:extent cx="2430145" cy="408305"/>
                <wp:effectExtent l="4445" t="2540" r="3810" b="0"/>
                <wp:wrapNone/>
                <wp:docPr id="56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145" cy="408305"/>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949D8" w14:textId="77777777" w:rsidR="00CA309D" w:rsidRPr="00DA3AC0" w:rsidRDefault="00CA309D" w:rsidP="00435413">
                            <w:pPr>
                              <w:pStyle w:val="OrgChart"/>
                              <w:rPr>
                                <w:rFonts w:ascii="Arial" w:hAnsi="Arial"/>
                                <w:lang w:val="en-AU"/>
                              </w:rPr>
                            </w:pPr>
                            <w:r w:rsidRPr="00DA3AC0">
                              <w:rPr>
                                <w:rFonts w:ascii="Arial" w:hAnsi="Arial"/>
                                <w:lang w:val="en-AU"/>
                              </w:rPr>
                              <w:t>Chief of Air Force</w:t>
                            </w:r>
                          </w:p>
                          <w:p w14:paraId="19C2A2C9" w14:textId="0B26029F" w:rsidR="00CA309D" w:rsidRDefault="00CA309D" w:rsidP="00435413">
                            <w:pPr>
                              <w:pStyle w:val="OrgChart"/>
                              <w:rPr>
                                <w:lang w:val="en-AU"/>
                              </w:rPr>
                            </w:pPr>
                            <w:r w:rsidRPr="00DA3AC0">
                              <w:rPr>
                                <w:rFonts w:ascii="Arial" w:hAnsi="Arial"/>
                                <w:lang w:val="en-AU"/>
                              </w:rPr>
                              <w:t xml:space="preserve">Air Marshal </w:t>
                            </w:r>
                            <w:r>
                              <w:rPr>
                                <w:rFonts w:ascii="Arial" w:hAnsi="Arial"/>
                                <w:lang w:val="en-AU"/>
                              </w:rPr>
                              <w:t>Stephen Chappell DSC</w:t>
                            </w:r>
                            <w:r w:rsidRPr="00DA3AC0">
                              <w:rPr>
                                <w:rFonts w:ascii="Arial" w:hAnsi="Arial"/>
                                <w:lang w:val="en-AU"/>
                              </w:rPr>
                              <w:t xml:space="preserve"> CSC</w:t>
                            </w:r>
                            <w:r>
                              <w:rPr>
                                <w:rFonts w:ascii="Arial" w:hAnsi="Arial"/>
                                <w:lang w:val="en-AU"/>
                              </w:rPr>
                              <w:t xml:space="preserve"> OAM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3C3AD" id="Text Box 31" o:spid="_x0000_s1067" type="#_x0000_t202" style="position:absolute;margin-left:240.55pt;margin-top:20.85pt;width:191.35pt;height:32.1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" filled="f" fillcolor="yellow" stroked="f">
                <v:textbox>
                  <w:txbxContent>
                    <w:p w14:paraId="1DE949D8" w14:textId="77777777" w:rsidR="00CA309D" w:rsidRPr="00DA3AC0" w:rsidRDefault="00CA309D" w:rsidP="00435413">
                      <w:pPr>
                        <w:pStyle w:val="OrgChart"/>
                        <w:rPr>
                          <w:rFonts w:ascii="Arial" w:hAnsi="Arial"/>
                          <w:lang w:val="en-AU"/>
                        </w:rPr>
                      </w:pPr>
                      <w:r w:rsidRPr="00DA3AC0">
                        <w:rPr>
                          <w:rFonts w:ascii="Arial" w:hAnsi="Arial"/>
                          <w:lang w:val="en-AU"/>
                        </w:rPr>
                        <w:t>Chief of Air Force</w:t>
                      </w:r>
                    </w:p>
                    <w:p w14:paraId="19C2A2C9" w14:textId="0B26029F" w:rsidR="00CA309D" w:rsidRDefault="00CA309D" w:rsidP="00435413">
                      <w:pPr>
                        <w:pStyle w:val="OrgChart"/>
                        <w:rPr>
                          <w:lang w:val="en-AU"/>
                        </w:rPr>
                      </w:pPr>
                      <w:r w:rsidRPr="00DA3AC0">
                        <w:rPr>
                          <w:rFonts w:ascii="Arial" w:hAnsi="Arial"/>
                          <w:lang w:val="en-AU"/>
                        </w:rPr>
                        <w:t xml:space="preserve">Air Marshal </w:t>
                      </w:r>
                      <w:r>
                        <w:rPr>
                          <w:rFonts w:ascii="Arial" w:hAnsi="Arial"/>
                          <w:lang w:val="en-AU"/>
                        </w:rPr>
                        <w:t>Stephen Chappell DSC</w:t>
                      </w:r>
                      <w:r w:rsidRPr="00DA3AC0">
                        <w:rPr>
                          <w:rFonts w:ascii="Arial" w:hAnsi="Arial"/>
                          <w:lang w:val="en-AU"/>
                        </w:rPr>
                        <w:t xml:space="preserve"> CSC</w:t>
                      </w:r>
                      <w:r>
                        <w:rPr>
                          <w:rFonts w:ascii="Arial" w:hAnsi="Arial"/>
                          <w:lang w:val="en-AU"/>
                        </w:rPr>
                        <w:t xml:space="preserve"> OAM</w:t>
                      </w:r>
                    </w:p>
                  </w:txbxContent>
                </v:textbox>
              </v:shape>
            </w:pict>
          </mc:Fallback>
        </mc:AlternateContent>
      </w:r>
      <w:r w:rsidRPr="003E76E7">
        <w:rPr>
          <w:noProof/>
          <w:lang w:val="en-AU"/>
        </w:rPr>
        <mc:AlternateContent>
          <mc:Choice Requires="wps">
            <w:drawing>
              <wp:anchor distT="0" distB="0" distL="114300" distR="114300" simplePos="0" relativeHeight="251762176" behindDoc="0" locked="0" layoutInCell="1" allowOverlap="1" wp14:anchorId="0F1C507B" wp14:editId="4C482C04">
                <wp:simplePos x="0" y="0"/>
                <wp:positionH relativeFrom="column">
                  <wp:posOffset>596900</wp:posOffset>
                </wp:positionH>
                <wp:positionV relativeFrom="paragraph">
                  <wp:posOffset>156210</wp:posOffset>
                </wp:positionV>
                <wp:extent cx="114300" cy="0"/>
                <wp:effectExtent l="13335" t="8255" r="5715" b="10795"/>
                <wp:wrapNone/>
                <wp:docPr id="563"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23B8AF" id="Line 58" o:spid="_x0000_s1026" style="position:absolute;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pt,12.3pt" to="56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kBrFA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"/>
            </w:pict>
          </mc:Fallback>
        </mc:AlternateContent>
      </w:r>
      <w:r w:rsidRPr="003E76E7">
        <w:rPr>
          <w:noProof/>
          <w:lang w:val="en-AU"/>
        </w:rPr>
        <mc:AlternateContent>
          <mc:Choice Requires="wps">
            <w:drawing>
              <wp:anchor distT="0" distB="0" distL="114300" distR="114300" simplePos="0" relativeHeight="251748864" behindDoc="0" locked="0" layoutInCell="1" allowOverlap="1" wp14:anchorId="07CD6B2D" wp14:editId="6E954907">
                <wp:simplePos x="0" y="0"/>
                <wp:positionH relativeFrom="column">
                  <wp:posOffset>707390</wp:posOffset>
                </wp:positionH>
                <wp:positionV relativeFrom="paragraph">
                  <wp:posOffset>8255</wp:posOffset>
                </wp:positionV>
                <wp:extent cx="1403985" cy="463550"/>
                <wp:effectExtent l="0" t="0" r="0" b="0"/>
                <wp:wrapNone/>
                <wp:docPr id="56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463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EBBF27" w14:textId="77777777" w:rsidR="00CA309D" w:rsidRPr="00A01209" w:rsidRDefault="00CA309D" w:rsidP="00435413">
                            <w:pPr>
                              <w:pStyle w:val="OrgChart"/>
                              <w:rPr>
                                <w:rFonts w:ascii="Arial" w:hAnsi="Arial"/>
                                <w:lang w:val="en-AU"/>
                              </w:rPr>
                            </w:pPr>
                            <w:r w:rsidRPr="00A01209">
                              <w:rPr>
                                <w:rFonts w:ascii="Arial" w:hAnsi="Arial"/>
                                <w:lang w:val="en-AU"/>
                              </w:rPr>
                              <w:t>Deputy Secretary</w:t>
                            </w:r>
                          </w:p>
                          <w:p w14:paraId="2111159C" w14:textId="77777777" w:rsidR="00CA309D" w:rsidRPr="00A01209" w:rsidRDefault="00CA309D" w:rsidP="00435413">
                            <w:pPr>
                              <w:pStyle w:val="OrgChart"/>
                              <w:rPr>
                                <w:rFonts w:ascii="Arial" w:hAnsi="Arial"/>
                                <w:lang w:val="en-AU"/>
                              </w:rPr>
                            </w:pPr>
                            <w:r w:rsidRPr="00A01209">
                              <w:rPr>
                                <w:rFonts w:ascii="Arial" w:hAnsi="Arial"/>
                                <w:lang w:val="en-AU"/>
                              </w:rPr>
                              <w:t>Defence People</w:t>
                            </w:r>
                          </w:p>
                          <w:p w14:paraId="2776BE5E" w14:textId="5BBE3940" w:rsidR="00CA309D" w:rsidRPr="00A01209" w:rsidRDefault="00CA309D" w:rsidP="00435413">
                            <w:pPr>
                              <w:pStyle w:val="OrgChart"/>
                              <w:rPr>
                                <w:rFonts w:ascii="Arial" w:hAnsi="Arial"/>
                                <w:lang w:val="en-AU"/>
                              </w:rPr>
                            </w:pPr>
                            <w:r w:rsidRPr="00A01209">
                              <w:rPr>
                                <w:rFonts w:ascii="Arial" w:hAnsi="Arial"/>
                                <w:lang w:val="en-AU"/>
                              </w:rPr>
                              <w:t>Ms Justine Greig</w:t>
                            </w:r>
                            <w:r>
                              <w:rPr>
                                <w:rFonts w:ascii="Arial" w:hAnsi="Arial"/>
                                <w:lang w:val="en-AU"/>
                              </w:rPr>
                              <w:t xml:space="preserve"> PSM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D6B2D" id="_x0000_s1068" type="#_x0000_t202" style="position:absolute;margin-left:55.7pt;margin-top:.65pt;width:110.55pt;height:36.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" stroked="f">
                <v:textbox>
                  <w:txbxContent>
                    <w:p w14:paraId="5AEBBF27" w14:textId="77777777" w:rsidR="00CA309D" w:rsidRPr="00A01209" w:rsidRDefault="00CA309D" w:rsidP="00435413">
                      <w:pPr>
                        <w:pStyle w:val="OrgChart"/>
                        <w:rPr>
                          <w:rFonts w:ascii="Arial" w:hAnsi="Arial"/>
                          <w:lang w:val="en-AU"/>
                        </w:rPr>
                      </w:pPr>
                      <w:r w:rsidRPr="00A01209">
                        <w:rPr>
                          <w:rFonts w:ascii="Arial" w:hAnsi="Arial"/>
                          <w:lang w:val="en-AU"/>
                        </w:rPr>
                        <w:t>Deputy Secretary</w:t>
                      </w:r>
                    </w:p>
                    <w:p w14:paraId="2111159C" w14:textId="77777777" w:rsidR="00CA309D" w:rsidRPr="00A01209" w:rsidRDefault="00CA309D" w:rsidP="00435413">
                      <w:pPr>
                        <w:pStyle w:val="OrgChart"/>
                        <w:rPr>
                          <w:rFonts w:ascii="Arial" w:hAnsi="Arial"/>
                          <w:lang w:val="en-AU"/>
                        </w:rPr>
                      </w:pPr>
                      <w:r w:rsidRPr="00A01209">
                        <w:rPr>
                          <w:rFonts w:ascii="Arial" w:hAnsi="Arial"/>
                          <w:lang w:val="en-AU"/>
                        </w:rPr>
                        <w:t>Defence People</w:t>
                      </w:r>
                    </w:p>
                    <w:p w14:paraId="2776BE5E" w14:textId="5BBE3940" w:rsidR="00CA309D" w:rsidRPr="00A01209" w:rsidRDefault="00CA309D" w:rsidP="00435413">
                      <w:pPr>
                        <w:pStyle w:val="OrgChart"/>
                        <w:rPr>
                          <w:rFonts w:ascii="Arial" w:hAnsi="Arial"/>
                          <w:lang w:val="en-AU"/>
                        </w:rPr>
                      </w:pPr>
                      <w:r w:rsidRPr="00A01209">
                        <w:rPr>
                          <w:rFonts w:ascii="Arial" w:hAnsi="Arial"/>
                          <w:lang w:val="en-AU"/>
                        </w:rPr>
                        <w:t>Ms Justine Greig</w:t>
                      </w:r>
                      <w:r>
                        <w:rPr>
                          <w:rFonts w:ascii="Arial" w:hAnsi="Arial"/>
                          <w:lang w:val="en-AU"/>
                        </w:rPr>
                        <w:t xml:space="preserve"> PSM</w:t>
                      </w:r>
                    </w:p>
                  </w:txbxContent>
                </v:textbox>
              </v:shape>
            </w:pict>
          </mc:Fallback>
        </mc:AlternateContent>
      </w:r>
    </w:p>
    <w:p w14:paraId="1F30372B" w14:textId="78BBF9D1" w:rsidR="00435413" w:rsidRPr="003E76E7" w:rsidRDefault="00435413" w:rsidP="00C4292D">
      <w:r w:rsidRPr="003E76E7">
        <w:rPr>
          <w:noProof/>
          <w:lang w:val="en-AU"/>
        </w:rPr>
        <mc:AlternateContent>
          <mc:Choice Requires="wps">
            <w:drawing>
              <wp:anchor distT="0" distB="0" distL="114300" distR="114300" simplePos="0" relativeHeight="251800064" behindDoc="0" locked="0" layoutInCell="1" allowOverlap="1" wp14:anchorId="701F8DC5" wp14:editId="058EC511">
                <wp:simplePos x="0" y="0"/>
                <wp:positionH relativeFrom="column">
                  <wp:posOffset>2941955</wp:posOffset>
                </wp:positionH>
                <wp:positionV relativeFrom="paragraph">
                  <wp:posOffset>93980</wp:posOffset>
                </wp:positionV>
                <wp:extent cx="107950" cy="0"/>
                <wp:effectExtent l="5715" t="12065" r="10160" b="6985"/>
                <wp:wrapNone/>
                <wp:docPr id="561"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F4A5FC" id="Line 32" o:spid="_x0000_s1026" style="position:absolute;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65pt,7.4pt" to="240.1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DM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"/>
            </w:pict>
          </mc:Fallback>
        </mc:AlternateContent>
      </w:r>
      <w:r w:rsidRPr="003E76E7">
        <w:rPr>
          <w:noProof/>
          <w:lang w:val="en-AU"/>
        </w:rPr>
        <mc:AlternateContent>
          <mc:Choice Requires="wps">
            <w:drawing>
              <wp:anchor distT="0" distB="0" distL="114300" distR="114300" simplePos="0" relativeHeight="251761152" behindDoc="0" locked="0" layoutInCell="1" allowOverlap="1" wp14:anchorId="512AD273" wp14:editId="72D8653C">
                <wp:simplePos x="0" y="0"/>
                <wp:positionH relativeFrom="column">
                  <wp:posOffset>604520</wp:posOffset>
                </wp:positionH>
                <wp:positionV relativeFrom="paragraph">
                  <wp:posOffset>273685</wp:posOffset>
                </wp:positionV>
                <wp:extent cx="114300" cy="0"/>
                <wp:effectExtent l="11430" t="10795" r="7620" b="8255"/>
                <wp:wrapNone/>
                <wp:docPr id="560"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1AEA91" id="Line 57" o:spid="_x0000_s1026" style="position:absolute;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pt,21.55pt" to="56.6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dXF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"/>
            </w:pict>
          </mc:Fallback>
        </mc:AlternateContent>
      </w:r>
      <w:r w:rsidRPr="003E76E7">
        <w:rPr>
          <w:noProof/>
          <w:lang w:val="en-AU"/>
        </w:rPr>
        <mc:AlternateContent>
          <mc:Choice Requires="wps">
            <w:drawing>
              <wp:anchor distT="0" distB="0" distL="114300" distR="114300" simplePos="0" relativeHeight="251758080" behindDoc="0" locked="0" layoutInCell="1" allowOverlap="1" wp14:anchorId="72B0985E" wp14:editId="7BD24BCD">
                <wp:simplePos x="0" y="0"/>
                <wp:positionH relativeFrom="column">
                  <wp:posOffset>690245</wp:posOffset>
                </wp:positionH>
                <wp:positionV relativeFrom="paragraph">
                  <wp:posOffset>134620</wp:posOffset>
                </wp:positionV>
                <wp:extent cx="1600200" cy="456565"/>
                <wp:effectExtent l="1905" t="0" r="0" b="0"/>
                <wp:wrapNone/>
                <wp:docPr id="55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6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71D493" w14:textId="77777777" w:rsidR="00CA309D" w:rsidRPr="00A211F5" w:rsidRDefault="00CA309D" w:rsidP="00435413">
                            <w:pPr>
                              <w:pStyle w:val="OrgChart"/>
                              <w:rPr>
                                <w:rFonts w:ascii="Arial" w:hAnsi="Arial"/>
                                <w:lang w:val="en-AU"/>
                              </w:rPr>
                            </w:pPr>
                            <w:r w:rsidRPr="00A211F5">
                              <w:rPr>
                                <w:rFonts w:ascii="Arial" w:hAnsi="Arial"/>
                                <w:lang w:val="en-AU"/>
                              </w:rPr>
                              <w:t>Deputy Secretary</w:t>
                            </w:r>
                          </w:p>
                          <w:p w14:paraId="56F4B643" w14:textId="77777777" w:rsidR="00CA309D" w:rsidRPr="00A211F5" w:rsidRDefault="00CA309D" w:rsidP="00435413">
                            <w:pPr>
                              <w:pStyle w:val="OrgChart"/>
                              <w:rPr>
                                <w:rFonts w:ascii="Arial" w:hAnsi="Arial"/>
                                <w:lang w:val="en-AU"/>
                              </w:rPr>
                            </w:pPr>
                            <w:r w:rsidRPr="00A211F5">
                              <w:rPr>
                                <w:rFonts w:ascii="Arial" w:hAnsi="Arial"/>
                                <w:lang w:val="en-AU"/>
                              </w:rPr>
                              <w:t>Security and Estate</w:t>
                            </w:r>
                          </w:p>
                          <w:p w14:paraId="0500FE49" w14:textId="07D85B4E" w:rsidR="00CA309D" w:rsidRPr="00A01209" w:rsidRDefault="00CA309D" w:rsidP="00435413">
                            <w:pPr>
                              <w:pStyle w:val="OrgChart"/>
                              <w:rPr>
                                <w:rFonts w:ascii="Arial" w:hAnsi="Arial"/>
                                <w:lang w:val="en-AU"/>
                              </w:rPr>
                            </w:pPr>
                            <w:r w:rsidRPr="00A211F5">
                              <w:rPr>
                                <w:rFonts w:ascii="Arial" w:hAnsi="Arial"/>
                                <w:lang w:val="en-AU"/>
                              </w:rPr>
                              <w:t>Mr Pat Sowry (A/g)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0985E" id="Text Box 53" o:spid="_x0000_s1069" type="#_x0000_t202" style="position:absolute;margin-left:54.35pt;margin-top:10.6pt;width:126pt;height:35.9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" stroked="f">
                <v:textbox>
                  <w:txbxContent>
                    <w:p w14:paraId="1171D493" w14:textId="77777777" w:rsidR="00CA309D" w:rsidRPr="00A211F5" w:rsidRDefault="00CA309D" w:rsidP="00435413">
                      <w:pPr>
                        <w:pStyle w:val="OrgChart"/>
                        <w:rPr>
                          <w:rFonts w:ascii="Arial" w:hAnsi="Arial"/>
                          <w:lang w:val="en-AU"/>
                        </w:rPr>
                      </w:pPr>
                      <w:r w:rsidRPr="00A211F5">
                        <w:rPr>
                          <w:rFonts w:ascii="Arial" w:hAnsi="Arial"/>
                          <w:lang w:val="en-AU"/>
                        </w:rPr>
                        <w:t>Deputy Secretary</w:t>
                      </w:r>
                    </w:p>
                    <w:p w14:paraId="56F4B643" w14:textId="77777777" w:rsidR="00CA309D" w:rsidRPr="00A211F5" w:rsidRDefault="00CA309D" w:rsidP="00435413">
                      <w:pPr>
                        <w:pStyle w:val="OrgChart"/>
                        <w:rPr>
                          <w:rFonts w:ascii="Arial" w:hAnsi="Arial"/>
                          <w:lang w:val="en-AU"/>
                        </w:rPr>
                      </w:pPr>
                      <w:r w:rsidRPr="00A211F5">
                        <w:rPr>
                          <w:rFonts w:ascii="Arial" w:hAnsi="Arial"/>
                          <w:lang w:val="en-AU"/>
                        </w:rPr>
                        <w:t>Security and Estate</w:t>
                      </w:r>
                    </w:p>
                    <w:p w14:paraId="0500FE49" w14:textId="07D85B4E" w:rsidR="00CA309D" w:rsidRPr="00A01209" w:rsidRDefault="00CA309D" w:rsidP="00435413">
                      <w:pPr>
                        <w:pStyle w:val="OrgChart"/>
                        <w:rPr>
                          <w:rFonts w:ascii="Arial" w:hAnsi="Arial"/>
                          <w:lang w:val="en-AU"/>
                        </w:rPr>
                      </w:pPr>
                      <w:r w:rsidRPr="00A211F5">
                        <w:rPr>
                          <w:rFonts w:ascii="Arial" w:hAnsi="Arial"/>
                          <w:lang w:val="en-AU"/>
                        </w:rPr>
                        <w:t>Mr Pat Sowry (A/g)</w:t>
                      </w:r>
                    </w:p>
                  </w:txbxContent>
                </v:textbox>
              </v:shape>
            </w:pict>
          </mc:Fallback>
        </mc:AlternateContent>
      </w:r>
    </w:p>
    <w:p w14:paraId="17C135AE" w14:textId="2E492A07" w:rsidR="00435413" w:rsidRPr="003E76E7" w:rsidRDefault="00435413" w:rsidP="00C4292D">
      <w:r w:rsidRPr="003E76E7">
        <w:rPr>
          <w:noProof/>
          <w:lang w:val="en-AU"/>
        </w:rPr>
        <mc:AlternateContent>
          <mc:Choice Requires="wps">
            <w:drawing>
              <wp:anchor distT="0" distB="0" distL="114300" distR="114300" simplePos="0" relativeHeight="251744768" behindDoc="0" locked="0" layoutInCell="1" allowOverlap="1" wp14:anchorId="4DB2E8D7" wp14:editId="639B5333">
                <wp:simplePos x="0" y="0"/>
                <wp:positionH relativeFrom="column">
                  <wp:posOffset>690245</wp:posOffset>
                </wp:positionH>
                <wp:positionV relativeFrom="paragraph">
                  <wp:posOffset>276860</wp:posOffset>
                </wp:positionV>
                <wp:extent cx="1600200" cy="456565"/>
                <wp:effectExtent l="1905" t="3175" r="0" b="0"/>
                <wp:wrapNone/>
                <wp:docPr id="55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6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27F71C" w14:textId="77777777" w:rsidR="00CA309D" w:rsidRPr="00A01209" w:rsidRDefault="00CA309D" w:rsidP="00435413">
                            <w:pPr>
                              <w:pStyle w:val="OrgChart"/>
                              <w:rPr>
                                <w:rFonts w:ascii="Arial" w:hAnsi="Arial"/>
                                <w:lang w:val="en-AU"/>
                              </w:rPr>
                            </w:pPr>
                            <w:r w:rsidRPr="00A01209">
                              <w:rPr>
                                <w:rFonts w:ascii="Arial" w:hAnsi="Arial"/>
                                <w:lang w:val="en-AU"/>
                              </w:rPr>
                              <w:t>Deputy Secretary</w:t>
                            </w:r>
                          </w:p>
                          <w:p w14:paraId="223FB6AE" w14:textId="77777777" w:rsidR="00CA309D" w:rsidRPr="00A01209" w:rsidRDefault="00CA309D" w:rsidP="00435413">
                            <w:pPr>
                              <w:pStyle w:val="OrgChart"/>
                              <w:rPr>
                                <w:rFonts w:ascii="Arial" w:hAnsi="Arial"/>
                                <w:lang w:val="en-AU"/>
                              </w:rPr>
                            </w:pPr>
                            <w:r>
                              <w:rPr>
                                <w:rFonts w:ascii="Arial" w:hAnsi="Arial"/>
                                <w:lang w:val="en-AU"/>
                              </w:rPr>
                              <w:t>Governance</w:t>
                            </w:r>
                          </w:p>
                          <w:p w14:paraId="014FEBF5" w14:textId="70F8902D" w:rsidR="00CA309D" w:rsidRPr="00A01209" w:rsidRDefault="00CA309D" w:rsidP="00435413">
                            <w:pPr>
                              <w:pStyle w:val="OrgChart"/>
                              <w:rPr>
                                <w:rFonts w:ascii="Arial" w:hAnsi="Arial"/>
                                <w:lang w:val="en-AU"/>
                              </w:rPr>
                            </w:pPr>
                            <w:r>
                              <w:rPr>
                                <w:rFonts w:ascii="Arial" w:hAnsi="Arial"/>
                                <w:lang w:val="en-AU"/>
                              </w:rPr>
                              <w:t>Mr John Reid</w:t>
                            </w:r>
                            <w:r w:rsidRPr="00FA26B5">
                              <w:rPr>
                                <w:rFonts w:ascii="Arial" w:hAnsi="Arial"/>
                                <w:lang w:val="en-AU"/>
                              </w:rPr>
                              <w:t xml:space="preserve"> PSM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2E8D7" id="_x0000_s1070" type="#_x0000_t202" style="position:absolute;margin-left:54.35pt;margin-top:21.8pt;width:126pt;height:35.9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" stroked="f">
                <v:textbox>
                  <w:txbxContent>
                    <w:p w14:paraId="1227F71C" w14:textId="77777777" w:rsidR="00CA309D" w:rsidRPr="00A01209" w:rsidRDefault="00CA309D" w:rsidP="00435413">
                      <w:pPr>
                        <w:pStyle w:val="OrgChart"/>
                        <w:rPr>
                          <w:rFonts w:ascii="Arial" w:hAnsi="Arial"/>
                          <w:lang w:val="en-AU"/>
                        </w:rPr>
                      </w:pPr>
                      <w:r w:rsidRPr="00A01209">
                        <w:rPr>
                          <w:rFonts w:ascii="Arial" w:hAnsi="Arial"/>
                          <w:lang w:val="en-AU"/>
                        </w:rPr>
                        <w:t>Deputy Secretary</w:t>
                      </w:r>
                    </w:p>
                    <w:p w14:paraId="223FB6AE" w14:textId="77777777" w:rsidR="00CA309D" w:rsidRPr="00A01209" w:rsidRDefault="00CA309D" w:rsidP="00435413">
                      <w:pPr>
                        <w:pStyle w:val="OrgChart"/>
                        <w:rPr>
                          <w:rFonts w:ascii="Arial" w:hAnsi="Arial"/>
                          <w:lang w:val="en-AU"/>
                        </w:rPr>
                      </w:pPr>
                      <w:r>
                        <w:rPr>
                          <w:rFonts w:ascii="Arial" w:hAnsi="Arial"/>
                          <w:lang w:val="en-AU"/>
                        </w:rPr>
                        <w:t>Governance</w:t>
                      </w:r>
                    </w:p>
                    <w:p w14:paraId="014FEBF5" w14:textId="70F8902D" w:rsidR="00CA309D" w:rsidRPr="00A01209" w:rsidRDefault="00CA309D" w:rsidP="00435413">
                      <w:pPr>
                        <w:pStyle w:val="OrgChart"/>
                        <w:rPr>
                          <w:rFonts w:ascii="Arial" w:hAnsi="Arial"/>
                          <w:lang w:val="en-AU"/>
                        </w:rPr>
                      </w:pPr>
                      <w:r>
                        <w:rPr>
                          <w:rFonts w:ascii="Arial" w:hAnsi="Arial"/>
                          <w:lang w:val="en-AU"/>
                        </w:rPr>
                        <w:t>Mr John Reid</w:t>
                      </w:r>
                      <w:r w:rsidRPr="00FA26B5">
                        <w:rPr>
                          <w:rFonts w:ascii="Arial" w:hAnsi="Arial"/>
                          <w:lang w:val="en-AU"/>
                        </w:rPr>
                        <w:t xml:space="preserve"> PSM</w:t>
                      </w:r>
                    </w:p>
                  </w:txbxContent>
                </v:textbox>
              </v:shape>
            </w:pict>
          </mc:Fallback>
        </mc:AlternateContent>
      </w:r>
      <w:r w:rsidRPr="003E76E7">
        <w:rPr>
          <w:noProof/>
          <w:lang w:val="en-AU"/>
        </w:rPr>
        <mc:AlternateContent>
          <mc:Choice Requires="wpg">
            <w:drawing>
              <wp:anchor distT="0" distB="0" distL="114300" distR="114300" simplePos="0" relativeHeight="251768320" behindDoc="0" locked="0" layoutInCell="1" allowOverlap="1" wp14:anchorId="58D3B639" wp14:editId="4D029BB9">
                <wp:simplePos x="0" y="0"/>
                <wp:positionH relativeFrom="column">
                  <wp:posOffset>2931160</wp:posOffset>
                </wp:positionH>
                <wp:positionV relativeFrom="paragraph">
                  <wp:posOffset>74930</wp:posOffset>
                </wp:positionV>
                <wp:extent cx="2319020" cy="408305"/>
                <wp:effectExtent l="13970" t="1270" r="635" b="0"/>
                <wp:wrapNone/>
                <wp:docPr id="555"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9020" cy="408305"/>
                          <a:chOff x="5122" y="8757"/>
                          <a:chExt cx="3658" cy="643"/>
                        </a:xfrm>
                      </wpg:grpSpPr>
                      <wps:wsp>
                        <wps:cNvPr id="556" name="Text Box 34"/>
                        <wps:cNvSpPr txBox="1">
                          <a:spLocks noChangeArrowheads="1"/>
                        </wps:cNvSpPr>
                        <wps:spPr bwMode="auto">
                          <a:xfrm>
                            <a:off x="5302" y="8757"/>
                            <a:ext cx="3478" cy="6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1BD910" w14:textId="77777777" w:rsidR="00CA309D" w:rsidRPr="00A01209" w:rsidRDefault="00CA309D" w:rsidP="00435413">
                              <w:pPr>
                                <w:pStyle w:val="OrgChart"/>
                                <w:rPr>
                                  <w:rFonts w:ascii="Arial" w:hAnsi="Arial"/>
                                  <w:lang w:val="en-AU"/>
                                </w:rPr>
                              </w:pPr>
                              <w:r w:rsidRPr="00A01209">
                                <w:rPr>
                                  <w:rFonts w:ascii="Arial" w:hAnsi="Arial"/>
                                  <w:lang w:val="en-AU"/>
                                </w:rPr>
                                <w:t>Chief of Joint Operations</w:t>
                              </w:r>
                            </w:p>
                            <w:p w14:paraId="31632A75" w14:textId="58FBA76A" w:rsidR="00CA309D" w:rsidRDefault="00CA309D" w:rsidP="00435413">
                              <w:pPr>
                                <w:pStyle w:val="OrgChart"/>
                                <w:rPr>
                                  <w:lang w:val="en-AU"/>
                                </w:rPr>
                              </w:pPr>
                              <w:r>
                                <w:rPr>
                                  <w:rFonts w:ascii="Arial" w:hAnsi="Arial"/>
                                  <w:lang w:val="en-AU"/>
                                </w:rPr>
                                <w:t>Vice Admiral Justin Jones AO</w:t>
                              </w:r>
                              <w:r w:rsidRPr="00A01209">
                                <w:rPr>
                                  <w:rFonts w:ascii="Arial" w:hAnsi="Arial"/>
                                  <w:lang w:val="en-AU"/>
                                </w:rPr>
                                <w:t xml:space="preserve"> CSC</w:t>
                              </w:r>
                              <w:r>
                                <w:rPr>
                                  <w:rFonts w:ascii="Arial" w:hAnsi="Arial"/>
                                  <w:lang w:val="en-AU"/>
                                </w:rPr>
                                <w:t xml:space="preserve"> RAN</w:t>
                              </w:r>
                            </w:p>
                          </w:txbxContent>
                        </wps:txbx>
                        <wps:bodyPr rot="0" vert="horz" wrap="square" lIns="91440" tIns="45720" rIns="91440" bIns="45720" anchor="t" anchorCtr="0" upright="1">
                          <a:noAutofit/>
                        </wps:bodyPr>
                      </wps:wsp>
                      <wps:wsp>
                        <wps:cNvPr id="557" name="Line 35"/>
                        <wps:cNvCnPr>
                          <a:cxnSpLocks noChangeShapeType="1"/>
                        </wps:cNvCnPr>
                        <wps:spPr bwMode="auto">
                          <a:xfrm>
                            <a:off x="5122" y="8938"/>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D3B639" id="Group 112" o:spid="_x0000_s1071" style="position:absolute;margin-left:230.8pt;margin-top:5.9pt;width:182.6pt;height:32.15pt;z-index:251768320" coordorigin="5122,8757" coordsize="3658,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">
                <v:shape id="Text Box 34" o:spid="_x0000_s1072" type="#_x0000_t202" style="position:absolute;left:5302;top:8757;width:3478;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" stroked="f">
                  <v:textbox>
                    <w:txbxContent>
                      <w:p w14:paraId="721BD910" w14:textId="77777777" w:rsidR="00CA309D" w:rsidRPr="00A01209" w:rsidRDefault="00CA309D" w:rsidP="00435413">
                        <w:pPr>
                          <w:pStyle w:val="OrgChart"/>
                          <w:rPr>
                            <w:rFonts w:ascii="Arial" w:hAnsi="Arial"/>
                            <w:lang w:val="en-AU"/>
                          </w:rPr>
                        </w:pPr>
                        <w:r w:rsidRPr="00A01209">
                          <w:rPr>
                            <w:rFonts w:ascii="Arial" w:hAnsi="Arial"/>
                            <w:lang w:val="en-AU"/>
                          </w:rPr>
                          <w:t>Chief of Joint Operations</w:t>
                        </w:r>
                      </w:p>
                      <w:p w14:paraId="31632A75" w14:textId="58FBA76A" w:rsidR="00CA309D" w:rsidRDefault="00CA309D" w:rsidP="00435413">
                        <w:pPr>
                          <w:pStyle w:val="OrgChart"/>
                          <w:rPr>
                            <w:lang w:val="en-AU"/>
                          </w:rPr>
                        </w:pPr>
                        <w:r>
                          <w:rPr>
                            <w:rFonts w:ascii="Arial" w:hAnsi="Arial"/>
                            <w:lang w:val="en-AU"/>
                          </w:rPr>
                          <w:t>Vice Admiral Justin Jones AO</w:t>
                        </w:r>
                        <w:r w:rsidRPr="00A01209">
                          <w:rPr>
                            <w:rFonts w:ascii="Arial" w:hAnsi="Arial"/>
                            <w:lang w:val="en-AU"/>
                          </w:rPr>
                          <w:t xml:space="preserve"> CSC</w:t>
                        </w:r>
                        <w:r>
                          <w:rPr>
                            <w:rFonts w:ascii="Arial" w:hAnsi="Arial"/>
                            <w:lang w:val="en-AU"/>
                          </w:rPr>
                          <w:t xml:space="preserve"> RAN</w:t>
                        </w:r>
                      </w:p>
                    </w:txbxContent>
                  </v:textbox>
                </v:shape>
                <v:line id="Line 35" o:spid="_x0000_s1073" style="position:absolute;visibility:visible;mso-wrap-style:square" from="5122,8938" to="5302,8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"/>
              </v:group>
            </w:pict>
          </mc:Fallback>
        </mc:AlternateContent>
      </w:r>
    </w:p>
    <w:p w14:paraId="6A350B81" w14:textId="1AE28947" w:rsidR="00435413" w:rsidRPr="003E76E7" w:rsidRDefault="00435413" w:rsidP="00C4292D">
      <w:pPr>
        <w:spacing w:after="240"/>
      </w:pPr>
      <w:r w:rsidRPr="003E76E7">
        <w:rPr>
          <w:noProof/>
          <w:lang w:val="en-AU"/>
        </w:rPr>
        <mc:AlternateContent>
          <mc:Choice Requires="wps">
            <w:drawing>
              <wp:anchor distT="4294967294" distB="4294967294" distL="114300" distR="114300" simplePos="0" relativeHeight="251796992" behindDoc="0" locked="0" layoutInCell="1" allowOverlap="1" wp14:anchorId="781CDB13" wp14:editId="060D6410">
                <wp:simplePos x="0" y="0"/>
                <wp:positionH relativeFrom="column">
                  <wp:posOffset>609600</wp:posOffset>
                </wp:positionH>
                <wp:positionV relativeFrom="paragraph">
                  <wp:posOffset>114934</wp:posOffset>
                </wp:positionV>
                <wp:extent cx="97790" cy="0"/>
                <wp:effectExtent l="0" t="0" r="16510" b="0"/>
                <wp:wrapNone/>
                <wp:docPr id="554" name="Straight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77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94C2B75" id="Straight Connector 99" o:spid="_x0000_s1026" style="position:absolute;flip:y;z-index:2517969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48pt,9.05pt" to="55.7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"/>
            </w:pict>
          </mc:Fallback>
        </mc:AlternateContent>
      </w:r>
      <w:r w:rsidRPr="003E76E7">
        <w:rPr>
          <w:noProof/>
          <w:lang w:val="en-AU"/>
        </w:rPr>
        <mc:AlternateContent>
          <mc:Choice Requires="wps">
            <w:drawing>
              <wp:anchor distT="0" distB="0" distL="114300" distR="114300" simplePos="0" relativeHeight="251770368" behindDoc="0" locked="0" layoutInCell="1" allowOverlap="1" wp14:anchorId="4AC46C8A" wp14:editId="6C84C2D8">
                <wp:simplePos x="0" y="0"/>
                <wp:positionH relativeFrom="column">
                  <wp:posOffset>3039110</wp:posOffset>
                </wp:positionH>
                <wp:positionV relativeFrom="paragraph">
                  <wp:posOffset>198120</wp:posOffset>
                </wp:positionV>
                <wp:extent cx="2489835" cy="472440"/>
                <wp:effectExtent l="0" t="0" r="0" b="3810"/>
                <wp:wrapNone/>
                <wp:docPr id="55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835" cy="472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60A23F" w14:textId="77777777" w:rsidR="00CA309D" w:rsidRPr="00F50089" w:rsidRDefault="00CA309D" w:rsidP="00435413">
                            <w:pPr>
                              <w:spacing w:before="0" w:after="0"/>
                              <w:rPr>
                                <w:rFonts w:ascii="Arial" w:hAnsi="Arial"/>
                                <w:sz w:val="16"/>
                              </w:rPr>
                            </w:pPr>
                            <w:r w:rsidRPr="00F50089">
                              <w:rPr>
                                <w:rFonts w:ascii="Arial" w:hAnsi="Arial"/>
                                <w:sz w:val="16"/>
                              </w:rPr>
                              <w:t>Chief of Joint Capabilities</w:t>
                            </w:r>
                          </w:p>
                          <w:p w14:paraId="4A3D1943" w14:textId="78DDDBDD" w:rsidR="00CA309D" w:rsidRPr="00A01209" w:rsidRDefault="00CA309D" w:rsidP="00435413">
                            <w:pPr>
                              <w:spacing w:before="0" w:after="0"/>
                              <w:rPr>
                                <w:rFonts w:ascii="Arial" w:hAnsi="Arial"/>
                                <w:sz w:val="16"/>
                              </w:rPr>
                            </w:pPr>
                            <w:r w:rsidRPr="00F50089">
                              <w:rPr>
                                <w:rFonts w:ascii="Arial" w:hAnsi="Arial"/>
                                <w:sz w:val="16"/>
                              </w:rPr>
                              <w:t>Lieutenant General Susan Coyle AM CSC DSM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46C8A" id="Text Box 18" o:spid="_x0000_s1074" type="#_x0000_t202" style="position:absolute;margin-left:239.3pt;margin-top:15.6pt;width:196.05pt;height:37.2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" stroked="f">
                <v:textbox>
                  <w:txbxContent>
                    <w:p w14:paraId="4460A23F" w14:textId="77777777" w:rsidR="00CA309D" w:rsidRPr="00F50089" w:rsidRDefault="00CA309D" w:rsidP="00435413">
                      <w:pPr>
                        <w:spacing w:before="0" w:after="0"/>
                        <w:rPr>
                          <w:rFonts w:ascii="Arial" w:hAnsi="Arial"/>
                          <w:sz w:val="16"/>
                        </w:rPr>
                      </w:pPr>
                      <w:r w:rsidRPr="00F50089">
                        <w:rPr>
                          <w:rFonts w:ascii="Arial" w:hAnsi="Arial"/>
                          <w:sz w:val="16"/>
                        </w:rPr>
                        <w:t>Chief of Joint Capabilities</w:t>
                      </w:r>
                    </w:p>
                    <w:p w14:paraId="4A3D1943" w14:textId="78DDDBDD" w:rsidR="00CA309D" w:rsidRPr="00A01209" w:rsidRDefault="00CA309D" w:rsidP="00435413">
                      <w:pPr>
                        <w:spacing w:before="0" w:after="0"/>
                        <w:rPr>
                          <w:rFonts w:ascii="Arial" w:hAnsi="Arial"/>
                          <w:sz w:val="16"/>
                        </w:rPr>
                      </w:pPr>
                      <w:r w:rsidRPr="00F50089">
                        <w:rPr>
                          <w:rFonts w:ascii="Arial" w:hAnsi="Arial"/>
                          <w:sz w:val="16"/>
                        </w:rPr>
                        <w:t>Lieutenant General Susan Coyle AM CSC DSM</w:t>
                      </w:r>
                    </w:p>
                  </w:txbxContent>
                </v:textbox>
              </v:shape>
            </w:pict>
          </mc:Fallback>
        </mc:AlternateContent>
      </w:r>
      <w:r w:rsidRPr="003E76E7">
        <w:rPr>
          <w:noProof/>
          <w:lang w:val="en-AU"/>
        </w:rPr>
        <mc:AlternateContent>
          <mc:Choice Requires="wps">
            <w:drawing>
              <wp:anchor distT="0" distB="0" distL="114300" distR="114300" simplePos="0" relativeHeight="251771392" behindDoc="0" locked="0" layoutInCell="1" allowOverlap="1" wp14:anchorId="3C33DB12" wp14:editId="2C680C18">
                <wp:simplePos x="0" y="0"/>
                <wp:positionH relativeFrom="column">
                  <wp:posOffset>2933065</wp:posOffset>
                </wp:positionH>
                <wp:positionV relativeFrom="paragraph">
                  <wp:posOffset>306070</wp:posOffset>
                </wp:positionV>
                <wp:extent cx="106680" cy="0"/>
                <wp:effectExtent l="6350" t="12700" r="10795" b="6350"/>
                <wp:wrapNone/>
                <wp:docPr id="55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1DB178" id="AutoShape 19" o:spid="_x0000_s1026" type="#_x0000_t32" style="position:absolute;margin-left:230.95pt;margin-top:24.1pt;width:8.4pt;height:0;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xlEHwIAAD0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"/>
            </w:pict>
          </mc:Fallback>
        </mc:AlternateContent>
      </w:r>
    </w:p>
    <w:p w14:paraId="10075604" w14:textId="5FFCC511" w:rsidR="00435413" w:rsidRPr="003E76E7" w:rsidRDefault="00D020AF" w:rsidP="00C4292D">
      <w:pPr>
        <w:spacing w:before="120" w:after="0"/>
      </w:pPr>
      <w:r w:rsidRPr="003E76E7">
        <w:rPr>
          <w:noProof/>
          <w:lang w:val="en-AU"/>
        </w:rPr>
        <mc:AlternateContent>
          <mc:Choice Requires="wps">
            <w:drawing>
              <wp:anchor distT="0" distB="0" distL="114300" distR="114300" simplePos="0" relativeHeight="251786752" behindDoc="0" locked="0" layoutInCell="1" allowOverlap="1" wp14:anchorId="79494FE2" wp14:editId="485E54C2">
                <wp:simplePos x="0" y="0"/>
                <wp:positionH relativeFrom="margin">
                  <wp:posOffset>3033395</wp:posOffset>
                </wp:positionH>
                <wp:positionV relativeFrom="paragraph">
                  <wp:posOffset>186690</wp:posOffset>
                </wp:positionV>
                <wp:extent cx="2428875" cy="472440"/>
                <wp:effectExtent l="0" t="0" r="9525" b="3810"/>
                <wp:wrapNone/>
                <wp:docPr id="54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472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256918" w14:textId="77777777" w:rsidR="00CA309D" w:rsidRPr="00A01209" w:rsidRDefault="00CA309D" w:rsidP="00435413">
                            <w:pPr>
                              <w:spacing w:before="0" w:after="0"/>
                              <w:rPr>
                                <w:rFonts w:ascii="Arial" w:hAnsi="Arial"/>
                                <w:sz w:val="16"/>
                              </w:rPr>
                            </w:pPr>
                            <w:r w:rsidRPr="00A01209">
                              <w:rPr>
                                <w:rFonts w:ascii="Arial" w:hAnsi="Arial"/>
                                <w:sz w:val="16"/>
                              </w:rPr>
                              <w:t xml:space="preserve">Chief </w:t>
                            </w:r>
                            <w:r>
                              <w:rPr>
                                <w:rFonts w:ascii="Arial" w:hAnsi="Arial"/>
                                <w:sz w:val="16"/>
                              </w:rPr>
                              <w:t xml:space="preserve">Guided Weapons and Explosive Ordnance </w:t>
                            </w:r>
                          </w:p>
                          <w:p w14:paraId="6A3D9083" w14:textId="2A743635" w:rsidR="00CA309D" w:rsidRPr="00A01209" w:rsidRDefault="00CA309D" w:rsidP="00435413">
                            <w:pPr>
                              <w:spacing w:before="0" w:after="0"/>
                              <w:rPr>
                                <w:rFonts w:ascii="Arial" w:hAnsi="Arial"/>
                                <w:sz w:val="16"/>
                              </w:rPr>
                            </w:pPr>
                            <w:r>
                              <w:rPr>
                                <w:rFonts w:ascii="Arial" w:hAnsi="Arial"/>
                                <w:sz w:val="16"/>
                              </w:rPr>
                              <w:t>Air Marshal Leon Phillips OAM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94FE2" id="_x0000_s1075" type="#_x0000_t202" style="position:absolute;margin-left:238.85pt;margin-top:14.7pt;width:191.25pt;height:37.2pt;z-index:25178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" stroked="f">
                <v:textbox>
                  <w:txbxContent>
                    <w:p w14:paraId="44256918" w14:textId="77777777" w:rsidR="00CA309D" w:rsidRPr="00A01209" w:rsidRDefault="00CA309D" w:rsidP="00435413">
                      <w:pPr>
                        <w:spacing w:before="0" w:after="0"/>
                        <w:rPr>
                          <w:rFonts w:ascii="Arial" w:hAnsi="Arial"/>
                          <w:sz w:val="16"/>
                        </w:rPr>
                      </w:pPr>
                      <w:r w:rsidRPr="00A01209">
                        <w:rPr>
                          <w:rFonts w:ascii="Arial" w:hAnsi="Arial"/>
                          <w:sz w:val="16"/>
                        </w:rPr>
                        <w:t xml:space="preserve">Chief </w:t>
                      </w:r>
                      <w:r>
                        <w:rPr>
                          <w:rFonts w:ascii="Arial" w:hAnsi="Arial"/>
                          <w:sz w:val="16"/>
                        </w:rPr>
                        <w:t xml:space="preserve">Guided Weapons and Explosive Ordnance </w:t>
                      </w:r>
                    </w:p>
                    <w:p w14:paraId="6A3D9083" w14:textId="2A743635" w:rsidR="00CA309D" w:rsidRPr="00A01209" w:rsidRDefault="00CA309D" w:rsidP="00435413">
                      <w:pPr>
                        <w:spacing w:before="0" w:after="0"/>
                        <w:rPr>
                          <w:rFonts w:ascii="Arial" w:hAnsi="Arial"/>
                          <w:sz w:val="16"/>
                        </w:rPr>
                      </w:pPr>
                      <w:r>
                        <w:rPr>
                          <w:rFonts w:ascii="Arial" w:hAnsi="Arial"/>
                          <w:sz w:val="16"/>
                        </w:rPr>
                        <w:t>Air Marshal Leon Phillips OAM</w:t>
                      </w:r>
                    </w:p>
                  </w:txbxContent>
                </v:textbox>
                <w10:wrap anchorx="margin"/>
              </v:shape>
            </w:pict>
          </mc:Fallback>
        </mc:AlternateContent>
      </w:r>
      <w:r w:rsidR="00435413" w:rsidRPr="003E76E7">
        <w:rPr>
          <w:noProof/>
          <w:lang w:val="en-AU"/>
        </w:rPr>
        <mc:AlternateContent>
          <mc:Choice Requires="wps">
            <w:drawing>
              <wp:anchor distT="4294967294" distB="4294967294" distL="114300" distR="114300" simplePos="0" relativeHeight="251784704" behindDoc="0" locked="0" layoutInCell="1" allowOverlap="1" wp14:anchorId="2EA4C44B" wp14:editId="020B4758">
                <wp:simplePos x="0" y="0"/>
                <wp:positionH relativeFrom="column">
                  <wp:posOffset>330200</wp:posOffset>
                </wp:positionH>
                <wp:positionV relativeFrom="paragraph">
                  <wp:posOffset>229234</wp:posOffset>
                </wp:positionV>
                <wp:extent cx="97790" cy="0"/>
                <wp:effectExtent l="0" t="0" r="16510" b="0"/>
                <wp:wrapNone/>
                <wp:docPr id="551" name="Straight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77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D7E3C36" id="Straight Connector 99" o:spid="_x0000_s1026" style="position:absolute;flip:y;z-index:251784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6pt,18.05pt" to="33.7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"/>
            </w:pict>
          </mc:Fallback>
        </mc:AlternateContent>
      </w:r>
      <w:r w:rsidR="00435413" w:rsidRPr="003E76E7">
        <w:rPr>
          <w:noProof/>
          <w:lang w:val="en-AU"/>
        </w:rPr>
        <mc:AlternateContent>
          <mc:Choice Requires="wps">
            <w:drawing>
              <wp:anchor distT="0" distB="0" distL="114300" distR="114300" simplePos="0" relativeHeight="251783680" behindDoc="0" locked="0" layoutInCell="1" allowOverlap="1" wp14:anchorId="05BCA322" wp14:editId="3AD769EE">
                <wp:simplePos x="0" y="0"/>
                <wp:positionH relativeFrom="column">
                  <wp:posOffset>410210</wp:posOffset>
                </wp:positionH>
                <wp:positionV relativeFrom="paragraph">
                  <wp:posOffset>74930</wp:posOffset>
                </wp:positionV>
                <wp:extent cx="2181225" cy="457200"/>
                <wp:effectExtent l="0" t="0" r="0" b="0"/>
                <wp:wrapNone/>
                <wp:docPr id="55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FEF908" w14:textId="77777777" w:rsidR="00CA309D" w:rsidRDefault="00CA309D" w:rsidP="00435413">
                            <w:pPr>
                              <w:pStyle w:val="OrgChart"/>
                              <w:rPr>
                                <w:rFonts w:ascii="Arial" w:hAnsi="Arial"/>
                                <w:lang w:val="en-AU"/>
                              </w:rPr>
                            </w:pPr>
                            <w:r>
                              <w:rPr>
                                <w:rFonts w:ascii="Arial" w:hAnsi="Arial"/>
                                <w:lang w:val="en-AU"/>
                              </w:rPr>
                              <w:t>Deputy Secretary</w:t>
                            </w:r>
                          </w:p>
                          <w:p w14:paraId="64A46BA4" w14:textId="77777777" w:rsidR="00CA309D" w:rsidRDefault="00CA309D" w:rsidP="00435413">
                            <w:pPr>
                              <w:pStyle w:val="OrgChart"/>
                              <w:rPr>
                                <w:rFonts w:ascii="Arial" w:hAnsi="Arial"/>
                                <w:lang w:val="en-AU"/>
                              </w:rPr>
                            </w:pPr>
                            <w:r>
                              <w:rPr>
                                <w:rFonts w:ascii="Arial" w:hAnsi="Arial"/>
                                <w:lang w:val="en-AU"/>
                              </w:rPr>
                              <w:t>Strategy, Policy and Industry</w:t>
                            </w:r>
                          </w:p>
                          <w:p w14:paraId="12C25436" w14:textId="77777777" w:rsidR="00CA309D" w:rsidRPr="0027028D" w:rsidRDefault="00CA309D" w:rsidP="00435413">
                            <w:pPr>
                              <w:pStyle w:val="OrgChart"/>
                              <w:rPr>
                                <w:rFonts w:ascii="Arial" w:hAnsi="Arial"/>
                                <w:color w:val="000000"/>
                                <w:szCs w:val="16"/>
                                <w:lang w:val="en-AU"/>
                              </w:rPr>
                            </w:pPr>
                            <w:r>
                              <w:rPr>
                                <w:rFonts w:ascii="Arial" w:hAnsi="Arial"/>
                                <w:lang w:val="en-AU"/>
                              </w:rPr>
                              <w:t>Mr Hugh Jeffrey</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05BCA322" id="Text Box 100" o:spid="_x0000_s1076" type="#_x0000_t202" style="position:absolute;margin-left:32.3pt;margin-top:5.9pt;width:171.75pt;height:36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" stroked="f">
                <v:textbox>
                  <w:txbxContent>
                    <w:p w14:paraId="24FEF908" w14:textId="77777777" w:rsidR="00CA309D" w:rsidRDefault="00CA309D" w:rsidP="00435413">
                      <w:pPr>
                        <w:pStyle w:val="OrgChart"/>
                        <w:rPr>
                          <w:rFonts w:ascii="Arial" w:hAnsi="Arial"/>
                          <w:lang w:val="en-AU"/>
                        </w:rPr>
                      </w:pPr>
                      <w:r>
                        <w:rPr>
                          <w:rFonts w:ascii="Arial" w:hAnsi="Arial"/>
                          <w:lang w:val="en-AU"/>
                        </w:rPr>
                        <w:t>Deputy Secretary</w:t>
                      </w:r>
                    </w:p>
                    <w:p w14:paraId="64A46BA4" w14:textId="77777777" w:rsidR="00CA309D" w:rsidRDefault="00CA309D" w:rsidP="00435413">
                      <w:pPr>
                        <w:pStyle w:val="OrgChart"/>
                        <w:rPr>
                          <w:rFonts w:ascii="Arial" w:hAnsi="Arial"/>
                          <w:lang w:val="en-AU"/>
                        </w:rPr>
                      </w:pPr>
                      <w:r>
                        <w:rPr>
                          <w:rFonts w:ascii="Arial" w:hAnsi="Arial"/>
                          <w:lang w:val="en-AU"/>
                        </w:rPr>
                        <w:t>Strategy, Policy and Industry</w:t>
                      </w:r>
                    </w:p>
                    <w:p w14:paraId="12C25436" w14:textId="77777777" w:rsidR="00CA309D" w:rsidRPr="0027028D" w:rsidRDefault="00CA309D" w:rsidP="00435413">
                      <w:pPr>
                        <w:pStyle w:val="OrgChart"/>
                        <w:rPr>
                          <w:rFonts w:ascii="Arial" w:hAnsi="Arial"/>
                          <w:color w:val="000000"/>
                          <w:szCs w:val="16"/>
                          <w:lang w:val="en-AU"/>
                        </w:rPr>
                      </w:pPr>
                      <w:r>
                        <w:rPr>
                          <w:rFonts w:ascii="Arial" w:hAnsi="Arial"/>
                          <w:lang w:val="en-AU"/>
                        </w:rPr>
                        <w:t>Mr Hugh Jeffrey</w:t>
                      </w:r>
                    </w:p>
                  </w:txbxContent>
                </v:textbox>
              </v:shape>
            </w:pict>
          </mc:Fallback>
        </mc:AlternateContent>
      </w:r>
    </w:p>
    <w:p w14:paraId="047B9E7D" w14:textId="7D9B92D5" w:rsidR="00435413" w:rsidRPr="003E76E7" w:rsidRDefault="00435413" w:rsidP="00C4292D">
      <w:pPr>
        <w:tabs>
          <w:tab w:val="left" w:pos="585"/>
        </w:tabs>
        <w:spacing w:before="120"/>
      </w:pPr>
      <w:r w:rsidRPr="003E76E7">
        <w:rPr>
          <w:noProof/>
          <w:lang w:val="en-AU"/>
        </w:rPr>
        <mc:AlternateContent>
          <mc:Choice Requires="wps">
            <w:drawing>
              <wp:anchor distT="0" distB="0" distL="114300" distR="114300" simplePos="0" relativeHeight="251787776" behindDoc="0" locked="0" layoutInCell="1" allowOverlap="1" wp14:anchorId="38981A58" wp14:editId="3E3776F0">
                <wp:simplePos x="0" y="0"/>
                <wp:positionH relativeFrom="column">
                  <wp:posOffset>2933700</wp:posOffset>
                </wp:positionH>
                <wp:positionV relativeFrom="paragraph">
                  <wp:posOffset>86995</wp:posOffset>
                </wp:positionV>
                <wp:extent cx="106680" cy="0"/>
                <wp:effectExtent l="6985" t="10795" r="10160" b="8255"/>
                <wp:wrapNone/>
                <wp:docPr id="548"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81C678" id="AutoShape 19" o:spid="_x0000_s1026" type="#_x0000_t32" style="position:absolute;margin-left:231pt;margin-top:6.85pt;width:8.4pt;height:0;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"/>
            </w:pict>
          </mc:Fallback>
        </mc:AlternateContent>
      </w:r>
    </w:p>
    <w:p w14:paraId="157BDC62" w14:textId="71E7491D" w:rsidR="00435413" w:rsidRPr="003E76E7" w:rsidRDefault="00D020AF" w:rsidP="00C4292D">
      <w:r w:rsidRPr="003E76E7">
        <w:rPr>
          <w:noProof/>
          <w:lang w:val="en-AU"/>
        </w:rPr>
        <mc:AlternateContent>
          <mc:Choice Requires="wps">
            <w:drawing>
              <wp:anchor distT="0" distB="0" distL="114300" distR="114300" simplePos="0" relativeHeight="251789824" behindDoc="0" locked="0" layoutInCell="1" allowOverlap="1" wp14:anchorId="13374E63" wp14:editId="26BD0760">
                <wp:simplePos x="0" y="0"/>
                <wp:positionH relativeFrom="column">
                  <wp:posOffset>2935605</wp:posOffset>
                </wp:positionH>
                <wp:positionV relativeFrom="paragraph">
                  <wp:posOffset>180546</wp:posOffset>
                </wp:positionV>
                <wp:extent cx="106680" cy="0"/>
                <wp:effectExtent l="0" t="0" r="26670" b="19050"/>
                <wp:wrapNone/>
                <wp:docPr id="15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E6F6CB" id="AutoShape 19" o:spid="_x0000_s1026" type="#_x0000_t32" style="position:absolute;margin-left:231.15pt;margin-top:14.2pt;width:8.4pt;height:0;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"/>
            </w:pict>
          </mc:Fallback>
        </mc:AlternateContent>
      </w:r>
      <w:r w:rsidRPr="003E76E7">
        <w:rPr>
          <w:noProof/>
          <w:lang w:val="en-AU"/>
        </w:rPr>
        <mc:AlternateContent>
          <mc:Choice Requires="wps">
            <w:drawing>
              <wp:anchor distT="0" distB="0" distL="114300" distR="114300" simplePos="0" relativeHeight="251788800" behindDoc="0" locked="0" layoutInCell="1" allowOverlap="1" wp14:anchorId="09609ABA" wp14:editId="51DEA360">
                <wp:simplePos x="0" y="0"/>
                <wp:positionH relativeFrom="column">
                  <wp:posOffset>3042285</wp:posOffset>
                </wp:positionH>
                <wp:positionV relativeFrom="paragraph">
                  <wp:posOffset>34290</wp:posOffset>
                </wp:positionV>
                <wp:extent cx="2189480" cy="472440"/>
                <wp:effectExtent l="0" t="0" r="1270" b="3810"/>
                <wp:wrapNone/>
                <wp:docPr id="54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9480" cy="472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E87EC2" w14:textId="77777777" w:rsidR="00CA309D" w:rsidRPr="00CA1AEB" w:rsidRDefault="00CA309D" w:rsidP="00435413">
                            <w:pPr>
                              <w:spacing w:before="0" w:after="0"/>
                              <w:rPr>
                                <w:rFonts w:ascii="Arial" w:hAnsi="Arial"/>
                                <w:sz w:val="16"/>
                              </w:rPr>
                            </w:pPr>
                            <w:r w:rsidRPr="00CA1AEB">
                              <w:rPr>
                                <w:rFonts w:ascii="Arial" w:hAnsi="Arial"/>
                                <w:sz w:val="16"/>
                              </w:rPr>
                              <w:t>Chief of Personnel</w:t>
                            </w:r>
                          </w:p>
                          <w:p w14:paraId="3053B743" w14:textId="1AD230E5" w:rsidR="00CA309D" w:rsidRPr="00A01209" w:rsidRDefault="00CA309D" w:rsidP="00435413">
                            <w:pPr>
                              <w:spacing w:before="0" w:after="0"/>
                              <w:rPr>
                                <w:rFonts w:ascii="Arial" w:hAnsi="Arial"/>
                                <w:sz w:val="16"/>
                              </w:rPr>
                            </w:pPr>
                            <w:r>
                              <w:rPr>
                                <w:rFonts w:ascii="Arial" w:hAnsi="Arial"/>
                                <w:sz w:val="16"/>
                              </w:rPr>
                              <w:t>Lieutenant General Natasha Fox AO</w:t>
                            </w:r>
                            <w:r w:rsidRPr="00CA1AEB">
                              <w:rPr>
                                <w:rFonts w:ascii="Arial" w:hAnsi="Arial"/>
                                <w:sz w:val="16"/>
                              </w:rPr>
                              <w:t xml:space="preserve"> CSC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09ABA" id="_x0000_s1077" type="#_x0000_t202" style="position:absolute;margin-left:239.55pt;margin-top:2.7pt;width:172.4pt;height:37.2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" stroked="f">
                <v:textbox>
                  <w:txbxContent>
                    <w:p w14:paraId="56E87EC2" w14:textId="77777777" w:rsidR="00CA309D" w:rsidRPr="00CA1AEB" w:rsidRDefault="00CA309D" w:rsidP="00435413">
                      <w:pPr>
                        <w:spacing w:before="0" w:after="0"/>
                        <w:rPr>
                          <w:rFonts w:ascii="Arial" w:hAnsi="Arial"/>
                          <w:sz w:val="16"/>
                        </w:rPr>
                      </w:pPr>
                      <w:r w:rsidRPr="00CA1AEB">
                        <w:rPr>
                          <w:rFonts w:ascii="Arial" w:hAnsi="Arial"/>
                          <w:sz w:val="16"/>
                        </w:rPr>
                        <w:t>Chief of Personnel</w:t>
                      </w:r>
                    </w:p>
                    <w:p w14:paraId="3053B743" w14:textId="1AD230E5" w:rsidR="00CA309D" w:rsidRPr="00A01209" w:rsidRDefault="00CA309D" w:rsidP="00435413">
                      <w:pPr>
                        <w:spacing w:before="0" w:after="0"/>
                        <w:rPr>
                          <w:rFonts w:ascii="Arial" w:hAnsi="Arial"/>
                          <w:sz w:val="16"/>
                        </w:rPr>
                      </w:pPr>
                      <w:r>
                        <w:rPr>
                          <w:rFonts w:ascii="Arial" w:hAnsi="Arial"/>
                          <w:sz w:val="16"/>
                        </w:rPr>
                        <w:t>Lieutenant General Natasha Fox AO</w:t>
                      </w:r>
                      <w:r w:rsidRPr="00CA1AEB">
                        <w:rPr>
                          <w:rFonts w:ascii="Arial" w:hAnsi="Arial"/>
                          <w:sz w:val="16"/>
                        </w:rPr>
                        <w:t xml:space="preserve"> CSC</w:t>
                      </w:r>
                    </w:p>
                  </w:txbxContent>
                </v:textbox>
              </v:shape>
            </w:pict>
          </mc:Fallback>
        </mc:AlternateContent>
      </w:r>
      <w:r w:rsidR="00435413" w:rsidRPr="003E76E7">
        <w:rPr>
          <w:noProof/>
          <w:lang w:val="en-AU"/>
        </w:rPr>
        <mc:AlternateContent>
          <mc:Choice Requires="wps">
            <w:drawing>
              <wp:anchor distT="4294967294" distB="4294967294" distL="114300" distR="114300" simplePos="0" relativeHeight="251753984" behindDoc="0" locked="0" layoutInCell="1" allowOverlap="1" wp14:anchorId="70DAAE46" wp14:editId="105CB283">
                <wp:simplePos x="0" y="0"/>
                <wp:positionH relativeFrom="column">
                  <wp:posOffset>330200</wp:posOffset>
                </wp:positionH>
                <wp:positionV relativeFrom="paragraph">
                  <wp:posOffset>167639</wp:posOffset>
                </wp:positionV>
                <wp:extent cx="97790" cy="0"/>
                <wp:effectExtent l="0" t="0" r="16510" b="0"/>
                <wp:wrapNone/>
                <wp:docPr id="547" name="Straight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77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242BA9F" id="Straight Connector 99" o:spid="_x0000_s1026" style="position:absolute;flip:y;z-index:2517539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6pt,13.2pt" to="33.7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"/>
            </w:pict>
          </mc:Fallback>
        </mc:AlternateContent>
      </w:r>
      <w:r w:rsidR="00435413" w:rsidRPr="003E76E7">
        <w:rPr>
          <w:noProof/>
          <w:lang w:val="en-AU"/>
        </w:rPr>
        <mc:AlternateContent>
          <mc:Choice Requires="wps">
            <w:drawing>
              <wp:anchor distT="0" distB="0" distL="114300" distR="114300" simplePos="0" relativeHeight="251752960" behindDoc="0" locked="0" layoutInCell="1" allowOverlap="1" wp14:anchorId="4F390176" wp14:editId="7A15608E">
                <wp:simplePos x="0" y="0"/>
                <wp:positionH relativeFrom="column">
                  <wp:posOffset>406400</wp:posOffset>
                </wp:positionH>
                <wp:positionV relativeFrom="paragraph">
                  <wp:posOffset>17780</wp:posOffset>
                </wp:positionV>
                <wp:extent cx="2181225" cy="457200"/>
                <wp:effectExtent l="0" t="0" r="0" b="0"/>
                <wp:wrapNone/>
                <wp:docPr id="546"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DDE6C7" w14:textId="77777777" w:rsidR="00CA309D" w:rsidRPr="00A01209" w:rsidRDefault="00CA309D" w:rsidP="00435413">
                            <w:pPr>
                              <w:pStyle w:val="OrgChart"/>
                              <w:rPr>
                                <w:rFonts w:ascii="Arial" w:hAnsi="Arial"/>
                                <w:lang w:val="en-AU"/>
                              </w:rPr>
                            </w:pPr>
                            <w:r w:rsidRPr="00A01209">
                              <w:rPr>
                                <w:rFonts w:ascii="Arial" w:hAnsi="Arial"/>
                                <w:lang w:val="en-AU"/>
                              </w:rPr>
                              <w:t>Chief of Defence Intelligence</w:t>
                            </w:r>
                          </w:p>
                          <w:p w14:paraId="19EB3D6E" w14:textId="77777777" w:rsidR="00CA309D" w:rsidRPr="0027028D" w:rsidRDefault="00CA309D" w:rsidP="00435413">
                            <w:pPr>
                              <w:pStyle w:val="OrgChart"/>
                              <w:rPr>
                                <w:rFonts w:ascii="Arial" w:hAnsi="Arial"/>
                                <w:color w:val="000000"/>
                                <w:szCs w:val="16"/>
                                <w:lang w:val="en-AU"/>
                              </w:rPr>
                            </w:pPr>
                            <w:r>
                              <w:rPr>
                                <w:rFonts w:ascii="Arial" w:hAnsi="Arial"/>
                                <w:szCs w:val="16"/>
                              </w:rPr>
                              <w:t>Mr Tom Hamilton</w:t>
                            </w:r>
                          </w:p>
                          <w:p w14:paraId="70A07655" w14:textId="77777777" w:rsidR="00CA309D" w:rsidRDefault="00CA309D" w:rsidP="00435413"/>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4F390176" id="_x0000_s1078" type="#_x0000_t202" style="position:absolute;margin-left:32pt;margin-top:1.4pt;width:171.75pt;height:36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" stroked="f">
                <v:textbox>
                  <w:txbxContent>
                    <w:p w14:paraId="56DDE6C7" w14:textId="77777777" w:rsidR="00CA309D" w:rsidRPr="00A01209" w:rsidRDefault="00CA309D" w:rsidP="00435413">
                      <w:pPr>
                        <w:pStyle w:val="OrgChart"/>
                        <w:rPr>
                          <w:rFonts w:ascii="Arial" w:hAnsi="Arial"/>
                          <w:lang w:val="en-AU"/>
                        </w:rPr>
                      </w:pPr>
                      <w:r w:rsidRPr="00A01209">
                        <w:rPr>
                          <w:rFonts w:ascii="Arial" w:hAnsi="Arial"/>
                          <w:lang w:val="en-AU"/>
                        </w:rPr>
                        <w:t>Chief of Defence Intelligence</w:t>
                      </w:r>
                    </w:p>
                    <w:p w14:paraId="19EB3D6E" w14:textId="77777777" w:rsidR="00CA309D" w:rsidRPr="0027028D" w:rsidRDefault="00CA309D" w:rsidP="00435413">
                      <w:pPr>
                        <w:pStyle w:val="OrgChart"/>
                        <w:rPr>
                          <w:rFonts w:ascii="Arial" w:hAnsi="Arial"/>
                          <w:color w:val="000000"/>
                          <w:szCs w:val="16"/>
                          <w:lang w:val="en-AU"/>
                        </w:rPr>
                      </w:pPr>
                      <w:r>
                        <w:rPr>
                          <w:rFonts w:ascii="Arial" w:hAnsi="Arial"/>
                          <w:szCs w:val="16"/>
                        </w:rPr>
                        <w:t>Mr Tom Hamilton</w:t>
                      </w:r>
                    </w:p>
                    <w:p w14:paraId="70A07655" w14:textId="77777777" w:rsidR="00CA309D" w:rsidRDefault="00CA309D" w:rsidP="00435413"/>
                  </w:txbxContent>
                </v:textbox>
              </v:shape>
            </w:pict>
          </mc:Fallback>
        </mc:AlternateContent>
      </w:r>
    </w:p>
    <w:p w14:paraId="4BC24D34" w14:textId="1985DE62" w:rsidR="00435413" w:rsidRPr="003E76E7" w:rsidRDefault="00435413" w:rsidP="00C4292D">
      <w:pPr>
        <w:spacing w:after="120"/>
      </w:pPr>
      <w:r w:rsidRPr="003E76E7">
        <w:rPr>
          <w:noProof/>
          <w:lang w:val="en-AU"/>
        </w:rPr>
        <mc:AlternateContent>
          <mc:Choice Requires="wps">
            <w:drawing>
              <wp:anchor distT="0" distB="0" distL="114300" distR="114300" simplePos="0" relativeHeight="251795968" behindDoc="0" locked="0" layoutInCell="1" allowOverlap="1" wp14:anchorId="2A0EC5DA" wp14:editId="13C8F658">
                <wp:simplePos x="0" y="0"/>
                <wp:positionH relativeFrom="column">
                  <wp:posOffset>3001010</wp:posOffset>
                </wp:positionH>
                <wp:positionV relativeFrom="paragraph">
                  <wp:posOffset>189865</wp:posOffset>
                </wp:positionV>
                <wp:extent cx="2107565" cy="770890"/>
                <wp:effectExtent l="0" t="635" r="0" b="0"/>
                <wp:wrapNone/>
                <wp:docPr id="158"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7565" cy="770890"/>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AA5691" w14:textId="77777777" w:rsidR="00CA309D" w:rsidRDefault="00CA309D" w:rsidP="00435413">
                            <w:pPr>
                              <w:pStyle w:val="OrgChart"/>
                              <w:jc w:val="center"/>
                              <w:rPr>
                                <w:rFonts w:ascii="Arial" w:hAnsi="Arial"/>
                                <w:lang w:val="en-AU"/>
                              </w:rPr>
                            </w:pPr>
                            <w:r>
                              <w:rPr>
                                <w:rFonts w:ascii="Arial" w:hAnsi="Arial"/>
                                <w:lang w:val="en-AU"/>
                              </w:rPr>
                              <w:t>Minister for Home Affairs</w:t>
                            </w:r>
                          </w:p>
                          <w:p w14:paraId="1FC7A842" w14:textId="77777777" w:rsidR="00CA309D" w:rsidRDefault="00CA309D" w:rsidP="00435413">
                            <w:pPr>
                              <w:pStyle w:val="OrgChart"/>
                              <w:jc w:val="center"/>
                              <w:rPr>
                                <w:rFonts w:ascii="Arial" w:hAnsi="Arial"/>
                                <w:lang w:val="en-AU"/>
                              </w:rPr>
                            </w:pPr>
                            <w:r>
                              <w:rPr>
                                <w:rFonts w:ascii="Arial" w:hAnsi="Arial"/>
                                <w:lang w:val="en-AU"/>
                              </w:rPr>
                              <w:t>Minister for Immigration and Citizenship</w:t>
                            </w:r>
                          </w:p>
                          <w:p w14:paraId="498EAC91" w14:textId="77777777" w:rsidR="00CA309D" w:rsidRDefault="00CA309D" w:rsidP="00435413">
                            <w:pPr>
                              <w:pStyle w:val="OrgChart"/>
                              <w:jc w:val="center"/>
                              <w:rPr>
                                <w:rFonts w:ascii="Arial" w:hAnsi="Arial"/>
                                <w:lang w:val="en-AU"/>
                              </w:rPr>
                            </w:pPr>
                            <w:r w:rsidRPr="006A74C9">
                              <w:rPr>
                                <w:rFonts w:ascii="Arial" w:hAnsi="Arial"/>
                                <w:lang w:val="en-AU"/>
                              </w:rPr>
                              <w:t>Minister for Cyber Security</w:t>
                            </w:r>
                          </w:p>
                          <w:p w14:paraId="017F002F" w14:textId="77777777" w:rsidR="00CA309D" w:rsidRDefault="00CA309D" w:rsidP="00435413">
                            <w:pPr>
                              <w:pStyle w:val="OrgChart"/>
                              <w:jc w:val="center"/>
                              <w:rPr>
                                <w:rFonts w:ascii="Arial" w:hAnsi="Arial"/>
                                <w:lang w:val="en-AU"/>
                              </w:rPr>
                            </w:pPr>
                            <w:r>
                              <w:rPr>
                                <w:rFonts w:ascii="Arial" w:hAnsi="Arial"/>
                                <w:lang w:val="en-AU"/>
                              </w:rPr>
                              <w:t>Minister for the Arts</w:t>
                            </w:r>
                          </w:p>
                          <w:p w14:paraId="0036C5D2" w14:textId="77777777" w:rsidR="00CA309D" w:rsidRPr="0023531F" w:rsidRDefault="00CA309D" w:rsidP="00435413">
                            <w:pPr>
                              <w:pStyle w:val="OrgChart"/>
                              <w:jc w:val="center"/>
                              <w:rPr>
                                <w:rFonts w:ascii="Arial" w:hAnsi="Arial"/>
                                <w:lang w:val="en-AU"/>
                              </w:rPr>
                            </w:pPr>
                            <w:r>
                              <w:rPr>
                                <w:rFonts w:ascii="Arial" w:hAnsi="Arial"/>
                                <w:lang w:val="en-AU"/>
                              </w:rPr>
                              <w:t xml:space="preserve">The </w:t>
                            </w:r>
                            <w:r w:rsidRPr="006A74C9">
                              <w:rPr>
                                <w:rFonts w:ascii="Arial" w:hAnsi="Arial"/>
                                <w:lang w:val="en-AU"/>
                              </w:rPr>
                              <w:t xml:space="preserve">Hon </w:t>
                            </w:r>
                            <w:r>
                              <w:rPr>
                                <w:rFonts w:ascii="Arial" w:hAnsi="Arial"/>
                                <w:lang w:val="en-AU"/>
                              </w:rPr>
                              <w:t>Tony Burke</w:t>
                            </w:r>
                            <w:r w:rsidRPr="006A74C9">
                              <w:rPr>
                                <w:rFonts w:ascii="Arial" w:hAnsi="Arial"/>
                                <w:lang w:val="en-AU"/>
                              </w:rPr>
                              <w:t xml:space="preserve"> MP</w:t>
                            </w:r>
                          </w:p>
                          <w:p w14:paraId="504FCC5A" w14:textId="77777777" w:rsidR="00CA309D" w:rsidRPr="00F35CD4" w:rsidRDefault="00CA309D" w:rsidP="00435413">
                            <w:pPr>
                              <w:pStyle w:val="OrgChart"/>
                              <w:jc w:val="center"/>
                              <w:rPr>
                                <w:rFonts w:ascii="Arial" w:hAnsi="Arial"/>
                                <w:i/>
                                <w:sz w:val="14"/>
                                <w:szCs w:val="14"/>
                              </w:rPr>
                            </w:pPr>
                            <w:r w:rsidRPr="00F35CD4">
                              <w:rPr>
                                <w:rFonts w:ascii="Arial" w:hAnsi="Arial"/>
                                <w:i/>
                                <w:sz w:val="14"/>
                                <w:szCs w:val="14"/>
                              </w:rPr>
                              <w:t>Sworn to administer the Department of Defence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0EC5DA" id="_x0000_s1079" type="#_x0000_t202" style="position:absolute;margin-left:236.3pt;margin-top:14.95pt;width:165.95pt;height:60.7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" fillcolor="#e7e6e6" stroked="f">
                <v:textbox>
                  <w:txbxContent>
                    <w:p w14:paraId="16AA5691" w14:textId="77777777" w:rsidR="00CA309D" w:rsidRDefault="00CA309D" w:rsidP="00435413">
                      <w:pPr>
                        <w:pStyle w:val="OrgChart"/>
                        <w:jc w:val="center"/>
                        <w:rPr>
                          <w:rFonts w:ascii="Arial" w:hAnsi="Arial"/>
                          <w:lang w:val="en-AU"/>
                        </w:rPr>
                      </w:pPr>
                      <w:r>
                        <w:rPr>
                          <w:rFonts w:ascii="Arial" w:hAnsi="Arial"/>
                          <w:lang w:val="en-AU"/>
                        </w:rPr>
                        <w:t>Minister for Home Affairs</w:t>
                      </w:r>
                    </w:p>
                    <w:p w14:paraId="1FC7A842" w14:textId="77777777" w:rsidR="00CA309D" w:rsidRDefault="00CA309D" w:rsidP="00435413">
                      <w:pPr>
                        <w:pStyle w:val="OrgChart"/>
                        <w:jc w:val="center"/>
                        <w:rPr>
                          <w:rFonts w:ascii="Arial" w:hAnsi="Arial"/>
                          <w:lang w:val="en-AU"/>
                        </w:rPr>
                      </w:pPr>
                      <w:r>
                        <w:rPr>
                          <w:rFonts w:ascii="Arial" w:hAnsi="Arial"/>
                          <w:lang w:val="en-AU"/>
                        </w:rPr>
                        <w:t>Minister for Immigration and Citizenship</w:t>
                      </w:r>
                    </w:p>
                    <w:p w14:paraId="498EAC91" w14:textId="77777777" w:rsidR="00CA309D" w:rsidRDefault="00CA309D" w:rsidP="00435413">
                      <w:pPr>
                        <w:pStyle w:val="OrgChart"/>
                        <w:jc w:val="center"/>
                        <w:rPr>
                          <w:rFonts w:ascii="Arial" w:hAnsi="Arial"/>
                          <w:lang w:val="en-AU"/>
                        </w:rPr>
                      </w:pPr>
                      <w:r w:rsidRPr="006A74C9">
                        <w:rPr>
                          <w:rFonts w:ascii="Arial" w:hAnsi="Arial"/>
                          <w:lang w:val="en-AU"/>
                        </w:rPr>
                        <w:t>Minister for Cyber Security</w:t>
                      </w:r>
                    </w:p>
                    <w:p w14:paraId="017F002F" w14:textId="77777777" w:rsidR="00CA309D" w:rsidRDefault="00CA309D" w:rsidP="00435413">
                      <w:pPr>
                        <w:pStyle w:val="OrgChart"/>
                        <w:jc w:val="center"/>
                        <w:rPr>
                          <w:rFonts w:ascii="Arial" w:hAnsi="Arial"/>
                          <w:lang w:val="en-AU"/>
                        </w:rPr>
                      </w:pPr>
                      <w:r>
                        <w:rPr>
                          <w:rFonts w:ascii="Arial" w:hAnsi="Arial"/>
                          <w:lang w:val="en-AU"/>
                        </w:rPr>
                        <w:t>Minister for the Arts</w:t>
                      </w:r>
                    </w:p>
                    <w:p w14:paraId="0036C5D2" w14:textId="77777777" w:rsidR="00CA309D" w:rsidRPr="0023531F" w:rsidRDefault="00CA309D" w:rsidP="00435413">
                      <w:pPr>
                        <w:pStyle w:val="OrgChart"/>
                        <w:jc w:val="center"/>
                        <w:rPr>
                          <w:rFonts w:ascii="Arial" w:hAnsi="Arial"/>
                          <w:lang w:val="en-AU"/>
                        </w:rPr>
                      </w:pPr>
                      <w:r>
                        <w:rPr>
                          <w:rFonts w:ascii="Arial" w:hAnsi="Arial"/>
                          <w:lang w:val="en-AU"/>
                        </w:rPr>
                        <w:t xml:space="preserve">The </w:t>
                      </w:r>
                      <w:r w:rsidRPr="006A74C9">
                        <w:rPr>
                          <w:rFonts w:ascii="Arial" w:hAnsi="Arial"/>
                          <w:lang w:val="en-AU"/>
                        </w:rPr>
                        <w:t xml:space="preserve">Hon </w:t>
                      </w:r>
                      <w:r>
                        <w:rPr>
                          <w:rFonts w:ascii="Arial" w:hAnsi="Arial"/>
                          <w:lang w:val="en-AU"/>
                        </w:rPr>
                        <w:t>Tony Burke</w:t>
                      </w:r>
                      <w:r w:rsidRPr="006A74C9">
                        <w:rPr>
                          <w:rFonts w:ascii="Arial" w:hAnsi="Arial"/>
                          <w:lang w:val="en-AU"/>
                        </w:rPr>
                        <w:t xml:space="preserve"> MP</w:t>
                      </w:r>
                    </w:p>
                    <w:p w14:paraId="504FCC5A" w14:textId="77777777" w:rsidR="00CA309D" w:rsidRPr="00F35CD4" w:rsidRDefault="00CA309D" w:rsidP="00435413">
                      <w:pPr>
                        <w:pStyle w:val="OrgChart"/>
                        <w:jc w:val="center"/>
                        <w:rPr>
                          <w:rFonts w:ascii="Arial" w:hAnsi="Arial"/>
                          <w:i/>
                          <w:sz w:val="14"/>
                          <w:szCs w:val="14"/>
                        </w:rPr>
                      </w:pPr>
                      <w:r w:rsidRPr="00F35CD4">
                        <w:rPr>
                          <w:rFonts w:ascii="Arial" w:hAnsi="Arial"/>
                          <w:i/>
                          <w:sz w:val="14"/>
                          <w:szCs w:val="14"/>
                        </w:rPr>
                        <w:t>Sworn to administer the Department of Defence</w:t>
                      </w:r>
                    </w:p>
                  </w:txbxContent>
                </v:textbox>
              </v:shape>
            </w:pict>
          </mc:Fallback>
        </mc:AlternateContent>
      </w:r>
      <w:r w:rsidRPr="003E76E7">
        <w:rPr>
          <w:noProof/>
          <w:lang w:val="en-AU"/>
        </w:rPr>
        <mc:AlternateContent>
          <mc:Choice Requires="wps">
            <w:drawing>
              <wp:anchor distT="0" distB="0" distL="114300" distR="114300" simplePos="0" relativeHeight="251763200" behindDoc="0" locked="0" layoutInCell="1" allowOverlap="1" wp14:anchorId="1F9F3FA6" wp14:editId="3B598731">
                <wp:simplePos x="0" y="0"/>
                <wp:positionH relativeFrom="column">
                  <wp:posOffset>414020</wp:posOffset>
                </wp:positionH>
                <wp:positionV relativeFrom="paragraph">
                  <wp:posOffset>89535</wp:posOffset>
                </wp:positionV>
                <wp:extent cx="2181225" cy="363220"/>
                <wp:effectExtent l="0" t="0" r="0" b="0"/>
                <wp:wrapNone/>
                <wp:docPr id="157"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363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5F6D7A" w14:textId="77777777" w:rsidR="00CA309D" w:rsidRPr="00A01209" w:rsidRDefault="00CA309D" w:rsidP="00435413">
                            <w:pPr>
                              <w:pStyle w:val="OrgChart"/>
                              <w:rPr>
                                <w:rFonts w:ascii="Arial" w:hAnsi="Arial"/>
                                <w:lang w:val="en-AU"/>
                              </w:rPr>
                            </w:pPr>
                            <w:r w:rsidRPr="00A01209">
                              <w:rPr>
                                <w:rFonts w:ascii="Arial" w:hAnsi="Arial"/>
                                <w:lang w:val="en-AU"/>
                              </w:rPr>
                              <w:t>Chief Defence Scientist</w:t>
                            </w:r>
                          </w:p>
                          <w:p w14:paraId="07F7A80E" w14:textId="6A3CD3D4" w:rsidR="00CA309D" w:rsidRPr="00A01209" w:rsidRDefault="00CA309D" w:rsidP="00435413">
                            <w:pPr>
                              <w:pStyle w:val="OrgChart"/>
                              <w:rPr>
                                <w:rFonts w:ascii="Arial" w:hAnsi="Arial"/>
                                <w:lang w:val="en-AU"/>
                              </w:rPr>
                            </w:pPr>
                            <w:r w:rsidRPr="00A01209">
                              <w:rPr>
                                <w:rFonts w:ascii="Arial" w:hAnsi="Arial"/>
                                <w:lang w:val="en-AU"/>
                              </w:rPr>
                              <w:t>Professor Tanya Monro</w:t>
                            </w:r>
                            <w:r>
                              <w:rPr>
                                <w:rFonts w:ascii="Arial" w:hAnsi="Arial"/>
                                <w:lang w:val="en-AU"/>
                              </w:rPr>
                              <w:t xml:space="preserve"> AC</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1F9F3FA6" id="_x0000_s1080" type="#_x0000_t202" style="position:absolute;margin-left:32.6pt;margin-top:7.05pt;width:171.75pt;height:28.6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Ze3igIAABs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" stroked="f">
                <v:textbox>
                  <w:txbxContent>
                    <w:p w14:paraId="205F6D7A" w14:textId="77777777" w:rsidR="00CA309D" w:rsidRPr="00A01209" w:rsidRDefault="00CA309D" w:rsidP="00435413">
                      <w:pPr>
                        <w:pStyle w:val="OrgChart"/>
                        <w:rPr>
                          <w:rFonts w:ascii="Arial" w:hAnsi="Arial"/>
                          <w:lang w:val="en-AU"/>
                        </w:rPr>
                      </w:pPr>
                      <w:r w:rsidRPr="00A01209">
                        <w:rPr>
                          <w:rFonts w:ascii="Arial" w:hAnsi="Arial"/>
                          <w:lang w:val="en-AU"/>
                        </w:rPr>
                        <w:t>Chief Defence Scientist</w:t>
                      </w:r>
                    </w:p>
                    <w:p w14:paraId="07F7A80E" w14:textId="6A3CD3D4" w:rsidR="00CA309D" w:rsidRPr="00A01209" w:rsidRDefault="00CA309D" w:rsidP="00435413">
                      <w:pPr>
                        <w:pStyle w:val="OrgChart"/>
                        <w:rPr>
                          <w:rFonts w:ascii="Arial" w:hAnsi="Arial"/>
                          <w:lang w:val="en-AU"/>
                        </w:rPr>
                      </w:pPr>
                      <w:r w:rsidRPr="00A01209">
                        <w:rPr>
                          <w:rFonts w:ascii="Arial" w:hAnsi="Arial"/>
                          <w:lang w:val="en-AU"/>
                        </w:rPr>
                        <w:t>Professor Tanya Monro</w:t>
                      </w:r>
                      <w:r>
                        <w:rPr>
                          <w:rFonts w:ascii="Arial" w:hAnsi="Arial"/>
                          <w:lang w:val="en-AU"/>
                        </w:rPr>
                        <w:t xml:space="preserve"> AC</w:t>
                      </w:r>
                    </w:p>
                  </w:txbxContent>
                </v:textbox>
              </v:shape>
            </w:pict>
          </mc:Fallback>
        </mc:AlternateContent>
      </w:r>
      <w:r w:rsidRPr="003E76E7">
        <w:rPr>
          <w:noProof/>
          <w:lang w:val="en-AU"/>
        </w:rPr>
        <mc:AlternateContent>
          <mc:Choice Requires="wps">
            <w:drawing>
              <wp:anchor distT="0" distB="0" distL="114300" distR="114300" simplePos="0" relativeHeight="251764224" behindDoc="0" locked="0" layoutInCell="1" allowOverlap="1" wp14:anchorId="74A42C01" wp14:editId="59390DF6">
                <wp:simplePos x="0" y="0"/>
                <wp:positionH relativeFrom="column">
                  <wp:posOffset>329565</wp:posOffset>
                </wp:positionH>
                <wp:positionV relativeFrom="paragraph">
                  <wp:posOffset>239395</wp:posOffset>
                </wp:positionV>
                <wp:extent cx="104775" cy="0"/>
                <wp:effectExtent l="12700" t="12065" r="6350" b="6985"/>
                <wp:wrapNone/>
                <wp:docPr id="156"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FF87FD" id="Line 44" o:spid="_x0000_s1026" style="position:absolute;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5pt,18.85pt" to="34.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zD3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"/>
            </w:pict>
          </mc:Fallback>
        </mc:AlternateContent>
      </w:r>
    </w:p>
    <w:p w14:paraId="7818A72B" w14:textId="6779DEFF" w:rsidR="00435413" w:rsidRPr="003E76E7" w:rsidRDefault="00435413" w:rsidP="00C4292D">
      <w:pPr>
        <w:spacing w:before="0" w:after="0"/>
      </w:pPr>
      <w:r w:rsidRPr="003E76E7">
        <w:rPr>
          <w:noProof/>
          <w:lang w:val="en-AU"/>
        </w:rPr>
        <mc:AlternateContent>
          <mc:Choice Requires="wps">
            <w:drawing>
              <wp:anchor distT="0" distB="0" distL="114300" distR="114300" simplePos="0" relativeHeight="251791872" behindDoc="0" locked="0" layoutInCell="1" allowOverlap="1" wp14:anchorId="7CD969E9" wp14:editId="3BC0FDCA">
                <wp:simplePos x="0" y="0"/>
                <wp:positionH relativeFrom="column">
                  <wp:posOffset>422275</wp:posOffset>
                </wp:positionH>
                <wp:positionV relativeFrom="paragraph">
                  <wp:posOffset>149860</wp:posOffset>
                </wp:positionV>
                <wp:extent cx="2072005" cy="495300"/>
                <wp:effectExtent l="635" t="635" r="3810" b="0"/>
                <wp:wrapNone/>
                <wp:docPr id="155" name="Text Box 8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005"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F6E68B" w14:textId="77777777" w:rsidR="00CA309D" w:rsidRPr="00A01209" w:rsidRDefault="00CA309D" w:rsidP="00435413">
                            <w:pPr>
                              <w:pStyle w:val="OrgChart"/>
                              <w:rPr>
                                <w:rFonts w:ascii="Arial" w:hAnsi="Arial"/>
                                <w:lang w:val="en-AU"/>
                              </w:rPr>
                            </w:pPr>
                            <w:r w:rsidRPr="00A01209">
                              <w:rPr>
                                <w:rFonts w:ascii="Arial" w:hAnsi="Arial"/>
                                <w:lang w:val="en-AU"/>
                              </w:rPr>
                              <w:t>Deputy Secretary</w:t>
                            </w:r>
                          </w:p>
                          <w:p w14:paraId="14F74AF3" w14:textId="77777777" w:rsidR="00CA309D" w:rsidRPr="00A01209" w:rsidRDefault="00CA309D" w:rsidP="00435413">
                            <w:pPr>
                              <w:pStyle w:val="OrgChart"/>
                              <w:rPr>
                                <w:rFonts w:ascii="Arial" w:hAnsi="Arial"/>
                                <w:lang w:val="en-AU"/>
                              </w:rPr>
                            </w:pPr>
                            <w:r w:rsidRPr="00A01209">
                              <w:rPr>
                                <w:rFonts w:ascii="Arial" w:hAnsi="Arial"/>
                                <w:lang w:val="en-AU"/>
                              </w:rPr>
                              <w:t>Capability Acquisition and Sustainment</w:t>
                            </w:r>
                          </w:p>
                          <w:p w14:paraId="6E0307B1" w14:textId="338718DF" w:rsidR="00CA309D" w:rsidRPr="00A01209" w:rsidRDefault="00CA309D" w:rsidP="00435413">
                            <w:pPr>
                              <w:pStyle w:val="OrgChart"/>
                              <w:rPr>
                                <w:rFonts w:ascii="Arial" w:hAnsi="Arial"/>
                                <w:lang w:val="en-AU"/>
                              </w:rPr>
                            </w:pPr>
                            <w:r w:rsidRPr="00A01209">
                              <w:rPr>
                                <w:rFonts w:ascii="Arial" w:hAnsi="Arial"/>
                                <w:lang w:val="en-AU"/>
                              </w:rPr>
                              <w:t>Mr Chris Deeble</w:t>
                            </w:r>
                            <w:r>
                              <w:rPr>
                                <w:rFonts w:ascii="Arial" w:hAnsi="Arial"/>
                                <w:lang w:val="en-AU"/>
                              </w:rPr>
                              <w:t xml:space="preserve"> AO CSC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969E9" id="Text Box 8702" o:spid="_x0000_s1081" type="#_x0000_t202" style="position:absolute;margin-left:33.25pt;margin-top:11.8pt;width:163.15pt;height:39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" stroked="f">
                <v:textbox>
                  <w:txbxContent>
                    <w:p w14:paraId="42F6E68B" w14:textId="77777777" w:rsidR="00CA309D" w:rsidRPr="00A01209" w:rsidRDefault="00CA309D" w:rsidP="00435413">
                      <w:pPr>
                        <w:pStyle w:val="OrgChart"/>
                        <w:rPr>
                          <w:rFonts w:ascii="Arial" w:hAnsi="Arial"/>
                          <w:lang w:val="en-AU"/>
                        </w:rPr>
                      </w:pPr>
                      <w:r w:rsidRPr="00A01209">
                        <w:rPr>
                          <w:rFonts w:ascii="Arial" w:hAnsi="Arial"/>
                          <w:lang w:val="en-AU"/>
                        </w:rPr>
                        <w:t>Deputy Secretary</w:t>
                      </w:r>
                    </w:p>
                    <w:p w14:paraId="14F74AF3" w14:textId="77777777" w:rsidR="00CA309D" w:rsidRPr="00A01209" w:rsidRDefault="00CA309D" w:rsidP="00435413">
                      <w:pPr>
                        <w:pStyle w:val="OrgChart"/>
                        <w:rPr>
                          <w:rFonts w:ascii="Arial" w:hAnsi="Arial"/>
                          <w:lang w:val="en-AU"/>
                        </w:rPr>
                      </w:pPr>
                      <w:r w:rsidRPr="00A01209">
                        <w:rPr>
                          <w:rFonts w:ascii="Arial" w:hAnsi="Arial"/>
                          <w:lang w:val="en-AU"/>
                        </w:rPr>
                        <w:t>Capability Acquisition and Sustainment</w:t>
                      </w:r>
                    </w:p>
                    <w:p w14:paraId="6E0307B1" w14:textId="338718DF" w:rsidR="00CA309D" w:rsidRPr="00A01209" w:rsidRDefault="00CA309D" w:rsidP="00435413">
                      <w:pPr>
                        <w:pStyle w:val="OrgChart"/>
                        <w:rPr>
                          <w:rFonts w:ascii="Arial" w:hAnsi="Arial"/>
                          <w:lang w:val="en-AU"/>
                        </w:rPr>
                      </w:pPr>
                      <w:r w:rsidRPr="00A01209">
                        <w:rPr>
                          <w:rFonts w:ascii="Arial" w:hAnsi="Arial"/>
                          <w:lang w:val="en-AU"/>
                        </w:rPr>
                        <w:t>Mr Chris Deeble</w:t>
                      </w:r>
                      <w:r>
                        <w:rPr>
                          <w:rFonts w:ascii="Arial" w:hAnsi="Arial"/>
                          <w:lang w:val="en-AU"/>
                        </w:rPr>
                        <w:t xml:space="preserve"> AO CSC</w:t>
                      </w:r>
                    </w:p>
                  </w:txbxContent>
                </v:textbox>
              </v:shape>
            </w:pict>
          </mc:Fallback>
        </mc:AlternateContent>
      </w:r>
    </w:p>
    <w:p w14:paraId="64D2104F" w14:textId="71AF3DD4" w:rsidR="00435413" w:rsidRPr="003E76E7" w:rsidRDefault="00435413" w:rsidP="00C4292D">
      <w:pPr>
        <w:tabs>
          <w:tab w:val="left" w:pos="4678"/>
        </w:tabs>
        <w:spacing w:before="0" w:after="120"/>
      </w:pPr>
      <w:r w:rsidRPr="003E76E7">
        <w:rPr>
          <w:noProof/>
          <w:lang w:val="en-AU"/>
        </w:rPr>
        <mc:AlternateContent>
          <mc:Choice Requires="wps">
            <w:drawing>
              <wp:anchor distT="0" distB="0" distL="114300" distR="114300" simplePos="0" relativeHeight="251792896" behindDoc="0" locked="0" layoutInCell="1" allowOverlap="1" wp14:anchorId="75D508D1" wp14:editId="08C04359">
                <wp:simplePos x="0" y="0"/>
                <wp:positionH relativeFrom="column">
                  <wp:posOffset>330200</wp:posOffset>
                </wp:positionH>
                <wp:positionV relativeFrom="paragraph">
                  <wp:posOffset>167005</wp:posOffset>
                </wp:positionV>
                <wp:extent cx="99695" cy="0"/>
                <wp:effectExtent l="13335" t="13970" r="10795" b="5080"/>
                <wp:wrapNone/>
                <wp:docPr id="154"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6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533F0B" id="Line 44" o:spid="_x0000_s1026" style="position:absolute;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pt,13.15pt" to="33.8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zHfEg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"/>
            </w:pict>
          </mc:Fallback>
        </mc:AlternateContent>
      </w:r>
    </w:p>
    <w:p w14:paraId="69C891EB" w14:textId="77777777" w:rsidR="00435413" w:rsidRPr="003E76E7" w:rsidRDefault="00435413" w:rsidP="00C4292D">
      <w:pPr>
        <w:tabs>
          <w:tab w:val="left" w:pos="555"/>
        </w:tabs>
        <w:spacing w:after="0"/>
      </w:pPr>
    </w:p>
    <w:p w14:paraId="4E92E1CD" w14:textId="13A9BDA6" w:rsidR="00435413" w:rsidRPr="003E76E7" w:rsidRDefault="00435413" w:rsidP="00C4292D">
      <w:pPr>
        <w:spacing w:before="120" w:after="120"/>
      </w:pPr>
      <w:r w:rsidRPr="003E76E7">
        <w:rPr>
          <w:noProof/>
          <w:lang w:val="en-AU"/>
        </w:rPr>
        <mc:AlternateContent>
          <mc:Choice Requires="wps">
            <w:drawing>
              <wp:anchor distT="0" distB="0" distL="114300" distR="114300" simplePos="0" relativeHeight="251802112" behindDoc="0" locked="0" layoutInCell="1" allowOverlap="1" wp14:anchorId="52E465E7" wp14:editId="1F262E14">
                <wp:simplePos x="0" y="0"/>
                <wp:positionH relativeFrom="column">
                  <wp:posOffset>3002915</wp:posOffset>
                </wp:positionH>
                <wp:positionV relativeFrom="paragraph">
                  <wp:posOffset>149225</wp:posOffset>
                </wp:positionV>
                <wp:extent cx="2107565" cy="556260"/>
                <wp:effectExtent l="0" t="3810" r="0" b="1905"/>
                <wp:wrapNone/>
                <wp:docPr id="153"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7565" cy="556260"/>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4B1315" w14:textId="7F0088C3" w:rsidR="00CA309D" w:rsidRPr="00B46EA3" w:rsidRDefault="00CA309D" w:rsidP="00435413">
                            <w:pPr>
                              <w:jc w:val="center"/>
                              <w:rPr>
                                <w:rFonts w:ascii="Arial" w:hAnsi="Arial"/>
                                <w:sz w:val="16"/>
                                <w:szCs w:val="16"/>
                              </w:rPr>
                            </w:pPr>
                            <w:r w:rsidRPr="00E133DC">
                              <w:rPr>
                                <w:rFonts w:ascii="Arial" w:hAnsi="Arial"/>
                                <w:sz w:val="16"/>
                                <w:szCs w:val="16"/>
                              </w:rPr>
                              <w:t xml:space="preserve">Special Envoy for </w:t>
                            </w:r>
                            <w:r>
                              <w:rPr>
                                <w:rFonts w:ascii="Arial" w:hAnsi="Arial"/>
                                <w:sz w:val="16"/>
                                <w:szCs w:val="16"/>
                              </w:rPr>
                              <w:t xml:space="preserve">Defence, </w:t>
                            </w:r>
                            <w:r w:rsidRPr="00E133DC">
                              <w:rPr>
                                <w:rFonts w:ascii="Arial" w:hAnsi="Arial"/>
                                <w:sz w:val="16"/>
                                <w:szCs w:val="16"/>
                              </w:rPr>
                              <w:t>Veterans’ Affairs and Northern Australia</w:t>
                            </w:r>
                            <w:r>
                              <w:rPr>
                                <w:rFonts w:ascii="Arial" w:hAnsi="Arial"/>
                                <w:sz w:val="16"/>
                                <w:szCs w:val="16"/>
                              </w:rPr>
                              <w:br/>
                              <w:t>Luke Gosling OAM 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465E7" id="_x0000_s1082" type="#_x0000_t202" style="position:absolute;margin-left:236.45pt;margin-top:11.75pt;width:165.95pt;height:43.8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" fillcolor="#e7e6e6" stroked="f">
                <v:textbox>
                  <w:txbxContent>
                    <w:p w14:paraId="054B1315" w14:textId="7F0088C3" w:rsidR="00CA309D" w:rsidRPr="00B46EA3" w:rsidRDefault="00CA309D" w:rsidP="00435413">
                      <w:pPr>
                        <w:jc w:val="center"/>
                        <w:rPr>
                          <w:rFonts w:ascii="Arial" w:hAnsi="Arial"/>
                          <w:sz w:val="16"/>
                          <w:szCs w:val="16"/>
                        </w:rPr>
                      </w:pPr>
                      <w:r w:rsidRPr="00E133DC">
                        <w:rPr>
                          <w:rFonts w:ascii="Arial" w:hAnsi="Arial"/>
                          <w:sz w:val="16"/>
                          <w:szCs w:val="16"/>
                        </w:rPr>
                        <w:t xml:space="preserve">Special Envoy for </w:t>
                      </w:r>
                      <w:r>
                        <w:rPr>
                          <w:rFonts w:ascii="Arial" w:hAnsi="Arial"/>
                          <w:sz w:val="16"/>
                          <w:szCs w:val="16"/>
                        </w:rPr>
                        <w:t xml:space="preserve">Defence, </w:t>
                      </w:r>
                      <w:r w:rsidRPr="00E133DC">
                        <w:rPr>
                          <w:rFonts w:ascii="Arial" w:hAnsi="Arial"/>
                          <w:sz w:val="16"/>
                          <w:szCs w:val="16"/>
                        </w:rPr>
                        <w:t>Veterans’ Affairs and Northern Australia</w:t>
                      </w:r>
                      <w:r>
                        <w:rPr>
                          <w:rFonts w:ascii="Arial" w:hAnsi="Arial"/>
                          <w:sz w:val="16"/>
                          <w:szCs w:val="16"/>
                        </w:rPr>
                        <w:br/>
                        <w:t>Luke Gosling OAM MP</w:t>
                      </w:r>
                    </w:p>
                  </w:txbxContent>
                </v:textbox>
              </v:shape>
            </w:pict>
          </mc:Fallback>
        </mc:AlternateContent>
      </w:r>
      <w:r w:rsidRPr="003E76E7">
        <w:rPr>
          <w:noProof/>
          <w:lang w:val="en-AU"/>
        </w:rPr>
        <mc:AlternateContent>
          <mc:Choice Requires="wps">
            <w:drawing>
              <wp:anchor distT="0" distB="0" distL="114300" distR="114300" simplePos="0" relativeHeight="251801088" behindDoc="0" locked="0" layoutInCell="1" allowOverlap="1" wp14:anchorId="16C282F8" wp14:editId="3F27256E">
                <wp:simplePos x="0" y="0"/>
                <wp:positionH relativeFrom="column">
                  <wp:posOffset>3057525</wp:posOffset>
                </wp:positionH>
                <wp:positionV relativeFrom="paragraph">
                  <wp:posOffset>177165</wp:posOffset>
                </wp:positionV>
                <wp:extent cx="2008505" cy="735330"/>
                <wp:effectExtent l="0" t="3175" r="3810" b="4445"/>
                <wp:wrapNone/>
                <wp:docPr id="152" name="Rectangle 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8505" cy="735330"/>
                        </a:xfrm>
                        <a:prstGeom prst="rect">
                          <a:avLst/>
                        </a:prstGeom>
                        <a:solidFill>
                          <a:srgbClr val="FFFFFF"/>
                        </a:solidFill>
                        <a:ln>
                          <a:noFill/>
                        </a:ln>
                        <a:effectLst/>
                        <a:extLst>
                          <a:ext uri="{91240B29-F687-4F45-9708-019B960494DF}">
                            <a14:hiddenLine xmlns:a14="http://schemas.microsoft.com/office/drawing/2010/main" w="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9B737DE" w14:textId="77777777" w:rsidR="00CA309D" w:rsidRPr="00E133DC" w:rsidRDefault="00CA309D" w:rsidP="00435413">
                            <w:pPr>
                              <w:rPr>
                                <w:rFonts w:ascii="Arial" w:hAnsi="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C282F8" id="Rectangle 780" o:spid="_x0000_s1083" style="position:absolute;margin-left:240.75pt;margin-top:13.95pt;width:158.15pt;height:57.9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" stroked="f" strokeweight="0">
                <v:textbox>
                  <w:txbxContent>
                    <w:p w14:paraId="09B737DE" w14:textId="77777777" w:rsidR="00CA309D" w:rsidRPr="00E133DC" w:rsidRDefault="00CA309D" w:rsidP="00435413">
                      <w:pPr>
                        <w:rPr>
                          <w:rFonts w:ascii="Arial" w:hAnsi="Arial"/>
                          <w:sz w:val="16"/>
                          <w:szCs w:val="16"/>
                        </w:rPr>
                      </w:pPr>
                    </w:p>
                  </w:txbxContent>
                </v:textbox>
              </v:rect>
            </w:pict>
          </mc:Fallback>
        </mc:AlternateContent>
      </w:r>
      <w:r w:rsidRPr="003E76E7">
        <w:rPr>
          <w:noProof/>
          <w:lang w:val="en-AU"/>
        </w:rPr>
        <mc:AlternateContent>
          <mc:Choice Requires="wps">
            <w:drawing>
              <wp:anchor distT="0" distB="0" distL="114300" distR="114300" simplePos="0" relativeHeight="251773440" behindDoc="0" locked="0" layoutInCell="1" allowOverlap="1" wp14:anchorId="5BD3D5C9" wp14:editId="68BD5E47">
                <wp:simplePos x="0" y="0"/>
                <wp:positionH relativeFrom="column">
                  <wp:posOffset>330835</wp:posOffset>
                </wp:positionH>
                <wp:positionV relativeFrom="paragraph">
                  <wp:posOffset>163195</wp:posOffset>
                </wp:positionV>
                <wp:extent cx="90805" cy="0"/>
                <wp:effectExtent l="13970" t="8255" r="9525" b="10795"/>
                <wp:wrapNone/>
                <wp:docPr id="151"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F9FD30" id="Line 44" o:spid="_x0000_s1026" style="position:absolute;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5pt,12.85pt" to="33.2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FbHEQ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"/>
            </w:pict>
          </mc:Fallback>
        </mc:AlternateContent>
      </w:r>
      <w:r w:rsidRPr="003E76E7">
        <w:rPr>
          <w:noProof/>
          <w:lang w:val="en-AU"/>
        </w:rPr>
        <mc:AlternateContent>
          <mc:Choice Requires="wps">
            <w:drawing>
              <wp:anchor distT="0" distB="0" distL="114300" distR="114300" simplePos="0" relativeHeight="251772416" behindDoc="0" locked="0" layoutInCell="1" allowOverlap="1" wp14:anchorId="43D6B6F7" wp14:editId="1F35EE29">
                <wp:simplePos x="0" y="0"/>
                <wp:positionH relativeFrom="column">
                  <wp:posOffset>412750</wp:posOffset>
                </wp:positionH>
                <wp:positionV relativeFrom="paragraph">
                  <wp:posOffset>8255</wp:posOffset>
                </wp:positionV>
                <wp:extent cx="2190115" cy="542925"/>
                <wp:effectExtent l="635" t="0" r="0" b="3810"/>
                <wp:wrapNone/>
                <wp:docPr id="150" name="Text Box 8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115"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7A2AC4" w14:textId="77777777" w:rsidR="00CA309D" w:rsidRPr="00A01209" w:rsidRDefault="00CA309D" w:rsidP="00435413">
                            <w:pPr>
                              <w:pStyle w:val="OrgChart"/>
                              <w:rPr>
                                <w:rFonts w:ascii="Arial" w:hAnsi="Arial"/>
                                <w:lang w:val="en-AU"/>
                              </w:rPr>
                            </w:pPr>
                            <w:r w:rsidRPr="00A01209">
                              <w:rPr>
                                <w:rFonts w:ascii="Arial" w:hAnsi="Arial"/>
                                <w:lang w:val="en-AU"/>
                              </w:rPr>
                              <w:t>Deputy Secretary</w:t>
                            </w:r>
                          </w:p>
                          <w:p w14:paraId="7BC76276" w14:textId="77777777" w:rsidR="00CA309D" w:rsidRPr="00A01209" w:rsidRDefault="00CA309D" w:rsidP="00435413">
                            <w:pPr>
                              <w:pStyle w:val="OrgChart"/>
                              <w:rPr>
                                <w:rFonts w:ascii="Arial" w:hAnsi="Arial"/>
                                <w:lang w:val="en-AU"/>
                              </w:rPr>
                            </w:pPr>
                            <w:r w:rsidRPr="00A01209">
                              <w:rPr>
                                <w:rFonts w:ascii="Arial" w:hAnsi="Arial"/>
                                <w:lang w:val="en-AU"/>
                              </w:rPr>
                              <w:t>Naval Shipbuilding</w:t>
                            </w:r>
                            <w:r>
                              <w:rPr>
                                <w:rFonts w:ascii="Arial" w:hAnsi="Arial"/>
                                <w:lang w:val="en-AU"/>
                              </w:rPr>
                              <w:t xml:space="preserve"> and Sustainment</w:t>
                            </w:r>
                          </w:p>
                          <w:p w14:paraId="2B195117" w14:textId="77777777" w:rsidR="00CA309D" w:rsidRPr="00BC0FA1" w:rsidRDefault="00CA309D" w:rsidP="00435413">
                            <w:pPr>
                              <w:spacing w:before="0" w:after="0"/>
                              <w:rPr>
                                <w:sz w:val="16"/>
                                <w:szCs w:val="16"/>
                              </w:rPr>
                            </w:pPr>
                            <w:r w:rsidRPr="00BC0FA1">
                              <w:rPr>
                                <w:rFonts w:ascii="Arial" w:hAnsi="Arial"/>
                                <w:sz w:val="16"/>
                                <w:szCs w:val="16"/>
                                <w:lang w:val="en-AU"/>
                              </w:rPr>
                              <w:t>Mr David Hanley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6B6F7" id="_x0000_s1084" type="#_x0000_t202" style="position:absolute;margin-left:32.5pt;margin-top:.65pt;width:172.45pt;height:42.7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" stroked="f">
                <v:textbox>
                  <w:txbxContent>
                    <w:p w14:paraId="3A7A2AC4" w14:textId="77777777" w:rsidR="00CA309D" w:rsidRPr="00A01209" w:rsidRDefault="00CA309D" w:rsidP="00435413">
                      <w:pPr>
                        <w:pStyle w:val="OrgChart"/>
                        <w:rPr>
                          <w:rFonts w:ascii="Arial" w:hAnsi="Arial"/>
                          <w:lang w:val="en-AU"/>
                        </w:rPr>
                      </w:pPr>
                      <w:r w:rsidRPr="00A01209">
                        <w:rPr>
                          <w:rFonts w:ascii="Arial" w:hAnsi="Arial"/>
                          <w:lang w:val="en-AU"/>
                        </w:rPr>
                        <w:t>Deputy Secretary</w:t>
                      </w:r>
                    </w:p>
                    <w:p w14:paraId="7BC76276" w14:textId="77777777" w:rsidR="00CA309D" w:rsidRPr="00A01209" w:rsidRDefault="00CA309D" w:rsidP="00435413">
                      <w:pPr>
                        <w:pStyle w:val="OrgChart"/>
                        <w:rPr>
                          <w:rFonts w:ascii="Arial" w:hAnsi="Arial"/>
                          <w:lang w:val="en-AU"/>
                        </w:rPr>
                      </w:pPr>
                      <w:r w:rsidRPr="00A01209">
                        <w:rPr>
                          <w:rFonts w:ascii="Arial" w:hAnsi="Arial"/>
                          <w:lang w:val="en-AU"/>
                        </w:rPr>
                        <w:t>Naval Shipbuilding</w:t>
                      </w:r>
                      <w:r>
                        <w:rPr>
                          <w:rFonts w:ascii="Arial" w:hAnsi="Arial"/>
                          <w:lang w:val="en-AU"/>
                        </w:rPr>
                        <w:t xml:space="preserve"> and Sustainment</w:t>
                      </w:r>
                    </w:p>
                    <w:p w14:paraId="2B195117" w14:textId="77777777" w:rsidR="00CA309D" w:rsidRPr="00BC0FA1" w:rsidRDefault="00CA309D" w:rsidP="00435413">
                      <w:pPr>
                        <w:spacing w:before="0" w:after="0"/>
                        <w:rPr>
                          <w:sz w:val="16"/>
                          <w:szCs w:val="16"/>
                        </w:rPr>
                      </w:pPr>
                      <w:r w:rsidRPr="00BC0FA1">
                        <w:rPr>
                          <w:rFonts w:ascii="Arial" w:hAnsi="Arial"/>
                          <w:sz w:val="16"/>
                          <w:szCs w:val="16"/>
                          <w:lang w:val="en-AU"/>
                        </w:rPr>
                        <w:t>Mr David Hanley</w:t>
                      </w:r>
                    </w:p>
                  </w:txbxContent>
                </v:textbox>
              </v:shape>
            </w:pict>
          </mc:Fallback>
        </mc:AlternateContent>
      </w:r>
    </w:p>
    <w:p w14:paraId="73ED51DB" w14:textId="77777777" w:rsidR="00435413" w:rsidRPr="003E76E7" w:rsidRDefault="00435413" w:rsidP="00C4292D"/>
    <w:p w14:paraId="726A3D56" w14:textId="77777777" w:rsidR="00435413" w:rsidRPr="003E76E7" w:rsidRDefault="00435413" w:rsidP="00C4292D">
      <w:pPr>
        <w:spacing w:before="0"/>
      </w:pPr>
    </w:p>
    <w:p w14:paraId="70BFF2F7" w14:textId="77777777" w:rsidR="00435413" w:rsidRPr="003E76E7" w:rsidRDefault="00435413" w:rsidP="00C4292D">
      <w:pPr>
        <w:spacing w:before="0" w:after="0"/>
      </w:pPr>
    </w:p>
    <w:p w14:paraId="0ED8EF23" w14:textId="43C91425" w:rsidR="00435413" w:rsidRPr="003E76E7" w:rsidRDefault="00435413" w:rsidP="00C4292D">
      <w:pPr>
        <w:spacing w:before="0" w:after="0"/>
        <w:rPr>
          <w:szCs w:val="20"/>
          <w:lang w:val="en-AU"/>
        </w:rPr>
      </w:pPr>
      <w:r w:rsidRPr="003E76E7">
        <w:rPr>
          <w:szCs w:val="20"/>
          <w:lang w:val="en-AU"/>
        </w:rPr>
        <w:t>This Defence Organisational Chart is effective at the time of this publication’s release.</w:t>
      </w:r>
    </w:p>
    <w:p w14:paraId="68B2718E" w14:textId="77777777" w:rsidR="00A60329" w:rsidRPr="003E76E7" w:rsidRDefault="00A60329" w:rsidP="00C4292D">
      <w:pPr>
        <w:pStyle w:val="FigureHeading"/>
        <w:numPr>
          <w:ilvl w:val="0"/>
          <w:numId w:val="0"/>
        </w:numPr>
        <w:ind w:left="284"/>
      </w:pPr>
    </w:p>
    <w:p w14:paraId="7994D0C5" w14:textId="77777777" w:rsidR="002B549E" w:rsidRPr="003E76E7" w:rsidRDefault="0085144D" w:rsidP="00C4292D">
      <w:pPr>
        <w:pStyle w:val="Heading4level5"/>
        <w:spacing w:before="0" w:after="0"/>
      </w:pPr>
      <w:r w:rsidRPr="003E76E7">
        <w:rPr>
          <w:noProof/>
          <w:lang w:val="en-AU"/>
        </w:rPr>
        <w:lastRenderedPageBreak/>
        <mc:AlternateContent>
          <mc:Choice Requires="wps">
            <w:drawing>
              <wp:anchor distT="0" distB="0" distL="114300" distR="114300" simplePos="0" relativeHeight="251611648" behindDoc="0" locked="0" layoutInCell="1" allowOverlap="1" wp14:anchorId="13B8F8E6" wp14:editId="3A315829">
                <wp:simplePos x="0" y="0"/>
                <wp:positionH relativeFrom="column">
                  <wp:posOffset>102235</wp:posOffset>
                </wp:positionH>
                <wp:positionV relativeFrom="paragraph">
                  <wp:posOffset>10097770</wp:posOffset>
                </wp:positionV>
                <wp:extent cx="1943100" cy="457200"/>
                <wp:effectExtent l="0" t="0" r="0" b="0"/>
                <wp:wrapNone/>
                <wp:docPr id="24575509"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868BA8" w14:textId="77777777" w:rsidR="00CA309D" w:rsidRDefault="00CA309D" w:rsidP="00BD4B18">
                            <w:pPr>
                              <w:pStyle w:val="OrgChart"/>
                              <w:rPr>
                                <w:lang w:val="en-AU"/>
                              </w:rPr>
                            </w:pPr>
                          </w:p>
                          <w:p w14:paraId="43A85385" w14:textId="77777777" w:rsidR="00CA309D" w:rsidRDefault="00CA309D" w:rsidP="00BD4B18">
                            <w:pPr>
                              <w:pStyle w:val="OrgChart"/>
                              <w:rPr>
                                <w:lang w:val="en-AU"/>
                              </w:rPr>
                            </w:pPr>
                            <w:r>
                              <w:rPr>
                                <w:lang w:val="en-AU"/>
                              </w:rPr>
                              <w:t>Stars (</w:t>
                            </w:r>
                            <w:r>
                              <w:rPr>
                                <w:vertAlign w:val="subscript"/>
                                <w:lang w:val="en-AU"/>
                              </w:rPr>
                              <w:t>*</w:t>
                            </w:r>
                            <w:r>
                              <w:rPr>
                                <w:lang w:val="en-AU"/>
                              </w:rPr>
                              <w:t>) refer to ADF Star Rank</w:t>
                            </w:r>
                            <w:r>
                              <w:rPr>
                                <w:lang w:val="en-AU"/>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8F8E6" id="_x0000_s1085" type="#_x0000_t202" style="position:absolute;margin-left:8.05pt;margin-top:795.1pt;width:153pt;height:36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" stroked="f">
                <v:textbox>
                  <w:txbxContent>
                    <w:p w14:paraId="0B868BA8" w14:textId="77777777" w:rsidR="00CA309D" w:rsidRDefault="00CA309D" w:rsidP="00BD4B18">
                      <w:pPr>
                        <w:pStyle w:val="OrgChart"/>
                        <w:rPr>
                          <w:lang w:val="en-AU"/>
                        </w:rPr>
                      </w:pPr>
                    </w:p>
                    <w:p w14:paraId="43A85385" w14:textId="77777777" w:rsidR="00CA309D" w:rsidRDefault="00CA309D" w:rsidP="00BD4B18">
                      <w:pPr>
                        <w:pStyle w:val="OrgChart"/>
                        <w:rPr>
                          <w:lang w:val="en-AU"/>
                        </w:rPr>
                      </w:pPr>
                      <w:r>
                        <w:rPr>
                          <w:lang w:val="en-AU"/>
                        </w:rPr>
                        <w:t>Stars (</w:t>
                      </w:r>
                      <w:r>
                        <w:rPr>
                          <w:vertAlign w:val="subscript"/>
                          <w:lang w:val="en-AU"/>
                        </w:rPr>
                        <w:t>*</w:t>
                      </w:r>
                      <w:r>
                        <w:rPr>
                          <w:lang w:val="en-AU"/>
                        </w:rPr>
                        <w:t>) refer to ADF Star Rank</w:t>
                      </w:r>
                      <w:r>
                        <w:rPr>
                          <w:lang w:val="en-AU"/>
                        </w:rPr>
                        <w:br/>
                      </w:r>
                    </w:p>
                  </w:txbxContent>
                </v:textbox>
              </v:shape>
            </w:pict>
          </mc:Fallback>
        </mc:AlternateContent>
      </w:r>
      <w:r w:rsidRPr="003E76E7">
        <w:rPr>
          <w:noProof/>
          <w:lang w:val="en-AU"/>
        </w:rPr>
        <mc:AlternateContent>
          <mc:Choice Requires="wps">
            <w:drawing>
              <wp:anchor distT="0" distB="0" distL="114300" distR="114300" simplePos="0" relativeHeight="251609600" behindDoc="0" locked="0" layoutInCell="1" allowOverlap="1" wp14:anchorId="120FF71C" wp14:editId="0987BB53">
                <wp:simplePos x="0" y="0"/>
                <wp:positionH relativeFrom="column">
                  <wp:posOffset>102235</wp:posOffset>
                </wp:positionH>
                <wp:positionV relativeFrom="paragraph">
                  <wp:posOffset>10097770</wp:posOffset>
                </wp:positionV>
                <wp:extent cx="1943100" cy="457200"/>
                <wp:effectExtent l="0" t="0" r="0" b="0"/>
                <wp:wrapNone/>
                <wp:docPr id="24575508"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865571" w14:textId="77777777" w:rsidR="00CA309D" w:rsidRDefault="00CA309D" w:rsidP="007416EC">
                            <w:pPr>
                              <w:pStyle w:val="OrgChart"/>
                              <w:rPr>
                                <w:lang w:val="en-AU"/>
                              </w:rPr>
                            </w:pPr>
                          </w:p>
                          <w:p w14:paraId="738888B2" w14:textId="77777777" w:rsidR="00CA309D" w:rsidRDefault="00CA309D" w:rsidP="007416EC">
                            <w:pPr>
                              <w:pStyle w:val="OrgChart"/>
                              <w:rPr>
                                <w:lang w:val="en-AU"/>
                              </w:rPr>
                            </w:pPr>
                            <w:r>
                              <w:rPr>
                                <w:lang w:val="en-AU"/>
                              </w:rPr>
                              <w:t>Stars (</w:t>
                            </w:r>
                            <w:r>
                              <w:rPr>
                                <w:vertAlign w:val="subscript"/>
                                <w:lang w:val="en-AU"/>
                              </w:rPr>
                              <w:t>*</w:t>
                            </w:r>
                            <w:r>
                              <w:rPr>
                                <w:lang w:val="en-AU"/>
                              </w:rPr>
                              <w:t>) refer to ADF Star Rank</w:t>
                            </w:r>
                            <w:r>
                              <w:rPr>
                                <w:lang w:val="en-AU"/>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FF71C" id="Text Box 123" o:spid="_x0000_s1086" type="#_x0000_t202" style="position:absolute;margin-left:8.05pt;margin-top:795.1pt;width:153pt;height:36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" stroked="f">
                <v:textbox>
                  <w:txbxContent>
                    <w:p w14:paraId="23865571" w14:textId="77777777" w:rsidR="00CA309D" w:rsidRDefault="00CA309D" w:rsidP="007416EC">
                      <w:pPr>
                        <w:pStyle w:val="OrgChart"/>
                        <w:rPr>
                          <w:lang w:val="en-AU"/>
                        </w:rPr>
                      </w:pPr>
                    </w:p>
                    <w:p w14:paraId="738888B2" w14:textId="77777777" w:rsidR="00CA309D" w:rsidRDefault="00CA309D" w:rsidP="007416EC">
                      <w:pPr>
                        <w:pStyle w:val="OrgChart"/>
                        <w:rPr>
                          <w:lang w:val="en-AU"/>
                        </w:rPr>
                      </w:pPr>
                      <w:r>
                        <w:rPr>
                          <w:lang w:val="en-AU"/>
                        </w:rPr>
                        <w:t>Stars (</w:t>
                      </w:r>
                      <w:r>
                        <w:rPr>
                          <w:vertAlign w:val="subscript"/>
                          <w:lang w:val="en-AU"/>
                        </w:rPr>
                        <w:t>*</w:t>
                      </w:r>
                      <w:r>
                        <w:rPr>
                          <w:lang w:val="en-AU"/>
                        </w:rPr>
                        <w:t>) refer to ADF Star Rank</w:t>
                      </w:r>
                      <w:r>
                        <w:rPr>
                          <w:lang w:val="en-AU"/>
                        </w:rPr>
                        <w:br/>
                      </w:r>
                    </w:p>
                  </w:txbxContent>
                </v:textbox>
              </v:shape>
            </w:pict>
          </mc:Fallback>
        </mc:AlternateContent>
      </w:r>
      <w:r w:rsidR="006D75BE" w:rsidRPr="003E76E7">
        <w:t>S</w:t>
      </w:r>
      <w:r w:rsidR="0081059C" w:rsidRPr="003E76E7">
        <w:t xml:space="preserve">enior Executive </w:t>
      </w:r>
      <w:r w:rsidR="00D51782" w:rsidRPr="003E76E7">
        <w:t>C</w:t>
      </w:r>
      <w:r w:rsidR="002B549E" w:rsidRPr="003E76E7">
        <w:t>hanges</w:t>
      </w:r>
    </w:p>
    <w:p w14:paraId="2D69DC05" w14:textId="5F1BDB86" w:rsidR="00870BAE" w:rsidRPr="003E76E7" w:rsidRDefault="00F50089" w:rsidP="00C4292D">
      <w:pPr>
        <w:spacing w:before="120" w:after="0"/>
      </w:pPr>
      <w:r w:rsidRPr="003E76E7">
        <w:t>The following changes have been announced at the time of this publication’s release:</w:t>
      </w:r>
    </w:p>
    <w:p w14:paraId="780DFC0B" w14:textId="41854A0E" w:rsidR="00DC6420" w:rsidRPr="003E76E7" w:rsidRDefault="00DC6420" w:rsidP="00C4292D">
      <w:pPr>
        <w:spacing w:before="120" w:after="0"/>
      </w:pPr>
      <w:r w:rsidRPr="003E76E7">
        <w:t>On 3 April 2026, Ms Catherine Patterson was appointed as Acting Secretary</w:t>
      </w:r>
      <w:r w:rsidR="00A37A36" w:rsidRPr="003E76E7">
        <w:t>;</w:t>
      </w:r>
    </w:p>
    <w:p w14:paraId="3206CED5" w14:textId="0551D086" w:rsidR="00DC6420" w:rsidRPr="003E76E7" w:rsidRDefault="00DC6420" w:rsidP="00C4292D">
      <w:pPr>
        <w:spacing w:before="120" w:after="0"/>
      </w:pPr>
      <w:r w:rsidRPr="003E76E7">
        <w:t>On 3 April 2026, Ms Celia Perkins was appointed as Acting Associate Secretary</w:t>
      </w:r>
      <w:r w:rsidR="00A37A36" w:rsidRPr="003E76E7">
        <w:t>;</w:t>
      </w:r>
    </w:p>
    <w:p w14:paraId="0AFF0482" w14:textId="4922C83F" w:rsidR="00DC6420" w:rsidRPr="003E76E7" w:rsidRDefault="00DC6420" w:rsidP="00C4292D">
      <w:pPr>
        <w:spacing w:before="120" w:after="0"/>
      </w:pPr>
      <w:r w:rsidRPr="003E76E7">
        <w:t>On 3 April 2026, Mr Pat Sowry was appointed as Acting Deputy Secretary Security and Estate</w:t>
      </w:r>
      <w:r w:rsidR="00A37A36" w:rsidRPr="003E76E7">
        <w:t>;</w:t>
      </w:r>
    </w:p>
    <w:p w14:paraId="272842B3" w14:textId="36DD6214" w:rsidR="00DC6420" w:rsidRPr="003E76E7" w:rsidRDefault="00DC6420" w:rsidP="00C4292D">
      <w:pPr>
        <w:spacing w:before="120"/>
      </w:pPr>
      <w:r w:rsidRPr="003E76E7">
        <w:t>On 19 April 2026, Mr Greg Moriarty AO completed his appointment as the Secretary of Defence, following a short period of leave</w:t>
      </w:r>
      <w:r w:rsidR="00A37A36" w:rsidRPr="003E76E7">
        <w:t>; and</w:t>
      </w:r>
    </w:p>
    <w:p w14:paraId="6879A58A" w14:textId="51DB1C1D" w:rsidR="00F208E2" w:rsidRPr="003E76E7" w:rsidRDefault="00F208E2" w:rsidP="00C4292D">
      <w:pPr>
        <w:spacing w:before="0"/>
      </w:pPr>
      <w:r w:rsidRPr="003E76E7">
        <w:t xml:space="preserve">On </w:t>
      </w:r>
      <w:r w:rsidR="00A11D2E" w:rsidRPr="003E76E7">
        <w:t>28 April</w:t>
      </w:r>
      <w:r w:rsidRPr="003E76E7">
        <w:t xml:space="preserve"> 2026, </w:t>
      </w:r>
      <w:r w:rsidR="00A11D2E" w:rsidRPr="003E76E7">
        <w:t xml:space="preserve">Ms Meghan </w:t>
      </w:r>
      <w:r w:rsidR="001B161B" w:rsidRPr="003E76E7">
        <w:t xml:space="preserve">Quinn </w:t>
      </w:r>
      <w:r w:rsidR="008F3277" w:rsidRPr="003E76E7">
        <w:t xml:space="preserve">PSM </w:t>
      </w:r>
      <w:r w:rsidR="001B161B" w:rsidRPr="003E76E7">
        <w:t>was</w:t>
      </w:r>
      <w:r w:rsidRPr="003E76E7">
        <w:t xml:space="preserve"> announced as the Secretary of Defence, </w:t>
      </w:r>
      <w:r w:rsidR="008F3277" w:rsidRPr="003E76E7">
        <w:t>and will commence</w:t>
      </w:r>
      <w:r w:rsidRPr="003E76E7">
        <w:t xml:space="preserve"> </w:t>
      </w:r>
      <w:r w:rsidR="00795B91" w:rsidRPr="003E76E7">
        <w:t>18 May</w:t>
      </w:r>
      <w:r w:rsidRPr="003E76E7">
        <w:t xml:space="preserve"> 2026.</w:t>
      </w:r>
    </w:p>
    <w:p w14:paraId="4EB31304" w14:textId="77777777" w:rsidR="002B549E" w:rsidRPr="003E76E7" w:rsidRDefault="00D51782" w:rsidP="00C4292D">
      <w:pPr>
        <w:pStyle w:val="Heading4level5"/>
        <w:spacing w:before="120" w:after="0"/>
      </w:pPr>
      <w:r w:rsidRPr="003E76E7">
        <w:t>Organisational S</w:t>
      </w:r>
      <w:r w:rsidR="002B549E" w:rsidRPr="003E76E7">
        <w:t>tructure</w:t>
      </w:r>
    </w:p>
    <w:p w14:paraId="500FEFA1" w14:textId="0989D774" w:rsidR="00870BAE" w:rsidRPr="003E76E7" w:rsidRDefault="00DE352C" w:rsidP="00C4292D">
      <w:pPr>
        <w:spacing w:before="120" w:after="120"/>
      </w:pPr>
      <w:r w:rsidRPr="003E76E7">
        <w:t>As part of the first phase of establishing the Defence Delivery Agency, the capability function will be consolidated from 1 July 2026. This includes the consolidation of the three delivery groups (Capability Acquisition and Sustainment Group, Guided Weapons and Explosive Ordnance Group and Naval Shipbuilding and Sustainment Group) into a Defence Delivery Group Organisation by 1 July 2026.</w:t>
      </w:r>
    </w:p>
    <w:p w14:paraId="521E8CF9" w14:textId="77777777" w:rsidR="00357ADC" w:rsidRPr="003E76E7" w:rsidRDefault="00312F38" w:rsidP="00357ADC">
      <w:pPr>
        <w:ind w:left="2" w:firstLine="1"/>
        <w:jc w:val="center"/>
        <w:rPr>
          <w:lang w:val="en-AU"/>
        </w:rPr>
      </w:pPr>
      <w:r w:rsidRPr="003E76E7">
        <w:rPr>
          <w:lang w:val="en-AU"/>
        </w:rPr>
        <w:br w:type="page"/>
      </w:r>
      <w:bookmarkStart w:id="881" w:name="_Toc23502284"/>
      <w:bookmarkStart w:id="882" w:name="_Toc29898864"/>
      <w:bookmarkStart w:id="883" w:name="_Toc69729041"/>
      <w:bookmarkStart w:id="884" w:name="_Toc97747824"/>
      <w:bookmarkStart w:id="885" w:name="_Toc108088935"/>
      <w:bookmarkStart w:id="886" w:name="_Toc108089014"/>
      <w:bookmarkStart w:id="887" w:name="_Toc108089409"/>
      <w:bookmarkStart w:id="888" w:name="_Toc159499678"/>
      <w:bookmarkStart w:id="889" w:name="_Toc222129919"/>
      <w:bookmarkStart w:id="890" w:name="_Toc222148349"/>
      <w:bookmarkStart w:id="891" w:name="_Toc225847977"/>
      <w:bookmarkStart w:id="892" w:name="_Toc225848060"/>
      <w:bookmarkStart w:id="893" w:name="_Toc225848143"/>
      <w:bookmarkStart w:id="894" w:name="_Toc225848482"/>
      <w:bookmarkStart w:id="895" w:name="_Toc225941549"/>
      <w:bookmarkStart w:id="896" w:name="_Toc225942556"/>
      <w:bookmarkStart w:id="897" w:name="_Toc227334366"/>
      <w:bookmarkStart w:id="898" w:name="_Ref349209731"/>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75"/>
      <w:bookmarkEnd w:id="876"/>
      <w:bookmarkEnd w:id="877"/>
      <w:bookmarkEnd w:id="878"/>
      <w:bookmarkEnd w:id="879"/>
      <w:bookmarkEnd w:id="880"/>
    </w:p>
    <w:p w14:paraId="7912FC07" w14:textId="77777777" w:rsidR="00357ADC" w:rsidRPr="003E76E7" w:rsidRDefault="00357ADC" w:rsidP="00357ADC">
      <w:pPr>
        <w:ind w:left="2" w:firstLine="1"/>
        <w:jc w:val="center"/>
        <w:rPr>
          <w:lang w:val="en-AU"/>
        </w:rPr>
      </w:pPr>
    </w:p>
    <w:p w14:paraId="685B94FF" w14:textId="77777777" w:rsidR="00357ADC" w:rsidRPr="003E76E7" w:rsidRDefault="00357ADC" w:rsidP="00357ADC">
      <w:pPr>
        <w:ind w:left="2" w:firstLine="1"/>
        <w:jc w:val="center"/>
        <w:rPr>
          <w:lang w:val="en-AU"/>
        </w:rPr>
      </w:pPr>
    </w:p>
    <w:p w14:paraId="1C6FEF9A" w14:textId="77777777" w:rsidR="00357ADC" w:rsidRPr="003E76E7" w:rsidRDefault="00357ADC" w:rsidP="00357ADC">
      <w:pPr>
        <w:ind w:left="2" w:firstLine="1"/>
        <w:jc w:val="center"/>
        <w:rPr>
          <w:lang w:val="en-AU"/>
        </w:rPr>
      </w:pPr>
    </w:p>
    <w:p w14:paraId="0D47AF2E" w14:textId="77777777" w:rsidR="00357ADC" w:rsidRPr="003E76E7" w:rsidRDefault="00357ADC" w:rsidP="00357ADC">
      <w:pPr>
        <w:ind w:left="2" w:firstLine="1"/>
        <w:jc w:val="center"/>
        <w:rPr>
          <w:lang w:val="en-AU"/>
        </w:rPr>
      </w:pPr>
    </w:p>
    <w:p w14:paraId="12182F16" w14:textId="77777777" w:rsidR="00357ADC" w:rsidRPr="003E76E7" w:rsidRDefault="00357ADC" w:rsidP="00357ADC">
      <w:pPr>
        <w:ind w:left="2" w:firstLine="1"/>
        <w:jc w:val="center"/>
        <w:rPr>
          <w:lang w:val="en-AU"/>
        </w:rPr>
      </w:pPr>
    </w:p>
    <w:p w14:paraId="44D31B62" w14:textId="77777777" w:rsidR="00357ADC" w:rsidRPr="003E76E7" w:rsidRDefault="00357ADC" w:rsidP="00357ADC">
      <w:pPr>
        <w:ind w:left="2" w:firstLine="1"/>
        <w:jc w:val="center"/>
        <w:rPr>
          <w:lang w:val="en-AU"/>
        </w:rPr>
      </w:pPr>
    </w:p>
    <w:p w14:paraId="71CE67E0" w14:textId="77777777" w:rsidR="00357ADC" w:rsidRPr="003E76E7" w:rsidRDefault="00357ADC" w:rsidP="00357ADC">
      <w:pPr>
        <w:ind w:left="2" w:firstLine="1"/>
        <w:jc w:val="center"/>
        <w:rPr>
          <w:lang w:val="en-AU"/>
        </w:rPr>
      </w:pPr>
    </w:p>
    <w:p w14:paraId="1673DE16" w14:textId="77777777" w:rsidR="00357ADC" w:rsidRPr="003E76E7" w:rsidRDefault="00357ADC" w:rsidP="00357ADC">
      <w:pPr>
        <w:ind w:left="2" w:firstLine="1"/>
        <w:jc w:val="center"/>
        <w:rPr>
          <w:lang w:val="en-AU"/>
        </w:rPr>
      </w:pPr>
    </w:p>
    <w:p w14:paraId="761BA012" w14:textId="77777777" w:rsidR="00357ADC" w:rsidRPr="003E76E7" w:rsidRDefault="00357ADC" w:rsidP="00357ADC">
      <w:pPr>
        <w:ind w:left="2" w:firstLine="1"/>
        <w:jc w:val="center"/>
        <w:rPr>
          <w:lang w:val="en-AU"/>
        </w:rPr>
      </w:pPr>
    </w:p>
    <w:p w14:paraId="1CD8C794" w14:textId="77777777" w:rsidR="00357ADC" w:rsidRPr="003E76E7" w:rsidRDefault="00357ADC" w:rsidP="00357ADC">
      <w:pPr>
        <w:ind w:left="2" w:firstLine="1"/>
        <w:jc w:val="center"/>
        <w:rPr>
          <w:lang w:val="en-AU"/>
        </w:rPr>
      </w:pPr>
    </w:p>
    <w:p w14:paraId="436D481D" w14:textId="77777777" w:rsidR="00357ADC" w:rsidRPr="003E76E7" w:rsidRDefault="00357ADC" w:rsidP="00357ADC">
      <w:pPr>
        <w:ind w:left="2" w:firstLine="1"/>
        <w:jc w:val="center"/>
        <w:rPr>
          <w:lang w:val="en-AU"/>
        </w:rPr>
      </w:pPr>
    </w:p>
    <w:p w14:paraId="52746816" w14:textId="77777777" w:rsidR="00357ADC" w:rsidRPr="003E76E7" w:rsidRDefault="00357ADC" w:rsidP="00357ADC">
      <w:pPr>
        <w:ind w:left="2" w:firstLine="1"/>
        <w:jc w:val="center"/>
        <w:rPr>
          <w:lang w:val="en-AU"/>
        </w:rPr>
      </w:pPr>
    </w:p>
    <w:p w14:paraId="56C9EEE1" w14:textId="77777777" w:rsidR="00357ADC" w:rsidRPr="003E76E7" w:rsidRDefault="00357ADC" w:rsidP="00357ADC">
      <w:pPr>
        <w:ind w:left="2" w:firstLine="1"/>
        <w:jc w:val="center"/>
        <w:rPr>
          <w:lang w:val="en-AU"/>
        </w:rPr>
      </w:pPr>
    </w:p>
    <w:p w14:paraId="1BDE143E" w14:textId="77777777" w:rsidR="00357ADC" w:rsidRPr="003E76E7" w:rsidRDefault="00357ADC" w:rsidP="00357ADC">
      <w:pPr>
        <w:ind w:left="2" w:firstLine="1"/>
        <w:jc w:val="center"/>
        <w:rPr>
          <w:lang w:val="en-AU"/>
        </w:rPr>
      </w:pPr>
      <w:r w:rsidRPr="003E76E7">
        <w:rPr>
          <w:lang w:val="en-AU"/>
        </w:rPr>
        <w:t>This page intentionally left blank.</w:t>
      </w:r>
    </w:p>
    <w:p w14:paraId="4E85100D" w14:textId="77777777" w:rsidR="00357ADC" w:rsidRDefault="00357ADC" w:rsidP="00B96C93">
      <w:pPr>
        <w:pStyle w:val="BodyText"/>
        <w:rPr>
          <w:rFonts w:ascii="Arial" w:hAnsi="Arial" w:cs="Times New Roman"/>
          <w:lang w:val="en-AU"/>
        </w:rPr>
      </w:pPr>
      <w:r>
        <w:rPr>
          <w:lang w:val="en-AU"/>
        </w:rPr>
        <w:br w:type="page"/>
      </w:r>
    </w:p>
    <w:p w14:paraId="35F7C06D" w14:textId="73D50746" w:rsidR="00EA1050" w:rsidRPr="003E76E7" w:rsidRDefault="00F11584" w:rsidP="00B96C93">
      <w:pPr>
        <w:pStyle w:val="Heading4"/>
        <w:rPr>
          <w:sz w:val="26"/>
          <w:szCs w:val="26"/>
        </w:rPr>
      </w:pPr>
      <w:bookmarkStart w:id="899" w:name="_Toc229072441"/>
      <w:bookmarkStart w:id="900" w:name="_Toc229072613"/>
      <w:r w:rsidRPr="00B96C93">
        <w:rPr>
          <w:sz w:val="26"/>
          <w:szCs w:val="26"/>
        </w:rPr>
        <w:lastRenderedPageBreak/>
        <w:t xml:space="preserve">1.2 </w:t>
      </w:r>
      <w:r w:rsidR="0081059C" w:rsidRPr="003E76E7">
        <w:rPr>
          <w:sz w:val="26"/>
          <w:szCs w:val="26"/>
        </w:rPr>
        <w:t xml:space="preserve">Defence </w:t>
      </w:r>
      <w:r w:rsidR="00D51782" w:rsidRPr="003E76E7">
        <w:rPr>
          <w:sz w:val="26"/>
          <w:szCs w:val="26"/>
        </w:rPr>
        <w:t>R</w:t>
      </w:r>
      <w:r w:rsidR="0081059C" w:rsidRPr="003E76E7">
        <w:rPr>
          <w:sz w:val="26"/>
          <w:szCs w:val="26"/>
        </w:rPr>
        <w:t xml:space="preserve">esource </w:t>
      </w:r>
      <w:r w:rsidR="00D51782" w:rsidRPr="003E76E7">
        <w:rPr>
          <w:sz w:val="26"/>
          <w:szCs w:val="26"/>
        </w:rPr>
        <w:t>S</w:t>
      </w:r>
      <w:r w:rsidR="00EA1050" w:rsidRPr="003E76E7">
        <w:rPr>
          <w:sz w:val="26"/>
          <w:szCs w:val="26"/>
        </w:rPr>
        <w:t>tatement</w:t>
      </w:r>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9"/>
      <w:bookmarkEnd w:id="900"/>
    </w:p>
    <w:p w14:paraId="40BD1402" w14:textId="15B32170" w:rsidR="00567312" w:rsidRPr="003E76E7" w:rsidRDefault="00922B6A" w:rsidP="00C4292D">
      <w:pPr>
        <w:spacing w:before="60" w:after="60" w:line="256" w:lineRule="auto"/>
        <w:rPr>
          <w:color w:val="000000"/>
        </w:rPr>
      </w:pPr>
      <w:bookmarkStart w:id="901" w:name="OLE_LINK11"/>
      <w:bookmarkStart w:id="902" w:name="OLE_LINK12"/>
      <w:bookmarkStart w:id="903" w:name="tbl_DOD_TDR"/>
      <w:bookmarkEnd w:id="898"/>
      <w:r w:rsidRPr="003E76E7">
        <w:rPr>
          <w:color w:val="000000"/>
        </w:rPr>
        <w:t>The Defence Resource Statement details the resourcing for Defence at Budget Estimates. Table 1 outlines the total resourcing available from all sources for the 202</w:t>
      </w:r>
      <w:r w:rsidR="00BF60DE" w:rsidRPr="003E76E7">
        <w:rPr>
          <w:color w:val="000000"/>
        </w:rPr>
        <w:t>6</w:t>
      </w:r>
      <w:r w:rsidRPr="003E76E7">
        <w:rPr>
          <w:color w:val="000000"/>
        </w:rPr>
        <w:t>-2</w:t>
      </w:r>
      <w:r w:rsidR="00BF60DE" w:rsidRPr="003E76E7">
        <w:rPr>
          <w:color w:val="000000"/>
        </w:rPr>
        <w:t>7</w:t>
      </w:r>
      <w:r w:rsidRPr="003E76E7">
        <w:rPr>
          <w:color w:val="000000"/>
        </w:rPr>
        <w:t xml:space="preserve"> Budget year, including variations through Special </w:t>
      </w:r>
      <w:r w:rsidRPr="003E76E7">
        <w:t>Appropriations</w:t>
      </w:r>
      <w:r w:rsidRPr="003E76E7">
        <w:rPr>
          <w:color w:val="000000"/>
        </w:rPr>
        <w:t xml:space="preserve"> and Special Accounts. </w:t>
      </w:r>
      <w:r w:rsidR="006B20D8" w:rsidRPr="003E76E7">
        <w:rPr>
          <w:color w:val="000000"/>
        </w:rPr>
        <w:t xml:space="preserve">For more detailed information, please refer to Budget Paper No. 4 </w:t>
      </w:r>
      <w:r w:rsidR="00722810" w:rsidRPr="003E76E7">
        <w:rPr>
          <w:color w:val="000000"/>
        </w:rPr>
        <w:t>-</w:t>
      </w:r>
      <w:r w:rsidR="00CA26E7" w:rsidRPr="003E76E7">
        <w:rPr>
          <w:color w:val="000000"/>
        </w:rPr>
        <w:t xml:space="preserve"> Agency Resourcing.</w:t>
      </w:r>
    </w:p>
    <w:bookmarkEnd w:id="901"/>
    <w:bookmarkEnd w:id="902"/>
    <w:p w14:paraId="3B63C552" w14:textId="77777777" w:rsidR="00A64CE0" w:rsidRPr="003E76E7" w:rsidRDefault="00A64CE0" w:rsidP="00C4292D">
      <w:pPr>
        <w:pStyle w:val="TableHeading"/>
        <w:numPr>
          <w:ilvl w:val="0"/>
          <w:numId w:val="60"/>
        </w:numPr>
        <w:tabs>
          <w:tab w:val="num" w:pos="284"/>
          <w:tab w:val="num" w:pos="567"/>
        </w:tabs>
        <w:spacing w:before="100"/>
        <w:ind w:left="720" w:hanging="720"/>
        <w:outlineLvl w:val="4"/>
        <w:rPr>
          <w:rFonts w:ascii="Arial Bold" w:hAnsi="Arial Bold"/>
          <w:vertAlign w:val="superscript"/>
          <w:lang w:val="en-AU"/>
        </w:rPr>
      </w:pPr>
      <w:r w:rsidRPr="003E76E7">
        <w:rPr>
          <w:lang w:val="en-AU"/>
        </w:rPr>
        <w:t xml:space="preserve">Total Defence Resourcing </w:t>
      </w:r>
      <w:r w:rsidRPr="003E76E7">
        <w:rPr>
          <w:rFonts w:ascii="Arial Bold" w:hAnsi="Arial Bold"/>
          <w:vertAlign w:val="superscript"/>
          <w:lang w:val="en-AU"/>
        </w:rPr>
        <w:t>[a]</w:t>
      </w:r>
    </w:p>
    <w:p w14:paraId="59AE3D1C" w14:textId="75C19A99" w:rsidR="009820C2" w:rsidRPr="003E76E7" w:rsidRDefault="003B0FB9" w:rsidP="006F589B">
      <w:pPr>
        <w:spacing w:after="0"/>
      </w:pPr>
      <w:r w:rsidRPr="003B0FB9">
        <w:rPr>
          <w:noProof/>
          <w:lang w:val="en-AU"/>
        </w:rPr>
        <w:drawing>
          <wp:inline distT="0" distB="0" distL="0" distR="0" wp14:anchorId="4A412CF6" wp14:editId="69FE63CD">
            <wp:extent cx="5384941" cy="4784652"/>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98457" cy="4796661"/>
                    </a:xfrm>
                    <a:prstGeom prst="rect">
                      <a:avLst/>
                    </a:prstGeom>
                    <a:noFill/>
                    <a:ln>
                      <a:noFill/>
                    </a:ln>
                  </pic:spPr>
                </pic:pic>
              </a:graphicData>
            </a:graphic>
          </wp:inline>
        </w:drawing>
      </w:r>
    </w:p>
    <w:p w14:paraId="0C6B462C" w14:textId="77777777" w:rsidR="00C83461" w:rsidRPr="003E76E7" w:rsidRDefault="00C83461" w:rsidP="00C4292D">
      <w:pPr>
        <w:spacing w:before="0" w:after="0"/>
        <w:rPr>
          <w:sz w:val="14"/>
          <w:szCs w:val="14"/>
        </w:rPr>
      </w:pPr>
    </w:p>
    <w:p w14:paraId="0A6FC826" w14:textId="77777777" w:rsidR="00C83461" w:rsidRPr="003E76E7" w:rsidRDefault="00C83461" w:rsidP="00C4292D">
      <w:pPr>
        <w:spacing w:before="0" w:after="0"/>
        <w:rPr>
          <w:rFonts w:ascii="Arial" w:hAnsi="Arial"/>
          <w:b/>
          <w:sz w:val="14"/>
          <w:szCs w:val="14"/>
        </w:rPr>
      </w:pPr>
      <w:r w:rsidRPr="003E76E7">
        <w:rPr>
          <w:rFonts w:ascii="Arial" w:hAnsi="Arial"/>
          <w:b/>
          <w:sz w:val="14"/>
          <w:szCs w:val="14"/>
        </w:rPr>
        <w:t>Notes</w:t>
      </w:r>
    </w:p>
    <w:p w14:paraId="396E2CEE" w14:textId="69F91DDF" w:rsidR="00C666CE" w:rsidRPr="003E76E7" w:rsidRDefault="003D5634" w:rsidP="006F589B">
      <w:pPr>
        <w:pStyle w:val="BodyText"/>
        <w:numPr>
          <w:ilvl w:val="0"/>
          <w:numId w:val="105"/>
        </w:numPr>
        <w:spacing w:before="0" w:after="0"/>
        <w:ind w:left="284" w:hanging="284"/>
        <w:rPr>
          <w:rFonts w:ascii="Arial" w:hAnsi="Arial"/>
          <w:sz w:val="14"/>
          <w:szCs w:val="14"/>
          <w:lang w:val="en-AU"/>
        </w:rPr>
      </w:pPr>
      <w:bookmarkStart w:id="904" w:name="_Toc507595418"/>
      <w:bookmarkStart w:id="905" w:name="_Toc536089226"/>
      <w:bookmarkStart w:id="906" w:name="_Toc536089486"/>
      <w:bookmarkStart w:id="907" w:name="_Toc536089592"/>
      <w:bookmarkStart w:id="908" w:name="_Toc1561677"/>
      <w:bookmarkStart w:id="909" w:name="_Toc69729042"/>
      <w:bookmarkEnd w:id="903"/>
      <w:r w:rsidRPr="003E76E7">
        <w:rPr>
          <w:rFonts w:ascii="Arial" w:hAnsi="Arial"/>
          <w:sz w:val="14"/>
          <w:szCs w:val="14"/>
          <w:lang w:val="en-AU"/>
        </w:rPr>
        <w:tab/>
      </w:r>
      <w:r w:rsidR="00793B74" w:rsidRPr="003E76E7">
        <w:rPr>
          <w:rFonts w:ascii="Arial" w:hAnsi="Arial"/>
          <w:sz w:val="14"/>
          <w:szCs w:val="14"/>
          <w:lang w:val="en-AU"/>
        </w:rPr>
        <w:tab/>
      </w:r>
      <w:r w:rsidR="00793B74" w:rsidRPr="003E76E7">
        <w:rPr>
          <w:rFonts w:ascii="Arial" w:hAnsi="Arial"/>
          <w:sz w:val="14"/>
          <w:szCs w:val="14"/>
          <w:lang w:val="en-AU"/>
        </w:rPr>
        <w:tab/>
      </w:r>
      <w:r w:rsidR="00793B74" w:rsidRPr="003E76E7">
        <w:rPr>
          <w:rFonts w:ascii="Arial" w:hAnsi="Arial"/>
          <w:sz w:val="14"/>
          <w:szCs w:val="14"/>
          <w:lang w:val="en-AU"/>
        </w:rPr>
        <w:tab/>
      </w:r>
      <w:r w:rsidR="00793B74" w:rsidRPr="003E76E7">
        <w:rPr>
          <w:rFonts w:ascii="Arial" w:hAnsi="Arial"/>
          <w:sz w:val="14"/>
          <w:szCs w:val="14"/>
          <w:lang w:val="en-AU"/>
        </w:rPr>
        <w:tab/>
      </w:r>
      <w:r w:rsidR="00793B74" w:rsidRPr="003E76E7">
        <w:rPr>
          <w:rFonts w:ascii="Arial" w:hAnsi="Arial"/>
          <w:sz w:val="14"/>
          <w:szCs w:val="14"/>
          <w:lang w:val="en-AU"/>
        </w:rPr>
        <w:tab/>
      </w:r>
      <w:r w:rsidRPr="003E76E7">
        <w:rPr>
          <w:rFonts w:ascii="Arial" w:hAnsi="Arial"/>
          <w:sz w:val="14"/>
          <w:szCs w:val="14"/>
          <w:lang w:val="en-AU"/>
        </w:rPr>
        <w:tab/>
      </w:r>
      <w:r w:rsidRPr="003E76E7">
        <w:rPr>
          <w:rFonts w:ascii="Arial" w:hAnsi="Arial"/>
          <w:sz w:val="14"/>
          <w:szCs w:val="14"/>
          <w:lang w:val="en-AU"/>
        </w:rPr>
        <w:tab/>
      </w:r>
      <w:r w:rsidRPr="003E76E7">
        <w:rPr>
          <w:rFonts w:ascii="Arial" w:hAnsi="Arial"/>
          <w:sz w:val="14"/>
          <w:szCs w:val="14"/>
          <w:lang w:val="en-AU"/>
        </w:rPr>
        <w:tab/>
      </w:r>
      <w:r w:rsidRPr="003E76E7">
        <w:rPr>
          <w:rFonts w:ascii="Arial" w:hAnsi="Arial"/>
          <w:sz w:val="14"/>
          <w:szCs w:val="14"/>
          <w:lang w:val="en-AU"/>
        </w:rPr>
        <w:tab/>
      </w:r>
      <w:r w:rsidRPr="003E76E7">
        <w:rPr>
          <w:rFonts w:ascii="Arial" w:hAnsi="Arial"/>
          <w:sz w:val="14"/>
          <w:szCs w:val="14"/>
          <w:lang w:val="en-AU"/>
        </w:rPr>
        <w:tab/>
      </w:r>
      <w:r w:rsidRPr="003E76E7">
        <w:rPr>
          <w:rFonts w:ascii="Arial" w:hAnsi="Arial"/>
          <w:sz w:val="14"/>
          <w:szCs w:val="14"/>
          <w:lang w:val="en-AU"/>
        </w:rPr>
        <w:tab/>
      </w:r>
      <w:r w:rsidRPr="003E76E7">
        <w:rPr>
          <w:rFonts w:ascii="Arial" w:hAnsi="Arial"/>
          <w:sz w:val="14"/>
          <w:szCs w:val="14"/>
          <w:lang w:val="en-AU"/>
        </w:rPr>
        <w:tab/>
      </w:r>
      <w:r w:rsidR="00C5782C" w:rsidRPr="003E76E7">
        <w:rPr>
          <w:rFonts w:ascii="Arial" w:hAnsi="Arial"/>
          <w:sz w:val="14"/>
          <w:szCs w:val="14"/>
          <w:lang w:val="en-AU"/>
        </w:rPr>
        <w:tab/>
      </w:r>
      <w:r w:rsidR="00C5782C" w:rsidRPr="003E76E7">
        <w:rPr>
          <w:rFonts w:ascii="Arial" w:hAnsi="Arial"/>
          <w:sz w:val="14"/>
          <w:szCs w:val="14"/>
          <w:lang w:val="en-AU"/>
        </w:rPr>
        <w:tab/>
      </w:r>
      <w:r w:rsidR="00C5782C" w:rsidRPr="003E76E7">
        <w:rPr>
          <w:rFonts w:ascii="Arial" w:hAnsi="Arial"/>
          <w:sz w:val="14"/>
          <w:szCs w:val="14"/>
          <w:lang w:val="en-AU"/>
        </w:rPr>
        <w:tab/>
      </w:r>
      <w:r w:rsidR="00C5782C" w:rsidRPr="003E76E7">
        <w:rPr>
          <w:rFonts w:ascii="Arial" w:hAnsi="Arial"/>
          <w:sz w:val="14"/>
          <w:szCs w:val="14"/>
          <w:lang w:val="en-AU"/>
        </w:rPr>
        <w:tab/>
      </w:r>
      <w:r w:rsidR="00C5782C" w:rsidRPr="003E76E7">
        <w:rPr>
          <w:rFonts w:ascii="Arial" w:hAnsi="Arial"/>
          <w:sz w:val="14"/>
          <w:szCs w:val="14"/>
          <w:lang w:val="en-AU"/>
        </w:rPr>
        <w:tab/>
      </w:r>
      <w:r w:rsidR="00C5782C" w:rsidRPr="003E76E7">
        <w:rPr>
          <w:rFonts w:ascii="Arial" w:hAnsi="Arial"/>
          <w:sz w:val="14"/>
          <w:szCs w:val="14"/>
          <w:lang w:val="en-AU"/>
        </w:rPr>
        <w:tab/>
      </w:r>
      <w:r w:rsidR="00C5782C" w:rsidRPr="003E76E7">
        <w:rPr>
          <w:rFonts w:ascii="Arial" w:hAnsi="Arial"/>
          <w:sz w:val="14"/>
          <w:szCs w:val="14"/>
          <w:lang w:val="en-AU"/>
        </w:rPr>
        <w:tab/>
      </w:r>
      <w:r w:rsidR="006F3648" w:rsidRPr="003E76E7">
        <w:rPr>
          <w:rFonts w:ascii="Arial" w:hAnsi="Arial"/>
          <w:sz w:val="14"/>
          <w:szCs w:val="14"/>
          <w:lang w:val="en-AU"/>
        </w:rPr>
        <w:tab/>
      </w:r>
      <w:r w:rsidR="00D92512" w:rsidRPr="003E76E7">
        <w:rPr>
          <w:rFonts w:ascii="Arial" w:hAnsi="Arial"/>
          <w:sz w:val="14"/>
          <w:szCs w:val="14"/>
          <w:lang w:val="en-AU"/>
        </w:rPr>
        <w:tab/>
      </w:r>
      <w:r w:rsidR="00C64DB0" w:rsidRPr="003E76E7">
        <w:rPr>
          <w:rFonts w:ascii="Arial" w:hAnsi="Arial"/>
          <w:sz w:val="14"/>
          <w:szCs w:val="14"/>
          <w:lang w:val="en-AU"/>
        </w:rPr>
        <w:tab/>
      </w:r>
      <w:r w:rsidR="00C64DB0" w:rsidRPr="003E76E7">
        <w:rPr>
          <w:rFonts w:ascii="Arial" w:hAnsi="Arial"/>
          <w:sz w:val="14"/>
          <w:szCs w:val="14"/>
          <w:lang w:val="en-AU"/>
        </w:rPr>
        <w:tab/>
      </w:r>
      <w:r w:rsidR="00C666CE" w:rsidRPr="003E76E7">
        <w:rPr>
          <w:rFonts w:ascii="Arial" w:hAnsi="Arial"/>
          <w:sz w:val="14"/>
          <w:szCs w:val="14"/>
          <w:lang w:val="en-AU"/>
        </w:rPr>
        <w:t>This table is prepared on an accrual basis, except for serials 7 to 10, 12, 14, 21 to 24, 27 and 28.</w:t>
      </w:r>
      <w:r w:rsidR="00C666CE" w:rsidRPr="003E76E7">
        <w:rPr>
          <w:rFonts w:ascii="Arial" w:hAnsi="Arial"/>
          <w:sz w:val="14"/>
          <w:szCs w:val="14"/>
          <w:lang w:val="en-AU"/>
        </w:rPr>
        <w:tab/>
      </w:r>
      <w:r w:rsidR="00C666CE" w:rsidRPr="003E76E7">
        <w:rPr>
          <w:rFonts w:ascii="Arial" w:hAnsi="Arial"/>
          <w:sz w:val="14"/>
          <w:szCs w:val="14"/>
          <w:lang w:val="en-AU"/>
        </w:rPr>
        <w:tab/>
      </w:r>
      <w:r w:rsidR="00C666CE" w:rsidRPr="003E76E7">
        <w:rPr>
          <w:rFonts w:ascii="Arial" w:hAnsi="Arial"/>
          <w:sz w:val="14"/>
          <w:szCs w:val="14"/>
          <w:lang w:val="en-AU"/>
        </w:rPr>
        <w:tab/>
      </w:r>
      <w:r w:rsidR="00C666CE" w:rsidRPr="003E76E7">
        <w:rPr>
          <w:rFonts w:ascii="Arial" w:hAnsi="Arial"/>
          <w:sz w:val="14"/>
          <w:szCs w:val="14"/>
          <w:lang w:val="en-AU"/>
        </w:rPr>
        <w:tab/>
      </w:r>
      <w:r w:rsidR="00C666CE" w:rsidRPr="003E76E7">
        <w:rPr>
          <w:rFonts w:ascii="Arial" w:hAnsi="Arial"/>
          <w:sz w:val="14"/>
          <w:szCs w:val="14"/>
          <w:lang w:val="en-AU"/>
        </w:rPr>
        <w:tab/>
      </w:r>
      <w:r w:rsidR="00C666CE" w:rsidRPr="003E76E7">
        <w:rPr>
          <w:rFonts w:ascii="Arial" w:hAnsi="Arial"/>
          <w:sz w:val="14"/>
          <w:szCs w:val="14"/>
          <w:lang w:val="en-AU"/>
        </w:rPr>
        <w:tab/>
      </w:r>
      <w:r w:rsidR="00C666CE" w:rsidRPr="003E76E7">
        <w:rPr>
          <w:rFonts w:ascii="Arial" w:hAnsi="Arial"/>
          <w:sz w:val="14"/>
          <w:szCs w:val="14"/>
          <w:lang w:val="en-AU"/>
        </w:rPr>
        <w:tab/>
      </w:r>
      <w:r w:rsidR="00C666CE" w:rsidRPr="003E76E7">
        <w:rPr>
          <w:rFonts w:ascii="Arial" w:hAnsi="Arial"/>
          <w:sz w:val="14"/>
          <w:szCs w:val="14"/>
          <w:lang w:val="en-AU"/>
        </w:rPr>
        <w:tab/>
      </w:r>
      <w:r w:rsidR="00C666CE" w:rsidRPr="003E76E7">
        <w:rPr>
          <w:rFonts w:ascii="Arial" w:hAnsi="Arial"/>
          <w:sz w:val="14"/>
          <w:szCs w:val="14"/>
          <w:lang w:val="en-AU"/>
        </w:rPr>
        <w:tab/>
      </w:r>
    </w:p>
    <w:p w14:paraId="49A04CCC" w14:textId="360FCFD2" w:rsidR="006F589B" w:rsidRDefault="006F589B" w:rsidP="006F589B">
      <w:pPr>
        <w:pStyle w:val="BodyText"/>
        <w:numPr>
          <w:ilvl w:val="0"/>
          <w:numId w:val="105"/>
        </w:numPr>
        <w:spacing w:before="0" w:after="0"/>
        <w:ind w:left="284" w:hanging="284"/>
        <w:rPr>
          <w:rFonts w:ascii="Arial" w:hAnsi="Arial"/>
          <w:sz w:val="14"/>
          <w:szCs w:val="14"/>
          <w:lang w:val="en-AU"/>
        </w:rPr>
      </w:pPr>
      <w:r w:rsidRPr="006F589B">
        <w:rPr>
          <w:rFonts w:ascii="Arial" w:hAnsi="Arial"/>
          <w:sz w:val="14"/>
          <w:szCs w:val="14"/>
          <w:lang w:val="en-AU"/>
        </w:rPr>
        <w:t>The Funding increase in 2025-26 of $900 million is to address Defence's ongoing working capital requirements. The adjustment provides an increase to cash reserves to meet Defence industry commitments as and when they fall due for payments. The increase in working capital in 2025-26 is represented by an equity injection and not as increased Defence funding. This is because the injection will be used to address existing expenditure commitments already incurred/recognised.</w:t>
      </w:r>
      <w:r w:rsidRPr="006F589B">
        <w:rPr>
          <w:rFonts w:ascii="Arial" w:hAnsi="Arial"/>
          <w:sz w:val="14"/>
          <w:szCs w:val="14"/>
          <w:lang w:val="en-AU"/>
        </w:rPr>
        <w:tab/>
      </w:r>
      <w:r w:rsidRPr="006F589B">
        <w:rPr>
          <w:rFonts w:ascii="Arial" w:hAnsi="Arial"/>
          <w:sz w:val="14"/>
          <w:szCs w:val="14"/>
          <w:lang w:val="en-AU"/>
        </w:rPr>
        <w:tab/>
      </w:r>
      <w:r w:rsidRPr="006F589B">
        <w:rPr>
          <w:rFonts w:ascii="Arial" w:hAnsi="Arial"/>
          <w:sz w:val="14"/>
          <w:szCs w:val="14"/>
          <w:lang w:val="en-AU"/>
        </w:rPr>
        <w:tab/>
      </w:r>
      <w:r w:rsidRPr="006F589B">
        <w:rPr>
          <w:rFonts w:ascii="Arial" w:hAnsi="Arial"/>
          <w:sz w:val="14"/>
          <w:szCs w:val="14"/>
          <w:lang w:val="en-AU"/>
        </w:rPr>
        <w:tab/>
      </w:r>
      <w:r w:rsidRPr="006F589B">
        <w:rPr>
          <w:rFonts w:ascii="Arial" w:hAnsi="Arial"/>
          <w:sz w:val="14"/>
          <w:szCs w:val="14"/>
          <w:lang w:val="en-AU"/>
        </w:rPr>
        <w:tab/>
      </w:r>
      <w:r w:rsidRPr="006F589B">
        <w:rPr>
          <w:rFonts w:ascii="Arial" w:hAnsi="Arial"/>
          <w:sz w:val="14"/>
          <w:szCs w:val="14"/>
          <w:lang w:val="en-AU"/>
        </w:rPr>
        <w:tab/>
      </w:r>
      <w:r w:rsidRPr="006F589B">
        <w:rPr>
          <w:rFonts w:ascii="Arial" w:hAnsi="Arial"/>
          <w:sz w:val="14"/>
          <w:szCs w:val="14"/>
          <w:lang w:val="en-AU"/>
        </w:rPr>
        <w:tab/>
      </w:r>
      <w:r w:rsidRPr="006F589B">
        <w:rPr>
          <w:rFonts w:ascii="Arial" w:hAnsi="Arial"/>
          <w:sz w:val="14"/>
          <w:szCs w:val="14"/>
          <w:lang w:val="en-AU"/>
        </w:rPr>
        <w:tab/>
      </w:r>
      <w:r w:rsidRPr="006F589B">
        <w:rPr>
          <w:rFonts w:ascii="Arial" w:hAnsi="Arial"/>
          <w:sz w:val="14"/>
          <w:szCs w:val="14"/>
          <w:lang w:val="en-AU"/>
        </w:rPr>
        <w:tab/>
      </w:r>
    </w:p>
    <w:p w14:paraId="6D89E6F7" w14:textId="04263A89" w:rsidR="00C666CE" w:rsidRPr="006F589B" w:rsidRDefault="00C666CE" w:rsidP="006F589B">
      <w:pPr>
        <w:pStyle w:val="BodyText"/>
        <w:numPr>
          <w:ilvl w:val="0"/>
          <w:numId w:val="105"/>
        </w:numPr>
        <w:spacing w:before="0" w:after="0"/>
        <w:ind w:left="284" w:hanging="284"/>
        <w:rPr>
          <w:rFonts w:ascii="Arial" w:hAnsi="Arial"/>
          <w:sz w:val="14"/>
          <w:szCs w:val="14"/>
          <w:lang w:val="en-AU"/>
        </w:rPr>
      </w:pPr>
      <w:r w:rsidRPr="006F589B">
        <w:rPr>
          <w:rFonts w:ascii="Arial" w:hAnsi="Arial"/>
          <w:sz w:val="14"/>
          <w:szCs w:val="14"/>
          <w:lang w:val="en-AU"/>
        </w:rPr>
        <w:t>As per the PB Statements 2025</w:t>
      </w:r>
      <w:r w:rsidR="0077490F" w:rsidRPr="006F589B">
        <w:rPr>
          <w:rFonts w:ascii="Arial" w:hAnsi="Arial"/>
          <w:sz w:val="14"/>
          <w:szCs w:val="14"/>
          <w:lang w:val="en-AU"/>
        </w:rPr>
        <w:t>-</w:t>
      </w:r>
      <w:r w:rsidRPr="006F589B">
        <w:rPr>
          <w:rFonts w:ascii="Arial" w:hAnsi="Arial"/>
          <w:sz w:val="14"/>
          <w:szCs w:val="14"/>
          <w:lang w:val="en-AU"/>
        </w:rPr>
        <w:t>26, Defence had received $700 million of working capital in 2024-25 from the 2027</w:t>
      </w:r>
      <w:r w:rsidR="0077490F" w:rsidRPr="006F589B">
        <w:rPr>
          <w:rFonts w:ascii="Arial" w:hAnsi="Arial"/>
          <w:sz w:val="14"/>
          <w:szCs w:val="14"/>
          <w:lang w:val="en-AU"/>
        </w:rPr>
        <w:t>-</w:t>
      </w:r>
      <w:r w:rsidRPr="006F589B">
        <w:rPr>
          <w:rFonts w:ascii="Arial" w:hAnsi="Arial"/>
          <w:sz w:val="14"/>
          <w:szCs w:val="14"/>
          <w:lang w:val="en-AU"/>
        </w:rPr>
        <w:t>28 Forward Estimate. The purpose of the funding was underpinned by the increase in Defence’s capital requirements. This adjustment provided an increase to cash reserves to meet Defence industry commitments as and when they fall due for payment. While the increase in working capital in 2024-25 is by way of the movement of appropriation from 2027-28, the movement was represented as an equity injection and not as increased Defence funding. This is because the injection was to be used to address existing expenditure commitments already incurred/recognised. In 2027-28, the reduction of appropriation will not impact planned capital expenditure levels as Government has agreed Defence will operate with a Net Capital Deficit in that financial year.</w:t>
      </w:r>
      <w:r w:rsidRPr="006F589B">
        <w:rPr>
          <w:rFonts w:ascii="Arial" w:hAnsi="Arial"/>
          <w:sz w:val="14"/>
          <w:szCs w:val="14"/>
          <w:lang w:val="en-AU"/>
        </w:rPr>
        <w:tab/>
      </w:r>
      <w:r w:rsidRPr="006F589B">
        <w:rPr>
          <w:rFonts w:ascii="Arial" w:hAnsi="Arial"/>
          <w:sz w:val="14"/>
          <w:szCs w:val="14"/>
          <w:lang w:val="en-AU"/>
        </w:rPr>
        <w:tab/>
      </w:r>
      <w:r w:rsidRPr="006F589B">
        <w:rPr>
          <w:rFonts w:ascii="Arial" w:hAnsi="Arial"/>
          <w:sz w:val="14"/>
          <w:szCs w:val="14"/>
          <w:lang w:val="en-AU"/>
        </w:rPr>
        <w:tab/>
      </w:r>
      <w:r w:rsidRPr="006F589B">
        <w:rPr>
          <w:rFonts w:ascii="Arial" w:hAnsi="Arial"/>
          <w:sz w:val="14"/>
          <w:szCs w:val="14"/>
          <w:lang w:val="en-AU"/>
        </w:rPr>
        <w:tab/>
      </w:r>
      <w:r w:rsidRPr="006F589B">
        <w:rPr>
          <w:rFonts w:ascii="Arial" w:hAnsi="Arial"/>
          <w:sz w:val="14"/>
          <w:szCs w:val="14"/>
          <w:lang w:val="en-AU"/>
        </w:rPr>
        <w:tab/>
      </w:r>
      <w:r w:rsidRPr="006F589B">
        <w:rPr>
          <w:rFonts w:ascii="Arial" w:hAnsi="Arial"/>
          <w:sz w:val="14"/>
          <w:szCs w:val="14"/>
          <w:lang w:val="en-AU"/>
        </w:rPr>
        <w:tab/>
      </w:r>
      <w:r w:rsidRPr="006F589B">
        <w:rPr>
          <w:rFonts w:ascii="Arial" w:hAnsi="Arial"/>
          <w:sz w:val="14"/>
          <w:szCs w:val="14"/>
          <w:lang w:val="en-AU"/>
        </w:rPr>
        <w:tab/>
      </w:r>
      <w:r w:rsidRPr="006F589B">
        <w:rPr>
          <w:rFonts w:ascii="Arial" w:hAnsi="Arial"/>
          <w:sz w:val="14"/>
          <w:szCs w:val="14"/>
          <w:lang w:val="en-AU"/>
        </w:rPr>
        <w:tab/>
      </w:r>
      <w:r w:rsidRPr="006F589B">
        <w:rPr>
          <w:rFonts w:ascii="Arial" w:hAnsi="Arial"/>
          <w:sz w:val="14"/>
          <w:szCs w:val="14"/>
          <w:lang w:val="en-AU"/>
        </w:rPr>
        <w:tab/>
      </w:r>
    </w:p>
    <w:p w14:paraId="4291FCA7" w14:textId="4BF07FB0" w:rsidR="00403151" w:rsidRPr="00403151" w:rsidRDefault="00403151" w:rsidP="00403151">
      <w:pPr>
        <w:pStyle w:val="BodyText"/>
        <w:numPr>
          <w:ilvl w:val="0"/>
          <w:numId w:val="105"/>
        </w:numPr>
        <w:spacing w:before="0" w:after="0"/>
        <w:ind w:left="284" w:hanging="284"/>
        <w:rPr>
          <w:rFonts w:ascii="Arial" w:hAnsi="Arial"/>
          <w:sz w:val="14"/>
          <w:szCs w:val="14"/>
          <w:lang w:val="en-AU"/>
        </w:rPr>
      </w:pPr>
      <w:r w:rsidRPr="00403151">
        <w:rPr>
          <w:rFonts w:ascii="Arial" w:hAnsi="Arial"/>
          <w:sz w:val="14"/>
          <w:szCs w:val="14"/>
          <w:lang w:val="en-AU"/>
        </w:rPr>
        <w:t>The appropriations as per the 2025-26 Estimate</w:t>
      </w:r>
      <w:r w:rsidR="004A6093">
        <w:rPr>
          <w:rFonts w:ascii="Arial" w:hAnsi="Arial"/>
          <w:sz w:val="14"/>
          <w:szCs w:val="14"/>
          <w:lang w:val="en-AU"/>
        </w:rPr>
        <w:t>d</w:t>
      </w:r>
      <w:r w:rsidRPr="00403151">
        <w:rPr>
          <w:rFonts w:ascii="Arial" w:hAnsi="Arial"/>
          <w:sz w:val="14"/>
          <w:szCs w:val="14"/>
          <w:lang w:val="en-AU"/>
        </w:rPr>
        <w:t xml:space="preserve"> Actual reflects a movement of funds of $2.0 billion from 2027-28 to 2025-26 towards increased preparedness in sustainment and the acceleration of capability.</w:t>
      </w:r>
      <w:r w:rsidRPr="00403151">
        <w:rPr>
          <w:rFonts w:ascii="Arial" w:hAnsi="Arial"/>
          <w:sz w:val="14"/>
          <w:szCs w:val="14"/>
          <w:lang w:val="en-AU"/>
        </w:rPr>
        <w:tab/>
      </w:r>
      <w:r w:rsidRPr="00403151">
        <w:rPr>
          <w:rFonts w:ascii="Arial" w:hAnsi="Arial"/>
          <w:sz w:val="14"/>
          <w:szCs w:val="14"/>
          <w:lang w:val="en-AU"/>
        </w:rPr>
        <w:tab/>
      </w:r>
      <w:r w:rsidRPr="00403151">
        <w:rPr>
          <w:rFonts w:ascii="Arial" w:hAnsi="Arial"/>
          <w:sz w:val="14"/>
          <w:szCs w:val="14"/>
          <w:lang w:val="en-AU"/>
        </w:rPr>
        <w:tab/>
      </w:r>
      <w:r w:rsidRPr="00403151">
        <w:rPr>
          <w:rFonts w:ascii="Arial" w:hAnsi="Arial"/>
          <w:sz w:val="14"/>
          <w:szCs w:val="14"/>
          <w:lang w:val="en-AU"/>
        </w:rPr>
        <w:tab/>
      </w:r>
      <w:r w:rsidRPr="00403151">
        <w:rPr>
          <w:rFonts w:ascii="Arial" w:hAnsi="Arial"/>
          <w:sz w:val="14"/>
          <w:szCs w:val="14"/>
          <w:lang w:val="en-AU"/>
        </w:rPr>
        <w:tab/>
      </w:r>
      <w:r w:rsidRPr="00403151">
        <w:rPr>
          <w:rFonts w:ascii="Arial" w:hAnsi="Arial"/>
          <w:sz w:val="14"/>
          <w:szCs w:val="14"/>
          <w:lang w:val="en-AU"/>
        </w:rPr>
        <w:tab/>
      </w:r>
      <w:r w:rsidRPr="00403151">
        <w:rPr>
          <w:rFonts w:ascii="Arial" w:hAnsi="Arial"/>
          <w:sz w:val="14"/>
          <w:szCs w:val="14"/>
          <w:lang w:val="en-AU"/>
        </w:rPr>
        <w:tab/>
      </w:r>
      <w:r w:rsidRPr="00403151">
        <w:rPr>
          <w:rFonts w:ascii="Arial" w:hAnsi="Arial"/>
          <w:sz w:val="14"/>
          <w:szCs w:val="14"/>
          <w:lang w:val="en-AU"/>
        </w:rPr>
        <w:tab/>
      </w:r>
      <w:r w:rsidRPr="00403151">
        <w:rPr>
          <w:rFonts w:ascii="Arial" w:hAnsi="Arial"/>
          <w:sz w:val="14"/>
          <w:szCs w:val="14"/>
          <w:lang w:val="en-AU"/>
        </w:rPr>
        <w:tab/>
      </w:r>
    </w:p>
    <w:p w14:paraId="75965833" w14:textId="77777777" w:rsidR="00403151" w:rsidRPr="00403151" w:rsidRDefault="00403151" w:rsidP="00403151">
      <w:pPr>
        <w:pStyle w:val="BodyText"/>
        <w:numPr>
          <w:ilvl w:val="0"/>
          <w:numId w:val="105"/>
        </w:numPr>
        <w:spacing w:before="0" w:after="0"/>
        <w:ind w:left="284" w:hanging="284"/>
        <w:rPr>
          <w:rFonts w:ascii="Arial" w:hAnsi="Arial"/>
          <w:sz w:val="14"/>
          <w:szCs w:val="14"/>
          <w:lang w:val="en-AU"/>
        </w:rPr>
      </w:pPr>
      <w:r w:rsidRPr="00403151">
        <w:rPr>
          <w:rFonts w:ascii="Arial" w:hAnsi="Arial"/>
          <w:sz w:val="14"/>
          <w:szCs w:val="14"/>
          <w:lang w:val="en-AU"/>
        </w:rPr>
        <w:t xml:space="preserve">The appropriations as per the 2025-26 Estimated Actual reflects a movement of funds of $1.7 billion from 2026-27 and 2027-28 for acceleration of capability acquisition predominantly in relation to the Nuclear-Powered Submarines Program.  </w:t>
      </w:r>
      <w:r w:rsidRPr="00403151">
        <w:rPr>
          <w:rFonts w:ascii="Arial" w:hAnsi="Arial"/>
          <w:sz w:val="14"/>
          <w:szCs w:val="14"/>
          <w:lang w:val="en-AU"/>
        </w:rPr>
        <w:tab/>
      </w:r>
      <w:r w:rsidRPr="00403151">
        <w:rPr>
          <w:rFonts w:ascii="Arial" w:hAnsi="Arial"/>
          <w:sz w:val="14"/>
          <w:szCs w:val="14"/>
          <w:lang w:val="en-AU"/>
        </w:rPr>
        <w:tab/>
      </w:r>
      <w:r w:rsidRPr="00403151">
        <w:rPr>
          <w:rFonts w:ascii="Arial" w:hAnsi="Arial"/>
          <w:sz w:val="14"/>
          <w:szCs w:val="14"/>
          <w:lang w:val="en-AU"/>
        </w:rPr>
        <w:tab/>
      </w:r>
      <w:r w:rsidRPr="00403151">
        <w:rPr>
          <w:rFonts w:ascii="Arial" w:hAnsi="Arial"/>
          <w:sz w:val="14"/>
          <w:szCs w:val="14"/>
          <w:lang w:val="en-AU"/>
        </w:rPr>
        <w:tab/>
      </w:r>
      <w:r w:rsidRPr="00403151">
        <w:rPr>
          <w:rFonts w:ascii="Arial" w:hAnsi="Arial"/>
          <w:sz w:val="14"/>
          <w:szCs w:val="14"/>
          <w:lang w:val="en-AU"/>
        </w:rPr>
        <w:tab/>
      </w:r>
      <w:r w:rsidRPr="00403151">
        <w:rPr>
          <w:rFonts w:ascii="Arial" w:hAnsi="Arial"/>
          <w:sz w:val="14"/>
          <w:szCs w:val="14"/>
          <w:lang w:val="en-AU"/>
        </w:rPr>
        <w:tab/>
      </w:r>
      <w:r w:rsidRPr="00403151">
        <w:rPr>
          <w:rFonts w:ascii="Arial" w:hAnsi="Arial"/>
          <w:sz w:val="14"/>
          <w:szCs w:val="14"/>
          <w:lang w:val="en-AU"/>
        </w:rPr>
        <w:tab/>
      </w:r>
      <w:r w:rsidRPr="00403151">
        <w:rPr>
          <w:rFonts w:ascii="Arial" w:hAnsi="Arial"/>
          <w:sz w:val="14"/>
          <w:szCs w:val="14"/>
          <w:lang w:val="en-AU"/>
        </w:rPr>
        <w:tab/>
      </w:r>
      <w:r w:rsidRPr="00403151">
        <w:rPr>
          <w:rFonts w:ascii="Arial" w:hAnsi="Arial"/>
          <w:sz w:val="14"/>
          <w:szCs w:val="14"/>
          <w:lang w:val="en-AU"/>
        </w:rPr>
        <w:tab/>
      </w:r>
    </w:p>
    <w:p w14:paraId="23C28BF3" w14:textId="77777777" w:rsidR="00403151" w:rsidRPr="00403151" w:rsidRDefault="00403151" w:rsidP="00403151">
      <w:pPr>
        <w:pStyle w:val="BodyText"/>
        <w:numPr>
          <w:ilvl w:val="0"/>
          <w:numId w:val="105"/>
        </w:numPr>
        <w:spacing w:before="0" w:after="0"/>
        <w:ind w:left="284" w:hanging="284"/>
        <w:rPr>
          <w:rFonts w:ascii="Arial" w:hAnsi="Arial"/>
          <w:sz w:val="14"/>
          <w:szCs w:val="14"/>
          <w:lang w:val="en-AU"/>
        </w:rPr>
      </w:pPr>
      <w:r w:rsidRPr="00403151">
        <w:rPr>
          <w:rFonts w:ascii="Arial" w:hAnsi="Arial"/>
          <w:sz w:val="14"/>
          <w:szCs w:val="14"/>
          <w:lang w:val="en-AU"/>
        </w:rPr>
        <w:t>Represents net transfers to and from the Official Public Account (OPA).</w:t>
      </w:r>
      <w:r w:rsidRPr="00403151">
        <w:rPr>
          <w:rFonts w:ascii="Arial" w:hAnsi="Arial"/>
          <w:sz w:val="14"/>
          <w:szCs w:val="14"/>
          <w:lang w:val="en-AU"/>
        </w:rPr>
        <w:tab/>
      </w:r>
      <w:r w:rsidRPr="00403151">
        <w:rPr>
          <w:rFonts w:ascii="Arial" w:hAnsi="Arial"/>
          <w:sz w:val="14"/>
          <w:szCs w:val="14"/>
          <w:lang w:val="en-AU"/>
        </w:rPr>
        <w:tab/>
      </w:r>
      <w:r w:rsidRPr="00403151">
        <w:rPr>
          <w:rFonts w:ascii="Arial" w:hAnsi="Arial"/>
          <w:sz w:val="14"/>
          <w:szCs w:val="14"/>
          <w:lang w:val="en-AU"/>
        </w:rPr>
        <w:tab/>
      </w:r>
      <w:r w:rsidRPr="00403151">
        <w:rPr>
          <w:rFonts w:ascii="Arial" w:hAnsi="Arial"/>
          <w:sz w:val="14"/>
          <w:szCs w:val="14"/>
          <w:lang w:val="en-AU"/>
        </w:rPr>
        <w:tab/>
      </w:r>
      <w:r w:rsidRPr="00403151">
        <w:rPr>
          <w:rFonts w:ascii="Arial" w:hAnsi="Arial"/>
          <w:sz w:val="14"/>
          <w:szCs w:val="14"/>
          <w:lang w:val="en-AU"/>
        </w:rPr>
        <w:tab/>
      </w:r>
      <w:r w:rsidRPr="00403151">
        <w:rPr>
          <w:rFonts w:ascii="Arial" w:hAnsi="Arial"/>
          <w:sz w:val="14"/>
          <w:szCs w:val="14"/>
          <w:lang w:val="en-AU"/>
        </w:rPr>
        <w:tab/>
      </w:r>
      <w:r w:rsidRPr="00403151">
        <w:rPr>
          <w:rFonts w:ascii="Arial" w:hAnsi="Arial"/>
          <w:sz w:val="14"/>
          <w:szCs w:val="14"/>
          <w:lang w:val="en-AU"/>
        </w:rPr>
        <w:tab/>
      </w:r>
      <w:r w:rsidRPr="00403151">
        <w:rPr>
          <w:rFonts w:ascii="Arial" w:hAnsi="Arial"/>
          <w:sz w:val="14"/>
          <w:szCs w:val="14"/>
          <w:lang w:val="en-AU"/>
        </w:rPr>
        <w:tab/>
      </w:r>
      <w:r w:rsidRPr="00403151">
        <w:rPr>
          <w:rFonts w:ascii="Arial" w:hAnsi="Arial"/>
          <w:sz w:val="14"/>
          <w:szCs w:val="14"/>
          <w:lang w:val="en-AU"/>
        </w:rPr>
        <w:tab/>
      </w:r>
    </w:p>
    <w:p w14:paraId="797FA0A5" w14:textId="77777777" w:rsidR="00403151" w:rsidRPr="00403151" w:rsidRDefault="00403151" w:rsidP="00403151">
      <w:pPr>
        <w:pStyle w:val="BodyText"/>
        <w:numPr>
          <w:ilvl w:val="0"/>
          <w:numId w:val="105"/>
        </w:numPr>
        <w:spacing w:before="0" w:after="0"/>
        <w:ind w:left="284" w:hanging="284"/>
        <w:rPr>
          <w:rFonts w:ascii="Arial" w:hAnsi="Arial"/>
          <w:sz w:val="14"/>
          <w:szCs w:val="14"/>
          <w:lang w:val="en-AU"/>
        </w:rPr>
      </w:pPr>
      <w:r w:rsidRPr="00403151">
        <w:rPr>
          <w:rFonts w:ascii="Arial" w:hAnsi="Arial"/>
          <w:sz w:val="14"/>
          <w:szCs w:val="14"/>
          <w:lang w:val="en-AU"/>
        </w:rPr>
        <w:t>All figures are net of GST.</w:t>
      </w:r>
      <w:r w:rsidRPr="00403151">
        <w:rPr>
          <w:rFonts w:ascii="Arial" w:hAnsi="Arial"/>
          <w:sz w:val="14"/>
          <w:szCs w:val="14"/>
          <w:lang w:val="en-AU"/>
        </w:rPr>
        <w:tab/>
      </w:r>
      <w:r w:rsidRPr="00403151">
        <w:rPr>
          <w:rFonts w:ascii="Arial" w:hAnsi="Arial"/>
          <w:sz w:val="14"/>
          <w:szCs w:val="14"/>
          <w:lang w:val="en-AU"/>
        </w:rPr>
        <w:tab/>
      </w:r>
      <w:r w:rsidRPr="00403151">
        <w:rPr>
          <w:rFonts w:ascii="Arial" w:hAnsi="Arial"/>
          <w:sz w:val="14"/>
          <w:szCs w:val="14"/>
          <w:lang w:val="en-AU"/>
        </w:rPr>
        <w:tab/>
      </w:r>
      <w:r w:rsidRPr="00403151">
        <w:rPr>
          <w:rFonts w:ascii="Arial" w:hAnsi="Arial"/>
          <w:sz w:val="14"/>
          <w:szCs w:val="14"/>
          <w:lang w:val="en-AU"/>
        </w:rPr>
        <w:tab/>
      </w:r>
      <w:r w:rsidRPr="00403151">
        <w:rPr>
          <w:rFonts w:ascii="Arial" w:hAnsi="Arial"/>
          <w:sz w:val="14"/>
          <w:szCs w:val="14"/>
          <w:lang w:val="en-AU"/>
        </w:rPr>
        <w:tab/>
      </w:r>
      <w:r w:rsidRPr="00403151">
        <w:rPr>
          <w:rFonts w:ascii="Arial" w:hAnsi="Arial"/>
          <w:sz w:val="14"/>
          <w:szCs w:val="14"/>
          <w:lang w:val="en-AU"/>
        </w:rPr>
        <w:tab/>
      </w:r>
      <w:r w:rsidRPr="00403151">
        <w:rPr>
          <w:rFonts w:ascii="Arial" w:hAnsi="Arial"/>
          <w:sz w:val="14"/>
          <w:szCs w:val="14"/>
          <w:lang w:val="en-AU"/>
        </w:rPr>
        <w:tab/>
      </w:r>
      <w:r w:rsidRPr="00403151">
        <w:rPr>
          <w:rFonts w:ascii="Arial" w:hAnsi="Arial"/>
          <w:sz w:val="14"/>
          <w:szCs w:val="14"/>
          <w:lang w:val="en-AU"/>
        </w:rPr>
        <w:tab/>
      </w:r>
      <w:r w:rsidRPr="00403151">
        <w:rPr>
          <w:rFonts w:ascii="Arial" w:hAnsi="Arial"/>
          <w:sz w:val="14"/>
          <w:szCs w:val="14"/>
          <w:lang w:val="en-AU"/>
        </w:rPr>
        <w:tab/>
      </w:r>
    </w:p>
    <w:p w14:paraId="3042E310" w14:textId="77777777" w:rsidR="00403151" w:rsidRPr="00403151" w:rsidRDefault="00403151" w:rsidP="00403151">
      <w:pPr>
        <w:pStyle w:val="BodyText"/>
        <w:numPr>
          <w:ilvl w:val="0"/>
          <w:numId w:val="105"/>
        </w:numPr>
        <w:spacing w:before="0" w:after="0"/>
        <w:ind w:left="284" w:hanging="284"/>
        <w:rPr>
          <w:rFonts w:ascii="Arial" w:hAnsi="Arial"/>
          <w:sz w:val="14"/>
          <w:szCs w:val="14"/>
          <w:lang w:val="en-AU"/>
        </w:rPr>
      </w:pPr>
      <w:r w:rsidRPr="00403151">
        <w:rPr>
          <w:rFonts w:ascii="Arial" w:hAnsi="Arial"/>
          <w:sz w:val="14"/>
          <w:szCs w:val="14"/>
          <w:lang w:val="en-AU"/>
        </w:rPr>
        <w:t>Includes estimated resourcing required to meet payments for the Defence Superannuation Benefits. Table 50 shows estimates of total expenses for the Defence Superannuation Schemes.</w:t>
      </w:r>
      <w:r w:rsidRPr="00403151">
        <w:rPr>
          <w:rFonts w:ascii="Arial" w:hAnsi="Arial"/>
          <w:sz w:val="14"/>
          <w:szCs w:val="14"/>
          <w:lang w:val="en-AU"/>
        </w:rPr>
        <w:tab/>
      </w:r>
      <w:r w:rsidRPr="00403151">
        <w:rPr>
          <w:rFonts w:ascii="Arial" w:hAnsi="Arial"/>
          <w:sz w:val="14"/>
          <w:szCs w:val="14"/>
          <w:lang w:val="en-AU"/>
        </w:rPr>
        <w:tab/>
      </w:r>
      <w:r w:rsidRPr="00403151">
        <w:rPr>
          <w:rFonts w:ascii="Arial" w:hAnsi="Arial"/>
          <w:sz w:val="14"/>
          <w:szCs w:val="14"/>
          <w:lang w:val="en-AU"/>
        </w:rPr>
        <w:tab/>
      </w:r>
      <w:r w:rsidRPr="00403151">
        <w:rPr>
          <w:rFonts w:ascii="Arial" w:hAnsi="Arial"/>
          <w:sz w:val="14"/>
          <w:szCs w:val="14"/>
          <w:lang w:val="en-AU"/>
        </w:rPr>
        <w:tab/>
      </w:r>
      <w:r w:rsidRPr="00403151">
        <w:rPr>
          <w:rFonts w:ascii="Arial" w:hAnsi="Arial"/>
          <w:sz w:val="14"/>
          <w:szCs w:val="14"/>
          <w:lang w:val="en-AU"/>
        </w:rPr>
        <w:tab/>
      </w:r>
      <w:r w:rsidRPr="00403151">
        <w:rPr>
          <w:rFonts w:ascii="Arial" w:hAnsi="Arial"/>
          <w:sz w:val="14"/>
          <w:szCs w:val="14"/>
          <w:lang w:val="en-AU"/>
        </w:rPr>
        <w:tab/>
      </w:r>
      <w:r w:rsidRPr="00403151">
        <w:rPr>
          <w:rFonts w:ascii="Arial" w:hAnsi="Arial"/>
          <w:sz w:val="14"/>
          <w:szCs w:val="14"/>
          <w:lang w:val="en-AU"/>
        </w:rPr>
        <w:tab/>
      </w:r>
      <w:r w:rsidRPr="00403151">
        <w:rPr>
          <w:rFonts w:ascii="Arial" w:hAnsi="Arial"/>
          <w:sz w:val="14"/>
          <w:szCs w:val="14"/>
          <w:lang w:val="en-AU"/>
        </w:rPr>
        <w:tab/>
      </w:r>
      <w:r w:rsidRPr="00403151">
        <w:rPr>
          <w:rFonts w:ascii="Arial" w:hAnsi="Arial"/>
          <w:sz w:val="14"/>
          <w:szCs w:val="14"/>
          <w:lang w:val="en-AU"/>
        </w:rPr>
        <w:tab/>
      </w:r>
    </w:p>
    <w:p w14:paraId="165CA5E2" w14:textId="35E36E57" w:rsidR="00E172B1" w:rsidRPr="00AC78F0" w:rsidRDefault="00403151" w:rsidP="000C6522">
      <w:pPr>
        <w:pStyle w:val="BodyText"/>
        <w:numPr>
          <w:ilvl w:val="0"/>
          <w:numId w:val="105"/>
        </w:numPr>
        <w:spacing w:before="0" w:after="0"/>
        <w:ind w:left="284" w:hanging="284"/>
        <w:rPr>
          <w:rFonts w:ascii="Arial" w:hAnsi="Arial"/>
          <w:sz w:val="14"/>
          <w:szCs w:val="14"/>
          <w:lang w:val="en-AU"/>
        </w:rPr>
        <w:sectPr w:rsidR="00E172B1" w:rsidRPr="00AC78F0" w:rsidSect="00C30BE6">
          <w:headerReference w:type="even" r:id="rId56"/>
          <w:headerReference w:type="default" r:id="rId57"/>
          <w:footerReference w:type="even" r:id="rId58"/>
          <w:footerReference w:type="default" r:id="rId59"/>
          <w:headerReference w:type="first" r:id="rId60"/>
          <w:pgSz w:w="11906" w:h="16838" w:code="9"/>
          <w:pgMar w:top="1701" w:right="1361" w:bottom="1701" w:left="1928" w:header="720" w:footer="720" w:gutter="0"/>
          <w:cols w:space="720"/>
        </w:sectPr>
      </w:pPr>
      <w:r w:rsidRPr="00AC78F0">
        <w:rPr>
          <w:rFonts w:ascii="Arial" w:hAnsi="Arial"/>
          <w:sz w:val="14"/>
          <w:szCs w:val="14"/>
          <w:lang w:val="en-AU"/>
        </w:rPr>
        <w:t>Own Source Revenue received</w:t>
      </w:r>
      <w:r w:rsidR="000517BE">
        <w:rPr>
          <w:rFonts w:ascii="Arial" w:hAnsi="Arial"/>
          <w:sz w:val="14"/>
          <w:szCs w:val="14"/>
          <w:lang w:val="en-AU"/>
        </w:rPr>
        <w:t xml:space="preserve"> in cash is returned to the OPA</w:t>
      </w:r>
      <w:r w:rsidRPr="00AC78F0">
        <w:rPr>
          <w:rFonts w:ascii="Arial" w:hAnsi="Arial"/>
          <w:sz w:val="14"/>
          <w:szCs w:val="14"/>
          <w:lang w:val="en-AU"/>
        </w:rPr>
        <w:tab/>
      </w:r>
      <w:r w:rsidRPr="00AC78F0">
        <w:rPr>
          <w:rFonts w:ascii="Arial" w:hAnsi="Arial"/>
          <w:sz w:val="14"/>
          <w:szCs w:val="14"/>
          <w:lang w:val="en-AU"/>
        </w:rPr>
        <w:tab/>
      </w:r>
      <w:r w:rsidRPr="00AC78F0">
        <w:rPr>
          <w:rFonts w:ascii="Arial" w:hAnsi="Arial"/>
          <w:sz w:val="14"/>
          <w:szCs w:val="14"/>
          <w:lang w:val="en-AU"/>
        </w:rPr>
        <w:tab/>
      </w:r>
      <w:r w:rsidRPr="00AC78F0">
        <w:rPr>
          <w:rFonts w:ascii="Arial" w:hAnsi="Arial"/>
          <w:sz w:val="14"/>
          <w:szCs w:val="14"/>
          <w:lang w:val="en-AU"/>
        </w:rPr>
        <w:tab/>
      </w:r>
      <w:r w:rsidRPr="00AC78F0">
        <w:rPr>
          <w:rFonts w:ascii="Arial" w:hAnsi="Arial"/>
          <w:sz w:val="14"/>
          <w:szCs w:val="14"/>
          <w:lang w:val="en-AU"/>
        </w:rPr>
        <w:tab/>
      </w:r>
      <w:r w:rsidRPr="00AC78F0">
        <w:rPr>
          <w:rFonts w:ascii="Arial" w:hAnsi="Arial"/>
          <w:sz w:val="14"/>
          <w:szCs w:val="14"/>
          <w:lang w:val="en-AU"/>
        </w:rPr>
        <w:tab/>
      </w:r>
      <w:r w:rsidRPr="00AC78F0">
        <w:rPr>
          <w:rFonts w:ascii="Arial" w:hAnsi="Arial"/>
          <w:sz w:val="14"/>
          <w:szCs w:val="14"/>
          <w:lang w:val="en-AU"/>
        </w:rPr>
        <w:tab/>
      </w:r>
      <w:r w:rsidRPr="00AC78F0">
        <w:rPr>
          <w:rFonts w:ascii="Arial" w:hAnsi="Arial"/>
          <w:sz w:val="14"/>
          <w:szCs w:val="14"/>
          <w:lang w:val="en-AU"/>
        </w:rPr>
        <w:tab/>
      </w:r>
      <w:r w:rsidRPr="00AC78F0">
        <w:rPr>
          <w:rFonts w:ascii="Arial" w:hAnsi="Arial"/>
          <w:sz w:val="14"/>
          <w:szCs w:val="14"/>
          <w:lang w:val="en-AU"/>
        </w:rPr>
        <w:tab/>
      </w:r>
      <w:r w:rsidR="00F750CA" w:rsidRPr="00AC78F0">
        <w:rPr>
          <w:rFonts w:ascii="Arial" w:hAnsi="Arial"/>
          <w:sz w:val="14"/>
          <w:szCs w:val="14"/>
          <w:lang w:val="en-AU"/>
        </w:rPr>
        <w:t>.</w:t>
      </w:r>
      <w:r w:rsidR="00F750CA" w:rsidRPr="00AC78F0">
        <w:rPr>
          <w:rFonts w:ascii="Arial" w:hAnsi="Arial"/>
          <w:sz w:val="14"/>
          <w:szCs w:val="14"/>
          <w:lang w:val="en-AU"/>
        </w:rPr>
        <w:tab/>
      </w:r>
      <w:r w:rsidR="00F750CA" w:rsidRPr="00AC78F0">
        <w:rPr>
          <w:rFonts w:ascii="Arial" w:hAnsi="Arial"/>
          <w:sz w:val="14"/>
          <w:szCs w:val="14"/>
          <w:lang w:val="en-AU"/>
        </w:rPr>
        <w:tab/>
      </w:r>
      <w:r w:rsidR="00F750CA" w:rsidRPr="00AC78F0">
        <w:rPr>
          <w:rFonts w:ascii="Arial" w:hAnsi="Arial"/>
          <w:sz w:val="14"/>
          <w:szCs w:val="14"/>
          <w:lang w:val="en-AU"/>
        </w:rPr>
        <w:tab/>
      </w:r>
      <w:r w:rsidR="00F750CA" w:rsidRPr="00AC78F0">
        <w:rPr>
          <w:rFonts w:ascii="Arial" w:hAnsi="Arial"/>
          <w:sz w:val="14"/>
          <w:szCs w:val="14"/>
          <w:lang w:val="en-AU"/>
        </w:rPr>
        <w:tab/>
      </w:r>
      <w:r w:rsidR="00F750CA" w:rsidRPr="00AC78F0">
        <w:rPr>
          <w:rFonts w:ascii="Arial" w:hAnsi="Arial"/>
          <w:sz w:val="14"/>
          <w:szCs w:val="14"/>
          <w:lang w:val="en-AU"/>
        </w:rPr>
        <w:tab/>
      </w:r>
      <w:r w:rsidR="00F750CA" w:rsidRPr="00AC78F0">
        <w:rPr>
          <w:rFonts w:ascii="Arial" w:hAnsi="Arial"/>
          <w:sz w:val="14"/>
          <w:szCs w:val="14"/>
          <w:lang w:val="en-AU"/>
        </w:rPr>
        <w:tab/>
      </w:r>
      <w:r w:rsidR="00F750CA" w:rsidRPr="00AC78F0">
        <w:rPr>
          <w:rFonts w:ascii="Arial" w:hAnsi="Arial"/>
          <w:sz w:val="14"/>
          <w:szCs w:val="14"/>
          <w:lang w:val="en-AU"/>
        </w:rPr>
        <w:tab/>
      </w:r>
      <w:r w:rsidR="00F750CA" w:rsidRPr="00AC78F0">
        <w:rPr>
          <w:rFonts w:ascii="Arial" w:hAnsi="Arial"/>
          <w:sz w:val="14"/>
          <w:szCs w:val="14"/>
          <w:lang w:val="en-AU"/>
        </w:rPr>
        <w:tab/>
      </w:r>
      <w:bookmarkStart w:id="910" w:name="_Toc97747825"/>
      <w:bookmarkStart w:id="911" w:name="_Toc108088936"/>
      <w:bookmarkStart w:id="912" w:name="_Toc108089015"/>
      <w:bookmarkStart w:id="913" w:name="_Toc108089410"/>
      <w:bookmarkStart w:id="914" w:name="_Toc159499679"/>
      <w:bookmarkEnd w:id="904"/>
      <w:bookmarkEnd w:id="905"/>
      <w:bookmarkEnd w:id="906"/>
      <w:bookmarkEnd w:id="907"/>
      <w:bookmarkEnd w:id="908"/>
      <w:bookmarkEnd w:id="909"/>
    </w:p>
    <w:p w14:paraId="2610F63B" w14:textId="56129CCD" w:rsidR="00125FFF" w:rsidRPr="003E76E7" w:rsidRDefault="00F11584" w:rsidP="00E172B1">
      <w:pPr>
        <w:pStyle w:val="Heading4"/>
        <w:spacing w:before="0" w:after="0"/>
        <w:rPr>
          <w:sz w:val="26"/>
          <w:szCs w:val="26"/>
          <w:lang w:val="en-AU"/>
        </w:rPr>
      </w:pPr>
      <w:bookmarkStart w:id="915" w:name="_Toc222129920"/>
      <w:bookmarkStart w:id="916" w:name="_Toc222148350"/>
      <w:bookmarkStart w:id="917" w:name="_Toc225847978"/>
      <w:bookmarkStart w:id="918" w:name="_Toc225848061"/>
      <w:bookmarkStart w:id="919" w:name="_Toc225848144"/>
      <w:bookmarkStart w:id="920" w:name="_Toc225848483"/>
      <w:bookmarkStart w:id="921" w:name="_Toc225941550"/>
      <w:bookmarkStart w:id="922" w:name="_Toc225942557"/>
      <w:bookmarkStart w:id="923" w:name="_Toc227334367"/>
      <w:bookmarkStart w:id="924" w:name="_Toc229072442"/>
      <w:bookmarkStart w:id="925" w:name="_Toc229072614"/>
      <w:r w:rsidRPr="003E76E7">
        <w:rPr>
          <w:sz w:val="26"/>
          <w:szCs w:val="26"/>
          <w:lang w:val="en-AU"/>
        </w:rPr>
        <w:lastRenderedPageBreak/>
        <w:t xml:space="preserve">1.3 </w:t>
      </w:r>
      <w:r w:rsidR="00125FFF" w:rsidRPr="003E76E7">
        <w:rPr>
          <w:sz w:val="26"/>
          <w:szCs w:val="26"/>
          <w:lang w:val="en-AU"/>
        </w:rPr>
        <w:t>Budget Measures</w:t>
      </w:r>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p>
    <w:p w14:paraId="73C2F2CC" w14:textId="29CD85EA" w:rsidR="00D76B5A" w:rsidRPr="003E76E7" w:rsidRDefault="00D76B5A" w:rsidP="00C4292D">
      <w:pPr>
        <w:spacing w:before="60" w:after="60" w:line="256" w:lineRule="auto"/>
      </w:pPr>
      <w:r w:rsidRPr="003E76E7">
        <w:t xml:space="preserve">Budget </w:t>
      </w:r>
      <w:r w:rsidR="00A07B99" w:rsidRPr="003E76E7">
        <w:t>M</w:t>
      </w:r>
      <w:r w:rsidRPr="003E76E7">
        <w:t xml:space="preserve">easures relating to </w:t>
      </w:r>
      <w:r w:rsidRPr="003E76E7">
        <w:rPr>
          <w:color w:val="000000"/>
        </w:rPr>
        <w:t>Defence</w:t>
      </w:r>
      <w:r w:rsidRPr="003E76E7">
        <w:t xml:space="preserve"> are detailed in Budget Paper No.</w:t>
      </w:r>
      <w:r w:rsidR="00300C19" w:rsidRPr="003E76E7">
        <w:t xml:space="preserve"> </w:t>
      </w:r>
      <w:r w:rsidRPr="003E76E7">
        <w:t>2 and are summarised below.</w:t>
      </w:r>
    </w:p>
    <w:p w14:paraId="18E97340" w14:textId="7BC45FC2" w:rsidR="00337D21" w:rsidRPr="003E76E7" w:rsidRDefault="00CD6D31" w:rsidP="00C4292D">
      <w:pPr>
        <w:pStyle w:val="BodyText"/>
        <w:rPr>
          <w:rFonts w:ascii="Arial" w:hAnsi="Arial"/>
          <w:b/>
          <w:sz w:val="22"/>
        </w:rPr>
      </w:pPr>
      <w:r w:rsidRPr="003E76E7">
        <w:rPr>
          <w:rFonts w:ascii="Arial" w:hAnsi="Arial"/>
          <w:b/>
          <w:sz w:val="22"/>
        </w:rPr>
        <w:t>202</w:t>
      </w:r>
      <w:r w:rsidR="004C79BC" w:rsidRPr="003E76E7">
        <w:rPr>
          <w:rFonts w:ascii="Arial" w:hAnsi="Arial"/>
          <w:b/>
          <w:sz w:val="22"/>
        </w:rPr>
        <w:t>6</w:t>
      </w:r>
      <w:r w:rsidRPr="003E76E7">
        <w:rPr>
          <w:rFonts w:ascii="Arial" w:hAnsi="Arial"/>
          <w:b/>
          <w:sz w:val="22"/>
        </w:rPr>
        <w:t>-2</w:t>
      </w:r>
      <w:r w:rsidR="004C79BC" w:rsidRPr="003E76E7">
        <w:rPr>
          <w:rFonts w:ascii="Arial" w:hAnsi="Arial"/>
          <w:b/>
          <w:sz w:val="22"/>
        </w:rPr>
        <w:t>7</w:t>
      </w:r>
      <w:r w:rsidR="00816130" w:rsidRPr="003E76E7">
        <w:rPr>
          <w:rFonts w:ascii="Arial" w:hAnsi="Arial"/>
          <w:b/>
          <w:sz w:val="22"/>
        </w:rPr>
        <w:t xml:space="preserve"> Budget Measures and O</w:t>
      </w:r>
      <w:r w:rsidR="00D51782" w:rsidRPr="003E76E7">
        <w:rPr>
          <w:rFonts w:ascii="Arial" w:hAnsi="Arial"/>
          <w:b/>
          <w:sz w:val="22"/>
        </w:rPr>
        <w:t>ther Budget A</w:t>
      </w:r>
      <w:r w:rsidR="00271ADD" w:rsidRPr="003E76E7">
        <w:rPr>
          <w:rFonts w:ascii="Arial" w:hAnsi="Arial"/>
          <w:b/>
          <w:sz w:val="22"/>
        </w:rPr>
        <w:t>djustments</w:t>
      </w:r>
    </w:p>
    <w:p w14:paraId="4EF70A88" w14:textId="006CDA41" w:rsidR="00896B65" w:rsidRPr="003E76E7" w:rsidRDefault="00896B65" w:rsidP="00C4292D">
      <w:pPr>
        <w:pStyle w:val="TableHeading"/>
        <w:numPr>
          <w:ilvl w:val="0"/>
          <w:numId w:val="60"/>
        </w:numPr>
        <w:tabs>
          <w:tab w:val="num" w:pos="284"/>
          <w:tab w:val="num" w:pos="567"/>
        </w:tabs>
        <w:spacing w:before="100"/>
        <w:ind w:left="720" w:hanging="720"/>
        <w:outlineLvl w:val="4"/>
        <w:rPr>
          <w:lang w:val="en-AU"/>
        </w:rPr>
      </w:pPr>
      <w:r w:rsidRPr="003E76E7">
        <w:rPr>
          <w:lang w:val="en-AU"/>
        </w:rPr>
        <w:t>Defence 202</w:t>
      </w:r>
      <w:r w:rsidR="00BF60DE" w:rsidRPr="003E76E7">
        <w:rPr>
          <w:lang w:val="en-AU"/>
        </w:rPr>
        <w:t>6</w:t>
      </w:r>
      <w:r w:rsidRPr="003E76E7">
        <w:rPr>
          <w:lang w:val="en-AU"/>
        </w:rPr>
        <w:t>-2</w:t>
      </w:r>
      <w:r w:rsidR="00BF60DE" w:rsidRPr="003E76E7">
        <w:rPr>
          <w:lang w:val="en-AU"/>
        </w:rPr>
        <w:t>7</w:t>
      </w:r>
      <w:r w:rsidRPr="003E76E7">
        <w:rPr>
          <w:lang w:val="en-AU"/>
        </w:rPr>
        <w:t xml:space="preserve"> Budget Measures and Other Budget Adjustments </w:t>
      </w:r>
    </w:p>
    <w:p w14:paraId="765BEAA8" w14:textId="45208134" w:rsidR="0060447E" w:rsidRPr="003E76E7" w:rsidRDefault="00CE69B0" w:rsidP="00C4292D">
      <w:pPr>
        <w:pStyle w:val="BodyText"/>
        <w:spacing w:after="0"/>
      </w:pPr>
      <w:r w:rsidRPr="00CE69B0">
        <w:drawing>
          <wp:inline distT="0" distB="0" distL="0" distR="0" wp14:anchorId="74BA0DAD" wp14:editId="5A91B00F">
            <wp:extent cx="7989369" cy="4490358"/>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008258" cy="4500975"/>
                    </a:xfrm>
                    <a:prstGeom prst="rect">
                      <a:avLst/>
                    </a:prstGeom>
                    <a:noFill/>
                    <a:ln>
                      <a:noFill/>
                    </a:ln>
                  </pic:spPr>
                </pic:pic>
              </a:graphicData>
            </a:graphic>
          </wp:inline>
        </w:drawing>
      </w:r>
    </w:p>
    <w:p w14:paraId="5635291A" w14:textId="77777777" w:rsidR="0087640C" w:rsidRDefault="0087640C" w:rsidP="001E7925">
      <w:pPr>
        <w:tabs>
          <w:tab w:val="left" w:pos="284"/>
        </w:tabs>
        <w:spacing w:before="0" w:after="0"/>
        <w:rPr>
          <w:rFonts w:ascii="Arial" w:hAnsi="Arial"/>
          <w:b/>
          <w:sz w:val="16"/>
          <w:szCs w:val="16"/>
        </w:rPr>
      </w:pPr>
    </w:p>
    <w:p w14:paraId="7E89D0D7" w14:textId="12C2CCBD" w:rsidR="00344B37" w:rsidRPr="001E7925" w:rsidRDefault="00181AD9" w:rsidP="001E7925">
      <w:pPr>
        <w:tabs>
          <w:tab w:val="left" w:pos="284"/>
        </w:tabs>
        <w:spacing w:before="0" w:after="0"/>
        <w:rPr>
          <w:rFonts w:ascii="Arial" w:hAnsi="Arial"/>
          <w:b/>
          <w:sz w:val="16"/>
          <w:szCs w:val="16"/>
        </w:rPr>
      </w:pPr>
      <w:r w:rsidRPr="001E7925">
        <w:rPr>
          <w:rFonts w:ascii="Arial" w:hAnsi="Arial"/>
          <w:b/>
          <w:sz w:val="16"/>
          <w:szCs w:val="16"/>
        </w:rPr>
        <w:t>Notes</w:t>
      </w:r>
    </w:p>
    <w:p w14:paraId="3EEF9039" w14:textId="70FF1921" w:rsidR="006E1B5D" w:rsidRPr="001E7925" w:rsidRDefault="00AE7DB5" w:rsidP="001E7925">
      <w:pPr>
        <w:tabs>
          <w:tab w:val="left" w:pos="284"/>
        </w:tabs>
        <w:spacing w:before="0" w:after="0"/>
        <w:ind w:left="284" w:hanging="284"/>
        <w:rPr>
          <w:rFonts w:ascii="Arial" w:hAnsi="Arial"/>
          <w:sz w:val="16"/>
          <w:szCs w:val="14"/>
        </w:rPr>
      </w:pPr>
      <w:bookmarkStart w:id="926" w:name="_Toc346545730"/>
      <w:bookmarkStart w:id="927" w:name="_Toc346622284"/>
      <w:bookmarkStart w:id="928" w:name="_Toc346692744"/>
      <w:bookmarkStart w:id="929" w:name="_Toc346713087"/>
      <w:r w:rsidRPr="001E7925">
        <w:rPr>
          <w:rFonts w:ascii="Arial" w:hAnsi="Arial"/>
          <w:sz w:val="16"/>
          <w:szCs w:val="14"/>
        </w:rPr>
        <w:t>a.</w:t>
      </w:r>
      <w:r w:rsidRPr="001E7925">
        <w:rPr>
          <w:rFonts w:ascii="Arial" w:hAnsi="Arial"/>
          <w:sz w:val="16"/>
          <w:szCs w:val="14"/>
        </w:rPr>
        <w:tab/>
      </w:r>
      <w:bookmarkEnd w:id="926"/>
      <w:bookmarkEnd w:id="927"/>
      <w:bookmarkEnd w:id="928"/>
      <w:bookmarkEnd w:id="929"/>
      <w:r w:rsidR="006E1B5D" w:rsidRPr="001E7925">
        <w:rPr>
          <w:rFonts w:ascii="Arial" w:hAnsi="Arial"/>
          <w:sz w:val="16"/>
          <w:szCs w:val="14"/>
        </w:rPr>
        <w:t xml:space="preserve">This measure provides $6.8 billion from 2026-27 to 2029-30 for the implementation of the </w:t>
      </w:r>
      <w:r w:rsidR="006E1B5D" w:rsidRPr="004A6093">
        <w:rPr>
          <w:rFonts w:ascii="Arial" w:hAnsi="Arial"/>
          <w:i/>
          <w:sz w:val="16"/>
          <w:szCs w:val="14"/>
        </w:rPr>
        <w:t>2026 National Defence Strategy</w:t>
      </w:r>
      <w:r w:rsidR="006E1B5D" w:rsidRPr="001E7925">
        <w:rPr>
          <w:rFonts w:ascii="Arial" w:hAnsi="Arial"/>
          <w:sz w:val="16"/>
          <w:szCs w:val="14"/>
        </w:rPr>
        <w:t xml:space="preserve"> and the Integrated Investment Program. This funding includes new investment for two marquee capability projects, General Purpose Frigates and Nuclear</w:t>
      </w:r>
      <w:r w:rsidR="006E1B5D" w:rsidRPr="001E7925">
        <w:rPr>
          <w:rFonts w:ascii="Cambria Math" w:hAnsi="Cambria Math" w:cs="Cambria Math"/>
          <w:sz w:val="16"/>
          <w:szCs w:val="14"/>
        </w:rPr>
        <w:t>‑</w:t>
      </w:r>
      <w:r w:rsidR="006E1B5D" w:rsidRPr="001E7925">
        <w:rPr>
          <w:rFonts w:ascii="Arial" w:hAnsi="Arial"/>
          <w:sz w:val="16"/>
          <w:szCs w:val="14"/>
        </w:rPr>
        <w:t xml:space="preserve">Powered Submarines, as well as a targeted uplift for other capability enhancements and sustainment activities. </w:t>
      </w:r>
    </w:p>
    <w:p w14:paraId="5674CD0A" w14:textId="1CF0C912" w:rsidR="006E1B5D" w:rsidRPr="001E7925" w:rsidRDefault="006E1B5D" w:rsidP="001E7925">
      <w:pPr>
        <w:tabs>
          <w:tab w:val="left" w:pos="284"/>
        </w:tabs>
        <w:spacing w:after="0"/>
        <w:ind w:left="284" w:hanging="284"/>
        <w:rPr>
          <w:rFonts w:ascii="Arial" w:hAnsi="Arial"/>
          <w:sz w:val="16"/>
          <w:szCs w:val="14"/>
        </w:rPr>
      </w:pPr>
      <w:r w:rsidRPr="001E7925">
        <w:rPr>
          <w:rFonts w:ascii="Arial" w:hAnsi="Arial"/>
          <w:sz w:val="16"/>
          <w:szCs w:val="14"/>
        </w:rPr>
        <w:tab/>
        <w:t xml:space="preserve">Consistent with the </w:t>
      </w:r>
      <w:r w:rsidRPr="001E7925">
        <w:rPr>
          <w:rFonts w:ascii="Arial" w:hAnsi="Arial"/>
          <w:i/>
          <w:sz w:val="16"/>
          <w:szCs w:val="14"/>
        </w:rPr>
        <w:t>2026 National Defence Strategy</w:t>
      </w:r>
      <w:r w:rsidR="004A6093">
        <w:rPr>
          <w:rFonts w:ascii="Arial" w:hAnsi="Arial"/>
          <w:sz w:val="16"/>
          <w:szCs w:val="14"/>
        </w:rPr>
        <w:t>, released on 16</w:t>
      </w:r>
      <w:r w:rsidRPr="001E7925">
        <w:rPr>
          <w:rFonts w:ascii="Arial" w:hAnsi="Arial"/>
          <w:sz w:val="16"/>
          <w:szCs w:val="14"/>
        </w:rPr>
        <w:t xml:space="preserve"> April 2026, the Government has identified approximately $5 billion of investment over the Forward Estimates for which Defence will prioritise the development of alternative financing and delivery options. This includes projects relating to the Defence estate, the consolidation of the Henderson Defence Precinct, and the development of the Guided Weapons and Explosive Ordnance Enterprise.</w:t>
      </w:r>
    </w:p>
    <w:p w14:paraId="445A2B5C" w14:textId="3A368789" w:rsidR="006E1B5D" w:rsidRPr="001E7925" w:rsidRDefault="006E1B5D" w:rsidP="001E7925">
      <w:pPr>
        <w:tabs>
          <w:tab w:val="left" w:pos="284"/>
        </w:tabs>
        <w:spacing w:after="0"/>
        <w:ind w:left="284" w:hanging="284"/>
        <w:rPr>
          <w:rFonts w:ascii="Arial" w:hAnsi="Arial"/>
          <w:sz w:val="16"/>
          <w:szCs w:val="14"/>
        </w:rPr>
      </w:pPr>
      <w:r w:rsidRPr="001E7925">
        <w:rPr>
          <w:rFonts w:ascii="Arial" w:hAnsi="Arial"/>
          <w:sz w:val="16"/>
          <w:szCs w:val="14"/>
        </w:rPr>
        <w:tab/>
        <w:t xml:space="preserve">In addition to the direct investment outlined in this measure, the Government has provisioned further funding in the 2026-27 Budget for the implementation of the </w:t>
      </w:r>
      <w:r w:rsidRPr="001E7925">
        <w:rPr>
          <w:rFonts w:ascii="Arial" w:hAnsi="Arial"/>
          <w:i/>
          <w:sz w:val="16"/>
          <w:szCs w:val="14"/>
        </w:rPr>
        <w:t xml:space="preserve">2026 National </w:t>
      </w:r>
      <w:r w:rsidR="002411C3">
        <w:rPr>
          <w:rFonts w:ascii="Arial" w:hAnsi="Arial"/>
          <w:i/>
          <w:sz w:val="16"/>
          <w:szCs w:val="14"/>
        </w:rPr>
        <w:br/>
      </w:r>
      <w:r w:rsidRPr="001E7925">
        <w:rPr>
          <w:rFonts w:ascii="Arial" w:hAnsi="Arial"/>
          <w:i/>
          <w:sz w:val="16"/>
          <w:szCs w:val="14"/>
        </w:rPr>
        <w:t>Defence Strategy</w:t>
      </w:r>
      <w:r w:rsidRPr="001E7925">
        <w:rPr>
          <w:rFonts w:ascii="Arial" w:hAnsi="Arial"/>
          <w:sz w:val="16"/>
          <w:szCs w:val="14"/>
        </w:rPr>
        <w:t xml:space="preserve"> over the Forward Estimates. Details of this funding are not for publication (nfp) due to commercial sensitivities.</w:t>
      </w:r>
    </w:p>
    <w:p w14:paraId="211A97D0" w14:textId="5B8248C9" w:rsidR="006E1B5D" w:rsidRPr="001E7925" w:rsidRDefault="006E1B5D" w:rsidP="001E7925">
      <w:pPr>
        <w:tabs>
          <w:tab w:val="left" w:pos="284"/>
        </w:tabs>
        <w:spacing w:after="0"/>
        <w:ind w:left="284" w:hanging="284"/>
        <w:rPr>
          <w:rFonts w:ascii="Arial" w:hAnsi="Arial"/>
          <w:sz w:val="16"/>
          <w:szCs w:val="14"/>
        </w:rPr>
      </w:pPr>
      <w:r w:rsidRPr="001E7925">
        <w:rPr>
          <w:rFonts w:ascii="Arial" w:hAnsi="Arial"/>
          <w:sz w:val="16"/>
          <w:szCs w:val="14"/>
        </w:rPr>
        <w:t>b.</w:t>
      </w:r>
      <w:r w:rsidRPr="001E7925">
        <w:rPr>
          <w:rFonts w:ascii="Arial" w:hAnsi="Arial"/>
          <w:sz w:val="16"/>
          <w:szCs w:val="14"/>
        </w:rPr>
        <w:tab/>
        <w:t>This measure provides further Defence investment in the Pacific region, including Defence’s implementation of the PukPuk Treaty.</w:t>
      </w:r>
      <w:r w:rsidRPr="001E7925">
        <w:rPr>
          <w:rFonts w:ascii="Arial" w:hAnsi="Arial"/>
          <w:sz w:val="16"/>
          <w:szCs w:val="14"/>
        </w:rPr>
        <w:tab/>
      </w:r>
      <w:r w:rsidRPr="001E7925">
        <w:rPr>
          <w:rFonts w:ascii="Arial" w:hAnsi="Arial"/>
          <w:sz w:val="16"/>
          <w:szCs w:val="14"/>
        </w:rPr>
        <w:tab/>
      </w:r>
      <w:r w:rsidRPr="001E7925">
        <w:rPr>
          <w:rFonts w:ascii="Arial" w:hAnsi="Arial"/>
          <w:sz w:val="16"/>
          <w:szCs w:val="14"/>
        </w:rPr>
        <w:tab/>
      </w:r>
      <w:r w:rsidRPr="001E7925">
        <w:rPr>
          <w:rFonts w:ascii="Arial" w:hAnsi="Arial"/>
          <w:sz w:val="16"/>
          <w:szCs w:val="14"/>
        </w:rPr>
        <w:tab/>
      </w:r>
      <w:r w:rsidRPr="001E7925">
        <w:rPr>
          <w:rFonts w:ascii="Arial" w:hAnsi="Arial"/>
          <w:sz w:val="16"/>
          <w:szCs w:val="14"/>
        </w:rPr>
        <w:tab/>
      </w:r>
      <w:r w:rsidRPr="001E7925">
        <w:rPr>
          <w:rFonts w:ascii="Arial" w:hAnsi="Arial"/>
          <w:sz w:val="16"/>
          <w:szCs w:val="14"/>
        </w:rPr>
        <w:tab/>
      </w:r>
      <w:r w:rsidRPr="001E7925">
        <w:rPr>
          <w:rFonts w:ascii="Arial" w:hAnsi="Arial"/>
          <w:sz w:val="16"/>
          <w:szCs w:val="14"/>
        </w:rPr>
        <w:tab/>
      </w:r>
    </w:p>
    <w:p w14:paraId="1285F73E" w14:textId="6E9BD8FD" w:rsidR="00A0236A" w:rsidRPr="00A0236A" w:rsidRDefault="006E1B5D" w:rsidP="00A0236A">
      <w:pPr>
        <w:tabs>
          <w:tab w:val="left" w:pos="284"/>
        </w:tabs>
        <w:spacing w:after="0"/>
        <w:ind w:left="284" w:hanging="284"/>
        <w:rPr>
          <w:rFonts w:ascii="Arial" w:hAnsi="Arial"/>
          <w:sz w:val="16"/>
          <w:szCs w:val="14"/>
        </w:rPr>
      </w:pPr>
      <w:r w:rsidRPr="001E7925">
        <w:rPr>
          <w:rFonts w:ascii="Arial" w:hAnsi="Arial"/>
          <w:sz w:val="16"/>
          <w:szCs w:val="14"/>
        </w:rPr>
        <w:t>c.</w:t>
      </w:r>
      <w:r w:rsidRPr="001E7925">
        <w:rPr>
          <w:rFonts w:ascii="Arial" w:hAnsi="Arial"/>
          <w:sz w:val="16"/>
          <w:szCs w:val="14"/>
        </w:rPr>
        <w:tab/>
      </w:r>
      <w:r w:rsidR="00A0236A" w:rsidRPr="00A0236A">
        <w:rPr>
          <w:rFonts w:ascii="Arial" w:hAnsi="Arial"/>
          <w:sz w:val="16"/>
          <w:szCs w:val="14"/>
        </w:rPr>
        <w:t>This measure provides a total of $106.4 million over six years, including $47.3 million from 2026-27 to 2029-30 for continued investment in Defence careers through the Schools Pathways Program, and $59.1 million from 2027-28 to 2031-32 for the implementation of 5-year Operating Funding for Strategic Policy Sector, which is being met from existing resourcing of the Department of Defence.</w:t>
      </w:r>
      <w:r w:rsidR="00A0236A" w:rsidRPr="00A0236A">
        <w:rPr>
          <w:rFonts w:ascii="Arial" w:hAnsi="Arial"/>
          <w:sz w:val="16"/>
          <w:szCs w:val="14"/>
        </w:rPr>
        <w:tab/>
      </w:r>
      <w:r w:rsidR="00A0236A" w:rsidRPr="00A0236A">
        <w:rPr>
          <w:rFonts w:ascii="Arial" w:hAnsi="Arial"/>
          <w:sz w:val="16"/>
          <w:szCs w:val="14"/>
        </w:rPr>
        <w:tab/>
      </w:r>
      <w:r w:rsidR="00A0236A" w:rsidRPr="00A0236A">
        <w:rPr>
          <w:rFonts w:ascii="Arial" w:hAnsi="Arial"/>
          <w:sz w:val="16"/>
          <w:szCs w:val="14"/>
        </w:rPr>
        <w:tab/>
      </w:r>
      <w:r w:rsidR="00A0236A" w:rsidRPr="00A0236A">
        <w:rPr>
          <w:rFonts w:ascii="Arial" w:hAnsi="Arial"/>
          <w:sz w:val="16"/>
          <w:szCs w:val="14"/>
        </w:rPr>
        <w:tab/>
      </w:r>
      <w:r w:rsidR="00A0236A" w:rsidRPr="00A0236A">
        <w:rPr>
          <w:rFonts w:ascii="Arial" w:hAnsi="Arial"/>
          <w:sz w:val="16"/>
          <w:szCs w:val="14"/>
        </w:rPr>
        <w:tab/>
      </w:r>
      <w:r w:rsidR="00A0236A" w:rsidRPr="00A0236A">
        <w:rPr>
          <w:rFonts w:ascii="Arial" w:hAnsi="Arial"/>
          <w:sz w:val="16"/>
          <w:szCs w:val="14"/>
        </w:rPr>
        <w:tab/>
      </w:r>
      <w:r w:rsidR="00A0236A" w:rsidRPr="00A0236A">
        <w:rPr>
          <w:rFonts w:ascii="Arial" w:hAnsi="Arial"/>
          <w:sz w:val="16"/>
          <w:szCs w:val="14"/>
        </w:rPr>
        <w:tab/>
      </w:r>
    </w:p>
    <w:p w14:paraId="386AB747" w14:textId="3CB326E1" w:rsidR="00A0236A" w:rsidRPr="00A0236A" w:rsidRDefault="00A0236A" w:rsidP="00A0236A">
      <w:pPr>
        <w:tabs>
          <w:tab w:val="left" w:pos="284"/>
        </w:tabs>
        <w:spacing w:after="0"/>
        <w:ind w:left="284" w:hanging="284"/>
        <w:rPr>
          <w:rFonts w:ascii="Arial" w:hAnsi="Arial"/>
          <w:sz w:val="16"/>
          <w:szCs w:val="14"/>
        </w:rPr>
      </w:pPr>
      <w:r w:rsidRPr="00A0236A">
        <w:rPr>
          <w:rFonts w:ascii="Arial" w:hAnsi="Arial"/>
          <w:sz w:val="16"/>
          <w:szCs w:val="14"/>
        </w:rPr>
        <w:t xml:space="preserve">d. </w:t>
      </w:r>
      <w:r>
        <w:rPr>
          <w:rFonts w:ascii="Arial" w:hAnsi="Arial"/>
          <w:sz w:val="16"/>
          <w:szCs w:val="14"/>
        </w:rPr>
        <w:tab/>
      </w:r>
      <w:r w:rsidRPr="00A0236A">
        <w:rPr>
          <w:rFonts w:ascii="Arial" w:hAnsi="Arial"/>
          <w:sz w:val="16"/>
          <w:szCs w:val="14"/>
        </w:rPr>
        <w:t>This measure provides $6.7 million in 2025-26, for military assistance including Gifting of Advanced Medium Range Air-to-Air Missiles to the Government of the UAE and Gifting of Weapons System for Guardian-class Patrol Boat to the Republic of the Maldives, which is being met from existing resourcing of the Department of Defence.</w:t>
      </w:r>
      <w:r w:rsidRPr="00A0236A">
        <w:rPr>
          <w:rFonts w:ascii="Arial" w:hAnsi="Arial"/>
          <w:sz w:val="16"/>
          <w:szCs w:val="14"/>
        </w:rPr>
        <w:tab/>
      </w:r>
      <w:r w:rsidRPr="00A0236A">
        <w:rPr>
          <w:rFonts w:ascii="Arial" w:hAnsi="Arial"/>
          <w:sz w:val="16"/>
          <w:szCs w:val="14"/>
        </w:rPr>
        <w:tab/>
      </w:r>
      <w:r w:rsidRPr="00A0236A">
        <w:rPr>
          <w:rFonts w:ascii="Arial" w:hAnsi="Arial"/>
          <w:sz w:val="16"/>
          <w:szCs w:val="14"/>
        </w:rPr>
        <w:tab/>
      </w:r>
      <w:r w:rsidRPr="00A0236A">
        <w:rPr>
          <w:rFonts w:ascii="Arial" w:hAnsi="Arial"/>
          <w:sz w:val="16"/>
          <w:szCs w:val="14"/>
        </w:rPr>
        <w:tab/>
      </w:r>
      <w:r w:rsidRPr="00A0236A">
        <w:rPr>
          <w:rFonts w:ascii="Arial" w:hAnsi="Arial"/>
          <w:sz w:val="16"/>
          <w:szCs w:val="14"/>
        </w:rPr>
        <w:tab/>
      </w:r>
      <w:r w:rsidRPr="00A0236A">
        <w:rPr>
          <w:rFonts w:ascii="Arial" w:hAnsi="Arial"/>
          <w:sz w:val="16"/>
          <w:szCs w:val="14"/>
        </w:rPr>
        <w:tab/>
      </w:r>
      <w:r w:rsidRPr="00A0236A">
        <w:rPr>
          <w:rFonts w:ascii="Arial" w:hAnsi="Arial"/>
          <w:sz w:val="16"/>
          <w:szCs w:val="14"/>
        </w:rPr>
        <w:tab/>
      </w:r>
    </w:p>
    <w:p w14:paraId="7105E9A5" w14:textId="5EA2F6C6" w:rsidR="00A0236A" w:rsidRPr="00A0236A" w:rsidRDefault="00A0236A" w:rsidP="00A0236A">
      <w:pPr>
        <w:tabs>
          <w:tab w:val="left" w:pos="284"/>
        </w:tabs>
        <w:spacing w:after="0"/>
        <w:ind w:left="284" w:hanging="284"/>
        <w:rPr>
          <w:rFonts w:ascii="Arial" w:hAnsi="Arial"/>
          <w:sz w:val="16"/>
          <w:szCs w:val="14"/>
        </w:rPr>
      </w:pPr>
      <w:r w:rsidRPr="00A0236A">
        <w:rPr>
          <w:rFonts w:ascii="Arial" w:hAnsi="Arial"/>
          <w:sz w:val="16"/>
          <w:szCs w:val="14"/>
        </w:rPr>
        <w:t xml:space="preserve">e. </w:t>
      </w:r>
      <w:r>
        <w:rPr>
          <w:rFonts w:ascii="Arial" w:hAnsi="Arial"/>
          <w:sz w:val="16"/>
          <w:szCs w:val="14"/>
        </w:rPr>
        <w:tab/>
      </w:r>
      <w:r w:rsidRPr="00A0236A">
        <w:rPr>
          <w:rFonts w:ascii="Arial" w:hAnsi="Arial"/>
          <w:sz w:val="16"/>
          <w:szCs w:val="14"/>
        </w:rPr>
        <w:t>This measure provides funding for the continued operation of the Office of the Special Investigator, which is being offset from the Department of Defence.</w:t>
      </w:r>
      <w:r w:rsidRPr="00A0236A">
        <w:rPr>
          <w:rFonts w:ascii="Arial" w:hAnsi="Arial"/>
          <w:sz w:val="16"/>
          <w:szCs w:val="14"/>
        </w:rPr>
        <w:tab/>
      </w:r>
      <w:r w:rsidRPr="00A0236A">
        <w:rPr>
          <w:rFonts w:ascii="Arial" w:hAnsi="Arial"/>
          <w:sz w:val="16"/>
          <w:szCs w:val="14"/>
        </w:rPr>
        <w:tab/>
      </w:r>
      <w:r w:rsidRPr="00A0236A">
        <w:rPr>
          <w:rFonts w:ascii="Arial" w:hAnsi="Arial"/>
          <w:sz w:val="16"/>
          <w:szCs w:val="14"/>
        </w:rPr>
        <w:tab/>
      </w:r>
      <w:r w:rsidRPr="00A0236A">
        <w:rPr>
          <w:rFonts w:ascii="Arial" w:hAnsi="Arial"/>
          <w:sz w:val="16"/>
          <w:szCs w:val="14"/>
        </w:rPr>
        <w:tab/>
      </w:r>
      <w:r w:rsidRPr="00A0236A">
        <w:rPr>
          <w:rFonts w:ascii="Arial" w:hAnsi="Arial"/>
          <w:sz w:val="16"/>
          <w:szCs w:val="14"/>
        </w:rPr>
        <w:tab/>
      </w:r>
      <w:r w:rsidRPr="00A0236A">
        <w:rPr>
          <w:rFonts w:ascii="Arial" w:hAnsi="Arial"/>
          <w:sz w:val="16"/>
          <w:szCs w:val="14"/>
        </w:rPr>
        <w:tab/>
      </w:r>
      <w:r w:rsidRPr="00A0236A">
        <w:rPr>
          <w:rFonts w:ascii="Arial" w:hAnsi="Arial"/>
          <w:sz w:val="16"/>
          <w:szCs w:val="14"/>
        </w:rPr>
        <w:tab/>
      </w:r>
    </w:p>
    <w:p w14:paraId="0AE14A64" w14:textId="07A046E7" w:rsidR="00A0236A" w:rsidRPr="00A0236A" w:rsidRDefault="00A0236A" w:rsidP="00A0236A">
      <w:pPr>
        <w:tabs>
          <w:tab w:val="left" w:pos="284"/>
        </w:tabs>
        <w:spacing w:after="0"/>
        <w:ind w:left="284" w:hanging="284"/>
        <w:rPr>
          <w:rFonts w:ascii="Arial" w:hAnsi="Arial"/>
          <w:sz w:val="16"/>
          <w:szCs w:val="14"/>
        </w:rPr>
      </w:pPr>
      <w:r w:rsidRPr="00A0236A">
        <w:rPr>
          <w:rFonts w:ascii="Arial" w:hAnsi="Arial"/>
          <w:sz w:val="16"/>
          <w:szCs w:val="14"/>
        </w:rPr>
        <w:t xml:space="preserve">f. </w:t>
      </w:r>
      <w:r>
        <w:rPr>
          <w:rFonts w:ascii="Arial" w:hAnsi="Arial"/>
          <w:sz w:val="16"/>
          <w:szCs w:val="14"/>
        </w:rPr>
        <w:tab/>
      </w:r>
      <w:r w:rsidRPr="00A0236A">
        <w:rPr>
          <w:rFonts w:ascii="Arial" w:hAnsi="Arial"/>
          <w:sz w:val="16"/>
          <w:szCs w:val="14"/>
        </w:rPr>
        <w:t>This measure includes transferring $711.9 million in funding from Defence Program 2.16 Nuclear-Powered Submarines to the Australian Submarine Agency.</w:t>
      </w:r>
      <w:r w:rsidRPr="00A0236A">
        <w:rPr>
          <w:rFonts w:ascii="Arial" w:hAnsi="Arial"/>
          <w:sz w:val="16"/>
          <w:szCs w:val="14"/>
        </w:rPr>
        <w:tab/>
      </w:r>
      <w:r w:rsidRPr="00A0236A">
        <w:rPr>
          <w:rFonts w:ascii="Arial" w:hAnsi="Arial"/>
          <w:sz w:val="16"/>
          <w:szCs w:val="14"/>
        </w:rPr>
        <w:tab/>
      </w:r>
      <w:r w:rsidRPr="00A0236A">
        <w:rPr>
          <w:rFonts w:ascii="Arial" w:hAnsi="Arial"/>
          <w:sz w:val="16"/>
          <w:szCs w:val="14"/>
        </w:rPr>
        <w:tab/>
      </w:r>
      <w:r w:rsidRPr="00A0236A">
        <w:rPr>
          <w:rFonts w:ascii="Arial" w:hAnsi="Arial"/>
          <w:sz w:val="16"/>
          <w:szCs w:val="14"/>
        </w:rPr>
        <w:tab/>
      </w:r>
      <w:r w:rsidRPr="00A0236A">
        <w:rPr>
          <w:rFonts w:ascii="Arial" w:hAnsi="Arial"/>
          <w:sz w:val="16"/>
          <w:szCs w:val="14"/>
        </w:rPr>
        <w:tab/>
      </w:r>
      <w:r w:rsidRPr="00A0236A">
        <w:rPr>
          <w:rFonts w:ascii="Arial" w:hAnsi="Arial"/>
          <w:sz w:val="16"/>
          <w:szCs w:val="14"/>
        </w:rPr>
        <w:tab/>
      </w:r>
      <w:r w:rsidRPr="00A0236A">
        <w:rPr>
          <w:rFonts w:ascii="Arial" w:hAnsi="Arial"/>
          <w:sz w:val="16"/>
          <w:szCs w:val="14"/>
        </w:rPr>
        <w:tab/>
      </w:r>
    </w:p>
    <w:p w14:paraId="7FEFA415" w14:textId="2D464AA4" w:rsidR="00A0236A" w:rsidRPr="00A0236A" w:rsidRDefault="00A0236A" w:rsidP="00A0236A">
      <w:pPr>
        <w:tabs>
          <w:tab w:val="left" w:pos="284"/>
        </w:tabs>
        <w:spacing w:after="0"/>
        <w:ind w:left="284" w:hanging="284"/>
        <w:rPr>
          <w:rFonts w:ascii="Arial" w:hAnsi="Arial"/>
          <w:sz w:val="16"/>
          <w:szCs w:val="14"/>
        </w:rPr>
      </w:pPr>
      <w:r w:rsidRPr="00A0236A">
        <w:rPr>
          <w:rFonts w:ascii="Arial" w:hAnsi="Arial"/>
          <w:sz w:val="16"/>
          <w:szCs w:val="14"/>
        </w:rPr>
        <w:t xml:space="preserve">g. </w:t>
      </w:r>
      <w:r>
        <w:rPr>
          <w:rFonts w:ascii="Arial" w:hAnsi="Arial"/>
          <w:sz w:val="16"/>
          <w:szCs w:val="14"/>
        </w:rPr>
        <w:tab/>
      </w:r>
      <w:r w:rsidRPr="00A0236A">
        <w:rPr>
          <w:rFonts w:ascii="Arial" w:hAnsi="Arial"/>
          <w:sz w:val="16"/>
          <w:szCs w:val="14"/>
        </w:rPr>
        <w:t>This measure provides $218.4 million over eight years from 2026-27 for continued support to the Nuclear-Powered Submarine Program, which is being met from existing resourcing of the Department of Defence.</w:t>
      </w:r>
      <w:r w:rsidRPr="00A0236A">
        <w:rPr>
          <w:rFonts w:ascii="Arial" w:hAnsi="Arial"/>
          <w:sz w:val="16"/>
          <w:szCs w:val="14"/>
        </w:rPr>
        <w:tab/>
      </w:r>
      <w:r w:rsidRPr="00A0236A">
        <w:rPr>
          <w:rFonts w:ascii="Arial" w:hAnsi="Arial"/>
          <w:sz w:val="16"/>
          <w:szCs w:val="14"/>
        </w:rPr>
        <w:tab/>
      </w:r>
      <w:r w:rsidRPr="00A0236A">
        <w:rPr>
          <w:rFonts w:ascii="Arial" w:hAnsi="Arial"/>
          <w:sz w:val="16"/>
          <w:szCs w:val="14"/>
        </w:rPr>
        <w:tab/>
      </w:r>
      <w:r w:rsidRPr="00A0236A">
        <w:rPr>
          <w:rFonts w:ascii="Arial" w:hAnsi="Arial"/>
          <w:sz w:val="16"/>
          <w:szCs w:val="14"/>
        </w:rPr>
        <w:tab/>
      </w:r>
      <w:r w:rsidRPr="00A0236A">
        <w:rPr>
          <w:rFonts w:ascii="Arial" w:hAnsi="Arial"/>
          <w:sz w:val="16"/>
          <w:szCs w:val="14"/>
        </w:rPr>
        <w:tab/>
      </w:r>
      <w:r w:rsidRPr="00A0236A">
        <w:rPr>
          <w:rFonts w:ascii="Arial" w:hAnsi="Arial"/>
          <w:sz w:val="16"/>
          <w:szCs w:val="14"/>
        </w:rPr>
        <w:tab/>
      </w:r>
      <w:r w:rsidRPr="00A0236A">
        <w:rPr>
          <w:rFonts w:ascii="Arial" w:hAnsi="Arial"/>
          <w:sz w:val="16"/>
          <w:szCs w:val="14"/>
        </w:rPr>
        <w:tab/>
      </w:r>
    </w:p>
    <w:p w14:paraId="2776BDF4" w14:textId="4D7AD8C1" w:rsidR="00A0236A" w:rsidRPr="00A0236A" w:rsidRDefault="00A0236A" w:rsidP="00A0236A">
      <w:pPr>
        <w:tabs>
          <w:tab w:val="left" w:pos="284"/>
        </w:tabs>
        <w:spacing w:after="0"/>
        <w:ind w:left="284" w:hanging="284"/>
        <w:rPr>
          <w:rFonts w:ascii="Arial" w:hAnsi="Arial"/>
          <w:sz w:val="16"/>
          <w:szCs w:val="14"/>
        </w:rPr>
      </w:pPr>
      <w:r w:rsidRPr="00A0236A">
        <w:rPr>
          <w:rFonts w:ascii="Arial" w:hAnsi="Arial"/>
          <w:sz w:val="16"/>
          <w:szCs w:val="14"/>
        </w:rPr>
        <w:t xml:space="preserve">h. </w:t>
      </w:r>
      <w:r>
        <w:rPr>
          <w:rFonts w:ascii="Arial" w:hAnsi="Arial"/>
          <w:sz w:val="16"/>
          <w:szCs w:val="14"/>
        </w:rPr>
        <w:tab/>
      </w:r>
      <w:r w:rsidRPr="00A0236A">
        <w:rPr>
          <w:rFonts w:ascii="Arial" w:hAnsi="Arial"/>
          <w:sz w:val="16"/>
          <w:szCs w:val="14"/>
        </w:rPr>
        <w:t>This measure will provide $311.9 million from 2026-27 to 2029-30 to implement the Government's response to the Final Report of the Royal Commission into Defence and Veteran Suicide, which is being held in the Contingency Reserve.</w:t>
      </w:r>
      <w:r w:rsidRPr="00A0236A">
        <w:rPr>
          <w:rFonts w:ascii="Arial" w:hAnsi="Arial"/>
          <w:sz w:val="16"/>
          <w:szCs w:val="14"/>
        </w:rPr>
        <w:tab/>
      </w:r>
      <w:r w:rsidRPr="00A0236A">
        <w:rPr>
          <w:rFonts w:ascii="Arial" w:hAnsi="Arial"/>
          <w:sz w:val="16"/>
          <w:szCs w:val="14"/>
        </w:rPr>
        <w:tab/>
      </w:r>
      <w:r w:rsidRPr="00A0236A">
        <w:rPr>
          <w:rFonts w:ascii="Arial" w:hAnsi="Arial"/>
          <w:sz w:val="16"/>
          <w:szCs w:val="14"/>
        </w:rPr>
        <w:tab/>
      </w:r>
      <w:r w:rsidRPr="00A0236A">
        <w:rPr>
          <w:rFonts w:ascii="Arial" w:hAnsi="Arial"/>
          <w:sz w:val="16"/>
          <w:szCs w:val="14"/>
        </w:rPr>
        <w:tab/>
      </w:r>
      <w:r w:rsidRPr="00A0236A">
        <w:rPr>
          <w:rFonts w:ascii="Arial" w:hAnsi="Arial"/>
          <w:sz w:val="16"/>
          <w:szCs w:val="14"/>
        </w:rPr>
        <w:tab/>
      </w:r>
      <w:r w:rsidRPr="00A0236A">
        <w:rPr>
          <w:rFonts w:ascii="Arial" w:hAnsi="Arial"/>
          <w:sz w:val="16"/>
          <w:szCs w:val="14"/>
        </w:rPr>
        <w:tab/>
      </w:r>
      <w:r w:rsidRPr="00A0236A">
        <w:rPr>
          <w:rFonts w:ascii="Arial" w:hAnsi="Arial"/>
          <w:sz w:val="16"/>
          <w:szCs w:val="14"/>
        </w:rPr>
        <w:tab/>
      </w:r>
    </w:p>
    <w:p w14:paraId="11620B17" w14:textId="6193474E" w:rsidR="00A0236A" w:rsidRPr="00A0236A" w:rsidRDefault="00A0236A" w:rsidP="00A0236A">
      <w:pPr>
        <w:tabs>
          <w:tab w:val="left" w:pos="284"/>
        </w:tabs>
        <w:spacing w:after="0"/>
        <w:ind w:left="284" w:hanging="284"/>
        <w:rPr>
          <w:rFonts w:ascii="Arial" w:hAnsi="Arial"/>
          <w:sz w:val="16"/>
          <w:szCs w:val="14"/>
        </w:rPr>
      </w:pPr>
      <w:r w:rsidRPr="00A0236A">
        <w:rPr>
          <w:rFonts w:ascii="Arial" w:hAnsi="Arial"/>
          <w:sz w:val="16"/>
          <w:szCs w:val="14"/>
        </w:rPr>
        <w:t xml:space="preserve">i. </w:t>
      </w:r>
      <w:r>
        <w:rPr>
          <w:rFonts w:ascii="Arial" w:hAnsi="Arial"/>
          <w:sz w:val="16"/>
          <w:szCs w:val="14"/>
        </w:rPr>
        <w:tab/>
      </w:r>
      <w:r w:rsidRPr="00A0236A">
        <w:rPr>
          <w:rFonts w:ascii="Arial" w:hAnsi="Arial"/>
          <w:sz w:val="16"/>
          <w:szCs w:val="14"/>
        </w:rPr>
        <w:t>This measure is nfp due to commercial sensitivities.</w:t>
      </w:r>
      <w:r w:rsidRPr="00A0236A">
        <w:rPr>
          <w:rFonts w:ascii="Arial" w:hAnsi="Arial"/>
          <w:sz w:val="16"/>
          <w:szCs w:val="14"/>
        </w:rPr>
        <w:tab/>
      </w:r>
      <w:r w:rsidRPr="00A0236A">
        <w:rPr>
          <w:rFonts w:ascii="Arial" w:hAnsi="Arial"/>
          <w:sz w:val="16"/>
          <w:szCs w:val="14"/>
        </w:rPr>
        <w:tab/>
      </w:r>
      <w:r w:rsidRPr="00A0236A">
        <w:rPr>
          <w:rFonts w:ascii="Arial" w:hAnsi="Arial"/>
          <w:sz w:val="16"/>
          <w:szCs w:val="14"/>
        </w:rPr>
        <w:tab/>
      </w:r>
      <w:r w:rsidRPr="00A0236A">
        <w:rPr>
          <w:rFonts w:ascii="Arial" w:hAnsi="Arial"/>
          <w:sz w:val="16"/>
          <w:szCs w:val="14"/>
        </w:rPr>
        <w:tab/>
      </w:r>
      <w:r w:rsidRPr="00A0236A">
        <w:rPr>
          <w:rFonts w:ascii="Arial" w:hAnsi="Arial"/>
          <w:sz w:val="16"/>
          <w:szCs w:val="14"/>
        </w:rPr>
        <w:tab/>
      </w:r>
      <w:r w:rsidRPr="00A0236A">
        <w:rPr>
          <w:rFonts w:ascii="Arial" w:hAnsi="Arial"/>
          <w:sz w:val="16"/>
          <w:szCs w:val="14"/>
        </w:rPr>
        <w:tab/>
      </w:r>
      <w:r w:rsidRPr="00A0236A">
        <w:rPr>
          <w:rFonts w:ascii="Arial" w:hAnsi="Arial"/>
          <w:sz w:val="16"/>
          <w:szCs w:val="14"/>
        </w:rPr>
        <w:tab/>
      </w:r>
    </w:p>
    <w:p w14:paraId="795035D6" w14:textId="35E8E6EB" w:rsidR="00A0236A" w:rsidRPr="00A0236A" w:rsidRDefault="00A0236A" w:rsidP="00A0236A">
      <w:pPr>
        <w:tabs>
          <w:tab w:val="left" w:pos="284"/>
        </w:tabs>
        <w:spacing w:after="0"/>
        <w:ind w:left="284" w:hanging="284"/>
        <w:rPr>
          <w:rFonts w:ascii="Arial" w:hAnsi="Arial"/>
          <w:sz w:val="16"/>
          <w:szCs w:val="14"/>
        </w:rPr>
      </w:pPr>
      <w:r w:rsidRPr="00A0236A">
        <w:rPr>
          <w:rFonts w:ascii="Arial" w:hAnsi="Arial"/>
          <w:sz w:val="16"/>
          <w:szCs w:val="14"/>
        </w:rPr>
        <w:t xml:space="preserve">j. </w:t>
      </w:r>
      <w:r>
        <w:rPr>
          <w:rFonts w:ascii="Arial" w:hAnsi="Arial"/>
          <w:sz w:val="16"/>
          <w:szCs w:val="14"/>
        </w:rPr>
        <w:tab/>
      </w:r>
      <w:r w:rsidRPr="00A0236A">
        <w:rPr>
          <w:rFonts w:ascii="Arial" w:hAnsi="Arial"/>
          <w:sz w:val="16"/>
          <w:szCs w:val="14"/>
        </w:rPr>
        <w:t>This measure provides funding for an independent cost assurance function within the Department of Finance, offset from the Department of Defence.</w:t>
      </w:r>
      <w:r w:rsidRPr="00A0236A">
        <w:rPr>
          <w:rFonts w:ascii="Arial" w:hAnsi="Arial"/>
          <w:sz w:val="16"/>
          <w:szCs w:val="14"/>
        </w:rPr>
        <w:tab/>
      </w:r>
      <w:r w:rsidRPr="00A0236A">
        <w:rPr>
          <w:rFonts w:ascii="Arial" w:hAnsi="Arial"/>
          <w:sz w:val="16"/>
          <w:szCs w:val="14"/>
        </w:rPr>
        <w:tab/>
      </w:r>
      <w:r w:rsidRPr="00A0236A">
        <w:rPr>
          <w:rFonts w:ascii="Arial" w:hAnsi="Arial"/>
          <w:sz w:val="16"/>
          <w:szCs w:val="14"/>
        </w:rPr>
        <w:tab/>
      </w:r>
      <w:r w:rsidRPr="00A0236A">
        <w:rPr>
          <w:rFonts w:ascii="Arial" w:hAnsi="Arial"/>
          <w:sz w:val="16"/>
          <w:szCs w:val="14"/>
        </w:rPr>
        <w:tab/>
      </w:r>
      <w:r w:rsidRPr="00A0236A">
        <w:rPr>
          <w:rFonts w:ascii="Arial" w:hAnsi="Arial"/>
          <w:sz w:val="16"/>
          <w:szCs w:val="14"/>
        </w:rPr>
        <w:tab/>
      </w:r>
      <w:r w:rsidRPr="00A0236A">
        <w:rPr>
          <w:rFonts w:ascii="Arial" w:hAnsi="Arial"/>
          <w:sz w:val="16"/>
          <w:szCs w:val="14"/>
        </w:rPr>
        <w:tab/>
      </w:r>
      <w:r w:rsidRPr="00A0236A">
        <w:rPr>
          <w:rFonts w:ascii="Arial" w:hAnsi="Arial"/>
          <w:sz w:val="16"/>
          <w:szCs w:val="14"/>
        </w:rPr>
        <w:tab/>
      </w:r>
    </w:p>
    <w:p w14:paraId="152E53B2" w14:textId="7784321F" w:rsidR="00A0236A" w:rsidRPr="00A0236A" w:rsidRDefault="00A0236A" w:rsidP="00A0236A">
      <w:pPr>
        <w:tabs>
          <w:tab w:val="left" w:pos="284"/>
        </w:tabs>
        <w:spacing w:after="0"/>
        <w:ind w:left="284" w:hanging="284"/>
        <w:rPr>
          <w:rFonts w:ascii="Arial" w:hAnsi="Arial"/>
          <w:sz w:val="16"/>
          <w:szCs w:val="14"/>
        </w:rPr>
      </w:pPr>
      <w:r w:rsidRPr="00A0236A">
        <w:rPr>
          <w:rFonts w:ascii="Arial" w:hAnsi="Arial"/>
          <w:sz w:val="16"/>
          <w:szCs w:val="14"/>
        </w:rPr>
        <w:t xml:space="preserve">k. </w:t>
      </w:r>
      <w:r>
        <w:rPr>
          <w:rFonts w:ascii="Arial" w:hAnsi="Arial"/>
          <w:sz w:val="16"/>
          <w:szCs w:val="14"/>
        </w:rPr>
        <w:tab/>
      </w:r>
      <w:r w:rsidRPr="00A0236A">
        <w:rPr>
          <w:rFonts w:ascii="Arial" w:hAnsi="Arial"/>
          <w:sz w:val="16"/>
          <w:szCs w:val="14"/>
        </w:rPr>
        <w:t xml:space="preserve">This funding adjustment of $900 million is to support Defence’s ongoing working capital requirements, and is in addition to the $700 million of working capital provided in the </w:t>
      </w:r>
      <w:r w:rsidR="00B137DE">
        <w:rPr>
          <w:rFonts w:ascii="Arial" w:hAnsi="Arial"/>
          <w:sz w:val="16"/>
          <w:szCs w:val="14"/>
        </w:rPr>
        <w:br/>
      </w:r>
      <w:r w:rsidRPr="00A0236A">
        <w:rPr>
          <w:rFonts w:ascii="Arial" w:hAnsi="Arial"/>
          <w:sz w:val="16"/>
          <w:szCs w:val="14"/>
        </w:rPr>
        <w:t xml:space="preserve">2025-26 Budget. These funding adjustments increase Defence cash reserves to meet Defence industry commitments as and when they fall due for payment. </w:t>
      </w:r>
      <w:r w:rsidRPr="00A0236A">
        <w:rPr>
          <w:rFonts w:ascii="Arial" w:hAnsi="Arial"/>
          <w:sz w:val="16"/>
          <w:szCs w:val="14"/>
        </w:rPr>
        <w:tab/>
      </w:r>
      <w:r w:rsidRPr="00A0236A">
        <w:rPr>
          <w:rFonts w:ascii="Arial" w:hAnsi="Arial"/>
          <w:sz w:val="16"/>
          <w:szCs w:val="14"/>
        </w:rPr>
        <w:tab/>
      </w:r>
      <w:r w:rsidRPr="00A0236A">
        <w:rPr>
          <w:rFonts w:ascii="Arial" w:hAnsi="Arial"/>
          <w:sz w:val="16"/>
          <w:szCs w:val="14"/>
        </w:rPr>
        <w:tab/>
      </w:r>
      <w:r w:rsidRPr="00A0236A">
        <w:rPr>
          <w:rFonts w:ascii="Arial" w:hAnsi="Arial"/>
          <w:sz w:val="16"/>
          <w:szCs w:val="14"/>
        </w:rPr>
        <w:tab/>
      </w:r>
      <w:r w:rsidRPr="00A0236A">
        <w:rPr>
          <w:rFonts w:ascii="Arial" w:hAnsi="Arial"/>
          <w:sz w:val="16"/>
          <w:szCs w:val="14"/>
        </w:rPr>
        <w:tab/>
      </w:r>
      <w:r w:rsidRPr="00A0236A">
        <w:rPr>
          <w:rFonts w:ascii="Arial" w:hAnsi="Arial"/>
          <w:sz w:val="16"/>
          <w:szCs w:val="14"/>
        </w:rPr>
        <w:tab/>
      </w:r>
      <w:r w:rsidRPr="00A0236A">
        <w:rPr>
          <w:rFonts w:ascii="Arial" w:hAnsi="Arial"/>
          <w:sz w:val="16"/>
          <w:szCs w:val="14"/>
        </w:rPr>
        <w:tab/>
      </w:r>
    </w:p>
    <w:p w14:paraId="2D4D9E5E" w14:textId="16284375" w:rsidR="00A0236A" w:rsidRPr="00A0236A" w:rsidRDefault="00A0236A" w:rsidP="00A0236A">
      <w:pPr>
        <w:tabs>
          <w:tab w:val="left" w:pos="284"/>
        </w:tabs>
        <w:spacing w:after="0"/>
        <w:ind w:left="284" w:hanging="284"/>
        <w:rPr>
          <w:rFonts w:ascii="Arial" w:hAnsi="Arial"/>
          <w:sz w:val="16"/>
          <w:szCs w:val="14"/>
        </w:rPr>
      </w:pPr>
      <w:r w:rsidRPr="00A0236A">
        <w:rPr>
          <w:rFonts w:ascii="Arial" w:hAnsi="Arial"/>
          <w:sz w:val="16"/>
          <w:szCs w:val="14"/>
        </w:rPr>
        <w:t xml:space="preserve">l. </w:t>
      </w:r>
      <w:r>
        <w:rPr>
          <w:rFonts w:ascii="Arial" w:hAnsi="Arial"/>
          <w:sz w:val="16"/>
          <w:szCs w:val="14"/>
        </w:rPr>
        <w:tab/>
      </w:r>
      <w:r w:rsidRPr="00A0236A">
        <w:rPr>
          <w:rFonts w:ascii="Arial" w:hAnsi="Arial"/>
          <w:sz w:val="16"/>
          <w:szCs w:val="14"/>
        </w:rPr>
        <w:t xml:space="preserve">This adjustment predominately relates to bringing forward Defence funding to accelerate delivery of capability, including $1.7 billion into 2025-26 for the Nuclear-Powered Submarine Program. </w:t>
      </w:r>
      <w:r w:rsidRPr="00A0236A">
        <w:rPr>
          <w:rFonts w:ascii="Arial" w:hAnsi="Arial"/>
          <w:sz w:val="16"/>
          <w:szCs w:val="14"/>
        </w:rPr>
        <w:tab/>
      </w:r>
      <w:r w:rsidRPr="00A0236A">
        <w:rPr>
          <w:rFonts w:ascii="Arial" w:hAnsi="Arial"/>
          <w:sz w:val="16"/>
          <w:szCs w:val="14"/>
        </w:rPr>
        <w:tab/>
      </w:r>
      <w:r w:rsidRPr="00A0236A">
        <w:rPr>
          <w:rFonts w:ascii="Arial" w:hAnsi="Arial"/>
          <w:sz w:val="16"/>
          <w:szCs w:val="14"/>
        </w:rPr>
        <w:tab/>
      </w:r>
      <w:r w:rsidRPr="00A0236A">
        <w:rPr>
          <w:rFonts w:ascii="Arial" w:hAnsi="Arial"/>
          <w:sz w:val="16"/>
          <w:szCs w:val="14"/>
        </w:rPr>
        <w:tab/>
      </w:r>
      <w:r w:rsidRPr="00A0236A">
        <w:rPr>
          <w:rFonts w:ascii="Arial" w:hAnsi="Arial"/>
          <w:sz w:val="16"/>
          <w:szCs w:val="14"/>
        </w:rPr>
        <w:tab/>
      </w:r>
      <w:r w:rsidRPr="00A0236A">
        <w:rPr>
          <w:rFonts w:ascii="Arial" w:hAnsi="Arial"/>
          <w:sz w:val="16"/>
          <w:szCs w:val="14"/>
        </w:rPr>
        <w:tab/>
      </w:r>
      <w:r w:rsidRPr="00A0236A">
        <w:rPr>
          <w:rFonts w:ascii="Arial" w:hAnsi="Arial"/>
          <w:sz w:val="16"/>
          <w:szCs w:val="14"/>
        </w:rPr>
        <w:tab/>
      </w:r>
    </w:p>
    <w:p w14:paraId="0B3629B1" w14:textId="0B3B29A0" w:rsidR="00E172B1" w:rsidRDefault="00A0236A" w:rsidP="00A0236A">
      <w:pPr>
        <w:tabs>
          <w:tab w:val="left" w:pos="284"/>
        </w:tabs>
        <w:spacing w:after="0"/>
        <w:ind w:left="284" w:hanging="284"/>
        <w:rPr>
          <w:rFonts w:ascii="Arial" w:hAnsi="Arial"/>
          <w:sz w:val="14"/>
          <w:szCs w:val="14"/>
        </w:rPr>
      </w:pPr>
      <w:r w:rsidRPr="00A0236A">
        <w:rPr>
          <w:rFonts w:ascii="Arial" w:hAnsi="Arial"/>
          <w:sz w:val="16"/>
          <w:szCs w:val="14"/>
        </w:rPr>
        <w:t xml:space="preserve">m. </w:t>
      </w:r>
      <w:r>
        <w:rPr>
          <w:rFonts w:ascii="Arial" w:hAnsi="Arial"/>
          <w:sz w:val="16"/>
          <w:szCs w:val="14"/>
        </w:rPr>
        <w:tab/>
      </w:r>
      <w:r w:rsidRPr="00A0236A">
        <w:rPr>
          <w:rFonts w:ascii="Arial" w:hAnsi="Arial"/>
          <w:sz w:val="16"/>
          <w:szCs w:val="14"/>
        </w:rPr>
        <w:t xml:space="preserve">An amount of $1,841.1 million is expected to be received through Appropriation Bill (No. 5) 2025-26 and $900 million through Appropriation Bill (No.6) 2025-26. The </w:t>
      </w:r>
      <w:r w:rsidR="00E0115A">
        <w:rPr>
          <w:rFonts w:ascii="Arial" w:hAnsi="Arial"/>
          <w:i/>
          <w:sz w:val="16"/>
          <w:szCs w:val="14"/>
        </w:rPr>
        <w:t>2025-</w:t>
      </w:r>
      <w:r w:rsidRPr="00E0115A">
        <w:rPr>
          <w:rFonts w:ascii="Arial" w:hAnsi="Arial"/>
          <w:i/>
          <w:sz w:val="16"/>
          <w:szCs w:val="14"/>
        </w:rPr>
        <w:t>26 Portfolio Supplementary Additional Estimates Statements</w:t>
      </w:r>
      <w:r w:rsidRPr="00A0236A">
        <w:rPr>
          <w:rFonts w:ascii="Arial" w:hAnsi="Arial"/>
          <w:sz w:val="16"/>
          <w:szCs w:val="14"/>
        </w:rPr>
        <w:t xml:space="preserve"> also provide detail on these amounts.</w:t>
      </w:r>
      <w:r w:rsidRPr="00A0236A">
        <w:rPr>
          <w:rFonts w:ascii="Arial" w:hAnsi="Arial"/>
          <w:sz w:val="16"/>
          <w:szCs w:val="14"/>
        </w:rPr>
        <w:tab/>
      </w:r>
      <w:r w:rsidRPr="00A0236A">
        <w:rPr>
          <w:rFonts w:ascii="Arial" w:hAnsi="Arial"/>
          <w:sz w:val="16"/>
          <w:szCs w:val="14"/>
        </w:rPr>
        <w:tab/>
      </w:r>
      <w:r w:rsidRPr="00A0236A">
        <w:rPr>
          <w:rFonts w:ascii="Arial" w:hAnsi="Arial"/>
          <w:sz w:val="16"/>
          <w:szCs w:val="14"/>
        </w:rPr>
        <w:tab/>
      </w:r>
      <w:r w:rsidRPr="00A0236A">
        <w:rPr>
          <w:rFonts w:ascii="Arial" w:hAnsi="Arial"/>
          <w:sz w:val="16"/>
          <w:szCs w:val="14"/>
        </w:rPr>
        <w:tab/>
      </w:r>
      <w:r w:rsidRPr="00A0236A">
        <w:rPr>
          <w:rFonts w:ascii="Arial" w:hAnsi="Arial"/>
          <w:sz w:val="16"/>
          <w:szCs w:val="14"/>
        </w:rPr>
        <w:tab/>
      </w:r>
      <w:r w:rsidRPr="00A0236A">
        <w:rPr>
          <w:rFonts w:ascii="Arial" w:hAnsi="Arial"/>
          <w:sz w:val="16"/>
          <w:szCs w:val="14"/>
        </w:rPr>
        <w:tab/>
      </w:r>
      <w:r w:rsidRPr="00A0236A">
        <w:rPr>
          <w:rFonts w:ascii="Arial" w:hAnsi="Arial"/>
          <w:sz w:val="16"/>
          <w:szCs w:val="14"/>
        </w:rPr>
        <w:tab/>
      </w:r>
    </w:p>
    <w:p w14:paraId="7CC1E9E7" w14:textId="3EBA052D" w:rsidR="001E7925" w:rsidRDefault="001E7925" w:rsidP="001E7925">
      <w:pPr>
        <w:tabs>
          <w:tab w:val="left" w:pos="284"/>
        </w:tabs>
        <w:spacing w:after="0"/>
        <w:ind w:left="284" w:hanging="284"/>
        <w:rPr>
          <w:rFonts w:ascii="Arial" w:hAnsi="Arial"/>
          <w:sz w:val="14"/>
          <w:szCs w:val="14"/>
        </w:rPr>
      </w:pPr>
    </w:p>
    <w:p w14:paraId="01655A5B" w14:textId="77777777" w:rsidR="001E7925" w:rsidRPr="00301510" w:rsidRDefault="001E7925" w:rsidP="001E7925">
      <w:pPr>
        <w:tabs>
          <w:tab w:val="left" w:pos="284"/>
        </w:tabs>
        <w:spacing w:after="0"/>
        <w:ind w:left="284" w:hanging="284"/>
        <w:rPr>
          <w:rFonts w:ascii="Arial" w:hAnsi="Arial"/>
          <w:sz w:val="14"/>
          <w:szCs w:val="14"/>
        </w:rPr>
        <w:sectPr w:rsidR="001E7925" w:rsidRPr="00301510" w:rsidSect="0087640C">
          <w:headerReference w:type="even" r:id="rId62"/>
          <w:headerReference w:type="default" r:id="rId63"/>
          <w:footerReference w:type="even" r:id="rId64"/>
          <w:footerReference w:type="default" r:id="rId65"/>
          <w:pgSz w:w="16838" w:h="11906" w:orient="landscape" w:code="9"/>
          <w:pgMar w:top="1702" w:right="1701" w:bottom="1361" w:left="1701" w:header="720" w:footer="720" w:gutter="0"/>
          <w:cols w:space="720"/>
          <w:docGrid w:linePitch="272"/>
        </w:sectPr>
      </w:pPr>
    </w:p>
    <w:p w14:paraId="2D7A13C4" w14:textId="619FF32D" w:rsidR="00683FB3" w:rsidRPr="003E76E7" w:rsidRDefault="00BF4918" w:rsidP="00BF4918">
      <w:pPr>
        <w:tabs>
          <w:tab w:val="left" w:pos="0"/>
        </w:tabs>
        <w:spacing w:before="0" w:after="0"/>
        <w:rPr>
          <w:rFonts w:ascii="Arial" w:hAnsi="Arial"/>
          <w:sz w:val="14"/>
          <w:szCs w:val="14"/>
        </w:rPr>
      </w:pPr>
      <w:r w:rsidRPr="003E76E7">
        <w:rPr>
          <w:rFonts w:ascii="Arial" w:hAnsi="Arial"/>
          <w:sz w:val="14"/>
          <w:szCs w:val="14"/>
        </w:rPr>
        <w:lastRenderedPageBreak/>
        <w:tab/>
      </w:r>
      <w:r w:rsidRPr="003E76E7">
        <w:rPr>
          <w:rFonts w:ascii="Arial" w:hAnsi="Arial"/>
          <w:sz w:val="14"/>
          <w:szCs w:val="14"/>
        </w:rPr>
        <w:tab/>
      </w:r>
      <w:r w:rsidRPr="003E76E7">
        <w:rPr>
          <w:rFonts w:ascii="Arial" w:hAnsi="Arial"/>
          <w:sz w:val="14"/>
          <w:szCs w:val="14"/>
        </w:rPr>
        <w:tab/>
      </w:r>
      <w:r w:rsidR="006E1B5D" w:rsidRPr="003E76E7">
        <w:rPr>
          <w:rFonts w:ascii="Arial" w:hAnsi="Arial"/>
          <w:sz w:val="14"/>
          <w:szCs w:val="14"/>
        </w:rPr>
        <w:tab/>
      </w:r>
      <w:r w:rsidR="006E1B5D" w:rsidRPr="003E76E7">
        <w:rPr>
          <w:rFonts w:ascii="Arial" w:hAnsi="Arial"/>
          <w:sz w:val="14"/>
          <w:szCs w:val="14"/>
        </w:rPr>
        <w:tab/>
      </w:r>
      <w:r w:rsidR="006E1B5D" w:rsidRPr="003E76E7">
        <w:rPr>
          <w:rFonts w:ascii="Arial" w:hAnsi="Arial"/>
          <w:sz w:val="14"/>
          <w:szCs w:val="14"/>
        </w:rPr>
        <w:tab/>
      </w:r>
      <w:r w:rsidR="006E1B5D" w:rsidRPr="003E76E7">
        <w:rPr>
          <w:rFonts w:ascii="Arial" w:hAnsi="Arial"/>
          <w:sz w:val="14"/>
          <w:szCs w:val="14"/>
        </w:rPr>
        <w:tab/>
      </w:r>
      <w:r w:rsidR="006E1B5D" w:rsidRPr="003E76E7">
        <w:rPr>
          <w:rFonts w:ascii="Arial" w:hAnsi="Arial"/>
          <w:sz w:val="14"/>
          <w:szCs w:val="14"/>
        </w:rPr>
        <w:tab/>
      </w:r>
      <w:r w:rsidR="006E1B5D" w:rsidRPr="003E76E7">
        <w:rPr>
          <w:rFonts w:ascii="Arial" w:hAnsi="Arial"/>
          <w:sz w:val="14"/>
          <w:szCs w:val="14"/>
        </w:rPr>
        <w:tab/>
      </w:r>
      <w:r w:rsidR="006E1B5D" w:rsidRPr="003E76E7">
        <w:rPr>
          <w:rFonts w:ascii="Arial" w:hAnsi="Arial"/>
          <w:sz w:val="14"/>
          <w:szCs w:val="14"/>
        </w:rPr>
        <w:tab/>
      </w:r>
      <w:r w:rsidR="00BC06CD" w:rsidRPr="003E76E7">
        <w:rPr>
          <w:rFonts w:ascii="Arial" w:hAnsi="Arial"/>
          <w:b/>
          <w:sz w:val="22"/>
        </w:rPr>
        <w:t>Operations Summary</w:t>
      </w:r>
    </w:p>
    <w:p w14:paraId="3F55242A" w14:textId="501E53C7" w:rsidR="00656D60" w:rsidRPr="003E76E7" w:rsidRDefault="00BC06CD" w:rsidP="00C4292D">
      <w:pPr>
        <w:pStyle w:val="TableHeading"/>
        <w:numPr>
          <w:ilvl w:val="0"/>
          <w:numId w:val="60"/>
        </w:numPr>
        <w:tabs>
          <w:tab w:val="num" w:pos="284"/>
          <w:tab w:val="num" w:pos="567"/>
        </w:tabs>
        <w:spacing w:before="100"/>
        <w:ind w:left="720" w:hanging="720"/>
        <w:outlineLvl w:val="4"/>
        <w:rPr>
          <w:lang w:val="en-AU"/>
        </w:rPr>
      </w:pPr>
      <w:r w:rsidRPr="003E76E7">
        <w:rPr>
          <w:lang w:val="en-AU"/>
        </w:rPr>
        <w:t xml:space="preserve">Net Additional Cost of </w:t>
      </w:r>
      <w:r w:rsidR="009A4C67" w:rsidRPr="003E76E7">
        <w:rPr>
          <w:lang w:val="en-AU"/>
        </w:rPr>
        <w:t xml:space="preserve">Current </w:t>
      </w:r>
      <w:r w:rsidR="004F3843" w:rsidRPr="003E76E7">
        <w:rPr>
          <w:lang w:val="en-AU"/>
        </w:rPr>
        <w:t xml:space="preserve">Major </w:t>
      </w:r>
      <w:r w:rsidRPr="003E76E7">
        <w:rPr>
          <w:lang w:val="en-AU"/>
        </w:rPr>
        <w:t>Operations to 202</w:t>
      </w:r>
      <w:r w:rsidR="00BF60DE" w:rsidRPr="003E76E7">
        <w:rPr>
          <w:lang w:val="en-AU"/>
        </w:rPr>
        <w:t>9-30</w:t>
      </w:r>
      <w:r w:rsidR="00C83461" w:rsidRPr="003E76E7">
        <w:rPr>
          <w:lang w:val="en-AU"/>
        </w:rPr>
        <w:t xml:space="preserve"> </w:t>
      </w:r>
      <w:r w:rsidR="00B85C56" w:rsidRPr="003E76E7">
        <w:rPr>
          <w:vertAlign w:val="superscript"/>
          <w:lang w:val="en-AU"/>
        </w:rPr>
        <w:t>[a]</w:t>
      </w:r>
      <w:r w:rsidR="00AC24B7" w:rsidRPr="003E76E7">
        <w:rPr>
          <w:vertAlign w:val="superscript"/>
          <w:lang w:val="en-AU"/>
        </w:rPr>
        <w:t xml:space="preserve"> </w:t>
      </w:r>
      <w:r w:rsidR="00B85C56" w:rsidRPr="003E76E7">
        <w:rPr>
          <w:vertAlign w:val="superscript"/>
          <w:lang w:val="en-AU"/>
        </w:rPr>
        <w:t>[b]</w:t>
      </w:r>
      <w:r w:rsidR="00AC24B7" w:rsidRPr="003E76E7">
        <w:rPr>
          <w:vertAlign w:val="superscript"/>
          <w:lang w:val="en-AU"/>
        </w:rPr>
        <w:t xml:space="preserve"> </w:t>
      </w:r>
      <w:r w:rsidR="00314011" w:rsidRPr="003E76E7">
        <w:rPr>
          <w:vertAlign w:val="superscript"/>
          <w:lang w:val="en-AU"/>
        </w:rPr>
        <w:t>[c]</w:t>
      </w:r>
    </w:p>
    <w:p w14:paraId="4059308E" w14:textId="39257335" w:rsidR="006A5D51" w:rsidRPr="003E76E7" w:rsidRDefault="001313B1" w:rsidP="00C4292D">
      <w:pPr>
        <w:spacing w:after="0"/>
      </w:pPr>
      <w:r w:rsidRPr="001313B1">
        <w:rPr>
          <w:noProof/>
          <w:lang w:val="en-AU"/>
        </w:rPr>
        <w:drawing>
          <wp:inline distT="0" distB="0" distL="0" distR="0" wp14:anchorId="367B4585" wp14:editId="106E4BC9">
            <wp:extent cx="5471795" cy="1692902"/>
            <wp:effectExtent l="0" t="0" r="0" b="317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71795" cy="1692902"/>
                    </a:xfrm>
                    <a:prstGeom prst="rect">
                      <a:avLst/>
                    </a:prstGeom>
                    <a:noFill/>
                    <a:ln>
                      <a:noFill/>
                    </a:ln>
                  </pic:spPr>
                </pic:pic>
              </a:graphicData>
            </a:graphic>
          </wp:inline>
        </w:drawing>
      </w:r>
    </w:p>
    <w:p w14:paraId="38A8947F" w14:textId="77777777" w:rsidR="00A643CE" w:rsidRPr="003E76E7" w:rsidRDefault="00A643CE" w:rsidP="00C4292D">
      <w:pPr>
        <w:spacing w:before="0" w:after="0"/>
        <w:rPr>
          <w:rFonts w:ascii="Arial" w:hAnsi="Arial"/>
          <w:sz w:val="14"/>
        </w:rPr>
      </w:pPr>
    </w:p>
    <w:p w14:paraId="3655AEF8" w14:textId="67043C85" w:rsidR="00A643CE" w:rsidRPr="003E76E7" w:rsidRDefault="00A643CE" w:rsidP="00C4292D">
      <w:pPr>
        <w:spacing w:before="0" w:after="0"/>
        <w:rPr>
          <w:rFonts w:ascii="Arial" w:hAnsi="Arial"/>
          <w:b/>
          <w:sz w:val="14"/>
          <w:szCs w:val="14"/>
        </w:rPr>
      </w:pPr>
      <w:r w:rsidRPr="003E76E7">
        <w:rPr>
          <w:rFonts w:ascii="Arial" w:hAnsi="Arial"/>
          <w:b/>
          <w:sz w:val="14"/>
          <w:szCs w:val="14"/>
        </w:rPr>
        <w:t>Notes</w:t>
      </w:r>
    </w:p>
    <w:p w14:paraId="2C09DFF9" w14:textId="40E8BE8F" w:rsidR="00CD0E15" w:rsidRPr="003E76E7" w:rsidRDefault="00CD0E15" w:rsidP="00C4292D">
      <w:pPr>
        <w:pStyle w:val="TableHeading"/>
        <w:numPr>
          <w:ilvl w:val="0"/>
          <w:numId w:val="49"/>
        </w:numPr>
        <w:tabs>
          <w:tab w:val="left" w:pos="284"/>
        </w:tabs>
        <w:spacing w:before="0" w:after="0"/>
        <w:ind w:left="284" w:hanging="284"/>
        <w:rPr>
          <w:b w:val="0"/>
          <w:sz w:val="14"/>
          <w:szCs w:val="14"/>
        </w:rPr>
      </w:pPr>
      <w:r w:rsidRPr="003E76E7">
        <w:rPr>
          <w:b w:val="0"/>
          <w:sz w:val="14"/>
          <w:szCs w:val="14"/>
        </w:rPr>
        <w:t>This table reflects ongoing and new Major Operations funded under No Win/No Loss arrangement</w:t>
      </w:r>
      <w:r w:rsidR="00C4292D" w:rsidRPr="003E76E7">
        <w:rPr>
          <w:b w:val="0"/>
          <w:sz w:val="14"/>
          <w:szCs w:val="14"/>
        </w:rPr>
        <w:t>s</w:t>
      </w:r>
      <w:r w:rsidRPr="003E76E7">
        <w:rPr>
          <w:b w:val="0"/>
          <w:sz w:val="14"/>
          <w:szCs w:val="14"/>
        </w:rPr>
        <w:t>.</w:t>
      </w:r>
    </w:p>
    <w:p w14:paraId="11E21852" w14:textId="2732C27C" w:rsidR="00CD0E15" w:rsidRPr="003E76E7" w:rsidRDefault="00CD0E15" w:rsidP="00C4292D">
      <w:pPr>
        <w:spacing w:before="0" w:after="0"/>
        <w:ind w:left="284" w:hanging="284"/>
        <w:rPr>
          <w:rFonts w:ascii="Arial" w:hAnsi="Arial"/>
          <w:sz w:val="14"/>
          <w:szCs w:val="14"/>
        </w:rPr>
      </w:pPr>
      <w:r w:rsidRPr="003E76E7">
        <w:rPr>
          <w:rFonts w:ascii="Arial" w:hAnsi="Arial"/>
          <w:sz w:val="14"/>
          <w:szCs w:val="14"/>
        </w:rPr>
        <w:t>b.</w:t>
      </w:r>
      <w:r w:rsidRPr="003E76E7">
        <w:rPr>
          <w:rFonts w:ascii="Arial" w:hAnsi="Arial"/>
          <w:sz w:val="14"/>
          <w:szCs w:val="14"/>
        </w:rPr>
        <w:tab/>
        <w:t>The Net Additional Cost of Major Operations include</w:t>
      </w:r>
      <w:r w:rsidR="00DE0200">
        <w:rPr>
          <w:rFonts w:ascii="Arial" w:hAnsi="Arial"/>
          <w:sz w:val="14"/>
          <w:szCs w:val="14"/>
        </w:rPr>
        <w:t>s</w:t>
      </w:r>
      <w:r w:rsidRPr="003E76E7">
        <w:rPr>
          <w:rFonts w:ascii="Arial" w:hAnsi="Arial"/>
          <w:sz w:val="14"/>
          <w:szCs w:val="14"/>
        </w:rPr>
        <w:t xml:space="preserve"> the budget adjustments shown under Table 2.</w:t>
      </w:r>
    </w:p>
    <w:p w14:paraId="102629FA" w14:textId="6BCF9691" w:rsidR="00E86986" w:rsidRPr="003E76E7" w:rsidRDefault="00CD0E15" w:rsidP="00C4292D">
      <w:pPr>
        <w:spacing w:before="0" w:after="0"/>
        <w:ind w:left="284" w:hanging="284"/>
        <w:rPr>
          <w:rFonts w:ascii="Arial" w:hAnsi="Arial"/>
          <w:sz w:val="14"/>
          <w:szCs w:val="14"/>
        </w:rPr>
      </w:pPr>
      <w:r w:rsidRPr="003E76E7">
        <w:rPr>
          <w:rFonts w:ascii="Arial" w:hAnsi="Arial"/>
          <w:sz w:val="14"/>
          <w:szCs w:val="14"/>
        </w:rPr>
        <w:t>c.</w:t>
      </w:r>
      <w:r w:rsidRPr="003E76E7">
        <w:rPr>
          <w:rFonts w:ascii="Arial" w:hAnsi="Arial"/>
          <w:sz w:val="14"/>
          <w:szCs w:val="14"/>
        </w:rPr>
        <w:tab/>
        <w:t>Certain Operations are not for publication (nfp) due to national security reasons.</w:t>
      </w:r>
    </w:p>
    <w:p w14:paraId="15D0386E" w14:textId="77777777" w:rsidR="00006482" w:rsidRPr="003E76E7" w:rsidRDefault="00006482" w:rsidP="00C4292D">
      <w:pPr>
        <w:spacing w:before="0" w:after="0"/>
        <w:ind w:left="284" w:hanging="284"/>
        <w:rPr>
          <w:rFonts w:ascii="Arial" w:hAnsi="Arial"/>
          <w:sz w:val="14"/>
          <w:szCs w:val="14"/>
        </w:rPr>
      </w:pPr>
    </w:p>
    <w:p w14:paraId="2325130B" w14:textId="77777777" w:rsidR="00BC06CD" w:rsidRPr="003E76E7" w:rsidRDefault="0016176D" w:rsidP="00C4292D">
      <w:pPr>
        <w:spacing w:before="0" w:after="0"/>
        <w:ind w:left="284" w:hanging="284"/>
        <w:rPr>
          <w:rFonts w:ascii="Arial" w:hAnsi="Arial" w:cs="Times New Roman"/>
          <w:b/>
          <w:bCs/>
          <w:sz w:val="14"/>
          <w:szCs w:val="14"/>
          <w:lang w:val="en-AU"/>
        </w:rPr>
      </w:pPr>
      <w:r w:rsidRPr="003E76E7">
        <w:rPr>
          <w:sz w:val="14"/>
          <w:szCs w:val="14"/>
          <w:lang w:val="en-AU"/>
        </w:rPr>
        <w:br w:type="page"/>
      </w:r>
    </w:p>
    <w:p w14:paraId="605861D0" w14:textId="22724FB7" w:rsidR="00493A5E" w:rsidRPr="003E76E7" w:rsidRDefault="00F11584" w:rsidP="00C4292D">
      <w:pPr>
        <w:pStyle w:val="Heading4"/>
        <w:rPr>
          <w:sz w:val="26"/>
          <w:szCs w:val="26"/>
          <w:lang w:val="en-AU"/>
        </w:rPr>
      </w:pPr>
      <w:bookmarkStart w:id="930" w:name="_Toc69729043"/>
      <w:bookmarkStart w:id="931" w:name="_Toc97747826"/>
      <w:bookmarkStart w:id="932" w:name="_Toc108088937"/>
      <w:bookmarkStart w:id="933" w:name="_Toc108089016"/>
      <w:bookmarkStart w:id="934" w:name="_Toc108089411"/>
      <w:bookmarkStart w:id="935" w:name="_Toc159499680"/>
      <w:bookmarkStart w:id="936" w:name="_Toc222129921"/>
      <w:bookmarkStart w:id="937" w:name="_Toc222148351"/>
      <w:bookmarkStart w:id="938" w:name="_Toc225847979"/>
      <w:bookmarkStart w:id="939" w:name="_Toc225848062"/>
      <w:bookmarkStart w:id="940" w:name="_Toc225848145"/>
      <w:bookmarkStart w:id="941" w:name="_Toc225848484"/>
      <w:bookmarkStart w:id="942" w:name="_Toc225941551"/>
      <w:bookmarkStart w:id="943" w:name="_Toc225942558"/>
      <w:bookmarkStart w:id="944" w:name="_Toc227334368"/>
      <w:bookmarkStart w:id="945" w:name="_Toc229072443"/>
      <w:bookmarkStart w:id="946" w:name="_Toc229072615"/>
      <w:r w:rsidRPr="003E76E7">
        <w:rPr>
          <w:sz w:val="26"/>
          <w:szCs w:val="26"/>
          <w:lang w:val="en-AU"/>
        </w:rPr>
        <w:lastRenderedPageBreak/>
        <w:t xml:space="preserve">1.4 </w:t>
      </w:r>
      <w:r w:rsidR="00493A5E" w:rsidRPr="003E76E7">
        <w:rPr>
          <w:sz w:val="26"/>
          <w:szCs w:val="26"/>
          <w:lang w:val="en-AU"/>
        </w:rPr>
        <w:t>Key Cost Categor</w:t>
      </w:r>
      <w:r w:rsidR="006B2F43" w:rsidRPr="003E76E7">
        <w:rPr>
          <w:sz w:val="26"/>
          <w:szCs w:val="26"/>
          <w:lang w:val="en-AU"/>
        </w:rPr>
        <w:t>y</w:t>
      </w:r>
      <w:r w:rsidR="00493A5E" w:rsidRPr="003E76E7">
        <w:rPr>
          <w:sz w:val="26"/>
          <w:szCs w:val="26"/>
          <w:lang w:val="en-AU"/>
        </w:rPr>
        <w:t xml:space="preserve"> Estimates</w:t>
      </w:r>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p>
    <w:p w14:paraId="39AD5A14" w14:textId="628A7B4B" w:rsidR="007D47CB" w:rsidRPr="003E76E7" w:rsidRDefault="005C7D83" w:rsidP="00C4292D">
      <w:pPr>
        <w:autoSpaceDE w:val="0"/>
        <w:autoSpaceDN w:val="0"/>
        <w:adjustRightInd w:val="0"/>
        <w:spacing w:before="120" w:after="120"/>
        <w:jc w:val="both"/>
        <w:outlineLvl w:val="4"/>
        <w:rPr>
          <w:rFonts w:ascii="Arial" w:hAnsi="Arial"/>
          <w:b/>
          <w:sz w:val="22"/>
          <w:szCs w:val="22"/>
        </w:rPr>
      </w:pPr>
      <w:r w:rsidRPr="003E76E7">
        <w:rPr>
          <w:rFonts w:ascii="Arial" w:hAnsi="Arial"/>
          <w:b/>
          <w:sz w:val="22"/>
          <w:szCs w:val="22"/>
        </w:rPr>
        <w:t xml:space="preserve">Table 4a: Defence, </w:t>
      </w:r>
      <w:r w:rsidR="007D47CB" w:rsidRPr="003E76E7">
        <w:rPr>
          <w:rFonts w:ascii="Arial" w:hAnsi="Arial"/>
          <w:b/>
          <w:sz w:val="22"/>
          <w:szCs w:val="22"/>
        </w:rPr>
        <w:t>ASD</w:t>
      </w:r>
      <w:r w:rsidR="002B42B9" w:rsidRPr="003E76E7">
        <w:rPr>
          <w:rFonts w:ascii="Arial" w:hAnsi="Arial"/>
          <w:b/>
          <w:sz w:val="22"/>
          <w:szCs w:val="22"/>
        </w:rPr>
        <w:t xml:space="preserve">, </w:t>
      </w:r>
      <w:r w:rsidRPr="003E76E7">
        <w:rPr>
          <w:rFonts w:ascii="Arial" w:hAnsi="Arial"/>
          <w:b/>
          <w:sz w:val="22"/>
          <w:szCs w:val="22"/>
        </w:rPr>
        <w:t>ASA</w:t>
      </w:r>
      <w:r w:rsidR="002B42B9" w:rsidRPr="003E76E7">
        <w:rPr>
          <w:rFonts w:ascii="Arial" w:hAnsi="Arial"/>
          <w:b/>
          <w:sz w:val="22"/>
          <w:szCs w:val="22"/>
        </w:rPr>
        <w:t xml:space="preserve"> and ANNPSR </w:t>
      </w:r>
      <w:r w:rsidR="007D47CB" w:rsidRPr="003E76E7">
        <w:rPr>
          <w:rFonts w:ascii="Arial" w:hAnsi="Arial"/>
          <w:b/>
          <w:sz w:val="22"/>
          <w:szCs w:val="22"/>
        </w:rPr>
        <w:t>Funding</w:t>
      </w:r>
      <w:r w:rsidR="009A59BF" w:rsidRPr="003E76E7">
        <w:rPr>
          <w:rFonts w:ascii="Arial" w:hAnsi="Arial"/>
          <w:b/>
          <w:sz w:val="22"/>
          <w:szCs w:val="22"/>
        </w:rPr>
        <w:t xml:space="preserve"> from Government</w:t>
      </w:r>
      <w:r w:rsidR="00D448A5" w:rsidRPr="003E76E7">
        <w:rPr>
          <w:rFonts w:ascii="Arial" w:hAnsi="Arial"/>
          <w:b/>
          <w:sz w:val="22"/>
          <w:szCs w:val="22"/>
        </w:rPr>
        <w:t xml:space="preserve"> </w:t>
      </w:r>
      <w:r w:rsidR="00F60004" w:rsidRPr="003E76E7">
        <w:rPr>
          <w:rFonts w:ascii="Arial" w:hAnsi="Arial"/>
          <w:b/>
          <w:sz w:val="22"/>
          <w:szCs w:val="22"/>
          <w:vertAlign w:val="superscript"/>
        </w:rPr>
        <w:t>[a]</w:t>
      </w:r>
    </w:p>
    <w:p w14:paraId="4A659239" w14:textId="2844E3BF" w:rsidR="00040BF9" w:rsidRPr="003E76E7" w:rsidRDefault="00CA26E7" w:rsidP="00C4292D">
      <w:pPr>
        <w:pStyle w:val="BodyText"/>
        <w:spacing w:after="0"/>
      </w:pPr>
      <w:r w:rsidRPr="003E76E7">
        <w:rPr>
          <w:noProof/>
          <w:lang w:val="en-AU"/>
        </w:rPr>
        <w:drawing>
          <wp:inline distT="0" distB="0" distL="0" distR="0" wp14:anchorId="78F5ECA6" wp14:editId="758DF60F">
            <wp:extent cx="5471795" cy="1212821"/>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71795" cy="1212821"/>
                    </a:xfrm>
                    <a:prstGeom prst="rect">
                      <a:avLst/>
                    </a:prstGeom>
                    <a:noFill/>
                    <a:ln>
                      <a:noFill/>
                    </a:ln>
                  </pic:spPr>
                </pic:pic>
              </a:graphicData>
            </a:graphic>
          </wp:inline>
        </w:drawing>
      </w:r>
    </w:p>
    <w:p w14:paraId="2E990E43" w14:textId="77777777" w:rsidR="009E7877" w:rsidRPr="003E76E7" w:rsidRDefault="009E7877" w:rsidP="00C4292D">
      <w:pPr>
        <w:spacing w:before="0" w:after="0"/>
        <w:rPr>
          <w:rFonts w:ascii="Arial" w:hAnsi="Arial"/>
          <w:b/>
          <w:sz w:val="14"/>
          <w:szCs w:val="14"/>
        </w:rPr>
      </w:pPr>
    </w:p>
    <w:p w14:paraId="594F7B5A" w14:textId="1CF2EDCA" w:rsidR="00CD0E15" w:rsidRPr="003E76E7" w:rsidRDefault="004C125D" w:rsidP="00C4292D">
      <w:pPr>
        <w:spacing w:before="0" w:after="0"/>
        <w:rPr>
          <w:rFonts w:ascii="Arial" w:hAnsi="Arial"/>
          <w:b/>
          <w:sz w:val="14"/>
          <w:szCs w:val="14"/>
        </w:rPr>
      </w:pPr>
      <w:r w:rsidRPr="003E76E7">
        <w:rPr>
          <w:rFonts w:ascii="Arial" w:hAnsi="Arial"/>
          <w:b/>
          <w:sz w:val="14"/>
          <w:szCs w:val="14"/>
        </w:rPr>
        <w:t>Note</w:t>
      </w:r>
      <w:r w:rsidR="00CD0E15" w:rsidRPr="003E76E7">
        <w:rPr>
          <w:rFonts w:ascii="Arial" w:hAnsi="Arial"/>
          <w:b/>
          <w:sz w:val="14"/>
          <w:szCs w:val="14"/>
        </w:rPr>
        <w:t>s</w:t>
      </w:r>
    </w:p>
    <w:p w14:paraId="33999B1D" w14:textId="095CA047" w:rsidR="00CA26E7" w:rsidRPr="003E76E7" w:rsidRDefault="00CA26E7" w:rsidP="00C4292D">
      <w:pPr>
        <w:pStyle w:val="TableHeading"/>
        <w:numPr>
          <w:ilvl w:val="0"/>
          <w:numId w:val="104"/>
        </w:numPr>
        <w:tabs>
          <w:tab w:val="left" w:pos="284"/>
        </w:tabs>
        <w:spacing w:before="0" w:after="0"/>
        <w:ind w:left="284" w:hanging="284"/>
        <w:rPr>
          <w:b w:val="0"/>
          <w:sz w:val="14"/>
          <w:szCs w:val="14"/>
        </w:rPr>
      </w:pPr>
      <w:r w:rsidRPr="003E76E7">
        <w:rPr>
          <w:b w:val="0"/>
          <w:sz w:val="14"/>
          <w:szCs w:val="14"/>
        </w:rPr>
        <w:t>Provides a consolidated summary of Defence Portfolio funding, excluding Defence Housing Australia (DHA), Department of Veterans' Affairs (DVA) and the Defence and Veterans' Service Commission (DVSC).</w:t>
      </w:r>
      <w:r w:rsidRPr="003E76E7">
        <w:rPr>
          <w:b w:val="0"/>
          <w:sz w:val="14"/>
          <w:szCs w:val="14"/>
        </w:rPr>
        <w:tab/>
      </w:r>
      <w:r w:rsidRPr="003E76E7">
        <w:rPr>
          <w:b w:val="0"/>
          <w:sz w:val="14"/>
          <w:szCs w:val="14"/>
        </w:rPr>
        <w:tab/>
      </w:r>
      <w:r w:rsidRPr="003E76E7">
        <w:rPr>
          <w:b w:val="0"/>
          <w:sz w:val="14"/>
          <w:szCs w:val="14"/>
        </w:rPr>
        <w:tab/>
      </w:r>
      <w:r w:rsidRPr="003E76E7">
        <w:rPr>
          <w:b w:val="0"/>
          <w:sz w:val="14"/>
          <w:szCs w:val="14"/>
        </w:rPr>
        <w:tab/>
      </w:r>
      <w:r w:rsidRPr="003E76E7">
        <w:rPr>
          <w:b w:val="0"/>
          <w:sz w:val="14"/>
          <w:szCs w:val="14"/>
        </w:rPr>
        <w:tab/>
      </w:r>
      <w:r w:rsidRPr="003E76E7">
        <w:rPr>
          <w:b w:val="0"/>
          <w:sz w:val="14"/>
          <w:szCs w:val="14"/>
        </w:rPr>
        <w:tab/>
      </w:r>
      <w:r w:rsidRPr="003E76E7">
        <w:rPr>
          <w:b w:val="0"/>
          <w:sz w:val="14"/>
          <w:szCs w:val="14"/>
        </w:rPr>
        <w:tab/>
      </w:r>
    </w:p>
    <w:p w14:paraId="26E08187" w14:textId="2A23BA7B" w:rsidR="00CA26E7" w:rsidRPr="003E76E7" w:rsidRDefault="00CA26E7" w:rsidP="00C4292D">
      <w:pPr>
        <w:pStyle w:val="TableHeading"/>
        <w:numPr>
          <w:ilvl w:val="0"/>
          <w:numId w:val="104"/>
        </w:numPr>
        <w:tabs>
          <w:tab w:val="left" w:pos="284"/>
        </w:tabs>
        <w:spacing w:before="0" w:after="0"/>
        <w:rPr>
          <w:b w:val="0"/>
          <w:sz w:val="14"/>
          <w:szCs w:val="14"/>
        </w:rPr>
      </w:pPr>
      <w:r w:rsidRPr="003E76E7">
        <w:rPr>
          <w:b w:val="0"/>
          <w:sz w:val="14"/>
          <w:szCs w:val="14"/>
        </w:rPr>
        <w:t>These amounts refer to appropriations only. Refer Table 1</w:t>
      </w:r>
      <w:r w:rsidR="004D6D6E">
        <w:rPr>
          <w:b w:val="0"/>
          <w:sz w:val="14"/>
          <w:szCs w:val="14"/>
        </w:rPr>
        <w:t>,</w:t>
      </w:r>
      <w:r w:rsidRPr="003E76E7">
        <w:rPr>
          <w:b w:val="0"/>
          <w:sz w:val="14"/>
          <w:szCs w:val="14"/>
        </w:rPr>
        <w:t xml:space="preserve"> Serial 6 for total appropriation.</w:t>
      </w:r>
      <w:r w:rsidRPr="003E76E7">
        <w:rPr>
          <w:b w:val="0"/>
          <w:sz w:val="14"/>
          <w:szCs w:val="14"/>
        </w:rPr>
        <w:tab/>
      </w:r>
      <w:r w:rsidRPr="003E76E7">
        <w:rPr>
          <w:b w:val="0"/>
          <w:sz w:val="14"/>
          <w:szCs w:val="14"/>
        </w:rPr>
        <w:tab/>
      </w:r>
      <w:r w:rsidRPr="003E76E7">
        <w:rPr>
          <w:b w:val="0"/>
          <w:sz w:val="14"/>
          <w:szCs w:val="14"/>
        </w:rPr>
        <w:tab/>
      </w:r>
      <w:r w:rsidRPr="003E76E7">
        <w:rPr>
          <w:b w:val="0"/>
          <w:sz w:val="14"/>
          <w:szCs w:val="14"/>
        </w:rPr>
        <w:tab/>
      </w:r>
      <w:r w:rsidRPr="003E76E7">
        <w:rPr>
          <w:b w:val="0"/>
          <w:sz w:val="14"/>
          <w:szCs w:val="14"/>
        </w:rPr>
        <w:tab/>
      </w:r>
      <w:r w:rsidRPr="003E76E7">
        <w:rPr>
          <w:b w:val="0"/>
          <w:sz w:val="14"/>
          <w:szCs w:val="14"/>
        </w:rPr>
        <w:tab/>
      </w:r>
      <w:r w:rsidRPr="003E76E7">
        <w:rPr>
          <w:b w:val="0"/>
          <w:sz w:val="14"/>
          <w:szCs w:val="14"/>
        </w:rPr>
        <w:tab/>
      </w:r>
    </w:p>
    <w:p w14:paraId="013AEA2D" w14:textId="2E2AFC33" w:rsidR="00CD0E15" w:rsidRPr="003E76E7" w:rsidRDefault="00CA26E7" w:rsidP="00C4292D">
      <w:pPr>
        <w:pStyle w:val="TableHeading"/>
        <w:numPr>
          <w:ilvl w:val="0"/>
          <w:numId w:val="104"/>
        </w:numPr>
        <w:tabs>
          <w:tab w:val="left" w:pos="284"/>
        </w:tabs>
        <w:spacing w:before="0" w:after="0"/>
        <w:ind w:left="284" w:hanging="284"/>
        <w:rPr>
          <w:b w:val="0"/>
          <w:sz w:val="14"/>
          <w:szCs w:val="14"/>
        </w:rPr>
      </w:pPr>
      <w:r w:rsidRPr="003E76E7">
        <w:rPr>
          <w:b w:val="0"/>
          <w:sz w:val="14"/>
          <w:szCs w:val="14"/>
        </w:rPr>
        <w:t>The Australian Naval Nuclear Power Safety Regulator (ANNPSR) was established on 1 November 2025</w:t>
      </w:r>
      <w:r w:rsidR="007E6683">
        <w:rPr>
          <w:b w:val="0"/>
          <w:sz w:val="14"/>
          <w:szCs w:val="14"/>
        </w:rPr>
        <w:t>.</w:t>
      </w:r>
      <w:r w:rsidRPr="003E76E7">
        <w:rPr>
          <w:b w:val="0"/>
          <w:sz w:val="14"/>
          <w:szCs w:val="14"/>
        </w:rPr>
        <w:tab/>
      </w:r>
      <w:r w:rsidRPr="003E76E7">
        <w:rPr>
          <w:b w:val="0"/>
          <w:sz w:val="14"/>
          <w:szCs w:val="14"/>
        </w:rPr>
        <w:tab/>
      </w:r>
      <w:r w:rsidRPr="003E76E7">
        <w:rPr>
          <w:b w:val="0"/>
          <w:sz w:val="14"/>
          <w:szCs w:val="14"/>
        </w:rPr>
        <w:tab/>
      </w:r>
      <w:r w:rsidRPr="003E76E7">
        <w:rPr>
          <w:b w:val="0"/>
          <w:sz w:val="14"/>
          <w:szCs w:val="14"/>
        </w:rPr>
        <w:tab/>
      </w:r>
      <w:r w:rsidRPr="003E76E7">
        <w:rPr>
          <w:b w:val="0"/>
          <w:sz w:val="14"/>
          <w:szCs w:val="14"/>
        </w:rPr>
        <w:tab/>
      </w:r>
      <w:r w:rsidRPr="003E76E7">
        <w:rPr>
          <w:b w:val="0"/>
          <w:sz w:val="14"/>
          <w:szCs w:val="14"/>
        </w:rPr>
        <w:tab/>
      </w:r>
      <w:r w:rsidRPr="003E76E7">
        <w:rPr>
          <w:b w:val="0"/>
          <w:sz w:val="14"/>
          <w:szCs w:val="14"/>
        </w:rPr>
        <w:tab/>
      </w:r>
    </w:p>
    <w:p w14:paraId="26C2A8DF" w14:textId="367268A5" w:rsidR="00BC1173" w:rsidRPr="003E76E7" w:rsidRDefault="007D47CB" w:rsidP="00C4292D">
      <w:pPr>
        <w:autoSpaceDE w:val="0"/>
        <w:autoSpaceDN w:val="0"/>
        <w:adjustRightInd w:val="0"/>
        <w:spacing w:before="120" w:after="120"/>
        <w:jc w:val="both"/>
        <w:outlineLvl w:val="4"/>
        <w:rPr>
          <w:rFonts w:ascii="Arial" w:hAnsi="Arial"/>
          <w:b/>
          <w:sz w:val="22"/>
          <w:szCs w:val="22"/>
        </w:rPr>
      </w:pPr>
      <w:r w:rsidRPr="003E76E7">
        <w:rPr>
          <w:rFonts w:ascii="Arial" w:hAnsi="Arial"/>
          <w:b/>
          <w:sz w:val="22"/>
          <w:szCs w:val="22"/>
        </w:rPr>
        <w:t xml:space="preserve">Table 4b: Defence </w:t>
      </w:r>
      <w:r w:rsidR="0089243C" w:rsidRPr="003E76E7">
        <w:rPr>
          <w:rFonts w:ascii="Arial" w:hAnsi="Arial"/>
          <w:b/>
          <w:sz w:val="22"/>
          <w:szCs w:val="22"/>
        </w:rPr>
        <w:t>Planned Expenditure</w:t>
      </w:r>
      <w:r w:rsidR="00FA69E2" w:rsidRPr="003E76E7">
        <w:rPr>
          <w:rFonts w:ascii="Arial" w:hAnsi="Arial"/>
          <w:b/>
          <w:sz w:val="22"/>
          <w:szCs w:val="22"/>
        </w:rPr>
        <w:t xml:space="preserve"> by Key Cost Category</w:t>
      </w:r>
      <w:r w:rsidR="00D448A5" w:rsidRPr="003E76E7">
        <w:rPr>
          <w:rFonts w:ascii="Arial" w:hAnsi="Arial"/>
          <w:b/>
          <w:sz w:val="22"/>
          <w:szCs w:val="22"/>
          <w:vertAlign w:val="superscript"/>
        </w:rPr>
        <w:t xml:space="preserve"> [a] [b]</w:t>
      </w:r>
    </w:p>
    <w:p w14:paraId="14D544FC" w14:textId="553D82D4" w:rsidR="00CB045C" w:rsidRPr="003E76E7" w:rsidRDefault="00CA26E7" w:rsidP="00C4292D">
      <w:pPr>
        <w:pStyle w:val="BodyText"/>
        <w:spacing w:after="0"/>
      </w:pPr>
      <w:r w:rsidRPr="003E76E7">
        <w:rPr>
          <w:noProof/>
          <w:lang w:val="en-AU"/>
        </w:rPr>
        <w:drawing>
          <wp:inline distT="0" distB="0" distL="0" distR="0" wp14:anchorId="317F278F" wp14:editId="6CE5CA51">
            <wp:extent cx="5471795" cy="135384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71795" cy="1353846"/>
                    </a:xfrm>
                    <a:prstGeom prst="rect">
                      <a:avLst/>
                    </a:prstGeom>
                    <a:noFill/>
                    <a:ln>
                      <a:noFill/>
                    </a:ln>
                  </pic:spPr>
                </pic:pic>
              </a:graphicData>
            </a:graphic>
          </wp:inline>
        </w:drawing>
      </w:r>
    </w:p>
    <w:p w14:paraId="17F40076" w14:textId="77777777" w:rsidR="009E7877" w:rsidRPr="003E76E7" w:rsidRDefault="009E7877" w:rsidP="00C4292D">
      <w:pPr>
        <w:spacing w:before="0" w:after="0"/>
        <w:rPr>
          <w:rFonts w:ascii="Arial" w:hAnsi="Arial"/>
          <w:b/>
          <w:sz w:val="14"/>
          <w:szCs w:val="14"/>
        </w:rPr>
      </w:pPr>
    </w:p>
    <w:p w14:paraId="08CF6786" w14:textId="4E57C381" w:rsidR="009A13C3" w:rsidRPr="003E76E7" w:rsidRDefault="004C125D" w:rsidP="00C4292D">
      <w:pPr>
        <w:spacing w:before="0" w:after="0"/>
        <w:rPr>
          <w:rFonts w:ascii="Arial" w:hAnsi="Arial"/>
          <w:b/>
          <w:sz w:val="14"/>
          <w:szCs w:val="14"/>
        </w:rPr>
      </w:pPr>
      <w:r w:rsidRPr="003E76E7">
        <w:rPr>
          <w:rFonts w:ascii="Arial" w:hAnsi="Arial"/>
          <w:b/>
          <w:sz w:val="14"/>
          <w:szCs w:val="14"/>
        </w:rPr>
        <w:t>Notes</w:t>
      </w:r>
      <w:r w:rsidR="009A13C3" w:rsidRPr="003E76E7">
        <w:rPr>
          <w:rFonts w:ascii="Arial" w:hAnsi="Arial"/>
          <w:b/>
          <w:sz w:val="14"/>
          <w:szCs w:val="14"/>
        </w:rPr>
        <w:tab/>
      </w:r>
      <w:r w:rsidR="009A13C3" w:rsidRPr="003E76E7">
        <w:rPr>
          <w:rFonts w:ascii="Arial" w:hAnsi="Arial"/>
          <w:b/>
          <w:sz w:val="14"/>
          <w:szCs w:val="14"/>
        </w:rPr>
        <w:tab/>
      </w:r>
      <w:r w:rsidR="009A13C3" w:rsidRPr="003E76E7">
        <w:rPr>
          <w:rFonts w:ascii="Arial" w:hAnsi="Arial"/>
          <w:b/>
          <w:sz w:val="14"/>
          <w:szCs w:val="14"/>
        </w:rPr>
        <w:tab/>
      </w:r>
      <w:r w:rsidR="009A13C3" w:rsidRPr="003E76E7">
        <w:rPr>
          <w:rFonts w:ascii="Arial" w:hAnsi="Arial"/>
          <w:b/>
          <w:sz w:val="14"/>
          <w:szCs w:val="14"/>
        </w:rPr>
        <w:tab/>
      </w:r>
      <w:r w:rsidR="009A13C3" w:rsidRPr="003E76E7">
        <w:rPr>
          <w:rFonts w:ascii="Arial" w:hAnsi="Arial"/>
          <w:b/>
          <w:sz w:val="14"/>
          <w:szCs w:val="14"/>
        </w:rPr>
        <w:tab/>
      </w:r>
      <w:r w:rsidR="009A13C3" w:rsidRPr="003E76E7">
        <w:rPr>
          <w:rFonts w:ascii="Arial" w:hAnsi="Arial"/>
          <w:b/>
          <w:sz w:val="14"/>
          <w:szCs w:val="14"/>
        </w:rPr>
        <w:tab/>
      </w:r>
      <w:r w:rsidR="009A13C3" w:rsidRPr="003E76E7">
        <w:rPr>
          <w:rFonts w:ascii="Arial" w:hAnsi="Arial"/>
          <w:b/>
          <w:sz w:val="14"/>
          <w:szCs w:val="14"/>
        </w:rPr>
        <w:tab/>
      </w:r>
    </w:p>
    <w:p w14:paraId="64D580E2" w14:textId="65DE713B" w:rsidR="00CA26E7" w:rsidRPr="003E76E7" w:rsidRDefault="00A73E2E" w:rsidP="00C4292D">
      <w:pPr>
        <w:pStyle w:val="TableHeading"/>
        <w:numPr>
          <w:ilvl w:val="0"/>
          <w:numId w:val="130"/>
        </w:numPr>
        <w:tabs>
          <w:tab w:val="left" w:pos="284"/>
        </w:tabs>
        <w:spacing w:before="0" w:after="0"/>
        <w:rPr>
          <w:b w:val="0"/>
          <w:sz w:val="14"/>
          <w:szCs w:val="14"/>
        </w:rPr>
      </w:pPr>
      <w:r w:rsidRPr="003E76E7">
        <w:rPr>
          <w:b w:val="0"/>
          <w:sz w:val="14"/>
          <w:szCs w:val="14"/>
        </w:rPr>
        <w:t>These categories are for Defence only and funded by appropriations, and funded from other sources.</w:t>
      </w:r>
    </w:p>
    <w:p w14:paraId="6DBE3A69" w14:textId="72DA6509" w:rsidR="00CA26E7" w:rsidRPr="003E76E7" w:rsidRDefault="00CA26E7" w:rsidP="00C4292D">
      <w:pPr>
        <w:pStyle w:val="TableHeading"/>
        <w:numPr>
          <w:ilvl w:val="0"/>
          <w:numId w:val="130"/>
        </w:numPr>
        <w:tabs>
          <w:tab w:val="left" w:pos="284"/>
        </w:tabs>
        <w:spacing w:before="0" w:after="0"/>
        <w:ind w:left="284" w:hanging="284"/>
        <w:rPr>
          <w:b w:val="0"/>
          <w:sz w:val="14"/>
          <w:szCs w:val="14"/>
        </w:rPr>
      </w:pPr>
      <w:r w:rsidRPr="003E76E7">
        <w:rPr>
          <w:b w:val="0"/>
          <w:sz w:val="14"/>
          <w:szCs w:val="14"/>
        </w:rPr>
        <w:t>Does not include expenses in relation to Defence Trusts and Joint Accounts, as these expenses are incurred on behalf of such trusts and joint accounts and are offset by revenues. Refer Table 1</w:t>
      </w:r>
      <w:r w:rsidR="004D6D6E">
        <w:rPr>
          <w:b w:val="0"/>
          <w:sz w:val="14"/>
          <w:szCs w:val="14"/>
        </w:rPr>
        <w:t>,</w:t>
      </w:r>
      <w:r w:rsidRPr="003E76E7">
        <w:rPr>
          <w:b w:val="0"/>
          <w:sz w:val="14"/>
          <w:szCs w:val="14"/>
        </w:rPr>
        <w:t xml:space="preserve"> Serials 17-19 and Table 38.</w:t>
      </w:r>
    </w:p>
    <w:p w14:paraId="185E0C91" w14:textId="32A3AE91" w:rsidR="00CA26E7" w:rsidRPr="003E76E7" w:rsidRDefault="00CA26E7" w:rsidP="00C4292D">
      <w:pPr>
        <w:pStyle w:val="TableHeading"/>
        <w:numPr>
          <w:ilvl w:val="0"/>
          <w:numId w:val="130"/>
        </w:numPr>
        <w:tabs>
          <w:tab w:val="left" w:pos="284"/>
        </w:tabs>
        <w:spacing w:before="0" w:after="0"/>
        <w:ind w:left="284" w:hanging="284"/>
        <w:rPr>
          <w:b w:val="0"/>
          <w:sz w:val="14"/>
          <w:szCs w:val="14"/>
        </w:rPr>
      </w:pPr>
      <w:r w:rsidRPr="003E76E7">
        <w:rPr>
          <w:b w:val="0"/>
          <w:sz w:val="14"/>
          <w:szCs w:val="14"/>
        </w:rPr>
        <w:t>The 2025-26 Estimated Actual reflects the expenditure corresponding to a movement of funds of $2.0 billion from 2027-28 to 2025-26 towards increased pre</w:t>
      </w:r>
      <w:r w:rsidR="00AC78F0">
        <w:rPr>
          <w:b w:val="0"/>
          <w:sz w:val="14"/>
          <w:szCs w:val="14"/>
        </w:rPr>
        <w:t>paredness in sustainment and capability a</w:t>
      </w:r>
      <w:r w:rsidRPr="003E76E7">
        <w:rPr>
          <w:b w:val="0"/>
          <w:sz w:val="14"/>
          <w:szCs w:val="14"/>
        </w:rPr>
        <w:t>cquisition.</w:t>
      </w:r>
      <w:r w:rsidRPr="003E76E7">
        <w:rPr>
          <w:b w:val="0"/>
          <w:sz w:val="14"/>
          <w:szCs w:val="14"/>
        </w:rPr>
        <w:tab/>
      </w:r>
      <w:r w:rsidRPr="003E76E7">
        <w:rPr>
          <w:b w:val="0"/>
          <w:sz w:val="14"/>
          <w:szCs w:val="14"/>
        </w:rPr>
        <w:tab/>
      </w:r>
      <w:r w:rsidRPr="003E76E7">
        <w:rPr>
          <w:b w:val="0"/>
          <w:sz w:val="14"/>
          <w:szCs w:val="14"/>
        </w:rPr>
        <w:tab/>
      </w:r>
      <w:r w:rsidRPr="003E76E7">
        <w:rPr>
          <w:b w:val="0"/>
          <w:sz w:val="14"/>
          <w:szCs w:val="14"/>
        </w:rPr>
        <w:tab/>
      </w:r>
      <w:r w:rsidRPr="003E76E7">
        <w:rPr>
          <w:b w:val="0"/>
          <w:sz w:val="14"/>
          <w:szCs w:val="14"/>
        </w:rPr>
        <w:tab/>
      </w:r>
      <w:r w:rsidRPr="003E76E7">
        <w:rPr>
          <w:b w:val="0"/>
          <w:sz w:val="14"/>
          <w:szCs w:val="14"/>
        </w:rPr>
        <w:tab/>
      </w:r>
      <w:r w:rsidRPr="003E76E7">
        <w:rPr>
          <w:b w:val="0"/>
          <w:sz w:val="14"/>
          <w:szCs w:val="14"/>
        </w:rPr>
        <w:tab/>
      </w:r>
    </w:p>
    <w:p w14:paraId="18C41E86" w14:textId="2C9EC087" w:rsidR="00CA26E7" w:rsidRPr="003E76E7" w:rsidRDefault="00CA26E7" w:rsidP="00C4292D">
      <w:pPr>
        <w:pStyle w:val="TableHeading"/>
        <w:numPr>
          <w:ilvl w:val="0"/>
          <w:numId w:val="130"/>
        </w:numPr>
        <w:tabs>
          <w:tab w:val="left" w:pos="284"/>
        </w:tabs>
        <w:spacing w:before="0" w:after="0"/>
        <w:ind w:left="284" w:hanging="284"/>
        <w:rPr>
          <w:b w:val="0"/>
          <w:sz w:val="14"/>
          <w:szCs w:val="14"/>
        </w:rPr>
      </w:pPr>
      <w:r w:rsidRPr="003E76E7">
        <w:rPr>
          <w:b w:val="0"/>
          <w:sz w:val="14"/>
          <w:szCs w:val="14"/>
        </w:rPr>
        <w:t>The appropriations as per the 2025-26 Estimated Actual reflects a movement of funds of $1.7 billion from 2026-27 a</w:t>
      </w:r>
      <w:r w:rsidR="00AC78F0">
        <w:rPr>
          <w:b w:val="0"/>
          <w:sz w:val="14"/>
          <w:szCs w:val="14"/>
        </w:rPr>
        <w:t>nd 2027-28 for acceleration of capability a</w:t>
      </w:r>
      <w:r w:rsidRPr="003E76E7">
        <w:rPr>
          <w:b w:val="0"/>
          <w:sz w:val="14"/>
          <w:szCs w:val="14"/>
        </w:rPr>
        <w:t>cquisition predominantly in relation to the Nuclear-Powered Submarine</w:t>
      </w:r>
      <w:r w:rsidR="004E66AA">
        <w:rPr>
          <w:b w:val="0"/>
          <w:sz w:val="14"/>
          <w:szCs w:val="14"/>
        </w:rPr>
        <w:t>s</w:t>
      </w:r>
      <w:r w:rsidRPr="003E76E7">
        <w:rPr>
          <w:b w:val="0"/>
          <w:sz w:val="14"/>
          <w:szCs w:val="14"/>
        </w:rPr>
        <w:t xml:space="preserve"> program.</w:t>
      </w:r>
      <w:r w:rsidRPr="003E76E7">
        <w:rPr>
          <w:b w:val="0"/>
          <w:sz w:val="14"/>
          <w:szCs w:val="14"/>
        </w:rPr>
        <w:tab/>
      </w:r>
      <w:r w:rsidRPr="003E76E7">
        <w:rPr>
          <w:b w:val="0"/>
          <w:sz w:val="14"/>
          <w:szCs w:val="14"/>
        </w:rPr>
        <w:tab/>
      </w:r>
      <w:r w:rsidRPr="003E76E7">
        <w:rPr>
          <w:b w:val="0"/>
          <w:sz w:val="14"/>
          <w:szCs w:val="14"/>
        </w:rPr>
        <w:tab/>
      </w:r>
      <w:r w:rsidRPr="003E76E7">
        <w:rPr>
          <w:b w:val="0"/>
          <w:sz w:val="14"/>
          <w:szCs w:val="14"/>
        </w:rPr>
        <w:tab/>
      </w:r>
    </w:p>
    <w:p w14:paraId="715FCB1D" w14:textId="32B277C3" w:rsidR="00CA26E7" w:rsidRPr="003E76E7" w:rsidRDefault="00CA26E7" w:rsidP="00C4292D">
      <w:pPr>
        <w:pStyle w:val="TableHeading"/>
        <w:numPr>
          <w:ilvl w:val="0"/>
          <w:numId w:val="130"/>
        </w:numPr>
        <w:tabs>
          <w:tab w:val="left" w:pos="284"/>
        </w:tabs>
        <w:spacing w:before="0" w:after="0"/>
        <w:ind w:left="284" w:hanging="284"/>
        <w:rPr>
          <w:b w:val="0"/>
          <w:sz w:val="14"/>
          <w:szCs w:val="14"/>
        </w:rPr>
      </w:pPr>
      <w:r w:rsidRPr="003E76E7">
        <w:rPr>
          <w:b w:val="0"/>
          <w:sz w:val="14"/>
          <w:szCs w:val="14"/>
        </w:rPr>
        <w:t xml:space="preserve">The Defence Planned Expenditure for 2025-26 is lower than the Total Departmental funding as per Table 1, Serial 16, in accordance with the Government's agreement that the increase in working capital in 2025-26 is represented by an equity injection and not as increased </w:t>
      </w:r>
      <w:r w:rsidR="008627F6">
        <w:rPr>
          <w:b w:val="0"/>
          <w:sz w:val="14"/>
          <w:szCs w:val="14"/>
        </w:rPr>
        <w:t>D</w:t>
      </w:r>
      <w:r w:rsidRPr="003E76E7">
        <w:rPr>
          <w:b w:val="0"/>
          <w:sz w:val="14"/>
          <w:szCs w:val="14"/>
        </w:rPr>
        <w:t>efence funding. This is because the injection will be used to address existing expenditure commitmen</w:t>
      </w:r>
      <w:r w:rsidR="00A37A36" w:rsidRPr="003E76E7">
        <w:rPr>
          <w:b w:val="0"/>
          <w:sz w:val="14"/>
          <w:szCs w:val="14"/>
        </w:rPr>
        <w:t>ts already incurred/recognised.</w:t>
      </w:r>
      <w:r w:rsidRPr="003E76E7">
        <w:rPr>
          <w:b w:val="0"/>
          <w:sz w:val="14"/>
          <w:szCs w:val="14"/>
        </w:rPr>
        <w:t xml:space="preserve"> Refer Table 1, Note b.</w:t>
      </w:r>
      <w:r w:rsidRPr="003E76E7">
        <w:rPr>
          <w:b w:val="0"/>
          <w:sz w:val="14"/>
          <w:szCs w:val="14"/>
        </w:rPr>
        <w:tab/>
      </w:r>
      <w:r w:rsidRPr="003E76E7">
        <w:rPr>
          <w:b w:val="0"/>
          <w:sz w:val="14"/>
          <w:szCs w:val="14"/>
        </w:rPr>
        <w:tab/>
      </w:r>
      <w:r w:rsidRPr="003E76E7">
        <w:rPr>
          <w:b w:val="0"/>
          <w:sz w:val="14"/>
          <w:szCs w:val="14"/>
        </w:rPr>
        <w:tab/>
      </w:r>
      <w:r w:rsidRPr="003E76E7">
        <w:rPr>
          <w:b w:val="0"/>
          <w:sz w:val="14"/>
          <w:szCs w:val="14"/>
        </w:rPr>
        <w:tab/>
      </w:r>
      <w:r w:rsidRPr="003E76E7">
        <w:rPr>
          <w:b w:val="0"/>
          <w:sz w:val="14"/>
          <w:szCs w:val="14"/>
        </w:rPr>
        <w:tab/>
      </w:r>
      <w:r w:rsidRPr="003E76E7">
        <w:rPr>
          <w:b w:val="0"/>
          <w:sz w:val="14"/>
          <w:szCs w:val="14"/>
        </w:rPr>
        <w:tab/>
      </w:r>
      <w:r w:rsidRPr="003E76E7">
        <w:rPr>
          <w:b w:val="0"/>
          <w:sz w:val="14"/>
          <w:szCs w:val="14"/>
        </w:rPr>
        <w:tab/>
      </w:r>
    </w:p>
    <w:p w14:paraId="3602FAC1" w14:textId="67F9687D" w:rsidR="00CA26E7" w:rsidRPr="003E76E7" w:rsidRDefault="00CA26E7" w:rsidP="00C4292D">
      <w:pPr>
        <w:pStyle w:val="TableHeading"/>
        <w:numPr>
          <w:ilvl w:val="0"/>
          <w:numId w:val="130"/>
        </w:numPr>
        <w:tabs>
          <w:tab w:val="left" w:pos="284"/>
        </w:tabs>
        <w:spacing w:before="0" w:after="0"/>
        <w:ind w:left="284" w:hanging="284"/>
        <w:rPr>
          <w:b w:val="0"/>
          <w:sz w:val="14"/>
          <w:szCs w:val="14"/>
        </w:rPr>
      </w:pPr>
      <w:r w:rsidRPr="003E76E7">
        <w:rPr>
          <w:b w:val="0"/>
          <w:sz w:val="14"/>
          <w:szCs w:val="14"/>
        </w:rPr>
        <w:t>The Defence Planned Expenditure for 2027-28 is higher than the Total Departmental funding as per Table 1, Serial 16, in accordance with the Government's agreement that Defence will operate with a Net Capital Deficit in that financial year. Refer Table 1, Note c.</w:t>
      </w:r>
      <w:r w:rsidRPr="003E76E7">
        <w:rPr>
          <w:b w:val="0"/>
          <w:sz w:val="14"/>
          <w:szCs w:val="14"/>
        </w:rPr>
        <w:tab/>
      </w:r>
      <w:r w:rsidRPr="003E76E7">
        <w:rPr>
          <w:b w:val="0"/>
          <w:sz w:val="14"/>
          <w:szCs w:val="14"/>
        </w:rPr>
        <w:tab/>
      </w:r>
      <w:r w:rsidRPr="003E76E7">
        <w:rPr>
          <w:b w:val="0"/>
          <w:sz w:val="14"/>
          <w:szCs w:val="14"/>
        </w:rPr>
        <w:tab/>
      </w:r>
      <w:r w:rsidRPr="003E76E7">
        <w:rPr>
          <w:b w:val="0"/>
          <w:sz w:val="14"/>
          <w:szCs w:val="14"/>
        </w:rPr>
        <w:tab/>
      </w:r>
      <w:r w:rsidRPr="003E76E7">
        <w:rPr>
          <w:b w:val="0"/>
          <w:sz w:val="14"/>
          <w:szCs w:val="14"/>
        </w:rPr>
        <w:tab/>
      </w:r>
      <w:r w:rsidRPr="003E76E7">
        <w:rPr>
          <w:b w:val="0"/>
          <w:sz w:val="14"/>
          <w:szCs w:val="14"/>
        </w:rPr>
        <w:tab/>
      </w:r>
      <w:r w:rsidRPr="003E76E7">
        <w:rPr>
          <w:b w:val="0"/>
          <w:sz w:val="14"/>
          <w:szCs w:val="14"/>
        </w:rPr>
        <w:tab/>
      </w:r>
    </w:p>
    <w:p w14:paraId="44CD7ED8" w14:textId="37BA82D4" w:rsidR="00FA56FE" w:rsidRPr="003E76E7" w:rsidRDefault="00AD2B3C" w:rsidP="00C4292D">
      <w:pPr>
        <w:spacing w:before="0" w:after="0"/>
        <w:rPr>
          <w:sz w:val="14"/>
          <w:szCs w:val="14"/>
        </w:rPr>
      </w:pPr>
      <w:r w:rsidRPr="003E76E7">
        <w:rPr>
          <w:rFonts w:ascii="Arial" w:hAnsi="Arial"/>
          <w:sz w:val="14"/>
          <w:szCs w:val="14"/>
        </w:rPr>
        <w:br w:type="page"/>
      </w:r>
    </w:p>
    <w:p w14:paraId="6FB8D45C" w14:textId="1E552F03" w:rsidR="009B0614" w:rsidRPr="003E76E7" w:rsidRDefault="00535AF8" w:rsidP="00C4292D">
      <w:pPr>
        <w:pStyle w:val="TableHeading"/>
        <w:numPr>
          <w:ilvl w:val="0"/>
          <w:numId w:val="61"/>
        </w:numPr>
        <w:spacing w:before="100"/>
        <w:ind w:left="426" w:hanging="426"/>
        <w:outlineLvl w:val="4"/>
        <w:rPr>
          <w:lang w:val="en-AU"/>
        </w:rPr>
      </w:pPr>
      <w:bookmarkStart w:id="947" w:name="tbl_CIP"/>
      <w:r w:rsidRPr="003E76E7">
        <w:rPr>
          <w:lang w:val="en-AU"/>
        </w:rPr>
        <w:lastRenderedPageBreak/>
        <w:t>Cap</w:t>
      </w:r>
      <w:r w:rsidR="00E03DCC" w:rsidRPr="003E76E7">
        <w:rPr>
          <w:lang w:val="en-AU"/>
        </w:rPr>
        <w:t>ability</w:t>
      </w:r>
      <w:r w:rsidRPr="003E76E7">
        <w:rPr>
          <w:lang w:val="en-AU"/>
        </w:rPr>
        <w:t xml:space="preserve"> </w:t>
      </w:r>
      <w:r w:rsidR="002413BA" w:rsidRPr="003E76E7">
        <w:rPr>
          <w:lang w:val="en-AU"/>
        </w:rPr>
        <w:t>Acquisition</w:t>
      </w:r>
      <w:r w:rsidRPr="003E76E7">
        <w:rPr>
          <w:lang w:val="en-AU"/>
        </w:rPr>
        <w:t xml:space="preserve"> </w:t>
      </w:r>
      <w:r w:rsidR="00E3407C" w:rsidRPr="003E76E7">
        <w:rPr>
          <w:lang w:val="en-AU"/>
        </w:rPr>
        <w:t>Program</w:t>
      </w:r>
      <w:r w:rsidR="00D260CA" w:rsidRPr="003E76E7">
        <w:rPr>
          <w:vertAlign w:val="superscript"/>
          <w:lang w:val="en-AU"/>
        </w:rPr>
        <w:t xml:space="preserve"> </w:t>
      </w:r>
      <w:r w:rsidR="00D448A5" w:rsidRPr="003E76E7">
        <w:rPr>
          <w:vertAlign w:val="superscript"/>
          <w:lang w:val="en-AU"/>
        </w:rPr>
        <w:t>[a]</w:t>
      </w:r>
      <w:r w:rsidR="003B4294" w:rsidRPr="003E76E7">
        <w:rPr>
          <w:vertAlign w:val="superscript"/>
          <w:lang w:val="en-AU"/>
        </w:rPr>
        <w:t xml:space="preserve"> </w:t>
      </w:r>
    </w:p>
    <w:p w14:paraId="20B7C8C2" w14:textId="7B5BEB3F" w:rsidR="000F03B2" w:rsidRPr="003E76E7" w:rsidRDefault="00D01F2C" w:rsidP="00C4292D">
      <w:pPr>
        <w:spacing w:after="0"/>
        <w:jc w:val="both"/>
      </w:pPr>
      <w:r w:rsidRPr="003E76E7">
        <w:rPr>
          <w:noProof/>
          <w:lang w:val="en-AU"/>
        </w:rPr>
        <w:drawing>
          <wp:inline distT="0" distB="0" distL="0" distR="0" wp14:anchorId="43700B8A" wp14:editId="0C1F08E7">
            <wp:extent cx="5471795" cy="1251528"/>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71795" cy="1251528"/>
                    </a:xfrm>
                    <a:prstGeom prst="rect">
                      <a:avLst/>
                    </a:prstGeom>
                    <a:noFill/>
                    <a:ln>
                      <a:noFill/>
                    </a:ln>
                  </pic:spPr>
                </pic:pic>
              </a:graphicData>
            </a:graphic>
          </wp:inline>
        </w:drawing>
      </w:r>
    </w:p>
    <w:p w14:paraId="3848F515" w14:textId="77777777" w:rsidR="009E7877" w:rsidRPr="003E76E7" w:rsidRDefault="009E7877" w:rsidP="00C4292D">
      <w:pPr>
        <w:spacing w:before="0" w:after="0"/>
        <w:jc w:val="both"/>
        <w:rPr>
          <w:rFonts w:ascii="Arial" w:hAnsi="Arial"/>
          <w:b/>
          <w:sz w:val="14"/>
          <w:szCs w:val="14"/>
          <w:lang w:val="en-AU"/>
        </w:rPr>
      </w:pPr>
    </w:p>
    <w:p w14:paraId="4378FC59" w14:textId="39882D91" w:rsidR="009C3F7A" w:rsidRPr="003E76E7" w:rsidRDefault="009C3F7A" w:rsidP="00C4292D">
      <w:pPr>
        <w:spacing w:before="0" w:after="0"/>
        <w:jc w:val="both"/>
        <w:rPr>
          <w:rFonts w:ascii="Arial" w:hAnsi="Arial"/>
          <w:b/>
          <w:sz w:val="14"/>
          <w:szCs w:val="14"/>
          <w:lang w:val="en-AU"/>
        </w:rPr>
      </w:pPr>
      <w:r w:rsidRPr="003E76E7">
        <w:rPr>
          <w:rFonts w:ascii="Arial" w:hAnsi="Arial"/>
          <w:b/>
          <w:sz w:val="14"/>
          <w:szCs w:val="14"/>
          <w:lang w:val="en-AU"/>
        </w:rPr>
        <w:t>Notes</w:t>
      </w:r>
    </w:p>
    <w:p w14:paraId="071D6BE3" w14:textId="3E561FC7" w:rsidR="00AD2B3C" w:rsidRPr="003E76E7" w:rsidRDefault="00A73E2E" w:rsidP="00C4292D">
      <w:pPr>
        <w:pStyle w:val="ListParagraph"/>
        <w:numPr>
          <w:ilvl w:val="0"/>
          <w:numId w:val="106"/>
        </w:numPr>
        <w:spacing w:before="0" w:after="0"/>
        <w:ind w:left="284" w:hanging="284"/>
        <w:jc w:val="both"/>
        <w:rPr>
          <w:rFonts w:ascii="Arial" w:hAnsi="Arial"/>
          <w:sz w:val="14"/>
          <w:szCs w:val="14"/>
          <w:lang w:val="en-AU"/>
        </w:rPr>
      </w:pPr>
      <w:r w:rsidRPr="003E76E7">
        <w:rPr>
          <w:rFonts w:ascii="Arial" w:hAnsi="Arial"/>
          <w:sz w:val="14"/>
          <w:szCs w:val="14"/>
          <w:lang w:val="en-AU"/>
        </w:rPr>
        <w:t>These categories are for Defence only and funded by appropriations, and funded from other sources.</w:t>
      </w:r>
      <w:r w:rsidRPr="003E76E7">
        <w:rPr>
          <w:rFonts w:ascii="Arial" w:hAnsi="Arial"/>
          <w:sz w:val="14"/>
          <w:szCs w:val="14"/>
          <w:lang w:val="en-AU"/>
        </w:rPr>
        <w:tab/>
      </w:r>
      <w:r w:rsidRPr="003E76E7">
        <w:rPr>
          <w:rFonts w:ascii="Arial" w:hAnsi="Arial"/>
          <w:sz w:val="14"/>
          <w:szCs w:val="14"/>
          <w:lang w:val="en-AU"/>
        </w:rPr>
        <w:tab/>
      </w:r>
      <w:r w:rsidRPr="003E76E7">
        <w:rPr>
          <w:rFonts w:ascii="Arial" w:hAnsi="Arial"/>
          <w:sz w:val="14"/>
          <w:szCs w:val="14"/>
          <w:lang w:val="en-AU"/>
        </w:rPr>
        <w:tab/>
      </w:r>
      <w:r w:rsidRPr="003E76E7">
        <w:rPr>
          <w:rFonts w:ascii="Arial" w:hAnsi="Arial"/>
          <w:sz w:val="14"/>
          <w:szCs w:val="14"/>
          <w:lang w:val="en-AU"/>
        </w:rPr>
        <w:tab/>
      </w:r>
      <w:r w:rsidRPr="003E76E7">
        <w:rPr>
          <w:rFonts w:ascii="Arial" w:hAnsi="Arial"/>
          <w:sz w:val="14"/>
          <w:szCs w:val="14"/>
          <w:lang w:val="en-AU"/>
        </w:rPr>
        <w:tab/>
      </w:r>
      <w:r w:rsidRPr="003E76E7">
        <w:rPr>
          <w:rFonts w:ascii="Arial" w:hAnsi="Arial"/>
          <w:sz w:val="14"/>
          <w:szCs w:val="14"/>
          <w:lang w:val="en-AU"/>
        </w:rPr>
        <w:tab/>
      </w:r>
      <w:r w:rsidRPr="003E76E7">
        <w:rPr>
          <w:rFonts w:ascii="Arial" w:hAnsi="Arial"/>
          <w:sz w:val="14"/>
          <w:szCs w:val="14"/>
          <w:lang w:val="en-AU"/>
        </w:rPr>
        <w:tab/>
      </w:r>
    </w:p>
    <w:p w14:paraId="1F9A6FAF" w14:textId="14A87367" w:rsidR="00AD2B3C" w:rsidRPr="003E76E7" w:rsidRDefault="00AD2B3C" w:rsidP="00C4292D">
      <w:pPr>
        <w:pStyle w:val="ListParagraph"/>
        <w:numPr>
          <w:ilvl w:val="0"/>
          <w:numId w:val="106"/>
        </w:numPr>
        <w:spacing w:before="0" w:after="0"/>
        <w:ind w:left="284" w:hanging="284"/>
        <w:rPr>
          <w:rFonts w:ascii="Arial" w:hAnsi="Arial"/>
          <w:sz w:val="14"/>
          <w:szCs w:val="14"/>
          <w:lang w:val="en-AU"/>
        </w:rPr>
      </w:pPr>
      <w:r w:rsidRPr="003E76E7">
        <w:rPr>
          <w:rFonts w:ascii="Arial" w:hAnsi="Arial"/>
          <w:sz w:val="14"/>
          <w:szCs w:val="14"/>
          <w:lang w:val="en-AU"/>
        </w:rPr>
        <w:t xml:space="preserve">The expenditure for the 2025-26 Estimated Actual reflects a movement of funds of $2.0 billion from 2027-28 to 2025-26 of which </w:t>
      </w:r>
      <w:r w:rsidR="00497C2C" w:rsidRPr="003E76E7">
        <w:rPr>
          <w:rFonts w:ascii="Arial" w:hAnsi="Arial"/>
          <w:sz w:val="14"/>
          <w:szCs w:val="14"/>
          <w:lang w:val="en-AU"/>
        </w:rPr>
        <w:br/>
      </w:r>
      <w:r w:rsidRPr="003E76E7">
        <w:rPr>
          <w:rFonts w:ascii="Arial" w:hAnsi="Arial"/>
          <w:sz w:val="14"/>
          <w:szCs w:val="14"/>
          <w:lang w:val="en-AU"/>
        </w:rPr>
        <w:t>$1.5 billion will be applied to Capability Acquisition.</w:t>
      </w:r>
      <w:r w:rsidRPr="003E76E7">
        <w:rPr>
          <w:rFonts w:ascii="Arial" w:hAnsi="Arial"/>
          <w:sz w:val="14"/>
          <w:szCs w:val="14"/>
          <w:lang w:val="en-AU"/>
        </w:rPr>
        <w:tab/>
      </w:r>
      <w:r w:rsidRPr="003E76E7">
        <w:rPr>
          <w:rFonts w:ascii="Arial" w:hAnsi="Arial"/>
          <w:sz w:val="14"/>
          <w:szCs w:val="14"/>
          <w:lang w:val="en-AU"/>
        </w:rPr>
        <w:tab/>
      </w:r>
      <w:r w:rsidRPr="003E76E7">
        <w:rPr>
          <w:rFonts w:ascii="Arial" w:hAnsi="Arial"/>
          <w:sz w:val="14"/>
          <w:szCs w:val="14"/>
          <w:lang w:val="en-AU"/>
        </w:rPr>
        <w:tab/>
      </w:r>
      <w:r w:rsidRPr="003E76E7">
        <w:rPr>
          <w:rFonts w:ascii="Arial" w:hAnsi="Arial"/>
          <w:sz w:val="14"/>
          <w:szCs w:val="14"/>
          <w:lang w:val="en-AU"/>
        </w:rPr>
        <w:tab/>
      </w:r>
      <w:r w:rsidRPr="003E76E7">
        <w:rPr>
          <w:rFonts w:ascii="Arial" w:hAnsi="Arial"/>
          <w:sz w:val="14"/>
          <w:szCs w:val="14"/>
          <w:lang w:val="en-AU"/>
        </w:rPr>
        <w:tab/>
      </w:r>
      <w:r w:rsidRPr="003E76E7">
        <w:rPr>
          <w:rFonts w:ascii="Arial" w:hAnsi="Arial"/>
          <w:sz w:val="14"/>
          <w:szCs w:val="14"/>
          <w:lang w:val="en-AU"/>
        </w:rPr>
        <w:tab/>
      </w:r>
      <w:r w:rsidRPr="003E76E7">
        <w:rPr>
          <w:rFonts w:ascii="Arial" w:hAnsi="Arial"/>
          <w:sz w:val="14"/>
          <w:szCs w:val="14"/>
          <w:lang w:val="en-AU"/>
        </w:rPr>
        <w:tab/>
      </w:r>
    </w:p>
    <w:p w14:paraId="1D5FEC25" w14:textId="54F5EDD9" w:rsidR="00E90D96" w:rsidRPr="003E76E7" w:rsidRDefault="00E90D96" w:rsidP="00C4292D">
      <w:pPr>
        <w:pStyle w:val="ListParagraph"/>
        <w:numPr>
          <w:ilvl w:val="0"/>
          <w:numId w:val="106"/>
        </w:numPr>
        <w:spacing w:before="0" w:after="0"/>
        <w:ind w:left="284" w:hanging="284"/>
        <w:rPr>
          <w:rFonts w:ascii="Arial" w:hAnsi="Arial"/>
          <w:sz w:val="14"/>
          <w:szCs w:val="14"/>
          <w:lang w:val="en-AU"/>
        </w:rPr>
      </w:pPr>
      <w:r w:rsidRPr="003E76E7">
        <w:rPr>
          <w:rFonts w:ascii="Arial" w:hAnsi="Arial"/>
          <w:sz w:val="14"/>
          <w:szCs w:val="14"/>
          <w:lang w:val="en-AU"/>
        </w:rPr>
        <w:t>The appropriations as per the 2025-26 Estimated Actual reflects a movement of funds of $1.7 billion from 2026-27 and 2027-28 for acceleration of Capability Acquisition predominantly in relation to the Nuclear-Powered Submarine</w:t>
      </w:r>
      <w:r w:rsidR="00EC640C">
        <w:rPr>
          <w:rFonts w:ascii="Arial" w:hAnsi="Arial"/>
          <w:sz w:val="14"/>
          <w:szCs w:val="14"/>
          <w:lang w:val="en-AU"/>
        </w:rPr>
        <w:t>s</w:t>
      </w:r>
      <w:r w:rsidRPr="003E76E7">
        <w:rPr>
          <w:rFonts w:ascii="Arial" w:hAnsi="Arial"/>
          <w:sz w:val="14"/>
          <w:szCs w:val="14"/>
          <w:lang w:val="en-AU"/>
        </w:rPr>
        <w:t xml:space="preserve"> </w:t>
      </w:r>
      <w:r w:rsidR="001B32CE">
        <w:rPr>
          <w:rFonts w:ascii="Arial" w:hAnsi="Arial"/>
          <w:sz w:val="14"/>
          <w:szCs w:val="14"/>
          <w:lang w:val="en-AU"/>
        </w:rPr>
        <w:t>P</w:t>
      </w:r>
      <w:r w:rsidRPr="003E76E7">
        <w:rPr>
          <w:rFonts w:ascii="Arial" w:hAnsi="Arial"/>
          <w:sz w:val="14"/>
          <w:szCs w:val="14"/>
          <w:lang w:val="en-AU"/>
        </w:rPr>
        <w:t xml:space="preserve">rogram.  </w:t>
      </w:r>
    </w:p>
    <w:p w14:paraId="1375B654" w14:textId="72F7984B" w:rsidR="0037453B" w:rsidRPr="003E76E7" w:rsidRDefault="00AD2B3C" w:rsidP="00C4292D">
      <w:pPr>
        <w:pStyle w:val="ListParagraph"/>
        <w:numPr>
          <w:ilvl w:val="0"/>
          <w:numId w:val="106"/>
        </w:numPr>
        <w:spacing w:before="0" w:after="0"/>
        <w:ind w:left="284" w:hanging="284"/>
        <w:jc w:val="both"/>
        <w:rPr>
          <w:rFonts w:ascii="Arial" w:hAnsi="Arial"/>
          <w:sz w:val="14"/>
          <w:szCs w:val="14"/>
          <w:lang w:val="en-AU"/>
        </w:rPr>
      </w:pPr>
      <w:r w:rsidRPr="003E76E7">
        <w:rPr>
          <w:rFonts w:ascii="Arial" w:hAnsi="Arial"/>
          <w:sz w:val="14"/>
          <w:szCs w:val="14"/>
          <w:lang w:val="en-AU"/>
        </w:rPr>
        <w:t>The Capability Acquisition Program includes unapproved and approved projects.</w:t>
      </w:r>
      <w:r w:rsidRPr="003E76E7">
        <w:rPr>
          <w:rFonts w:ascii="Arial" w:hAnsi="Arial"/>
          <w:sz w:val="14"/>
          <w:szCs w:val="14"/>
          <w:lang w:val="en-AU"/>
        </w:rPr>
        <w:tab/>
      </w:r>
      <w:r w:rsidRPr="003E76E7">
        <w:rPr>
          <w:rFonts w:ascii="Arial" w:hAnsi="Arial"/>
          <w:sz w:val="14"/>
          <w:szCs w:val="14"/>
          <w:lang w:val="en-AU"/>
        </w:rPr>
        <w:tab/>
      </w:r>
      <w:r w:rsidRPr="003E76E7">
        <w:rPr>
          <w:rFonts w:ascii="Arial" w:hAnsi="Arial"/>
          <w:sz w:val="14"/>
          <w:szCs w:val="14"/>
          <w:lang w:val="en-AU"/>
        </w:rPr>
        <w:tab/>
      </w:r>
      <w:r w:rsidRPr="003E76E7">
        <w:rPr>
          <w:rFonts w:ascii="Arial" w:hAnsi="Arial"/>
          <w:sz w:val="14"/>
          <w:szCs w:val="14"/>
          <w:lang w:val="en-AU"/>
        </w:rPr>
        <w:tab/>
      </w:r>
      <w:r w:rsidRPr="003E76E7">
        <w:rPr>
          <w:rFonts w:ascii="Arial" w:hAnsi="Arial"/>
          <w:sz w:val="14"/>
          <w:szCs w:val="14"/>
          <w:lang w:val="en-AU"/>
        </w:rPr>
        <w:tab/>
      </w:r>
      <w:r w:rsidRPr="003E76E7">
        <w:rPr>
          <w:rFonts w:ascii="Arial" w:hAnsi="Arial"/>
          <w:sz w:val="14"/>
          <w:szCs w:val="14"/>
          <w:lang w:val="en-AU"/>
        </w:rPr>
        <w:tab/>
      </w:r>
      <w:r w:rsidRPr="003E76E7">
        <w:rPr>
          <w:rFonts w:ascii="Arial" w:hAnsi="Arial"/>
          <w:sz w:val="14"/>
          <w:szCs w:val="14"/>
          <w:lang w:val="en-AU"/>
        </w:rPr>
        <w:tab/>
      </w:r>
    </w:p>
    <w:p w14:paraId="25E07FBF" w14:textId="11ADB43F" w:rsidR="009C3F7A" w:rsidRPr="003E76E7" w:rsidRDefault="00DC5CDF" w:rsidP="00C4292D">
      <w:pPr>
        <w:spacing w:before="0" w:after="0"/>
        <w:ind w:left="284" w:hanging="284"/>
        <w:jc w:val="both"/>
        <w:rPr>
          <w:rFonts w:ascii="Arial" w:hAnsi="Arial"/>
          <w:sz w:val="14"/>
          <w:szCs w:val="14"/>
          <w:lang w:val="en-AU"/>
        </w:rPr>
      </w:pPr>
      <w:r w:rsidRPr="003E76E7">
        <w:rPr>
          <w:rFonts w:ascii="Arial" w:hAnsi="Arial"/>
          <w:sz w:val="14"/>
          <w:szCs w:val="14"/>
          <w:lang w:val="en-AU"/>
        </w:rPr>
        <w:tab/>
      </w:r>
      <w:r w:rsidRPr="003E76E7">
        <w:rPr>
          <w:rFonts w:ascii="Arial" w:hAnsi="Arial"/>
          <w:sz w:val="14"/>
          <w:szCs w:val="14"/>
          <w:lang w:val="en-AU"/>
        </w:rPr>
        <w:tab/>
      </w:r>
    </w:p>
    <w:p w14:paraId="309183F3" w14:textId="77777777" w:rsidR="00E46702" w:rsidRPr="003E76E7" w:rsidRDefault="00E46702" w:rsidP="00C4292D">
      <w:pPr>
        <w:pStyle w:val="TableHeading"/>
        <w:numPr>
          <w:ilvl w:val="0"/>
          <w:numId w:val="61"/>
        </w:numPr>
        <w:spacing w:before="100"/>
        <w:ind w:left="426" w:hanging="426"/>
        <w:outlineLvl w:val="4"/>
        <w:rPr>
          <w:lang w:val="en-AU"/>
        </w:rPr>
      </w:pPr>
      <w:bookmarkStart w:id="948" w:name="tbl_DOD_RCR"/>
      <w:bookmarkEnd w:id="947"/>
      <w:r w:rsidRPr="003E76E7">
        <w:rPr>
          <w:lang w:val="en-AU"/>
        </w:rPr>
        <w:t xml:space="preserve">Capability Sustainment </w:t>
      </w:r>
      <w:r w:rsidR="00E3407C" w:rsidRPr="003E76E7">
        <w:rPr>
          <w:lang w:val="en-AU"/>
        </w:rPr>
        <w:t>Program</w:t>
      </w:r>
      <w:r w:rsidR="00AA2A4D" w:rsidRPr="003E76E7">
        <w:rPr>
          <w:lang w:val="en-AU"/>
        </w:rPr>
        <w:t xml:space="preserve"> </w:t>
      </w:r>
      <w:r w:rsidR="009C3F7A" w:rsidRPr="003E76E7">
        <w:rPr>
          <w:vertAlign w:val="superscript"/>
          <w:lang w:val="en-AU"/>
        </w:rPr>
        <w:t>[a]</w:t>
      </w:r>
    </w:p>
    <w:p w14:paraId="597FD8A4" w14:textId="2818ABC9" w:rsidR="00717935" w:rsidRPr="003E76E7" w:rsidRDefault="00293395" w:rsidP="00C4292D">
      <w:pPr>
        <w:spacing w:after="0"/>
      </w:pPr>
      <w:r w:rsidRPr="003E76E7">
        <w:rPr>
          <w:noProof/>
          <w:lang w:val="en-AU"/>
        </w:rPr>
        <w:drawing>
          <wp:inline distT="0" distB="0" distL="0" distR="0" wp14:anchorId="55B7E3A2" wp14:editId="600B3D42">
            <wp:extent cx="5471795" cy="236454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71795" cy="2364543"/>
                    </a:xfrm>
                    <a:prstGeom prst="rect">
                      <a:avLst/>
                    </a:prstGeom>
                    <a:noFill/>
                    <a:ln>
                      <a:noFill/>
                    </a:ln>
                  </pic:spPr>
                </pic:pic>
              </a:graphicData>
            </a:graphic>
          </wp:inline>
        </w:drawing>
      </w:r>
    </w:p>
    <w:p w14:paraId="72AE04A4" w14:textId="77777777" w:rsidR="009E7877" w:rsidRPr="003E76E7" w:rsidRDefault="009E7877" w:rsidP="00C4292D">
      <w:pPr>
        <w:tabs>
          <w:tab w:val="left" w:pos="284"/>
        </w:tabs>
        <w:spacing w:before="0" w:after="0"/>
        <w:ind w:firstLine="1"/>
        <w:jc w:val="both"/>
        <w:rPr>
          <w:rFonts w:ascii="Arial" w:hAnsi="Arial"/>
          <w:b/>
          <w:sz w:val="14"/>
          <w:szCs w:val="14"/>
          <w:lang w:val="en-AU"/>
        </w:rPr>
      </w:pPr>
    </w:p>
    <w:p w14:paraId="5A4B1709" w14:textId="00630B1D" w:rsidR="009C3F7A" w:rsidRPr="003E76E7" w:rsidRDefault="009C3F7A" w:rsidP="00C4292D">
      <w:pPr>
        <w:tabs>
          <w:tab w:val="left" w:pos="284"/>
        </w:tabs>
        <w:spacing w:before="0" w:after="0"/>
        <w:ind w:firstLine="1"/>
        <w:jc w:val="both"/>
        <w:rPr>
          <w:rFonts w:ascii="Arial" w:hAnsi="Arial"/>
          <w:b/>
          <w:sz w:val="14"/>
          <w:szCs w:val="14"/>
          <w:lang w:val="en-AU"/>
        </w:rPr>
      </w:pPr>
      <w:r w:rsidRPr="003E76E7">
        <w:rPr>
          <w:rFonts w:ascii="Arial" w:hAnsi="Arial"/>
          <w:b/>
          <w:sz w:val="14"/>
          <w:szCs w:val="14"/>
          <w:lang w:val="en-AU"/>
        </w:rPr>
        <w:t>Notes</w:t>
      </w:r>
    </w:p>
    <w:p w14:paraId="0AB07062" w14:textId="3284C22E" w:rsidR="00424FF8" w:rsidRPr="003E76E7" w:rsidRDefault="00A73E2E" w:rsidP="00C4292D">
      <w:pPr>
        <w:pStyle w:val="ListParagraph"/>
        <w:numPr>
          <w:ilvl w:val="0"/>
          <w:numId w:val="131"/>
        </w:numPr>
        <w:tabs>
          <w:tab w:val="left" w:pos="284"/>
        </w:tabs>
        <w:spacing w:before="0" w:after="0"/>
        <w:jc w:val="both"/>
        <w:rPr>
          <w:rFonts w:ascii="Arial" w:hAnsi="Arial"/>
          <w:sz w:val="14"/>
          <w:szCs w:val="14"/>
          <w:lang w:val="en-AU"/>
        </w:rPr>
      </w:pPr>
      <w:r w:rsidRPr="003E76E7">
        <w:rPr>
          <w:rFonts w:ascii="Arial" w:hAnsi="Arial"/>
          <w:sz w:val="14"/>
          <w:szCs w:val="14"/>
          <w:lang w:val="en-AU"/>
        </w:rPr>
        <w:t>These categories are for Defence only and funded by appropriations, and funded from other sources.</w:t>
      </w:r>
    </w:p>
    <w:p w14:paraId="2DD421B1" w14:textId="14318649" w:rsidR="00424FF8" w:rsidRPr="003E76E7" w:rsidRDefault="00424FF8" w:rsidP="00C4292D">
      <w:pPr>
        <w:pStyle w:val="ListParagraph"/>
        <w:numPr>
          <w:ilvl w:val="0"/>
          <w:numId w:val="131"/>
        </w:numPr>
        <w:tabs>
          <w:tab w:val="left" w:pos="284"/>
        </w:tabs>
        <w:spacing w:before="0" w:after="0"/>
        <w:jc w:val="both"/>
        <w:rPr>
          <w:rFonts w:ascii="Arial" w:hAnsi="Arial"/>
          <w:sz w:val="14"/>
          <w:szCs w:val="14"/>
          <w:lang w:val="en-AU"/>
        </w:rPr>
      </w:pPr>
      <w:r w:rsidRPr="003E76E7">
        <w:rPr>
          <w:rFonts w:ascii="Arial" w:hAnsi="Arial"/>
          <w:sz w:val="14"/>
          <w:szCs w:val="14"/>
          <w:lang w:val="en-AU"/>
        </w:rPr>
        <w:t>Defence Digital Sustainment includes all ICT sustainment for the Department.</w:t>
      </w:r>
      <w:r w:rsidRPr="003E76E7">
        <w:rPr>
          <w:rFonts w:ascii="Arial" w:hAnsi="Arial"/>
          <w:sz w:val="14"/>
          <w:szCs w:val="14"/>
          <w:lang w:val="en-AU"/>
        </w:rPr>
        <w:tab/>
      </w:r>
      <w:r w:rsidRPr="003E76E7">
        <w:rPr>
          <w:rFonts w:ascii="Arial" w:hAnsi="Arial"/>
          <w:sz w:val="14"/>
          <w:szCs w:val="14"/>
          <w:lang w:val="en-AU"/>
        </w:rPr>
        <w:tab/>
      </w:r>
      <w:r w:rsidRPr="003E76E7">
        <w:rPr>
          <w:rFonts w:ascii="Arial" w:hAnsi="Arial"/>
          <w:sz w:val="14"/>
          <w:szCs w:val="14"/>
          <w:lang w:val="en-AU"/>
        </w:rPr>
        <w:tab/>
      </w:r>
      <w:r w:rsidRPr="003E76E7">
        <w:rPr>
          <w:rFonts w:ascii="Arial" w:hAnsi="Arial"/>
          <w:sz w:val="14"/>
          <w:szCs w:val="14"/>
          <w:lang w:val="en-AU"/>
        </w:rPr>
        <w:tab/>
      </w:r>
      <w:r w:rsidRPr="003E76E7">
        <w:rPr>
          <w:rFonts w:ascii="Arial" w:hAnsi="Arial"/>
          <w:sz w:val="14"/>
          <w:szCs w:val="14"/>
          <w:lang w:val="en-AU"/>
        </w:rPr>
        <w:tab/>
      </w:r>
      <w:r w:rsidRPr="003E76E7">
        <w:rPr>
          <w:rFonts w:ascii="Arial" w:hAnsi="Arial"/>
          <w:sz w:val="14"/>
          <w:szCs w:val="14"/>
          <w:lang w:val="en-AU"/>
        </w:rPr>
        <w:tab/>
      </w:r>
      <w:r w:rsidRPr="003E76E7">
        <w:rPr>
          <w:rFonts w:ascii="Arial" w:hAnsi="Arial"/>
          <w:sz w:val="14"/>
          <w:szCs w:val="14"/>
          <w:lang w:val="en-AU"/>
        </w:rPr>
        <w:tab/>
      </w:r>
      <w:r w:rsidRPr="003E76E7">
        <w:rPr>
          <w:rFonts w:ascii="Arial" w:hAnsi="Arial"/>
          <w:sz w:val="14"/>
          <w:szCs w:val="14"/>
          <w:lang w:val="en-AU"/>
        </w:rPr>
        <w:tab/>
      </w:r>
    </w:p>
    <w:p w14:paraId="3E1D3EB8" w14:textId="761EA6F5" w:rsidR="00424FF8" w:rsidRPr="003E76E7" w:rsidRDefault="00424FF8" w:rsidP="00C4292D">
      <w:pPr>
        <w:pStyle w:val="ListParagraph"/>
        <w:numPr>
          <w:ilvl w:val="0"/>
          <w:numId w:val="131"/>
        </w:numPr>
        <w:tabs>
          <w:tab w:val="left" w:pos="284"/>
        </w:tabs>
        <w:spacing w:before="0" w:after="0"/>
        <w:jc w:val="both"/>
        <w:rPr>
          <w:rFonts w:ascii="Arial" w:hAnsi="Arial"/>
          <w:sz w:val="14"/>
          <w:szCs w:val="14"/>
          <w:lang w:val="en-AU"/>
        </w:rPr>
      </w:pPr>
      <w:r w:rsidRPr="003E76E7">
        <w:rPr>
          <w:rFonts w:ascii="Arial" w:hAnsi="Arial"/>
          <w:sz w:val="14"/>
          <w:szCs w:val="14"/>
          <w:lang w:val="en-AU"/>
        </w:rPr>
        <w:t>Security and Estate Sustainment includes all estate maintenance, garrison support and associated costs for the Department.</w:t>
      </w:r>
      <w:r w:rsidRPr="003E76E7">
        <w:rPr>
          <w:rFonts w:ascii="Arial" w:hAnsi="Arial"/>
          <w:sz w:val="14"/>
          <w:szCs w:val="14"/>
          <w:lang w:val="en-AU"/>
        </w:rPr>
        <w:tab/>
      </w:r>
      <w:r w:rsidRPr="003E76E7">
        <w:rPr>
          <w:rFonts w:ascii="Arial" w:hAnsi="Arial"/>
          <w:sz w:val="14"/>
          <w:szCs w:val="14"/>
          <w:lang w:val="en-AU"/>
        </w:rPr>
        <w:tab/>
      </w:r>
      <w:r w:rsidRPr="003E76E7">
        <w:rPr>
          <w:rFonts w:ascii="Arial" w:hAnsi="Arial"/>
          <w:sz w:val="14"/>
          <w:szCs w:val="14"/>
          <w:lang w:val="en-AU"/>
        </w:rPr>
        <w:tab/>
      </w:r>
      <w:r w:rsidRPr="003E76E7">
        <w:rPr>
          <w:rFonts w:ascii="Arial" w:hAnsi="Arial"/>
          <w:sz w:val="14"/>
          <w:szCs w:val="14"/>
          <w:lang w:val="en-AU"/>
        </w:rPr>
        <w:tab/>
      </w:r>
      <w:r w:rsidRPr="003E76E7">
        <w:rPr>
          <w:rFonts w:ascii="Arial" w:hAnsi="Arial"/>
          <w:sz w:val="14"/>
          <w:szCs w:val="14"/>
          <w:lang w:val="en-AU"/>
        </w:rPr>
        <w:tab/>
      </w:r>
      <w:r w:rsidRPr="003E76E7">
        <w:rPr>
          <w:rFonts w:ascii="Arial" w:hAnsi="Arial"/>
          <w:sz w:val="14"/>
          <w:szCs w:val="14"/>
          <w:lang w:val="en-AU"/>
        </w:rPr>
        <w:tab/>
      </w:r>
      <w:r w:rsidRPr="003E76E7">
        <w:rPr>
          <w:rFonts w:ascii="Arial" w:hAnsi="Arial"/>
          <w:sz w:val="14"/>
          <w:szCs w:val="14"/>
          <w:lang w:val="en-AU"/>
        </w:rPr>
        <w:tab/>
      </w:r>
      <w:r w:rsidRPr="003E76E7">
        <w:rPr>
          <w:rFonts w:ascii="Arial" w:hAnsi="Arial"/>
          <w:sz w:val="14"/>
          <w:szCs w:val="14"/>
          <w:lang w:val="en-AU"/>
        </w:rPr>
        <w:tab/>
      </w:r>
    </w:p>
    <w:p w14:paraId="4F51815D" w14:textId="22FE80CD" w:rsidR="00293395" w:rsidRPr="003E76E7" w:rsidRDefault="00424FF8" w:rsidP="00C4292D">
      <w:pPr>
        <w:pStyle w:val="ListParagraph"/>
        <w:numPr>
          <w:ilvl w:val="0"/>
          <w:numId w:val="131"/>
        </w:numPr>
        <w:tabs>
          <w:tab w:val="left" w:pos="284"/>
        </w:tabs>
        <w:spacing w:before="0" w:after="0"/>
        <w:jc w:val="both"/>
        <w:rPr>
          <w:rFonts w:ascii="Arial" w:hAnsi="Arial"/>
          <w:sz w:val="14"/>
          <w:szCs w:val="14"/>
          <w:lang w:val="en-AU"/>
        </w:rPr>
      </w:pPr>
      <w:r w:rsidRPr="003E76E7">
        <w:rPr>
          <w:rFonts w:ascii="Arial" w:hAnsi="Arial"/>
          <w:sz w:val="14"/>
          <w:szCs w:val="14"/>
          <w:lang w:val="en-AU"/>
        </w:rPr>
        <w:t>Total sust</w:t>
      </w:r>
      <w:r w:rsidR="0099169A">
        <w:rPr>
          <w:rFonts w:ascii="Arial" w:hAnsi="Arial"/>
          <w:sz w:val="14"/>
          <w:szCs w:val="14"/>
          <w:lang w:val="en-AU"/>
        </w:rPr>
        <w:t xml:space="preserve">ainment includes both approved </w:t>
      </w:r>
      <w:r w:rsidRPr="003E76E7">
        <w:rPr>
          <w:rFonts w:ascii="Arial" w:hAnsi="Arial"/>
          <w:sz w:val="14"/>
          <w:szCs w:val="14"/>
          <w:lang w:val="en-AU"/>
        </w:rPr>
        <w:t>sustainment and unapproved sustainment (relating to unapproved projects).</w:t>
      </w:r>
      <w:r w:rsidRPr="003E76E7">
        <w:rPr>
          <w:rFonts w:ascii="Arial" w:hAnsi="Arial"/>
          <w:sz w:val="14"/>
          <w:szCs w:val="14"/>
          <w:lang w:val="en-AU"/>
        </w:rPr>
        <w:tab/>
      </w:r>
      <w:r w:rsidRPr="003E76E7">
        <w:rPr>
          <w:rFonts w:ascii="Arial" w:hAnsi="Arial"/>
          <w:sz w:val="14"/>
          <w:szCs w:val="14"/>
          <w:lang w:val="en-AU"/>
        </w:rPr>
        <w:tab/>
      </w:r>
      <w:r w:rsidRPr="003E76E7">
        <w:rPr>
          <w:rFonts w:ascii="Arial" w:hAnsi="Arial"/>
          <w:sz w:val="14"/>
          <w:szCs w:val="14"/>
          <w:lang w:val="en-AU"/>
        </w:rPr>
        <w:tab/>
      </w:r>
      <w:r w:rsidRPr="003E76E7">
        <w:rPr>
          <w:rFonts w:ascii="Arial" w:hAnsi="Arial"/>
          <w:sz w:val="14"/>
          <w:szCs w:val="14"/>
          <w:lang w:val="en-AU"/>
        </w:rPr>
        <w:tab/>
      </w:r>
      <w:r w:rsidRPr="003E76E7">
        <w:rPr>
          <w:rFonts w:ascii="Arial" w:hAnsi="Arial"/>
          <w:sz w:val="14"/>
          <w:szCs w:val="14"/>
          <w:lang w:val="en-AU"/>
        </w:rPr>
        <w:tab/>
      </w:r>
      <w:r w:rsidRPr="003E76E7">
        <w:rPr>
          <w:rFonts w:ascii="Arial" w:hAnsi="Arial"/>
          <w:sz w:val="14"/>
          <w:szCs w:val="14"/>
          <w:lang w:val="en-AU"/>
        </w:rPr>
        <w:tab/>
      </w:r>
      <w:r w:rsidRPr="003E76E7">
        <w:rPr>
          <w:rFonts w:ascii="Arial" w:hAnsi="Arial"/>
          <w:sz w:val="14"/>
          <w:szCs w:val="14"/>
          <w:lang w:val="en-AU"/>
        </w:rPr>
        <w:tab/>
      </w:r>
      <w:r w:rsidRPr="003E76E7">
        <w:rPr>
          <w:rFonts w:ascii="Arial" w:hAnsi="Arial"/>
          <w:sz w:val="14"/>
          <w:szCs w:val="14"/>
          <w:lang w:val="en-AU"/>
        </w:rPr>
        <w:tab/>
      </w:r>
    </w:p>
    <w:p w14:paraId="160440BA" w14:textId="7C34EDDF" w:rsidR="00293395" w:rsidRPr="003E76E7" w:rsidRDefault="00CC7490" w:rsidP="00C4292D">
      <w:pPr>
        <w:pStyle w:val="ListParagraph"/>
        <w:numPr>
          <w:ilvl w:val="0"/>
          <w:numId w:val="131"/>
        </w:numPr>
        <w:tabs>
          <w:tab w:val="left" w:pos="284"/>
        </w:tabs>
        <w:spacing w:before="0" w:after="0"/>
        <w:ind w:left="284" w:hanging="283"/>
        <w:jc w:val="both"/>
        <w:rPr>
          <w:rFonts w:ascii="Arial" w:hAnsi="Arial"/>
          <w:sz w:val="14"/>
          <w:szCs w:val="14"/>
          <w:lang w:val="en-AU"/>
        </w:rPr>
      </w:pPr>
      <w:r w:rsidRPr="003E76E7">
        <w:rPr>
          <w:rFonts w:ascii="Arial" w:hAnsi="Arial"/>
          <w:sz w:val="14"/>
          <w:szCs w:val="14"/>
          <w:lang w:val="en-AU"/>
        </w:rPr>
        <w:t xml:space="preserve">The expenditure for the 2025-26 Estimated Actual reflects a movement of funds of $2.0 billion from 2027-28 to 2025-26 of which </w:t>
      </w:r>
      <w:r w:rsidRPr="003E76E7">
        <w:rPr>
          <w:rFonts w:ascii="Arial" w:hAnsi="Arial"/>
          <w:sz w:val="14"/>
          <w:szCs w:val="14"/>
          <w:lang w:val="en-AU"/>
        </w:rPr>
        <w:br/>
        <w:t>$0.5 billion will be utilised towards increased preparedness and sustainment activities.</w:t>
      </w:r>
    </w:p>
    <w:p w14:paraId="5432DEB0" w14:textId="77777777" w:rsidR="00CC7490" w:rsidRPr="003E76E7" w:rsidRDefault="00CC7490" w:rsidP="00C4292D">
      <w:pPr>
        <w:pStyle w:val="ListParagraph"/>
        <w:tabs>
          <w:tab w:val="left" w:pos="284"/>
        </w:tabs>
        <w:spacing w:before="0" w:after="0"/>
        <w:ind w:left="284"/>
        <w:jc w:val="both"/>
        <w:rPr>
          <w:rFonts w:ascii="Arial" w:hAnsi="Arial"/>
          <w:sz w:val="14"/>
          <w:szCs w:val="14"/>
          <w:lang w:val="en-AU"/>
        </w:rPr>
      </w:pPr>
    </w:p>
    <w:bookmarkEnd w:id="948"/>
    <w:p w14:paraId="2C410914" w14:textId="54EE8C57" w:rsidR="001A3CA2" w:rsidRPr="003E76E7" w:rsidRDefault="00E46702" w:rsidP="00C4292D">
      <w:pPr>
        <w:pStyle w:val="TableHeading"/>
        <w:numPr>
          <w:ilvl w:val="0"/>
          <w:numId w:val="61"/>
        </w:numPr>
        <w:spacing w:before="100"/>
        <w:ind w:left="426" w:hanging="426"/>
        <w:outlineLvl w:val="4"/>
        <w:rPr>
          <w:lang w:val="en-AU"/>
        </w:rPr>
      </w:pPr>
      <w:r w:rsidRPr="003E76E7">
        <w:rPr>
          <w:lang w:val="en-AU"/>
        </w:rPr>
        <w:t>Retained Capital Receipts</w:t>
      </w:r>
    </w:p>
    <w:p w14:paraId="56061E67" w14:textId="197FC49C" w:rsidR="00FD1A10" w:rsidRPr="003E76E7" w:rsidRDefault="00B63BB1" w:rsidP="00C4292D">
      <w:pPr>
        <w:spacing w:after="0"/>
      </w:pPr>
      <w:r w:rsidRPr="00B63BB1">
        <w:rPr>
          <w:noProof/>
          <w:lang w:val="en-AU"/>
        </w:rPr>
        <w:drawing>
          <wp:inline distT="0" distB="0" distL="0" distR="0" wp14:anchorId="289F7C65" wp14:editId="7C39B83B">
            <wp:extent cx="5471795" cy="11929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71795" cy="1192980"/>
                    </a:xfrm>
                    <a:prstGeom prst="rect">
                      <a:avLst/>
                    </a:prstGeom>
                    <a:noFill/>
                    <a:ln>
                      <a:noFill/>
                    </a:ln>
                  </pic:spPr>
                </pic:pic>
              </a:graphicData>
            </a:graphic>
          </wp:inline>
        </w:drawing>
      </w:r>
    </w:p>
    <w:p w14:paraId="44D31D38" w14:textId="097AEF2F" w:rsidR="006E3B39" w:rsidRPr="003E76E7" w:rsidRDefault="004C687F" w:rsidP="00C4292D">
      <w:pPr>
        <w:pStyle w:val="Heading4"/>
      </w:pPr>
      <w:bookmarkStart w:id="949" w:name="_Toc355262892"/>
      <w:bookmarkStart w:id="950" w:name="_Toc355271247"/>
      <w:bookmarkStart w:id="951" w:name="_Toc355343316"/>
      <w:bookmarkStart w:id="952" w:name="_Toc355620804"/>
      <w:bookmarkStart w:id="953" w:name="_Toc359245773"/>
      <w:bookmarkStart w:id="954" w:name="_Toc374969027"/>
      <w:bookmarkStart w:id="955" w:name="_Toc375310539"/>
      <w:r w:rsidRPr="003E76E7">
        <w:rPr>
          <w:lang w:val="en-AU"/>
        </w:rPr>
        <w:br w:type="page"/>
      </w:r>
      <w:bookmarkStart w:id="956" w:name="_Toc507595420"/>
      <w:bookmarkStart w:id="957" w:name="_Toc536089228"/>
      <w:bookmarkStart w:id="958" w:name="_Toc536089488"/>
      <w:bookmarkStart w:id="959" w:name="_Toc536089594"/>
      <w:bookmarkStart w:id="960" w:name="_Toc69729044"/>
      <w:bookmarkStart w:id="961" w:name="_Toc97747827"/>
      <w:bookmarkStart w:id="962" w:name="_Toc108088938"/>
      <w:bookmarkStart w:id="963" w:name="_Toc108089017"/>
      <w:bookmarkStart w:id="964" w:name="_Toc108089412"/>
      <w:bookmarkStart w:id="965" w:name="_Toc159499681"/>
      <w:bookmarkStart w:id="966" w:name="_Toc222129922"/>
      <w:bookmarkStart w:id="967" w:name="_Toc222148352"/>
      <w:bookmarkStart w:id="968" w:name="_Toc225847980"/>
      <w:bookmarkStart w:id="969" w:name="_Toc225848063"/>
      <w:bookmarkStart w:id="970" w:name="_Toc225848146"/>
      <w:bookmarkStart w:id="971" w:name="_Toc225848485"/>
      <w:bookmarkStart w:id="972" w:name="_Toc225941552"/>
      <w:bookmarkStart w:id="973" w:name="_Toc225942559"/>
      <w:bookmarkStart w:id="974" w:name="_Toc227334369"/>
      <w:bookmarkStart w:id="975" w:name="_Toc229072444"/>
      <w:bookmarkStart w:id="976" w:name="_Toc229072616"/>
      <w:bookmarkEnd w:id="949"/>
      <w:bookmarkEnd w:id="950"/>
      <w:bookmarkEnd w:id="951"/>
      <w:bookmarkEnd w:id="952"/>
      <w:bookmarkEnd w:id="953"/>
      <w:bookmarkEnd w:id="954"/>
      <w:bookmarkEnd w:id="955"/>
      <w:r w:rsidR="00F11584" w:rsidRPr="003E76E7">
        <w:rPr>
          <w:sz w:val="26"/>
          <w:szCs w:val="26"/>
          <w:lang w:val="en-AU"/>
        </w:rPr>
        <w:lastRenderedPageBreak/>
        <w:t xml:space="preserve">1.5 </w:t>
      </w:r>
      <w:r w:rsidR="00337D21" w:rsidRPr="003E76E7">
        <w:rPr>
          <w:sz w:val="26"/>
          <w:szCs w:val="26"/>
          <w:lang w:val="en-AU"/>
        </w:rPr>
        <w:t>Peopl</w:t>
      </w:r>
      <w:bookmarkEnd w:id="956"/>
      <w:bookmarkEnd w:id="957"/>
      <w:bookmarkEnd w:id="958"/>
      <w:bookmarkEnd w:id="959"/>
      <w:bookmarkEnd w:id="960"/>
      <w:bookmarkEnd w:id="961"/>
      <w:bookmarkEnd w:id="962"/>
      <w:bookmarkEnd w:id="963"/>
      <w:bookmarkEnd w:id="964"/>
      <w:bookmarkEnd w:id="965"/>
      <w:bookmarkEnd w:id="966"/>
      <w:r w:rsidR="00217AB4" w:rsidRPr="003E76E7">
        <w:rPr>
          <w:sz w:val="26"/>
          <w:szCs w:val="26"/>
          <w:lang w:val="en-AU"/>
        </w:rPr>
        <w:t>e</w:t>
      </w:r>
      <w:bookmarkEnd w:id="967"/>
      <w:bookmarkEnd w:id="968"/>
      <w:bookmarkEnd w:id="969"/>
      <w:bookmarkEnd w:id="970"/>
      <w:bookmarkEnd w:id="971"/>
      <w:bookmarkEnd w:id="972"/>
      <w:bookmarkEnd w:id="973"/>
      <w:bookmarkEnd w:id="974"/>
      <w:bookmarkEnd w:id="975"/>
      <w:bookmarkEnd w:id="976"/>
    </w:p>
    <w:p w14:paraId="5DBA3BEE" w14:textId="24018F31" w:rsidR="003E6B61" w:rsidRPr="003E76E7" w:rsidRDefault="0045208A" w:rsidP="00C4292D">
      <w:pPr>
        <w:pStyle w:val="Heading5noTOC"/>
        <w:spacing w:before="100" w:after="100"/>
        <w:outlineLvl w:val="4"/>
        <w:rPr>
          <w:sz w:val="22"/>
          <w:szCs w:val="22"/>
        </w:rPr>
      </w:pPr>
      <w:bookmarkStart w:id="977" w:name="_Toc159499682"/>
      <w:bookmarkStart w:id="978" w:name="_Toc159499968"/>
      <w:bookmarkStart w:id="979" w:name="_Toc159859099"/>
      <w:bookmarkStart w:id="980" w:name="_Toc159859251"/>
      <w:r w:rsidRPr="003E76E7">
        <w:rPr>
          <w:sz w:val="22"/>
          <w:szCs w:val="22"/>
        </w:rPr>
        <w:t>Workforce Overview</w:t>
      </w:r>
    </w:p>
    <w:p w14:paraId="0063566A" w14:textId="0995133C" w:rsidR="003E72B0" w:rsidRPr="003E76E7" w:rsidRDefault="003E72B0" w:rsidP="00C4292D">
      <w:pPr>
        <w:spacing w:before="60" w:after="60" w:line="256" w:lineRule="auto"/>
        <w:rPr>
          <w:lang w:val="en-AU"/>
        </w:rPr>
      </w:pPr>
      <w:r w:rsidRPr="003E76E7">
        <w:rPr>
          <w:lang w:val="en-AU"/>
        </w:rPr>
        <w:t xml:space="preserve">Defence’s people, across the ADF, APS and external workforce are central to delivering the capability, readiness and </w:t>
      </w:r>
      <w:r w:rsidRPr="003E76E7">
        <w:t>integration</w:t>
      </w:r>
      <w:r w:rsidRPr="003E76E7">
        <w:rPr>
          <w:lang w:val="en-AU"/>
        </w:rPr>
        <w:t xml:space="preserve"> required under the</w:t>
      </w:r>
      <w:r w:rsidR="0045208A" w:rsidRPr="003E76E7">
        <w:rPr>
          <w:lang w:val="en-AU"/>
        </w:rPr>
        <w:t xml:space="preserve"> </w:t>
      </w:r>
      <w:r w:rsidR="0045208A" w:rsidRPr="003E76E7">
        <w:rPr>
          <w:i/>
          <w:lang w:val="en-AU"/>
        </w:rPr>
        <w:t>202</w:t>
      </w:r>
      <w:r w:rsidR="00A04BD1" w:rsidRPr="003E76E7">
        <w:rPr>
          <w:i/>
          <w:lang w:val="en-AU"/>
        </w:rPr>
        <w:t>6</w:t>
      </w:r>
      <w:r w:rsidRPr="003E76E7">
        <w:rPr>
          <w:lang w:val="en-AU"/>
        </w:rPr>
        <w:t xml:space="preserve"> </w:t>
      </w:r>
      <w:r w:rsidRPr="003E76E7">
        <w:rPr>
          <w:i/>
          <w:lang w:val="en-AU"/>
        </w:rPr>
        <w:t>National Defence Strategy</w:t>
      </w:r>
      <w:r w:rsidRPr="003E76E7">
        <w:rPr>
          <w:lang w:val="en-AU"/>
        </w:rPr>
        <w:t>.</w:t>
      </w:r>
    </w:p>
    <w:p w14:paraId="7DF6D40E" w14:textId="70C0C459" w:rsidR="003E72B0" w:rsidRPr="003E76E7" w:rsidRDefault="003E72B0" w:rsidP="00C4292D">
      <w:pPr>
        <w:spacing w:before="60" w:after="60" w:line="256" w:lineRule="auto"/>
        <w:rPr>
          <w:lang w:val="en-AU"/>
        </w:rPr>
      </w:pPr>
      <w:r w:rsidRPr="003E76E7">
        <w:rPr>
          <w:lang w:val="en-AU"/>
        </w:rPr>
        <w:t xml:space="preserve">Through 2026-27, Defence will continue to implement the </w:t>
      </w:r>
      <w:r w:rsidR="0087640C" w:rsidRPr="003E76E7">
        <w:rPr>
          <w:i/>
          <w:lang w:val="en-AU"/>
        </w:rPr>
        <w:t>2024</w:t>
      </w:r>
      <w:r w:rsidR="0087640C">
        <w:rPr>
          <w:i/>
          <w:lang w:val="en-AU"/>
        </w:rPr>
        <w:t xml:space="preserve"> </w:t>
      </w:r>
      <w:r w:rsidRPr="003E76E7">
        <w:rPr>
          <w:i/>
          <w:lang w:val="en-AU"/>
        </w:rPr>
        <w:t>Defence Workforce Plan</w:t>
      </w:r>
      <w:r w:rsidR="00DE0200" w:rsidRPr="00DE0200">
        <w:rPr>
          <w:lang w:val="en-AU"/>
        </w:rPr>
        <w:t>,</w:t>
      </w:r>
      <w:r w:rsidRPr="003E76E7">
        <w:rPr>
          <w:lang w:val="en-AU"/>
        </w:rPr>
        <w:t xml:space="preserve"> while finalising the 2026 Defence </w:t>
      </w:r>
      <w:r w:rsidRPr="003E76E7">
        <w:t>Workforce</w:t>
      </w:r>
      <w:r w:rsidRPr="003E76E7">
        <w:rPr>
          <w:lang w:val="en-AU"/>
        </w:rPr>
        <w:t xml:space="preserve"> Plan.</w:t>
      </w:r>
    </w:p>
    <w:p w14:paraId="01321C18" w14:textId="77777777" w:rsidR="003E72B0" w:rsidRPr="003E76E7" w:rsidRDefault="003E72B0" w:rsidP="00C4292D">
      <w:pPr>
        <w:spacing w:before="60" w:after="60" w:line="256" w:lineRule="auto"/>
        <w:rPr>
          <w:lang w:val="en-AU"/>
        </w:rPr>
      </w:pPr>
      <w:r w:rsidRPr="003E76E7">
        <w:rPr>
          <w:lang w:val="en-AU"/>
        </w:rPr>
        <w:t xml:space="preserve">Strengthening recruitment and retention to achieve a permanent ADF of around 69,000 by the early 2030s remains a priority as does implementation of recommendations from the Strategic Review of the ADF </w:t>
      </w:r>
      <w:r w:rsidRPr="003E76E7">
        <w:t>Reserves</w:t>
      </w:r>
      <w:r w:rsidRPr="003E76E7">
        <w:rPr>
          <w:lang w:val="en-AU"/>
        </w:rPr>
        <w:t>.</w:t>
      </w:r>
    </w:p>
    <w:p w14:paraId="7A6C8215" w14:textId="3A870A3B" w:rsidR="003E72B0" w:rsidRPr="003E76E7" w:rsidRDefault="003E72B0" w:rsidP="00C4292D">
      <w:pPr>
        <w:spacing w:before="60" w:after="60" w:line="256" w:lineRule="auto"/>
        <w:rPr>
          <w:lang w:val="en-AU"/>
        </w:rPr>
      </w:pPr>
      <w:r w:rsidRPr="003E76E7">
        <w:rPr>
          <w:lang w:val="en-AU"/>
        </w:rPr>
        <w:t xml:space="preserve">For the Defence APS workforce, uplifting professionalisation remains important particularly in relation to project and program </w:t>
      </w:r>
      <w:r w:rsidRPr="003E76E7">
        <w:t>management</w:t>
      </w:r>
      <w:r w:rsidRPr="003E76E7">
        <w:rPr>
          <w:lang w:val="en-AU"/>
        </w:rPr>
        <w:t>, contracting, procurement and use of Artificial Intelligence</w:t>
      </w:r>
      <w:r w:rsidR="00B007E4" w:rsidRPr="003E76E7">
        <w:rPr>
          <w:lang w:val="en-AU"/>
        </w:rPr>
        <w:t xml:space="preserve"> (AI)</w:t>
      </w:r>
      <w:r w:rsidRPr="003E76E7">
        <w:rPr>
          <w:lang w:val="en-AU"/>
        </w:rPr>
        <w:t xml:space="preserve">. This uplift will enable Defence to continue to reduce reliance on contractors in line with the Strategic Commissioning Framework. </w:t>
      </w:r>
    </w:p>
    <w:p w14:paraId="2FC756C4" w14:textId="6EDE09BE" w:rsidR="003E72B0" w:rsidRPr="003E76E7" w:rsidRDefault="003E72B0" w:rsidP="00C4292D">
      <w:pPr>
        <w:spacing w:before="60" w:after="60" w:line="256" w:lineRule="auto"/>
        <w:rPr>
          <w:lang w:val="en-AU"/>
        </w:rPr>
      </w:pPr>
      <w:r w:rsidRPr="003E76E7">
        <w:rPr>
          <w:lang w:val="en-AU"/>
        </w:rPr>
        <w:t xml:space="preserve">The wellbeing of our people remains central to the delivery of Australia’s </w:t>
      </w:r>
      <w:r w:rsidRPr="00AC78F0">
        <w:rPr>
          <w:i/>
          <w:lang w:val="en-AU"/>
        </w:rPr>
        <w:t>National Defence</w:t>
      </w:r>
      <w:r w:rsidRPr="003E76E7">
        <w:rPr>
          <w:lang w:val="en-AU"/>
        </w:rPr>
        <w:t xml:space="preserve">, as does the support we provide to our ADF families. Defence will continue to implement the recommendations of the Royal Commission into Defence and Veteran Suicide as well as the </w:t>
      </w:r>
      <w:r w:rsidRPr="003E76E7">
        <w:rPr>
          <w:i/>
          <w:lang w:val="en-AU"/>
        </w:rPr>
        <w:t>Defence and Veteran Mental Health and Wellbeing Strategy 2024</w:t>
      </w:r>
      <w:r w:rsidR="008744BA" w:rsidRPr="003E76E7">
        <w:rPr>
          <w:i/>
          <w:lang w:val="en-AU"/>
        </w:rPr>
        <w:t>-</w:t>
      </w:r>
      <w:r w:rsidRPr="003E76E7">
        <w:rPr>
          <w:i/>
          <w:lang w:val="en-AU"/>
        </w:rPr>
        <w:t>2029</w:t>
      </w:r>
      <w:r w:rsidRPr="003E76E7">
        <w:rPr>
          <w:lang w:val="en-AU"/>
        </w:rPr>
        <w:t xml:space="preserve">; the </w:t>
      </w:r>
      <w:r w:rsidRPr="003E76E7">
        <w:rPr>
          <w:i/>
          <w:lang w:val="en-AU"/>
        </w:rPr>
        <w:t>Defence and Veteran Family Wellbeing Strategy 2024</w:t>
      </w:r>
      <w:r w:rsidR="00FE3471" w:rsidRPr="003E76E7">
        <w:rPr>
          <w:i/>
          <w:lang w:val="en-AU"/>
        </w:rPr>
        <w:t>-</w:t>
      </w:r>
      <w:r w:rsidRPr="003E76E7">
        <w:rPr>
          <w:i/>
          <w:lang w:val="en-AU"/>
        </w:rPr>
        <w:t>29</w:t>
      </w:r>
      <w:r w:rsidRPr="003E76E7">
        <w:rPr>
          <w:lang w:val="en-AU"/>
        </w:rPr>
        <w:t xml:space="preserve">; the </w:t>
      </w:r>
      <w:r w:rsidRPr="003E76E7">
        <w:rPr>
          <w:i/>
          <w:lang w:val="en-AU"/>
        </w:rPr>
        <w:t>Defence Strategy for Preventing and Responding to Family and Domestic Violence 2023</w:t>
      </w:r>
      <w:r w:rsidR="00FE3471" w:rsidRPr="003E76E7">
        <w:rPr>
          <w:i/>
          <w:lang w:val="en-AU"/>
        </w:rPr>
        <w:t>-</w:t>
      </w:r>
      <w:r w:rsidRPr="003E76E7">
        <w:rPr>
          <w:i/>
          <w:lang w:val="en-AU"/>
        </w:rPr>
        <w:t>2028</w:t>
      </w:r>
      <w:r w:rsidRPr="003E76E7">
        <w:rPr>
          <w:lang w:val="en-AU"/>
        </w:rPr>
        <w:t xml:space="preserve">; and the </w:t>
      </w:r>
      <w:r w:rsidRPr="003E76E7">
        <w:rPr>
          <w:i/>
          <w:lang w:val="en-AU"/>
        </w:rPr>
        <w:t>Veteran Transition Strategy 2023</w:t>
      </w:r>
      <w:r w:rsidRPr="003E76E7">
        <w:rPr>
          <w:lang w:val="en-AU"/>
        </w:rPr>
        <w:t>.</w:t>
      </w:r>
    </w:p>
    <w:p w14:paraId="51126DEF" w14:textId="2F27E09D" w:rsidR="00B007E4" w:rsidRPr="003E76E7" w:rsidRDefault="003E72B0" w:rsidP="00C4292D">
      <w:pPr>
        <w:spacing w:before="60" w:after="60" w:line="256" w:lineRule="auto"/>
      </w:pPr>
      <w:r w:rsidRPr="003E76E7">
        <w:rPr>
          <w:lang w:val="en-AU"/>
        </w:rPr>
        <w:t>Implementation of Defence reform, including the establishment of the Defence Delivery Agency, through 2026-27 will require workforce agility and resilience.</w:t>
      </w:r>
    </w:p>
    <w:p w14:paraId="0C8D8C40" w14:textId="7C959FDA" w:rsidR="00D87A5A" w:rsidRPr="003E76E7" w:rsidRDefault="00D87A5A" w:rsidP="00C4292D">
      <w:pPr>
        <w:pStyle w:val="Heading5noTOC"/>
        <w:spacing w:after="100"/>
        <w:outlineLvl w:val="4"/>
        <w:rPr>
          <w:sz w:val="22"/>
          <w:szCs w:val="22"/>
        </w:rPr>
      </w:pPr>
      <w:r w:rsidRPr="003E76E7">
        <w:rPr>
          <w:sz w:val="22"/>
          <w:szCs w:val="22"/>
        </w:rPr>
        <w:t>Workforce Summary</w:t>
      </w:r>
      <w:bookmarkEnd w:id="977"/>
      <w:bookmarkEnd w:id="978"/>
      <w:bookmarkEnd w:id="979"/>
      <w:bookmarkEnd w:id="980"/>
    </w:p>
    <w:p w14:paraId="71006AAF" w14:textId="05F8AEE1" w:rsidR="000B5BE0" w:rsidRPr="003E76E7" w:rsidRDefault="000B5BE0" w:rsidP="00C4292D">
      <w:pPr>
        <w:spacing w:before="60" w:after="60" w:line="256" w:lineRule="auto"/>
        <w:rPr>
          <w:lang w:val="en-AU"/>
        </w:rPr>
      </w:pPr>
      <w:r w:rsidRPr="003E76E7">
        <w:rPr>
          <w:lang w:val="en-AU"/>
        </w:rPr>
        <w:t xml:space="preserve">Since the </w:t>
      </w:r>
      <w:r w:rsidR="00A30EE7" w:rsidRPr="003E76E7">
        <w:rPr>
          <w:lang w:val="en-AU"/>
        </w:rPr>
        <w:t xml:space="preserve">PAES </w:t>
      </w:r>
      <w:r w:rsidRPr="003E76E7">
        <w:rPr>
          <w:lang w:val="en-AU"/>
        </w:rPr>
        <w:t xml:space="preserve">2025-26, </w:t>
      </w:r>
      <w:r w:rsidR="003E72B0" w:rsidRPr="003E76E7">
        <w:rPr>
          <w:lang w:val="en-AU"/>
        </w:rPr>
        <w:t>Defence has continued to experience improved ADF recruitment and retention, resulting in a</w:t>
      </w:r>
      <w:r w:rsidR="000848F6" w:rsidRPr="003E76E7">
        <w:rPr>
          <w:lang w:val="en-AU"/>
        </w:rPr>
        <w:t xml:space="preserve"> </w:t>
      </w:r>
      <w:r w:rsidR="003E72B0" w:rsidRPr="003E76E7">
        <w:rPr>
          <w:lang w:val="en-AU"/>
        </w:rPr>
        <w:t>growth path to achieve around 69,000 permanent ADF personnel by the early 2030s</w:t>
      </w:r>
      <w:r w:rsidR="004C3D38" w:rsidRPr="003E76E7">
        <w:rPr>
          <w:lang w:val="en-AU"/>
        </w:rPr>
        <w:t>.</w:t>
      </w:r>
    </w:p>
    <w:p w14:paraId="3809B974" w14:textId="3A47CF77" w:rsidR="000B5BE0" w:rsidRPr="003E76E7" w:rsidRDefault="003E72B0" w:rsidP="00C4292D">
      <w:pPr>
        <w:pStyle w:val="Bullet"/>
      </w:pPr>
      <w:r w:rsidRPr="003E76E7">
        <w:rPr>
          <w:szCs w:val="22"/>
        </w:rPr>
        <w:t>The planned 2026</w:t>
      </w:r>
      <w:r w:rsidR="00AD14EC" w:rsidRPr="003E76E7">
        <w:rPr>
          <w:szCs w:val="22"/>
        </w:rPr>
        <w:t>-</w:t>
      </w:r>
      <w:r w:rsidRPr="003E76E7">
        <w:rPr>
          <w:szCs w:val="22"/>
        </w:rPr>
        <w:t xml:space="preserve">27 full-time equivalent workforce is </w:t>
      </w:r>
      <w:r w:rsidRPr="003E76E7">
        <w:rPr>
          <w:bCs/>
          <w:szCs w:val="22"/>
        </w:rPr>
        <w:t>83,</w:t>
      </w:r>
      <w:r w:rsidR="00A04BD1" w:rsidRPr="003E76E7">
        <w:rPr>
          <w:bCs/>
          <w:szCs w:val="22"/>
        </w:rPr>
        <w:t>514</w:t>
      </w:r>
      <w:r w:rsidRPr="003E76E7">
        <w:rPr>
          <w:szCs w:val="22"/>
        </w:rPr>
        <w:t>, comprising</w:t>
      </w:r>
      <w:r w:rsidR="000B5BE0" w:rsidRPr="003E76E7">
        <w:t xml:space="preserve">: </w:t>
      </w:r>
    </w:p>
    <w:p w14:paraId="681C76F9" w14:textId="37E2B9CD" w:rsidR="000B5BE0" w:rsidRPr="003E76E7" w:rsidRDefault="000B5BE0" w:rsidP="00C4292D">
      <w:pPr>
        <w:numPr>
          <w:ilvl w:val="0"/>
          <w:numId w:val="15"/>
        </w:numPr>
        <w:tabs>
          <w:tab w:val="clear" w:pos="340"/>
          <w:tab w:val="num" w:pos="567"/>
        </w:tabs>
        <w:spacing w:before="60" w:after="60"/>
        <w:ind w:hanging="340"/>
        <w:rPr>
          <w:szCs w:val="20"/>
        </w:rPr>
      </w:pPr>
      <w:r w:rsidRPr="003E76E7">
        <w:rPr>
          <w:szCs w:val="20"/>
        </w:rPr>
        <w:t>6</w:t>
      </w:r>
      <w:r w:rsidR="003E72B0" w:rsidRPr="003E76E7">
        <w:rPr>
          <w:szCs w:val="20"/>
        </w:rPr>
        <w:t>3</w:t>
      </w:r>
      <w:r w:rsidRPr="003E76E7">
        <w:rPr>
          <w:szCs w:val="20"/>
        </w:rPr>
        <w:t>,</w:t>
      </w:r>
      <w:r w:rsidR="003E72B0" w:rsidRPr="003E76E7">
        <w:rPr>
          <w:szCs w:val="20"/>
        </w:rPr>
        <w:t>345</w:t>
      </w:r>
      <w:r w:rsidRPr="003E76E7">
        <w:rPr>
          <w:szCs w:val="20"/>
        </w:rPr>
        <w:t xml:space="preserve"> permanent ADF personnel (76</w:t>
      </w:r>
      <w:r w:rsidR="003E72B0" w:rsidRPr="003E76E7">
        <w:rPr>
          <w:szCs w:val="20"/>
        </w:rPr>
        <w:t>%</w:t>
      </w:r>
      <w:r w:rsidRPr="003E76E7">
        <w:rPr>
          <w:szCs w:val="20"/>
        </w:rPr>
        <w:t>)</w:t>
      </w:r>
      <w:r w:rsidR="007630F5" w:rsidRPr="003E76E7">
        <w:rPr>
          <w:szCs w:val="20"/>
        </w:rPr>
        <w:t>; and</w:t>
      </w:r>
    </w:p>
    <w:p w14:paraId="270D1483" w14:textId="77D9DEF9" w:rsidR="000B5BE0" w:rsidRPr="003E76E7" w:rsidRDefault="003E72B0" w:rsidP="00C4292D">
      <w:pPr>
        <w:numPr>
          <w:ilvl w:val="0"/>
          <w:numId w:val="15"/>
        </w:numPr>
        <w:tabs>
          <w:tab w:val="clear" w:pos="340"/>
          <w:tab w:val="num" w:pos="567"/>
        </w:tabs>
        <w:spacing w:before="60" w:after="60"/>
        <w:ind w:hanging="340"/>
        <w:rPr>
          <w:szCs w:val="20"/>
        </w:rPr>
      </w:pPr>
      <w:r w:rsidRPr="003E76E7">
        <w:rPr>
          <w:szCs w:val="20"/>
        </w:rPr>
        <w:t>20</w:t>
      </w:r>
      <w:r w:rsidR="000B5BE0" w:rsidRPr="003E76E7">
        <w:rPr>
          <w:szCs w:val="20"/>
        </w:rPr>
        <w:t>,</w:t>
      </w:r>
      <w:r w:rsidR="00A04BD1" w:rsidRPr="003E76E7">
        <w:rPr>
          <w:szCs w:val="20"/>
        </w:rPr>
        <w:t>169</w:t>
      </w:r>
      <w:r w:rsidR="000B5BE0" w:rsidRPr="003E76E7">
        <w:rPr>
          <w:szCs w:val="20"/>
        </w:rPr>
        <w:t xml:space="preserve"> APS employees (24</w:t>
      </w:r>
      <w:r w:rsidRPr="003E76E7">
        <w:rPr>
          <w:szCs w:val="20"/>
        </w:rPr>
        <w:t>%</w:t>
      </w:r>
      <w:r w:rsidR="000B5BE0" w:rsidRPr="003E76E7">
        <w:rPr>
          <w:szCs w:val="20"/>
        </w:rPr>
        <w:t xml:space="preserve">). </w:t>
      </w:r>
    </w:p>
    <w:p w14:paraId="3BD8A834" w14:textId="77777777" w:rsidR="000B5BE0" w:rsidRPr="003E76E7" w:rsidRDefault="000B5BE0" w:rsidP="00C4292D">
      <w:pPr>
        <w:pStyle w:val="Bullet"/>
      </w:pPr>
      <w:r w:rsidRPr="003E76E7">
        <w:t xml:space="preserve">The permanent ADF workforce will include: </w:t>
      </w:r>
    </w:p>
    <w:p w14:paraId="01B998BA" w14:textId="0FFEB8B4" w:rsidR="000B5BE0" w:rsidRPr="003E76E7" w:rsidRDefault="003E72B0" w:rsidP="00C4292D">
      <w:pPr>
        <w:numPr>
          <w:ilvl w:val="0"/>
          <w:numId w:val="15"/>
        </w:numPr>
        <w:tabs>
          <w:tab w:val="clear" w:pos="340"/>
          <w:tab w:val="num" w:pos="284"/>
        </w:tabs>
        <w:spacing w:before="60" w:after="60"/>
        <w:ind w:hanging="340"/>
        <w:rPr>
          <w:szCs w:val="20"/>
        </w:rPr>
      </w:pPr>
      <w:r w:rsidRPr="003E76E7">
        <w:rPr>
          <w:szCs w:val="20"/>
        </w:rPr>
        <w:t>16,193</w:t>
      </w:r>
      <w:r w:rsidR="007630F5" w:rsidRPr="003E76E7">
        <w:rPr>
          <w:szCs w:val="20"/>
        </w:rPr>
        <w:t xml:space="preserve"> </w:t>
      </w:r>
      <w:r w:rsidR="000B5BE0" w:rsidRPr="003E76E7">
        <w:rPr>
          <w:szCs w:val="20"/>
        </w:rPr>
        <w:t>Navy personnel</w:t>
      </w:r>
      <w:r w:rsidR="007630F5" w:rsidRPr="003E76E7">
        <w:rPr>
          <w:szCs w:val="20"/>
        </w:rPr>
        <w:t>;</w:t>
      </w:r>
    </w:p>
    <w:p w14:paraId="4824D623" w14:textId="3A0092F4" w:rsidR="000B5BE0" w:rsidRPr="003E76E7" w:rsidRDefault="003E72B0" w:rsidP="00C4292D">
      <w:pPr>
        <w:numPr>
          <w:ilvl w:val="0"/>
          <w:numId w:val="15"/>
        </w:numPr>
        <w:tabs>
          <w:tab w:val="clear" w:pos="340"/>
          <w:tab w:val="num" w:pos="284"/>
        </w:tabs>
        <w:spacing w:before="60" w:after="60"/>
        <w:ind w:hanging="340"/>
        <w:rPr>
          <w:szCs w:val="20"/>
        </w:rPr>
      </w:pPr>
      <w:r w:rsidRPr="003E76E7">
        <w:rPr>
          <w:szCs w:val="20"/>
        </w:rPr>
        <w:t>29,685</w:t>
      </w:r>
      <w:r w:rsidR="007630F5" w:rsidRPr="003E76E7">
        <w:rPr>
          <w:szCs w:val="20"/>
        </w:rPr>
        <w:t xml:space="preserve"> </w:t>
      </w:r>
      <w:r w:rsidR="000B5BE0" w:rsidRPr="003E76E7">
        <w:rPr>
          <w:szCs w:val="20"/>
        </w:rPr>
        <w:t>Army personnel</w:t>
      </w:r>
      <w:r w:rsidR="007630F5" w:rsidRPr="003E76E7">
        <w:rPr>
          <w:szCs w:val="20"/>
        </w:rPr>
        <w:t>; and</w:t>
      </w:r>
    </w:p>
    <w:p w14:paraId="160207E0" w14:textId="43127202" w:rsidR="007630F5" w:rsidRPr="003E76E7" w:rsidRDefault="003E72B0" w:rsidP="00C4292D">
      <w:pPr>
        <w:numPr>
          <w:ilvl w:val="0"/>
          <w:numId w:val="15"/>
        </w:numPr>
        <w:tabs>
          <w:tab w:val="clear" w:pos="340"/>
          <w:tab w:val="num" w:pos="284"/>
        </w:tabs>
        <w:spacing w:before="60" w:after="60"/>
        <w:ind w:hanging="340"/>
      </w:pPr>
      <w:r w:rsidRPr="003E76E7">
        <w:rPr>
          <w:szCs w:val="20"/>
        </w:rPr>
        <w:t>17,467</w:t>
      </w:r>
      <w:r w:rsidR="007630F5" w:rsidRPr="003E76E7">
        <w:rPr>
          <w:szCs w:val="20"/>
        </w:rPr>
        <w:t xml:space="preserve"> </w:t>
      </w:r>
      <w:r w:rsidR="000B5BE0" w:rsidRPr="003E76E7">
        <w:rPr>
          <w:szCs w:val="20"/>
        </w:rPr>
        <w:t>Air Force personnel.</w:t>
      </w:r>
    </w:p>
    <w:p w14:paraId="53FB6924" w14:textId="7B61F771" w:rsidR="000B5BE0" w:rsidRPr="003E76E7" w:rsidRDefault="000B5BE0" w:rsidP="00C4292D">
      <w:pPr>
        <w:spacing w:before="60" w:after="60" w:line="256" w:lineRule="auto"/>
      </w:pPr>
      <w:r w:rsidRPr="003E76E7">
        <w:rPr>
          <w:lang w:val="en-AU"/>
        </w:rPr>
        <w:t>Whilst the Defence</w:t>
      </w:r>
      <w:r w:rsidRPr="003E76E7">
        <w:t xml:space="preserve"> workforce is now growing, maintaining the required growth rate across all Services is a priority. Defence will continue to </w:t>
      </w:r>
      <w:r w:rsidR="000848F6" w:rsidRPr="003E76E7">
        <w:rPr>
          <w:lang w:val="en-AU"/>
        </w:rPr>
        <w:t>improve</w:t>
      </w:r>
      <w:r w:rsidR="000848F6" w:rsidRPr="003E76E7">
        <w:t xml:space="preserve"> </w:t>
      </w:r>
      <w:r w:rsidRPr="003E76E7">
        <w:t xml:space="preserve">ADF recruitment and retention by: </w:t>
      </w:r>
    </w:p>
    <w:p w14:paraId="6EFD6689" w14:textId="3DD4B496" w:rsidR="000B5BE0" w:rsidRPr="003E76E7" w:rsidRDefault="000B5BE0" w:rsidP="00C4292D">
      <w:pPr>
        <w:numPr>
          <w:ilvl w:val="0"/>
          <w:numId w:val="15"/>
        </w:numPr>
        <w:tabs>
          <w:tab w:val="clear" w:pos="340"/>
          <w:tab w:val="num" w:pos="284"/>
        </w:tabs>
        <w:spacing w:before="60" w:after="60"/>
        <w:ind w:left="284" w:hanging="284"/>
        <w:rPr>
          <w:szCs w:val="20"/>
        </w:rPr>
      </w:pPr>
      <w:r w:rsidRPr="003E76E7">
        <w:rPr>
          <w:szCs w:val="20"/>
        </w:rPr>
        <w:t>widening eligibility criteria to enable more people to join the ADF, including the recruitment of eligible permanent residents from Five Eye</w:t>
      </w:r>
      <w:r w:rsidR="00F034BA">
        <w:rPr>
          <w:szCs w:val="20"/>
        </w:rPr>
        <w:t>s</w:t>
      </w:r>
      <w:r w:rsidRPr="003E76E7">
        <w:rPr>
          <w:szCs w:val="20"/>
        </w:rPr>
        <w:t xml:space="preserve"> countries living in Australia and from</w:t>
      </w:r>
      <w:r w:rsidR="007630F5" w:rsidRPr="003E76E7">
        <w:rPr>
          <w:szCs w:val="20"/>
        </w:rPr>
        <w:t xml:space="preserve"> </w:t>
      </w:r>
      <w:r w:rsidR="007630F5" w:rsidRPr="003E76E7">
        <w:rPr>
          <w:szCs w:val="20"/>
        </w:rPr>
        <w:br/>
      </w:r>
      <w:r w:rsidRPr="003E76E7">
        <w:rPr>
          <w:szCs w:val="20"/>
        </w:rPr>
        <w:t xml:space="preserve">1 January 2026 </w:t>
      </w:r>
      <w:r w:rsidR="003E72B0" w:rsidRPr="003E76E7">
        <w:rPr>
          <w:szCs w:val="20"/>
        </w:rPr>
        <w:t>this includes eligible permanent residents from</w:t>
      </w:r>
      <w:r w:rsidRPr="003E76E7">
        <w:rPr>
          <w:szCs w:val="20"/>
        </w:rPr>
        <w:t xml:space="preserve"> Papua New Guinea;</w:t>
      </w:r>
    </w:p>
    <w:p w14:paraId="0A539B85" w14:textId="199E6C9C" w:rsidR="000B5BE0" w:rsidRPr="003E76E7" w:rsidRDefault="000B5BE0" w:rsidP="00C4292D">
      <w:pPr>
        <w:numPr>
          <w:ilvl w:val="0"/>
          <w:numId w:val="15"/>
        </w:numPr>
        <w:tabs>
          <w:tab w:val="clear" w:pos="340"/>
          <w:tab w:val="num" w:pos="284"/>
        </w:tabs>
        <w:spacing w:before="60" w:after="60"/>
        <w:ind w:left="284" w:hanging="284"/>
        <w:rPr>
          <w:szCs w:val="20"/>
        </w:rPr>
      </w:pPr>
      <w:r w:rsidRPr="003E76E7">
        <w:rPr>
          <w:szCs w:val="20"/>
        </w:rPr>
        <w:t xml:space="preserve">expanding the recruiting system to convert this wider pool of eligible applicants into </w:t>
      </w:r>
      <w:r w:rsidR="0087640C">
        <w:rPr>
          <w:szCs w:val="20"/>
        </w:rPr>
        <w:br/>
      </w:r>
      <w:r w:rsidRPr="003E76E7">
        <w:rPr>
          <w:szCs w:val="20"/>
        </w:rPr>
        <w:t xml:space="preserve">ADF recruits; </w:t>
      </w:r>
    </w:p>
    <w:p w14:paraId="4481F9A2" w14:textId="496720F0" w:rsidR="000B5BE0" w:rsidRPr="003E76E7" w:rsidRDefault="000B5BE0" w:rsidP="00C4292D">
      <w:pPr>
        <w:numPr>
          <w:ilvl w:val="0"/>
          <w:numId w:val="15"/>
        </w:numPr>
        <w:tabs>
          <w:tab w:val="clear" w:pos="340"/>
          <w:tab w:val="num" w:pos="284"/>
        </w:tabs>
        <w:spacing w:before="60" w:after="60"/>
        <w:ind w:hanging="340"/>
        <w:rPr>
          <w:szCs w:val="20"/>
        </w:rPr>
      </w:pPr>
      <w:r w:rsidRPr="003E76E7">
        <w:rPr>
          <w:szCs w:val="20"/>
        </w:rPr>
        <w:t xml:space="preserve">streamlining processes to enable faster recruiting and </w:t>
      </w:r>
      <w:r w:rsidR="003E72B0" w:rsidRPr="003E76E7">
        <w:rPr>
          <w:szCs w:val="20"/>
        </w:rPr>
        <w:t xml:space="preserve">targeting </w:t>
      </w:r>
      <w:r w:rsidRPr="003E76E7">
        <w:rPr>
          <w:szCs w:val="20"/>
        </w:rPr>
        <w:t>skills gaps;</w:t>
      </w:r>
    </w:p>
    <w:p w14:paraId="018A4A5D" w14:textId="617E9329" w:rsidR="000B5BE0" w:rsidRPr="003E76E7" w:rsidRDefault="000B5BE0" w:rsidP="00C4292D">
      <w:pPr>
        <w:numPr>
          <w:ilvl w:val="0"/>
          <w:numId w:val="15"/>
        </w:numPr>
        <w:tabs>
          <w:tab w:val="clear" w:pos="340"/>
          <w:tab w:val="num" w:pos="284"/>
        </w:tabs>
        <w:spacing w:before="60" w:after="60"/>
        <w:ind w:left="284" w:hanging="284"/>
        <w:rPr>
          <w:szCs w:val="20"/>
        </w:rPr>
      </w:pPr>
      <w:r w:rsidRPr="003E76E7">
        <w:rPr>
          <w:szCs w:val="20"/>
        </w:rPr>
        <w:lastRenderedPageBreak/>
        <w:t>encouraging retention through continued implementation of initiatives such as the ADF Continuation Bonus</w:t>
      </w:r>
      <w:r w:rsidR="003E72B0" w:rsidRPr="003E76E7">
        <w:rPr>
          <w:szCs w:val="20"/>
        </w:rPr>
        <w:t>; and</w:t>
      </w:r>
    </w:p>
    <w:p w14:paraId="5DBBA64B" w14:textId="4A768633" w:rsidR="003E72B0" w:rsidRPr="003E76E7" w:rsidRDefault="003E72B0" w:rsidP="00C4292D">
      <w:pPr>
        <w:numPr>
          <w:ilvl w:val="0"/>
          <w:numId w:val="15"/>
        </w:numPr>
        <w:tabs>
          <w:tab w:val="clear" w:pos="340"/>
          <w:tab w:val="num" w:pos="284"/>
        </w:tabs>
        <w:spacing w:before="60" w:after="60"/>
        <w:ind w:left="284" w:hanging="284"/>
      </w:pPr>
      <w:r w:rsidRPr="003E76E7">
        <w:rPr>
          <w:szCs w:val="20"/>
        </w:rPr>
        <w:t>growing the Reserve workforce by up to 1,000 positions across Air Force, Navy</w:t>
      </w:r>
      <w:r w:rsidR="00117739" w:rsidRPr="003E76E7">
        <w:rPr>
          <w:szCs w:val="20"/>
        </w:rPr>
        <w:t>, Army</w:t>
      </w:r>
      <w:r w:rsidRPr="003E76E7">
        <w:rPr>
          <w:szCs w:val="20"/>
        </w:rPr>
        <w:t xml:space="preserve"> and Cyber Command by 2030</w:t>
      </w:r>
      <w:r w:rsidR="007630F5" w:rsidRPr="003E76E7">
        <w:rPr>
          <w:szCs w:val="20"/>
        </w:rPr>
        <w:t>.</w:t>
      </w:r>
    </w:p>
    <w:p w14:paraId="31537F7E" w14:textId="25E5B12B" w:rsidR="000B5BE0" w:rsidRPr="003E76E7" w:rsidRDefault="000B5BE0" w:rsidP="00C4292D">
      <w:pPr>
        <w:spacing w:before="60" w:after="60" w:line="256" w:lineRule="auto"/>
      </w:pPr>
      <w:r w:rsidRPr="003E76E7">
        <w:t xml:space="preserve">The ADF Reserves </w:t>
      </w:r>
      <w:r w:rsidRPr="003E76E7">
        <w:rPr>
          <w:lang w:val="en-AU"/>
        </w:rPr>
        <w:t>remain a critical component of the total workforce. Focus remains on implementation of the Strategic Review of the ADF Reserves. The forecast contribution from Service Categories (SERCAT) 3, 4 and 5 in 202</w:t>
      </w:r>
      <w:r w:rsidR="003E72B0" w:rsidRPr="003E76E7">
        <w:rPr>
          <w:lang w:val="en-AU"/>
        </w:rPr>
        <w:t>6</w:t>
      </w:r>
      <w:r w:rsidRPr="003E76E7">
        <w:rPr>
          <w:lang w:val="en-AU"/>
        </w:rPr>
        <w:t>-2</w:t>
      </w:r>
      <w:r w:rsidR="003E72B0" w:rsidRPr="003E76E7">
        <w:rPr>
          <w:lang w:val="en-AU"/>
        </w:rPr>
        <w:t>7</w:t>
      </w:r>
      <w:r w:rsidRPr="003E76E7">
        <w:rPr>
          <w:lang w:val="en-AU"/>
        </w:rPr>
        <w:t xml:space="preserve"> is 1,</w:t>
      </w:r>
      <w:r w:rsidR="003E72B0" w:rsidRPr="003E76E7">
        <w:rPr>
          <w:lang w:val="en-AU"/>
        </w:rPr>
        <w:t>175</w:t>
      </w:r>
      <w:r w:rsidRPr="003E76E7">
        <w:rPr>
          <w:lang w:val="en-AU"/>
        </w:rPr>
        <w:t>,</w:t>
      </w:r>
      <w:r w:rsidR="003E72B0" w:rsidRPr="003E76E7">
        <w:rPr>
          <w:lang w:val="en-AU"/>
        </w:rPr>
        <w:t>681</w:t>
      </w:r>
      <w:r w:rsidRPr="003E76E7">
        <w:rPr>
          <w:lang w:val="en-AU"/>
        </w:rPr>
        <w:t xml:space="preserve"> days of service performed by an estimated 2</w:t>
      </w:r>
      <w:r w:rsidR="003E72B0" w:rsidRPr="003E76E7">
        <w:rPr>
          <w:lang w:val="en-AU"/>
        </w:rPr>
        <w:t>3</w:t>
      </w:r>
      <w:r w:rsidRPr="003E76E7">
        <w:rPr>
          <w:lang w:val="en-AU"/>
        </w:rPr>
        <w:t>,</w:t>
      </w:r>
      <w:r w:rsidR="00A04BD1" w:rsidRPr="003E76E7">
        <w:rPr>
          <w:lang w:val="en-AU"/>
        </w:rPr>
        <w:t>315</w:t>
      </w:r>
      <w:r w:rsidRPr="003E76E7">
        <w:rPr>
          <w:lang w:val="en-AU"/>
        </w:rPr>
        <w:t xml:space="preserve"> Reserve</w:t>
      </w:r>
      <w:r w:rsidR="003E72B0" w:rsidRPr="003E76E7">
        <w:rPr>
          <w:lang w:val="en-AU"/>
        </w:rPr>
        <w:t xml:space="preserve"> members</w:t>
      </w:r>
      <w:r w:rsidR="00FE5A03">
        <w:rPr>
          <w:lang w:val="en-AU"/>
        </w:rPr>
        <w:t>.</w:t>
      </w:r>
      <w:r w:rsidRPr="003E76E7">
        <w:rPr>
          <w:lang w:val="en-AU"/>
        </w:rPr>
        <w:t xml:space="preserve"> This may </w:t>
      </w:r>
      <w:r w:rsidR="003E72B0" w:rsidRPr="003E76E7">
        <w:rPr>
          <w:lang w:val="en-AU"/>
        </w:rPr>
        <w:t>fluctuate depending on domestic response requirements.</w:t>
      </w:r>
      <w:r w:rsidRPr="003E76E7">
        <w:rPr>
          <w:lang w:val="en-AU"/>
        </w:rPr>
        <w:t xml:space="preserve"> Information about the ADF Total Workforce System and structure of service categories is available on the Department’s</w:t>
      </w:r>
      <w:r w:rsidRPr="003E76E7">
        <w:t xml:space="preserve"> website here:</w:t>
      </w:r>
      <w:r w:rsidR="007630F5" w:rsidRPr="003E76E7">
        <w:t xml:space="preserve"> </w:t>
      </w:r>
      <w:hyperlink r:id="rId72">
        <w:r w:rsidRPr="003E76E7">
          <w:rPr>
            <w:color w:val="0000FF"/>
            <w:u w:val="single"/>
          </w:rPr>
          <w:t>https://www.defence.gov.au/PayandConditions/ADF/ADF-TWS.asp</w:t>
        </w:r>
      </w:hyperlink>
      <w:r w:rsidRPr="003E76E7">
        <w:t>.</w:t>
      </w:r>
    </w:p>
    <w:p w14:paraId="6B4ED6F8" w14:textId="0AAC0FFB" w:rsidR="000B5BE0" w:rsidRPr="003E76E7" w:rsidRDefault="000B5BE0" w:rsidP="00C4292D">
      <w:pPr>
        <w:spacing w:before="60" w:after="60" w:line="256" w:lineRule="auto"/>
      </w:pPr>
      <w:r w:rsidRPr="003E76E7">
        <w:t xml:space="preserve">Defence will focus on reshaping, skilling, and professionalising the APS workforce to deliver the priorities outlined in the </w:t>
      </w:r>
      <w:r w:rsidRPr="003E76E7">
        <w:rPr>
          <w:i/>
        </w:rPr>
        <w:t>202</w:t>
      </w:r>
      <w:r w:rsidR="00A04BD1" w:rsidRPr="003E76E7">
        <w:rPr>
          <w:i/>
        </w:rPr>
        <w:t>6</w:t>
      </w:r>
      <w:r w:rsidRPr="003E76E7">
        <w:rPr>
          <w:i/>
        </w:rPr>
        <w:t xml:space="preserve"> National Defence Strategy</w:t>
      </w:r>
      <w:r w:rsidRPr="003E76E7">
        <w:t xml:space="preserve"> and </w:t>
      </w:r>
      <w:r w:rsidRPr="003E76E7">
        <w:rPr>
          <w:i/>
        </w:rPr>
        <w:t>202</w:t>
      </w:r>
      <w:r w:rsidR="00A04BD1" w:rsidRPr="003E76E7">
        <w:rPr>
          <w:i/>
        </w:rPr>
        <w:t xml:space="preserve">6 </w:t>
      </w:r>
      <w:r w:rsidRPr="003E76E7">
        <w:rPr>
          <w:i/>
        </w:rPr>
        <w:t>Integrated Investment Program</w:t>
      </w:r>
      <w:r w:rsidRPr="003E76E7">
        <w:t xml:space="preserve">. </w:t>
      </w:r>
      <w:r w:rsidR="003E72B0" w:rsidRPr="003E76E7">
        <w:t xml:space="preserve">The 2026 Defence Workforce Plan will strengthen the focus on skilling in critical areas including project and program management, procurement and contracting, and expand to include </w:t>
      </w:r>
      <w:r w:rsidR="00995658" w:rsidRPr="003E76E7">
        <w:br/>
      </w:r>
      <w:r w:rsidR="003E72B0" w:rsidRPr="003E76E7">
        <w:t>AI literacy.</w:t>
      </w:r>
    </w:p>
    <w:p w14:paraId="4A99D766" w14:textId="6C2F5928" w:rsidR="000B5BE0" w:rsidRPr="003E76E7" w:rsidRDefault="000B5BE0" w:rsidP="00C4292D">
      <w:pPr>
        <w:spacing w:before="60" w:after="60" w:line="256" w:lineRule="auto"/>
      </w:pPr>
      <w:r w:rsidRPr="003E76E7">
        <w:t>Defence will continue to implement the Strategic Commissioning Framework, reducing reliance on contractors undertaking core APS</w:t>
      </w:r>
      <w:r w:rsidR="007630F5" w:rsidRPr="003E76E7">
        <w:t xml:space="preserve"> </w:t>
      </w:r>
      <w:r w:rsidR="003E72B0" w:rsidRPr="003E76E7">
        <w:t>roles</w:t>
      </w:r>
      <w:r w:rsidRPr="003E76E7">
        <w:t xml:space="preserve">. There will be surge requirements and highly specialist skill requirements that will necessitate a level of ongoing engagement of </w:t>
      </w:r>
      <w:r w:rsidR="003E72B0" w:rsidRPr="003E76E7">
        <w:t>an</w:t>
      </w:r>
      <w:r w:rsidRPr="003E76E7">
        <w:t xml:space="preserve"> external workforce.</w:t>
      </w:r>
    </w:p>
    <w:p w14:paraId="0416916C" w14:textId="52501934" w:rsidR="00B007E4" w:rsidRPr="003E76E7" w:rsidRDefault="000B5BE0" w:rsidP="00C4292D">
      <w:pPr>
        <w:spacing w:before="60" w:after="60" w:line="256" w:lineRule="auto"/>
      </w:pPr>
      <w:r w:rsidRPr="003E76E7">
        <w:t>Implementation of reforms involving the delivery of Defence capability will consider the required composition of the future workforce</w:t>
      </w:r>
      <w:r w:rsidR="003E72B0" w:rsidRPr="003E76E7">
        <w:t>.</w:t>
      </w:r>
      <w:r w:rsidRPr="003E76E7">
        <w:t xml:space="preserve"> </w:t>
      </w:r>
    </w:p>
    <w:p w14:paraId="57A9545E" w14:textId="77777777" w:rsidR="00D87A5A" w:rsidRPr="003E76E7" w:rsidRDefault="004E310D" w:rsidP="00C4292D">
      <w:pPr>
        <w:pStyle w:val="Heading5noTOC"/>
        <w:spacing w:after="100"/>
        <w:outlineLvl w:val="4"/>
        <w:rPr>
          <w:sz w:val="22"/>
          <w:szCs w:val="22"/>
        </w:rPr>
      </w:pPr>
      <w:r w:rsidRPr="003E76E7">
        <w:rPr>
          <w:sz w:val="22"/>
          <w:szCs w:val="22"/>
        </w:rPr>
        <w:t>Defence People</w:t>
      </w:r>
    </w:p>
    <w:p w14:paraId="18F07B6D" w14:textId="5A1017FE" w:rsidR="003E72B0" w:rsidRPr="003E76E7" w:rsidRDefault="000B5BE0" w:rsidP="00C4292D">
      <w:pPr>
        <w:spacing w:before="60" w:after="60" w:line="256" w:lineRule="auto"/>
      </w:pPr>
      <w:r w:rsidRPr="003E76E7">
        <w:t xml:space="preserve">Defence will continue to </w:t>
      </w:r>
      <w:r w:rsidR="003E72B0" w:rsidRPr="003E76E7">
        <w:t>prioritise</w:t>
      </w:r>
      <w:r w:rsidR="007630F5" w:rsidRPr="003E76E7">
        <w:t xml:space="preserve"> </w:t>
      </w:r>
      <w:r w:rsidRPr="003E76E7">
        <w:t>the recruitment, retention, culture and wellbeing of its people and support to ADF families</w:t>
      </w:r>
      <w:r w:rsidR="003E72B0" w:rsidRPr="003E76E7">
        <w:t>.</w:t>
      </w:r>
      <w:r w:rsidRPr="003E76E7">
        <w:t xml:space="preserve"> </w:t>
      </w:r>
    </w:p>
    <w:p w14:paraId="7F9D3C54" w14:textId="1E017D90" w:rsidR="003E72B0" w:rsidRPr="003E76E7" w:rsidRDefault="003E72B0" w:rsidP="00C4292D">
      <w:pPr>
        <w:spacing w:before="60" w:after="60" w:line="256" w:lineRule="auto"/>
      </w:pPr>
      <w:r w:rsidRPr="003E76E7">
        <w:t>Implementation of the recommendations from the Royal Commission into Defence and Veteran Suicide will remain a focus, including actions to prevent sexual violence and improve complaints management. Actions associated with the Defence Culture Blueprint Program and</w:t>
      </w:r>
      <w:r w:rsidR="00B007E4" w:rsidRPr="003E76E7">
        <w:t xml:space="preserve"> </w:t>
      </w:r>
      <w:r w:rsidRPr="003E76E7">
        <w:t xml:space="preserve">Respect@Work will also continue to be implemented. All of these actions have a common goal - </w:t>
      </w:r>
      <w:r w:rsidR="00995658" w:rsidRPr="003E76E7">
        <w:br/>
      </w:r>
      <w:r w:rsidRPr="003E76E7">
        <w:t xml:space="preserve">a Defence workplace where all personnel are safe and respected. </w:t>
      </w:r>
    </w:p>
    <w:p w14:paraId="4E205BE6" w14:textId="65B10880" w:rsidR="003E72B0" w:rsidRPr="003E76E7" w:rsidRDefault="003E72B0" w:rsidP="00C4292D">
      <w:pPr>
        <w:spacing w:before="60" w:after="60" w:line="256" w:lineRule="auto"/>
      </w:pPr>
      <w:r w:rsidRPr="003E76E7">
        <w:t xml:space="preserve">Defence will further its work in mental health, wellbeing and suicide prevention through the </w:t>
      </w:r>
      <w:r w:rsidRPr="003E76E7">
        <w:rPr>
          <w:i/>
        </w:rPr>
        <w:t>Defence and Veteran Mental Health and Wellbeing Strategy 2024</w:t>
      </w:r>
      <w:r w:rsidR="00AD14EC" w:rsidRPr="003E76E7">
        <w:rPr>
          <w:i/>
        </w:rPr>
        <w:t>-</w:t>
      </w:r>
      <w:r w:rsidRPr="003E76E7">
        <w:rPr>
          <w:i/>
        </w:rPr>
        <w:t>2029</w:t>
      </w:r>
      <w:r w:rsidRPr="003E76E7">
        <w:t>. Implementation of Defence work health and safety reforms will continue.</w:t>
      </w:r>
    </w:p>
    <w:p w14:paraId="4A726A49" w14:textId="77777777" w:rsidR="003E72B0" w:rsidRPr="003E76E7" w:rsidRDefault="003E72B0" w:rsidP="00C4292D">
      <w:pPr>
        <w:spacing w:before="60" w:after="60" w:line="256" w:lineRule="auto"/>
      </w:pPr>
      <w:r w:rsidRPr="003E76E7">
        <w:t xml:space="preserve">Defence will continue to support Defence members and their families through the implementation of the </w:t>
      </w:r>
      <w:r w:rsidRPr="003E76E7">
        <w:rPr>
          <w:i/>
        </w:rPr>
        <w:t xml:space="preserve">Defence Strategy for Preventing and Responding to Family and Domestic Violence 2023-2028 </w:t>
      </w:r>
      <w:r w:rsidRPr="003E76E7">
        <w:t xml:space="preserve">and </w:t>
      </w:r>
      <w:r w:rsidRPr="003E76E7">
        <w:rPr>
          <w:i/>
        </w:rPr>
        <w:t>Defence and Veteran Family Wellbeing Strategy 2025-2030</w:t>
      </w:r>
      <w:r w:rsidRPr="003E76E7">
        <w:t xml:space="preserve">. Defence will also continue to support transitioning members through the </w:t>
      </w:r>
      <w:r w:rsidRPr="003E76E7">
        <w:rPr>
          <w:i/>
        </w:rPr>
        <w:t>Veteran Transition Strategy 2023</w:t>
      </w:r>
      <w:r w:rsidRPr="003E76E7">
        <w:t>, recognising that transition requires coordinated support across wellbeing, employment, social connection and lifelong access to services.</w:t>
      </w:r>
    </w:p>
    <w:p w14:paraId="2264434B" w14:textId="77777777" w:rsidR="003E72B0" w:rsidRPr="003E76E7" w:rsidRDefault="003E72B0" w:rsidP="00C4292D">
      <w:pPr>
        <w:spacing w:before="60" w:after="60" w:line="256" w:lineRule="auto"/>
      </w:pPr>
      <w:r w:rsidRPr="003E76E7">
        <w:t>The APS workforce will be strengthened through skills uplift, training and professionalisation, including through the Defence APS Academy, organisational capability reviews, job family reform, and ongoing implementation of the Strategic Commissioning Framework.</w:t>
      </w:r>
    </w:p>
    <w:p w14:paraId="3902FAEA" w14:textId="6FA066D7" w:rsidR="00D70ADC" w:rsidRPr="003E76E7" w:rsidRDefault="003E72B0" w:rsidP="00C4292D">
      <w:pPr>
        <w:spacing w:beforeAutospacing="1" w:afterAutospacing="1" w:line="300" w:lineRule="atLeast"/>
        <w:rPr>
          <w:szCs w:val="20"/>
        </w:rPr>
      </w:pPr>
      <w:r w:rsidRPr="003E76E7">
        <w:t>Defence personnel will be supported as reforms associated with capability delivery continue, ensuring the workforce is postured to meet contemporary and emerging capability needs.</w:t>
      </w:r>
    </w:p>
    <w:p w14:paraId="4260ADB6" w14:textId="332582C0" w:rsidR="00C4774C" w:rsidRPr="003E76E7" w:rsidRDefault="00EA6F9F" w:rsidP="00C4292D">
      <w:pPr>
        <w:pStyle w:val="TableHeading"/>
        <w:numPr>
          <w:ilvl w:val="0"/>
          <w:numId w:val="61"/>
        </w:numPr>
        <w:spacing w:before="100"/>
        <w:ind w:left="0" w:firstLine="0"/>
        <w:outlineLvl w:val="4"/>
        <w:rPr>
          <w:lang w:val="en-AU"/>
        </w:rPr>
      </w:pPr>
      <w:r w:rsidRPr="003E76E7">
        <w:rPr>
          <w:lang w:val="en-AU"/>
        </w:rPr>
        <w:lastRenderedPageBreak/>
        <w:t xml:space="preserve">Planned Workforce </w:t>
      </w:r>
      <w:r w:rsidR="00A70613" w:rsidRPr="003E76E7">
        <w:rPr>
          <w:lang w:val="en-AU"/>
        </w:rPr>
        <w:t>Forecast</w:t>
      </w:r>
      <w:r w:rsidRPr="003E76E7">
        <w:rPr>
          <w:lang w:val="en-AU"/>
        </w:rPr>
        <w:t xml:space="preserve"> for the </w:t>
      </w:r>
      <w:r w:rsidR="002F404A" w:rsidRPr="003E76E7">
        <w:rPr>
          <w:lang w:val="en-AU"/>
        </w:rPr>
        <w:t>202</w:t>
      </w:r>
      <w:r w:rsidR="00BF60DE" w:rsidRPr="003E76E7">
        <w:rPr>
          <w:lang w:val="en-AU"/>
        </w:rPr>
        <w:t>6</w:t>
      </w:r>
      <w:r w:rsidR="002F404A" w:rsidRPr="003E76E7">
        <w:rPr>
          <w:lang w:val="en-AU"/>
        </w:rPr>
        <w:t>-2</w:t>
      </w:r>
      <w:r w:rsidR="00BF60DE" w:rsidRPr="003E76E7">
        <w:rPr>
          <w:lang w:val="en-AU"/>
        </w:rPr>
        <w:t>7</w:t>
      </w:r>
      <w:r w:rsidRPr="003E76E7">
        <w:rPr>
          <w:lang w:val="en-AU"/>
        </w:rPr>
        <w:t xml:space="preserve"> Budget and Forward Estimates</w:t>
      </w:r>
      <w:r w:rsidR="00867A03" w:rsidRPr="003E76E7">
        <w:rPr>
          <w:lang w:val="en-AU"/>
        </w:rPr>
        <w:t xml:space="preserve"> -</w:t>
      </w:r>
      <w:r w:rsidR="00C4774C" w:rsidRPr="003E76E7">
        <w:rPr>
          <w:lang w:val="en-AU"/>
        </w:rPr>
        <w:t xml:space="preserve"> Average Full</w:t>
      </w:r>
      <w:r w:rsidR="00FB3202" w:rsidRPr="003E76E7">
        <w:rPr>
          <w:lang w:val="en-AU"/>
        </w:rPr>
        <w:t>-</w:t>
      </w:r>
      <w:r w:rsidR="00C4774C" w:rsidRPr="003E76E7">
        <w:rPr>
          <w:lang w:val="en-AU"/>
        </w:rPr>
        <w:t>time</w:t>
      </w:r>
      <w:r w:rsidR="0098239D" w:rsidRPr="003E76E7">
        <w:rPr>
          <w:lang w:val="en-AU"/>
        </w:rPr>
        <w:t xml:space="preserve"> equivalent</w:t>
      </w:r>
      <w:r w:rsidR="00107F00" w:rsidRPr="003E76E7">
        <w:rPr>
          <w:lang w:val="en-AU"/>
        </w:rPr>
        <w:t xml:space="preserve"> </w:t>
      </w:r>
      <w:r w:rsidR="00CE3B2C" w:rsidRPr="003E76E7">
        <w:rPr>
          <w:vertAlign w:val="superscript"/>
          <w:lang w:val="en-AU"/>
        </w:rPr>
        <w:t>[a] [b]</w:t>
      </w:r>
    </w:p>
    <w:tbl>
      <w:tblPr>
        <w:tblW w:w="8560" w:type="dxa"/>
        <w:tblInd w:w="113" w:type="dxa"/>
        <w:tblLayout w:type="fixed"/>
        <w:tblCellMar>
          <w:left w:w="57" w:type="dxa"/>
          <w:right w:w="57" w:type="dxa"/>
        </w:tblCellMar>
        <w:tblLook w:val="04A0" w:firstRow="1" w:lastRow="0" w:firstColumn="1" w:lastColumn="0" w:noHBand="0" w:noVBand="1"/>
      </w:tblPr>
      <w:tblGrid>
        <w:gridCol w:w="247"/>
        <w:gridCol w:w="2569"/>
        <w:gridCol w:w="1148"/>
        <w:gridCol w:w="1149"/>
        <w:gridCol w:w="1149"/>
        <w:gridCol w:w="1149"/>
        <w:gridCol w:w="1149"/>
      </w:tblGrid>
      <w:tr w:rsidR="00C57CFE" w:rsidRPr="003E76E7" w14:paraId="47F70624" w14:textId="77777777" w:rsidTr="0087640C">
        <w:trPr>
          <w:trHeight w:val="933"/>
        </w:trPr>
        <w:tc>
          <w:tcPr>
            <w:tcW w:w="247" w:type="dxa"/>
            <w:tcBorders>
              <w:top w:val="single" w:sz="4" w:space="0" w:color="auto"/>
              <w:left w:val="nil"/>
              <w:bottom w:val="single" w:sz="4" w:space="0" w:color="auto"/>
              <w:right w:val="single" w:sz="4" w:space="0" w:color="auto"/>
            </w:tcBorders>
            <w:vAlign w:val="bottom"/>
            <w:hideMark/>
          </w:tcPr>
          <w:p w14:paraId="11F4FCA1" w14:textId="77777777" w:rsidR="005D0C8F" w:rsidRPr="003E76E7" w:rsidRDefault="005D0C8F" w:rsidP="00C4292D">
            <w:pPr>
              <w:spacing w:before="0" w:after="0"/>
              <w:jc w:val="center"/>
              <w:rPr>
                <w:rFonts w:ascii="Arial" w:hAnsi="Arial"/>
                <w:sz w:val="16"/>
                <w:szCs w:val="16"/>
                <w:lang w:val="en-AU"/>
              </w:rPr>
            </w:pPr>
          </w:p>
        </w:tc>
        <w:tc>
          <w:tcPr>
            <w:tcW w:w="2569" w:type="dxa"/>
            <w:tcBorders>
              <w:top w:val="single" w:sz="4" w:space="0" w:color="auto"/>
              <w:left w:val="nil"/>
              <w:bottom w:val="single" w:sz="4" w:space="0" w:color="auto"/>
              <w:right w:val="nil"/>
            </w:tcBorders>
            <w:vAlign w:val="bottom"/>
            <w:hideMark/>
          </w:tcPr>
          <w:p w14:paraId="7E8C7A56" w14:textId="77777777" w:rsidR="005D0C8F" w:rsidRPr="003E76E7" w:rsidRDefault="005D0C8F" w:rsidP="00C4292D">
            <w:pPr>
              <w:spacing w:before="0" w:after="0"/>
              <w:jc w:val="right"/>
              <w:rPr>
                <w:rFonts w:ascii="Arial" w:hAnsi="Arial"/>
                <w:b/>
                <w:bCs/>
                <w:sz w:val="16"/>
                <w:szCs w:val="16"/>
                <w:lang w:val="en-AU"/>
              </w:rPr>
            </w:pPr>
          </w:p>
        </w:tc>
        <w:tc>
          <w:tcPr>
            <w:tcW w:w="1148" w:type="dxa"/>
            <w:tcBorders>
              <w:top w:val="single" w:sz="4" w:space="0" w:color="auto"/>
              <w:left w:val="nil"/>
              <w:bottom w:val="single" w:sz="4" w:space="0" w:color="auto"/>
            </w:tcBorders>
            <w:vAlign w:val="bottom"/>
          </w:tcPr>
          <w:p w14:paraId="6E3E2AE1" w14:textId="6DCA2B05" w:rsidR="005D0C8F" w:rsidRPr="003E76E7" w:rsidRDefault="005D0C8F" w:rsidP="00C4292D">
            <w:pPr>
              <w:spacing w:before="0" w:after="0"/>
              <w:jc w:val="right"/>
              <w:rPr>
                <w:rFonts w:ascii="Arial" w:hAnsi="Arial"/>
                <w:b/>
                <w:bCs/>
                <w:sz w:val="15"/>
                <w:szCs w:val="15"/>
                <w:lang w:val="en-AU"/>
              </w:rPr>
            </w:pPr>
            <w:r w:rsidRPr="003E76E7">
              <w:rPr>
                <w:rFonts w:ascii="Arial" w:hAnsi="Arial"/>
                <w:b/>
                <w:bCs/>
                <w:sz w:val="15"/>
                <w:szCs w:val="15"/>
                <w:lang w:val="en-AU"/>
              </w:rPr>
              <w:t>202</w:t>
            </w:r>
            <w:r w:rsidR="00BF60DE" w:rsidRPr="003E76E7">
              <w:rPr>
                <w:rFonts w:ascii="Arial" w:hAnsi="Arial"/>
                <w:b/>
                <w:bCs/>
                <w:sz w:val="15"/>
                <w:szCs w:val="15"/>
                <w:lang w:val="en-AU"/>
              </w:rPr>
              <w:t>5</w:t>
            </w:r>
            <w:r w:rsidRPr="003E76E7">
              <w:rPr>
                <w:rFonts w:ascii="Arial" w:hAnsi="Arial"/>
                <w:b/>
                <w:bCs/>
                <w:sz w:val="15"/>
                <w:szCs w:val="15"/>
                <w:lang w:val="en-AU"/>
              </w:rPr>
              <w:t>-2</w:t>
            </w:r>
            <w:r w:rsidR="00BF60DE" w:rsidRPr="003E76E7">
              <w:rPr>
                <w:rFonts w:ascii="Arial" w:hAnsi="Arial"/>
                <w:b/>
                <w:bCs/>
                <w:sz w:val="15"/>
                <w:szCs w:val="15"/>
                <w:lang w:val="en-AU"/>
              </w:rPr>
              <w:t>6</w:t>
            </w:r>
            <w:r w:rsidRPr="003E76E7">
              <w:rPr>
                <w:rFonts w:ascii="Arial" w:hAnsi="Arial"/>
                <w:b/>
                <w:bCs/>
                <w:sz w:val="15"/>
                <w:szCs w:val="15"/>
                <w:lang w:val="en-AU"/>
              </w:rPr>
              <w:t xml:space="preserve"> </w:t>
            </w:r>
          </w:p>
          <w:p w14:paraId="61FFDA78" w14:textId="7A712175" w:rsidR="00CE3B2C" w:rsidRPr="003E76E7" w:rsidRDefault="005D0C8F" w:rsidP="00C4292D">
            <w:pPr>
              <w:spacing w:before="0" w:after="0"/>
              <w:jc w:val="right"/>
              <w:rPr>
                <w:rFonts w:ascii="Arial" w:hAnsi="Arial"/>
                <w:b/>
                <w:bCs/>
                <w:sz w:val="15"/>
                <w:szCs w:val="15"/>
                <w:lang w:val="en-AU"/>
              </w:rPr>
            </w:pPr>
            <w:r w:rsidRPr="003E76E7">
              <w:rPr>
                <w:rFonts w:ascii="Arial" w:hAnsi="Arial"/>
                <w:b/>
                <w:bCs/>
                <w:sz w:val="15"/>
                <w:szCs w:val="15"/>
                <w:lang w:val="en-AU"/>
              </w:rPr>
              <w:t xml:space="preserve">Estimated Actual (Workforce </w:t>
            </w:r>
            <w:r w:rsidR="00A70613" w:rsidRPr="003E76E7">
              <w:rPr>
                <w:rFonts w:ascii="Arial" w:hAnsi="Arial"/>
                <w:b/>
                <w:bCs/>
                <w:sz w:val="15"/>
                <w:szCs w:val="15"/>
                <w:lang w:val="en-AU"/>
              </w:rPr>
              <w:t>Achievement</w:t>
            </w:r>
            <w:r w:rsidRPr="003E76E7">
              <w:rPr>
                <w:rFonts w:ascii="Arial" w:hAnsi="Arial"/>
                <w:b/>
                <w:bCs/>
                <w:sz w:val="15"/>
                <w:szCs w:val="15"/>
                <w:lang w:val="en-AU"/>
              </w:rPr>
              <w:t>)</w:t>
            </w:r>
            <w:r w:rsidR="00CC4894" w:rsidRPr="003E76E7">
              <w:rPr>
                <w:rFonts w:ascii="Arial" w:hAnsi="Arial"/>
                <w:b/>
                <w:bCs/>
                <w:sz w:val="15"/>
                <w:szCs w:val="15"/>
                <w:lang w:val="en-AU"/>
              </w:rPr>
              <w:t xml:space="preserve"> </w:t>
            </w:r>
          </w:p>
        </w:tc>
        <w:tc>
          <w:tcPr>
            <w:tcW w:w="1149" w:type="dxa"/>
            <w:tcBorders>
              <w:top w:val="single" w:sz="4" w:space="0" w:color="auto"/>
              <w:bottom w:val="single" w:sz="4" w:space="0" w:color="auto"/>
            </w:tcBorders>
            <w:shd w:val="clear" w:color="auto" w:fill="E6E6E6"/>
            <w:vAlign w:val="bottom"/>
          </w:tcPr>
          <w:p w14:paraId="2F6D1A9E" w14:textId="611D86D4" w:rsidR="00CE3B2C" w:rsidRPr="003E76E7" w:rsidRDefault="005D0C8F" w:rsidP="00C4292D">
            <w:pPr>
              <w:spacing w:before="0" w:after="0"/>
              <w:jc w:val="right"/>
              <w:rPr>
                <w:rFonts w:ascii="Arial" w:hAnsi="Arial"/>
                <w:b/>
                <w:bCs/>
                <w:sz w:val="15"/>
                <w:szCs w:val="15"/>
                <w:lang w:val="en-AU"/>
              </w:rPr>
            </w:pPr>
            <w:r w:rsidRPr="003E76E7">
              <w:rPr>
                <w:rFonts w:ascii="Arial" w:hAnsi="Arial"/>
                <w:b/>
                <w:bCs/>
                <w:sz w:val="15"/>
                <w:szCs w:val="15"/>
                <w:lang w:val="en-AU"/>
              </w:rPr>
              <w:t>202</w:t>
            </w:r>
            <w:r w:rsidR="00BF60DE" w:rsidRPr="003E76E7">
              <w:rPr>
                <w:rFonts w:ascii="Arial" w:hAnsi="Arial"/>
                <w:b/>
                <w:bCs/>
                <w:sz w:val="15"/>
                <w:szCs w:val="15"/>
                <w:lang w:val="en-AU"/>
              </w:rPr>
              <w:t>6</w:t>
            </w:r>
            <w:r w:rsidRPr="003E76E7">
              <w:rPr>
                <w:rFonts w:ascii="Arial" w:hAnsi="Arial"/>
                <w:b/>
                <w:bCs/>
                <w:sz w:val="15"/>
                <w:szCs w:val="15"/>
                <w:lang w:val="en-AU"/>
              </w:rPr>
              <w:t>-2</w:t>
            </w:r>
            <w:r w:rsidR="00BF60DE" w:rsidRPr="003E76E7">
              <w:rPr>
                <w:rFonts w:ascii="Arial" w:hAnsi="Arial"/>
                <w:b/>
                <w:bCs/>
                <w:sz w:val="15"/>
                <w:szCs w:val="15"/>
                <w:lang w:val="en-AU"/>
              </w:rPr>
              <w:t>7</w:t>
            </w:r>
            <w:r w:rsidRPr="003E76E7">
              <w:rPr>
                <w:rFonts w:ascii="Arial" w:hAnsi="Arial"/>
                <w:b/>
                <w:bCs/>
                <w:sz w:val="15"/>
                <w:szCs w:val="15"/>
                <w:lang w:val="en-AU"/>
              </w:rPr>
              <w:t xml:space="preserve"> Budget Estimate (Workforce </w:t>
            </w:r>
            <w:r w:rsidR="00A70613" w:rsidRPr="003E76E7">
              <w:rPr>
                <w:rFonts w:ascii="Arial" w:hAnsi="Arial"/>
                <w:b/>
                <w:bCs/>
                <w:sz w:val="15"/>
                <w:szCs w:val="15"/>
                <w:lang w:val="en-AU"/>
              </w:rPr>
              <w:t>Requirement</w:t>
            </w:r>
            <w:r w:rsidRPr="003E76E7">
              <w:rPr>
                <w:rFonts w:ascii="Arial" w:hAnsi="Arial"/>
                <w:b/>
                <w:bCs/>
                <w:sz w:val="15"/>
                <w:szCs w:val="15"/>
                <w:lang w:val="en-AU"/>
              </w:rPr>
              <w:t>)</w:t>
            </w:r>
            <w:r w:rsidRPr="003E76E7">
              <w:rPr>
                <w:rFonts w:ascii="Arial" w:hAnsi="Arial"/>
                <w:b/>
                <w:bCs/>
                <w:sz w:val="15"/>
                <w:szCs w:val="15"/>
                <w:vertAlign w:val="superscript"/>
                <w:lang w:val="en-AU"/>
              </w:rPr>
              <w:t xml:space="preserve"> </w:t>
            </w:r>
          </w:p>
        </w:tc>
        <w:tc>
          <w:tcPr>
            <w:tcW w:w="1149" w:type="dxa"/>
            <w:tcBorders>
              <w:top w:val="single" w:sz="4" w:space="0" w:color="auto"/>
              <w:left w:val="nil"/>
              <w:bottom w:val="single" w:sz="4" w:space="0" w:color="auto"/>
              <w:right w:val="nil"/>
            </w:tcBorders>
            <w:vAlign w:val="bottom"/>
          </w:tcPr>
          <w:p w14:paraId="07A2DDE4" w14:textId="5817E7A6" w:rsidR="005D0C8F" w:rsidRPr="003E76E7" w:rsidRDefault="005D0C8F" w:rsidP="00C4292D">
            <w:pPr>
              <w:spacing w:before="0" w:after="0"/>
              <w:jc w:val="right"/>
              <w:rPr>
                <w:rFonts w:ascii="Arial" w:hAnsi="Arial"/>
                <w:b/>
                <w:bCs/>
                <w:sz w:val="15"/>
                <w:szCs w:val="15"/>
                <w:lang w:val="en-AU"/>
              </w:rPr>
            </w:pPr>
            <w:r w:rsidRPr="003E76E7">
              <w:rPr>
                <w:rFonts w:ascii="Arial" w:hAnsi="Arial"/>
                <w:b/>
                <w:bCs/>
                <w:sz w:val="15"/>
                <w:szCs w:val="15"/>
                <w:lang w:val="en-AU"/>
              </w:rPr>
              <w:t>202</w:t>
            </w:r>
            <w:r w:rsidR="00BF60DE" w:rsidRPr="003E76E7">
              <w:rPr>
                <w:rFonts w:ascii="Arial" w:hAnsi="Arial"/>
                <w:b/>
                <w:bCs/>
                <w:sz w:val="15"/>
                <w:szCs w:val="15"/>
                <w:lang w:val="en-AU"/>
              </w:rPr>
              <w:t>7</w:t>
            </w:r>
            <w:r w:rsidRPr="003E76E7">
              <w:rPr>
                <w:rFonts w:ascii="Arial" w:hAnsi="Arial"/>
                <w:b/>
                <w:bCs/>
                <w:sz w:val="15"/>
                <w:szCs w:val="15"/>
                <w:lang w:val="en-AU"/>
              </w:rPr>
              <w:t>-2</w:t>
            </w:r>
            <w:r w:rsidR="00BF60DE" w:rsidRPr="003E76E7">
              <w:rPr>
                <w:rFonts w:ascii="Arial" w:hAnsi="Arial"/>
                <w:b/>
                <w:bCs/>
                <w:sz w:val="15"/>
                <w:szCs w:val="15"/>
                <w:lang w:val="en-AU"/>
              </w:rPr>
              <w:t>8</w:t>
            </w:r>
          </w:p>
          <w:p w14:paraId="11EA4CAE" w14:textId="44CA60A3" w:rsidR="005D0C8F" w:rsidRPr="003E76E7" w:rsidRDefault="005D0C8F" w:rsidP="00C4292D">
            <w:pPr>
              <w:spacing w:before="0" w:after="0"/>
              <w:jc w:val="right"/>
              <w:rPr>
                <w:rFonts w:ascii="Arial" w:hAnsi="Arial"/>
                <w:b/>
                <w:bCs/>
                <w:sz w:val="15"/>
                <w:szCs w:val="15"/>
                <w:lang w:val="en-AU"/>
              </w:rPr>
            </w:pPr>
            <w:r w:rsidRPr="003E76E7">
              <w:rPr>
                <w:rFonts w:ascii="Arial" w:hAnsi="Arial"/>
                <w:b/>
                <w:bCs/>
                <w:sz w:val="15"/>
                <w:szCs w:val="15"/>
                <w:lang w:val="en-AU"/>
              </w:rPr>
              <w:t>Forward Estimate</w:t>
            </w:r>
            <w:r w:rsidRPr="003E76E7">
              <w:rPr>
                <w:rFonts w:ascii="Arial" w:hAnsi="Arial"/>
                <w:b/>
                <w:bCs/>
                <w:sz w:val="15"/>
                <w:szCs w:val="15"/>
                <w:vertAlign w:val="superscript"/>
                <w:lang w:val="en-AU"/>
              </w:rPr>
              <w:t xml:space="preserve"> </w:t>
            </w:r>
            <w:r w:rsidRPr="003E76E7">
              <w:rPr>
                <w:rFonts w:ascii="Arial" w:hAnsi="Arial"/>
                <w:b/>
                <w:bCs/>
                <w:sz w:val="15"/>
                <w:szCs w:val="15"/>
                <w:lang w:val="en-AU"/>
              </w:rPr>
              <w:t>(Workforce Requirement)</w:t>
            </w:r>
          </w:p>
        </w:tc>
        <w:tc>
          <w:tcPr>
            <w:tcW w:w="1149" w:type="dxa"/>
            <w:tcBorders>
              <w:top w:val="single" w:sz="4" w:space="0" w:color="auto"/>
              <w:left w:val="nil"/>
              <w:bottom w:val="single" w:sz="4" w:space="0" w:color="auto"/>
              <w:right w:val="nil"/>
            </w:tcBorders>
            <w:vAlign w:val="bottom"/>
          </w:tcPr>
          <w:p w14:paraId="648C67C8" w14:textId="62BDB546" w:rsidR="005D0C8F" w:rsidRPr="003E76E7" w:rsidRDefault="005D0C8F" w:rsidP="00C4292D">
            <w:pPr>
              <w:spacing w:before="0" w:after="0"/>
              <w:jc w:val="right"/>
              <w:rPr>
                <w:rFonts w:ascii="Arial" w:hAnsi="Arial"/>
                <w:b/>
                <w:bCs/>
                <w:sz w:val="15"/>
                <w:szCs w:val="15"/>
                <w:lang w:val="en-AU"/>
              </w:rPr>
            </w:pPr>
            <w:r w:rsidRPr="003E76E7">
              <w:rPr>
                <w:rFonts w:ascii="Arial" w:hAnsi="Arial"/>
                <w:b/>
                <w:bCs/>
                <w:sz w:val="15"/>
                <w:szCs w:val="15"/>
                <w:lang w:val="en-AU"/>
              </w:rPr>
              <w:t>202</w:t>
            </w:r>
            <w:r w:rsidR="00BF60DE" w:rsidRPr="003E76E7">
              <w:rPr>
                <w:rFonts w:ascii="Arial" w:hAnsi="Arial"/>
                <w:b/>
                <w:bCs/>
                <w:sz w:val="15"/>
                <w:szCs w:val="15"/>
                <w:lang w:val="en-AU"/>
              </w:rPr>
              <w:t>8</w:t>
            </w:r>
            <w:r w:rsidRPr="003E76E7">
              <w:rPr>
                <w:rFonts w:ascii="Arial" w:hAnsi="Arial"/>
                <w:b/>
                <w:bCs/>
                <w:sz w:val="15"/>
                <w:szCs w:val="15"/>
                <w:lang w:val="en-AU"/>
              </w:rPr>
              <w:t>-2</w:t>
            </w:r>
            <w:r w:rsidR="00BF60DE" w:rsidRPr="003E76E7">
              <w:rPr>
                <w:rFonts w:ascii="Arial" w:hAnsi="Arial"/>
                <w:b/>
                <w:bCs/>
                <w:sz w:val="15"/>
                <w:szCs w:val="15"/>
                <w:lang w:val="en-AU"/>
              </w:rPr>
              <w:t>9</w:t>
            </w:r>
            <w:r w:rsidRPr="003E76E7">
              <w:rPr>
                <w:rFonts w:ascii="Arial" w:hAnsi="Arial"/>
                <w:b/>
                <w:bCs/>
                <w:sz w:val="15"/>
                <w:szCs w:val="15"/>
                <w:lang w:val="en-AU"/>
              </w:rPr>
              <w:t xml:space="preserve"> </w:t>
            </w:r>
          </w:p>
          <w:p w14:paraId="48EE19A0" w14:textId="22EA1D17" w:rsidR="005D0C8F" w:rsidRPr="003E76E7" w:rsidRDefault="005D0C8F" w:rsidP="00C4292D">
            <w:pPr>
              <w:spacing w:before="0" w:after="0"/>
              <w:jc w:val="right"/>
              <w:rPr>
                <w:rFonts w:ascii="Arial" w:hAnsi="Arial"/>
                <w:b/>
                <w:bCs/>
                <w:sz w:val="15"/>
                <w:szCs w:val="15"/>
                <w:lang w:val="en-AU"/>
              </w:rPr>
            </w:pPr>
            <w:r w:rsidRPr="003E76E7">
              <w:rPr>
                <w:rFonts w:ascii="Arial" w:hAnsi="Arial"/>
                <w:b/>
                <w:bCs/>
                <w:sz w:val="15"/>
                <w:szCs w:val="15"/>
                <w:lang w:val="en-AU"/>
              </w:rPr>
              <w:t>Forward Estimate</w:t>
            </w:r>
            <w:r w:rsidRPr="003E76E7">
              <w:rPr>
                <w:rFonts w:ascii="Arial" w:hAnsi="Arial"/>
                <w:b/>
                <w:bCs/>
                <w:sz w:val="15"/>
                <w:szCs w:val="15"/>
                <w:vertAlign w:val="superscript"/>
                <w:lang w:val="en-AU"/>
              </w:rPr>
              <w:t xml:space="preserve"> </w:t>
            </w:r>
            <w:r w:rsidRPr="003E76E7">
              <w:rPr>
                <w:rFonts w:ascii="Arial" w:hAnsi="Arial"/>
                <w:b/>
                <w:bCs/>
                <w:sz w:val="15"/>
                <w:szCs w:val="15"/>
                <w:lang w:val="en-AU"/>
              </w:rPr>
              <w:t>(Workforce Requiremen</w:t>
            </w:r>
            <w:r w:rsidR="00CE3B2C" w:rsidRPr="003E76E7">
              <w:rPr>
                <w:rFonts w:ascii="Arial" w:hAnsi="Arial"/>
                <w:b/>
                <w:bCs/>
                <w:sz w:val="15"/>
                <w:szCs w:val="15"/>
                <w:lang w:val="en-AU"/>
              </w:rPr>
              <w:t>t</w:t>
            </w:r>
            <w:r w:rsidRPr="003E76E7">
              <w:rPr>
                <w:rFonts w:ascii="Arial" w:hAnsi="Arial"/>
                <w:b/>
                <w:bCs/>
                <w:sz w:val="15"/>
                <w:szCs w:val="15"/>
                <w:lang w:val="en-AU"/>
              </w:rPr>
              <w:t>)</w:t>
            </w:r>
          </w:p>
        </w:tc>
        <w:tc>
          <w:tcPr>
            <w:tcW w:w="1149" w:type="dxa"/>
            <w:tcBorders>
              <w:top w:val="single" w:sz="4" w:space="0" w:color="auto"/>
              <w:left w:val="nil"/>
              <w:bottom w:val="single" w:sz="4" w:space="0" w:color="auto"/>
              <w:right w:val="nil"/>
            </w:tcBorders>
            <w:vAlign w:val="bottom"/>
          </w:tcPr>
          <w:p w14:paraId="7159F6E6" w14:textId="0CFDABC0" w:rsidR="005D0C8F" w:rsidRPr="003E76E7" w:rsidRDefault="005D0C8F" w:rsidP="00C4292D">
            <w:pPr>
              <w:spacing w:before="0" w:after="0"/>
              <w:jc w:val="right"/>
              <w:rPr>
                <w:rFonts w:ascii="Arial" w:hAnsi="Arial"/>
                <w:b/>
                <w:bCs/>
                <w:sz w:val="15"/>
                <w:szCs w:val="15"/>
                <w:lang w:val="en-AU"/>
              </w:rPr>
            </w:pPr>
            <w:r w:rsidRPr="003E76E7">
              <w:rPr>
                <w:rFonts w:ascii="Arial" w:hAnsi="Arial"/>
                <w:b/>
                <w:bCs/>
                <w:sz w:val="15"/>
                <w:szCs w:val="15"/>
                <w:lang w:val="en-AU"/>
              </w:rPr>
              <w:t>202</w:t>
            </w:r>
            <w:r w:rsidR="00BF60DE" w:rsidRPr="003E76E7">
              <w:rPr>
                <w:rFonts w:ascii="Arial" w:hAnsi="Arial"/>
                <w:b/>
                <w:bCs/>
                <w:sz w:val="15"/>
                <w:szCs w:val="15"/>
                <w:lang w:val="en-AU"/>
              </w:rPr>
              <w:t>9</w:t>
            </w:r>
            <w:r w:rsidRPr="003E76E7">
              <w:rPr>
                <w:rFonts w:ascii="Arial" w:hAnsi="Arial"/>
                <w:b/>
                <w:bCs/>
                <w:sz w:val="15"/>
                <w:szCs w:val="15"/>
                <w:lang w:val="en-AU"/>
              </w:rPr>
              <w:t>-</w:t>
            </w:r>
            <w:r w:rsidR="00BF60DE" w:rsidRPr="003E76E7">
              <w:rPr>
                <w:rFonts w:ascii="Arial" w:hAnsi="Arial"/>
                <w:b/>
                <w:bCs/>
                <w:sz w:val="15"/>
                <w:szCs w:val="15"/>
                <w:lang w:val="en-AU"/>
              </w:rPr>
              <w:t>30</w:t>
            </w:r>
          </w:p>
          <w:p w14:paraId="78DCC178" w14:textId="0A6AC6F6" w:rsidR="005D0C8F" w:rsidRPr="003E76E7" w:rsidRDefault="005D0C8F" w:rsidP="00C4292D">
            <w:pPr>
              <w:spacing w:before="0" w:after="0"/>
              <w:jc w:val="right"/>
              <w:rPr>
                <w:rFonts w:ascii="Arial" w:hAnsi="Arial"/>
                <w:b/>
                <w:bCs/>
                <w:sz w:val="15"/>
                <w:szCs w:val="15"/>
                <w:lang w:val="en-AU"/>
              </w:rPr>
            </w:pPr>
            <w:r w:rsidRPr="003E76E7">
              <w:rPr>
                <w:rFonts w:ascii="Arial" w:hAnsi="Arial"/>
                <w:b/>
                <w:bCs/>
                <w:sz w:val="15"/>
                <w:szCs w:val="15"/>
                <w:lang w:val="en-AU"/>
              </w:rPr>
              <w:t>Forward Estimate</w:t>
            </w:r>
            <w:r w:rsidRPr="003E76E7">
              <w:rPr>
                <w:rFonts w:ascii="Arial" w:hAnsi="Arial"/>
                <w:b/>
                <w:bCs/>
                <w:sz w:val="15"/>
                <w:szCs w:val="15"/>
                <w:vertAlign w:val="superscript"/>
                <w:lang w:val="en-AU"/>
              </w:rPr>
              <w:t xml:space="preserve"> </w:t>
            </w:r>
            <w:r w:rsidRPr="003E76E7">
              <w:rPr>
                <w:rFonts w:ascii="Arial" w:hAnsi="Arial"/>
                <w:b/>
                <w:bCs/>
                <w:sz w:val="15"/>
                <w:szCs w:val="15"/>
                <w:lang w:val="en-AU"/>
              </w:rPr>
              <w:t>(Workforce Requirement)</w:t>
            </w:r>
          </w:p>
        </w:tc>
      </w:tr>
      <w:tr w:rsidR="00D260CA" w:rsidRPr="003E76E7" w14:paraId="5C40E45E" w14:textId="77777777" w:rsidTr="0087640C">
        <w:trPr>
          <w:trHeight w:val="238"/>
        </w:trPr>
        <w:tc>
          <w:tcPr>
            <w:tcW w:w="247" w:type="dxa"/>
            <w:tcBorders>
              <w:top w:val="nil"/>
              <w:left w:val="nil"/>
              <w:bottom w:val="nil"/>
              <w:right w:val="single" w:sz="4" w:space="0" w:color="auto"/>
            </w:tcBorders>
            <w:vAlign w:val="bottom"/>
            <w:hideMark/>
          </w:tcPr>
          <w:p w14:paraId="6AB35C22" w14:textId="77777777" w:rsidR="00D260CA" w:rsidRPr="003E76E7" w:rsidRDefault="00D260CA" w:rsidP="00C4292D">
            <w:pPr>
              <w:spacing w:before="0" w:after="0"/>
              <w:jc w:val="center"/>
              <w:rPr>
                <w:rFonts w:ascii="Arial" w:hAnsi="Arial"/>
                <w:sz w:val="16"/>
                <w:szCs w:val="16"/>
                <w:lang w:val="en-AU"/>
              </w:rPr>
            </w:pPr>
          </w:p>
        </w:tc>
        <w:tc>
          <w:tcPr>
            <w:tcW w:w="2569" w:type="dxa"/>
            <w:noWrap/>
            <w:vAlign w:val="bottom"/>
            <w:hideMark/>
          </w:tcPr>
          <w:p w14:paraId="7DE26202" w14:textId="3E12BB60" w:rsidR="00D260CA" w:rsidRPr="003E76E7" w:rsidRDefault="00D260CA" w:rsidP="00C4292D">
            <w:pPr>
              <w:spacing w:before="0" w:after="0"/>
              <w:rPr>
                <w:rFonts w:ascii="Arial" w:hAnsi="Arial"/>
                <w:b/>
                <w:bCs/>
                <w:sz w:val="16"/>
                <w:szCs w:val="16"/>
                <w:lang w:val="en-AU"/>
              </w:rPr>
            </w:pPr>
            <w:r w:rsidRPr="003E76E7">
              <w:rPr>
                <w:rFonts w:ascii="Arial" w:hAnsi="Arial"/>
                <w:b/>
                <w:bCs/>
                <w:sz w:val="16"/>
                <w:szCs w:val="16"/>
                <w:lang w:val="en-AU"/>
              </w:rPr>
              <w:t xml:space="preserve">ADF Permanent Force </w:t>
            </w:r>
            <w:r w:rsidR="00F53A6A" w:rsidRPr="003E76E7">
              <w:rPr>
                <w:rFonts w:ascii="Arial" w:hAnsi="Arial"/>
                <w:b/>
                <w:bCs/>
                <w:sz w:val="16"/>
                <w:szCs w:val="16"/>
                <w:vertAlign w:val="superscript"/>
                <w:lang w:val="en-AU"/>
              </w:rPr>
              <w:t>[c]</w:t>
            </w:r>
          </w:p>
        </w:tc>
        <w:tc>
          <w:tcPr>
            <w:tcW w:w="1148" w:type="dxa"/>
            <w:tcBorders>
              <w:top w:val="nil"/>
              <w:left w:val="nil"/>
              <w:bottom w:val="nil"/>
              <w:right w:val="single" w:sz="4" w:space="0" w:color="E7E6E6"/>
            </w:tcBorders>
            <w:shd w:val="clear" w:color="auto" w:fill="FFFFFF"/>
            <w:noWrap/>
            <w:vAlign w:val="bottom"/>
            <w:hideMark/>
          </w:tcPr>
          <w:p w14:paraId="70D6E8E0" w14:textId="77777777" w:rsidR="00D260CA" w:rsidRPr="003E76E7" w:rsidRDefault="00D260CA" w:rsidP="00C4292D">
            <w:pPr>
              <w:spacing w:before="0" w:after="0"/>
              <w:jc w:val="right"/>
              <w:rPr>
                <w:rFonts w:ascii="Arial" w:hAnsi="Arial"/>
                <w:b/>
                <w:bCs/>
                <w:sz w:val="16"/>
                <w:szCs w:val="16"/>
                <w:lang w:val="en-AU"/>
              </w:rPr>
            </w:pPr>
          </w:p>
        </w:tc>
        <w:tc>
          <w:tcPr>
            <w:tcW w:w="1149" w:type="dxa"/>
            <w:vMerge w:val="restart"/>
            <w:tcBorders>
              <w:top w:val="single" w:sz="4" w:space="0" w:color="auto"/>
              <w:left w:val="single" w:sz="4" w:space="0" w:color="E7E6E6"/>
              <w:right w:val="single" w:sz="4" w:space="0" w:color="E7E6E6"/>
            </w:tcBorders>
            <w:shd w:val="clear" w:color="auto" w:fill="E6E6E6"/>
            <w:noWrap/>
            <w:vAlign w:val="bottom"/>
          </w:tcPr>
          <w:p w14:paraId="5C401E4F" w14:textId="77777777" w:rsidR="00D260CA" w:rsidRPr="003E76E7" w:rsidRDefault="00D260CA" w:rsidP="00C4292D">
            <w:pPr>
              <w:spacing w:before="0" w:after="0"/>
              <w:jc w:val="right"/>
              <w:rPr>
                <w:rFonts w:ascii="Arial" w:hAnsi="Arial"/>
                <w:b/>
                <w:bCs/>
                <w:sz w:val="15"/>
                <w:szCs w:val="15"/>
                <w:lang w:val="en-AU"/>
              </w:rPr>
            </w:pPr>
          </w:p>
          <w:p w14:paraId="7FB0C6D7" w14:textId="00FBE3BC" w:rsidR="00D260CA" w:rsidRPr="003E76E7" w:rsidRDefault="00D260CA" w:rsidP="00C4292D">
            <w:pPr>
              <w:spacing w:before="0" w:after="0"/>
              <w:jc w:val="right"/>
              <w:rPr>
                <w:rFonts w:ascii="Arial" w:hAnsi="Arial"/>
                <w:b/>
                <w:bCs/>
                <w:sz w:val="15"/>
                <w:szCs w:val="15"/>
                <w:lang w:val="en-AU"/>
              </w:rPr>
            </w:pPr>
            <w:r w:rsidRPr="003E76E7">
              <w:rPr>
                <w:rFonts w:ascii="Arial" w:hAnsi="Arial"/>
                <w:sz w:val="16"/>
                <w:szCs w:val="16"/>
                <w:lang w:val="en-AU"/>
              </w:rPr>
              <w:t>16,19</w:t>
            </w:r>
            <w:r w:rsidR="005A49E2" w:rsidRPr="003E76E7">
              <w:rPr>
                <w:rFonts w:ascii="Arial" w:hAnsi="Arial"/>
                <w:sz w:val="16"/>
                <w:szCs w:val="16"/>
                <w:lang w:val="en-AU"/>
              </w:rPr>
              <w:t>3</w:t>
            </w:r>
          </w:p>
        </w:tc>
        <w:tc>
          <w:tcPr>
            <w:tcW w:w="1149" w:type="dxa"/>
            <w:tcBorders>
              <w:left w:val="single" w:sz="4" w:space="0" w:color="E7E6E6"/>
            </w:tcBorders>
            <w:shd w:val="clear" w:color="auto" w:fill="FFFFFF"/>
            <w:noWrap/>
            <w:vAlign w:val="bottom"/>
            <w:hideMark/>
          </w:tcPr>
          <w:p w14:paraId="3BC934D8" w14:textId="77777777" w:rsidR="00D260CA" w:rsidRPr="003E76E7" w:rsidRDefault="00D260CA" w:rsidP="00C4292D">
            <w:pPr>
              <w:spacing w:before="0" w:after="0"/>
              <w:jc w:val="right"/>
              <w:rPr>
                <w:rFonts w:ascii="Arial" w:hAnsi="Arial"/>
                <w:b/>
                <w:bCs/>
                <w:sz w:val="16"/>
                <w:szCs w:val="16"/>
                <w:lang w:val="en-AU"/>
              </w:rPr>
            </w:pPr>
          </w:p>
        </w:tc>
        <w:tc>
          <w:tcPr>
            <w:tcW w:w="1149" w:type="dxa"/>
            <w:shd w:val="clear" w:color="auto" w:fill="FFFFFF"/>
            <w:noWrap/>
            <w:vAlign w:val="bottom"/>
            <w:hideMark/>
          </w:tcPr>
          <w:p w14:paraId="30FD1D5C" w14:textId="77777777" w:rsidR="00D260CA" w:rsidRPr="003E76E7" w:rsidRDefault="00D260CA" w:rsidP="00C4292D">
            <w:pPr>
              <w:spacing w:before="0" w:after="0"/>
              <w:jc w:val="right"/>
              <w:rPr>
                <w:rFonts w:ascii="Arial" w:hAnsi="Arial"/>
                <w:b/>
                <w:bCs/>
                <w:sz w:val="16"/>
                <w:szCs w:val="16"/>
                <w:lang w:val="en-AU"/>
              </w:rPr>
            </w:pPr>
          </w:p>
        </w:tc>
        <w:tc>
          <w:tcPr>
            <w:tcW w:w="1149" w:type="dxa"/>
            <w:shd w:val="clear" w:color="auto" w:fill="FFFFFF"/>
            <w:noWrap/>
            <w:vAlign w:val="bottom"/>
            <w:hideMark/>
          </w:tcPr>
          <w:p w14:paraId="795C128F" w14:textId="77777777" w:rsidR="00D260CA" w:rsidRPr="003E76E7" w:rsidRDefault="00D260CA" w:rsidP="00C4292D">
            <w:pPr>
              <w:spacing w:before="0" w:after="0"/>
              <w:jc w:val="right"/>
              <w:rPr>
                <w:rFonts w:ascii="Arial" w:hAnsi="Arial"/>
                <w:b/>
                <w:bCs/>
                <w:sz w:val="16"/>
                <w:szCs w:val="16"/>
                <w:lang w:val="en-AU"/>
              </w:rPr>
            </w:pPr>
          </w:p>
        </w:tc>
      </w:tr>
      <w:tr w:rsidR="00A04BD1" w:rsidRPr="003E76E7" w14:paraId="782CBEE9" w14:textId="77777777" w:rsidTr="0087640C">
        <w:trPr>
          <w:trHeight w:val="238"/>
        </w:trPr>
        <w:tc>
          <w:tcPr>
            <w:tcW w:w="247" w:type="dxa"/>
            <w:tcBorders>
              <w:top w:val="nil"/>
              <w:left w:val="nil"/>
              <w:bottom w:val="nil"/>
              <w:right w:val="single" w:sz="4" w:space="0" w:color="auto"/>
            </w:tcBorders>
            <w:vAlign w:val="bottom"/>
            <w:hideMark/>
          </w:tcPr>
          <w:p w14:paraId="4085E40F" w14:textId="77777777" w:rsidR="00A04BD1" w:rsidRPr="003E76E7" w:rsidRDefault="00A04BD1" w:rsidP="00C4292D">
            <w:pPr>
              <w:spacing w:before="0" w:after="0"/>
              <w:jc w:val="center"/>
              <w:rPr>
                <w:rFonts w:ascii="Arial" w:hAnsi="Arial"/>
                <w:sz w:val="16"/>
                <w:szCs w:val="16"/>
                <w:lang w:val="en-AU"/>
              </w:rPr>
            </w:pPr>
          </w:p>
        </w:tc>
        <w:tc>
          <w:tcPr>
            <w:tcW w:w="2569" w:type="dxa"/>
            <w:noWrap/>
            <w:vAlign w:val="bottom"/>
            <w:hideMark/>
          </w:tcPr>
          <w:p w14:paraId="6B8ADB3A" w14:textId="77777777" w:rsidR="00A04BD1" w:rsidRPr="003E76E7" w:rsidRDefault="00A04BD1" w:rsidP="00C4292D">
            <w:pPr>
              <w:spacing w:before="0" w:after="0"/>
              <w:rPr>
                <w:rFonts w:ascii="Arial" w:hAnsi="Arial"/>
                <w:sz w:val="16"/>
                <w:szCs w:val="16"/>
                <w:lang w:val="en-AU"/>
              </w:rPr>
            </w:pPr>
            <w:r w:rsidRPr="003E76E7">
              <w:rPr>
                <w:rFonts w:ascii="Arial" w:hAnsi="Arial"/>
                <w:sz w:val="16"/>
                <w:szCs w:val="16"/>
                <w:lang w:val="en-AU"/>
              </w:rPr>
              <w:t>Navy</w:t>
            </w:r>
          </w:p>
        </w:tc>
        <w:tc>
          <w:tcPr>
            <w:tcW w:w="1148" w:type="dxa"/>
            <w:tcBorders>
              <w:top w:val="nil"/>
              <w:bottom w:val="nil"/>
              <w:right w:val="single" w:sz="4" w:space="0" w:color="E7E6E6"/>
            </w:tcBorders>
            <w:shd w:val="clear" w:color="auto" w:fill="FFFFFF"/>
            <w:noWrap/>
            <w:vAlign w:val="center"/>
          </w:tcPr>
          <w:p w14:paraId="490940B9" w14:textId="0893BB04" w:rsidR="00A04BD1" w:rsidRPr="003E76E7" w:rsidRDefault="00A04BD1" w:rsidP="00C4292D">
            <w:pPr>
              <w:spacing w:before="0" w:after="0"/>
              <w:jc w:val="right"/>
              <w:rPr>
                <w:rFonts w:ascii="Arial" w:hAnsi="Arial"/>
                <w:bCs/>
                <w:sz w:val="15"/>
                <w:szCs w:val="15"/>
                <w:lang w:val="en-AU"/>
              </w:rPr>
            </w:pPr>
            <w:r w:rsidRPr="003E76E7">
              <w:rPr>
                <w:rFonts w:ascii="Arial" w:hAnsi="Arial"/>
                <w:color w:val="000000"/>
                <w:sz w:val="16"/>
                <w:szCs w:val="16"/>
              </w:rPr>
              <w:t>15,805</w:t>
            </w:r>
          </w:p>
        </w:tc>
        <w:tc>
          <w:tcPr>
            <w:tcW w:w="1149" w:type="dxa"/>
            <w:vMerge/>
            <w:tcBorders>
              <w:left w:val="single" w:sz="4" w:space="0" w:color="E7E6E6"/>
              <w:bottom w:val="single" w:sz="4" w:space="0" w:color="E7E6E6"/>
              <w:right w:val="single" w:sz="4" w:space="0" w:color="E7E6E6"/>
            </w:tcBorders>
            <w:shd w:val="clear" w:color="auto" w:fill="E6E6E6"/>
            <w:noWrap/>
            <w:vAlign w:val="center"/>
          </w:tcPr>
          <w:p w14:paraId="0304CE68" w14:textId="77777777" w:rsidR="00A04BD1" w:rsidRPr="003E76E7" w:rsidRDefault="00A04BD1" w:rsidP="00C4292D">
            <w:pPr>
              <w:spacing w:before="0" w:after="0"/>
              <w:jc w:val="right"/>
              <w:rPr>
                <w:rFonts w:ascii="Arial" w:hAnsi="Arial"/>
                <w:b/>
                <w:bCs/>
                <w:sz w:val="15"/>
                <w:szCs w:val="15"/>
                <w:lang w:val="en-AU"/>
              </w:rPr>
            </w:pPr>
          </w:p>
        </w:tc>
        <w:tc>
          <w:tcPr>
            <w:tcW w:w="1149" w:type="dxa"/>
            <w:tcBorders>
              <w:left w:val="single" w:sz="4" w:space="0" w:color="E7E6E6"/>
            </w:tcBorders>
            <w:shd w:val="clear" w:color="auto" w:fill="FFFFFF"/>
            <w:noWrap/>
            <w:vAlign w:val="center"/>
          </w:tcPr>
          <w:p w14:paraId="6A6F0D0C" w14:textId="267A4320" w:rsidR="00A04BD1" w:rsidRPr="003E76E7" w:rsidRDefault="00A04BD1" w:rsidP="00C4292D">
            <w:pPr>
              <w:spacing w:before="0" w:after="0"/>
              <w:jc w:val="right"/>
              <w:rPr>
                <w:rFonts w:ascii="Arial" w:hAnsi="Arial"/>
                <w:b/>
                <w:bCs/>
                <w:sz w:val="15"/>
                <w:szCs w:val="15"/>
                <w:lang w:val="en-AU"/>
              </w:rPr>
            </w:pPr>
            <w:r w:rsidRPr="003E76E7">
              <w:rPr>
                <w:rFonts w:ascii="Arial" w:hAnsi="Arial"/>
                <w:color w:val="000000"/>
                <w:sz w:val="16"/>
                <w:szCs w:val="16"/>
              </w:rPr>
              <w:t>16,604</w:t>
            </w:r>
          </w:p>
        </w:tc>
        <w:tc>
          <w:tcPr>
            <w:tcW w:w="1149" w:type="dxa"/>
            <w:shd w:val="clear" w:color="auto" w:fill="FFFFFF"/>
            <w:noWrap/>
            <w:vAlign w:val="center"/>
          </w:tcPr>
          <w:p w14:paraId="41547814" w14:textId="3B6DDEB8" w:rsidR="00A04BD1" w:rsidRPr="003E76E7" w:rsidRDefault="00A04BD1" w:rsidP="00C4292D">
            <w:pPr>
              <w:spacing w:before="0" w:after="0"/>
              <w:jc w:val="right"/>
              <w:rPr>
                <w:rFonts w:ascii="Arial" w:hAnsi="Arial"/>
                <w:b/>
                <w:bCs/>
                <w:sz w:val="15"/>
                <w:szCs w:val="15"/>
                <w:lang w:val="en-AU"/>
              </w:rPr>
            </w:pPr>
            <w:r w:rsidRPr="003E76E7">
              <w:rPr>
                <w:rFonts w:ascii="Arial" w:hAnsi="Arial"/>
                <w:color w:val="000000"/>
                <w:sz w:val="16"/>
                <w:szCs w:val="16"/>
              </w:rPr>
              <w:t>17,010</w:t>
            </w:r>
          </w:p>
        </w:tc>
        <w:tc>
          <w:tcPr>
            <w:tcW w:w="1149" w:type="dxa"/>
            <w:shd w:val="clear" w:color="auto" w:fill="FFFFFF"/>
            <w:vAlign w:val="center"/>
          </w:tcPr>
          <w:p w14:paraId="608F6544" w14:textId="01060640" w:rsidR="00A04BD1" w:rsidRPr="003E76E7" w:rsidRDefault="00A04BD1" w:rsidP="00C4292D">
            <w:pPr>
              <w:spacing w:before="0" w:after="0"/>
              <w:jc w:val="right"/>
              <w:rPr>
                <w:rFonts w:ascii="Arial" w:hAnsi="Arial"/>
                <w:bCs/>
                <w:sz w:val="15"/>
                <w:szCs w:val="15"/>
                <w:lang w:val="en-AU"/>
              </w:rPr>
            </w:pPr>
            <w:r w:rsidRPr="003E76E7">
              <w:rPr>
                <w:rFonts w:ascii="Arial" w:hAnsi="Arial"/>
                <w:color w:val="000000"/>
                <w:sz w:val="16"/>
                <w:szCs w:val="16"/>
              </w:rPr>
              <w:t>17,416</w:t>
            </w:r>
          </w:p>
        </w:tc>
      </w:tr>
      <w:tr w:rsidR="00A04BD1" w:rsidRPr="003E76E7" w14:paraId="0C2903C6" w14:textId="77777777" w:rsidTr="0087640C">
        <w:trPr>
          <w:trHeight w:val="238"/>
        </w:trPr>
        <w:tc>
          <w:tcPr>
            <w:tcW w:w="247" w:type="dxa"/>
            <w:tcBorders>
              <w:top w:val="nil"/>
              <w:left w:val="nil"/>
              <w:bottom w:val="nil"/>
              <w:right w:val="single" w:sz="4" w:space="0" w:color="auto"/>
            </w:tcBorders>
            <w:vAlign w:val="bottom"/>
            <w:hideMark/>
          </w:tcPr>
          <w:p w14:paraId="67A4EF59" w14:textId="77777777" w:rsidR="00A04BD1" w:rsidRPr="003E76E7" w:rsidRDefault="00A04BD1" w:rsidP="00C4292D">
            <w:pPr>
              <w:spacing w:before="0" w:after="0"/>
              <w:jc w:val="center"/>
              <w:rPr>
                <w:rFonts w:ascii="Arial" w:hAnsi="Arial"/>
                <w:sz w:val="16"/>
                <w:szCs w:val="16"/>
                <w:lang w:val="en-AU"/>
              </w:rPr>
            </w:pPr>
          </w:p>
        </w:tc>
        <w:tc>
          <w:tcPr>
            <w:tcW w:w="2569" w:type="dxa"/>
            <w:noWrap/>
            <w:vAlign w:val="bottom"/>
            <w:hideMark/>
          </w:tcPr>
          <w:p w14:paraId="3D7F092A" w14:textId="77777777" w:rsidR="00A04BD1" w:rsidRPr="003E76E7" w:rsidRDefault="00A04BD1" w:rsidP="00C4292D">
            <w:pPr>
              <w:spacing w:before="0" w:after="0"/>
              <w:rPr>
                <w:rFonts w:ascii="Arial" w:hAnsi="Arial"/>
                <w:sz w:val="16"/>
                <w:szCs w:val="16"/>
                <w:lang w:val="en-AU"/>
              </w:rPr>
            </w:pPr>
            <w:r w:rsidRPr="003E76E7">
              <w:rPr>
                <w:rFonts w:ascii="Arial" w:hAnsi="Arial"/>
                <w:sz w:val="16"/>
                <w:szCs w:val="16"/>
                <w:lang w:val="en-AU"/>
              </w:rPr>
              <w:t>Army</w:t>
            </w:r>
          </w:p>
        </w:tc>
        <w:tc>
          <w:tcPr>
            <w:tcW w:w="1148" w:type="dxa"/>
            <w:tcBorders>
              <w:top w:val="nil"/>
              <w:bottom w:val="nil"/>
              <w:right w:val="single" w:sz="4" w:space="0" w:color="E7E6E6"/>
            </w:tcBorders>
            <w:shd w:val="clear" w:color="auto" w:fill="FFFFFF"/>
            <w:noWrap/>
            <w:vAlign w:val="center"/>
          </w:tcPr>
          <w:p w14:paraId="4D8F764F" w14:textId="5F2A6AB6" w:rsidR="00A04BD1" w:rsidRPr="003E76E7" w:rsidRDefault="00A04BD1" w:rsidP="00C4292D">
            <w:pPr>
              <w:spacing w:before="0" w:after="0"/>
              <w:jc w:val="right"/>
              <w:rPr>
                <w:rFonts w:ascii="Arial" w:hAnsi="Arial"/>
                <w:bCs/>
                <w:sz w:val="15"/>
                <w:szCs w:val="15"/>
                <w:lang w:val="en-AU"/>
              </w:rPr>
            </w:pPr>
            <w:r w:rsidRPr="003E76E7">
              <w:rPr>
                <w:rFonts w:ascii="Arial" w:hAnsi="Arial"/>
                <w:color w:val="000000"/>
                <w:sz w:val="16"/>
                <w:szCs w:val="16"/>
              </w:rPr>
              <w:t>29,056</w:t>
            </w:r>
          </w:p>
        </w:tc>
        <w:tc>
          <w:tcPr>
            <w:tcW w:w="1149" w:type="dxa"/>
            <w:tcBorders>
              <w:top w:val="single" w:sz="4" w:space="0" w:color="E7E6E6"/>
              <w:left w:val="single" w:sz="4" w:space="0" w:color="E7E6E6"/>
              <w:bottom w:val="single" w:sz="4" w:space="0" w:color="E7E6E6"/>
              <w:right w:val="single" w:sz="4" w:space="0" w:color="E7E6E6"/>
            </w:tcBorders>
            <w:shd w:val="clear" w:color="auto" w:fill="E6E6E6"/>
            <w:noWrap/>
            <w:vAlign w:val="center"/>
          </w:tcPr>
          <w:p w14:paraId="13BA9DAD" w14:textId="794CC16D" w:rsidR="00A04BD1" w:rsidRPr="003E76E7" w:rsidRDefault="00A04BD1" w:rsidP="00C4292D">
            <w:pPr>
              <w:spacing w:before="0" w:after="0"/>
              <w:jc w:val="right"/>
              <w:rPr>
                <w:rFonts w:ascii="Arial" w:hAnsi="Arial"/>
                <w:b/>
                <w:bCs/>
                <w:sz w:val="15"/>
                <w:szCs w:val="15"/>
                <w:lang w:val="en-AU"/>
              </w:rPr>
            </w:pPr>
            <w:r w:rsidRPr="003E76E7">
              <w:rPr>
                <w:rFonts w:ascii="Arial" w:hAnsi="Arial"/>
                <w:color w:val="000000"/>
                <w:sz w:val="16"/>
                <w:szCs w:val="16"/>
              </w:rPr>
              <w:t>29,685</w:t>
            </w:r>
          </w:p>
        </w:tc>
        <w:tc>
          <w:tcPr>
            <w:tcW w:w="1149" w:type="dxa"/>
            <w:tcBorders>
              <w:left w:val="single" w:sz="4" w:space="0" w:color="E7E6E6"/>
            </w:tcBorders>
            <w:shd w:val="clear" w:color="auto" w:fill="FFFFFF"/>
            <w:noWrap/>
            <w:vAlign w:val="center"/>
          </w:tcPr>
          <w:p w14:paraId="793FBBAD" w14:textId="10A55AD3" w:rsidR="00A04BD1" w:rsidRPr="003E76E7" w:rsidRDefault="00A04BD1" w:rsidP="00C4292D">
            <w:pPr>
              <w:spacing w:before="0" w:after="0"/>
              <w:jc w:val="right"/>
              <w:rPr>
                <w:rFonts w:ascii="Arial" w:hAnsi="Arial"/>
                <w:b/>
                <w:bCs/>
                <w:sz w:val="15"/>
                <w:szCs w:val="15"/>
                <w:lang w:val="en-AU"/>
              </w:rPr>
            </w:pPr>
            <w:r w:rsidRPr="003E76E7">
              <w:rPr>
                <w:rFonts w:ascii="Arial" w:hAnsi="Arial"/>
                <w:color w:val="000000"/>
                <w:sz w:val="16"/>
                <w:szCs w:val="16"/>
              </w:rPr>
              <w:t>30,444</w:t>
            </w:r>
          </w:p>
        </w:tc>
        <w:tc>
          <w:tcPr>
            <w:tcW w:w="1149" w:type="dxa"/>
            <w:shd w:val="clear" w:color="auto" w:fill="FFFFFF"/>
            <w:noWrap/>
            <w:vAlign w:val="center"/>
          </w:tcPr>
          <w:p w14:paraId="1D0FE724" w14:textId="329A1D9B" w:rsidR="00A04BD1" w:rsidRPr="003E76E7" w:rsidRDefault="00A04BD1" w:rsidP="00C4292D">
            <w:pPr>
              <w:spacing w:before="0" w:after="0"/>
              <w:jc w:val="right"/>
              <w:rPr>
                <w:rFonts w:ascii="Arial" w:hAnsi="Arial"/>
                <w:b/>
                <w:bCs/>
                <w:sz w:val="15"/>
                <w:szCs w:val="15"/>
                <w:lang w:val="en-AU"/>
              </w:rPr>
            </w:pPr>
            <w:r w:rsidRPr="003E76E7">
              <w:rPr>
                <w:rFonts w:ascii="Arial" w:hAnsi="Arial"/>
                <w:color w:val="000000"/>
                <w:sz w:val="16"/>
                <w:szCs w:val="16"/>
              </w:rPr>
              <w:t>31,169</w:t>
            </w:r>
          </w:p>
        </w:tc>
        <w:tc>
          <w:tcPr>
            <w:tcW w:w="1149" w:type="dxa"/>
            <w:shd w:val="clear" w:color="auto" w:fill="FFFFFF"/>
            <w:vAlign w:val="center"/>
          </w:tcPr>
          <w:p w14:paraId="06231D55" w14:textId="5D6E8BB0" w:rsidR="00A04BD1" w:rsidRPr="003E76E7" w:rsidRDefault="00A04BD1" w:rsidP="00C4292D">
            <w:pPr>
              <w:spacing w:before="0" w:after="0"/>
              <w:jc w:val="right"/>
              <w:rPr>
                <w:rFonts w:ascii="Arial" w:hAnsi="Arial"/>
                <w:bCs/>
                <w:sz w:val="15"/>
                <w:szCs w:val="15"/>
                <w:lang w:val="en-AU"/>
              </w:rPr>
            </w:pPr>
            <w:r w:rsidRPr="003E76E7">
              <w:rPr>
                <w:rFonts w:ascii="Arial" w:hAnsi="Arial"/>
                <w:color w:val="000000"/>
                <w:sz w:val="16"/>
                <w:szCs w:val="16"/>
              </w:rPr>
              <w:t>31,777</w:t>
            </w:r>
          </w:p>
        </w:tc>
      </w:tr>
      <w:tr w:rsidR="00A04BD1" w:rsidRPr="003E76E7" w14:paraId="1648248E" w14:textId="77777777" w:rsidTr="0087640C">
        <w:trPr>
          <w:trHeight w:val="238"/>
        </w:trPr>
        <w:tc>
          <w:tcPr>
            <w:tcW w:w="247" w:type="dxa"/>
            <w:tcBorders>
              <w:top w:val="nil"/>
              <w:left w:val="nil"/>
              <w:right w:val="single" w:sz="4" w:space="0" w:color="auto"/>
            </w:tcBorders>
            <w:vAlign w:val="bottom"/>
            <w:hideMark/>
          </w:tcPr>
          <w:p w14:paraId="1C8277C2" w14:textId="77777777" w:rsidR="00A04BD1" w:rsidRPr="003E76E7" w:rsidRDefault="00A04BD1" w:rsidP="00C4292D">
            <w:pPr>
              <w:spacing w:before="0" w:after="0"/>
              <w:jc w:val="center"/>
              <w:rPr>
                <w:rFonts w:ascii="Arial" w:hAnsi="Arial"/>
                <w:sz w:val="16"/>
                <w:szCs w:val="16"/>
                <w:lang w:val="en-AU"/>
              </w:rPr>
            </w:pPr>
          </w:p>
        </w:tc>
        <w:tc>
          <w:tcPr>
            <w:tcW w:w="2569" w:type="dxa"/>
            <w:tcBorders>
              <w:top w:val="nil"/>
              <w:left w:val="nil"/>
              <w:right w:val="nil"/>
            </w:tcBorders>
            <w:noWrap/>
            <w:vAlign w:val="bottom"/>
            <w:hideMark/>
          </w:tcPr>
          <w:p w14:paraId="54390320" w14:textId="1E79E4DA" w:rsidR="00A04BD1" w:rsidRPr="003E76E7" w:rsidRDefault="00F53A6A" w:rsidP="00C4292D">
            <w:pPr>
              <w:spacing w:before="0" w:after="0"/>
              <w:rPr>
                <w:rFonts w:ascii="Arial" w:hAnsi="Arial"/>
                <w:sz w:val="16"/>
                <w:szCs w:val="16"/>
                <w:vertAlign w:val="superscript"/>
                <w:lang w:val="en-AU"/>
              </w:rPr>
            </w:pPr>
            <w:r w:rsidRPr="003E76E7">
              <w:rPr>
                <w:rFonts w:ascii="Arial" w:hAnsi="Arial"/>
                <w:sz w:val="16"/>
                <w:szCs w:val="16"/>
                <w:lang w:val="en-AU"/>
              </w:rPr>
              <w:t>Air Force</w:t>
            </w:r>
          </w:p>
        </w:tc>
        <w:tc>
          <w:tcPr>
            <w:tcW w:w="1148" w:type="dxa"/>
            <w:tcBorders>
              <w:top w:val="nil"/>
              <w:right w:val="single" w:sz="4" w:space="0" w:color="E7E6E6"/>
            </w:tcBorders>
            <w:shd w:val="clear" w:color="auto" w:fill="FFFFFF"/>
            <w:noWrap/>
            <w:vAlign w:val="center"/>
          </w:tcPr>
          <w:p w14:paraId="2A39BE90" w14:textId="74F1CA9B" w:rsidR="00A04BD1" w:rsidRPr="003E76E7" w:rsidRDefault="00A04BD1" w:rsidP="00C4292D">
            <w:pPr>
              <w:spacing w:before="0" w:after="0"/>
              <w:jc w:val="right"/>
              <w:rPr>
                <w:rFonts w:ascii="Arial" w:hAnsi="Arial"/>
                <w:bCs/>
                <w:sz w:val="15"/>
                <w:szCs w:val="15"/>
                <w:lang w:val="en-AU"/>
              </w:rPr>
            </w:pPr>
            <w:r w:rsidRPr="003E76E7">
              <w:rPr>
                <w:rFonts w:ascii="Arial" w:hAnsi="Arial"/>
                <w:color w:val="000000"/>
                <w:sz w:val="16"/>
                <w:szCs w:val="16"/>
              </w:rPr>
              <w:t>16,850</w:t>
            </w:r>
          </w:p>
        </w:tc>
        <w:tc>
          <w:tcPr>
            <w:tcW w:w="1149" w:type="dxa"/>
            <w:tcBorders>
              <w:top w:val="single" w:sz="4" w:space="0" w:color="E7E6E6"/>
              <w:left w:val="single" w:sz="4" w:space="0" w:color="E7E6E6"/>
              <w:bottom w:val="single" w:sz="4" w:space="0" w:color="E7E6E6"/>
              <w:right w:val="single" w:sz="4" w:space="0" w:color="E7E6E6"/>
            </w:tcBorders>
            <w:shd w:val="clear" w:color="auto" w:fill="E6E6E6"/>
            <w:noWrap/>
            <w:vAlign w:val="center"/>
          </w:tcPr>
          <w:p w14:paraId="04506F49" w14:textId="7AF69D2F" w:rsidR="00A04BD1" w:rsidRPr="003E76E7" w:rsidRDefault="00A04BD1" w:rsidP="00C4292D">
            <w:pPr>
              <w:spacing w:before="0" w:after="0"/>
              <w:jc w:val="right"/>
              <w:rPr>
                <w:rFonts w:ascii="Arial" w:hAnsi="Arial"/>
                <w:b/>
                <w:bCs/>
                <w:sz w:val="15"/>
                <w:szCs w:val="15"/>
                <w:lang w:val="en-AU"/>
              </w:rPr>
            </w:pPr>
            <w:r w:rsidRPr="003E76E7">
              <w:rPr>
                <w:rFonts w:ascii="Arial" w:hAnsi="Arial"/>
                <w:color w:val="000000"/>
                <w:sz w:val="16"/>
                <w:szCs w:val="16"/>
              </w:rPr>
              <w:t>17,467</w:t>
            </w:r>
          </w:p>
        </w:tc>
        <w:tc>
          <w:tcPr>
            <w:tcW w:w="1149" w:type="dxa"/>
            <w:tcBorders>
              <w:left w:val="single" w:sz="4" w:space="0" w:color="E7E6E6"/>
            </w:tcBorders>
            <w:shd w:val="clear" w:color="auto" w:fill="FFFFFF"/>
            <w:noWrap/>
            <w:vAlign w:val="center"/>
          </w:tcPr>
          <w:p w14:paraId="1CC9F640" w14:textId="61F8FE19" w:rsidR="00A04BD1" w:rsidRPr="003E76E7" w:rsidRDefault="00A04BD1" w:rsidP="00C4292D">
            <w:pPr>
              <w:spacing w:before="0" w:after="0"/>
              <w:jc w:val="right"/>
              <w:rPr>
                <w:rFonts w:ascii="Arial" w:hAnsi="Arial"/>
                <w:b/>
                <w:bCs/>
                <w:sz w:val="15"/>
                <w:szCs w:val="15"/>
                <w:lang w:val="en-AU"/>
              </w:rPr>
            </w:pPr>
            <w:r w:rsidRPr="003E76E7">
              <w:rPr>
                <w:rFonts w:ascii="Arial" w:hAnsi="Arial"/>
                <w:color w:val="000000"/>
                <w:sz w:val="16"/>
                <w:szCs w:val="16"/>
              </w:rPr>
              <w:t>17,794</w:t>
            </w:r>
          </w:p>
        </w:tc>
        <w:tc>
          <w:tcPr>
            <w:tcW w:w="1149" w:type="dxa"/>
            <w:shd w:val="clear" w:color="auto" w:fill="FFFFFF"/>
            <w:noWrap/>
            <w:vAlign w:val="center"/>
          </w:tcPr>
          <w:p w14:paraId="0AF8A79B" w14:textId="2838DFD2" w:rsidR="00A04BD1" w:rsidRPr="003E76E7" w:rsidRDefault="00A04BD1" w:rsidP="00C4292D">
            <w:pPr>
              <w:spacing w:before="0" w:after="0"/>
              <w:jc w:val="right"/>
              <w:rPr>
                <w:rFonts w:ascii="Arial" w:hAnsi="Arial"/>
                <w:b/>
                <w:bCs/>
                <w:sz w:val="15"/>
                <w:szCs w:val="15"/>
                <w:lang w:val="en-AU"/>
              </w:rPr>
            </w:pPr>
            <w:r w:rsidRPr="003E76E7">
              <w:rPr>
                <w:rFonts w:ascii="Arial" w:hAnsi="Arial"/>
                <w:color w:val="000000"/>
                <w:sz w:val="16"/>
                <w:szCs w:val="16"/>
              </w:rPr>
              <w:t>17,834</w:t>
            </w:r>
          </w:p>
        </w:tc>
        <w:tc>
          <w:tcPr>
            <w:tcW w:w="1149" w:type="dxa"/>
            <w:shd w:val="clear" w:color="auto" w:fill="FFFFFF"/>
            <w:vAlign w:val="center"/>
          </w:tcPr>
          <w:p w14:paraId="00429B30" w14:textId="28EF53DB" w:rsidR="00A04BD1" w:rsidRPr="003E76E7" w:rsidRDefault="00A04BD1" w:rsidP="00C4292D">
            <w:pPr>
              <w:spacing w:before="0" w:after="0"/>
              <w:jc w:val="right"/>
              <w:rPr>
                <w:rFonts w:ascii="Arial" w:hAnsi="Arial"/>
                <w:bCs/>
                <w:sz w:val="15"/>
                <w:szCs w:val="15"/>
                <w:lang w:val="en-AU"/>
              </w:rPr>
            </w:pPr>
            <w:r w:rsidRPr="003E76E7">
              <w:rPr>
                <w:rFonts w:ascii="Arial" w:hAnsi="Arial"/>
                <w:color w:val="000000"/>
                <w:sz w:val="16"/>
                <w:szCs w:val="16"/>
              </w:rPr>
              <w:t>18,273</w:t>
            </w:r>
          </w:p>
        </w:tc>
      </w:tr>
      <w:tr w:rsidR="00A04BD1" w:rsidRPr="003E76E7" w14:paraId="401B5461" w14:textId="77777777" w:rsidTr="0087640C">
        <w:trPr>
          <w:trHeight w:val="238"/>
        </w:trPr>
        <w:tc>
          <w:tcPr>
            <w:tcW w:w="247" w:type="dxa"/>
            <w:tcBorders>
              <w:left w:val="nil"/>
              <w:bottom w:val="single" w:sz="4" w:space="0" w:color="auto"/>
              <w:right w:val="single" w:sz="4" w:space="0" w:color="auto"/>
            </w:tcBorders>
            <w:shd w:val="clear" w:color="auto" w:fill="E6E6E6"/>
            <w:vAlign w:val="bottom"/>
            <w:hideMark/>
          </w:tcPr>
          <w:p w14:paraId="68AF2431" w14:textId="77777777" w:rsidR="00A04BD1" w:rsidRPr="003E76E7" w:rsidRDefault="00A04BD1" w:rsidP="00C4292D">
            <w:pPr>
              <w:spacing w:before="0" w:after="0"/>
              <w:jc w:val="center"/>
              <w:rPr>
                <w:rFonts w:ascii="Arial" w:hAnsi="Arial"/>
                <w:b/>
                <w:sz w:val="16"/>
                <w:szCs w:val="16"/>
                <w:lang w:val="en-AU"/>
              </w:rPr>
            </w:pPr>
            <w:r w:rsidRPr="003E76E7">
              <w:rPr>
                <w:rFonts w:ascii="Arial" w:hAnsi="Arial"/>
                <w:b/>
                <w:sz w:val="16"/>
                <w:szCs w:val="16"/>
                <w:lang w:val="en-AU"/>
              </w:rPr>
              <w:t>1</w:t>
            </w:r>
          </w:p>
        </w:tc>
        <w:tc>
          <w:tcPr>
            <w:tcW w:w="2569" w:type="dxa"/>
            <w:tcBorders>
              <w:left w:val="nil"/>
              <w:bottom w:val="single" w:sz="4" w:space="0" w:color="auto"/>
              <w:right w:val="nil"/>
            </w:tcBorders>
            <w:shd w:val="clear" w:color="auto" w:fill="E6E6E6"/>
            <w:noWrap/>
            <w:vAlign w:val="bottom"/>
            <w:hideMark/>
          </w:tcPr>
          <w:p w14:paraId="220C5462" w14:textId="77777777" w:rsidR="00A04BD1" w:rsidRPr="003E76E7" w:rsidRDefault="00A04BD1" w:rsidP="00C4292D">
            <w:pPr>
              <w:spacing w:before="0" w:after="0"/>
              <w:rPr>
                <w:rFonts w:ascii="Arial" w:hAnsi="Arial"/>
                <w:b/>
                <w:bCs/>
                <w:sz w:val="16"/>
                <w:szCs w:val="16"/>
                <w:lang w:val="en-AU"/>
              </w:rPr>
            </w:pPr>
            <w:r w:rsidRPr="003E76E7">
              <w:rPr>
                <w:rFonts w:ascii="Arial" w:hAnsi="Arial"/>
                <w:b/>
                <w:bCs/>
                <w:sz w:val="16"/>
                <w:szCs w:val="16"/>
                <w:lang w:val="en-AU"/>
              </w:rPr>
              <w:t>Total Permanent Force</w:t>
            </w:r>
          </w:p>
        </w:tc>
        <w:tc>
          <w:tcPr>
            <w:tcW w:w="1148" w:type="dxa"/>
            <w:tcBorders>
              <w:bottom w:val="single" w:sz="4" w:space="0" w:color="auto"/>
              <w:right w:val="single" w:sz="4" w:space="0" w:color="E7E6E6"/>
            </w:tcBorders>
            <w:shd w:val="clear" w:color="auto" w:fill="E6E6E6"/>
            <w:noWrap/>
            <w:vAlign w:val="center"/>
          </w:tcPr>
          <w:p w14:paraId="4E0E04D3" w14:textId="0070C6DD" w:rsidR="00A04BD1" w:rsidRPr="003E76E7" w:rsidRDefault="00A04BD1" w:rsidP="00C4292D">
            <w:pPr>
              <w:spacing w:before="0" w:after="0"/>
              <w:jc w:val="right"/>
              <w:rPr>
                <w:rFonts w:ascii="Arial" w:hAnsi="Arial"/>
                <w:b/>
                <w:bCs/>
                <w:sz w:val="15"/>
                <w:szCs w:val="15"/>
                <w:lang w:val="en-AU"/>
              </w:rPr>
            </w:pPr>
            <w:r w:rsidRPr="003E76E7">
              <w:rPr>
                <w:rFonts w:ascii="Arial" w:hAnsi="Arial"/>
                <w:b/>
                <w:bCs/>
                <w:color w:val="000000"/>
                <w:sz w:val="16"/>
                <w:szCs w:val="16"/>
              </w:rPr>
              <w:t>61,711</w:t>
            </w:r>
          </w:p>
        </w:tc>
        <w:tc>
          <w:tcPr>
            <w:tcW w:w="1149" w:type="dxa"/>
            <w:tcBorders>
              <w:top w:val="single" w:sz="4" w:space="0" w:color="E7E6E6"/>
              <w:left w:val="single" w:sz="4" w:space="0" w:color="E7E6E6"/>
              <w:bottom w:val="single" w:sz="4" w:space="0" w:color="auto"/>
              <w:right w:val="single" w:sz="4" w:space="0" w:color="E7E6E6"/>
            </w:tcBorders>
            <w:shd w:val="clear" w:color="auto" w:fill="E6E6E6"/>
            <w:noWrap/>
            <w:vAlign w:val="center"/>
          </w:tcPr>
          <w:p w14:paraId="0ADBE899" w14:textId="0189B8A6" w:rsidR="00A04BD1" w:rsidRPr="003E76E7" w:rsidRDefault="00A04BD1" w:rsidP="00C4292D">
            <w:pPr>
              <w:spacing w:before="0" w:after="0"/>
              <w:jc w:val="right"/>
              <w:rPr>
                <w:rFonts w:ascii="Arial" w:hAnsi="Arial"/>
                <w:b/>
                <w:bCs/>
                <w:sz w:val="15"/>
                <w:szCs w:val="15"/>
                <w:lang w:val="en-AU"/>
              </w:rPr>
            </w:pPr>
            <w:r w:rsidRPr="003E76E7">
              <w:rPr>
                <w:rFonts w:ascii="Arial" w:hAnsi="Arial"/>
                <w:b/>
                <w:bCs/>
                <w:color w:val="000000"/>
                <w:sz w:val="16"/>
                <w:szCs w:val="16"/>
              </w:rPr>
              <w:t>63,345</w:t>
            </w:r>
          </w:p>
        </w:tc>
        <w:tc>
          <w:tcPr>
            <w:tcW w:w="1149" w:type="dxa"/>
            <w:tcBorders>
              <w:left w:val="single" w:sz="4" w:space="0" w:color="E7E6E6"/>
              <w:bottom w:val="single" w:sz="4" w:space="0" w:color="auto"/>
              <w:right w:val="nil"/>
            </w:tcBorders>
            <w:shd w:val="clear" w:color="auto" w:fill="E6E6E6"/>
            <w:noWrap/>
            <w:vAlign w:val="center"/>
          </w:tcPr>
          <w:p w14:paraId="3176F62C" w14:textId="1B7D59CD" w:rsidR="00A04BD1" w:rsidRPr="003E76E7" w:rsidRDefault="00A04BD1" w:rsidP="00C4292D">
            <w:pPr>
              <w:spacing w:before="0" w:after="0"/>
              <w:jc w:val="right"/>
              <w:rPr>
                <w:rFonts w:ascii="Arial" w:hAnsi="Arial"/>
                <w:b/>
                <w:bCs/>
                <w:sz w:val="15"/>
                <w:szCs w:val="15"/>
                <w:lang w:val="en-AU"/>
              </w:rPr>
            </w:pPr>
            <w:r w:rsidRPr="003E76E7">
              <w:rPr>
                <w:rFonts w:ascii="Arial" w:hAnsi="Arial"/>
                <w:b/>
                <w:bCs/>
                <w:color w:val="000000"/>
                <w:sz w:val="16"/>
                <w:szCs w:val="16"/>
              </w:rPr>
              <w:t>64,842</w:t>
            </w:r>
          </w:p>
        </w:tc>
        <w:tc>
          <w:tcPr>
            <w:tcW w:w="1149" w:type="dxa"/>
            <w:tcBorders>
              <w:left w:val="nil"/>
              <w:bottom w:val="single" w:sz="4" w:space="0" w:color="auto"/>
              <w:right w:val="nil"/>
            </w:tcBorders>
            <w:shd w:val="clear" w:color="auto" w:fill="E6E6E6"/>
            <w:noWrap/>
            <w:vAlign w:val="center"/>
          </w:tcPr>
          <w:p w14:paraId="3BCEBF7D" w14:textId="32EAD3DE" w:rsidR="00A04BD1" w:rsidRPr="003E76E7" w:rsidRDefault="00A04BD1" w:rsidP="00C4292D">
            <w:pPr>
              <w:spacing w:before="0" w:after="0"/>
              <w:jc w:val="right"/>
              <w:rPr>
                <w:rFonts w:ascii="Arial" w:hAnsi="Arial"/>
                <w:b/>
                <w:bCs/>
                <w:sz w:val="15"/>
                <w:szCs w:val="15"/>
                <w:lang w:val="en-AU"/>
              </w:rPr>
            </w:pPr>
            <w:r w:rsidRPr="003E76E7">
              <w:rPr>
                <w:rFonts w:ascii="Arial" w:hAnsi="Arial"/>
                <w:b/>
                <w:bCs/>
                <w:color w:val="000000"/>
                <w:sz w:val="16"/>
                <w:szCs w:val="16"/>
              </w:rPr>
              <w:t>66,013</w:t>
            </w:r>
          </w:p>
        </w:tc>
        <w:tc>
          <w:tcPr>
            <w:tcW w:w="1149" w:type="dxa"/>
            <w:tcBorders>
              <w:left w:val="nil"/>
              <w:bottom w:val="single" w:sz="4" w:space="0" w:color="auto"/>
              <w:right w:val="nil"/>
            </w:tcBorders>
            <w:shd w:val="clear" w:color="auto" w:fill="E6E6E6"/>
            <w:noWrap/>
            <w:vAlign w:val="center"/>
          </w:tcPr>
          <w:p w14:paraId="0594FF85" w14:textId="75CEB44A" w:rsidR="00A04BD1" w:rsidRPr="003E76E7" w:rsidRDefault="00A04BD1" w:rsidP="00C4292D">
            <w:pPr>
              <w:spacing w:before="0" w:after="0"/>
              <w:jc w:val="right"/>
              <w:rPr>
                <w:rFonts w:ascii="Arial" w:hAnsi="Arial"/>
                <w:b/>
                <w:bCs/>
                <w:sz w:val="15"/>
                <w:szCs w:val="15"/>
                <w:lang w:val="en-AU"/>
              </w:rPr>
            </w:pPr>
            <w:r w:rsidRPr="003E76E7">
              <w:rPr>
                <w:rFonts w:ascii="Arial" w:hAnsi="Arial"/>
                <w:b/>
                <w:bCs/>
                <w:color w:val="000000"/>
                <w:sz w:val="16"/>
                <w:szCs w:val="16"/>
              </w:rPr>
              <w:t>67,466</w:t>
            </w:r>
          </w:p>
        </w:tc>
      </w:tr>
      <w:tr w:rsidR="00A04BD1" w:rsidRPr="003E76E7" w14:paraId="54B048F2" w14:textId="77777777" w:rsidTr="0087640C">
        <w:trPr>
          <w:trHeight w:val="238"/>
        </w:trPr>
        <w:tc>
          <w:tcPr>
            <w:tcW w:w="247" w:type="dxa"/>
            <w:tcBorders>
              <w:top w:val="nil"/>
              <w:left w:val="nil"/>
              <w:bottom w:val="nil"/>
              <w:right w:val="single" w:sz="4" w:space="0" w:color="auto"/>
            </w:tcBorders>
            <w:vAlign w:val="bottom"/>
            <w:hideMark/>
          </w:tcPr>
          <w:p w14:paraId="7380D684" w14:textId="77777777" w:rsidR="00A04BD1" w:rsidRPr="003E76E7" w:rsidRDefault="00A04BD1" w:rsidP="00C4292D">
            <w:pPr>
              <w:spacing w:before="0" w:after="0"/>
              <w:jc w:val="center"/>
              <w:rPr>
                <w:rFonts w:ascii="Arial" w:hAnsi="Arial"/>
                <w:sz w:val="16"/>
                <w:szCs w:val="16"/>
                <w:lang w:val="en-AU"/>
              </w:rPr>
            </w:pPr>
          </w:p>
        </w:tc>
        <w:tc>
          <w:tcPr>
            <w:tcW w:w="2569" w:type="dxa"/>
            <w:noWrap/>
            <w:vAlign w:val="bottom"/>
            <w:hideMark/>
          </w:tcPr>
          <w:p w14:paraId="30B27885" w14:textId="77777777" w:rsidR="00A04BD1" w:rsidRPr="003E76E7" w:rsidRDefault="00A04BD1" w:rsidP="00C4292D">
            <w:pPr>
              <w:spacing w:before="0" w:after="0"/>
              <w:rPr>
                <w:rFonts w:ascii="Arial" w:hAnsi="Arial"/>
                <w:b/>
                <w:bCs/>
                <w:sz w:val="16"/>
                <w:szCs w:val="16"/>
                <w:lang w:val="en-AU"/>
              </w:rPr>
            </w:pPr>
            <w:r w:rsidRPr="003E76E7">
              <w:rPr>
                <w:rFonts w:ascii="Arial" w:hAnsi="Arial"/>
                <w:b/>
                <w:bCs/>
                <w:sz w:val="16"/>
                <w:szCs w:val="16"/>
                <w:lang w:val="en-AU"/>
              </w:rPr>
              <w:t>Civilian Employees</w:t>
            </w:r>
          </w:p>
        </w:tc>
        <w:tc>
          <w:tcPr>
            <w:tcW w:w="1148" w:type="dxa"/>
            <w:tcBorders>
              <w:top w:val="nil"/>
              <w:bottom w:val="nil"/>
              <w:right w:val="single" w:sz="4" w:space="0" w:color="E7E6E6"/>
            </w:tcBorders>
            <w:shd w:val="clear" w:color="auto" w:fill="FFFFFF"/>
            <w:noWrap/>
            <w:vAlign w:val="bottom"/>
          </w:tcPr>
          <w:p w14:paraId="49C655D1" w14:textId="77777777" w:rsidR="00A04BD1" w:rsidRPr="003E76E7" w:rsidRDefault="00A04BD1" w:rsidP="00C4292D">
            <w:pPr>
              <w:spacing w:before="0" w:after="0"/>
              <w:jc w:val="right"/>
              <w:rPr>
                <w:rFonts w:ascii="Arial" w:hAnsi="Arial"/>
                <w:b/>
                <w:bCs/>
                <w:sz w:val="16"/>
                <w:szCs w:val="16"/>
                <w:lang w:val="en-AU"/>
              </w:rPr>
            </w:pPr>
          </w:p>
        </w:tc>
        <w:tc>
          <w:tcPr>
            <w:tcW w:w="1149" w:type="dxa"/>
            <w:vMerge w:val="restart"/>
            <w:tcBorders>
              <w:top w:val="single" w:sz="4" w:space="0" w:color="auto"/>
              <w:left w:val="single" w:sz="4" w:space="0" w:color="E7E6E6"/>
              <w:right w:val="single" w:sz="4" w:space="0" w:color="E7E6E6"/>
            </w:tcBorders>
            <w:shd w:val="clear" w:color="auto" w:fill="E6E6E6"/>
            <w:noWrap/>
            <w:vAlign w:val="bottom"/>
          </w:tcPr>
          <w:p w14:paraId="58D7020D" w14:textId="6A1DF739" w:rsidR="00A04BD1" w:rsidRPr="003E76E7" w:rsidRDefault="00A04BD1" w:rsidP="00C4292D">
            <w:pPr>
              <w:spacing w:before="0" w:after="0"/>
              <w:jc w:val="right"/>
              <w:rPr>
                <w:rFonts w:ascii="Arial" w:hAnsi="Arial"/>
                <w:b/>
                <w:bCs/>
                <w:sz w:val="15"/>
                <w:szCs w:val="15"/>
                <w:lang w:val="en-AU"/>
              </w:rPr>
            </w:pPr>
            <w:r w:rsidRPr="003E76E7">
              <w:rPr>
                <w:rFonts w:ascii="Arial" w:hAnsi="Arial"/>
                <w:sz w:val="16"/>
                <w:szCs w:val="16"/>
                <w:lang w:val="en-AU"/>
              </w:rPr>
              <w:t>20,169</w:t>
            </w:r>
          </w:p>
        </w:tc>
        <w:tc>
          <w:tcPr>
            <w:tcW w:w="1149" w:type="dxa"/>
            <w:tcBorders>
              <w:left w:val="single" w:sz="4" w:space="0" w:color="E7E6E6"/>
            </w:tcBorders>
            <w:shd w:val="clear" w:color="auto" w:fill="FFFFFF"/>
            <w:noWrap/>
            <w:vAlign w:val="bottom"/>
          </w:tcPr>
          <w:p w14:paraId="4B767F5E" w14:textId="77777777" w:rsidR="00A04BD1" w:rsidRPr="003E76E7" w:rsidRDefault="00A04BD1" w:rsidP="00C4292D">
            <w:pPr>
              <w:spacing w:before="0" w:after="0"/>
              <w:jc w:val="right"/>
              <w:rPr>
                <w:rFonts w:ascii="Arial" w:hAnsi="Arial"/>
                <w:b/>
                <w:bCs/>
                <w:sz w:val="16"/>
                <w:szCs w:val="16"/>
                <w:lang w:val="en-AU"/>
              </w:rPr>
            </w:pPr>
          </w:p>
        </w:tc>
        <w:tc>
          <w:tcPr>
            <w:tcW w:w="1149" w:type="dxa"/>
            <w:shd w:val="clear" w:color="auto" w:fill="FFFFFF"/>
            <w:noWrap/>
            <w:vAlign w:val="bottom"/>
          </w:tcPr>
          <w:p w14:paraId="1C012067" w14:textId="77777777" w:rsidR="00A04BD1" w:rsidRPr="003E76E7" w:rsidRDefault="00A04BD1" w:rsidP="00C4292D">
            <w:pPr>
              <w:spacing w:before="0" w:after="0"/>
              <w:jc w:val="right"/>
              <w:rPr>
                <w:rFonts w:ascii="Arial" w:hAnsi="Arial"/>
                <w:b/>
                <w:bCs/>
                <w:sz w:val="16"/>
                <w:szCs w:val="16"/>
                <w:lang w:val="en-AU"/>
              </w:rPr>
            </w:pPr>
          </w:p>
        </w:tc>
        <w:tc>
          <w:tcPr>
            <w:tcW w:w="1149" w:type="dxa"/>
            <w:shd w:val="clear" w:color="auto" w:fill="FFFFFF"/>
            <w:noWrap/>
            <w:vAlign w:val="bottom"/>
          </w:tcPr>
          <w:p w14:paraId="7244CE6E" w14:textId="77777777" w:rsidR="00A04BD1" w:rsidRPr="003E76E7" w:rsidRDefault="00A04BD1" w:rsidP="00C4292D">
            <w:pPr>
              <w:spacing w:before="0" w:after="0"/>
              <w:jc w:val="right"/>
              <w:rPr>
                <w:rFonts w:ascii="Arial" w:hAnsi="Arial"/>
                <w:b/>
                <w:bCs/>
                <w:sz w:val="16"/>
                <w:szCs w:val="16"/>
                <w:lang w:val="en-AU"/>
              </w:rPr>
            </w:pPr>
          </w:p>
        </w:tc>
      </w:tr>
      <w:tr w:rsidR="00A04BD1" w:rsidRPr="003E76E7" w14:paraId="683F3772" w14:textId="77777777" w:rsidTr="0087640C">
        <w:trPr>
          <w:trHeight w:val="238"/>
        </w:trPr>
        <w:tc>
          <w:tcPr>
            <w:tcW w:w="247" w:type="dxa"/>
            <w:tcBorders>
              <w:top w:val="nil"/>
              <w:left w:val="nil"/>
              <w:right w:val="single" w:sz="4" w:space="0" w:color="auto"/>
            </w:tcBorders>
            <w:hideMark/>
          </w:tcPr>
          <w:p w14:paraId="09EB56D7" w14:textId="77777777" w:rsidR="00A04BD1" w:rsidRPr="003E76E7" w:rsidRDefault="00A04BD1" w:rsidP="00C4292D">
            <w:pPr>
              <w:spacing w:before="0" w:after="0"/>
              <w:jc w:val="center"/>
              <w:rPr>
                <w:rFonts w:ascii="Arial" w:hAnsi="Arial"/>
                <w:sz w:val="16"/>
                <w:szCs w:val="16"/>
                <w:lang w:val="en-AU"/>
              </w:rPr>
            </w:pPr>
          </w:p>
        </w:tc>
        <w:tc>
          <w:tcPr>
            <w:tcW w:w="2569" w:type="dxa"/>
            <w:noWrap/>
            <w:vAlign w:val="bottom"/>
            <w:hideMark/>
          </w:tcPr>
          <w:p w14:paraId="246F314D" w14:textId="77777777" w:rsidR="00A04BD1" w:rsidRPr="003E76E7" w:rsidRDefault="00A04BD1" w:rsidP="00C4292D">
            <w:pPr>
              <w:spacing w:before="0" w:after="0"/>
              <w:rPr>
                <w:rFonts w:ascii="Arial" w:hAnsi="Arial"/>
                <w:sz w:val="16"/>
                <w:szCs w:val="16"/>
                <w:lang w:val="en-AU"/>
              </w:rPr>
            </w:pPr>
            <w:r w:rsidRPr="003E76E7">
              <w:rPr>
                <w:rFonts w:ascii="Arial" w:hAnsi="Arial"/>
                <w:sz w:val="16"/>
                <w:szCs w:val="16"/>
                <w:lang w:val="en-AU"/>
              </w:rPr>
              <w:t>APS</w:t>
            </w:r>
          </w:p>
        </w:tc>
        <w:tc>
          <w:tcPr>
            <w:tcW w:w="1148" w:type="dxa"/>
            <w:tcBorders>
              <w:top w:val="nil"/>
              <w:right w:val="single" w:sz="4" w:space="0" w:color="E7E6E6"/>
            </w:tcBorders>
            <w:shd w:val="clear" w:color="auto" w:fill="FFFFFF"/>
            <w:noWrap/>
            <w:vAlign w:val="bottom"/>
          </w:tcPr>
          <w:p w14:paraId="58C31D7B" w14:textId="1AA22851" w:rsidR="00A04BD1" w:rsidRPr="003E76E7" w:rsidRDefault="00A04BD1" w:rsidP="00C4292D">
            <w:pPr>
              <w:spacing w:before="0" w:after="0"/>
              <w:jc w:val="right"/>
              <w:rPr>
                <w:rFonts w:ascii="Arial" w:hAnsi="Arial"/>
                <w:sz w:val="15"/>
                <w:szCs w:val="15"/>
                <w:lang w:val="en-AU"/>
              </w:rPr>
            </w:pPr>
            <w:r w:rsidRPr="003E76E7">
              <w:rPr>
                <w:rFonts w:ascii="Arial" w:hAnsi="Arial"/>
                <w:sz w:val="16"/>
                <w:szCs w:val="16"/>
                <w:lang w:val="en-AU"/>
              </w:rPr>
              <w:t>19,786</w:t>
            </w:r>
          </w:p>
        </w:tc>
        <w:tc>
          <w:tcPr>
            <w:tcW w:w="1149" w:type="dxa"/>
            <w:vMerge/>
            <w:tcBorders>
              <w:left w:val="single" w:sz="4" w:space="0" w:color="E7E6E6"/>
              <w:bottom w:val="single" w:sz="4" w:space="0" w:color="E7E6E6"/>
              <w:right w:val="single" w:sz="4" w:space="0" w:color="E7E6E6"/>
            </w:tcBorders>
            <w:shd w:val="clear" w:color="auto" w:fill="E6E6E6"/>
            <w:noWrap/>
            <w:vAlign w:val="bottom"/>
          </w:tcPr>
          <w:p w14:paraId="504ECE9A" w14:textId="77777777" w:rsidR="00A04BD1" w:rsidRPr="003E76E7" w:rsidRDefault="00A04BD1" w:rsidP="00C4292D">
            <w:pPr>
              <w:spacing w:before="0" w:after="0"/>
              <w:jc w:val="right"/>
              <w:rPr>
                <w:rFonts w:ascii="Arial" w:hAnsi="Arial"/>
                <w:b/>
                <w:bCs/>
                <w:sz w:val="15"/>
                <w:szCs w:val="15"/>
                <w:lang w:val="en-AU"/>
              </w:rPr>
            </w:pPr>
          </w:p>
        </w:tc>
        <w:tc>
          <w:tcPr>
            <w:tcW w:w="1149" w:type="dxa"/>
            <w:tcBorders>
              <w:left w:val="single" w:sz="4" w:space="0" w:color="E7E6E6"/>
            </w:tcBorders>
            <w:shd w:val="clear" w:color="auto" w:fill="FFFFFF"/>
            <w:noWrap/>
            <w:vAlign w:val="bottom"/>
          </w:tcPr>
          <w:p w14:paraId="7A58B864" w14:textId="59F16066" w:rsidR="00A04BD1" w:rsidRPr="003E76E7" w:rsidRDefault="00A04BD1" w:rsidP="00C4292D">
            <w:pPr>
              <w:spacing w:before="0" w:after="0"/>
              <w:jc w:val="right"/>
              <w:rPr>
                <w:rFonts w:ascii="Arial" w:hAnsi="Arial"/>
                <w:b/>
                <w:bCs/>
                <w:sz w:val="15"/>
                <w:szCs w:val="15"/>
                <w:lang w:val="en-AU"/>
              </w:rPr>
            </w:pPr>
            <w:r w:rsidRPr="003E76E7">
              <w:rPr>
                <w:rFonts w:ascii="Arial" w:hAnsi="Arial"/>
                <w:sz w:val="16"/>
                <w:szCs w:val="16"/>
                <w:lang w:val="en-AU"/>
              </w:rPr>
              <w:t>20,167</w:t>
            </w:r>
          </w:p>
        </w:tc>
        <w:tc>
          <w:tcPr>
            <w:tcW w:w="1149" w:type="dxa"/>
            <w:shd w:val="clear" w:color="auto" w:fill="FFFFFF"/>
            <w:noWrap/>
            <w:vAlign w:val="bottom"/>
          </w:tcPr>
          <w:p w14:paraId="38A6DB5A" w14:textId="1C0C1301" w:rsidR="00A04BD1" w:rsidRPr="003E76E7" w:rsidRDefault="00A04BD1" w:rsidP="00C4292D">
            <w:pPr>
              <w:spacing w:before="0" w:after="0"/>
              <w:jc w:val="right"/>
              <w:rPr>
                <w:rFonts w:ascii="Arial" w:hAnsi="Arial"/>
                <w:bCs/>
                <w:sz w:val="15"/>
                <w:szCs w:val="15"/>
                <w:lang w:val="en-AU"/>
              </w:rPr>
            </w:pPr>
            <w:r w:rsidRPr="003E76E7">
              <w:rPr>
                <w:rFonts w:ascii="Arial" w:hAnsi="Arial"/>
                <w:sz w:val="16"/>
                <w:szCs w:val="16"/>
                <w:lang w:val="en-AU"/>
              </w:rPr>
              <w:t>20,167</w:t>
            </w:r>
          </w:p>
        </w:tc>
        <w:tc>
          <w:tcPr>
            <w:tcW w:w="1149" w:type="dxa"/>
            <w:shd w:val="clear" w:color="auto" w:fill="FFFFFF"/>
            <w:noWrap/>
            <w:vAlign w:val="bottom"/>
          </w:tcPr>
          <w:p w14:paraId="7439CB75" w14:textId="1641E110" w:rsidR="00A04BD1" w:rsidRPr="003E76E7" w:rsidRDefault="00A04BD1" w:rsidP="00C4292D">
            <w:pPr>
              <w:spacing w:before="0" w:after="0"/>
              <w:jc w:val="right"/>
              <w:rPr>
                <w:rFonts w:ascii="Arial" w:hAnsi="Arial"/>
                <w:bCs/>
                <w:sz w:val="15"/>
                <w:szCs w:val="15"/>
                <w:lang w:val="en-AU"/>
              </w:rPr>
            </w:pPr>
            <w:r w:rsidRPr="003E76E7">
              <w:rPr>
                <w:rFonts w:ascii="Arial" w:hAnsi="Arial"/>
                <w:bCs/>
                <w:sz w:val="16"/>
                <w:szCs w:val="16"/>
                <w:lang w:val="en-AU"/>
              </w:rPr>
              <w:t>20,170</w:t>
            </w:r>
          </w:p>
        </w:tc>
      </w:tr>
      <w:tr w:rsidR="00A04BD1" w:rsidRPr="003E76E7" w14:paraId="34924C9F" w14:textId="77777777" w:rsidTr="0087640C">
        <w:trPr>
          <w:trHeight w:val="238"/>
        </w:trPr>
        <w:tc>
          <w:tcPr>
            <w:tcW w:w="247" w:type="dxa"/>
            <w:tcBorders>
              <w:left w:val="nil"/>
              <w:bottom w:val="single" w:sz="4" w:space="0" w:color="auto"/>
              <w:right w:val="single" w:sz="4" w:space="0" w:color="auto"/>
            </w:tcBorders>
            <w:shd w:val="clear" w:color="auto" w:fill="E6E6E6"/>
            <w:vAlign w:val="bottom"/>
            <w:hideMark/>
          </w:tcPr>
          <w:p w14:paraId="5C3EF8A3" w14:textId="77777777" w:rsidR="00A04BD1" w:rsidRPr="003E76E7" w:rsidRDefault="00A04BD1" w:rsidP="00C4292D">
            <w:pPr>
              <w:spacing w:before="0" w:after="0"/>
              <w:jc w:val="center"/>
              <w:rPr>
                <w:rFonts w:ascii="Arial" w:hAnsi="Arial"/>
                <w:b/>
                <w:sz w:val="16"/>
                <w:szCs w:val="16"/>
                <w:lang w:val="en-AU"/>
              </w:rPr>
            </w:pPr>
            <w:r w:rsidRPr="003E76E7">
              <w:rPr>
                <w:rFonts w:ascii="Arial" w:hAnsi="Arial"/>
                <w:b/>
                <w:sz w:val="16"/>
                <w:szCs w:val="16"/>
                <w:lang w:val="en-AU"/>
              </w:rPr>
              <w:t>2</w:t>
            </w:r>
          </w:p>
        </w:tc>
        <w:tc>
          <w:tcPr>
            <w:tcW w:w="2569" w:type="dxa"/>
            <w:tcBorders>
              <w:left w:val="nil"/>
              <w:bottom w:val="single" w:sz="4" w:space="0" w:color="auto"/>
              <w:right w:val="nil"/>
            </w:tcBorders>
            <w:shd w:val="clear" w:color="auto" w:fill="E6E6E6"/>
            <w:noWrap/>
            <w:vAlign w:val="bottom"/>
            <w:hideMark/>
          </w:tcPr>
          <w:p w14:paraId="76D57874" w14:textId="77777777" w:rsidR="00A04BD1" w:rsidRPr="003E76E7" w:rsidRDefault="00A04BD1" w:rsidP="00C4292D">
            <w:pPr>
              <w:spacing w:before="0" w:after="0"/>
              <w:rPr>
                <w:rFonts w:ascii="Arial" w:hAnsi="Arial"/>
                <w:b/>
                <w:bCs/>
                <w:sz w:val="16"/>
                <w:szCs w:val="16"/>
                <w:lang w:val="en-AU"/>
              </w:rPr>
            </w:pPr>
            <w:r w:rsidRPr="003E76E7">
              <w:rPr>
                <w:rFonts w:ascii="Arial" w:hAnsi="Arial"/>
                <w:b/>
                <w:bCs/>
                <w:sz w:val="16"/>
                <w:szCs w:val="16"/>
                <w:lang w:val="en-AU"/>
              </w:rPr>
              <w:t>Total Civilian Employees</w:t>
            </w:r>
          </w:p>
        </w:tc>
        <w:tc>
          <w:tcPr>
            <w:tcW w:w="1148" w:type="dxa"/>
            <w:tcBorders>
              <w:bottom w:val="single" w:sz="4" w:space="0" w:color="auto"/>
              <w:right w:val="single" w:sz="4" w:space="0" w:color="E7E6E6"/>
            </w:tcBorders>
            <w:shd w:val="clear" w:color="auto" w:fill="E6E6E6"/>
            <w:noWrap/>
            <w:vAlign w:val="bottom"/>
          </w:tcPr>
          <w:p w14:paraId="767AE1EA" w14:textId="7863D22A" w:rsidR="00A04BD1" w:rsidRPr="003E76E7" w:rsidRDefault="00A04BD1" w:rsidP="00C4292D">
            <w:pPr>
              <w:spacing w:before="0" w:after="0"/>
              <w:jc w:val="right"/>
              <w:rPr>
                <w:rFonts w:ascii="Arial" w:hAnsi="Arial"/>
                <w:b/>
                <w:bCs/>
                <w:sz w:val="15"/>
                <w:szCs w:val="15"/>
                <w:lang w:val="en-AU"/>
              </w:rPr>
            </w:pPr>
            <w:r w:rsidRPr="003E76E7">
              <w:rPr>
                <w:rFonts w:ascii="Arial" w:hAnsi="Arial"/>
                <w:b/>
                <w:bCs/>
                <w:sz w:val="16"/>
                <w:szCs w:val="16"/>
                <w:lang w:val="en-AU"/>
              </w:rPr>
              <w:t>19,786</w:t>
            </w:r>
          </w:p>
        </w:tc>
        <w:tc>
          <w:tcPr>
            <w:tcW w:w="1149" w:type="dxa"/>
            <w:tcBorders>
              <w:top w:val="single" w:sz="4" w:space="0" w:color="E7E6E6"/>
              <w:left w:val="single" w:sz="4" w:space="0" w:color="E7E6E6"/>
              <w:bottom w:val="single" w:sz="4" w:space="0" w:color="auto"/>
              <w:right w:val="single" w:sz="4" w:space="0" w:color="E7E6E6"/>
            </w:tcBorders>
            <w:shd w:val="clear" w:color="auto" w:fill="E6E6E6"/>
            <w:noWrap/>
            <w:vAlign w:val="bottom"/>
          </w:tcPr>
          <w:p w14:paraId="6339BDE0" w14:textId="28828DAB" w:rsidR="00A04BD1" w:rsidRPr="003E76E7" w:rsidRDefault="00A04BD1" w:rsidP="00C4292D">
            <w:pPr>
              <w:spacing w:before="0" w:after="0"/>
              <w:jc w:val="right"/>
              <w:rPr>
                <w:rFonts w:ascii="Arial" w:hAnsi="Arial"/>
                <w:b/>
                <w:bCs/>
                <w:sz w:val="15"/>
                <w:szCs w:val="15"/>
                <w:lang w:val="en-AU"/>
              </w:rPr>
            </w:pPr>
            <w:r w:rsidRPr="003E76E7">
              <w:rPr>
                <w:rFonts w:ascii="Arial" w:hAnsi="Arial"/>
                <w:b/>
                <w:bCs/>
                <w:sz w:val="16"/>
                <w:szCs w:val="16"/>
                <w:lang w:val="en-AU"/>
              </w:rPr>
              <w:t>20,169</w:t>
            </w:r>
          </w:p>
        </w:tc>
        <w:tc>
          <w:tcPr>
            <w:tcW w:w="1149" w:type="dxa"/>
            <w:tcBorders>
              <w:left w:val="single" w:sz="4" w:space="0" w:color="E7E6E6"/>
              <w:bottom w:val="single" w:sz="4" w:space="0" w:color="auto"/>
              <w:right w:val="nil"/>
            </w:tcBorders>
            <w:shd w:val="clear" w:color="auto" w:fill="E6E6E6"/>
            <w:noWrap/>
            <w:vAlign w:val="bottom"/>
          </w:tcPr>
          <w:p w14:paraId="39361B8F" w14:textId="3381AF11" w:rsidR="00A04BD1" w:rsidRPr="003E76E7" w:rsidRDefault="00A04BD1" w:rsidP="00C4292D">
            <w:pPr>
              <w:spacing w:before="0" w:after="0"/>
              <w:jc w:val="right"/>
              <w:rPr>
                <w:rFonts w:ascii="Arial" w:hAnsi="Arial"/>
                <w:b/>
                <w:bCs/>
                <w:sz w:val="15"/>
                <w:szCs w:val="15"/>
                <w:lang w:val="en-AU"/>
              </w:rPr>
            </w:pPr>
            <w:r w:rsidRPr="003E76E7">
              <w:rPr>
                <w:rFonts w:ascii="Arial" w:hAnsi="Arial"/>
                <w:b/>
                <w:bCs/>
                <w:sz w:val="16"/>
                <w:szCs w:val="16"/>
                <w:lang w:val="en-AU"/>
              </w:rPr>
              <w:t>20,167</w:t>
            </w:r>
          </w:p>
        </w:tc>
        <w:tc>
          <w:tcPr>
            <w:tcW w:w="1149" w:type="dxa"/>
            <w:tcBorders>
              <w:left w:val="nil"/>
              <w:bottom w:val="single" w:sz="4" w:space="0" w:color="auto"/>
              <w:right w:val="nil"/>
            </w:tcBorders>
            <w:shd w:val="clear" w:color="auto" w:fill="E6E6E6"/>
            <w:noWrap/>
            <w:vAlign w:val="bottom"/>
          </w:tcPr>
          <w:p w14:paraId="6BCC06FA" w14:textId="1125DFC4" w:rsidR="00A04BD1" w:rsidRPr="003E76E7" w:rsidRDefault="00A04BD1" w:rsidP="00C4292D">
            <w:pPr>
              <w:spacing w:before="0" w:after="0"/>
              <w:jc w:val="right"/>
              <w:rPr>
                <w:rFonts w:ascii="Arial" w:hAnsi="Arial"/>
                <w:b/>
                <w:bCs/>
                <w:sz w:val="15"/>
                <w:szCs w:val="15"/>
                <w:lang w:val="en-AU"/>
              </w:rPr>
            </w:pPr>
            <w:r w:rsidRPr="003E76E7">
              <w:rPr>
                <w:rFonts w:ascii="Arial" w:hAnsi="Arial"/>
                <w:b/>
                <w:bCs/>
                <w:sz w:val="16"/>
                <w:szCs w:val="16"/>
                <w:lang w:val="en-AU"/>
              </w:rPr>
              <w:t>20,167</w:t>
            </w:r>
          </w:p>
        </w:tc>
        <w:tc>
          <w:tcPr>
            <w:tcW w:w="1149" w:type="dxa"/>
            <w:tcBorders>
              <w:left w:val="nil"/>
              <w:bottom w:val="single" w:sz="4" w:space="0" w:color="auto"/>
              <w:right w:val="nil"/>
            </w:tcBorders>
            <w:shd w:val="clear" w:color="auto" w:fill="E6E6E6"/>
            <w:noWrap/>
            <w:vAlign w:val="bottom"/>
          </w:tcPr>
          <w:p w14:paraId="0D349059" w14:textId="75062BB4" w:rsidR="00A04BD1" w:rsidRPr="003E76E7" w:rsidRDefault="00A04BD1" w:rsidP="00C4292D">
            <w:pPr>
              <w:spacing w:before="0" w:after="0"/>
              <w:jc w:val="right"/>
              <w:rPr>
                <w:rFonts w:ascii="Arial" w:hAnsi="Arial"/>
                <w:b/>
                <w:bCs/>
                <w:sz w:val="15"/>
                <w:szCs w:val="15"/>
                <w:lang w:val="en-AU"/>
              </w:rPr>
            </w:pPr>
            <w:r w:rsidRPr="003E76E7">
              <w:rPr>
                <w:rFonts w:ascii="Arial" w:hAnsi="Arial"/>
                <w:b/>
                <w:bCs/>
                <w:sz w:val="16"/>
                <w:szCs w:val="16"/>
                <w:lang w:val="en-AU"/>
              </w:rPr>
              <w:t>20,170</w:t>
            </w:r>
          </w:p>
        </w:tc>
      </w:tr>
      <w:tr w:rsidR="00A04BD1" w:rsidRPr="003E76E7" w14:paraId="4C5B2E19" w14:textId="77777777" w:rsidTr="0087640C">
        <w:trPr>
          <w:trHeight w:val="238"/>
        </w:trPr>
        <w:tc>
          <w:tcPr>
            <w:tcW w:w="247" w:type="dxa"/>
            <w:tcBorders>
              <w:top w:val="nil"/>
              <w:left w:val="nil"/>
              <w:bottom w:val="single" w:sz="4" w:space="0" w:color="auto"/>
              <w:right w:val="single" w:sz="4" w:space="0" w:color="auto"/>
            </w:tcBorders>
            <w:hideMark/>
          </w:tcPr>
          <w:p w14:paraId="6B9242A1" w14:textId="77777777" w:rsidR="00A04BD1" w:rsidRPr="003E76E7" w:rsidRDefault="00A04BD1" w:rsidP="00C4292D">
            <w:pPr>
              <w:spacing w:before="0" w:after="0"/>
              <w:jc w:val="center"/>
              <w:rPr>
                <w:rFonts w:ascii="Arial" w:hAnsi="Arial"/>
                <w:sz w:val="16"/>
                <w:szCs w:val="16"/>
                <w:lang w:val="en-AU"/>
              </w:rPr>
            </w:pPr>
          </w:p>
        </w:tc>
        <w:tc>
          <w:tcPr>
            <w:tcW w:w="2569" w:type="dxa"/>
            <w:tcBorders>
              <w:top w:val="nil"/>
              <w:left w:val="nil"/>
              <w:bottom w:val="single" w:sz="4" w:space="0" w:color="auto"/>
              <w:right w:val="nil"/>
            </w:tcBorders>
            <w:noWrap/>
            <w:vAlign w:val="bottom"/>
            <w:hideMark/>
          </w:tcPr>
          <w:p w14:paraId="651316A4" w14:textId="77777777" w:rsidR="00A04BD1" w:rsidRPr="003E76E7" w:rsidRDefault="00A04BD1" w:rsidP="00C4292D">
            <w:pPr>
              <w:spacing w:before="0" w:after="0"/>
              <w:rPr>
                <w:rFonts w:ascii="Arial" w:hAnsi="Arial"/>
                <w:b/>
                <w:bCs/>
                <w:sz w:val="16"/>
                <w:szCs w:val="16"/>
                <w:lang w:val="en-AU"/>
              </w:rPr>
            </w:pPr>
            <w:r w:rsidRPr="003E76E7">
              <w:rPr>
                <w:rFonts w:ascii="Arial" w:hAnsi="Arial"/>
                <w:b/>
                <w:bCs/>
                <w:sz w:val="16"/>
                <w:szCs w:val="16"/>
                <w:lang w:val="en-AU"/>
              </w:rPr>
              <w:t>Total Workforce Strength (1 + 2)</w:t>
            </w:r>
          </w:p>
        </w:tc>
        <w:tc>
          <w:tcPr>
            <w:tcW w:w="1148" w:type="dxa"/>
            <w:tcBorders>
              <w:top w:val="nil"/>
              <w:bottom w:val="single" w:sz="4" w:space="0" w:color="auto"/>
            </w:tcBorders>
            <w:shd w:val="clear" w:color="auto" w:fill="FFFFFF"/>
            <w:noWrap/>
            <w:vAlign w:val="bottom"/>
          </w:tcPr>
          <w:p w14:paraId="28589108" w14:textId="08C79FDD" w:rsidR="00A04BD1" w:rsidRPr="003E76E7" w:rsidRDefault="00A04BD1" w:rsidP="00C4292D">
            <w:pPr>
              <w:spacing w:before="0" w:after="0"/>
              <w:jc w:val="right"/>
              <w:rPr>
                <w:rFonts w:ascii="Arial" w:hAnsi="Arial"/>
                <w:b/>
                <w:bCs/>
                <w:sz w:val="15"/>
                <w:szCs w:val="15"/>
                <w:lang w:val="en-AU"/>
              </w:rPr>
            </w:pPr>
            <w:r w:rsidRPr="003E76E7">
              <w:rPr>
                <w:rFonts w:ascii="Arial" w:hAnsi="Arial"/>
                <w:b/>
                <w:sz w:val="16"/>
                <w:szCs w:val="16"/>
              </w:rPr>
              <w:t>81,497</w:t>
            </w:r>
          </w:p>
        </w:tc>
        <w:tc>
          <w:tcPr>
            <w:tcW w:w="1149" w:type="dxa"/>
            <w:tcBorders>
              <w:top w:val="single" w:sz="4" w:space="0" w:color="auto"/>
              <w:left w:val="nil"/>
              <w:bottom w:val="single" w:sz="4" w:space="0" w:color="auto"/>
              <w:right w:val="nil"/>
            </w:tcBorders>
            <w:shd w:val="clear" w:color="auto" w:fill="E6E6E6"/>
            <w:noWrap/>
            <w:vAlign w:val="bottom"/>
          </w:tcPr>
          <w:p w14:paraId="68C0B89F" w14:textId="6D4CA458" w:rsidR="00A04BD1" w:rsidRPr="003E76E7" w:rsidRDefault="00A04BD1" w:rsidP="00C4292D">
            <w:pPr>
              <w:spacing w:before="0" w:after="0"/>
              <w:jc w:val="right"/>
              <w:rPr>
                <w:rFonts w:ascii="Arial" w:hAnsi="Arial"/>
                <w:b/>
                <w:bCs/>
                <w:sz w:val="15"/>
                <w:szCs w:val="15"/>
                <w:lang w:val="en-AU"/>
              </w:rPr>
            </w:pPr>
            <w:r w:rsidRPr="003E76E7">
              <w:rPr>
                <w:rFonts w:ascii="Arial" w:hAnsi="Arial"/>
                <w:b/>
                <w:sz w:val="16"/>
                <w:szCs w:val="16"/>
              </w:rPr>
              <w:t>83,514</w:t>
            </w:r>
          </w:p>
        </w:tc>
        <w:tc>
          <w:tcPr>
            <w:tcW w:w="1149" w:type="dxa"/>
            <w:tcBorders>
              <w:top w:val="nil"/>
              <w:left w:val="nil"/>
              <w:bottom w:val="single" w:sz="4" w:space="0" w:color="auto"/>
              <w:right w:val="nil"/>
            </w:tcBorders>
            <w:shd w:val="clear" w:color="auto" w:fill="FFFFFF"/>
            <w:noWrap/>
            <w:vAlign w:val="bottom"/>
          </w:tcPr>
          <w:p w14:paraId="44778800" w14:textId="3049B39D" w:rsidR="00A04BD1" w:rsidRPr="003E76E7" w:rsidRDefault="00A04BD1" w:rsidP="00C4292D">
            <w:pPr>
              <w:spacing w:before="0" w:after="0"/>
              <w:jc w:val="right"/>
              <w:rPr>
                <w:rFonts w:ascii="Arial" w:hAnsi="Arial"/>
                <w:b/>
                <w:bCs/>
                <w:sz w:val="15"/>
                <w:szCs w:val="15"/>
                <w:lang w:val="en-AU"/>
              </w:rPr>
            </w:pPr>
            <w:r w:rsidRPr="003E76E7">
              <w:rPr>
                <w:rFonts w:ascii="Arial" w:hAnsi="Arial"/>
                <w:b/>
                <w:sz w:val="16"/>
                <w:szCs w:val="16"/>
              </w:rPr>
              <w:t>85,009</w:t>
            </w:r>
          </w:p>
        </w:tc>
        <w:tc>
          <w:tcPr>
            <w:tcW w:w="1149" w:type="dxa"/>
            <w:tcBorders>
              <w:top w:val="nil"/>
              <w:left w:val="nil"/>
              <w:bottom w:val="single" w:sz="4" w:space="0" w:color="auto"/>
              <w:right w:val="nil"/>
            </w:tcBorders>
            <w:shd w:val="clear" w:color="auto" w:fill="FFFFFF"/>
            <w:noWrap/>
            <w:vAlign w:val="bottom"/>
          </w:tcPr>
          <w:p w14:paraId="38A9327B" w14:textId="167C5A64" w:rsidR="00A04BD1" w:rsidRPr="003E76E7" w:rsidRDefault="004D41C2" w:rsidP="00C4292D">
            <w:pPr>
              <w:spacing w:before="0" w:after="0"/>
              <w:jc w:val="right"/>
              <w:rPr>
                <w:rFonts w:ascii="Arial" w:hAnsi="Arial"/>
                <w:b/>
                <w:bCs/>
                <w:sz w:val="15"/>
                <w:szCs w:val="15"/>
                <w:lang w:val="en-AU"/>
              </w:rPr>
            </w:pPr>
            <w:r w:rsidRPr="003E76E7">
              <w:rPr>
                <w:rFonts w:ascii="Arial" w:hAnsi="Arial"/>
                <w:b/>
                <w:sz w:val="16"/>
                <w:szCs w:val="16"/>
              </w:rPr>
              <w:t>86,180</w:t>
            </w:r>
          </w:p>
        </w:tc>
        <w:tc>
          <w:tcPr>
            <w:tcW w:w="1149" w:type="dxa"/>
            <w:tcBorders>
              <w:top w:val="nil"/>
              <w:left w:val="nil"/>
              <w:bottom w:val="single" w:sz="4" w:space="0" w:color="auto"/>
              <w:right w:val="nil"/>
            </w:tcBorders>
            <w:shd w:val="clear" w:color="auto" w:fill="FFFFFF"/>
            <w:noWrap/>
            <w:vAlign w:val="bottom"/>
          </w:tcPr>
          <w:p w14:paraId="4E02614A" w14:textId="3BA46553" w:rsidR="00A04BD1" w:rsidRPr="003E76E7" w:rsidRDefault="00A04BD1" w:rsidP="00C4292D">
            <w:pPr>
              <w:spacing w:before="0" w:after="0"/>
              <w:jc w:val="right"/>
              <w:rPr>
                <w:rFonts w:ascii="Arial" w:hAnsi="Arial"/>
                <w:b/>
                <w:bCs/>
                <w:sz w:val="15"/>
                <w:szCs w:val="15"/>
                <w:lang w:val="en-AU"/>
              </w:rPr>
            </w:pPr>
            <w:r w:rsidRPr="003E76E7">
              <w:rPr>
                <w:rFonts w:ascii="Arial" w:hAnsi="Arial"/>
                <w:b/>
                <w:sz w:val="16"/>
                <w:szCs w:val="16"/>
              </w:rPr>
              <w:t>87,636</w:t>
            </w:r>
          </w:p>
        </w:tc>
      </w:tr>
    </w:tbl>
    <w:p w14:paraId="7B941994" w14:textId="77777777" w:rsidR="00CD4663" w:rsidRPr="003E76E7" w:rsidRDefault="00CD4663" w:rsidP="00C4292D">
      <w:pPr>
        <w:spacing w:after="0"/>
        <w:rPr>
          <w:rFonts w:ascii="Arial" w:hAnsi="Arial"/>
          <w:b/>
          <w:sz w:val="14"/>
          <w:szCs w:val="14"/>
          <w:lang w:val="en-AU"/>
        </w:rPr>
      </w:pPr>
      <w:r w:rsidRPr="003E76E7">
        <w:rPr>
          <w:rFonts w:ascii="Arial" w:hAnsi="Arial"/>
          <w:b/>
          <w:sz w:val="14"/>
          <w:szCs w:val="14"/>
          <w:lang w:val="en-AU"/>
        </w:rPr>
        <w:t>Notes</w:t>
      </w:r>
    </w:p>
    <w:p w14:paraId="3C35A229" w14:textId="77777777" w:rsidR="00232C21" w:rsidRPr="003E76E7" w:rsidRDefault="00232C21" w:rsidP="00C4292D">
      <w:pPr>
        <w:numPr>
          <w:ilvl w:val="0"/>
          <w:numId w:val="54"/>
        </w:numPr>
        <w:tabs>
          <w:tab w:val="left" w:pos="284"/>
        </w:tabs>
        <w:spacing w:before="0" w:after="0"/>
        <w:ind w:hanging="720"/>
        <w:rPr>
          <w:rFonts w:ascii="Arial" w:hAnsi="Arial"/>
          <w:sz w:val="14"/>
        </w:rPr>
      </w:pPr>
      <w:r w:rsidRPr="003E76E7">
        <w:rPr>
          <w:rFonts w:ascii="Arial" w:hAnsi="Arial"/>
          <w:sz w:val="14"/>
        </w:rPr>
        <w:t>All numbers for the permanent and full-time workforce elements represent average full-time equivalents.</w:t>
      </w:r>
    </w:p>
    <w:p w14:paraId="709AD8E1" w14:textId="77777777" w:rsidR="00232C21" w:rsidRPr="003E76E7" w:rsidRDefault="00232C21" w:rsidP="00C4292D">
      <w:pPr>
        <w:numPr>
          <w:ilvl w:val="0"/>
          <w:numId w:val="54"/>
        </w:numPr>
        <w:tabs>
          <w:tab w:val="left" w:pos="284"/>
        </w:tabs>
        <w:spacing w:before="0" w:after="0"/>
        <w:ind w:left="284" w:hanging="284"/>
        <w:rPr>
          <w:rFonts w:ascii="Arial" w:hAnsi="Arial"/>
          <w:sz w:val="14"/>
        </w:rPr>
      </w:pPr>
      <w:r w:rsidRPr="003E76E7">
        <w:rPr>
          <w:rFonts w:ascii="Arial" w:hAnsi="Arial"/>
          <w:sz w:val="14"/>
        </w:rPr>
        <w:t>Revised and Forward Estimates reflect the budgeted workforce requirements for ADF and approved Government budgeted allocations for APS.</w:t>
      </w:r>
    </w:p>
    <w:p w14:paraId="7F7F35B5" w14:textId="77777777" w:rsidR="00232C21" w:rsidRPr="003E76E7" w:rsidRDefault="00232C21" w:rsidP="00C4292D">
      <w:pPr>
        <w:numPr>
          <w:ilvl w:val="0"/>
          <w:numId w:val="54"/>
        </w:numPr>
        <w:tabs>
          <w:tab w:val="left" w:pos="284"/>
        </w:tabs>
        <w:spacing w:before="0" w:after="0"/>
        <w:ind w:left="284" w:hanging="284"/>
        <w:rPr>
          <w:rFonts w:ascii="Arial" w:hAnsi="Arial"/>
          <w:sz w:val="14"/>
        </w:rPr>
      </w:pPr>
      <w:r w:rsidRPr="003E76E7">
        <w:rPr>
          <w:rFonts w:ascii="Arial" w:hAnsi="Arial"/>
          <w:sz w:val="14"/>
        </w:rPr>
        <w:t>The budgeted workforce requirement will be reviewed with each PB Statements and PAES.</w:t>
      </w:r>
    </w:p>
    <w:p w14:paraId="26E81F4B" w14:textId="697EEF76" w:rsidR="00C20229" w:rsidRPr="003E76E7" w:rsidRDefault="00C20229" w:rsidP="00C4292D">
      <w:pPr>
        <w:spacing w:before="0" w:after="0"/>
        <w:rPr>
          <w:rFonts w:ascii="Arial" w:hAnsi="Arial"/>
          <w:sz w:val="16"/>
          <w:lang w:val="en-AU"/>
        </w:rPr>
      </w:pPr>
    </w:p>
    <w:p w14:paraId="32054256" w14:textId="7B9EBDFB" w:rsidR="00C4774C" w:rsidRPr="003E76E7" w:rsidRDefault="00AA6BF6" w:rsidP="00C4292D">
      <w:pPr>
        <w:pStyle w:val="TableHeading"/>
        <w:numPr>
          <w:ilvl w:val="0"/>
          <w:numId w:val="61"/>
        </w:numPr>
        <w:spacing w:before="100"/>
        <w:ind w:left="0" w:firstLine="0"/>
        <w:outlineLvl w:val="4"/>
        <w:rPr>
          <w:vertAlign w:val="superscript"/>
          <w:lang w:val="en-AU"/>
        </w:rPr>
      </w:pPr>
      <w:r w:rsidRPr="003E76E7">
        <w:rPr>
          <w:lang w:val="en-AU"/>
        </w:rPr>
        <w:t xml:space="preserve">Planned Workforce Allocation for the </w:t>
      </w:r>
      <w:r w:rsidR="002F404A" w:rsidRPr="003E76E7">
        <w:rPr>
          <w:lang w:val="en-AU"/>
        </w:rPr>
        <w:t>202</w:t>
      </w:r>
      <w:r w:rsidR="00BF60DE" w:rsidRPr="003E76E7">
        <w:rPr>
          <w:lang w:val="en-AU"/>
        </w:rPr>
        <w:t>6</w:t>
      </w:r>
      <w:r w:rsidR="002F404A" w:rsidRPr="003E76E7">
        <w:rPr>
          <w:lang w:val="en-AU"/>
        </w:rPr>
        <w:t>-2</w:t>
      </w:r>
      <w:r w:rsidR="00BF60DE" w:rsidRPr="003E76E7">
        <w:rPr>
          <w:lang w:val="en-AU"/>
        </w:rPr>
        <w:t>7</w:t>
      </w:r>
      <w:r w:rsidRPr="003E76E7">
        <w:rPr>
          <w:lang w:val="en-AU"/>
        </w:rPr>
        <w:t xml:space="preserve"> Budget and Forward Estimates</w:t>
      </w:r>
      <w:r w:rsidR="00867A03" w:rsidRPr="003E76E7">
        <w:rPr>
          <w:lang w:val="en-AU"/>
        </w:rPr>
        <w:t xml:space="preserve"> - </w:t>
      </w:r>
      <w:r w:rsidRPr="003E76E7">
        <w:rPr>
          <w:lang w:val="en-AU"/>
        </w:rPr>
        <w:t>Reserve (Service Categories 3, 4 and 5)</w:t>
      </w:r>
      <w:r w:rsidR="003B4294" w:rsidRPr="003E76E7">
        <w:rPr>
          <w:vertAlign w:val="superscript"/>
          <w:lang w:val="en-AU"/>
        </w:rPr>
        <w:t xml:space="preserve"> [</w:t>
      </w:r>
      <w:r w:rsidR="00CF2884" w:rsidRPr="003E76E7">
        <w:rPr>
          <w:vertAlign w:val="superscript"/>
          <w:lang w:val="en-AU"/>
        </w:rPr>
        <w:t>a</w:t>
      </w:r>
      <w:r w:rsidR="008D1525" w:rsidRPr="003E76E7">
        <w:rPr>
          <w:vertAlign w:val="superscript"/>
          <w:lang w:val="en-AU"/>
        </w:rPr>
        <w:t>]</w:t>
      </w:r>
      <w:r w:rsidR="007C5D4F" w:rsidRPr="003E76E7">
        <w:rPr>
          <w:vertAlign w:val="superscript"/>
          <w:lang w:val="en-AU"/>
        </w:rPr>
        <w:t xml:space="preserve"> </w:t>
      </w:r>
      <w:r w:rsidR="008D1525" w:rsidRPr="003E76E7">
        <w:rPr>
          <w:vertAlign w:val="superscript"/>
          <w:lang w:val="en-AU"/>
        </w:rPr>
        <w:t>[</w:t>
      </w:r>
      <w:r w:rsidR="00CF2884" w:rsidRPr="003E76E7">
        <w:rPr>
          <w:vertAlign w:val="superscript"/>
          <w:lang w:val="en-AU"/>
        </w:rPr>
        <w:t>b</w:t>
      </w:r>
      <w:r w:rsidR="008D1525" w:rsidRPr="003E76E7">
        <w:rPr>
          <w:vertAlign w:val="superscript"/>
          <w:lang w:val="en-AU"/>
        </w:rPr>
        <w:t>]</w:t>
      </w:r>
      <w:r w:rsidR="003A015A" w:rsidRPr="003E76E7">
        <w:rPr>
          <w:vertAlign w:val="superscript"/>
          <w:lang w:val="en-AU"/>
        </w:rPr>
        <w:t xml:space="preserve"> [c]</w:t>
      </w:r>
    </w:p>
    <w:tbl>
      <w:tblPr>
        <w:tblW w:w="4937" w:type="pct"/>
        <w:tblInd w:w="113" w:type="dxa"/>
        <w:tblLayout w:type="fixed"/>
        <w:tblLook w:val="04A0" w:firstRow="1" w:lastRow="0" w:firstColumn="1" w:lastColumn="0" w:noHBand="0" w:noVBand="1"/>
      </w:tblPr>
      <w:tblGrid>
        <w:gridCol w:w="345"/>
        <w:gridCol w:w="2519"/>
        <w:gridCol w:w="1012"/>
        <w:gridCol w:w="1158"/>
        <w:gridCol w:w="1158"/>
        <w:gridCol w:w="1158"/>
        <w:gridCol w:w="1158"/>
      </w:tblGrid>
      <w:tr w:rsidR="003A20B0" w:rsidRPr="003E76E7" w14:paraId="367E2EB7" w14:textId="77777777" w:rsidTr="0087640C">
        <w:trPr>
          <w:trHeight w:val="604"/>
        </w:trPr>
        <w:tc>
          <w:tcPr>
            <w:tcW w:w="345" w:type="dxa"/>
            <w:tcBorders>
              <w:top w:val="single" w:sz="4" w:space="0" w:color="auto"/>
              <w:left w:val="nil"/>
              <w:bottom w:val="single" w:sz="4" w:space="0" w:color="auto"/>
              <w:right w:val="single" w:sz="4" w:space="0" w:color="auto"/>
            </w:tcBorders>
            <w:vAlign w:val="center"/>
            <w:hideMark/>
          </w:tcPr>
          <w:p w14:paraId="0ECE98AA" w14:textId="77777777" w:rsidR="00C765C8" w:rsidRPr="003E76E7" w:rsidRDefault="00C765C8" w:rsidP="00C4292D">
            <w:pPr>
              <w:spacing w:before="0" w:after="0"/>
              <w:jc w:val="center"/>
              <w:rPr>
                <w:rFonts w:ascii="Arial" w:hAnsi="Arial"/>
                <w:sz w:val="16"/>
                <w:szCs w:val="16"/>
                <w:lang w:val="en-AU"/>
              </w:rPr>
            </w:pPr>
          </w:p>
        </w:tc>
        <w:tc>
          <w:tcPr>
            <w:tcW w:w="2519" w:type="dxa"/>
            <w:tcBorders>
              <w:top w:val="single" w:sz="4" w:space="0" w:color="auto"/>
              <w:left w:val="nil"/>
              <w:bottom w:val="single" w:sz="4" w:space="0" w:color="auto"/>
              <w:right w:val="nil"/>
            </w:tcBorders>
            <w:vAlign w:val="center"/>
            <w:hideMark/>
          </w:tcPr>
          <w:p w14:paraId="26C366CF" w14:textId="77777777" w:rsidR="00C765C8" w:rsidRPr="003E76E7" w:rsidRDefault="00C765C8" w:rsidP="00C4292D">
            <w:pPr>
              <w:spacing w:before="0" w:after="0"/>
              <w:rPr>
                <w:rFonts w:ascii="Arial" w:hAnsi="Arial"/>
                <w:b/>
                <w:bCs/>
                <w:sz w:val="16"/>
                <w:szCs w:val="16"/>
                <w:lang w:val="en-AU"/>
              </w:rPr>
            </w:pPr>
          </w:p>
        </w:tc>
        <w:tc>
          <w:tcPr>
            <w:tcW w:w="1012" w:type="dxa"/>
            <w:tcBorders>
              <w:top w:val="single" w:sz="4" w:space="0" w:color="auto"/>
              <w:left w:val="nil"/>
              <w:bottom w:val="single" w:sz="4" w:space="0" w:color="auto"/>
            </w:tcBorders>
            <w:vAlign w:val="bottom"/>
            <w:hideMark/>
          </w:tcPr>
          <w:p w14:paraId="314BDDC1" w14:textId="3D2098D3" w:rsidR="006D0B28" w:rsidRPr="003E76E7" w:rsidRDefault="006D0B28" w:rsidP="00C4292D">
            <w:pPr>
              <w:spacing w:before="0" w:after="0"/>
              <w:jc w:val="right"/>
              <w:rPr>
                <w:rFonts w:ascii="Arial" w:hAnsi="Arial"/>
                <w:b/>
                <w:bCs/>
                <w:sz w:val="15"/>
                <w:szCs w:val="15"/>
                <w:lang w:val="en-AU"/>
              </w:rPr>
            </w:pPr>
            <w:r w:rsidRPr="003E76E7">
              <w:rPr>
                <w:rFonts w:ascii="Arial" w:hAnsi="Arial"/>
                <w:b/>
                <w:bCs/>
                <w:sz w:val="15"/>
                <w:szCs w:val="15"/>
                <w:lang w:val="en-AU"/>
              </w:rPr>
              <w:t>202</w:t>
            </w:r>
            <w:r w:rsidR="00BF60DE" w:rsidRPr="003E76E7">
              <w:rPr>
                <w:rFonts w:ascii="Arial" w:hAnsi="Arial"/>
                <w:b/>
                <w:bCs/>
                <w:sz w:val="15"/>
                <w:szCs w:val="15"/>
                <w:lang w:val="en-AU"/>
              </w:rPr>
              <w:t>5</w:t>
            </w:r>
            <w:r w:rsidRPr="003E76E7">
              <w:rPr>
                <w:rFonts w:ascii="Arial" w:hAnsi="Arial"/>
                <w:b/>
                <w:bCs/>
                <w:sz w:val="15"/>
                <w:szCs w:val="15"/>
                <w:lang w:val="en-AU"/>
              </w:rPr>
              <w:t>-2</w:t>
            </w:r>
            <w:r w:rsidR="00BF60DE" w:rsidRPr="003E76E7">
              <w:rPr>
                <w:rFonts w:ascii="Arial" w:hAnsi="Arial"/>
                <w:b/>
                <w:bCs/>
                <w:sz w:val="15"/>
                <w:szCs w:val="15"/>
                <w:lang w:val="en-AU"/>
              </w:rPr>
              <w:t>6</w:t>
            </w:r>
          </w:p>
          <w:p w14:paraId="0D4D4D08" w14:textId="77777777" w:rsidR="003A20B0" w:rsidRPr="003E76E7" w:rsidRDefault="006D0B28" w:rsidP="00C4292D">
            <w:pPr>
              <w:spacing w:before="0" w:after="0"/>
              <w:jc w:val="right"/>
              <w:rPr>
                <w:rFonts w:ascii="Arial" w:hAnsi="Arial"/>
                <w:b/>
                <w:bCs/>
                <w:sz w:val="15"/>
                <w:szCs w:val="15"/>
                <w:lang w:val="en-AU"/>
              </w:rPr>
            </w:pPr>
            <w:r w:rsidRPr="003E76E7">
              <w:rPr>
                <w:rFonts w:ascii="Arial" w:hAnsi="Arial"/>
                <w:b/>
                <w:bCs/>
                <w:sz w:val="15"/>
                <w:szCs w:val="15"/>
                <w:lang w:val="en-AU"/>
              </w:rPr>
              <w:t>Estimated</w:t>
            </w:r>
          </w:p>
          <w:p w14:paraId="468704B0" w14:textId="2693A268" w:rsidR="00C765C8" w:rsidRPr="003E76E7" w:rsidRDefault="006D0B28" w:rsidP="00C4292D">
            <w:pPr>
              <w:spacing w:before="0" w:after="0"/>
              <w:jc w:val="right"/>
              <w:rPr>
                <w:rFonts w:ascii="Arial" w:hAnsi="Arial"/>
                <w:b/>
                <w:bCs/>
                <w:sz w:val="15"/>
                <w:szCs w:val="15"/>
                <w:lang w:val="en-AU"/>
              </w:rPr>
            </w:pPr>
            <w:r w:rsidRPr="003E76E7">
              <w:rPr>
                <w:rFonts w:ascii="Arial" w:hAnsi="Arial"/>
                <w:b/>
                <w:bCs/>
                <w:sz w:val="15"/>
                <w:szCs w:val="15"/>
                <w:lang w:val="en-AU"/>
              </w:rPr>
              <w:t>Actual</w:t>
            </w:r>
          </w:p>
        </w:tc>
        <w:tc>
          <w:tcPr>
            <w:tcW w:w="1158" w:type="dxa"/>
            <w:tcBorders>
              <w:top w:val="single" w:sz="4" w:space="0" w:color="auto"/>
              <w:bottom w:val="single" w:sz="4" w:space="0" w:color="auto"/>
            </w:tcBorders>
            <w:shd w:val="clear" w:color="auto" w:fill="E6E6E6"/>
            <w:vAlign w:val="bottom"/>
            <w:hideMark/>
          </w:tcPr>
          <w:p w14:paraId="04062DB2" w14:textId="77777777" w:rsidR="003A20B0" w:rsidRPr="003E76E7" w:rsidRDefault="006D0B28" w:rsidP="00C4292D">
            <w:pPr>
              <w:spacing w:before="0" w:after="0"/>
              <w:jc w:val="right"/>
              <w:rPr>
                <w:rFonts w:ascii="Arial" w:hAnsi="Arial"/>
                <w:b/>
                <w:bCs/>
                <w:sz w:val="15"/>
                <w:szCs w:val="15"/>
                <w:lang w:val="en-AU"/>
              </w:rPr>
            </w:pPr>
            <w:r w:rsidRPr="003E76E7">
              <w:rPr>
                <w:rFonts w:ascii="Arial" w:hAnsi="Arial"/>
                <w:b/>
                <w:bCs/>
                <w:sz w:val="15"/>
                <w:szCs w:val="15"/>
                <w:lang w:val="en-AU"/>
              </w:rPr>
              <w:t>202</w:t>
            </w:r>
            <w:r w:rsidR="00BF60DE" w:rsidRPr="003E76E7">
              <w:rPr>
                <w:rFonts w:ascii="Arial" w:hAnsi="Arial"/>
                <w:b/>
                <w:bCs/>
                <w:sz w:val="15"/>
                <w:szCs w:val="15"/>
                <w:lang w:val="en-AU"/>
              </w:rPr>
              <w:t>6</w:t>
            </w:r>
            <w:r w:rsidRPr="003E76E7">
              <w:rPr>
                <w:rFonts w:ascii="Arial" w:hAnsi="Arial"/>
                <w:b/>
                <w:bCs/>
                <w:sz w:val="15"/>
                <w:szCs w:val="15"/>
                <w:lang w:val="en-AU"/>
              </w:rPr>
              <w:t>-2</w:t>
            </w:r>
            <w:r w:rsidR="00BF60DE" w:rsidRPr="003E76E7">
              <w:rPr>
                <w:rFonts w:ascii="Arial" w:hAnsi="Arial"/>
                <w:b/>
                <w:bCs/>
                <w:sz w:val="15"/>
                <w:szCs w:val="15"/>
                <w:lang w:val="en-AU"/>
              </w:rPr>
              <w:t>7</w:t>
            </w:r>
          </w:p>
          <w:p w14:paraId="012DBA90" w14:textId="08CA3BC3" w:rsidR="003A20B0" w:rsidRPr="003E76E7" w:rsidRDefault="006D0B28" w:rsidP="00C4292D">
            <w:pPr>
              <w:spacing w:before="0" w:after="0"/>
              <w:jc w:val="right"/>
              <w:rPr>
                <w:rFonts w:ascii="Arial" w:hAnsi="Arial"/>
                <w:b/>
                <w:bCs/>
                <w:sz w:val="15"/>
                <w:szCs w:val="15"/>
                <w:lang w:val="en-AU"/>
              </w:rPr>
            </w:pPr>
            <w:r w:rsidRPr="003E76E7">
              <w:rPr>
                <w:rFonts w:ascii="Arial" w:hAnsi="Arial"/>
                <w:b/>
                <w:bCs/>
                <w:sz w:val="15"/>
                <w:szCs w:val="15"/>
                <w:lang w:val="en-AU"/>
              </w:rPr>
              <w:t>Budget</w:t>
            </w:r>
          </w:p>
          <w:p w14:paraId="44CBAA08" w14:textId="5163625C" w:rsidR="00C765C8" w:rsidRPr="003E76E7" w:rsidRDefault="006D0B28" w:rsidP="00C4292D">
            <w:pPr>
              <w:spacing w:before="0" w:after="0"/>
              <w:jc w:val="right"/>
              <w:rPr>
                <w:rFonts w:ascii="Arial" w:hAnsi="Arial"/>
                <w:b/>
                <w:bCs/>
                <w:sz w:val="15"/>
                <w:szCs w:val="15"/>
                <w:lang w:val="en-AU"/>
              </w:rPr>
            </w:pPr>
            <w:r w:rsidRPr="003E76E7">
              <w:rPr>
                <w:rFonts w:ascii="Arial" w:hAnsi="Arial"/>
                <w:b/>
                <w:bCs/>
                <w:sz w:val="15"/>
                <w:szCs w:val="15"/>
                <w:lang w:val="en-AU"/>
              </w:rPr>
              <w:t>Estimate</w:t>
            </w:r>
          </w:p>
        </w:tc>
        <w:tc>
          <w:tcPr>
            <w:tcW w:w="1158" w:type="dxa"/>
            <w:tcBorders>
              <w:top w:val="single" w:sz="4" w:space="0" w:color="auto"/>
              <w:left w:val="nil"/>
              <w:bottom w:val="single" w:sz="4" w:space="0" w:color="auto"/>
              <w:right w:val="nil"/>
            </w:tcBorders>
            <w:vAlign w:val="bottom"/>
            <w:hideMark/>
          </w:tcPr>
          <w:p w14:paraId="4BE5C1A0" w14:textId="4B8BEE32" w:rsidR="003A20B0" w:rsidRPr="003E76E7" w:rsidRDefault="00C765C8" w:rsidP="00C4292D">
            <w:pPr>
              <w:spacing w:before="0" w:after="0"/>
              <w:jc w:val="right"/>
              <w:rPr>
                <w:rFonts w:ascii="Arial" w:hAnsi="Arial"/>
                <w:b/>
                <w:bCs/>
                <w:sz w:val="15"/>
                <w:szCs w:val="15"/>
                <w:lang w:val="en-AU"/>
              </w:rPr>
            </w:pPr>
            <w:r w:rsidRPr="003E76E7">
              <w:rPr>
                <w:rFonts w:ascii="Arial" w:hAnsi="Arial"/>
                <w:b/>
                <w:bCs/>
                <w:sz w:val="15"/>
                <w:szCs w:val="15"/>
                <w:lang w:val="en-AU"/>
              </w:rPr>
              <w:t>202</w:t>
            </w:r>
            <w:r w:rsidR="00BF60DE" w:rsidRPr="003E76E7">
              <w:rPr>
                <w:rFonts w:ascii="Arial" w:hAnsi="Arial"/>
                <w:b/>
                <w:bCs/>
                <w:sz w:val="15"/>
                <w:szCs w:val="15"/>
                <w:lang w:val="en-AU"/>
              </w:rPr>
              <w:t>7</w:t>
            </w:r>
            <w:r w:rsidRPr="003E76E7">
              <w:rPr>
                <w:rFonts w:ascii="Arial" w:hAnsi="Arial"/>
                <w:b/>
                <w:bCs/>
                <w:sz w:val="15"/>
                <w:szCs w:val="15"/>
                <w:lang w:val="en-AU"/>
              </w:rPr>
              <w:t>-2</w:t>
            </w:r>
            <w:r w:rsidR="003A20B0" w:rsidRPr="003E76E7">
              <w:rPr>
                <w:rFonts w:ascii="Arial" w:hAnsi="Arial"/>
                <w:b/>
                <w:bCs/>
                <w:sz w:val="15"/>
                <w:szCs w:val="15"/>
                <w:lang w:val="en-AU"/>
              </w:rPr>
              <w:t>8</w:t>
            </w:r>
          </w:p>
          <w:p w14:paraId="1F1EA3A1" w14:textId="3EFEB154" w:rsidR="003A20B0" w:rsidRPr="003E76E7" w:rsidRDefault="00C765C8" w:rsidP="00C4292D">
            <w:pPr>
              <w:spacing w:before="0" w:after="0"/>
              <w:jc w:val="right"/>
              <w:rPr>
                <w:rFonts w:ascii="Arial" w:hAnsi="Arial"/>
                <w:b/>
                <w:bCs/>
                <w:sz w:val="15"/>
                <w:szCs w:val="15"/>
                <w:lang w:val="en-AU"/>
              </w:rPr>
            </w:pPr>
            <w:r w:rsidRPr="003E76E7">
              <w:rPr>
                <w:rFonts w:ascii="Arial" w:hAnsi="Arial"/>
                <w:b/>
                <w:bCs/>
                <w:sz w:val="15"/>
                <w:szCs w:val="15"/>
                <w:lang w:val="en-AU"/>
              </w:rPr>
              <w:t>Forward</w:t>
            </w:r>
          </w:p>
          <w:p w14:paraId="5446C36E" w14:textId="523DBF51" w:rsidR="00C765C8" w:rsidRPr="003E76E7" w:rsidRDefault="00C765C8" w:rsidP="00C4292D">
            <w:pPr>
              <w:spacing w:before="0" w:after="0"/>
              <w:jc w:val="right"/>
              <w:rPr>
                <w:rFonts w:ascii="Arial" w:hAnsi="Arial"/>
                <w:b/>
                <w:bCs/>
                <w:sz w:val="15"/>
                <w:szCs w:val="15"/>
                <w:lang w:val="en-AU"/>
              </w:rPr>
            </w:pPr>
            <w:r w:rsidRPr="003E76E7">
              <w:rPr>
                <w:rFonts w:ascii="Arial" w:hAnsi="Arial"/>
                <w:b/>
                <w:bCs/>
                <w:sz w:val="15"/>
                <w:szCs w:val="15"/>
                <w:lang w:val="en-AU"/>
              </w:rPr>
              <w:t>Estimate</w:t>
            </w:r>
          </w:p>
        </w:tc>
        <w:tc>
          <w:tcPr>
            <w:tcW w:w="1158" w:type="dxa"/>
            <w:tcBorders>
              <w:top w:val="single" w:sz="4" w:space="0" w:color="auto"/>
              <w:left w:val="nil"/>
              <w:bottom w:val="single" w:sz="4" w:space="0" w:color="auto"/>
              <w:right w:val="nil"/>
            </w:tcBorders>
            <w:vAlign w:val="bottom"/>
            <w:hideMark/>
          </w:tcPr>
          <w:p w14:paraId="3F457881" w14:textId="77777777" w:rsidR="003A20B0" w:rsidRPr="003E76E7" w:rsidRDefault="00C765C8" w:rsidP="00C4292D">
            <w:pPr>
              <w:spacing w:before="0" w:after="0"/>
              <w:jc w:val="right"/>
              <w:rPr>
                <w:rFonts w:ascii="Arial" w:hAnsi="Arial"/>
                <w:b/>
                <w:bCs/>
                <w:sz w:val="15"/>
                <w:szCs w:val="15"/>
                <w:lang w:val="en-AU"/>
              </w:rPr>
            </w:pPr>
            <w:r w:rsidRPr="003E76E7">
              <w:rPr>
                <w:rFonts w:ascii="Arial" w:hAnsi="Arial"/>
                <w:b/>
                <w:bCs/>
                <w:sz w:val="15"/>
                <w:szCs w:val="15"/>
                <w:lang w:val="en-AU"/>
              </w:rPr>
              <w:t>202</w:t>
            </w:r>
            <w:r w:rsidR="00BF60DE" w:rsidRPr="003E76E7">
              <w:rPr>
                <w:rFonts w:ascii="Arial" w:hAnsi="Arial"/>
                <w:b/>
                <w:bCs/>
                <w:sz w:val="15"/>
                <w:szCs w:val="15"/>
                <w:lang w:val="en-AU"/>
              </w:rPr>
              <w:t>8</w:t>
            </w:r>
            <w:r w:rsidRPr="003E76E7">
              <w:rPr>
                <w:rFonts w:ascii="Arial" w:hAnsi="Arial"/>
                <w:b/>
                <w:bCs/>
                <w:sz w:val="15"/>
                <w:szCs w:val="15"/>
                <w:lang w:val="en-AU"/>
              </w:rPr>
              <w:t>-2</w:t>
            </w:r>
            <w:r w:rsidR="00BF60DE" w:rsidRPr="003E76E7">
              <w:rPr>
                <w:rFonts w:ascii="Arial" w:hAnsi="Arial"/>
                <w:b/>
                <w:bCs/>
                <w:sz w:val="15"/>
                <w:szCs w:val="15"/>
                <w:lang w:val="en-AU"/>
              </w:rPr>
              <w:t>9</w:t>
            </w:r>
          </w:p>
          <w:p w14:paraId="4E78F0C0" w14:textId="25E16763" w:rsidR="003A20B0" w:rsidRPr="003E76E7" w:rsidRDefault="00C765C8" w:rsidP="00C4292D">
            <w:pPr>
              <w:spacing w:before="0" w:after="0"/>
              <w:jc w:val="right"/>
              <w:rPr>
                <w:rFonts w:ascii="Arial" w:hAnsi="Arial"/>
                <w:b/>
                <w:bCs/>
                <w:sz w:val="15"/>
                <w:szCs w:val="15"/>
                <w:lang w:val="en-AU"/>
              </w:rPr>
            </w:pPr>
            <w:r w:rsidRPr="003E76E7">
              <w:rPr>
                <w:rFonts w:ascii="Arial" w:hAnsi="Arial"/>
                <w:b/>
                <w:bCs/>
                <w:sz w:val="15"/>
                <w:szCs w:val="15"/>
                <w:lang w:val="en-AU"/>
              </w:rPr>
              <w:t>Forward</w:t>
            </w:r>
          </w:p>
          <w:p w14:paraId="39C43A96" w14:textId="5347F617" w:rsidR="00C765C8" w:rsidRPr="003E76E7" w:rsidRDefault="00C765C8" w:rsidP="00C4292D">
            <w:pPr>
              <w:spacing w:before="0" w:after="0"/>
              <w:jc w:val="right"/>
              <w:rPr>
                <w:rFonts w:ascii="Arial" w:hAnsi="Arial"/>
                <w:b/>
                <w:bCs/>
                <w:sz w:val="15"/>
                <w:szCs w:val="15"/>
                <w:lang w:val="en-AU"/>
              </w:rPr>
            </w:pPr>
            <w:r w:rsidRPr="003E76E7">
              <w:rPr>
                <w:rFonts w:ascii="Arial" w:hAnsi="Arial"/>
                <w:b/>
                <w:bCs/>
                <w:sz w:val="15"/>
                <w:szCs w:val="15"/>
                <w:lang w:val="en-AU"/>
              </w:rPr>
              <w:t>Estimate</w:t>
            </w:r>
          </w:p>
        </w:tc>
        <w:tc>
          <w:tcPr>
            <w:tcW w:w="1158" w:type="dxa"/>
            <w:tcBorders>
              <w:top w:val="single" w:sz="4" w:space="0" w:color="auto"/>
              <w:left w:val="nil"/>
              <w:bottom w:val="single" w:sz="4" w:space="0" w:color="auto"/>
              <w:right w:val="nil"/>
            </w:tcBorders>
            <w:vAlign w:val="bottom"/>
            <w:hideMark/>
          </w:tcPr>
          <w:p w14:paraId="10B0F27A" w14:textId="77777777" w:rsidR="003A20B0" w:rsidRPr="003E76E7" w:rsidRDefault="00C765C8" w:rsidP="00C4292D">
            <w:pPr>
              <w:spacing w:before="0" w:after="0"/>
              <w:jc w:val="right"/>
              <w:rPr>
                <w:rFonts w:ascii="Arial" w:hAnsi="Arial"/>
                <w:b/>
                <w:bCs/>
                <w:sz w:val="15"/>
                <w:szCs w:val="15"/>
                <w:lang w:val="en-AU"/>
              </w:rPr>
            </w:pPr>
            <w:r w:rsidRPr="003E76E7">
              <w:rPr>
                <w:rFonts w:ascii="Arial" w:hAnsi="Arial"/>
                <w:b/>
                <w:bCs/>
                <w:sz w:val="15"/>
                <w:szCs w:val="15"/>
                <w:lang w:val="en-AU"/>
              </w:rPr>
              <w:t>202</w:t>
            </w:r>
            <w:r w:rsidR="00BF60DE" w:rsidRPr="003E76E7">
              <w:rPr>
                <w:rFonts w:ascii="Arial" w:hAnsi="Arial"/>
                <w:b/>
                <w:bCs/>
                <w:sz w:val="15"/>
                <w:szCs w:val="15"/>
                <w:lang w:val="en-AU"/>
              </w:rPr>
              <w:t>9</w:t>
            </w:r>
            <w:r w:rsidRPr="003E76E7">
              <w:rPr>
                <w:rFonts w:ascii="Arial" w:hAnsi="Arial"/>
                <w:b/>
                <w:bCs/>
                <w:sz w:val="15"/>
                <w:szCs w:val="15"/>
                <w:lang w:val="en-AU"/>
              </w:rPr>
              <w:t>-</w:t>
            </w:r>
            <w:r w:rsidR="00BF60DE" w:rsidRPr="003E76E7">
              <w:rPr>
                <w:rFonts w:ascii="Arial" w:hAnsi="Arial"/>
                <w:b/>
                <w:bCs/>
                <w:sz w:val="15"/>
                <w:szCs w:val="15"/>
                <w:lang w:val="en-AU"/>
              </w:rPr>
              <w:t>30</w:t>
            </w:r>
          </w:p>
          <w:p w14:paraId="5AB3F5CF" w14:textId="0AB8A1E2" w:rsidR="003A20B0" w:rsidRPr="003E76E7" w:rsidRDefault="00C765C8" w:rsidP="00C4292D">
            <w:pPr>
              <w:spacing w:before="0" w:after="0"/>
              <w:jc w:val="right"/>
              <w:rPr>
                <w:rFonts w:ascii="Arial" w:hAnsi="Arial"/>
                <w:b/>
                <w:bCs/>
                <w:sz w:val="15"/>
                <w:szCs w:val="15"/>
                <w:lang w:val="en-AU"/>
              </w:rPr>
            </w:pPr>
            <w:r w:rsidRPr="003E76E7">
              <w:rPr>
                <w:rFonts w:ascii="Arial" w:hAnsi="Arial"/>
                <w:b/>
                <w:bCs/>
                <w:sz w:val="15"/>
                <w:szCs w:val="15"/>
                <w:lang w:val="en-AU"/>
              </w:rPr>
              <w:t>Forward</w:t>
            </w:r>
          </w:p>
          <w:p w14:paraId="38086E59" w14:textId="68270030" w:rsidR="00C765C8" w:rsidRPr="003E76E7" w:rsidRDefault="00C765C8" w:rsidP="00C4292D">
            <w:pPr>
              <w:spacing w:before="0" w:after="0"/>
              <w:jc w:val="right"/>
              <w:rPr>
                <w:rFonts w:ascii="Arial" w:hAnsi="Arial"/>
                <w:b/>
                <w:bCs/>
                <w:sz w:val="15"/>
                <w:szCs w:val="15"/>
                <w:lang w:val="en-AU"/>
              </w:rPr>
            </w:pPr>
            <w:r w:rsidRPr="003E76E7">
              <w:rPr>
                <w:rFonts w:ascii="Arial" w:hAnsi="Arial"/>
                <w:b/>
                <w:bCs/>
                <w:sz w:val="15"/>
                <w:szCs w:val="15"/>
                <w:lang w:val="en-AU"/>
              </w:rPr>
              <w:t>Estimate</w:t>
            </w:r>
          </w:p>
        </w:tc>
      </w:tr>
      <w:tr w:rsidR="003A20B0" w:rsidRPr="003E76E7" w14:paraId="198C8B41" w14:textId="77777777" w:rsidTr="0087640C">
        <w:trPr>
          <w:trHeight w:val="279"/>
        </w:trPr>
        <w:tc>
          <w:tcPr>
            <w:tcW w:w="345" w:type="dxa"/>
            <w:tcBorders>
              <w:top w:val="nil"/>
              <w:left w:val="nil"/>
              <w:bottom w:val="single" w:sz="8" w:space="0" w:color="FFFFFF"/>
              <w:right w:val="single" w:sz="4" w:space="0" w:color="auto"/>
            </w:tcBorders>
            <w:vAlign w:val="center"/>
          </w:tcPr>
          <w:p w14:paraId="21D2E8EA" w14:textId="77777777" w:rsidR="00D260CA" w:rsidRPr="003E76E7" w:rsidRDefault="00D260CA" w:rsidP="00C4292D">
            <w:pPr>
              <w:spacing w:before="0" w:after="0"/>
              <w:jc w:val="center"/>
              <w:rPr>
                <w:rFonts w:ascii="Arial" w:hAnsi="Arial"/>
                <w:sz w:val="16"/>
                <w:szCs w:val="16"/>
                <w:lang w:val="en-AU"/>
              </w:rPr>
            </w:pPr>
          </w:p>
        </w:tc>
        <w:tc>
          <w:tcPr>
            <w:tcW w:w="2519" w:type="dxa"/>
            <w:vAlign w:val="center"/>
          </w:tcPr>
          <w:p w14:paraId="333E28F5" w14:textId="1CFBE32D" w:rsidR="00D260CA" w:rsidRPr="003E76E7" w:rsidRDefault="00D260CA" w:rsidP="00C4292D">
            <w:pPr>
              <w:spacing w:before="0" w:after="0"/>
              <w:rPr>
                <w:rFonts w:ascii="Arial" w:hAnsi="Arial"/>
                <w:b/>
                <w:bCs/>
                <w:sz w:val="16"/>
                <w:szCs w:val="16"/>
                <w:lang w:val="en-AU"/>
              </w:rPr>
            </w:pPr>
            <w:r w:rsidRPr="003E76E7">
              <w:rPr>
                <w:rFonts w:ascii="Arial" w:hAnsi="Arial"/>
                <w:b/>
                <w:bCs/>
                <w:sz w:val="16"/>
                <w:szCs w:val="16"/>
                <w:lang w:val="en-AU"/>
              </w:rPr>
              <w:t>Service Category 3 and 5</w:t>
            </w:r>
            <w:r w:rsidR="00F53A6A" w:rsidRPr="003E76E7">
              <w:rPr>
                <w:rFonts w:ascii="Arial" w:hAnsi="Arial"/>
                <w:b/>
                <w:bCs/>
                <w:sz w:val="16"/>
                <w:szCs w:val="16"/>
                <w:lang w:val="en-AU"/>
              </w:rPr>
              <w:t xml:space="preserve"> </w:t>
            </w:r>
            <w:r w:rsidR="00F53A6A" w:rsidRPr="003E76E7">
              <w:rPr>
                <w:rFonts w:ascii="Arial" w:hAnsi="Arial"/>
                <w:b/>
                <w:bCs/>
                <w:sz w:val="16"/>
                <w:szCs w:val="16"/>
                <w:vertAlign w:val="superscript"/>
                <w:lang w:val="en-AU"/>
              </w:rPr>
              <w:t>[</w:t>
            </w:r>
            <w:r w:rsidR="00D621FB">
              <w:rPr>
                <w:rFonts w:ascii="Arial" w:hAnsi="Arial"/>
                <w:b/>
                <w:bCs/>
                <w:sz w:val="16"/>
                <w:szCs w:val="16"/>
                <w:vertAlign w:val="superscript"/>
                <w:lang w:val="en-AU"/>
              </w:rPr>
              <w:t>d</w:t>
            </w:r>
            <w:r w:rsidR="00F53A6A" w:rsidRPr="003E76E7">
              <w:rPr>
                <w:rFonts w:ascii="Arial" w:hAnsi="Arial"/>
                <w:b/>
                <w:bCs/>
                <w:sz w:val="16"/>
                <w:szCs w:val="16"/>
                <w:vertAlign w:val="superscript"/>
                <w:lang w:val="en-AU"/>
              </w:rPr>
              <w:t>]</w:t>
            </w:r>
          </w:p>
        </w:tc>
        <w:tc>
          <w:tcPr>
            <w:tcW w:w="1012" w:type="dxa"/>
            <w:vAlign w:val="center"/>
          </w:tcPr>
          <w:p w14:paraId="72B61192" w14:textId="77777777" w:rsidR="00D260CA" w:rsidRPr="003E76E7" w:rsidRDefault="00D260CA" w:rsidP="00C4292D">
            <w:pPr>
              <w:rPr>
                <w:rFonts w:ascii="Arial" w:hAnsi="Arial"/>
                <w:b/>
                <w:bCs/>
                <w:sz w:val="16"/>
                <w:szCs w:val="16"/>
                <w:lang w:val="en-AU"/>
              </w:rPr>
            </w:pPr>
          </w:p>
        </w:tc>
        <w:tc>
          <w:tcPr>
            <w:tcW w:w="1158" w:type="dxa"/>
            <w:tcBorders>
              <w:top w:val="nil"/>
              <w:bottom w:val="nil"/>
            </w:tcBorders>
            <w:shd w:val="clear" w:color="auto" w:fill="E6E6E6"/>
            <w:vAlign w:val="center"/>
          </w:tcPr>
          <w:p w14:paraId="4DCD14AF" w14:textId="77777777" w:rsidR="00D260CA" w:rsidRPr="003E76E7" w:rsidRDefault="00D260CA" w:rsidP="00C4292D">
            <w:pPr>
              <w:rPr>
                <w:rFonts w:ascii="Arial" w:hAnsi="Arial"/>
                <w:b/>
                <w:bCs/>
                <w:sz w:val="16"/>
                <w:szCs w:val="16"/>
                <w:lang w:val="en-AU"/>
              </w:rPr>
            </w:pPr>
          </w:p>
        </w:tc>
        <w:tc>
          <w:tcPr>
            <w:tcW w:w="1158" w:type="dxa"/>
            <w:tcBorders>
              <w:left w:val="nil"/>
            </w:tcBorders>
            <w:vAlign w:val="center"/>
          </w:tcPr>
          <w:p w14:paraId="4F9F6726" w14:textId="77777777" w:rsidR="00D260CA" w:rsidRPr="003E76E7" w:rsidRDefault="00D260CA" w:rsidP="00C4292D">
            <w:pPr>
              <w:rPr>
                <w:rFonts w:ascii="Arial" w:hAnsi="Arial"/>
                <w:sz w:val="16"/>
                <w:szCs w:val="16"/>
                <w:lang w:val="en-AU"/>
              </w:rPr>
            </w:pPr>
          </w:p>
        </w:tc>
        <w:tc>
          <w:tcPr>
            <w:tcW w:w="1158" w:type="dxa"/>
            <w:vAlign w:val="center"/>
          </w:tcPr>
          <w:p w14:paraId="3144F406" w14:textId="77777777" w:rsidR="00D260CA" w:rsidRPr="003E76E7" w:rsidRDefault="00D260CA" w:rsidP="00C4292D">
            <w:pPr>
              <w:spacing w:before="0" w:after="0"/>
              <w:rPr>
                <w:rFonts w:ascii="Arial" w:hAnsi="Arial"/>
                <w:sz w:val="16"/>
                <w:szCs w:val="16"/>
                <w:lang w:val="en-AU"/>
              </w:rPr>
            </w:pPr>
          </w:p>
        </w:tc>
        <w:tc>
          <w:tcPr>
            <w:tcW w:w="1158" w:type="dxa"/>
            <w:vAlign w:val="center"/>
          </w:tcPr>
          <w:p w14:paraId="3D524E24" w14:textId="77777777" w:rsidR="00D260CA" w:rsidRPr="003E76E7" w:rsidRDefault="00D260CA" w:rsidP="00C4292D">
            <w:pPr>
              <w:spacing w:before="0" w:after="0"/>
              <w:rPr>
                <w:rFonts w:ascii="Arial" w:hAnsi="Arial"/>
                <w:sz w:val="16"/>
                <w:szCs w:val="16"/>
                <w:lang w:val="en-AU"/>
              </w:rPr>
            </w:pPr>
          </w:p>
        </w:tc>
      </w:tr>
      <w:tr w:rsidR="008744BA" w:rsidRPr="003E76E7" w14:paraId="7EA97ACF" w14:textId="77777777" w:rsidTr="0087640C">
        <w:trPr>
          <w:trHeight w:val="452"/>
        </w:trPr>
        <w:tc>
          <w:tcPr>
            <w:tcW w:w="345" w:type="dxa"/>
            <w:tcBorders>
              <w:top w:val="nil"/>
              <w:left w:val="nil"/>
              <w:bottom w:val="single" w:sz="8" w:space="0" w:color="FFFFFF"/>
              <w:right w:val="single" w:sz="4" w:space="0" w:color="auto"/>
            </w:tcBorders>
            <w:vAlign w:val="center"/>
            <w:hideMark/>
          </w:tcPr>
          <w:p w14:paraId="3FC6FDBA" w14:textId="77777777" w:rsidR="008744BA" w:rsidRPr="003E76E7" w:rsidRDefault="008744BA" w:rsidP="00C4292D">
            <w:pPr>
              <w:spacing w:before="0" w:after="0"/>
              <w:jc w:val="center"/>
              <w:rPr>
                <w:rFonts w:ascii="Arial" w:hAnsi="Arial"/>
                <w:sz w:val="16"/>
                <w:szCs w:val="16"/>
                <w:lang w:val="en-AU"/>
              </w:rPr>
            </w:pPr>
          </w:p>
        </w:tc>
        <w:tc>
          <w:tcPr>
            <w:tcW w:w="2519" w:type="dxa"/>
            <w:vAlign w:val="center"/>
            <w:hideMark/>
          </w:tcPr>
          <w:p w14:paraId="50009C7D" w14:textId="77777777" w:rsidR="008744BA" w:rsidRPr="003E76E7" w:rsidRDefault="008744BA" w:rsidP="00C4292D">
            <w:pPr>
              <w:spacing w:before="0" w:after="0"/>
              <w:rPr>
                <w:rFonts w:ascii="Arial" w:hAnsi="Arial"/>
                <w:sz w:val="16"/>
                <w:szCs w:val="16"/>
                <w:lang w:val="en-AU"/>
              </w:rPr>
            </w:pPr>
            <w:r w:rsidRPr="003E76E7">
              <w:rPr>
                <w:rFonts w:ascii="Arial" w:hAnsi="Arial"/>
                <w:sz w:val="16"/>
                <w:szCs w:val="16"/>
                <w:lang w:val="en-AU"/>
              </w:rPr>
              <w:t>Navy</w:t>
            </w:r>
          </w:p>
        </w:tc>
        <w:tc>
          <w:tcPr>
            <w:tcW w:w="1012" w:type="dxa"/>
            <w:tcBorders>
              <w:top w:val="nil"/>
            </w:tcBorders>
            <w:shd w:val="clear" w:color="auto" w:fill="auto"/>
            <w:vAlign w:val="center"/>
          </w:tcPr>
          <w:p w14:paraId="49DA1AC1" w14:textId="77777777" w:rsidR="008744BA" w:rsidRPr="003E76E7" w:rsidRDefault="008744BA" w:rsidP="00C4292D">
            <w:pPr>
              <w:spacing w:before="0" w:after="0"/>
              <w:jc w:val="right"/>
              <w:rPr>
                <w:rFonts w:ascii="Arial" w:hAnsi="Arial"/>
                <w:sz w:val="16"/>
                <w:szCs w:val="16"/>
                <w:lang w:val="en-AU"/>
              </w:rPr>
            </w:pPr>
            <w:r w:rsidRPr="003E76E7">
              <w:rPr>
                <w:rFonts w:ascii="Arial" w:hAnsi="Arial"/>
                <w:sz w:val="16"/>
                <w:szCs w:val="16"/>
                <w:lang w:val="en-AU"/>
              </w:rPr>
              <w:t>119,932</w:t>
            </w:r>
          </w:p>
          <w:p w14:paraId="4FD7E8F4" w14:textId="4C98CE27" w:rsidR="008744BA" w:rsidRPr="003E76E7" w:rsidRDefault="008744BA" w:rsidP="00C4292D">
            <w:pPr>
              <w:spacing w:before="0" w:after="0"/>
              <w:jc w:val="right"/>
              <w:rPr>
                <w:rFonts w:ascii="Arial" w:hAnsi="Arial"/>
                <w:sz w:val="16"/>
                <w:szCs w:val="16"/>
                <w:lang w:val="en-AU"/>
              </w:rPr>
            </w:pPr>
            <w:r w:rsidRPr="003E76E7">
              <w:rPr>
                <w:rFonts w:ascii="Arial" w:hAnsi="Arial"/>
                <w:sz w:val="16"/>
                <w:szCs w:val="16"/>
                <w:lang w:val="en-AU"/>
              </w:rPr>
              <w:t>(1,753)</w:t>
            </w:r>
          </w:p>
        </w:tc>
        <w:tc>
          <w:tcPr>
            <w:tcW w:w="1158" w:type="dxa"/>
            <w:tcBorders>
              <w:left w:val="nil"/>
            </w:tcBorders>
            <w:shd w:val="clear" w:color="auto" w:fill="E6E6E6"/>
            <w:vAlign w:val="center"/>
          </w:tcPr>
          <w:p w14:paraId="3C11F906" w14:textId="77777777" w:rsidR="008744BA" w:rsidRPr="003E76E7" w:rsidRDefault="008744BA" w:rsidP="00C4292D">
            <w:pPr>
              <w:spacing w:before="0" w:after="0"/>
              <w:jc w:val="right"/>
              <w:rPr>
                <w:rFonts w:ascii="Arial" w:hAnsi="Arial"/>
                <w:sz w:val="16"/>
                <w:szCs w:val="16"/>
                <w:lang w:val="en-AU"/>
              </w:rPr>
            </w:pPr>
            <w:r w:rsidRPr="003E76E7">
              <w:rPr>
                <w:rFonts w:ascii="Arial" w:hAnsi="Arial"/>
                <w:sz w:val="16"/>
                <w:szCs w:val="16"/>
                <w:lang w:val="en-AU"/>
              </w:rPr>
              <w:t>122,853</w:t>
            </w:r>
          </w:p>
          <w:p w14:paraId="002EAF46" w14:textId="1F2D3CA0" w:rsidR="008744BA" w:rsidRPr="003E76E7" w:rsidRDefault="008744BA" w:rsidP="00C4292D">
            <w:pPr>
              <w:spacing w:before="0" w:after="0"/>
              <w:jc w:val="right"/>
              <w:rPr>
                <w:rFonts w:ascii="Arial" w:hAnsi="Arial"/>
                <w:sz w:val="16"/>
                <w:szCs w:val="16"/>
                <w:lang w:val="en-AU"/>
              </w:rPr>
            </w:pPr>
            <w:r w:rsidRPr="003E76E7">
              <w:rPr>
                <w:rFonts w:ascii="Arial" w:hAnsi="Arial"/>
                <w:sz w:val="16"/>
                <w:szCs w:val="16"/>
                <w:lang w:val="en-AU"/>
              </w:rPr>
              <w:t>(1,793)</w:t>
            </w:r>
          </w:p>
        </w:tc>
        <w:tc>
          <w:tcPr>
            <w:tcW w:w="1158" w:type="dxa"/>
            <w:vAlign w:val="center"/>
          </w:tcPr>
          <w:p w14:paraId="146E9D59" w14:textId="77777777" w:rsidR="008744BA" w:rsidRPr="003E76E7" w:rsidRDefault="008744BA" w:rsidP="00C4292D">
            <w:pPr>
              <w:spacing w:before="0" w:after="0"/>
              <w:jc w:val="right"/>
              <w:rPr>
                <w:rFonts w:ascii="Arial" w:hAnsi="Arial"/>
                <w:color w:val="000000"/>
                <w:sz w:val="16"/>
                <w:szCs w:val="16"/>
              </w:rPr>
            </w:pPr>
            <w:r w:rsidRPr="003E76E7">
              <w:rPr>
                <w:rFonts w:ascii="Arial" w:hAnsi="Arial"/>
                <w:color w:val="000000"/>
                <w:sz w:val="16"/>
                <w:szCs w:val="16"/>
              </w:rPr>
              <w:t>125,969</w:t>
            </w:r>
          </w:p>
          <w:p w14:paraId="10FDE84D" w14:textId="6928F09B" w:rsidR="008744BA" w:rsidRPr="003E76E7" w:rsidRDefault="008744BA" w:rsidP="00C4292D">
            <w:pPr>
              <w:spacing w:before="0" w:after="0"/>
              <w:jc w:val="right"/>
              <w:rPr>
                <w:rFonts w:ascii="Arial" w:hAnsi="Arial"/>
                <w:sz w:val="16"/>
                <w:szCs w:val="16"/>
                <w:lang w:val="en-AU"/>
              </w:rPr>
            </w:pPr>
            <w:r w:rsidRPr="003E76E7">
              <w:rPr>
                <w:rFonts w:ascii="Arial" w:hAnsi="Arial"/>
                <w:color w:val="000000"/>
                <w:sz w:val="16"/>
                <w:szCs w:val="16"/>
              </w:rPr>
              <w:t>(1,839)</w:t>
            </w:r>
          </w:p>
        </w:tc>
        <w:tc>
          <w:tcPr>
            <w:tcW w:w="1158" w:type="dxa"/>
            <w:vAlign w:val="center"/>
          </w:tcPr>
          <w:p w14:paraId="5716B24E" w14:textId="77777777" w:rsidR="008744BA" w:rsidRPr="003E76E7" w:rsidRDefault="008744BA" w:rsidP="00C4292D">
            <w:pPr>
              <w:spacing w:before="0" w:after="0"/>
              <w:jc w:val="right"/>
              <w:rPr>
                <w:rFonts w:ascii="Arial" w:hAnsi="Arial"/>
                <w:color w:val="000000"/>
                <w:sz w:val="16"/>
                <w:szCs w:val="16"/>
              </w:rPr>
            </w:pPr>
            <w:r w:rsidRPr="003E76E7">
              <w:rPr>
                <w:rFonts w:ascii="Arial" w:hAnsi="Arial"/>
                <w:color w:val="000000"/>
                <w:sz w:val="16"/>
                <w:szCs w:val="16"/>
              </w:rPr>
              <w:t>129,048</w:t>
            </w:r>
          </w:p>
          <w:p w14:paraId="7276C5A1" w14:textId="59C34EBA" w:rsidR="008744BA" w:rsidRPr="003E76E7" w:rsidRDefault="008744BA" w:rsidP="00C4292D">
            <w:pPr>
              <w:spacing w:before="0" w:after="0"/>
              <w:jc w:val="right"/>
              <w:rPr>
                <w:rFonts w:ascii="Arial" w:hAnsi="Arial"/>
                <w:sz w:val="16"/>
                <w:szCs w:val="16"/>
                <w:lang w:val="en-AU"/>
              </w:rPr>
            </w:pPr>
            <w:r w:rsidRPr="003E76E7">
              <w:rPr>
                <w:rFonts w:ascii="Arial" w:hAnsi="Arial"/>
                <w:color w:val="000000"/>
                <w:sz w:val="16"/>
                <w:szCs w:val="16"/>
              </w:rPr>
              <w:t>(1,884)</w:t>
            </w:r>
          </w:p>
        </w:tc>
        <w:tc>
          <w:tcPr>
            <w:tcW w:w="1158" w:type="dxa"/>
            <w:shd w:val="clear" w:color="auto" w:fill="auto"/>
            <w:vAlign w:val="center"/>
          </w:tcPr>
          <w:p w14:paraId="38713310" w14:textId="77777777" w:rsidR="008744BA" w:rsidRPr="003E76E7" w:rsidRDefault="008744BA" w:rsidP="00C4292D">
            <w:pPr>
              <w:spacing w:before="0" w:after="0"/>
              <w:jc w:val="right"/>
              <w:rPr>
                <w:rFonts w:ascii="Arial" w:hAnsi="Arial"/>
                <w:color w:val="000000"/>
                <w:sz w:val="16"/>
                <w:szCs w:val="16"/>
              </w:rPr>
            </w:pPr>
            <w:r w:rsidRPr="003E76E7">
              <w:rPr>
                <w:rFonts w:ascii="Arial" w:hAnsi="Arial"/>
                <w:color w:val="000000"/>
                <w:sz w:val="16"/>
                <w:szCs w:val="16"/>
              </w:rPr>
              <w:t>132,120</w:t>
            </w:r>
          </w:p>
          <w:p w14:paraId="03F8E658" w14:textId="318B085B" w:rsidR="008744BA" w:rsidRPr="003E76E7" w:rsidRDefault="008744BA" w:rsidP="00C4292D">
            <w:pPr>
              <w:spacing w:before="0" w:after="0"/>
              <w:jc w:val="right"/>
              <w:rPr>
                <w:rFonts w:ascii="Arial" w:hAnsi="Arial"/>
                <w:sz w:val="16"/>
                <w:szCs w:val="16"/>
                <w:lang w:val="en-AU"/>
              </w:rPr>
            </w:pPr>
            <w:r w:rsidRPr="003E76E7">
              <w:rPr>
                <w:rFonts w:ascii="Arial" w:hAnsi="Arial"/>
                <w:color w:val="000000"/>
                <w:sz w:val="16"/>
                <w:szCs w:val="16"/>
              </w:rPr>
              <w:t>(1,784)</w:t>
            </w:r>
          </w:p>
        </w:tc>
      </w:tr>
      <w:tr w:rsidR="008744BA" w:rsidRPr="003E76E7" w14:paraId="23136F6C" w14:textId="77777777" w:rsidTr="0087640C">
        <w:trPr>
          <w:trHeight w:val="543"/>
        </w:trPr>
        <w:tc>
          <w:tcPr>
            <w:tcW w:w="345" w:type="dxa"/>
            <w:tcBorders>
              <w:top w:val="nil"/>
              <w:left w:val="nil"/>
              <w:bottom w:val="single" w:sz="8" w:space="0" w:color="FFFFFF"/>
              <w:right w:val="single" w:sz="4" w:space="0" w:color="auto"/>
            </w:tcBorders>
            <w:vAlign w:val="center"/>
            <w:hideMark/>
          </w:tcPr>
          <w:p w14:paraId="46D943EC" w14:textId="77777777" w:rsidR="008744BA" w:rsidRPr="003E76E7" w:rsidRDefault="008744BA" w:rsidP="00C4292D">
            <w:pPr>
              <w:spacing w:before="0" w:after="0"/>
              <w:jc w:val="center"/>
              <w:rPr>
                <w:rFonts w:ascii="Arial" w:hAnsi="Arial"/>
                <w:sz w:val="16"/>
                <w:szCs w:val="16"/>
                <w:lang w:val="en-AU"/>
              </w:rPr>
            </w:pPr>
          </w:p>
        </w:tc>
        <w:tc>
          <w:tcPr>
            <w:tcW w:w="2519" w:type="dxa"/>
            <w:vAlign w:val="center"/>
            <w:hideMark/>
          </w:tcPr>
          <w:p w14:paraId="180F7DCB" w14:textId="6C25300B" w:rsidR="008744BA" w:rsidRPr="003E76E7" w:rsidRDefault="008744BA" w:rsidP="00C4292D">
            <w:pPr>
              <w:spacing w:before="0" w:after="0"/>
              <w:rPr>
                <w:rFonts w:ascii="Arial" w:hAnsi="Arial"/>
                <w:sz w:val="16"/>
                <w:szCs w:val="16"/>
                <w:lang w:val="en-AU"/>
              </w:rPr>
            </w:pPr>
            <w:r w:rsidRPr="003E76E7">
              <w:rPr>
                <w:rFonts w:ascii="Arial" w:hAnsi="Arial"/>
                <w:sz w:val="16"/>
                <w:szCs w:val="16"/>
                <w:lang w:val="en-AU"/>
              </w:rPr>
              <w:t xml:space="preserve">Army </w:t>
            </w:r>
          </w:p>
        </w:tc>
        <w:tc>
          <w:tcPr>
            <w:tcW w:w="1012" w:type="dxa"/>
            <w:tcBorders>
              <w:top w:val="nil"/>
              <w:bottom w:val="nil"/>
            </w:tcBorders>
            <w:shd w:val="clear" w:color="auto" w:fill="auto"/>
            <w:vAlign w:val="center"/>
          </w:tcPr>
          <w:p w14:paraId="516931F3" w14:textId="77777777" w:rsidR="008744BA" w:rsidRPr="003E76E7" w:rsidRDefault="008744BA" w:rsidP="00C4292D">
            <w:pPr>
              <w:spacing w:before="0" w:after="0"/>
              <w:jc w:val="right"/>
              <w:rPr>
                <w:rFonts w:ascii="Arial" w:hAnsi="Arial"/>
                <w:sz w:val="16"/>
                <w:szCs w:val="16"/>
                <w:lang w:val="en-AU"/>
              </w:rPr>
            </w:pPr>
            <w:r w:rsidRPr="003E76E7">
              <w:rPr>
                <w:rFonts w:ascii="Arial" w:hAnsi="Arial"/>
                <w:sz w:val="16"/>
                <w:szCs w:val="16"/>
                <w:lang w:val="en-AU"/>
              </w:rPr>
              <w:t>676,210</w:t>
            </w:r>
          </w:p>
          <w:p w14:paraId="775E5DC8" w14:textId="75EC3790" w:rsidR="008744BA" w:rsidRPr="003E76E7" w:rsidRDefault="008744BA" w:rsidP="00C4292D">
            <w:pPr>
              <w:spacing w:before="0" w:after="0"/>
              <w:jc w:val="right"/>
              <w:rPr>
                <w:rFonts w:ascii="Arial" w:hAnsi="Arial"/>
                <w:sz w:val="16"/>
                <w:szCs w:val="16"/>
                <w:lang w:val="en-AU"/>
              </w:rPr>
            </w:pPr>
            <w:r w:rsidRPr="003E76E7">
              <w:rPr>
                <w:rFonts w:ascii="Arial" w:hAnsi="Arial"/>
                <w:sz w:val="16"/>
                <w:szCs w:val="16"/>
                <w:lang w:val="en-AU"/>
              </w:rPr>
              <w:t>(15,754)</w:t>
            </w:r>
          </w:p>
        </w:tc>
        <w:tc>
          <w:tcPr>
            <w:tcW w:w="1158" w:type="dxa"/>
            <w:tcBorders>
              <w:left w:val="nil"/>
            </w:tcBorders>
            <w:shd w:val="clear" w:color="auto" w:fill="E6E6E6"/>
            <w:vAlign w:val="center"/>
          </w:tcPr>
          <w:p w14:paraId="5459198E" w14:textId="77777777" w:rsidR="008744BA" w:rsidRPr="003E76E7" w:rsidRDefault="008744BA" w:rsidP="00C4292D">
            <w:pPr>
              <w:spacing w:before="0" w:after="0"/>
              <w:jc w:val="right"/>
              <w:rPr>
                <w:rFonts w:ascii="Arial" w:hAnsi="Arial"/>
                <w:sz w:val="16"/>
                <w:szCs w:val="16"/>
                <w:lang w:val="en-AU"/>
              </w:rPr>
            </w:pPr>
            <w:r w:rsidRPr="003E76E7">
              <w:rPr>
                <w:rFonts w:ascii="Arial" w:hAnsi="Arial"/>
                <w:sz w:val="16"/>
                <w:szCs w:val="16"/>
                <w:lang w:val="en-AU"/>
              </w:rPr>
              <w:t>700,799</w:t>
            </w:r>
          </w:p>
          <w:p w14:paraId="1E88670F" w14:textId="2C7D6EE1" w:rsidR="008744BA" w:rsidRPr="003E76E7" w:rsidRDefault="008744BA" w:rsidP="00C4292D">
            <w:pPr>
              <w:spacing w:before="0" w:after="0"/>
              <w:jc w:val="right"/>
              <w:rPr>
                <w:rFonts w:ascii="Arial" w:hAnsi="Arial"/>
                <w:sz w:val="16"/>
                <w:szCs w:val="16"/>
                <w:lang w:val="en-AU"/>
              </w:rPr>
            </w:pPr>
            <w:r w:rsidRPr="003E76E7">
              <w:rPr>
                <w:rFonts w:ascii="Arial" w:hAnsi="Arial"/>
                <w:sz w:val="16"/>
                <w:szCs w:val="16"/>
                <w:lang w:val="en-AU"/>
              </w:rPr>
              <w:t>(16,331)</w:t>
            </w:r>
          </w:p>
        </w:tc>
        <w:tc>
          <w:tcPr>
            <w:tcW w:w="1158" w:type="dxa"/>
            <w:vAlign w:val="center"/>
          </w:tcPr>
          <w:p w14:paraId="134568C6" w14:textId="77777777" w:rsidR="008744BA" w:rsidRPr="003E76E7" w:rsidRDefault="008744BA" w:rsidP="00C4292D">
            <w:pPr>
              <w:spacing w:before="0" w:after="0"/>
              <w:jc w:val="right"/>
              <w:rPr>
                <w:rFonts w:ascii="Arial" w:hAnsi="Arial"/>
                <w:color w:val="000000"/>
                <w:sz w:val="16"/>
                <w:szCs w:val="16"/>
                <w:lang w:val="en-AU"/>
              </w:rPr>
            </w:pPr>
            <w:r w:rsidRPr="003E76E7">
              <w:rPr>
                <w:rFonts w:ascii="Arial" w:hAnsi="Arial"/>
                <w:color w:val="000000"/>
                <w:sz w:val="16"/>
                <w:szCs w:val="16"/>
              </w:rPr>
              <w:t>713,708</w:t>
            </w:r>
          </w:p>
          <w:p w14:paraId="2D6921E0" w14:textId="2CF050F5" w:rsidR="008744BA" w:rsidRPr="003E76E7" w:rsidRDefault="008744BA" w:rsidP="00C4292D">
            <w:pPr>
              <w:spacing w:before="0" w:after="0"/>
              <w:jc w:val="right"/>
              <w:rPr>
                <w:rFonts w:ascii="Arial" w:hAnsi="Arial"/>
                <w:sz w:val="16"/>
                <w:szCs w:val="16"/>
                <w:lang w:val="en-AU"/>
              </w:rPr>
            </w:pPr>
            <w:r w:rsidRPr="003E76E7">
              <w:rPr>
                <w:rFonts w:ascii="Arial" w:hAnsi="Arial"/>
                <w:color w:val="000000"/>
                <w:sz w:val="16"/>
                <w:szCs w:val="16"/>
              </w:rPr>
              <w:t>(16,633)</w:t>
            </w:r>
          </w:p>
        </w:tc>
        <w:tc>
          <w:tcPr>
            <w:tcW w:w="1158" w:type="dxa"/>
            <w:vAlign w:val="center"/>
          </w:tcPr>
          <w:p w14:paraId="7C7B1A95" w14:textId="77777777" w:rsidR="008744BA" w:rsidRPr="003E76E7" w:rsidRDefault="008744BA" w:rsidP="00C4292D">
            <w:pPr>
              <w:spacing w:before="0" w:after="0"/>
              <w:jc w:val="right"/>
              <w:rPr>
                <w:rFonts w:ascii="Arial" w:hAnsi="Arial"/>
                <w:color w:val="000000"/>
                <w:sz w:val="16"/>
                <w:szCs w:val="16"/>
                <w:lang w:val="en-AU"/>
              </w:rPr>
            </w:pPr>
            <w:r w:rsidRPr="003E76E7">
              <w:rPr>
                <w:rFonts w:ascii="Arial" w:hAnsi="Arial"/>
                <w:color w:val="000000"/>
                <w:sz w:val="16"/>
                <w:szCs w:val="16"/>
              </w:rPr>
              <w:t>725,545</w:t>
            </w:r>
          </w:p>
          <w:p w14:paraId="4043741B" w14:textId="4DB89DA5" w:rsidR="008744BA" w:rsidRPr="003E76E7" w:rsidRDefault="008744BA" w:rsidP="00C4292D">
            <w:pPr>
              <w:spacing w:before="0" w:after="0"/>
              <w:jc w:val="right"/>
              <w:rPr>
                <w:rFonts w:ascii="Arial" w:hAnsi="Arial"/>
                <w:sz w:val="16"/>
                <w:szCs w:val="16"/>
                <w:lang w:val="en-AU"/>
              </w:rPr>
            </w:pPr>
            <w:r w:rsidRPr="003E76E7">
              <w:rPr>
                <w:rFonts w:ascii="Arial" w:hAnsi="Arial"/>
                <w:color w:val="000000"/>
                <w:sz w:val="16"/>
                <w:szCs w:val="16"/>
              </w:rPr>
              <w:t>(16,912)</w:t>
            </w:r>
          </w:p>
        </w:tc>
        <w:tc>
          <w:tcPr>
            <w:tcW w:w="1158" w:type="dxa"/>
            <w:shd w:val="clear" w:color="auto" w:fill="auto"/>
            <w:vAlign w:val="center"/>
          </w:tcPr>
          <w:p w14:paraId="3DB35011" w14:textId="041A2CD2" w:rsidR="008744BA" w:rsidRPr="003E76E7" w:rsidRDefault="008744BA" w:rsidP="00C4292D">
            <w:pPr>
              <w:spacing w:before="0" w:after="0"/>
              <w:jc w:val="right"/>
              <w:rPr>
                <w:rFonts w:ascii="Arial" w:hAnsi="Arial"/>
                <w:sz w:val="16"/>
                <w:szCs w:val="16"/>
                <w:lang w:val="en-AU"/>
              </w:rPr>
            </w:pPr>
            <w:r w:rsidRPr="003E76E7">
              <w:rPr>
                <w:rFonts w:ascii="Arial" w:hAnsi="Arial"/>
                <w:color w:val="000000"/>
                <w:sz w:val="16"/>
                <w:szCs w:val="16"/>
              </w:rPr>
              <w:t>739,429</w:t>
            </w:r>
            <w:r w:rsidRPr="003E76E7">
              <w:rPr>
                <w:rFonts w:ascii="Arial" w:hAnsi="Arial"/>
                <w:color w:val="000000"/>
                <w:sz w:val="16"/>
                <w:szCs w:val="16"/>
              </w:rPr>
              <w:br/>
              <w:t>(17,457)</w:t>
            </w:r>
          </w:p>
        </w:tc>
      </w:tr>
      <w:tr w:rsidR="008744BA" w:rsidRPr="003E76E7" w14:paraId="47372712" w14:textId="77777777" w:rsidTr="0087640C">
        <w:trPr>
          <w:trHeight w:val="499"/>
        </w:trPr>
        <w:tc>
          <w:tcPr>
            <w:tcW w:w="345" w:type="dxa"/>
            <w:tcBorders>
              <w:top w:val="nil"/>
              <w:left w:val="nil"/>
              <w:right w:val="single" w:sz="4" w:space="0" w:color="auto"/>
            </w:tcBorders>
            <w:vAlign w:val="center"/>
            <w:hideMark/>
          </w:tcPr>
          <w:p w14:paraId="3BA65482" w14:textId="77777777" w:rsidR="008744BA" w:rsidRPr="003E76E7" w:rsidRDefault="008744BA" w:rsidP="00C4292D">
            <w:pPr>
              <w:spacing w:before="0" w:after="0"/>
              <w:jc w:val="center"/>
              <w:rPr>
                <w:rFonts w:ascii="Arial" w:hAnsi="Arial"/>
                <w:sz w:val="16"/>
                <w:szCs w:val="16"/>
                <w:lang w:val="en-AU"/>
              </w:rPr>
            </w:pPr>
          </w:p>
        </w:tc>
        <w:tc>
          <w:tcPr>
            <w:tcW w:w="2519" w:type="dxa"/>
            <w:vAlign w:val="center"/>
            <w:hideMark/>
          </w:tcPr>
          <w:p w14:paraId="7704C3A2" w14:textId="77777777" w:rsidR="008744BA" w:rsidRPr="003E76E7" w:rsidRDefault="008744BA" w:rsidP="00C4292D">
            <w:pPr>
              <w:spacing w:before="0" w:after="0"/>
              <w:rPr>
                <w:rFonts w:ascii="Arial" w:hAnsi="Arial"/>
                <w:sz w:val="16"/>
                <w:szCs w:val="16"/>
                <w:lang w:val="en-AU"/>
              </w:rPr>
            </w:pPr>
            <w:r w:rsidRPr="003E76E7">
              <w:rPr>
                <w:rFonts w:ascii="Arial" w:hAnsi="Arial"/>
                <w:sz w:val="16"/>
                <w:szCs w:val="16"/>
                <w:lang w:val="en-AU"/>
              </w:rPr>
              <w:t>Air Force</w:t>
            </w:r>
          </w:p>
        </w:tc>
        <w:tc>
          <w:tcPr>
            <w:tcW w:w="1012" w:type="dxa"/>
            <w:tcBorders>
              <w:top w:val="nil"/>
            </w:tcBorders>
            <w:shd w:val="clear" w:color="auto" w:fill="auto"/>
            <w:vAlign w:val="center"/>
          </w:tcPr>
          <w:p w14:paraId="6F0A2B85" w14:textId="77777777" w:rsidR="008744BA" w:rsidRPr="003E76E7" w:rsidRDefault="008744BA" w:rsidP="00C4292D">
            <w:pPr>
              <w:spacing w:before="0" w:after="0"/>
              <w:jc w:val="right"/>
              <w:rPr>
                <w:rFonts w:ascii="Arial" w:hAnsi="Arial"/>
                <w:sz w:val="16"/>
                <w:szCs w:val="16"/>
                <w:lang w:val="en-AU"/>
              </w:rPr>
            </w:pPr>
            <w:r w:rsidRPr="003E76E7">
              <w:rPr>
                <w:rFonts w:ascii="Arial" w:hAnsi="Arial"/>
                <w:sz w:val="16"/>
                <w:szCs w:val="16"/>
                <w:lang w:val="en-AU"/>
              </w:rPr>
              <w:t>273,052</w:t>
            </w:r>
          </w:p>
          <w:p w14:paraId="72E93B7D" w14:textId="125AD381" w:rsidR="008744BA" w:rsidRPr="003E76E7" w:rsidRDefault="008744BA" w:rsidP="00C4292D">
            <w:pPr>
              <w:spacing w:before="0" w:after="0"/>
              <w:jc w:val="right"/>
              <w:rPr>
                <w:rFonts w:ascii="Arial" w:hAnsi="Arial"/>
                <w:sz w:val="16"/>
                <w:szCs w:val="16"/>
                <w:lang w:val="en-AU"/>
              </w:rPr>
            </w:pPr>
            <w:r w:rsidRPr="003E76E7">
              <w:rPr>
                <w:rFonts w:ascii="Arial" w:hAnsi="Arial"/>
                <w:sz w:val="16"/>
                <w:szCs w:val="16"/>
                <w:lang w:val="en-AU"/>
              </w:rPr>
              <w:t>(4,187)</w:t>
            </w:r>
          </w:p>
        </w:tc>
        <w:tc>
          <w:tcPr>
            <w:tcW w:w="1158" w:type="dxa"/>
            <w:tcBorders>
              <w:left w:val="nil"/>
            </w:tcBorders>
            <w:shd w:val="clear" w:color="auto" w:fill="E6E6E6"/>
            <w:vAlign w:val="center"/>
          </w:tcPr>
          <w:p w14:paraId="64E24FBE" w14:textId="77777777" w:rsidR="008744BA" w:rsidRPr="003E76E7" w:rsidRDefault="008744BA" w:rsidP="00C4292D">
            <w:pPr>
              <w:spacing w:before="0" w:after="0"/>
              <w:jc w:val="right"/>
              <w:rPr>
                <w:rFonts w:ascii="Arial" w:hAnsi="Arial"/>
                <w:sz w:val="16"/>
                <w:szCs w:val="16"/>
                <w:lang w:val="en-AU"/>
              </w:rPr>
            </w:pPr>
            <w:r w:rsidRPr="003E76E7">
              <w:rPr>
                <w:rFonts w:ascii="Arial" w:hAnsi="Arial"/>
                <w:sz w:val="16"/>
                <w:szCs w:val="16"/>
                <w:lang w:val="en-AU"/>
              </w:rPr>
              <w:t>283,068</w:t>
            </w:r>
          </w:p>
          <w:p w14:paraId="198EC132" w14:textId="7526E654" w:rsidR="008744BA" w:rsidRPr="003E76E7" w:rsidRDefault="008744BA" w:rsidP="00C4292D">
            <w:pPr>
              <w:spacing w:before="0" w:after="0"/>
              <w:jc w:val="right"/>
              <w:rPr>
                <w:rFonts w:ascii="Arial" w:hAnsi="Arial"/>
                <w:sz w:val="16"/>
                <w:szCs w:val="16"/>
                <w:lang w:val="en-AU"/>
              </w:rPr>
            </w:pPr>
            <w:r w:rsidRPr="003E76E7">
              <w:rPr>
                <w:rFonts w:ascii="Arial" w:hAnsi="Arial"/>
                <w:sz w:val="16"/>
                <w:szCs w:val="16"/>
                <w:lang w:val="en-AU"/>
              </w:rPr>
              <w:t>(4,342)</w:t>
            </w:r>
          </w:p>
        </w:tc>
        <w:tc>
          <w:tcPr>
            <w:tcW w:w="1158" w:type="dxa"/>
            <w:vAlign w:val="center"/>
          </w:tcPr>
          <w:p w14:paraId="5CB4075C" w14:textId="77777777" w:rsidR="008744BA" w:rsidRPr="003E76E7" w:rsidRDefault="008744BA" w:rsidP="00C4292D">
            <w:pPr>
              <w:spacing w:before="0" w:after="0"/>
              <w:jc w:val="right"/>
              <w:rPr>
                <w:rFonts w:ascii="Arial" w:hAnsi="Arial"/>
                <w:color w:val="000000"/>
                <w:sz w:val="16"/>
                <w:szCs w:val="16"/>
              </w:rPr>
            </w:pPr>
            <w:r w:rsidRPr="003E76E7">
              <w:rPr>
                <w:rFonts w:ascii="Arial" w:hAnsi="Arial"/>
                <w:color w:val="000000"/>
                <w:sz w:val="16"/>
                <w:szCs w:val="16"/>
              </w:rPr>
              <w:t>288,325</w:t>
            </w:r>
          </w:p>
          <w:p w14:paraId="68E01261" w14:textId="1313ABF1" w:rsidR="008744BA" w:rsidRPr="003E76E7" w:rsidRDefault="008744BA" w:rsidP="00C4292D">
            <w:pPr>
              <w:spacing w:before="0" w:after="0"/>
              <w:jc w:val="right"/>
              <w:rPr>
                <w:rFonts w:ascii="Arial" w:hAnsi="Arial"/>
                <w:sz w:val="16"/>
                <w:szCs w:val="16"/>
                <w:lang w:val="en-AU"/>
              </w:rPr>
            </w:pPr>
            <w:r w:rsidRPr="003E76E7">
              <w:rPr>
                <w:rFonts w:ascii="Arial" w:hAnsi="Arial"/>
                <w:color w:val="000000"/>
                <w:sz w:val="16"/>
                <w:szCs w:val="16"/>
              </w:rPr>
              <w:t>(4,423)</w:t>
            </w:r>
          </w:p>
        </w:tc>
        <w:tc>
          <w:tcPr>
            <w:tcW w:w="1158" w:type="dxa"/>
            <w:vAlign w:val="center"/>
          </w:tcPr>
          <w:p w14:paraId="692776FB" w14:textId="77777777" w:rsidR="008744BA" w:rsidRPr="003E76E7" w:rsidRDefault="008744BA" w:rsidP="00C4292D">
            <w:pPr>
              <w:spacing w:before="0" w:after="0"/>
              <w:jc w:val="right"/>
              <w:rPr>
                <w:rFonts w:ascii="Arial" w:hAnsi="Arial"/>
                <w:color w:val="000000"/>
                <w:sz w:val="16"/>
                <w:szCs w:val="16"/>
              </w:rPr>
            </w:pPr>
            <w:r w:rsidRPr="003E76E7">
              <w:rPr>
                <w:rFonts w:ascii="Arial" w:hAnsi="Arial"/>
                <w:color w:val="000000"/>
                <w:sz w:val="16"/>
                <w:szCs w:val="16"/>
              </w:rPr>
              <w:t>293,146</w:t>
            </w:r>
          </w:p>
          <w:p w14:paraId="3DEBE4E1" w14:textId="15DE3589" w:rsidR="008744BA" w:rsidRPr="003E76E7" w:rsidRDefault="008744BA" w:rsidP="00C4292D">
            <w:pPr>
              <w:spacing w:before="0" w:after="0"/>
              <w:jc w:val="right"/>
              <w:rPr>
                <w:rFonts w:ascii="Arial" w:hAnsi="Arial"/>
                <w:sz w:val="16"/>
                <w:szCs w:val="16"/>
                <w:lang w:val="en-AU"/>
              </w:rPr>
            </w:pPr>
            <w:r w:rsidRPr="003E76E7">
              <w:rPr>
                <w:rFonts w:ascii="Arial" w:hAnsi="Arial"/>
                <w:color w:val="000000"/>
                <w:sz w:val="16"/>
                <w:szCs w:val="16"/>
              </w:rPr>
              <w:t>(4,497)</w:t>
            </w:r>
          </w:p>
        </w:tc>
        <w:tc>
          <w:tcPr>
            <w:tcW w:w="1158" w:type="dxa"/>
            <w:shd w:val="clear" w:color="auto" w:fill="auto"/>
            <w:vAlign w:val="center"/>
          </w:tcPr>
          <w:p w14:paraId="21716421" w14:textId="77777777" w:rsidR="008744BA" w:rsidRPr="003E76E7" w:rsidRDefault="008744BA" w:rsidP="00C4292D">
            <w:pPr>
              <w:spacing w:before="0" w:after="0"/>
              <w:jc w:val="right"/>
              <w:rPr>
                <w:rFonts w:ascii="Arial" w:hAnsi="Arial"/>
                <w:color w:val="000000"/>
                <w:sz w:val="16"/>
                <w:szCs w:val="16"/>
              </w:rPr>
            </w:pPr>
            <w:r w:rsidRPr="003E76E7">
              <w:rPr>
                <w:rFonts w:ascii="Arial" w:hAnsi="Arial"/>
                <w:color w:val="000000"/>
                <w:sz w:val="16"/>
                <w:szCs w:val="16"/>
              </w:rPr>
              <w:t>296,075</w:t>
            </w:r>
          </w:p>
          <w:p w14:paraId="43F5C945" w14:textId="75A49083" w:rsidR="008744BA" w:rsidRPr="003E76E7" w:rsidRDefault="008744BA" w:rsidP="00C4292D">
            <w:pPr>
              <w:spacing w:before="0" w:after="0"/>
              <w:jc w:val="right"/>
              <w:rPr>
                <w:rFonts w:ascii="Arial" w:hAnsi="Arial"/>
                <w:sz w:val="16"/>
                <w:szCs w:val="16"/>
                <w:lang w:val="en-AU"/>
              </w:rPr>
            </w:pPr>
            <w:r w:rsidRPr="003E76E7">
              <w:rPr>
                <w:rFonts w:ascii="Arial" w:hAnsi="Arial"/>
                <w:color w:val="000000"/>
                <w:sz w:val="16"/>
                <w:szCs w:val="16"/>
              </w:rPr>
              <w:t>(4,372)</w:t>
            </w:r>
          </w:p>
        </w:tc>
      </w:tr>
      <w:tr w:rsidR="008744BA" w:rsidRPr="003E76E7" w14:paraId="216A1224" w14:textId="77777777" w:rsidTr="0087640C">
        <w:trPr>
          <w:trHeight w:val="437"/>
        </w:trPr>
        <w:tc>
          <w:tcPr>
            <w:tcW w:w="345" w:type="dxa"/>
            <w:tcBorders>
              <w:left w:val="nil"/>
              <w:bottom w:val="single" w:sz="4" w:space="0" w:color="auto"/>
              <w:right w:val="single" w:sz="4" w:space="0" w:color="auto"/>
            </w:tcBorders>
            <w:shd w:val="clear" w:color="auto" w:fill="E6E6E6"/>
            <w:vAlign w:val="center"/>
            <w:hideMark/>
          </w:tcPr>
          <w:p w14:paraId="29E2B090" w14:textId="77777777" w:rsidR="008744BA" w:rsidRPr="003E76E7" w:rsidRDefault="008744BA" w:rsidP="00C4292D">
            <w:pPr>
              <w:spacing w:before="0" w:after="0"/>
              <w:jc w:val="center"/>
              <w:rPr>
                <w:rFonts w:ascii="Arial" w:hAnsi="Arial"/>
                <w:b/>
                <w:sz w:val="16"/>
                <w:szCs w:val="16"/>
                <w:lang w:val="en-AU"/>
              </w:rPr>
            </w:pPr>
            <w:r w:rsidRPr="003E76E7">
              <w:rPr>
                <w:rFonts w:ascii="Arial" w:hAnsi="Arial"/>
                <w:b/>
                <w:sz w:val="16"/>
                <w:szCs w:val="16"/>
                <w:lang w:val="en-AU"/>
              </w:rPr>
              <w:t>1</w:t>
            </w:r>
          </w:p>
        </w:tc>
        <w:tc>
          <w:tcPr>
            <w:tcW w:w="2519" w:type="dxa"/>
            <w:tcBorders>
              <w:left w:val="nil"/>
              <w:bottom w:val="single" w:sz="4" w:space="0" w:color="auto"/>
              <w:right w:val="nil"/>
            </w:tcBorders>
            <w:shd w:val="clear" w:color="auto" w:fill="E6E6E6"/>
            <w:vAlign w:val="center"/>
            <w:hideMark/>
          </w:tcPr>
          <w:p w14:paraId="789C41AD" w14:textId="24FCADB8" w:rsidR="008744BA" w:rsidRPr="003E76E7" w:rsidRDefault="008744BA" w:rsidP="00C4292D">
            <w:pPr>
              <w:spacing w:before="0" w:after="0"/>
              <w:rPr>
                <w:rFonts w:ascii="Arial" w:hAnsi="Arial"/>
                <w:b/>
                <w:bCs/>
                <w:sz w:val="16"/>
                <w:szCs w:val="16"/>
                <w:lang w:val="en-AU"/>
              </w:rPr>
            </w:pPr>
            <w:r w:rsidRPr="003E76E7">
              <w:rPr>
                <w:rFonts w:ascii="Arial" w:hAnsi="Arial"/>
                <w:b/>
                <w:bCs/>
                <w:sz w:val="16"/>
                <w:szCs w:val="16"/>
                <w:lang w:val="en-AU"/>
              </w:rPr>
              <w:t xml:space="preserve">Sub-total Service Category </w:t>
            </w:r>
            <w:r w:rsidR="0087640C">
              <w:rPr>
                <w:rFonts w:ascii="Arial" w:hAnsi="Arial"/>
                <w:b/>
                <w:bCs/>
                <w:sz w:val="16"/>
                <w:szCs w:val="16"/>
                <w:lang w:val="en-AU"/>
              </w:rPr>
              <w:br/>
            </w:r>
            <w:r w:rsidRPr="003E76E7">
              <w:rPr>
                <w:rFonts w:ascii="Arial" w:hAnsi="Arial"/>
                <w:b/>
                <w:bCs/>
                <w:sz w:val="16"/>
                <w:szCs w:val="16"/>
                <w:lang w:val="en-AU"/>
              </w:rPr>
              <w:t>3 and 5</w:t>
            </w:r>
          </w:p>
        </w:tc>
        <w:tc>
          <w:tcPr>
            <w:tcW w:w="1012" w:type="dxa"/>
            <w:tcBorders>
              <w:bottom w:val="single" w:sz="4" w:space="0" w:color="auto"/>
            </w:tcBorders>
            <w:shd w:val="clear" w:color="auto" w:fill="E6E6E6"/>
            <w:vAlign w:val="center"/>
          </w:tcPr>
          <w:p w14:paraId="5CD7570D" w14:textId="77777777" w:rsidR="008744BA" w:rsidRPr="003E76E7" w:rsidRDefault="008744BA" w:rsidP="00C4292D">
            <w:pPr>
              <w:spacing w:before="0" w:after="0"/>
              <w:jc w:val="right"/>
              <w:rPr>
                <w:rFonts w:ascii="Arial" w:hAnsi="Arial"/>
                <w:b/>
                <w:bCs/>
                <w:sz w:val="16"/>
                <w:szCs w:val="16"/>
                <w:lang w:val="en-AU"/>
              </w:rPr>
            </w:pPr>
            <w:r w:rsidRPr="003E76E7">
              <w:rPr>
                <w:rFonts w:ascii="Arial" w:hAnsi="Arial"/>
                <w:b/>
                <w:bCs/>
                <w:sz w:val="16"/>
                <w:szCs w:val="16"/>
                <w:lang w:val="en-AU"/>
              </w:rPr>
              <w:t>1,069,194</w:t>
            </w:r>
          </w:p>
          <w:p w14:paraId="4BB11631" w14:textId="5CC5FEF0" w:rsidR="008744BA" w:rsidRPr="003E76E7" w:rsidRDefault="008744BA" w:rsidP="00C4292D">
            <w:pPr>
              <w:spacing w:before="0" w:after="0"/>
              <w:jc w:val="right"/>
              <w:rPr>
                <w:rFonts w:ascii="Arial" w:hAnsi="Arial"/>
                <w:b/>
                <w:bCs/>
                <w:sz w:val="16"/>
                <w:szCs w:val="16"/>
                <w:lang w:val="en-AU"/>
              </w:rPr>
            </w:pPr>
            <w:r w:rsidRPr="003E76E7">
              <w:rPr>
                <w:rFonts w:ascii="Arial" w:hAnsi="Arial"/>
                <w:b/>
                <w:bCs/>
                <w:sz w:val="16"/>
                <w:szCs w:val="16"/>
                <w:lang w:val="en-AU"/>
              </w:rPr>
              <w:t>(21,694)</w:t>
            </w:r>
          </w:p>
        </w:tc>
        <w:tc>
          <w:tcPr>
            <w:tcW w:w="1158" w:type="dxa"/>
            <w:tcBorders>
              <w:left w:val="nil"/>
              <w:bottom w:val="single" w:sz="4" w:space="0" w:color="auto"/>
              <w:right w:val="nil"/>
            </w:tcBorders>
            <w:shd w:val="clear" w:color="auto" w:fill="E6E6E6"/>
            <w:vAlign w:val="center"/>
          </w:tcPr>
          <w:p w14:paraId="4C355368" w14:textId="77777777" w:rsidR="008744BA" w:rsidRPr="003E76E7" w:rsidRDefault="008744BA" w:rsidP="00C4292D">
            <w:pPr>
              <w:spacing w:before="0" w:after="0"/>
              <w:jc w:val="right"/>
              <w:rPr>
                <w:rFonts w:ascii="Arial" w:hAnsi="Arial"/>
                <w:b/>
                <w:bCs/>
                <w:sz w:val="16"/>
                <w:szCs w:val="16"/>
                <w:lang w:val="en-AU"/>
              </w:rPr>
            </w:pPr>
            <w:r w:rsidRPr="003E76E7">
              <w:rPr>
                <w:rFonts w:ascii="Arial" w:hAnsi="Arial"/>
                <w:b/>
                <w:bCs/>
                <w:sz w:val="16"/>
                <w:szCs w:val="16"/>
                <w:lang w:val="en-AU"/>
              </w:rPr>
              <w:t>1,106,720</w:t>
            </w:r>
          </w:p>
          <w:p w14:paraId="080C011B" w14:textId="585AC566" w:rsidR="008744BA" w:rsidRPr="003E76E7" w:rsidRDefault="008744BA" w:rsidP="00C4292D">
            <w:pPr>
              <w:spacing w:before="0" w:after="0"/>
              <w:jc w:val="right"/>
              <w:rPr>
                <w:rFonts w:ascii="Arial" w:hAnsi="Arial"/>
                <w:b/>
                <w:bCs/>
                <w:sz w:val="16"/>
                <w:szCs w:val="16"/>
                <w:lang w:val="en-AU"/>
              </w:rPr>
            </w:pPr>
            <w:r w:rsidRPr="003E76E7">
              <w:rPr>
                <w:rFonts w:ascii="Arial" w:hAnsi="Arial"/>
                <w:b/>
                <w:bCs/>
                <w:sz w:val="16"/>
                <w:szCs w:val="16"/>
                <w:lang w:val="en-AU"/>
              </w:rPr>
              <w:t>(22,466)</w:t>
            </w:r>
          </w:p>
        </w:tc>
        <w:tc>
          <w:tcPr>
            <w:tcW w:w="1158" w:type="dxa"/>
            <w:tcBorders>
              <w:left w:val="nil"/>
              <w:bottom w:val="single" w:sz="4" w:space="0" w:color="auto"/>
              <w:right w:val="nil"/>
            </w:tcBorders>
            <w:shd w:val="clear" w:color="auto" w:fill="E6E6E6"/>
            <w:vAlign w:val="center"/>
          </w:tcPr>
          <w:p w14:paraId="4A7AD885" w14:textId="77777777" w:rsidR="008744BA" w:rsidRPr="003E76E7" w:rsidRDefault="008744BA" w:rsidP="00C4292D">
            <w:pPr>
              <w:spacing w:before="0" w:after="0"/>
              <w:jc w:val="right"/>
              <w:rPr>
                <w:rFonts w:ascii="Arial" w:hAnsi="Arial"/>
                <w:b/>
                <w:bCs/>
                <w:color w:val="000000"/>
                <w:sz w:val="16"/>
                <w:szCs w:val="16"/>
              </w:rPr>
            </w:pPr>
            <w:r w:rsidRPr="003E76E7">
              <w:rPr>
                <w:rFonts w:ascii="Arial" w:hAnsi="Arial"/>
                <w:b/>
                <w:bCs/>
                <w:color w:val="000000"/>
                <w:sz w:val="16"/>
                <w:szCs w:val="16"/>
              </w:rPr>
              <w:t>1,128,002</w:t>
            </w:r>
          </w:p>
          <w:p w14:paraId="584F5E19" w14:textId="1E2664CB" w:rsidR="008744BA" w:rsidRPr="003E76E7" w:rsidRDefault="008744BA" w:rsidP="00C4292D">
            <w:pPr>
              <w:spacing w:before="0" w:after="0"/>
              <w:jc w:val="right"/>
              <w:rPr>
                <w:rFonts w:ascii="Arial" w:hAnsi="Arial"/>
                <w:b/>
                <w:bCs/>
                <w:sz w:val="16"/>
                <w:szCs w:val="16"/>
                <w:lang w:val="en-AU"/>
              </w:rPr>
            </w:pPr>
            <w:r w:rsidRPr="003E76E7">
              <w:rPr>
                <w:rFonts w:ascii="Arial" w:hAnsi="Arial"/>
                <w:b/>
                <w:bCs/>
                <w:color w:val="000000"/>
                <w:sz w:val="16"/>
                <w:szCs w:val="16"/>
              </w:rPr>
              <w:t>(22,895)</w:t>
            </w:r>
          </w:p>
        </w:tc>
        <w:tc>
          <w:tcPr>
            <w:tcW w:w="1158" w:type="dxa"/>
            <w:tcBorders>
              <w:left w:val="nil"/>
              <w:bottom w:val="single" w:sz="4" w:space="0" w:color="auto"/>
              <w:right w:val="nil"/>
            </w:tcBorders>
            <w:shd w:val="clear" w:color="auto" w:fill="E6E6E6"/>
            <w:vAlign w:val="center"/>
          </w:tcPr>
          <w:p w14:paraId="2545B524" w14:textId="77777777" w:rsidR="008744BA" w:rsidRPr="003E76E7" w:rsidRDefault="008744BA" w:rsidP="00C4292D">
            <w:pPr>
              <w:spacing w:before="0" w:after="0"/>
              <w:jc w:val="right"/>
              <w:rPr>
                <w:rFonts w:ascii="Arial" w:hAnsi="Arial"/>
                <w:b/>
                <w:bCs/>
                <w:color w:val="000000"/>
                <w:sz w:val="16"/>
                <w:szCs w:val="16"/>
              </w:rPr>
            </w:pPr>
            <w:r w:rsidRPr="003E76E7">
              <w:rPr>
                <w:rFonts w:ascii="Arial" w:hAnsi="Arial"/>
                <w:b/>
                <w:bCs/>
                <w:color w:val="000000"/>
                <w:sz w:val="16"/>
                <w:szCs w:val="16"/>
              </w:rPr>
              <w:t>1,147,739</w:t>
            </w:r>
          </w:p>
          <w:p w14:paraId="78A64815" w14:textId="2310193D" w:rsidR="008744BA" w:rsidRPr="003E76E7" w:rsidRDefault="008744BA" w:rsidP="00C4292D">
            <w:pPr>
              <w:spacing w:before="0" w:after="0"/>
              <w:jc w:val="right"/>
              <w:rPr>
                <w:rFonts w:ascii="Arial" w:hAnsi="Arial"/>
                <w:b/>
                <w:bCs/>
                <w:sz w:val="16"/>
                <w:szCs w:val="16"/>
                <w:lang w:val="en-AU"/>
              </w:rPr>
            </w:pPr>
            <w:r w:rsidRPr="003E76E7">
              <w:rPr>
                <w:rFonts w:ascii="Arial" w:hAnsi="Arial"/>
                <w:b/>
                <w:bCs/>
                <w:color w:val="000000"/>
                <w:sz w:val="16"/>
                <w:szCs w:val="16"/>
              </w:rPr>
              <w:t>(23,293)</w:t>
            </w:r>
          </w:p>
        </w:tc>
        <w:tc>
          <w:tcPr>
            <w:tcW w:w="1158" w:type="dxa"/>
            <w:tcBorders>
              <w:left w:val="nil"/>
              <w:bottom w:val="single" w:sz="4" w:space="0" w:color="auto"/>
              <w:right w:val="nil"/>
            </w:tcBorders>
            <w:shd w:val="clear" w:color="auto" w:fill="E6E6E6"/>
            <w:vAlign w:val="center"/>
          </w:tcPr>
          <w:p w14:paraId="5B1436AB" w14:textId="77777777" w:rsidR="008744BA" w:rsidRPr="003E76E7" w:rsidRDefault="008744BA" w:rsidP="00C4292D">
            <w:pPr>
              <w:spacing w:before="0" w:after="0"/>
              <w:jc w:val="right"/>
              <w:rPr>
                <w:rFonts w:ascii="Arial" w:hAnsi="Arial"/>
                <w:b/>
                <w:bCs/>
                <w:sz w:val="16"/>
                <w:szCs w:val="16"/>
                <w:lang w:val="en-AU"/>
              </w:rPr>
            </w:pPr>
            <w:r w:rsidRPr="003E76E7">
              <w:rPr>
                <w:rFonts w:ascii="Arial" w:hAnsi="Arial"/>
                <w:b/>
                <w:bCs/>
                <w:sz w:val="16"/>
                <w:szCs w:val="16"/>
                <w:lang w:val="en-AU"/>
              </w:rPr>
              <w:t>1,167,624</w:t>
            </w:r>
          </w:p>
          <w:p w14:paraId="0AD17B0B" w14:textId="22F61ACF" w:rsidR="008744BA" w:rsidRPr="003E76E7" w:rsidRDefault="008744BA" w:rsidP="00C4292D">
            <w:pPr>
              <w:spacing w:before="0" w:after="0"/>
              <w:jc w:val="right"/>
              <w:rPr>
                <w:rFonts w:ascii="Arial" w:hAnsi="Arial"/>
                <w:b/>
                <w:bCs/>
                <w:sz w:val="16"/>
                <w:szCs w:val="16"/>
                <w:lang w:val="en-AU"/>
              </w:rPr>
            </w:pPr>
            <w:r w:rsidRPr="003E76E7">
              <w:rPr>
                <w:rFonts w:ascii="Arial" w:hAnsi="Arial"/>
                <w:b/>
                <w:bCs/>
                <w:sz w:val="16"/>
                <w:szCs w:val="16"/>
                <w:lang w:val="en-AU"/>
              </w:rPr>
              <w:t>(23,613)</w:t>
            </w:r>
          </w:p>
        </w:tc>
      </w:tr>
      <w:tr w:rsidR="008744BA" w:rsidRPr="003E76E7" w14:paraId="598D8254" w14:textId="77777777" w:rsidTr="0087640C">
        <w:trPr>
          <w:trHeight w:val="244"/>
        </w:trPr>
        <w:tc>
          <w:tcPr>
            <w:tcW w:w="345" w:type="dxa"/>
            <w:tcBorders>
              <w:top w:val="nil"/>
              <w:left w:val="nil"/>
              <w:bottom w:val="single" w:sz="8" w:space="0" w:color="FFFFFF"/>
              <w:right w:val="single" w:sz="4" w:space="0" w:color="auto"/>
            </w:tcBorders>
            <w:vAlign w:val="center"/>
            <w:hideMark/>
          </w:tcPr>
          <w:p w14:paraId="7D46AAF1" w14:textId="77777777" w:rsidR="008744BA" w:rsidRPr="003E76E7" w:rsidRDefault="008744BA" w:rsidP="00C4292D">
            <w:pPr>
              <w:spacing w:before="0" w:after="0"/>
              <w:jc w:val="center"/>
              <w:rPr>
                <w:rFonts w:ascii="Arial" w:hAnsi="Arial"/>
                <w:sz w:val="16"/>
                <w:szCs w:val="16"/>
                <w:lang w:val="en-AU"/>
              </w:rPr>
            </w:pPr>
          </w:p>
        </w:tc>
        <w:tc>
          <w:tcPr>
            <w:tcW w:w="2519" w:type="dxa"/>
            <w:vAlign w:val="center"/>
            <w:hideMark/>
          </w:tcPr>
          <w:p w14:paraId="1B18E4C7" w14:textId="0646F77A" w:rsidR="008744BA" w:rsidRPr="003E76E7" w:rsidRDefault="008744BA" w:rsidP="00C4292D">
            <w:pPr>
              <w:spacing w:before="0" w:after="0"/>
              <w:rPr>
                <w:rFonts w:ascii="Arial" w:hAnsi="Arial"/>
                <w:b/>
                <w:bCs/>
                <w:sz w:val="16"/>
                <w:szCs w:val="16"/>
                <w:lang w:val="en-AU"/>
              </w:rPr>
            </w:pPr>
            <w:r w:rsidRPr="003E76E7">
              <w:rPr>
                <w:rFonts w:ascii="Arial" w:hAnsi="Arial"/>
                <w:b/>
                <w:bCs/>
                <w:sz w:val="16"/>
                <w:szCs w:val="16"/>
                <w:lang w:val="en-AU"/>
              </w:rPr>
              <w:t xml:space="preserve">Service Category 4 </w:t>
            </w:r>
            <w:r w:rsidR="00F53A6A" w:rsidRPr="003E76E7">
              <w:rPr>
                <w:rFonts w:ascii="Arial" w:hAnsi="Arial"/>
                <w:b/>
                <w:bCs/>
                <w:sz w:val="16"/>
                <w:szCs w:val="16"/>
                <w:vertAlign w:val="superscript"/>
                <w:lang w:val="en-AU"/>
              </w:rPr>
              <w:t>[</w:t>
            </w:r>
            <w:r w:rsidR="00D621FB">
              <w:rPr>
                <w:rFonts w:ascii="Arial" w:hAnsi="Arial"/>
                <w:b/>
                <w:bCs/>
                <w:sz w:val="16"/>
                <w:szCs w:val="16"/>
                <w:vertAlign w:val="superscript"/>
                <w:lang w:val="en-AU"/>
              </w:rPr>
              <w:t>d</w:t>
            </w:r>
            <w:r w:rsidR="00F53A6A" w:rsidRPr="003E76E7">
              <w:rPr>
                <w:rFonts w:ascii="Arial" w:hAnsi="Arial"/>
                <w:b/>
                <w:bCs/>
                <w:sz w:val="16"/>
                <w:szCs w:val="16"/>
                <w:vertAlign w:val="superscript"/>
                <w:lang w:val="en-AU"/>
              </w:rPr>
              <w:t>]</w:t>
            </w:r>
            <w:r w:rsidR="00D621FB">
              <w:rPr>
                <w:rFonts w:ascii="Arial" w:hAnsi="Arial"/>
                <w:b/>
                <w:bCs/>
                <w:sz w:val="16"/>
                <w:szCs w:val="16"/>
                <w:vertAlign w:val="superscript"/>
                <w:lang w:val="en-AU"/>
              </w:rPr>
              <w:t xml:space="preserve"> [e] </w:t>
            </w:r>
          </w:p>
        </w:tc>
        <w:tc>
          <w:tcPr>
            <w:tcW w:w="1012" w:type="dxa"/>
            <w:tcBorders>
              <w:top w:val="nil"/>
              <w:bottom w:val="nil"/>
            </w:tcBorders>
            <w:shd w:val="clear" w:color="auto" w:fill="auto"/>
            <w:vAlign w:val="center"/>
          </w:tcPr>
          <w:p w14:paraId="250D5846" w14:textId="77777777" w:rsidR="008744BA" w:rsidRPr="003E76E7" w:rsidRDefault="008744BA" w:rsidP="00C4292D">
            <w:pPr>
              <w:spacing w:before="0" w:after="0"/>
              <w:rPr>
                <w:rFonts w:ascii="Arial" w:hAnsi="Arial"/>
                <w:sz w:val="16"/>
                <w:szCs w:val="16"/>
                <w:lang w:val="en-AU"/>
              </w:rPr>
            </w:pPr>
          </w:p>
        </w:tc>
        <w:tc>
          <w:tcPr>
            <w:tcW w:w="1158" w:type="dxa"/>
            <w:tcBorders>
              <w:left w:val="nil"/>
            </w:tcBorders>
            <w:shd w:val="clear" w:color="auto" w:fill="E6E6E6"/>
            <w:vAlign w:val="center"/>
          </w:tcPr>
          <w:p w14:paraId="0C002ED4" w14:textId="77777777" w:rsidR="008744BA" w:rsidRPr="003E76E7" w:rsidRDefault="008744BA" w:rsidP="00C4292D">
            <w:pPr>
              <w:spacing w:before="0" w:after="0"/>
              <w:jc w:val="right"/>
              <w:rPr>
                <w:rFonts w:ascii="Arial" w:hAnsi="Arial"/>
                <w:sz w:val="16"/>
                <w:szCs w:val="16"/>
                <w:lang w:val="en-AU"/>
              </w:rPr>
            </w:pPr>
          </w:p>
        </w:tc>
        <w:tc>
          <w:tcPr>
            <w:tcW w:w="1158" w:type="dxa"/>
            <w:vAlign w:val="center"/>
          </w:tcPr>
          <w:p w14:paraId="7E1133BC" w14:textId="77777777" w:rsidR="008744BA" w:rsidRPr="003E76E7" w:rsidRDefault="008744BA" w:rsidP="00C4292D">
            <w:pPr>
              <w:spacing w:before="0" w:after="0"/>
              <w:rPr>
                <w:rFonts w:ascii="Arial" w:hAnsi="Arial"/>
                <w:sz w:val="16"/>
                <w:szCs w:val="16"/>
                <w:lang w:val="en-AU"/>
              </w:rPr>
            </w:pPr>
          </w:p>
        </w:tc>
        <w:tc>
          <w:tcPr>
            <w:tcW w:w="1158" w:type="dxa"/>
            <w:vAlign w:val="center"/>
          </w:tcPr>
          <w:p w14:paraId="74FAA064" w14:textId="77777777" w:rsidR="008744BA" w:rsidRPr="003E76E7" w:rsidRDefault="008744BA" w:rsidP="00C4292D">
            <w:pPr>
              <w:spacing w:before="0" w:after="0"/>
              <w:rPr>
                <w:rFonts w:ascii="Arial" w:hAnsi="Arial"/>
                <w:sz w:val="16"/>
                <w:szCs w:val="16"/>
                <w:lang w:val="en-AU"/>
              </w:rPr>
            </w:pPr>
          </w:p>
        </w:tc>
        <w:tc>
          <w:tcPr>
            <w:tcW w:w="1158" w:type="dxa"/>
            <w:shd w:val="clear" w:color="auto" w:fill="auto"/>
            <w:vAlign w:val="center"/>
          </w:tcPr>
          <w:p w14:paraId="4DE80826" w14:textId="77777777" w:rsidR="008744BA" w:rsidRPr="003E76E7" w:rsidRDefault="008744BA" w:rsidP="00C4292D">
            <w:pPr>
              <w:spacing w:before="0" w:after="0"/>
              <w:rPr>
                <w:rFonts w:ascii="Arial" w:hAnsi="Arial"/>
                <w:sz w:val="16"/>
                <w:szCs w:val="16"/>
                <w:lang w:val="en-AU"/>
              </w:rPr>
            </w:pPr>
          </w:p>
        </w:tc>
      </w:tr>
      <w:tr w:rsidR="008744BA" w:rsidRPr="003E76E7" w14:paraId="6355B2F5" w14:textId="77777777" w:rsidTr="0087640C">
        <w:trPr>
          <w:trHeight w:val="437"/>
        </w:trPr>
        <w:tc>
          <w:tcPr>
            <w:tcW w:w="345" w:type="dxa"/>
            <w:tcBorders>
              <w:top w:val="nil"/>
              <w:left w:val="nil"/>
              <w:right w:val="single" w:sz="4" w:space="0" w:color="auto"/>
            </w:tcBorders>
            <w:vAlign w:val="center"/>
          </w:tcPr>
          <w:p w14:paraId="6FBBC47E" w14:textId="77777777" w:rsidR="008744BA" w:rsidRPr="003E76E7" w:rsidRDefault="008744BA" w:rsidP="00C4292D">
            <w:pPr>
              <w:spacing w:before="0" w:after="0"/>
              <w:jc w:val="center"/>
              <w:rPr>
                <w:rFonts w:ascii="Arial" w:hAnsi="Arial"/>
                <w:sz w:val="16"/>
                <w:szCs w:val="16"/>
                <w:lang w:val="en-AU"/>
              </w:rPr>
            </w:pPr>
          </w:p>
        </w:tc>
        <w:tc>
          <w:tcPr>
            <w:tcW w:w="2519" w:type="dxa"/>
            <w:vAlign w:val="center"/>
          </w:tcPr>
          <w:p w14:paraId="116E07BE" w14:textId="61B58E02" w:rsidR="008744BA" w:rsidRPr="003E76E7" w:rsidRDefault="008744BA" w:rsidP="00C4292D">
            <w:pPr>
              <w:spacing w:before="0" w:after="0"/>
              <w:rPr>
                <w:rFonts w:ascii="Arial" w:hAnsi="Arial"/>
                <w:sz w:val="16"/>
                <w:szCs w:val="16"/>
                <w:lang w:val="en-AU"/>
              </w:rPr>
            </w:pPr>
            <w:r w:rsidRPr="003E76E7">
              <w:rPr>
                <w:rFonts w:ascii="Arial" w:hAnsi="Arial"/>
                <w:sz w:val="16"/>
                <w:szCs w:val="16"/>
                <w:lang w:val="en-AU"/>
              </w:rPr>
              <w:t>Navy</w:t>
            </w:r>
          </w:p>
        </w:tc>
        <w:tc>
          <w:tcPr>
            <w:tcW w:w="1012" w:type="dxa"/>
            <w:tcBorders>
              <w:top w:val="nil"/>
            </w:tcBorders>
            <w:shd w:val="clear" w:color="auto" w:fill="auto"/>
            <w:vAlign w:val="center"/>
          </w:tcPr>
          <w:p w14:paraId="2DBDDE87" w14:textId="77777777" w:rsidR="008744BA" w:rsidRPr="003E76E7" w:rsidRDefault="008744BA" w:rsidP="00C4292D">
            <w:pPr>
              <w:spacing w:before="0" w:after="0"/>
              <w:jc w:val="right"/>
              <w:rPr>
                <w:rFonts w:ascii="Arial" w:hAnsi="Arial"/>
                <w:color w:val="000000"/>
                <w:sz w:val="16"/>
                <w:szCs w:val="16"/>
                <w:lang w:val="en-AU"/>
              </w:rPr>
            </w:pPr>
            <w:r w:rsidRPr="003E76E7">
              <w:rPr>
                <w:rFonts w:ascii="Arial" w:hAnsi="Arial"/>
                <w:color w:val="000000"/>
                <w:sz w:val="16"/>
                <w:szCs w:val="16"/>
              </w:rPr>
              <w:t>568</w:t>
            </w:r>
          </w:p>
          <w:p w14:paraId="452BC224" w14:textId="7130695C" w:rsidR="008744BA" w:rsidRPr="003E76E7" w:rsidRDefault="008744BA" w:rsidP="00C4292D">
            <w:pPr>
              <w:spacing w:before="0" w:after="0"/>
              <w:jc w:val="right"/>
              <w:rPr>
                <w:rFonts w:ascii="Arial" w:hAnsi="Arial"/>
                <w:color w:val="000000"/>
                <w:sz w:val="16"/>
                <w:szCs w:val="16"/>
              </w:rPr>
            </w:pPr>
            <w:r w:rsidRPr="003E76E7">
              <w:rPr>
                <w:rFonts w:ascii="Arial" w:hAnsi="Arial"/>
                <w:color w:val="000000"/>
                <w:sz w:val="16"/>
                <w:szCs w:val="16"/>
              </w:rPr>
              <w:t>(6)</w:t>
            </w:r>
          </w:p>
        </w:tc>
        <w:tc>
          <w:tcPr>
            <w:tcW w:w="1158" w:type="dxa"/>
            <w:tcBorders>
              <w:left w:val="nil"/>
            </w:tcBorders>
            <w:shd w:val="clear" w:color="auto" w:fill="E6E6E6"/>
            <w:vAlign w:val="center"/>
          </w:tcPr>
          <w:p w14:paraId="6BB320FB" w14:textId="77777777" w:rsidR="008744BA" w:rsidRPr="003E76E7" w:rsidRDefault="008744BA" w:rsidP="00C4292D">
            <w:pPr>
              <w:spacing w:before="0" w:after="0"/>
              <w:jc w:val="right"/>
              <w:rPr>
                <w:rFonts w:ascii="Arial" w:hAnsi="Arial"/>
                <w:color w:val="000000"/>
                <w:sz w:val="16"/>
                <w:szCs w:val="16"/>
              </w:rPr>
            </w:pPr>
            <w:r w:rsidRPr="003E76E7">
              <w:rPr>
                <w:rFonts w:ascii="Arial" w:hAnsi="Arial"/>
                <w:color w:val="000000"/>
                <w:sz w:val="16"/>
                <w:szCs w:val="16"/>
              </w:rPr>
              <w:t>3,736</w:t>
            </w:r>
          </w:p>
          <w:p w14:paraId="3AC3A8CF" w14:textId="4F9CD383" w:rsidR="008744BA" w:rsidRPr="003E76E7" w:rsidRDefault="008744BA" w:rsidP="00C4292D">
            <w:pPr>
              <w:spacing w:before="0" w:after="0"/>
              <w:jc w:val="right"/>
              <w:rPr>
                <w:rFonts w:ascii="Arial" w:hAnsi="Arial"/>
                <w:color w:val="000000"/>
                <w:sz w:val="16"/>
                <w:szCs w:val="16"/>
              </w:rPr>
            </w:pPr>
            <w:r w:rsidRPr="003E76E7">
              <w:rPr>
                <w:rFonts w:ascii="Arial" w:hAnsi="Arial"/>
                <w:color w:val="000000"/>
                <w:sz w:val="16"/>
                <w:szCs w:val="16"/>
              </w:rPr>
              <w:t>(46)</w:t>
            </w:r>
          </w:p>
        </w:tc>
        <w:tc>
          <w:tcPr>
            <w:tcW w:w="1158" w:type="dxa"/>
            <w:vAlign w:val="center"/>
          </w:tcPr>
          <w:p w14:paraId="5EF2EC4B" w14:textId="77777777" w:rsidR="008744BA" w:rsidRPr="003E76E7" w:rsidRDefault="008744BA" w:rsidP="00C4292D">
            <w:pPr>
              <w:spacing w:before="0" w:after="0"/>
              <w:jc w:val="right"/>
              <w:rPr>
                <w:rFonts w:ascii="Arial" w:hAnsi="Arial"/>
                <w:color w:val="000000"/>
                <w:sz w:val="16"/>
                <w:szCs w:val="16"/>
              </w:rPr>
            </w:pPr>
            <w:r w:rsidRPr="003E76E7">
              <w:rPr>
                <w:rFonts w:ascii="Arial" w:hAnsi="Arial"/>
                <w:color w:val="000000"/>
                <w:sz w:val="16"/>
                <w:szCs w:val="16"/>
              </w:rPr>
              <w:t xml:space="preserve">6,515 </w:t>
            </w:r>
          </w:p>
          <w:p w14:paraId="7F2FDCD8" w14:textId="03A3A5FF" w:rsidR="008744BA" w:rsidRPr="003E76E7" w:rsidRDefault="008744BA" w:rsidP="00C4292D">
            <w:pPr>
              <w:spacing w:before="0" w:after="0"/>
              <w:jc w:val="right"/>
              <w:rPr>
                <w:rFonts w:ascii="Arial" w:hAnsi="Arial"/>
                <w:color w:val="000000"/>
                <w:sz w:val="16"/>
                <w:szCs w:val="16"/>
              </w:rPr>
            </w:pPr>
            <w:r w:rsidRPr="003E76E7">
              <w:rPr>
                <w:rFonts w:ascii="Arial" w:hAnsi="Arial"/>
                <w:color w:val="000000"/>
                <w:sz w:val="16"/>
                <w:szCs w:val="16"/>
              </w:rPr>
              <w:t>(82)</w:t>
            </w:r>
          </w:p>
        </w:tc>
        <w:tc>
          <w:tcPr>
            <w:tcW w:w="1158" w:type="dxa"/>
            <w:vAlign w:val="center"/>
          </w:tcPr>
          <w:p w14:paraId="35518D86" w14:textId="77777777" w:rsidR="008744BA" w:rsidRPr="003E76E7" w:rsidRDefault="008744BA" w:rsidP="00C4292D">
            <w:pPr>
              <w:spacing w:before="0" w:after="0"/>
              <w:jc w:val="right"/>
              <w:rPr>
                <w:rFonts w:ascii="Arial" w:hAnsi="Arial"/>
                <w:color w:val="000000"/>
                <w:sz w:val="16"/>
                <w:szCs w:val="16"/>
              </w:rPr>
            </w:pPr>
            <w:r w:rsidRPr="003E76E7">
              <w:rPr>
                <w:rFonts w:ascii="Arial" w:hAnsi="Arial"/>
                <w:color w:val="000000"/>
                <w:sz w:val="16"/>
                <w:szCs w:val="16"/>
              </w:rPr>
              <w:t xml:space="preserve">9,168 </w:t>
            </w:r>
          </w:p>
          <w:p w14:paraId="6A384DE4" w14:textId="7A0A923D" w:rsidR="008744BA" w:rsidRPr="003E76E7" w:rsidRDefault="008744BA" w:rsidP="00C4292D">
            <w:pPr>
              <w:spacing w:before="0" w:after="0"/>
              <w:jc w:val="right"/>
              <w:rPr>
                <w:rFonts w:ascii="Arial" w:hAnsi="Arial"/>
                <w:color w:val="000000"/>
                <w:sz w:val="16"/>
                <w:szCs w:val="16"/>
              </w:rPr>
            </w:pPr>
            <w:r w:rsidRPr="003E76E7">
              <w:rPr>
                <w:rFonts w:ascii="Arial" w:hAnsi="Arial"/>
                <w:color w:val="000000"/>
                <w:sz w:val="16"/>
                <w:szCs w:val="16"/>
              </w:rPr>
              <w:t>(118)</w:t>
            </w:r>
          </w:p>
        </w:tc>
        <w:tc>
          <w:tcPr>
            <w:tcW w:w="1158" w:type="dxa"/>
            <w:shd w:val="clear" w:color="auto" w:fill="auto"/>
            <w:vAlign w:val="center"/>
          </w:tcPr>
          <w:p w14:paraId="5E4CDF33" w14:textId="77777777" w:rsidR="008744BA" w:rsidRPr="003E76E7" w:rsidRDefault="008744BA" w:rsidP="00C4292D">
            <w:pPr>
              <w:spacing w:before="0" w:after="0"/>
              <w:jc w:val="right"/>
              <w:rPr>
                <w:rFonts w:ascii="Arial" w:hAnsi="Arial"/>
                <w:sz w:val="16"/>
                <w:szCs w:val="16"/>
                <w:lang w:val="en-AU"/>
              </w:rPr>
            </w:pPr>
            <w:r w:rsidRPr="003E76E7">
              <w:rPr>
                <w:rFonts w:ascii="Arial" w:hAnsi="Arial"/>
                <w:sz w:val="16"/>
                <w:szCs w:val="16"/>
                <w:lang w:val="en-AU"/>
              </w:rPr>
              <w:t xml:space="preserve">11,596 </w:t>
            </w:r>
          </w:p>
          <w:p w14:paraId="0D1114C0" w14:textId="488D548D" w:rsidR="008744BA" w:rsidRPr="003E76E7" w:rsidRDefault="008744BA" w:rsidP="00C4292D">
            <w:pPr>
              <w:spacing w:before="0" w:after="0"/>
              <w:jc w:val="right"/>
              <w:rPr>
                <w:rFonts w:ascii="Arial" w:hAnsi="Arial"/>
                <w:sz w:val="16"/>
                <w:szCs w:val="16"/>
                <w:lang w:val="en-AU"/>
              </w:rPr>
            </w:pPr>
            <w:r w:rsidRPr="003E76E7">
              <w:rPr>
                <w:rFonts w:ascii="Arial" w:hAnsi="Arial"/>
                <w:sz w:val="16"/>
                <w:szCs w:val="16"/>
                <w:lang w:val="en-AU"/>
              </w:rPr>
              <w:t>(152)</w:t>
            </w:r>
          </w:p>
        </w:tc>
      </w:tr>
      <w:tr w:rsidR="008744BA" w:rsidRPr="003E76E7" w14:paraId="7B37D3C7" w14:textId="77777777" w:rsidTr="0087640C">
        <w:trPr>
          <w:trHeight w:val="437"/>
        </w:trPr>
        <w:tc>
          <w:tcPr>
            <w:tcW w:w="345" w:type="dxa"/>
            <w:tcBorders>
              <w:top w:val="nil"/>
              <w:left w:val="nil"/>
              <w:right w:val="single" w:sz="4" w:space="0" w:color="auto"/>
            </w:tcBorders>
            <w:vAlign w:val="center"/>
          </w:tcPr>
          <w:p w14:paraId="11D3D7EF" w14:textId="77777777" w:rsidR="008744BA" w:rsidRPr="003E76E7" w:rsidRDefault="008744BA" w:rsidP="00C4292D">
            <w:pPr>
              <w:spacing w:before="0" w:after="0"/>
              <w:jc w:val="center"/>
              <w:rPr>
                <w:rFonts w:ascii="Arial" w:hAnsi="Arial"/>
                <w:sz w:val="16"/>
                <w:szCs w:val="16"/>
                <w:lang w:val="en-AU"/>
              </w:rPr>
            </w:pPr>
          </w:p>
        </w:tc>
        <w:tc>
          <w:tcPr>
            <w:tcW w:w="2519" w:type="dxa"/>
            <w:vAlign w:val="center"/>
          </w:tcPr>
          <w:p w14:paraId="070FB136" w14:textId="1A7D36DC" w:rsidR="008744BA" w:rsidRPr="003E76E7" w:rsidRDefault="008744BA" w:rsidP="00C4292D">
            <w:pPr>
              <w:spacing w:before="0" w:after="0"/>
              <w:rPr>
                <w:rFonts w:ascii="Arial" w:hAnsi="Arial"/>
                <w:sz w:val="16"/>
                <w:szCs w:val="16"/>
                <w:lang w:val="en-AU"/>
              </w:rPr>
            </w:pPr>
            <w:r w:rsidRPr="003E76E7">
              <w:rPr>
                <w:rFonts w:ascii="Arial" w:hAnsi="Arial"/>
                <w:sz w:val="16"/>
                <w:szCs w:val="16"/>
                <w:lang w:val="en-AU"/>
              </w:rPr>
              <w:t>Army</w:t>
            </w:r>
          </w:p>
        </w:tc>
        <w:tc>
          <w:tcPr>
            <w:tcW w:w="1012" w:type="dxa"/>
            <w:tcBorders>
              <w:top w:val="nil"/>
            </w:tcBorders>
            <w:shd w:val="clear" w:color="auto" w:fill="auto"/>
            <w:vAlign w:val="center"/>
          </w:tcPr>
          <w:p w14:paraId="67D3007C" w14:textId="77777777" w:rsidR="008744BA" w:rsidRPr="003E76E7" w:rsidRDefault="008744BA" w:rsidP="00C4292D">
            <w:pPr>
              <w:spacing w:before="0" w:after="0"/>
              <w:jc w:val="right"/>
              <w:rPr>
                <w:rFonts w:ascii="Arial" w:hAnsi="Arial"/>
                <w:color w:val="000000"/>
                <w:sz w:val="16"/>
                <w:szCs w:val="16"/>
                <w:lang w:val="en-AU"/>
              </w:rPr>
            </w:pPr>
            <w:r w:rsidRPr="003E76E7">
              <w:rPr>
                <w:rFonts w:ascii="Arial" w:hAnsi="Arial"/>
                <w:color w:val="000000"/>
                <w:sz w:val="16"/>
                <w:szCs w:val="16"/>
              </w:rPr>
              <w:t>63,790</w:t>
            </w:r>
          </w:p>
          <w:p w14:paraId="000E1FBD" w14:textId="2874E786" w:rsidR="008744BA" w:rsidRPr="003E76E7" w:rsidRDefault="008744BA" w:rsidP="00C4292D">
            <w:pPr>
              <w:spacing w:before="0" w:after="0"/>
              <w:jc w:val="right"/>
              <w:rPr>
                <w:rFonts w:ascii="Arial" w:hAnsi="Arial"/>
                <w:color w:val="000000"/>
                <w:sz w:val="16"/>
                <w:szCs w:val="16"/>
              </w:rPr>
            </w:pPr>
            <w:r w:rsidRPr="003E76E7">
              <w:rPr>
                <w:rFonts w:ascii="Arial" w:hAnsi="Arial"/>
                <w:color w:val="000000"/>
                <w:sz w:val="16"/>
                <w:szCs w:val="16"/>
              </w:rPr>
              <w:t>(747)</w:t>
            </w:r>
          </w:p>
        </w:tc>
        <w:tc>
          <w:tcPr>
            <w:tcW w:w="1158" w:type="dxa"/>
            <w:tcBorders>
              <w:left w:val="nil"/>
            </w:tcBorders>
            <w:shd w:val="clear" w:color="auto" w:fill="E6E6E6"/>
            <w:vAlign w:val="center"/>
          </w:tcPr>
          <w:p w14:paraId="1D9C8573" w14:textId="77777777" w:rsidR="008744BA" w:rsidRPr="003E76E7" w:rsidRDefault="008744BA" w:rsidP="00C4292D">
            <w:pPr>
              <w:spacing w:before="0" w:after="0"/>
              <w:jc w:val="right"/>
              <w:rPr>
                <w:rFonts w:ascii="Arial" w:hAnsi="Arial"/>
                <w:color w:val="000000"/>
                <w:sz w:val="16"/>
                <w:szCs w:val="16"/>
              </w:rPr>
            </w:pPr>
            <w:r w:rsidRPr="003E76E7">
              <w:rPr>
                <w:rFonts w:ascii="Arial" w:hAnsi="Arial"/>
                <w:color w:val="000000"/>
                <w:sz w:val="16"/>
                <w:szCs w:val="16"/>
              </w:rPr>
              <w:t>57,752</w:t>
            </w:r>
          </w:p>
          <w:p w14:paraId="38E45533" w14:textId="7D27F70A" w:rsidR="008744BA" w:rsidRPr="003E76E7" w:rsidRDefault="008744BA" w:rsidP="00C4292D">
            <w:pPr>
              <w:spacing w:before="0" w:after="0"/>
              <w:jc w:val="right"/>
              <w:rPr>
                <w:rFonts w:ascii="Arial" w:hAnsi="Arial"/>
                <w:color w:val="000000"/>
                <w:sz w:val="16"/>
                <w:szCs w:val="16"/>
              </w:rPr>
            </w:pPr>
            <w:r w:rsidRPr="003E76E7">
              <w:rPr>
                <w:rFonts w:ascii="Arial" w:hAnsi="Arial"/>
                <w:color w:val="000000"/>
                <w:sz w:val="16"/>
                <w:szCs w:val="16"/>
              </w:rPr>
              <w:t>(711)</w:t>
            </w:r>
          </w:p>
        </w:tc>
        <w:tc>
          <w:tcPr>
            <w:tcW w:w="1158" w:type="dxa"/>
            <w:vAlign w:val="center"/>
          </w:tcPr>
          <w:p w14:paraId="52BD85C1" w14:textId="77777777" w:rsidR="008744BA" w:rsidRPr="003E76E7" w:rsidRDefault="008744BA" w:rsidP="00C4292D">
            <w:pPr>
              <w:spacing w:before="0" w:after="0"/>
              <w:jc w:val="right"/>
              <w:rPr>
                <w:rFonts w:ascii="Arial" w:hAnsi="Arial"/>
                <w:color w:val="000000"/>
                <w:sz w:val="16"/>
                <w:szCs w:val="16"/>
              </w:rPr>
            </w:pPr>
            <w:r w:rsidRPr="003E76E7">
              <w:rPr>
                <w:rFonts w:ascii="Arial" w:hAnsi="Arial"/>
                <w:color w:val="000000"/>
                <w:sz w:val="16"/>
                <w:szCs w:val="16"/>
              </w:rPr>
              <w:t>53,552</w:t>
            </w:r>
          </w:p>
          <w:p w14:paraId="2AA56091" w14:textId="45FD5E9B" w:rsidR="008744BA" w:rsidRPr="003E76E7" w:rsidRDefault="008744BA" w:rsidP="00C4292D">
            <w:pPr>
              <w:spacing w:before="0" w:after="0"/>
              <w:jc w:val="right"/>
              <w:rPr>
                <w:rFonts w:ascii="Arial" w:hAnsi="Arial"/>
                <w:color w:val="000000"/>
                <w:sz w:val="16"/>
                <w:szCs w:val="16"/>
              </w:rPr>
            </w:pPr>
            <w:r w:rsidRPr="003E76E7">
              <w:rPr>
                <w:rFonts w:ascii="Arial" w:hAnsi="Arial"/>
                <w:color w:val="000000"/>
                <w:sz w:val="16"/>
                <w:szCs w:val="16"/>
              </w:rPr>
              <w:t>(674)</w:t>
            </w:r>
          </w:p>
        </w:tc>
        <w:tc>
          <w:tcPr>
            <w:tcW w:w="1158" w:type="dxa"/>
            <w:vAlign w:val="center"/>
          </w:tcPr>
          <w:p w14:paraId="79410CCC" w14:textId="77777777" w:rsidR="008744BA" w:rsidRPr="003E76E7" w:rsidRDefault="008744BA" w:rsidP="00C4292D">
            <w:pPr>
              <w:spacing w:before="0" w:after="0"/>
              <w:jc w:val="right"/>
              <w:rPr>
                <w:rFonts w:ascii="Arial" w:hAnsi="Arial"/>
                <w:sz w:val="16"/>
                <w:szCs w:val="16"/>
                <w:lang w:val="en-AU"/>
              </w:rPr>
            </w:pPr>
            <w:r w:rsidRPr="003E76E7">
              <w:rPr>
                <w:rFonts w:ascii="Arial" w:hAnsi="Arial"/>
                <w:sz w:val="16"/>
                <w:szCs w:val="16"/>
                <w:lang w:val="en-AU"/>
              </w:rPr>
              <w:t>49,802</w:t>
            </w:r>
          </w:p>
          <w:p w14:paraId="25767664" w14:textId="10737456" w:rsidR="008744BA" w:rsidRPr="003E76E7" w:rsidRDefault="008744BA" w:rsidP="00C4292D">
            <w:pPr>
              <w:spacing w:before="0" w:after="0"/>
              <w:jc w:val="right"/>
              <w:rPr>
                <w:rFonts w:ascii="Arial" w:hAnsi="Arial"/>
                <w:color w:val="000000"/>
                <w:sz w:val="16"/>
                <w:szCs w:val="16"/>
              </w:rPr>
            </w:pPr>
            <w:r w:rsidRPr="003E76E7">
              <w:rPr>
                <w:rFonts w:ascii="Arial" w:hAnsi="Arial"/>
                <w:sz w:val="16"/>
                <w:szCs w:val="16"/>
                <w:lang w:val="en-AU"/>
              </w:rPr>
              <w:t>(641)</w:t>
            </w:r>
          </w:p>
        </w:tc>
        <w:tc>
          <w:tcPr>
            <w:tcW w:w="1158" w:type="dxa"/>
            <w:shd w:val="clear" w:color="auto" w:fill="auto"/>
            <w:vAlign w:val="center"/>
          </w:tcPr>
          <w:p w14:paraId="59E20AD0" w14:textId="77777777" w:rsidR="008744BA" w:rsidRPr="003E76E7" w:rsidRDefault="008744BA" w:rsidP="00C4292D">
            <w:pPr>
              <w:spacing w:before="0" w:after="0"/>
              <w:jc w:val="right"/>
              <w:rPr>
                <w:rFonts w:ascii="Arial" w:hAnsi="Arial"/>
                <w:sz w:val="16"/>
                <w:szCs w:val="16"/>
                <w:lang w:val="en-AU"/>
              </w:rPr>
            </w:pPr>
            <w:r w:rsidRPr="003E76E7">
              <w:rPr>
                <w:rFonts w:ascii="Arial" w:hAnsi="Arial"/>
                <w:sz w:val="16"/>
                <w:szCs w:val="16"/>
                <w:lang w:val="en-AU"/>
              </w:rPr>
              <w:t>46,386</w:t>
            </w:r>
          </w:p>
          <w:p w14:paraId="4CA89A64" w14:textId="4691089A" w:rsidR="008744BA" w:rsidRPr="003E76E7" w:rsidRDefault="008744BA" w:rsidP="00C4292D">
            <w:pPr>
              <w:spacing w:before="0" w:after="0"/>
              <w:jc w:val="right"/>
              <w:rPr>
                <w:rFonts w:ascii="Arial" w:hAnsi="Arial"/>
                <w:sz w:val="16"/>
                <w:szCs w:val="16"/>
                <w:lang w:val="en-AU"/>
              </w:rPr>
            </w:pPr>
            <w:r w:rsidRPr="003E76E7">
              <w:rPr>
                <w:rFonts w:ascii="Arial" w:hAnsi="Arial"/>
                <w:sz w:val="16"/>
                <w:szCs w:val="16"/>
                <w:lang w:val="en-AU"/>
              </w:rPr>
              <w:t>(608)</w:t>
            </w:r>
          </w:p>
        </w:tc>
      </w:tr>
      <w:tr w:rsidR="008744BA" w:rsidRPr="003E76E7" w14:paraId="127F9783" w14:textId="77777777" w:rsidTr="0087640C">
        <w:trPr>
          <w:trHeight w:val="437"/>
        </w:trPr>
        <w:tc>
          <w:tcPr>
            <w:tcW w:w="345" w:type="dxa"/>
            <w:tcBorders>
              <w:top w:val="nil"/>
              <w:left w:val="nil"/>
              <w:right w:val="single" w:sz="4" w:space="0" w:color="auto"/>
            </w:tcBorders>
            <w:vAlign w:val="center"/>
            <w:hideMark/>
          </w:tcPr>
          <w:p w14:paraId="24CDB944" w14:textId="77777777" w:rsidR="008744BA" w:rsidRPr="003E76E7" w:rsidRDefault="008744BA" w:rsidP="00C4292D">
            <w:pPr>
              <w:spacing w:before="0" w:after="0"/>
              <w:jc w:val="center"/>
              <w:rPr>
                <w:rFonts w:ascii="Arial" w:hAnsi="Arial"/>
                <w:sz w:val="16"/>
                <w:szCs w:val="16"/>
                <w:lang w:val="en-AU"/>
              </w:rPr>
            </w:pPr>
          </w:p>
        </w:tc>
        <w:tc>
          <w:tcPr>
            <w:tcW w:w="2519" w:type="dxa"/>
            <w:vAlign w:val="center"/>
            <w:hideMark/>
          </w:tcPr>
          <w:p w14:paraId="03493D00" w14:textId="11917C5D" w:rsidR="008744BA" w:rsidRPr="003E76E7" w:rsidRDefault="008744BA" w:rsidP="00C4292D">
            <w:pPr>
              <w:spacing w:before="0" w:after="0"/>
              <w:rPr>
                <w:rFonts w:ascii="Arial" w:hAnsi="Arial"/>
                <w:sz w:val="16"/>
                <w:szCs w:val="16"/>
                <w:lang w:val="en-AU"/>
              </w:rPr>
            </w:pPr>
            <w:r w:rsidRPr="003E76E7">
              <w:rPr>
                <w:rFonts w:ascii="Arial" w:hAnsi="Arial"/>
                <w:sz w:val="16"/>
                <w:szCs w:val="16"/>
                <w:lang w:val="en-AU"/>
              </w:rPr>
              <w:t>Air Force</w:t>
            </w:r>
          </w:p>
        </w:tc>
        <w:tc>
          <w:tcPr>
            <w:tcW w:w="1012" w:type="dxa"/>
            <w:tcBorders>
              <w:top w:val="nil"/>
            </w:tcBorders>
            <w:shd w:val="clear" w:color="auto" w:fill="auto"/>
            <w:vAlign w:val="center"/>
          </w:tcPr>
          <w:p w14:paraId="3D6742B6" w14:textId="77777777" w:rsidR="008744BA" w:rsidRPr="003E76E7" w:rsidRDefault="008744BA" w:rsidP="00C4292D">
            <w:pPr>
              <w:spacing w:before="0" w:after="0"/>
              <w:jc w:val="right"/>
              <w:rPr>
                <w:rFonts w:ascii="Arial" w:hAnsi="Arial"/>
                <w:color w:val="000000"/>
                <w:sz w:val="16"/>
                <w:szCs w:val="16"/>
                <w:lang w:val="en-AU"/>
              </w:rPr>
            </w:pPr>
            <w:r w:rsidRPr="003E76E7">
              <w:rPr>
                <w:rFonts w:ascii="Arial" w:hAnsi="Arial"/>
                <w:color w:val="000000"/>
                <w:sz w:val="16"/>
                <w:szCs w:val="16"/>
              </w:rPr>
              <w:t>1,898</w:t>
            </w:r>
          </w:p>
          <w:p w14:paraId="789BFFBA" w14:textId="56AEB7C7" w:rsidR="008744BA" w:rsidRPr="003E76E7" w:rsidRDefault="008744BA" w:rsidP="00C4292D">
            <w:pPr>
              <w:spacing w:before="0" w:after="0"/>
              <w:jc w:val="right"/>
              <w:rPr>
                <w:rFonts w:ascii="Arial" w:hAnsi="Arial"/>
                <w:sz w:val="16"/>
                <w:szCs w:val="16"/>
                <w:lang w:val="en-AU"/>
              </w:rPr>
            </w:pPr>
            <w:r w:rsidRPr="003E76E7">
              <w:rPr>
                <w:rFonts w:ascii="Arial" w:hAnsi="Arial"/>
                <w:color w:val="000000"/>
                <w:sz w:val="16"/>
                <w:szCs w:val="16"/>
              </w:rPr>
              <w:t>(28)</w:t>
            </w:r>
          </w:p>
        </w:tc>
        <w:tc>
          <w:tcPr>
            <w:tcW w:w="1158" w:type="dxa"/>
            <w:tcBorders>
              <w:left w:val="nil"/>
            </w:tcBorders>
            <w:shd w:val="clear" w:color="auto" w:fill="E6E6E6"/>
            <w:vAlign w:val="center"/>
          </w:tcPr>
          <w:p w14:paraId="474A52BB" w14:textId="77777777" w:rsidR="008744BA" w:rsidRPr="003E76E7" w:rsidRDefault="008744BA" w:rsidP="00C4292D">
            <w:pPr>
              <w:spacing w:before="0" w:after="0"/>
              <w:jc w:val="right"/>
              <w:rPr>
                <w:rFonts w:ascii="Arial" w:hAnsi="Arial"/>
                <w:color w:val="000000"/>
                <w:sz w:val="16"/>
                <w:szCs w:val="16"/>
              </w:rPr>
            </w:pPr>
            <w:r w:rsidRPr="003E76E7">
              <w:rPr>
                <w:rFonts w:ascii="Arial" w:hAnsi="Arial"/>
                <w:color w:val="000000"/>
                <w:sz w:val="16"/>
                <w:szCs w:val="16"/>
              </w:rPr>
              <w:t>7,473</w:t>
            </w:r>
          </w:p>
          <w:p w14:paraId="28A7FA02" w14:textId="63666AFF" w:rsidR="008744BA" w:rsidRPr="003E76E7" w:rsidRDefault="008744BA" w:rsidP="00C4292D">
            <w:pPr>
              <w:spacing w:before="0" w:after="0"/>
              <w:jc w:val="right"/>
              <w:rPr>
                <w:rFonts w:ascii="Arial" w:hAnsi="Arial"/>
                <w:sz w:val="16"/>
                <w:szCs w:val="16"/>
                <w:lang w:val="en-AU"/>
              </w:rPr>
            </w:pPr>
            <w:r w:rsidRPr="003E76E7">
              <w:rPr>
                <w:rFonts w:ascii="Arial" w:hAnsi="Arial"/>
                <w:color w:val="000000"/>
                <w:sz w:val="16"/>
                <w:szCs w:val="16"/>
              </w:rPr>
              <w:t>(92)</w:t>
            </w:r>
          </w:p>
        </w:tc>
        <w:tc>
          <w:tcPr>
            <w:tcW w:w="1158" w:type="dxa"/>
            <w:vAlign w:val="center"/>
          </w:tcPr>
          <w:p w14:paraId="6395C493" w14:textId="77777777" w:rsidR="008744BA" w:rsidRPr="003E76E7" w:rsidRDefault="008744BA" w:rsidP="00C4292D">
            <w:pPr>
              <w:spacing w:before="0" w:after="0"/>
              <w:jc w:val="right"/>
              <w:rPr>
                <w:rFonts w:ascii="Arial" w:hAnsi="Arial"/>
                <w:color w:val="000000"/>
                <w:sz w:val="16"/>
                <w:szCs w:val="16"/>
              </w:rPr>
            </w:pPr>
            <w:r w:rsidRPr="003E76E7">
              <w:rPr>
                <w:rFonts w:ascii="Arial" w:hAnsi="Arial"/>
                <w:color w:val="000000"/>
                <w:sz w:val="16"/>
                <w:szCs w:val="16"/>
              </w:rPr>
              <w:t>10,329</w:t>
            </w:r>
          </w:p>
          <w:p w14:paraId="52DB3FB5" w14:textId="19A2EFE3" w:rsidR="008744BA" w:rsidRPr="003E76E7" w:rsidRDefault="008744BA" w:rsidP="00C4292D">
            <w:pPr>
              <w:spacing w:before="0" w:after="0"/>
              <w:jc w:val="right"/>
              <w:rPr>
                <w:rFonts w:ascii="Arial" w:hAnsi="Arial"/>
                <w:sz w:val="16"/>
                <w:szCs w:val="16"/>
                <w:lang w:val="en-AU"/>
              </w:rPr>
            </w:pPr>
            <w:r w:rsidRPr="003E76E7">
              <w:rPr>
                <w:rFonts w:ascii="Arial" w:hAnsi="Arial"/>
                <w:color w:val="000000"/>
                <w:sz w:val="16"/>
                <w:szCs w:val="16"/>
              </w:rPr>
              <w:t>(130)</w:t>
            </w:r>
          </w:p>
        </w:tc>
        <w:tc>
          <w:tcPr>
            <w:tcW w:w="1158" w:type="dxa"/>
            <w:vAlign w:val="center"/>
          </w:tcPr>
          <w:p w14:paraId="11B93993" w14:textId="77777777" w:rsidR="008744BA" w:rsidRPr="003E76E7" w:rsidRDefault="008744BA" w:rsidP="00C4292D">
            <w:pPr>
              <w:spacing w:before="0" w:after="0"/>
              <w:jc w:val="right"/>
              <w:rPr>
                <w:rFonts w:ascii="Arial" w:hAnsi="Arial"/>
                <w:color w:val="000000"/>
                <w:sz w:val="16"/>
                <w:szCs w:val="16"/>
              </w:rPr>
            </w:pPr>
            <w:r w:rsidRPr="003E76E7">
              <w:rPr>
                <w:rFonts w:ascii="Arial" w:hAnsi="Arial"/>
                <w:color w:val="000000"/>
                <w:sz w:val="16"/>
                <w:szCs w:val="16"/>
              </w:rPr>
              <w:t>12,742</w:t>
            </w:r>
          </w:p>
          <w:p w14:paraId="55F8915D" w14:textId="37745F06" w:rsidR="008744BA" w:rsidRPr="003E76E7" w:rsidRDefault="008744BA" w:rsidP="00C4292D">
            <w:pPr>
              <w:spacing w:before="0" w:after="0"/>
              <w:jc w:val="right"/>
              <w:rPr>
                <w:rFonts w:ascii="Arial" w:hAnsi="Arial"/>
                <w:sz w:val="16"/>
                <w:szCs w:val="16"/>
                <w:lang w:val="en-AU"/>
              </w:rPr>
            </w:pPr>
            <w:r w:rsidRPr="003E76E7">
              <w:rPr>
                <w:rFonts w:ascii="Arial" w:hAnsi="Arial"/>
                <w:color w:val="000000"/>
                <w:sz w:val="16"/>
                <w:szCs w:val="16"/>
              </w:rPr>
              <w:t>(164)</w:t>
            </w:r>
          </w:p>
        </w:tc>
        <w:tc>
          <w:tcPr>
            <w:tcW w:w="1158" w:type="dxa"/>
            <w:shd w:val="clear" w:color="auto" w:fill="auto"/>
            <w:vAlign w:val="center"/>
          </w:tcPr>
          <w:p w14:paraId="48FF63A9" w14:textId="77777777" w:rsidR="008744BA" w:rsidRPr="003E76E7" w:rsidRDefault="008744BA" w:rsidP="00C4292D">
            <w:pPr>
              <w:spacing w:before="0" w:after="0"/>
              <w:jc w:val="right"/>
              <w:rPr>
                <w:rFonts w:ascii="Arial" w:hAnsi="Arial"/>
                <w:sz w:val="16"/>
                <w:szCs w:val="16"/>
                <w:lang w:val="en-AU"/>
              </w:rPr>
            </w:pPr>
            <w:r w:rsidRPr="003E76E7">
              <w:rPr>
                <w:rFonts w:ascii="Arial" w:hAnsi="Arial"/>
                <w:sz w:val="16"/>
                <w:szCs w:val="16"/>
                <w:lang w:val="en-AU"/>
              </w:rPr>
              <w:t>15,259</w:t>
            </w:r>
          </w:p>
          <w:p w14:paraId="1E969930" w14:textId="2E50FD5E" w:rsidR="008744BA" w:rsidRPr="003E76E7" w:rsidRDefault="008744BA" w:rsidP="00C4292D">
            <w:pPr>
              <w:spacing w:before="0" w:after="0"/>
              <w:jc w:val="right"/>
              <w:rPr>
                <w:rFonts w:ascii="Arial" w:hAnsi="Arial"/>
                <w:sz w:val="16"/>
                <w:szCs w:val="16"/>
                <w:lang w:val="en-AU"/>
              </w:rPr>
            </w:pPr>
            <w:r w:rsidRPr="003E76E7">
              <w:rPr>
                <w:rFonts w:ascii="Arial" w:hAnsi="Arial"/>
                <w:sz w:val="16"/>
                <w:szCs w:val="16"/>
                <w:lang w:val="en-AU"/>
              </w:rPr>
              <w:t>(200)</w:t>
            </w:r>
          </w:p>
        </w:tc>
      </w:tr>
      <w:tr w:rsidR="008744BA" w:rsidRPr="003E76E7" w14:paraId="34AE4E11" w14:textId="77777777" w:rsidTr="0087640C">
        <w:trPr>
          <w:trHeight w:val="437"/>
        </w:trPr>
        <w:tc>
          <w:tcPr>
            <w:tcW w:w="345" w:type="dxa"/>
            <w:tcBorders>
              <w:left w:val="nil"/>
              <w:bottom w:val="single" w:sz="4" w:space="0" w:color="auto"/>
              <w:right w:val="single" w:sz="4" w:space="0" w:color="auto"/>
            </w:tcBorders>
            <w:shd w:val="clear" w:color="auto" w:fill="E6E6E6"/>
            <w:vAlign w:val="center"/>
            <w:hideMark/>
          </w:tcPr>
          <w:p w14:paraId="43E44499" w14:textId="77777777" w:rsidR="008744BA" w:rsidRPr="003E76E7" w:rsidRDefault="008744BA" w:rsidP="00C4292D">
            <w:pPr>
              <w:spacing w:before="0" w:after="0"/>
              <w:jc w:val="center"/>
              <w:rPr>
                <w:rFonts w:ascii="Arial" w:hAnsi="Arial"/>
                <w:b/>
                <w:sz w:val="16"/>
                <w:szCs w:val="16"/>
                <w:lang w:val="en-AU"/>
              </w:rPr>
            </w:pPr>
            <w:r w:rsidRPr="003E76E7">
              <w:rPr>
                <w:rFonts w:ascii="Arial" w:hAnsi="Arial"/>
                <w:b/>
                <w:sz w:val="16"/>
                <w:szCs w:val="16"/>
                <w:lang w:val="en-AU"/>
              </w:rPr>
              <w:t>2</w:t>
            </w:r>
          </w:p>
        </w:tc>
        <w:tc>
          <w:tcPr>
            <w:tcW w:w="2519" w:type="dxa"/>
            <w:tcBorders>
              <w:left w:val="nil"/>
              <w:bottom w:val="single" w:sz="4" w:space="0" w:color="auto"/>
              <w:right w:val="nil"/>
            </w:tcBorders>
            <w:shd w:val="clear" w:color="auto" w:fill="E6E6E6"/>
            <w:vAlign w:val="center"/>
            <w:hideMark/>
          </w:tcPr>
          <w:p w14:paraId="27286A6A" w14:textId="6E4E7C9D" w:rsidR="008744BA" w:rsidRPr="003E76E7" w:rsidRDefault="008744BA" w:rsidP="00C4292D">
            <w:pPr>
              <w:spacing w:before="0" w:after="0"/>
              <w:rPr>
                <w:rFonts w:ascii="Arial" w:hAnsi="Arial"/>
                <w:b/>
                <w:bCs/>
                <w:sz w:val="16"/>
                <w:szCs w:val="16"/>
                <w:lang w:val="en-AU"/>
              </w:rPr>
            </w:pPr>
            <w:r w:rsidRPr="003E76E7">
              <w:rPr>
                <w:rFonts w:ascii="Arial" w:hAnsi="Arial"/>
                <w:b/>
                <w:bCs/>
                <w:sz w:val="16"/>
                <w:szCs w:val="16"/>
                <w:lang w:val="en-AU"/>
              </w:rPr>
              <w:t>Sub-total Service Category 4</w:t>
            </w:r>
          </w:p>
        </w:tc>
        <w:tc>
          <w:tcPr>
            <w:tcW w:w="1012" w:type="dxa"/>
            <w:tcBorders>
              <w:bottom w:val="single" w:sz="4" w:space="0" w:color="auto"/>
            </w:tcBorders>
            <w:shd w:val="clear" w:color="auto" w:fill="E6E6E6"/>
            <w:vAlign w:val="center"/>
          </w:tcPr>
          <w:p w14:paraId="2F296869" w14:textId="77777777" w:rsidR="008744BA" w:rsidRPr="003E76E7" w:rsidRDefault="008744BA"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rPr>
              <w:t>66,256</w:t>
            </w:r>
          </w:p>
          <w:p w14:paraId="60E04B7D" w14:textId="58377258" w:rsidR="008744BA" w:rsidRPr="003E76E7" w:rsidRDefault="008744BA" w:rsidP="00C4292D">
            <w:pPr>
              <w:spacing w:before="0" w:after="0"/>
              <w:jc w:val="right"/>
              <w:rPr>
                <w:rFonts w:ascii="Arial" w:hAnsi="Arial"/>
                <w:b/>
                <w:sz w:val="16"/>
                <w:szCs w:val="16"/>
                <w:lang w:val="en-AU"/>
              </w:rPr>
            </w:pPr>
            <w:r w:rsidRPr="003E76E7">
              <w:rPr>
                <w:rFonts w:ascii="Arial" w:hAnsi="Arial"/>
                <w:b/>
                <w:bCs/>
                <w:color w:val="000000"/>
                <w:sz w:val="16"/>
                <w:szCs w:val="16"/>
              </w:rPr>
              <w:t>(781)</w:t>
            </w:r>
          </w:p>
        </w:tc>
        <w:tc>
          <w:tcPr>
            <w:tcW w:w="1158" w:type="dxa"/>
            <w:tcBorders>
              <w:left w:val="nil"/>
              <w:bottom w:val="single" w:sz="4" w:space="0" w:color="auto"/>
              <w:right w:val="nil"/>
            </w:tcBorders>
            <w:shd w:val="clear" w:color="auto" w:fill="E6E6E6"/>
            <w:vAlign w:val="center"/>
          </w:tcPr>
          <w:p w14:paraId="13880F68" w14:textId="77777777" w:rsidR="008744BA" w:rsidRPr="003E76E7" w:rsidRDefault="008744BA" w:rsidP="00C4292D">
            <w:pPr>
              <w:spacing w:before="0" w:after="0"/>
              <w:jc w:val="right"/>
              <w:rPr>
                <w:rFonts w:ascii="Arial" w:hAnsi="Arial"/>
                <w:b/>
                <w:bCs/>
                <w:color w:val="000000"/>
                <w:sz w:val="16"/>
                <w:szCs w:val="16"/>
              </w:rPr>
            </w:pPr>
            <w:r w:rsidRPr="003E76E7">
              <w:rPr>
                <w:rFonts w:ascii="Arial" w:hAnsi="Arial"/>
                <w:b/>
                <w:bCs/>
                <w:color w:val="000000"/>
                <w:sz w:val="16"/>
                <w:szCs w:val="16"/>
              </w:rPr>
              <w:t>68,961</w:t>
            </w:r>
          </w:p>
          <w:p w14:paraId="44EA8D1C" w14:textId="65A57D06" w:rsidR="008744BA" w:rsidRPr="003E76E7" w:rsidRDefault="008744BA" w:rsidP="00C4292D">
            <w:pPr>
              <w:spacing w:before="0" w:after="0"/>
              <w:jc w:val="right"/>
              <w:rPr>
                <w:rFonts w:ascii="Arial" w:hAnsi="Arial"/>
                <w:b/>
                <w:bCs/>
                <w:sz w:val="16"/>
                <w:szCs w:val="16"/>
                <w:lang w:val="en-AU"/>
              </w:rPr>
            </w:pPr>
            <w:r w:rsidRPr="003E76E7">
              <w:rPr>
                <w:rFonts w:ascii="Arial" w:hAnsi="Arial"/>
                <w:b/>
                <w:bCs/>
                <w:color w:val="000000"/>
                <w:sz w:val="16"/>
                <w:szCs w:val="16"/>
              </w:rPr>
              <w:t>(849)</w:t>
            </w:r>
          </w:p>
        </w:tc>
        <w:tc>
          <w:tcPr>
            <w:tcW w:w="1158" w:type="dxa"/>
            <w:tcBorders>
              <w:left w:val="nil"/>
              <w:bottom w:val="single" w:sz="4" w:space="0" w:color="auto"/>
              <w:right w:val="nil"/>
            </w:tcBorders>
            <w:shd w:val="clear" w:color="auto" w:fill="E6E6E6"/>
            <w:vAlign w:val="center"/>
          </w:tcPr>
          <w:p w14:paraId="408F1539" w14:textId="77777777" w:rsidR="008744BA" w:rsidRPr="003E76E7" w:rsidRDefault="008744BA" w:rsidP="00C4292D">
            <w:pPr>
              <w:spacing w:before="0" w:after="0"/>
              <w:jc w:val="right"/>
              <w:rPr>
                <w:rFonts w:ascii="Arial" w:hAnsi="Arial"/>
                <w:b/>
                <w:bCs/>
                <w:color w:val="000000"/>
                <w:sz w:val="16"/>
                <w:szCs w:val="16"/>
              </w:rPr>
            </w:pPr>
            <w:r w:rsidRPr="003E76E7">
              <w:rPr>
                <w:rFonts w:ascii="Arial" w:hAnsi="Arial"/>
                <w:b/>
                <w:bCs/>
                <w:color w:val="000000"/>
                <w:sz w:val="16"/>
                <w:szCs w:val="16"/>
              </w:rPr>
              <w:t>70,396</w:t>
            </w:r>
          </w:p>
          <w:p w14:paraId="6EC472BA" w14:textId="759CEBCD" w:rsidR="008744BA" w:rsidRPr="003E76E7" w:rsidRDefault="008744BA" w:rsidP="00C4292D">
            <w:pPr>
              <w:spacing w:before="0" w:after="0"/>
              <w:jc w:val="right"/>
              <w:rPr>
                <w:rFonts w:ascii="Arial" w:hAnsi="Arial"/>
                <w:b/>
                <w:bCs/>
                <w:sz w:val="16"/>
                <w:szCs w:val="16"/>
                <w:lang w:val="en-AU"/>
              </w:rPr>
            </w:pPr>
            <w:r w:rsidRPr="003E76E7">
              <w:rPr>
                <w:rFonts w:ascii="Arial" w:hAnsi="Arial"/>
                <w:b/>
                <w:bCs/>
                <w:color w:val="000000"/>
                <w:sz w:val="16"/>
                <w:szCs w:val="16"/>
              </w:rPr>
              <w:t>(886)</w:t>
            </w:r>
          </w:p>
        </w:tc>
        <w:tc>
          <w:tcPr>
            <w:tcW w:w="1158" w:type="dxa"/>
            <w:tcBorders>
              <w:left w:val="nil"/>
              <w:bottom w:val="single" w:sz="4" w:space="0" w:color="auto"/>
              <w:right w:val="nil"/>
            </w:tcBorders>
            <w:shd w:val="clear" w:color="auto" w:fill="E6E6E6"/>
            <w:vAlign w:val="center"/>
          </w:tcPr>
          <w:p w14:paraId="5C267747" w14:textId="77777777" w:rsidR="008744BA" w:rsidRPr="003E76E7" w:rsidRDefault="008744BA" w:rsidP="00C4292D">
            <w:pPr>
              <w:spacing w:before="0" w:after="0"/>
              <w:jc w:val="right"/>
              <w:rPr>
                <w:rFonts w:ascii="Arial" w:hAnsi="Arial"/>
                <w:b/>
                <w:bCs/>
                <w:color w:val="000000"/>
                <w:sz w:val="16"/>
                <w:szCs w:val="16"/>
              </w:rPr>
            </w:pPr>
            <w:r w:rsidRPr="003E76E7">
              <w:rPr>
                <w:rFonts w:ascii="Arial" w:hAnsi="Arial"/>
                <w:b/>
                <w:bCs/>
                <w:color w:val="000000"/>
                <w:sz w:val="16"/>
                <w:szCs w:val="16"/>
              </w:rPr>
              <w:t>71,712</w:t>
            </w:r>
          </w:p>
          <w:p w14:paraId="18D57F0F" w14:textId="37CA54A6" w:rsidR="008744BA" w:rsidRPr="003E76E7" w:rsidRDefault="008744BA" w:rsidP="00C4292D">
            <w:pPr>
              <w:spacing w:before="0" w:after="0"/>
              <w:jc w:val="right"/>
              <w:rPr>
                <w:rFonts w:ascii="Arial" w:hAnsi="Arial"/>
                <w:b/>
                <w:sz w:val="16"/>
                <w:szCs w:val="16"/>
                <w:lang w:val="en-AU"/>
              </w:rPr>
            </w:pPr>
            <w:r w:rsidRPr="003E76E7">
              <w:rPr>
                <w:rFonts w:ascii="Arial" w:hAnsi="Arial"/>
                <w:b/>
                <w:bCs/>
                <w:color w:val="000000"/>
                <w:sz w:val="16"/>
                <w:szCs w:val="16"/>
              </w:rPr>
              <w:t>(923)</w:t>
            </w:r>
          </w:p>
        </w:tc>
        <w:tc>
          <w:tcPr>
            <w:tcW w:w="1158" w:type="dxa"/>
            <w:tcBorders>
              <w:left w:val="nil"/>
              <w:bottom w:val="single" w:sz="4" w:space="0" w:color="auto"/>
              <w:right w:val="nil"/>
            </w:tcBorders>
            <w:shd w:val="clear" w:color="auto" w:fill="E6E6E6"/>
            <w:vAlign w:val="center"/>
          </w:tcPr>
          <w:p w14:paraId="01E9BF1E" w14:textId="77777777" w:rsidR="008744BA" w:rsidRPr="003E76E7" w:rsidRDefault="008744BA" w:rsidP="00C4292D">
            <w:pPr>
              <w:spacing w:before="0" w:after="0"/>
              <w:jc w:val="right"/>
              <w:rPr>
                <w:rFonts w:ascii="Arial" w:hAnsi="Arial"/>
                <w:b/>
                <w:bCs/>
                <w:sz w:val="16"/>
                <w:szCs w:val="16"/>
                <w:lang w:val="en-AU"/>
              </w:rPr>
            </w:pPr>
            <w:r w:rsidRPr="003E76E7">
              <w:rPr>
                <w:rFonts w:ascii="Arial" w:hAnsi="Arial"/>
                <w:b/>
                <w:bCs/>
                <w:sz w:val="16"/>
                <w:szCs w:val="16"/>
                <w:lang w:val="en-AU"/>
              </w:rPr>
              <w:t>73,241</w:t>
            </w:r>
          </w:p>
          <w:p w14:paraId="07DC978A" w14:textId="5F3E0F69" w:rsidR="008744BA" w:rsidRPr="003E76E7" w:rsidRDefault="008744BA" w:rsidP="00C4292D">
            <w:pPr>
              <w:spacing w:before="0" w:after="0"/>
              <w:jc w:val="right"/>
              <w:rPr>
                <w:rFonts w:ascii="Arial" w:hAnsi="Arial"/>
                <w:b/>
                <w:bCs/>
                <w:sz w:val="16"/>
                <w:szCs w:val="16"/>
                <w:lang w:val="en-AU"/>
              </w:rPr>
            </w:pPr>
            <w:r w:rsidRPr="003E76E7">
              <w:rPr>
                <w:rFonts w:ascii="Arial" w:hAnsi="Arial"/>
                <w:b/>
                <w:bCs/>
                <w:sz w:val="16"/>
                <w:szCs w:val="16"/>
                <w:lang w:val="en-AU"/>
              </w:rPr>
              <w:t>(960)</w:t>
            </w:r>
          </w:p>
        </w:tc>
      </w:tr>
      <w:tr w:rsidR="008744BA" w:rsidRPr="003E76E7" w14:paraId="6C58B912" w14:textId="77777777" w:rsidTr="0087640C">
        <w:trPr>
          <w:trHeight w:val="437"/>
        </w:trPr>
        <w:tc>
          <w:tcPr>
            <w:tcW w:w="345" w:type="dxa"/>
            <w:tcBorders>
              <w:top w:val="nil"/>
              <w:left w:val="nil"/>
              <w:bottom w:val="single" w:sz="4" w:space="0" w:color="auto"/>
              <w:right w:val="single" w:sz="4" w:space="0" w:color="auto"/>
            </w:tcBorders>
            <w:vAlign w:val="center"/>
            <w:hideMark/>
          </w:tcPr>
          <w:p w14:paraId="1DF5C037" w14:textId="77777777" w:rsidR="008744BA" w:rsidRPr="003E76E7" w:rsidRDefault="008744BA" w:rsidP="00C4292D">
            <w:pPr>
              <w:spacing w:before="0" w:after="0"/>
              <w:jc w:val="center"/>
              <w:rPr>
                <w:rFonts w:ascii="Arial" w:hAnsi="Arial"/>
                <w:sz w:val="16"/>
                <w:szCs w:val="16"/>
                <w:lang w:val="en-AU"/>
              </w:rPr>
            </w:pPr>
          </w:p>
        </w:tc>
        <w:tc>
          <w:tcPr>
            <w:tcW w:w="2519" w:type="dxa"/>
            <w:tcBorders>
              <w:top w:val="nil"/>
              <w:left w:val="nil"/>
              <w:bottom w:val="single" w:sz="4" w:space="0" w:color="auto"/>
              <w:right w:val="nil"/>
            </w:tcBorders>
            <w:vAlign w:val="center"/>
            <w:hideMark/>
          </w:tcPr>
          <w:p w14:paraId="77DBAFE1" w14:textId="7DBB6E41" w:rsidR="008744BA" w:rsidRPr="003E76E7" w:rsidRDefault="008744BA" w:rsidP="00C4292D">
            <w:pPr>
              <w:spacing w:before="0" w:after="0"/>
              <w:rPr>
                <w:rFonts w:ascii="Arial" w:hAnsi="Arial"/>
                <w:b/>
                <w:bCs/>
                <w:sz w:val="16"/>
                <w:szCs w:val="16"/>
                <w:lang w:val="en-AU"/>
              </w:rPr>
            </w:pPr>
            <w:r w:rsidRPr="003E76E7">
              <w:rPr>
                <w:rFonts w:ascii="Arial" w:hAnsi="Arial"/>
                <w:b/>
                <w:bCs/>
                <w:sz w:val="16"/>
                <w:szCs w:val="16"/>
                <w:lang w:val="en-AU"/>
              </w:rPr>
              <w:t>Total Reserves (1 + 2)</w:t>
            </w:r>
          </w:p>
        </w:tc>
        <w:tc>
          <w:tcPr>
            <w:tcW w:w="1012" w:type="dxa"/>
            <w:tcBorders>
              <w:top w:val="nil"/>
              <w:bottom w:val="single" w:sz="4" w:space="0" w:color="auto"/>
            </w:tcBorders>
            <w:shd w:val="clear" w:color="auto" w:fill="auto"/>
            <w:vAlign w:val="center"/>
          </w:tcPr>
          <w:p w14:paraId="555E409E" w14:textId="77777777" w:rsidR="008744BA" w:rsidRPr="003E76E7" w:rsidRDefault="008744BA"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rPr>
              <w:t>1,135,450</w:t>
            </w:r>
          </w:p>
          <w:p w14:paraId="46DA931C" w14:textId="0C88AA45" w:rsidR="008744BA" w:rsidRPr="003E76E7" w:rsidRDefault="008744BA" w:rsidP="00C4292D">
            <w:pPr>
              <w:spacing w:before="0" w:after="0"/>
              <w:jc w:val="right"/>
              <w:rPr>
                <w:rFonts w:ascii="Arial" w:hAnsi="Arial"/>
                <w:b/>
                <w:bCs/>
                <w:sz w:val="16"/>
                <w:szCs w:val="16"/>
                <w:lang w:val="en-AU"/>
              </w:rPr>
            </w:pPr>
            <w:r w:rsidRPr="003E76E7">
              <w:rPr>
                <w:rFonts w:ascii="Arial" w:hAnsi="Arial"/>
                <w:b/>
                <w:bCs/>
                <w:color w:val="000000"/>
                <w:sz w:val="16"/>
                <w:szCs w:val="16"/>
              </w:rPr>
              <w:t>(22,475)</w:t>
            </w:r>
          </w:p>
        </w:tc>
        <w:tc>
          <w:tcPr>
            <w:tcW w:w="1158" w:type="dxa"/>
            <w:tcBorders>
              <w:top w:val="nil"/>
              <w:left w:val="nil"/>
              <w:bottom w:val="single" w:sz="4" w:space="0" w:color="auto"/>
              <w:right w:val="nil"/>
            </w:tcBorders>
            <w:shd w:val="clear" w:color="auto" w:fill="E6E6E6"/>
            <w:vAlign w:val="center"/>
          </w:tcPr>
          <w:p w14:paraId="53A19672" w14:textId="77777777" w:rsidR="008744BA" w:rsidRPr="003E76E7" w:rsidRDefault="008744BA" w:rsidP="00C4292D">
            <w:pPr>
              <w:spacing w:before="0" w:after="0"/>
              <w:jc w:val="right"/>
              <w:rPr>
                <w:rFonts w:ascii="Arial" w:hAnsi="Arial"/>
                <w:b/>
                <w:bCs/>
                <w:color w:val="000000"/>
                <w:sz w:val="16"/>
                <w:szCs w:val="16"/>
              </w:rPr>
            </w:pPr>
            <w:r w:rsidRPr="003E76E7">
              <w:rPr>
                <w:rFonts w:ascii="Arial" w:hAnsi="Arial"/>
                <w:b/>
                <w:bCs/>
                <w:color w:val="000000"/>
                <w:sz w:val="16"/>
                <w:szCs w:val="16"/>
              </w:rPr>
              <w:t>1,175,681</w:t>
            </w:r>
          </w:p>
          <w:p w14:paraId="234B015C" w14:textId="7532D319" w:rsidR="008744BA" w:rsidRPr="003E76E7" w:rsidRDefault="008744BA" w:rsidP="00C4292D">
            <w:pPr>
              <w:spacing w:before="0" w:after="0"/>
              <w:jc w:val="right"/>
              <w:rPr>
                <w:rFonts w:ascii="Arial" w:hAnsi="Arial"/>
                <w:b/>
                <w:bCs/>
                <w:sz w:val="16"/>
                <w:szCs w:val="16"/>
                <w:lang w:val="en-AU"/>
              </w:rPr>
            </w:pPr>
            <w:r w:rsidRPr="003E76E7">
              <w:rPr>
                <w:rFonts w:ascii="Arial" w:hAnsi="Arial"/>
                <w:b/>
                <w:bCs/>
                <w:color w:val="000000"/>
                <w:sz w:val="16"/>
                <w:szCs w:val="16"/>
              </w:rPr>
              <w:t>(23,315)</w:t>
            </w:r>
          </w:p>
        </w:tc>
        <w:tc>
          <w:tcPr>
            <w:tcW w:w="1158" w:type="dxa"/>
            <w:tcBorders>
              <w:top w:val="nil"/>
              <w:left w:val="nil"/>
              <w:bottom w:val="single" w:sz="4" w:space="0" w:color="auto"/>
              <w:right w:val="nil"/>
            </w:tcBorders>
            <w:vAlign w:val="center"/>
          </w:tcPr>
          <w:p w14:paraId="4D5FF185" w14:textId="77777777" w:rsidR="008744BA" w:rsidRPr="003E76E7" w:rsidRDefault="008744BA" w:rsidP="00C4292D">
            <w:pPr>
              <w:spacing w:before="0" w:after="0"/>
              <w:jc w:val="right"/>
              <w:rPr>
                <w:rFonts w:ascii="Arial" w:hAnsi="Arial"/>
                <w:b/>
                <w:bCs/>
                <w:color w:val="000000"/>
                <w:sz w:val="16"/>
                <w:szCs w:val="16"/>
              </w:rPr>
            </w:pPr>
            <w:r w:rsidRPr="003E76E7">
              <w:rPr>
                <w:rFonts w:ascii="Arial" w:hAnsi="Arial"/>
                <w:b/>
                <w:bCs/>
                <w:color w:val="000000"/>
                <w:sz w:val="16"/>
                <w:szCs w:val="16"/>
              </w:rPr>
              <w:t>1,198,398</w:t>
            </w:r>
          </w:p>
          <w:p w14:paraId="3C2C80CC" w14:textId="62035B3F" w:rsidR="008744BA" w:rsidRPr="003E76E7" w:rsidRDefault="008744BA" w:rsidP="00C4292D">
            <w:pPr>
              <w:spacing w:before="0" w:after="0"/>
              <w:jc w:val="right"/>
              <w:rPr>
                <w:rFonts w:ascii="Arial" w:hAnsi="Arial"/>
                <w:b/>
                <w:bCs/>
                <w:sz w:val="16"/>
                <w:szCs w:val="16"/>
                <w:lang w:val="en-AU"/>
              </w:rPr>
            </w:pPr>
            <w:r w:rsidRPr="003E76E7">
              <w:rPr>
                <w:rFonts w:ascii="Arial" w:hAnsi="Arial"/>
                <w:b/>
                <w:bCs/>
                <w:color w:val="000000"/>
                <w:sz w:val="16"/>
                <w:szCs w:val="16"/>
              </w:rPr>
              <w:t>(23,781)</w:t>
            </w:r>
          </w:p>
        </w:tc>
        <w:tc>
          <w:tcPr>
            <w:tcW w:w="1158" w:type="dxa"/>
            <w:tcBorders>
              <w:top w:val="nil"/>
              <w:left w:val="nil"/>
              <w:bottom w:val="single" w:sz="4" w:space="0" w:color="auto"/>
              <w:right w:val="nil"/>
            </w:tcBorders>
            <w:vAlign w:val="center"/>
          </w:tcPr>
          <w:p w14:paraId="62B3001C" w14:textId="77777777" w:rsidR="008744BA" w:rsidRPr="003E76E7" w:rsidRDefault="008744BA" w:rsidP="00C4292D">
            <w:pPr>
              <w:spacing w:before="0" w:after="0"/>
              <w:jc w:val="right"/>
              <w:rPr>
                <w:rFonts w:ascii="Arial" w:hAnsi="Arial"/>
                <w:b/>
                <w:bCs/>
                <w:color w:val="000000"/>
                <w:sz w:val="16"/>
                <w:szCs w:val="16"/>
              </w:rPr>
            </w:pPr>
            <w:r w:rsidRPr="003E76E7">
              <w:rPr>
                <w:rFonts w:ascii="Arial" w:hAnsi="Arial"/>
                <w:b/>
                <w:bCs/>
                <w:color w:val="000000"/>
                <w:sz w:val="16"/>
                <w:szCs w:val="16"/>
              </w:rPr>
              <w:t>1,219,451</w:t>
            </w:r>
          </w:p>
          <w:p w14:paraId="0512FD69" w14:textId="7FFEDFD3" w:rsidR="008744BA" w:rsidRPr="003E76E7" w:rsidRDefault="008744BA" w:rsidP="00C4292D">
            <w:pPr>
              <w:spacing w:before="0" w:after="0"/>
              <w:jc w:val="right"/>
              <w:rPr>
                <w:rFonts w:ascii="Arial" w:hAnsi="Arial"/>
                <w:b/>
                <w:bCs/>
                <w:sz w:val="16"/>
                <w:szCs w:val="16"/>
                <w:lang w:val="en-AU"/>
              </w:rPr>
            </w:pPr>
            <w:r w:rsidRPr="003E76E7">
              <w:rPr>
                <w:rFonts w:ascii="Arial" w:hAnsi="Arial"/>
                <w:b/>
                <w:bCs/>
                <w:color w:val="000000"/>
                <w:sz w:val="16"/>
                <w:szCs w:val="16"/>
              </w:rPr>
              <w:t>(24,216)</w:t>
            </w:r>
          </w:p>
        </w:tc>
        <w:tc>
          <w:tcPr>
            <w:tcW w:w="1158" w:type="dxa"/>
            <w:tcBorders>
              <w:top w:val="nil"/>
              <w:left w:val="nil"/>
              <w:bottom w:val="single" w:sz="4" w:space="0" w:color="auto"/>
              <w:right w:val="nil"/>
            </w:tcBorders>
            <w:shd w:val="clear" w:color="auto" w:fill="auto"/>
            <w:vAlign w:val="center"/>
          </w:tcPr>
          <w:p w14:paraId="4579E4EC" w14:textId="77777777" w:rsidR="008744BA" w:rsidRPr="003E76E7" w:rsidRDefault="008744BA" w:rsidP="00C4292D">
            <w:pPr>
              <w:spacing w:before="0" w:after="0"/>
              <w:jc w:val="right"/>
              <w:rPr>
                <w:rFonts w:ascii="Arial" w:hAnsi="Arial"/>
                <w:b/>
                <w:sz w:val="16"/>
                <w:szCs w:val="16"/>
                <w:lang w:val="en-AU"/>
              </w:rPr>
            </w:pPr>
            <w:r w:rsidRPr="003E76E7">
              <w:rPr>
                <w:rFonts w:ascii="Arial" w:hAnsi="Arial"/>
                <w:b/>
                <w:sz w:val="16"/>
                <w:szCs w:val="16"/>
                <w:lang w:val="en-AU"/>
              </w:rPr>
              <w:t>1,240,865</w:t>
            </w:r>
          </w:p>
          <w:p w14:paraId="70CFBB7E" w14:textId="65F56C6D" w:rsidR="008744BA" w:rsidRPr="003E76E7" w:rsidRDefault="008744BA" w:rsidP="00C4292D">
            <w:pPr>
              <w:spacing w:before="0" w:after="0"/>
              <w:jc w:val="right"/>
              <w:rPr>
                <w:rFonts w:ascii="Arial" w:hAnsi="Arial"/>
                <w:b/>
                <w:sz w:val="16"/>
                <w:szCs w:val="16"/>
                <w:lang w:val="en-AU"/>
              </w:rPr>
            </w:pPr>
            <w:r w:rsidRPr="003E76E7">
              <w:rPr>
                <w:rFonts w:ascii="Arial" w:hAnsi="Arial"/>
                <w:b/>
                <w:sz w:val="16"/>
                <w:szCs w:val="16"/>
                <w:lang w:val="en-AU"/>
              </w:rPr>
              <w:t>(24,573)</w:t>
            </w:r>
          </w:p>
        </w:tc>
      </w:tr>
    </w:tbl>
    <w:p w14:paraId="5CA1401D" w14:textId="77777777" w:rsidR="00AA6BF6" w:rsidRPr="003E76E7" w:rsidRDefault="00AA6BF6" w:rsidP="00C4292D">
      <w:pPr>
        <w:spacing w:after="0"/>
        <w:rPr>
          <w:rFonts w:ascii="Arial" w:hAnsi="Arial"/>
          <w:b/>
          <w:sz w:val="12"/>
          <w:szCs w:val="14"/>
        </w:rPr>
      </w:pPr>
      <w:r w:rsidRPr="003E76E7">
        <w:rPr>
          <w:rFonts w:ascii="Arial" w:hAnsi="Arial"/>
          <w:b/>
          <w:sz w:val="14"/>
          <w:szCs w:val="14"/>
        </w:rPr>
        <w:t>Notes</w:t>
      </w:r>
    </w:p>
    <w:p w14:paraId="18925F42" w14:textId="134D7482" w:rsidR="003A015A" w:rsidRPr="003E76E7" w:rsidRDefault="003A015A" w:rsidP="00C4292D">
      <w:pPr>
        <w:tabs>
          <w:tab w:val="left" w:pos="284"/>
        </w:tabs>
        <w:spacing w:before="0" w:after="0"/>
        <w:ind w:left="284" w:hanging="284"/>
        <w:rPr>
          <w:rFonts w:ascii="Arial" w:hAnsi="Arial"/>
          <w:sz w:val="14"/>
        </w:rPr>
      </w:pPr>
      <w:r w:rsidRPr="003E76E7">
        <w:rPr>
          <w:rFonts w:ascii="Arial" w:hAnsi="Arial"/>
          <w:sz w:val="14"/>
        </w:rPr>
        <w:t xml:space="preserve">a. </w:t>
      </w:r>
      <w:r w:rsidRPr="003E76E7">
        <w:rPr>
          <w:rFonts w:ascii="Arial" w:hAnsi="Arial"/>
          <w:sz w:val="14"/>
        </w:rPr>
        <w:tab/>
        <w:t xml:space="preserve">This table does not include Reservists undertaking continuous full-time service (Service Option C), as these are </w:t>
      </w:r>
      <w:r w:rsidR="00117739" w:rsidRPr="003E76E7">
        <w:rPr>
          <w:rFonts w:ascii="Arial" w:hAnsi="Arial"/>
          <w:sz w:val="14"/>
        </w:rPr>
        <w:t xml:space="preserve">included </w:t>
      </w:r>
      <w:r w:rsidRPr="003E76E7">
        <w:rPr>
          <w:rFonts w:ascii="Arial" w:hAnsi="Arial"/>
          <w:sz w:val="14"/>
        </w:rPr>
        <w:t xml:space="preserve">in Table </w:t>
      </w:r>
      <w:r w:rsidR="00DB4536" w:rsidRPr="003E76E7">
        <w:rPr>
          <w:rFonts w:ascii="Arial" w:hAnsi="Arial"/>
          <w:sz w:val="14"/>
        </w:rPr>
        <w:t>8</w:t>
      </w:r>
      <w:r w:rsidRPr="003E76E7">
        <w:rPr>
          <w:rFonts w:ascii="Arial" w:hAnsi="Arial"/>
          <w:sz w:val="14"/>
        </w:rPr>
        <w:t>. It also does not include Reservists that are not currently rendering service (including Service Category 2).</w:t>
      </w:r>
    </w:p>
    <w:p w14:paraId="425D21F2" w14:textId="31A5FD53" w:rsidR="003A015A" w:rsidRPr="003E76E7" w:rsidRDefault="003A015A" w:rsidP="00C4292D">
      <w:pPr>
        <w:tabs>
          <w:tab w:val="left" w:pos="284"/>
        </w:tabs>
        <w:spacing w:before="0" w:after="0"/>
        <w:ind w:left="285" w:hanging="284"/>
        <w:rPr>
          <w:rFonts w:ascii="Arial" w:hAnsi="Arial"/>
          <w:sz w:val="14"/>
        </w:rPr>
      </w:pPr>
      <w:r w:rsidRPr="003E76E7">
        <w:rPr>
          <w:rFonts w:ascii="Arial" w:hAnsi="Arial"/>
          <w:sz w:val="14"/>
        </w:rPr>
        <w:t xml:space="preserve">b. </w:t>
      </w:r>
      <w:r w:rsidRPr="003E76E7">
        <w:rPr>
          <w:rFonts w:ascii="Arial" w:hAnsi="Arial"/>
          <w:sz w:val="14"/>
        </w:rPr>
        <w:tab/>
        <w:t xml:space="preserve">As the number of days or hours worked by Reserve members can vary greatly, figures in Table </w:t>
      </w:r>
      <w:r w:rsidR="00DB4536" w:rsidRPr="003E76E7">
        <w:rPr>
          <w:rFonts w:ascii="Arial" w:hAnsi="Arial"/>
          <w:sz w:val="14"/>
        </w:rPr>
        <w:t>9</w:t>
      </w:r>
      <w:r w:rsidRPr="003E76E7">
        <w:rPr>
          <w:rFonts w:ascii="Arial" w:hAnsi="Arial"/>
          <w:sz w:val="14"/>
        </w:rPr>
        <w:t xml:space="preserve"> show the total number of days of service rendered, with a headcount of members rendering service within the year in brackets.</w:t>
      </w:r>
    </w:p>
    <w:p w14:paraId="5164128B" w14:textId="7D9A0A90" w:rsidR="0045208A" w:rsidRPr="003E76E7" w:rsidRDefault="003A015A" w:rsidP="00C4292D">
      <w:pPr>
        <w:tabs>
          <w:tab w:val="left" w:pos="284"/>
        </w:tabs>
        <w:spacing w:before="0" w:after="0"/>
        <w:ind w:left="284" w:hanging="284"/>
        <w:rPr>
          <w:rFonts w:ascii="Arial" w:hAnsi="Arial"/>
          <w:sz w:val="14"/>
        </w:rPr>
      </w:pPr>
      <w:r w:rsidRPr="003E76E7">
        <w:rPr>
          <w:rFonts w:ascii="Arial" w:hAnsi="Arial"/>
          <w:sz w:val="14"/>
        </w:rPr>
        <w:t xml:space="preserve">c. </w:t>
      </w:r>
      <w:r w:rsidRPr="003E76E7">
        <w:rPr>
          <w:rFonts w:ascii="Arial" w:hAnsi="Arial"/>
          <w:sz w:val="14"/>
        </w:rPr>
        <w:tab/>
        <w:t xml:space="preserve">Reserve Personnel can move between </w:t>
      </w:r>
      <w:r w:rsidR="00DB4536" w:rsidRPr="003E76E7">
        <w:rPr>
          <w:rFonts w:ascii="Arial" w:hAnsi="Arial"/>
          <w:sz w:val="14"/>
        </w:rPr>
        <w:t>Service Categories</w:t>
      </w:r>
      <w:r w:rsidR="0045208A" w:rsidRPr="003E76E7">
        <w:rPr>
          <w:rFonts w:ascii="Arial" w:hAnsi="Arial"/>
          <w:sz w:val="14"/>
        </w:rPr>
        <w:t xml:space="preserve"> </w:t>
      </w:r>
      <w:r w:rsidRPr="003E76E7">
        <w:rPr>
          <w:rFonts w:ascii="Arial" w:hAnsi="Arial"/>
          <w:sz w:val="14"/>
        </w:rPr>
        <w:t>at any</w:t>
      </w:r>
      <w:r w:rsidR="00117739" w:rsidRPr="003E76E7">
        <w:rPr>
          <w:rFonts w:ascii="Arial" w:hAnsi="Arial"/>
          <w:sz w:val="14"/>
        </w:rPr>
        <w:t xml:space="preserve"> </w:t>
      </w:r>
      <w:r w:rsidRPr="003E76E7">
        <w:rPr>
          <w:rFonts w:ascii="Arial" w:hAnsi="Arial"/>
          <w:sz w:val="14"/>
        </w:rPr>
        <w:t>time as part of the Total Workforce System.</w:t>
      </w:r>
    </w:p>
    <w:p w14:paraId="77082F33" w14:textId="77777777" w:rsidR="00760E2B" w:rsidRDefault="0045208A" w:rsidP="00C4292D">
      <w:pPr>
        <w:tabs>
          <w:tab w:val="left" w:pos="284"/>
        </w:tabs>
        <w:spacing w:before="0" w:after="0"/>
        <w:ind w:left="284" w:hanging="284"/>
        <w:rPr>
          <w:rFonts w:ascii="Arial" w:hAnsi="Arial"/>
          <w:sz w:val="14"/>
        </w:rPr>
      </w:pPr>
      <w:r w:rsidRPr="003E76E7">
        <w:rPr>
          <w:rFonts w:ascii="Arial" w:hAnsi="Arial"/>
          <w:sz w:val="14"/>
        </w:rPr>
        <w:t>d</w:t>
      </w:r>
      <w:r w:rsidR="003A015A" w:rsidRPr="003E76E7">
        <w:rPr>
          <w:rFonts w:ascii="Arial" w:hAnsi="Arial"/>
          <w:sz w:val="14"/>
        </w:rPr>
        <w:t xml:space="preserve">. </w:t>
      </w:r>
      <w:r w:rsidR="00D621FB">
        <w:rPr>
          <w:rFonts w:ascii="Arial" w:hAnsi="Arial"/>
          <w:sz w:val="14"/>
        </w:rPr>
        <w:tab/>
      </w:r>
      <w:r w:rsidR="00D621FB" w:rsidRPr="003E76E7">
        <w:rPr>
          <w:rFonts w:ascii="Arial" w:hAnsi="Arial"/>
          <w:sz w:val="14"/>
        </w:rPr>
        <w:t>Service Category 4 and 5 figures are subject to further change as capability development work is completed.</w:t>
      </w:r>
    </w:p>
    <w:p w14:paraId="62170ADD" w14:textId="1F8B5EAC" w:rsidR="00DB4536" w:rsidRPr="005B7359" w:rsidRDefault="00662F77" w:rsidP="00760E2B">
      <w:pPr>
        <w:pStyle w:val="ListParagraph"/>
        <w:numPr>
          <w:ilvl w:val="0"/>
          <w:numId w:val="84"/>
        </w:numPr>
        <w:tabs>
          <w:tab w:val="left" w:pos="284"/>
        </w:tabs>
        <w:spacing w:before="0" w:after="0"/>
        <w:ind w:left="284" w:hanging="284"/>
        <w:rPr>
          <w:rFonts w:ascii="Arial" w:hAnsi="Arial"/>
          <w:sz w:val="14"/>
        </w:rPr>
      </w:pPr>
      <w:r>
        <w:rPr>
          <w:rFonts w:ascii="Arial" w:hAnsi="Arial"/>
          <w:sz w:val="14"/>
        </w:rPr>
        <w:t xml:space="preserve">The increase in Service </w:t>
      </w:r>
      <w:r w:rsidR="00D621FB" w:rsidRPr="005B7359">
        <w:rPr>
          <w:rFonts w:ascii="Arial" w:hAnsi="Arial"/>
          <w:sz w:val="14"/>
        </w:rPr>
        <w:t>C</w:t>
      </w:r>
      <w:r>
        <w:rPr>
          <w:rFonts w:ascii="Arial" w:hAnsi="Arial"/>
          <w:sz w:val="14"/>
        </w:rPr>
        <w:t xml:space="preserve">ategory 4 </w:t>
      </w:r>
      <w:r w:rsidR="00D621FB" w:rsidRPr="005B7359">
        <w:rPr>
          <w:rFonts w:ascii="Arial" w:hAnsi="Arial"/>
          <w:sz w:val="14"/>
        </w:rPr>
        <w:t xml:space="preserve">utilisation is related to implementation of the Operational Reserve workforce recommended in the </w:t>
      </w:r>
      <w:r w:rsidR="00D621FB" w:rsidRPr="00CB3889">
        <w:rPr>
          <w:rFonts w:ascii="Arial" w:hAnsi="Arial"/>
          <w:i/>
          <w:sz w:val="14"/>
        </w:rPr>
        <w:t>Strategic Review of the ADF Reserves 2024</w:t>
      </w:r>
      <w:r w:rsidR="00D621FB" w:rsidRPr="005B7359">
        <w:rPr>
          <w:rFonts w:ascii="Arial" w:hAnsi="Arial"/>
          <w:sz w:val="14"/>
        </w:rPr>
        <w:t xml:space="preserve"> and the readiness of forces to support domestic events such as those that occur during the high risk weather season. The Forward Estimates totals are subject to further review</w:t>
      </w:r>
      <w:r w:rsidR="00D621FB">
        <w:rPr>
          <w:rFonts w:ascii="Arial" w:hAnsi="Arial"/>
          <w:sz w:val="14"/>
        </w:rPr>
        <w:t>.</w:t>
      </w:r>
    </w:p>
    <w:p w14:paraId="0E75884D" w14:textId="77777777" w:rsidR="00775CD7" w:rsidRPr="003E76E7" w:rsidRDefault="00775CD7" w:rsidP="00C4292D">
      <w:pPr>
        <w:tabs>
          <w:tab w:val="left" w:pos="284"/>
        </w:tabs>
        <w:spacing w:before="0" w:after="0"/>
        <w:rPr>
          <w:rFonts w:ascii="Arial" w:hAnsi="Arial"/>
          <w:sz w:val="16"/>
        </w:rPr>
      </w:pPr>
    </w:p>
    <w:p w14:paraId="4DFAB016" w14:textId="77777777" w:rsidR="00C4774C" w:rsidRPr="003E76E7" w:rsidRDefault="004C687F" w:rsidP="00C4292D">
      <w:pPr>
        <w:pStyle w:val="TableHeading"/>
        <w:numPr>
          <w:ilvl w:val="0"/>
          <w:numId w:val="61"/>
        </w:numPr>
        <w:spacing w:before="100"/>
        <w:ind w:left="0" w:firstLine="0"/>
        <w:outlineLvl w:val="4"/>
        <w:rPr>
          <w:lang w:val="en-AU"/>
        </w:rPr>
      </w:pPr>
      <w:r w:rsidRPr="003E76E7">
        <w:br w:type="page"/>
      </w:r>
      <w:r w:rsidR="00C4774C" w:rsidRPr="003E76E7">
        <w:rPr>
          <w:lang w:val="en-AU"/>
        </w:rPr>
        <w:lastRenderedPageBreak/>
        <w:t>Breakdown of Average Personn</w:t>
      </w:r>
      <w:r w:rsidR="003363BB" w:rsidRPr="003E76E7">
        <w:rPr>
          <w:lang w:val="en-AU"/>
        </w:rPr>
        <w:t>el</w:t>
      </w:r>
      <w:r w:rsidR="00596C40" w:rsidRPr="003E76E7">
        <w:rPr>
          <w:lang w:val="en-AU"/>
        </w:rPr>
        <w:t xml:space="preserve"> Numbers by Service and Rank</w:t>
      </w:r>
    </w:p>
    <w:tbl>
      <w:tblPr>
        <w:tblW w:w="4934" w:type="pct"/>
        <w:tblInd w:w="113" w:type="dxa"/>
        <w:tblLook w:val="04A0" w:firstRow="1" w:lastRow="0" w:firstColumn="1" w:lastColumn="0" w:noHBand="0" w:noVBand="1"/>
      </w:tblPr>
      <w:tblGrid>
        <w:gridCol w:w="5553"/>
        <w:gridCol w:w="1397"/>
        <w:gridCol w:w="1553"/>
      </w:tblGrid>
      <w:tr w:rsidR="003A015A" w:rsidRPr="003E76E7" w14:paraId="7F9E1D21" w14:textId="77777777" w:rsidTr="000E1A17">
        <w:trPr>
          <w:trHeight w:val="666"/>
        </w:trPr>
        <w:tc>
          <w:tcPr>
            <w:tcW w:w="5553" w:type="dxa"/>
            <w:tcBorders>
              <w:top w:val="single" w:sz="4" w:space="0" w:color="auto"/>
              <w:left w:val="nil"/>
              <w:bottom w:val="single" w:sz="4" w:space="0" w:color="auto"/>
              <w:right w:val="nil"/>
            </w:tcBorders>
            <w:vAlign w:val="bottom"/>
          </w:tcPr>
          <w:p w14:paraId="702ED27B" w14:textId="77777777" w:rsidR="003A015A" w:rsidRPr="003E76E7" w:rsidRDefault="003A015A" w:rsidP="00C4292D">
            <w:pPr>
              <w:spacing w:before="0" w:after="0"/>
              <w:jc w:val="right"/>
              <w:rPr>
                <w:rFonts w:ascii="Arial" w:hAnsi="Arial"/>
                <w:b/>
                <w:bCs/>
                <w:sz w:val="16"/>
                <w:szCs w:val="16"/>
                <w:lang w:val="en-AU"/>
              </w:rPr>
            </w:pPr>
            <w:bookmarkStart w:id="981" w:name="_Toc374969028"/>
            <w:bookmarkStart w:id="982" w:name="_Toc375310540"/>
            <w:bookmarkStart w:id="983" w:name="_Toc384298219"/>
            <w:bookmarkStart w:id="984" w:name="_Toc476581149"/>
            <w:bookmarkStart w:id="985" w:name="_Toc507595421"/>
            <w:bookmarkStart w:id="986" w:name="_Toc340655865"/>
            <w:bookmarkStart w:id="987" w:name="_Toc340656271"/>
            <w:bookmarkStart w:id="988" w:name="_Toc340656901"/>
            <w:bookmarkStart w:id="989" w:name="_Toc340665301"/>
            <w:bookmarkStart w:id="990" w:name="_Toc340669825"/>
            <w:bookmarkStart w:id="991" w:name="_Toc346545734"/>
            <w:bookmarkStart w:id="992" w:name="_Toc346622288"/>
            <w:bookmarkStart w:id="993" w:name="_Toc346692748"/>
            <w:bookmarkStart w:id="994" w:name="_Toc346713091"/>
            <w:bookmarkStart w:id="995" w:name="_Toc346788759"/>
            <w:bookmarkStart w:id="996" w:name="_Toc346824135"/>
            <w:bookmarkStart w:id="997" w:name="_Toc346891306"/>
            <w:bookmarkStart w:id="998" w:name="_Toc347238758"/>
            <w:bookmarkStart w:id="999" w:name="_Toc347415207"/>
            <w:bookmarkStart w:id="1000" w:name="_Toc347473806"/>
            <w:bookmarkStart w:id="1001" w:name="_Toc347481832"/>
            <w:bookmarkStart w:id="1002" w:name="_Toc347490067"/>
            <w:bookmarkStart w:id="1003" w:name="_Toc347744293"/>
            <w:bookmarkStart w:id="1004" w:name="_Toc347754535"/>
            <w:bookmarkStart w:id="1005" w:name="_Toc347757661"/>
            <w:bookmarkStart w:id="1006" w:name="_Toc347764603"/>
            <w:bookmarkStart w:id="1007" w:name="_Toc347766464"/>
            <w:bookmarkStart w:id="1008" w:name="_Toc353889410"/>
            <w:bookmarkStart w:id="1009" w:name="_Toc354470966"/>
            <w:bookmarkStart w:id="1010" w:name="_Toc354565565"/>
            <w:bookmarkStart w:id="1011" w:name="_Toc354580488"/>
            <w:bookmarkStart w:id="1012" w:name="_Toc354591389"/>
            <w:bookmarkStart w:id="1013" w:name="_Toc354734118"/>
            <w:bookmarkStart w:id="1014" w:name="_Toc355020217"/>
            <w:bookmarkStart w:id="1015" w:name="_Toc355262894"/>
            <w:bookmarkStart w:id="1016" w:name="_Toc355271249"/>
            <w:bookmarkStart w:id="1017" w:name="_Toc355343318"/>
            <w:bookmarkStart w:id="1018" w:name="_Toc355620806"/>
            <w:bookmarkStart w:id="1019" w:name="_Toc359245775"/>
            <w:bookmarkStart w:id="1020" w:name="_Toc374969029"/>
            <w:bookmarkStart w:id="1021" w:name="_Toc375310541"/>
            <w:bookmarkStart w:id="1022" w:name="_Toc384298220"/>
          </w:p>
        </w:tc>
        <w:tc>
          <w:tcPr>
            <w:tcW w:w="1397" w:type="dxa"/>
            <w:tcBorders>
              <w:top w:val="single" w:sz="4" w:space="0" w:color="auto"/>
              <w:left w:val="nil"/>
              <w:bottom w:val="single" w:sz="4" w:space="0" w:color="auto"/>
              <w:right w:val="nil"/>
            </w:tcBorders>
            <w:vAlign w:val="center"/>
            <w:hideMark/>
          </w:tcPr>
          <w:p w14:paraId="76A217A3" w14:textId="48C6E7B0" w:rsidR="003A015A" w:rsidRPr="003E76E7" w:rsidRDefault="003A015A" w:rsidP="00C4292D">
            <w:pPr>
              <w:spacing w:before="0" w:after="0"/>
              <w:jc w:val="right"/>
              <w:rPr>
                <w:rFonts w:ascii="Arial" w:hAnsi="Arial"/>
                <w:b/>
                <w:bCs/>
                <w:sz w:val="16"/>
                <w:szCs w:val="16"/>
                <w:lang w:val="en-AU"/>
              </w:rPr>
            </w:pPr>
            <w:r w:rsidRPr="003E76E7">
              <w:rPr>
                <w:rFonts w:ascii="Arial" w:hAnsi="Arial"/>
                <w:b/>
                <w:bCs/>
                <w:sz w:val="16"/>
                <w:szCs w:val="16"/>
                <w:lang w:val="en-AU"/>
              </w:rPr>
              <w:t xml:space="preserve">2025-26 Estimated Actual </w:t>
            </w:r>
          </w:p>
        </w:tc>
        <w:tc>
          <w:tcPr>
            <w:tcW w:w="1553" w:type="dxa"/>
            <w:tcBorders>
              <w:top w:val="single" w:sz="4" w:space="0" w:color="auto"/>
              <w:left w:val="nil"/>
              <w:bottom w:val="single" w:sz="4" w:space="0" w:color="auto"/>
              <w:right w:val="nil"/>
            </w:tcBorders>
            <w:vAlign w:val="center"/>
            <w:hideMark/>
          </w:tcPr>
          <w:p w14:paraId="4371CBA4" w14:textId="5A48AFEE" w:rsidR="003A015A" w:rsidRPr="003E76E7" w:rsidRDefault="003A015A" w:rsidP="00C4292D">
            <w:pPr>
              <w:spacing w:before="0" w:after="0"/>
              <w:jc w:val="right"/>
              <w:rPr>
                <w:rFonts w:ascii="Arial" w:hAnsi="Arial"/>
                <w:b/>
                <w:bCs/>
                <w:sz w:val="16"/>
                <w:szCs w:val="16"/>
                <w:lang w:val="en-AU"/>
              </w:rPr>
            </w:pPr>
            <w:r w:rsidRPr="003E76E7">
              <w:rPr>
                <w:rFonts w:ascii="Arial" w:hAnsi="Arial"/>
                <w:b/>
                <w:bCs/>
                <w:sz w:val="16"/>
                <w:szCs w:val="16"/>
                <w:lang w:val="en-AU"/>
              </w:rPr>
              <w:t>2026-27</w:t>
            </w:r>
            <w:r w:rsidRPr="003E76E7">
              <w:rPr>
                <w:rFonts w:ascii="Arial" w:hAnsi="Arial"/>
                <w:b/>
                <w:bCs/>
                <w:sz w:val="16"/>
                <w:szCs w:val="16"/>
                <w:lang w:val="en-AU"/>
              </w:rPr>
              <w:br/>
              <w:t>Budget</w:t>
            </w:r>
            <w:r w:rsidRPr="003E76E7">
              <w:rPr>
                <w:rFonts w:ascii="Arial" w:hAnsi="Arial"/>
                <w:b/>
                <w:bCs/>
                <w:sz w:val="16"/>
                <w:szCs w:val="16"/>
                <w:lang w:val="en-AU"/>
              </w:rPr>
              <w:br/>
              <w:t>Estimate</w:t>
            </w:r>
            <w:r w:rsidR="00BA525A" w:rsidRPr="003E76E7">
              <w:rPr>
                <w:rFonts w:ascii="Arial" w:hAnsi="Arial"/>
                <w:b/>
                <w:bCs/>
                <w:sz w:val="16"/>
                <w:szCs w:val="16"/>
                <w:lang w:val="en-AU"/>
              </w:rPr>
              <w:t xml:space="preserve"> </w:t>
            </w:r>
            <w:r w:rsidRPr="003E76E7">
              <w:rPr>
                <w:rFonts w:ascii="Arial" w:hAnsi="Arial"/>
                <w:b/>
                <w:bCs/>
                <w:sz w:val="16"/>
                <w:szCs w:val="16"/>
                <w:vertAlign w:val="superscript"/>
                <w:lang w:val="en-AU"/>
              </w:rPr>
              <w:t>[a]</w:t>
            </w:r>
          </w:p>
        </w:tc>
      </w:tr>
      <w:tr w:rsidR="003A015A" w:rsidRPr="003E76E7" w14:paraId="5399B36E" w14:textId="77777777" w:rsidTr="000E1A17">
        <w:trPr>
          <w:trHeight w:val="270"/>
        </w:trPr>
        <w:tc>
          <w:tcPr>
            <w:tcW w:w="5553" w:type="dxa"/>
            <w:tcBorders>
              <w:top w:val="single" w:sz="4" w:space="0" w:color="auto"/>
              <w:left w:val="nil"/>
              <w:bottom w:val="single" w:sz="4" w:space="0" w:color="auto"/>
              <w:right w:val="nil"/>
            </w:tcBorders>
            <w:shd w:val="clear" w:color="auto" w:fill="E6E6E6"/>
            <w:vAlign w:val="center"/>
          </w:tcPr>
          <w:p w14:paraId="738F9013" w14:textId="4C36D8B1" w:rsidR="003A015A" w:rsidRPr="003E76E7" w:rsidRDefault="003A015A" w:rsidP="00C4292D">
            <w:pPr>
              <w:spacing w:before="0" w:after="0"/>
              <w:rPr>
                <w:rFonts w:ascii="Arial" w:hAnsi="Arial"/>
                <w:b/>
                <w:bCs/>
                <w:sz w:val="16"/>
                <w:szCs w:val="16"/>
                <w:lang w:val="en-AU"/>
              </w:rPr>
            </w:pPr>
            <w:r w:rsidRPr="003E76E7">
              <w:rPr>
                <w:rFonts w:ascii="Arial" w:hAnsi="Arial"/>
                <w:b/>
                <w:bCs/>
                <w:sz w:val="16"/>
                <w:szCs w:val="16"/>
                <w:lang w:val="en-AU"/>
              </w:rPr>
              <w:t>Navy</w:t>
            </w:r>
          </w:p>
        </w:tc>
        <w:tc>
          <w:tcPr>
            <w:tcW w:w="1397" w:type="dxa"/>
            <w:tcBorders>
              <w:top w:val="single" w:sz="4" w:space="0" w:color="auto"/>
              <w:left w:val="nil"/>
              <w:bottom w:val="single" w:sz="4" w:space="0" w:color="auto"/>
              <w:right w:val="nil"/>
            </w:tcBorders>
            <w:shd w:val="clear" w:color="auto" w:fill="E6E6E6"/>
            <w:noWrap/>
            <w:vAlign w:val="center"/>
            <w:hideMark/>
          </w:tcPr>
          <w:p w14:paraId="2A890A57" w14:textId="77777777" w:rsidR="003A015A" w:rsidRPr="003E76E7" w:rsidRDefault="003A015A" w:rsidP="00C4292D">
            <w:pPr>
              <w:spacing w:before="0" w:after="0"/>
              <w:jc w:val="right"/>
              <w:rPr>
                <w:rFonts w:ascii="Arial" w:hAnsi="Arial"/>
                <w:b/>
                <w:bCs/>
                <w:sz w:val="16"/>
                <w:szCs w:val="16"/>
                <w:lang w:val="en-AU"/>
              </w:rPr>
            </w:pPr>
          </w:p>
        </w:tc>
        <w:tc>
          <w:tcPr>
            <w:tcW w:w="1553" w:type="dxa"/>
            <w:tcBorders>
              <w:top w:val="single" w:sz="4" w:space="0" w:color="auto"/>
              <w:left w:val="nil"/>
              <w:bottom w:val="single" w:sz="4" w:space="0" w:color="auto"/>
              <w:right w:val="nil"/>
            </w:tcBorders>
            <w:shd w:val="clear" w:color="auto" w:fill="E6E6E6"/>
            <w:noWrap/>
            <w:vAlign w:val="center"/>
            <w:hideMark/>
          </w:tcPr>
          <w:p w14:paraId="665E8824" w14:textId="77777777" w:rsidR="003A015A" w:rsidRPr="003E76E7" w:rsidRDefault="003A015A" w:rsidP="00C4292D">
            <w:pPr>
              <w:spacing w:before="0" w:after="0"/>
              <w:jc w:val="right"/>
              <w:rPr>
                <w:rFonts w:ascii="Arial" w:hAnsi="Arial"/>
                <w:b/>
                <w:bCs/>
                <w:sz w:val="16"/>
                <w:szCs w:val="16"/>
                <w:lang w:val="en-AU"/>
              </w:rPr>
            </w:pPr>
          </w:p>
        </w:tc>
      </w:tr>
      <w:tr w:rsidR="00A04BD1" w:rsidRPr="003E76E7" w14:paraId="60BAA040" w14:textId="77777777" w:rsidTr="000E1A17">
        <w:trPr>
          <w:trHeight w:val="255"/>
        </w:trPr>
        <w:tc>
          <w:tcPr>
            <w:tcW w:w="5553" w:type="dxa"/>
            <w:vAlign w:val="center"/>
          </w:tcPr>
          <w:p w14:paraId="70C37D24" w14:textId="6F23E2DA" w:rsidR="00A04BD1" w:rsidRPr="003E76E7" w:rsidRDefault="00A04BD1" w:rsidP="00C4292D">
            <w:pPr>
              <w:spacing w:before="0" w:after="0"/>
              <w:rPr>
                <w:rFonts w:ascii="Arial" w:hAnsi="Arial"/>
                <w:sz w:val="16"/>
                <w:szCs w:val="16"/>
                <w:lang w:val="en-AU"/>
              </w:rPr>
            </w:pPr>
            <w:r w:rsidRPr="003E76E7">
              <w:rPr>
                <w:rFonts w:ascii="Arial" w:hAnsi="Arial"/>
                <w:sz w:val="16"/>
                <w:szCs w:val="16"/>
                <w:lang w:val="en-AU"/>
              </w:rPr>
              <w:t xml:space="preserve">One Star and above </w:t>
            </w:r>
            <w:r w:rsidRPr="003E76E7">
              <w:rPr>
                <w:rFonts w:ascii="Arial" w:hAnsi="Arial"/>
                <w:bCs/>
                <w:sz w:val="16"/>
                <w:szCs w:val="16"/>
                <w:vertAlign w:val="superscript"/>
                <w:lang w:val="en-AU"/>
              </w:rPr>
              <w:t>[b]</w:t>
            </w:r>
          </w:p>
        </w:tc>
        <w:tc>
          <w:tcPr>
            <w:tcW w:w="1397" w:type="dxa"/>
            <w:noWrap/>
            <w:vAlign w:val="bottom"/>
          </w:tcPr>
          <w:p w14:paraId="79F82E20" w14:textId="1D7B49B7" w:rsidR="00A04BD1" w:rsidRPr="003E76E7" w:rsidRDefault="00A04BD1" w:rsidP="00C4292D">
            <w:pPr>
              <w:spacing w:before="0" w:after="0"/>
              <w:jc w:val="right"/>
              <w:rPr>
                <w:rFonts w:ascii="Arial" w:hAnsi="Arial"/>
                <w:sz w:val="16"/>
                <w:szCs w:val="16"/>
                <w:lang w:val="en-AU"/>
              </w:rPr>
            </w:pPr>
            <w:r w:rsidRPr="003E76E7">
              <w:rPr>
                <w:rFonts w:ascii="Arial" w:hAnsi="Arial"/>
                <w:sz w:val="16"/>
                <w:szCs w:val="16"/>
                <w:lang w:val="en-AU"/>
              </w:rPr>
              <w:t>74</w:t>
            </w:r>
          </w:p>
        </w:tc>
        <w:tc>
          <w:tcPr>
            <w:tcW w:w="1553" w:type="dxa"/>
            <w:noWrap/>
            <w:vAlign w:val="bottom"/>
          </w:tcPr>
          <w:p w14:paraId="410E680D" w14:textId="1DC7A495" w:rsidR="00A04BD1" w:rsidRPr="003E76E7" w:rsidRDefault="00A04BD1" w:rsidP="00C4292D">
            <w:pPr>
              <w:spacing w:before="0" w:after="0"/>
              <w:jc w:val="right"/>
              <w:rPr>
                <w:rFonts w:ascii="Arial" w:hAnsi="Arial"/>
                <w:sz w:val="16"/>
                <w:szCs w:val="16"/>
                <w:lang w:val="en-AU"/>
              </w:rPr>
            </w:pPr>
            <w:r w:rsidRPr="003E76E7">
              <w:rPr>
                <w:rFonts w:ascii="Arial" w:hAnsi="Arial"/>
                <w:sz w:val="16"/>
                <w:szCs w:val="16"/>
                <w:lang w:val="en-AU"/>
              </w:rPr>
              <w:t>71</w:t>
            </w:r>
          </w:p>
        </w:tc>
      </w:tr>
      <w:tr w:rsidR="00A04BD1" w:rsidRPr="003E76E7" w14:paraId="0E73A5B3" w14:textId="77777777" w:rsidTr="000E1A17">
        <w:trPr>
          <w:trHeight w:val="270"/>
        </w:trPr>
        <w:tc>
          <w:tcPr>
            <w:tcW w:w="5553" w:type="dxa"/>
            <w:vAlign w:val="center"/>
          </w:tcPr>
          <w:p w14:paraId="47EFBB7E" w14:textId="4EC2BC41" w:rsidR="00A04BD1" w:rsidRPr="003E76E7" w:rsidRDefault="00A04BD1" w:rsidP="00C4292D">
            <w:pPr>
              <w:spacing w:before="0" w:after="0"/>
              <w:rPr>
                <w:rFonts w:ascii="Arial" w:hAnsi="Arial"/>
                <w:sz w:val="16"/>
                <w:szCs w:val="16"/>
                <w:lang w:val="en-AU"/>
              </w:rPr>
            </w:pPr>
            <w:r w:rsidRPr="003E76E7">
              <w:rPr>
                <w:rFonts w:ascii="Arial" w:hAnsi="Arial"/>
                <w:sz w:val="16"/>
                <w:szCs w:val="16"/>
                <w:lang w:val="en-AU"/>
              </w:rPr>
              <w:t xml:space="preserve">Senior Officers </w:t>
            </w:r>
            <w:r w:rsidRPr="003E76E7">
              <w:rPr>
                <w:rFonts w:ascii="Arial" w:hAnsi="Arial"/>
                <w:bCs/>
                <w:sz w:val="16"/>
                <w:szCs w:val="16"/>
                <w:vertAlign w:val="superscript"/>
                <w:lang w:val="en-AU"/>
              </w:rPr>
              <w:t>[c]</w:t>
            </w:r>
          </w:p>
        </w:tc>
        <w:tc>
          <w:tcPr>
            <w:tcW w:w="1397" w:type="dxa"/>
            <w:noWrap/>
            <w:vAlign w:val="bottom"/>
          </w:tcPr>
          <w:p w14:paraId="625A08E1" w14:textId="0F01BD53" w:rsidR="00A04BD1" w:rsidRPr="003E76E7" w:rsidRDefault="00A04BD1" w:rsidP="00C4292D">
            <w:pPr>
              <w:spacing w:before="0" w:after="0"/>
              <w:jc w:val="right"/>
              <w:rPr>
                <w:rFonts w:ascii="Arial" w:hAnsi="Arial"/>
                <w:sz w:val="16"/>
                <w:szCs w:val="16"/>
                <w:lang w:val="en-AU"/>
              </w:rPr>
            </w:pPr>
            <w:r w:rsidRPr="003E76E7">
              <w:rPr>
                <w:rFonts w:ascii="Arial" w:hAnsi="Arial"/>
                <w:sz w:val="16"/>
                <w:szCs w:val="16"/>
                <w:lang w:val="en-AU"/>
              </w:rPr>
              <w:t>888</w:t>
            </w:r>
          </w:p>
        </w:tc>
        <w:tc>
          <w:tcPr>
            <w:tcW w:w="1553" w:type="dxa"/>
            <w:noWrap/>
            <w:vAlign w:val="bottom"/>
          </w:tcPr>
          <w:p w14:paraId="3313821F" w14:textId="50C8E0C8" w:rsidR="00A04BD1" w:rsidRPr="003E76E7" w:rsidRDefault="00A04BD1" w:rsidP="00C4292D">
            <w:pPr>
              <w:spacing w:before="0" w:after="0"/>
              <w:jc w:val="right"/>
              <w:rPr>
                <w:rFonts w:ascii="Arial" w:hAnsi="Arial"/>
                <w:sz w:val="16"/>
                <w:szCs w:val="16"/>
                <w:lang w:val="en-AU"/>
              </w:rPr>
            </w:pPr>
            <w:r w:rsidRPr="003E76E7">
              <w:rPr>
                <w:rFonts w:ascii="Arial" w:hAnsi="Arial"/>
                <w:sz w:val="16"/>
                <w:szCs w:val="16"/>
                <w:lang w:val="en-AU"/>
              </w:rPr>
              <w:t>910</w:t>
            </w:r>
          </w:p>
        </w:tc>
      </w:tr>
      <w:tr w:rsidR="00A04BD1" w:rsidRPr="003E76E7" w14:paraId="67CDFE5A" w14:textId="77777777" w:rsidTr="000E1A17">
        <w:trPr>
          <w:trHeight w:val="255"/>
        </w:trPr>
        <w:tc>
          <w:tcPr>
            <w:tcW w:w="5553" w:type="dxa"/>
            <w:vAlign w:val="center"/>
          </w:tcPr>
          <w:p w14:paraId="27C1C5B4" w14:textId="1FBCFB95" w:rsidR="00A04BD1" w:rsidRPr="003E76E7" w:rsidRDefault="00A04BD1" w:rsidP="00C4292D">
            <w:pPr>
              <w:spacing w:before="0" w:after="0"/>
              <w:rPr>
                <w:rFonts w:ascii="Arial" w:hAnsi="Arial"/>
                <w:sz w:val="16"/>
                <w:szCs w:val="16"/>
                <w:lang w:val="en-AU"/>
              </w:rPr>
            </w:pPr>
            <w:r w:rsidRPr="003E76E7">
              <w:rPr>
                <w:rFonts w:ascii="Arial" w:hAnsi="Arial"/>
                <w:sz w:val="16"/>
                <w:szCs w:val="16"/>
                <w:lang w:val="en-AU"/>
              </w:rPr>
              <w:t>Officers</w:t>
            </w:r>
          </w:p>
        </w:tc>
        <w:tc>
          <w:tcPr>
            <w:tcW w:w="1397" w:type="dxa"/>
            <w:noWrap/>
            <w:vAlign w:val="bottom"/>
          </w:tcPr>
          <w:p w14:paraId="2981F29C" w14:textId="45644B5F" w:rsidR="00A04BD1" w:rsidRPr="003E76E7" w:rsidRDefault="00A04BD1" w:rsidP="00C4292D">
            <w:pPr>
              <w:spacing w:before="0" w:after="0"/>
              <w:jc w:val="right"/>
              <w:rPr>
                <w:rFonts w:ascii="Arial" w:hAnsi="Arial"/>
                <w:sz w:val="16"/>
                <w:szCs w:val="16"/>
                <w:lang w:val="en-AU"/>
              </w:rPr>
            </w:pPr>
            <w:r w:rsidRPr="003E76E7">
              <w:rPr>
                <w:rFonts w:ascii="Arial" w:hAnsi="Arial"/>
                <w:sz w:val="16"/>
                <w:szCs w:val="16"/>
                <w:lang w:val="en-AU"/>
              </w:rPr>
              <w:t>3,732</w:t>
            </w:r>
          </w:p>
        </w:tc>
        <w:tc>
          <w:tcPr>
            <w:tcW w:w="1553" w:type="dxa"/>
            <w:noWrap/>
            <w:vAlign w:val="bottom"/>
          </w:tcPr>
          <w:p w14:paraId="79450497" w14:textId="33AC58E0" w:rsidR="00A04BD1" w:rsidRPr="003E76E7" w:rsidRDefault="00A04BD1" w:rsidP="00C4292D">
            <w:pPr>
              <w:spacing w:before="0" w:after="0"/>
              <w:jc w:val="right"/>
              <w:rPr>
                <w:rFonts w:ascii="Arial" w:hAnsi="Arial"/>
                <w:sz w:val="16"/>
                <w:szCs w:val="16"/>
                <w:lang w:val="en-AU"/>
              </w:rPr>
            </w:pPr>
            <w:r w:rsidRPr="003E76E7">
              <w:rPr>
                <w:rFonts w:ascii="Arial" w:hAnsi="Arial"/>
                <w:sz w:val="16"/>
                <w:szCs w:val="16"/>
                <w:lang w:val="en-AU"/>
              </w:rPr>
              <w:t>3,825</w:t>
            </w:r>
          </w:p>
        </w:tc>
      </w:tr>
      <w:tr w:rsidR="00A04BD1" w:rsidRPr="003E76E7" w14:paraId="030DA038" w14:textId="77777777" w:rsidTr="000E1A17">
        <w:trPr>
          <w:trHeight w:val="255"/>
        </w:trPr>
        <w:tc>
          <w:tcPr>
            <w:tcW w:w="5553" w:type="dxa"/>
            <w:vAlign w:val="center"/>
          </w:tcPr>
          <w:p w14:paraId="1D63976F" w14:textId="300C412C" w:rsidR="00A04BD1" w:rsidRPr="003E76E7" w:rsidRDefault="00A04BD1" w:rsidP="00C4292D">
            <w:pPr>
              <w:spacing w:before="0" w:after="0"/>
              <w:rPr>
                <w:rFonts w:ascii="Arial" w:hAnsi="Arial"/>
                <w:sz w:val="16"/>
                <w:szCs w:val="16"/>
                <w:lang w:val="en-AU"/>
              </w:rPr>
            </w:pPr>
            <w:r w:rsidRPr="003E76E7">
              <w:rPr>
                <w:rFonts w:ascii="Arial" w:hAnsi="Arial"/>
                <w:sz w:val="16"/>
                <w:szCs w:val="16"/>
                <w:lang w:val="en-AU"/>
              </w:rPr>
              <w:t>Other Ranks</w:t>
            </w:r>
          </w:p>
        </w:tc>
        <w:tc>
          <w:tcPr>
            <w:tcW w:w="1397" w:type="dxa"/>
            <w:noWrap/>
            <w:vAlign w:val="bottom"/>
          </w:tcPr>
          <w:p w14:paraId="7808D3C7" w14:textId="75DA4949" w:rsidR="00A04BD1" w:rsidRPr="003E76E7" w:rsidRDefault="00A04BD1" w:rsidP="00C4292D">
            <w:pPr>
              <w:spacing w:before="0" w:after="0"/>
              <w:jc w:val="right"/>
              <w:rPr>
                <w:rFonts w:ascii="Arial" w:hAnsi="Arial"/>
                <w:sz w:val="16"/>
                <w:szCs w:val="16"/>
                <w:lang w:val="en-AU"/>
              </w:rPr>
            </w:pPr>
            <w:r w:rsidRPr="003E76E7">
              <w:rPr>
                <w:rFonts w:ascii="Arial" w:hAnsi="Arial"/>
                <w:sz w:val="16"/>
                <w:szCs w:val="16"/>
                <w:lang w:val="en-AU"/>
              </w:rPr>
              <w:t>11,111</w:t>
            </w:r>
          </w:p>
        </w:tc>
        <w:tc>
          <w:tcPr>
            <w:tcW w:w="1553" w:type="dxa"/>
            <w:noWrap/>
            <w:vAlign w:val="bottom"/>
          </w:tcPr>
          <w:p w14:paraId="05B16F75" w14:textId="523A7366" w:rsidR="00A04BD1" w:rsidRPr="003E76E7" w:rsidRDefault="00A04BD1" w:rsidP="00C4292D">
            <w:pPr>
              <w:spacing w:before="0" w:after="0"/>
              <w:jc w:val="right"/>
              <w:rPr>
                <w:rFonts w:ascii="Arial" w:hAnsi="Arial"/>
                <w:sz w:val="16"/>
                <w:szCs w:val="16"/>
                <w:lang w:val="en-AU"/>
              </w:rPr>
            </w:pPr>
            <w:r w:rsidRPr="003E76E7">
              <w:rPr>
                <w:rFonts w:ascii="Arial" w:hAnsi="Arial"/>
                <w:sz w:val="16"/>
                <w:szCs w:val="16"/>
                <w:lang w:val="en-AU"/>
              </w:rPr>
              <w:t>11,387</w:t>
            </w:r>
          </w:p>
        </w:tc>
      </w:tr>
      <w:tr w:rsidR="00A04BD1" w:rsidRPr="003E76E7" w14:paraId="6FC0FDC7" w14:textId="77777777" w:rsidTr="000E1A17">
        <w:trPr>
          <w:trHeight w:val="255"/>
        </w:trPr>
        <w:tc>
          <w:tcPr>
            <w:tcW w:w="5553" w:type="dxa"/>
            <w:tcBorders>
              <w:left w:val="nil"/>
              <w:bottom w:val="single" w:sz="4" w:space="0" w:color="auto"/>
              <w:right w:val="nil"/>
            </w:tcBorders>
            <w:vAlign w:val="center"/>
          </w:tcPr>
          <w:p w14:paraId="149EFD4F" w14:textId="612CF7BE" w:rsidR="00A04BD1" w:rsidRPr="003E76E7" w:rsidRDefault="00A04BD1" w:rsidP="00C4292D">
            <w:pPr>
              <w:spacing w:before="0" w:after="0"/>
              <w:rPr>
                <w:rFonts w:ascii="Arial" w:hAnsi="Arial"/>
                <w:b/>
                <w:bCs/>
                <w:sz w:val="16"/>
                <w:szCs w:val="16"/>
                <w:lang w:val="en-AU"/>
              </w:rPr>
            </w:pPr>
            <w:r w:rsidRPr="003E76E7">
              <w:rPr>
                <w:rFonts w:ascii="Arial" w:hAnsi="Arial"/>
                <w:b/>
                <w:bCs/>
                <w:sz w:val="16"/>
                <w:szCs w:val="16"/>
                <w:lang w:val="en-AU"/>
              </w:rPr>
              <w:t>Total Navy</w:t>
            </w:r>
          </w:p>
        </w:tc>
        <w:tc>
          <w:tcPr>
            <w:tcW w:w="1397" w:type="dxa"/>
            <w:tcBorders>
              <w:left w:val="nil"/>
              <w:bottom w:val="single" w:sz="4" w:space="0" w:color="auto"/>
              <w:right w:val="nil"/>
            </w:tcBorders>
            <w:noWrap/>
            <w:vAlign w:val="bottom"/>
          </w:tcPr>
          <w:p w14:paraId="659141CD" w14:textId="2769EFE4" w:rsidR="00A04BD1" w:rsidRPr="003E76E7" w:rsidRDefault="00A04BD1" w:rsidP="00C4292D">
            <w:pPr>
              <w:spacing w:before="0" w:after="0"/>
              <w:jc w:val="right"/>
              <w:rPr>
                <w:rFonts w:ascii="Arial" w:hAnsi="Arial"/>
                <w:b/>
                <w:bCs/>
                <w:sz w:val="16"/>
                <w:szCs w:val="16"/>
                <w:lang w:val="en-AU"/>
              </w:rPr>
            </w:pPr>
            <w:r w:rsidRPr="003E76E7">
              <w:rPr>
                <w:rFonts w:ascii="Arial" w:hAnsi="Arial"/>
                <w:b/>
                <w:bCs/>
                <w:sz w:val="16"/>
                <w:szCs w:val="16"/>
                <w:lang w:val="en-AU"/>
              </w:rPr>
              <w:t>15,805</w:t>
            </w:r>
          </w:p>
        </w:tc>
        <w:tc>
          <w:tcPr>
            <w:tcW w:w="1553" w:type="dxa"/>
            <w:tcBorders>
              <w:left w:val="nil"/>
              <w:bottom w:val="single" w:sz="4" w:space="0" w:color="auto"/>
              <w:right w:val="nil"/>
            </w:tcBorders>
            <w:noWrap/>
            <w:vAlign w:val="bottom"/>
          </w:tcPr>
          <w:p w14:paraId="10964425" w14:textId="2624BD85" w:rsidR="00A04BD1" w:rsidRPr="003E76E7" w:rsidRDefault="00A04BD1" w:rsidP="00C4292D">
            <w:pPr>
              <w:spacing w:before="0" w:after="0"/>
              <w:jc w:val="right"/>
              <w:rPr>
                <w:rFonts w:ascii="Arial" w:hAnsi="Arial"/>
                <w:b/>
                <w:bCs/>
                <w:sz w:val="16"/>
                <w:szCs w:val="16"/>
                <w:lang w:val="en-AU"/>
              </w:rPr>
            </w:pPr>
            <w:r w:rsidRPr="003E76E7">
              <w:rPr>
                <w:rFonts w:ascii="Arial" w:hAnsi="Arial"/>
                <w:b/>
                <w:bCs/>
                <w:sz w:val="16"/>
                <w:szCs w:val="16"/>
                <w:lang w:val="en-AU"/>
              </w:rPr>
              <w:t>16,193</w:t>
            </w:r>
          </w:p>
        </w:tc>
      </w:tr>
      <w:tr w:rsidR="00A04BD1" w:rsidRPr="003E76E7" w14:paraId="08D793F4" w14:textId="77777777" w:rsidTr="000E1A17">
        <w:trPr>
          <w:trHeight w:val="270"/>
        </w:trPr>
        <w:tc>
          <w:tcPr>
            <w:tcW w:w="5553" w:type="dxa"/>
            <w:tcBorders>
              <w:top w:val="single" w:sz="4" w:space="0" w:color="auto"/>
              <w:left w:val="nil"/>
              <w:bottom w:val="single" w:sz="4" w:space="0" w:color="auto"/>
              <w:right w:val="nil"/>
            </w:tcBorders>
            <w:shd w:val="clear" w:color="auto" w:fill="E6E6E6"/>
            <w:vAlign w:val="center"/>
          </w:tcPr>
          <w:p w14:paraId="6C4834D2" w14:textId="15292E29" w:rsidR="00A04BD1" w:rsidRPr="003E76E7" w:rsidRDefault="00A04BD1" w:rsidP="00C4292D">
            <w:pPr>
              <w:spacing w:before="0" w:after="0"/>
              <w:rPr>
                <w:rFonts w:ascii="Arial" w:hAnsi="Arial"/>
                <w:b/>
                <w:bCs/>
                <w:sz w:val="16"/>
                <w:szCs w:val="16"/>
                <w:lang w:val="en-AU"/>
              </w:rPr>
            </w:pPr>
            <w:r w:rsidRPr="003E76E7">
              <w:rPr>
                <w:rFonts w:ascii="Arial" w:hAnsi="Arial"/>
                <w:b/>
                <w:bCs/>
                <w:sz w:val="16"/>
                <w:szCs w:val="16"/>
                <w:lang w:val="en-AU"/>
              </w:rPr>
              <w:t>Army</w:t>
            </w:r>
          </w:p>
        </w:tc>
        <w:tc>
          <w:tcPr>
            <w:tcW w:w="1397" w:type="dxa"/>
            <w:tcBorders>
              <w:top w:val="single" w:sz="4" w:space="0" w:color="auto"/>
              <w:left w:val="nil"/>
              <w:bottom w:val="single" w:sz="4" w:space="0" w:color="auto"/>
              <w:right w:val="nil"/>
            </w:tcBorders>
            <w:shd w:val="clear" w:color="auto" w:fill="E6E6E6"/>
            <w:noWrap/>
            <w:vAlign w:val="bottom"/>
          </w:tcPr>
          <w:p w14:paraId="51E1C09B" w14:textId="77777777" w:rsidR="00A04BD1" w:rsidRPr="003E76E7" w:rsidRDefault="00A04BD1" w:rsidP="00C4292D">
            <w:pPr>
              <w:spacing w:before="0" w:after="0"/>
              <w:jc w:val="right"/>
              <w:rPr>
                <w:rFonts w:ascii="Arial" w:hAnsi="Arial"/>
                <w:b/>
                <w:bCs/>
                <w:sz w:val="16"/>
                <w:szCs w:val="16"/>
                <w:lang w:val="en-AU"/>
              </w:rPr>
            </w:pPr>
          </w:p>
        </w:tc>
        <w:tc>
          <w:tcPr>
            <w:tcW w:w="1553" w:type="dxa"/>
            <w:tcBorders>
              <w:top w:val="single" w:sz="4" w:space="0" w:color="auto"/>
              <w:left w:val="nil"/>
              <w:bottom w:val="single" w:sz="4" w:space="0" w:color="auto"/>
              <w:right w:val="nil"/>
            </w:tcBorders>
            <w:shd w:val="clear" w:color="auto" w:fill="E6E6E6"/>
            <w:noWrap/>
            <w:vAlign w:val="bottom"/>
          </w:tcPr>
          <w:p w14:paraId="5CA6DF76" w14:textId="77777777" w:rsidR="00A04BD1" w:rsidRPr="003E76E7" w:rsidRDefault="00A04BD1" w:rsidP="00C4292D">
            <w:pPr>
              <w:spacing w:before="0" w:after="0"/>
              <w:jc w:val="right"/>
              <w:rPr>
                <w:rFonts w:ascii="Arial" w:hAnsi="Arial"/>
                <w:b/>
                <w:bCs/>
                <w:sz w:val="16"/>
                <w:szCs w:val="16"/>
                <w:lang w:val="en-AU"/>
              </w:rPr>
            </w:pPr>
          </w:p>
        </w:tc>
      </w:tr>
      <w:tr w:rsidR="00A04BD1" w:rsidRPr="003E76E7" w14:paraId="33BFBB0F" w14:textId="77777777" w:rsidTr="000E1A17">
        <w:trPr>
          <w:trHeight w:val="255"/>
        </w:trPr>
        <w:tc>
          <w:tcPr>
            <w:tcW w:w="5553" w:type="dxa"/>
            <w:vAlign w:val="center"/>
          </w:tcPr>
          <w:p w14:paraId="2E5AF714" w14:textId="67DC9137" w:rsidR="00A04BD1" w:rsidRPr="003E76E7" w:rsidRDefault="00A04BD1" w:rsidP="00C4292D">
            <w:pPr>
              <w:spacing w:before="0" w:after="0"/>
              <w:rPr>
                <w:rFonts w:ascii="Arial" w:hAnsi="Arial"/>
                <w:sz w:val="16"/>
                <w:szCs w:val="16"/>
                <w:lang w:val="en-AU"/>
              </w:rPr>
            </w:pPr>
            <w:r w:rsidRPr="003E76E7">
              <w:rPr>
                <w:rFonts w:ascii="Arial" w:hAnsi="Arial"/>
                <w:sz w:val="16"/>
                <w:szCs w:val="16"/>
                <w:lang w:val="en-AU"/>
              </w:rPr>
              <w:t xml:space="preserve">One Star and above </w:t>
            </w:r>
            <w:r w:rsidRPr="003E76E7">
              <w:rPr>
                <w:rFonts w:ascii="Arial" w:hAnsi="Arial"/>
                <w:bCs/>
                <w:sz w:val="16"/>
                <w:szCs w:val="16"/>
                <w:vertAlign w:val="superscript"/>
                <w:lang w:val="en-AU"/>
              </w:rPr>
              <w:t>[b]</w:t>
            </w:r>
          </w:p>
        </w:tc>
        <w:tc>
          <w:tcPr>
            <w:tcW w:w="1397" w:type="dxa"/>
            <w:noWrap/>
            <w:vAlign w:val="bottom"/>
          </w:tcPr>
          <w:p w14:paraId="10825EF7" w14:textId="6E7B1D85" w:rsidR="00A04BD1" w:rsidRPr="003E76E7" w:rsidRDefault="00A155CE" w:rsidP="00C4292D">
            <w:pPr>
              <w:spacing w:before="0" w:after="0"/>
              <w:jc w:val="right"/>
              <w:rPr>
                <w:rFonts w:ascii="Arial" w:hAnsi="Arial"/>
                <w:sz w:val="16"/>
                <w:szCs w:val="16"/>
                <w:lang w:val="en-AU"/>
              </w:rPr>
            </w:pPr>
            <w:r w:rsidRPr="003E76E7">
              <w:rPr>
                <w:rFonts w:ascii="Arial" w:hAnsi="Arial"/>
                <w:sz w:val="16"/>
                <w:szCs w:val="16"/>
                <w:lang w:val="en-AU"/>
              </w:rPr>
              <w:t>89</w:t>
            </w:r>
          </w:p>
        </w:tc>
        <w:tc>
          <w:tcPr>
            <w:tcW w:w="1553" w:type="dxa"/>
            <w:noWrap/>
            <w:vAlign w:val="bottom"/>
          </w:tcPr>
          <w:p w14:paraId="7481D470" w14:textId="6591C54B" w:rsidR="00A04BD1" w:rsidRPr="003E76E7" w:rsidRDefault="00A04BD1" w:rsidP="00C4292D">
            <w:pPr>
              <w:spacing w:before="0" w:after="0"/>
              <w:jc w:val="right"/>
              <w:rPr>
                <w:rFonts w:ascii="Arial" w:hAnsi="Arial"/>
                <w:sz w:val="16"/>
                <w:szCs w:val="16"/>
                <w:lang w:val="en-AU"/>
              </w:rPr>
            </w:pPr>
            <w:r w:rsidRPr="003E76E7">
              <w:rPr>
                <w:rFonts w:ascii="Arial" w:hAnsi="Arial"/>
                <w:sz w:val="16"/>
                <w:szCs w:val="16"/>
                <w:lang w:val="en-AU"/>
              </w:rPr>
              <w:t>86</w:t>
            </w:r>
          </w:p>
        </w:tc>
      </w:tr>
      <w:tr w:rsidR="00A04BD1" w:rsidRPr="003E76E7" w14:paraId="539E6738" w14:textId="77777777" w:rsidTr="000E1A17">
        <w:trPr>
          <w:trHeight w:val="270"/>
        </w:trPr>
        <w:tc>
          <w:tcPr>
            <w:tcW w:w="5553" w:type="dxa"/>
            <w:vAlign w:val="center"/>
          </w:tcPr>
          <w:p w14:paraId="1D90E6DC" w14:textId="13BBDF46" w:rsidR="00A04BD1" w:rsidRPr="003E76E7" w:rsidRDefault="00A04BD1" w:rsidP="00C4292D">
            <w:pPr>
              <w:spacing w:before="0" w:after="0"/>
              <w:rPr>
                <w:rFonts w:ascii="Arial" w:hAnsi="Arial"/>
                <w:sz w:val="16"/>
                <w:szCs w:val="16"/>
                <w:lang w:val="en-AU"/>
              </w:rPr>
            </w:pPr>
            <w:r w:rsidRPr="003E76E7">
              <w:rPr>
                <w:rFonts w:ascii="Arial" w:hAnsi="Arial"/>
                <w:sz w:val="16"/>
                <w:szCs w:val="16"/>
                <w:lang w:val="en-AU"/>
              </w:rPr>
              <w:t>Senior Officers</w:t>
            </w:r>
            <w:r w:rsidRPr="003E76E7">
              <w:rPr>
                <w:rFonts w:ascii="Arial" w:hAnsi="Arial"/>
                <w:bCs/>
                <w:sz w:val="16"/>
                <w:szCs w:val="16"/>
                <w:vertAlign w:val="superscript"/>
                <w:lang w:val="en-AU"/>
              </w:rPr>
              <w:t xml:space="preserve"> [c]</w:t>
            </w:r>
          </w:p>
        </w:tc>
        <w:tc>
          <w:tcPr>
            <w:tcW w:w="1397" w:type="dxa"/>
            <w:noWrap/>
            <w:vAlign w:val="bottom"/>
          </w:tcPr>
          <w:p w14:paraId="5E592DC8" w14:textId="0CFDF502" w:rsidR="00A04BD1" w:rsidRPr="003E76E7" w:rsidRDefault="00A155CE" w:rsidP="00C4292D">
            <w:pPr>
              <w:spacing w:before="0" w:after="0"/>
              <w:jc w:val="right"/>
              <w:rPr>
                <w:rFonts w:ascii="Arial" w:hAnsi="Arial"/>
                <w:sz w:val="16"/>
                <w:szCs w:val="16"/>
                <w:lang w:val="en-AU"/>
              </w:rPr>
            </w:pPr>
            <w:r w:rsidRPr="003E76E7">
              <w:rPr>
                <w:rFonts w:ascii="Arial" w:hAnsi="Arial"/>
                <w:sz w:val="16"/>
                <w:szCs w:val="16"/>
                <w:lang w:val="en-AU"/>
              </w:rPr>
              <w:t>1,162</w:t>
            </w:r>
          </w:p>
        </w:tc>
        <w:tc>
          <w:tcPr>
            <w:tcW w:w="1553" w:type="dxa"/>
            <w:noWrap/>
            <w:vAlign w:val="bottom"/>
          </w:tcPr>
          <w:p w14:paraId="1E3E35B0" w14:textId="60C89286" w:rsidR="00A04BD1" w:rsidRPr="003E76E7" w:rsidRDefault="00A04BD1" w:rsidP="00C4292D">
            <w:pPr>
              <w:spacing w:before="0" w:after="0"/>
              <w:jc w:val="right"/>
              <w:rPr>
                <w:rFonts w:ascii="Arial" w:hAnsi="Arial"/>
                <w:sz w:val="16"/>
                <w:szCs w:val="16"/>
                <w:lang w:val="en-AU"/>
              </w:rPr>
            </w:pPr>
            <w:r w:rsidRPr="003E76E7">
              <w:rPr>
                <w:rFonts w:ascii="Arial" w:hAnsi="Arial"/>
                <w:sz w:val="16"/>
                <w:szCs w:val="16"/>
                <w:lang w:val="en-AU"/>
              </w:rPr>
              <w:t>1,186</w:t>
            </w:r>
          </w:p>
        </w:tc>
      </w:tr>
      <w:tr w:rsidR="00A04BD1" w:rsidRPr="003E76E7" w14:paraId="4A8108DB" w14:textId="77777777" w:rsidTr="000E1A17">
        <w:trPr>
          <w:trHeight w:val="255"/>
        </w:trPr>
        <w:tc>
          <w:tcPr>
            <w:tcW w:w="5553" w:type="dxa"/>
            <w:vAlign w:val="center"/>
          </w:tcPr>
          <w:p w14:paraId="0CDB8D67" w14:textId="29713050" w:rsidR="00A04BD1" w:rsidRPr="003E76E7" w:rsidRDefault="00A04BD1" w:rsidP="00C4292D">
            <w:pPr>
              <w:spacing w:before="0" w:after="0"/>
              <w:rPr>
                <w:rFonts w:ascii="Arial" w:hAnsi="Arial"/>
                <w:sz w:val="16"/>
                <w:szCs w:val="16"/>
                <w:lang w:val="en-AU"/>
              </w:rPr>
            </w:pPr>
            <w:r w:rsidRPr="003E76E7">
              <w:rPr>
                <w:rFonts w:ascii="Arial" w:hAnsi="Arial"/>
                <w:sz w:val="16"/>
                <w:szCs w:val="16"/>
                <w:lang w:val="en-AU"/>
              </w:rPr>
              <w:t>Officers</w:t>
            </w:r>
          </w:p>
        </w:tc>
        <w:tc>
          <w:tcPr>
            <w:tcW w:w="1397" w:type="dxa"/>
            <w:noWrap/>
            <w:vAlign w:val="bottom"/>
          </w:tcPr>
          <w:p w14:paraId="0D96E8A9" w14:textId="09A9FBF8" w:rsidR="00A04BD1" w:rsidRPr="003E76E7" w:rsidRDefault="00A04BD1" w:rsidP="00C4292D">
            <w:pPr>
              <w:spacing w:before="0" w:after="0"/>
              <w:jc w:val="right"/>
              <w:rPr>
                <w:rFonts w:ascii="Arial" w:hAnsi="Arial"/>
                <w:sz w:val="16"/>
                <w:szCs w:val="16"/>
                <w:lang w:val="en-AU"/>
              </w:rPr>
            </w:pPr>
            <w:r w:rsidRPr="003E76E7">
              <w:rPr>
                <w:rFonts w:ascii="Arial" w:hAnsi="Arial"/>
                <w:sz w:val="16"/>
                <w:szCs w:val="16"/>
                <w:lang w:val="en-AU"/>
              </w:rPr>
              <w:t>5,650</w:t>
            </w:r>
          </w:p>
        </w:tc>
        <w:tc>
          <w:tcPr>
            <w:tcW w:w="1553" w:type="dxa"/>
            <w:noWrap/>
            <w:vAlign w:val="bottom"/>
          </w:tcPr>
          <w:p w14:paraId="71685490" w14:textId="5934120A" w:rsidR="00A04BD1" w:rsidRPr="003E76E7" w:rsidRDefault="00A04BD1" w:rsidP="00C4292D">
            <w:pPr>
              <w:spacing w:before="0" w:after="0"/>
              <w:jc w:val="right"/>
              <w:rPr>
                <w:rFonts w:ascii="Arial" w:hAnsi="Arial"/>
                <w:sz w:val="16"/>
                <w:szCs w:val="16"/>
                <w:lang w:val="en-AU"/>
              </w:rPr>
            </w:pPr>
            <w:r w:rsidRPr="003E76E7">
              <w:rPr>
                <w:rFonts w:ascii="Arial" w:hAnsi="Arial"/>
                <w:sz w:val="16"/>
                <w:szCs w:val="16"/>
                <w:lang w:val="en-AU"/>
              </w:rPr>
              <w:t>5,773</w:t>
            </w:r>
          </w:p>
        </w:tc>
      </w:tr>
      <w:tr w:rsidR="00A04BD1" w:rsidRPr="003E76E7" w14:paraId="345F3AD3" w14:textId="77777777" w:rsidTr="000E1A17">
        <w:trPr>
          <w:trHeight w:val="255"/>
        </w:trPr>
        <w:tc>
          <w:tcPr>
            <w:tcW w:w="5553" w:type="dxa"/>
            <w:vAlign w:val="center"/>
          </w:tcPr>
          <w:p w14:paraId="043EAE3F" w14:textId="76572328" w:rsidR="00A04BD1" w:rsidRPr="003E76E7" w:rsidRDefault="00A04BD1" w:rsidP="00C4292D">
            <w:pPr>
              <w:spacing w:before="0" w:after="0"/>
              <w:rPr>
                <w:rFonts w:ascii="Arial" w:hAnsi="Arial"/>
                <w:sz w:val="16"/>
                <w:szCs w:val="16"/>
                <w:lang w:val="en-AU"/>
              </w:rPr>
            </w:pPr>
            <w:r w:rsidRPr="003E76E7">
              <w:rPr>
                <w:rFonts w:ascii="Arial" w:hAnsi="Arial"/>
                <w:sz w:val="16"/>
                <w:szCs w:val="16"/>
                <w:lang w:val="en-AU"/>
              </w:rPr>
              <w:t>Other Ranks</w:t>
            </w:r>
          </w:p>
        </w:tc>
        <w:tc>
          <w:tcPr>
            <w:tcW w:w="1397" w:type="dxa"/>
            <w:noWrap/>
            <w:vAlign w:val="bottom"/>
          </w:tcPr>
          <w:p w14:paraId="7B4F8D1B" w14:textId="3DA4E545" w:rsidR="00A04BD1" w:rsidRPr="003E76E7" w:rsidRDefault="00A04BD1" w:rsidP="00C4292D">
            <w:pPr>
              <w:spacing w:before="0" w:after="0"/>
              <w:jc w:val="right"/>
              <w:rPr>
                <w:rFonts w:ascii="Arial" w:hAnsi="Arial"/>
                <w:sz w:val="16"/>
                <w:szCs w:val="16"/>
                <w:lang w:val="en-AU"/>
              </w:rPr>
            </w:pPr>
            <w:r w:rsidRPr="003E76E7">
              <w:rPr>
                <w:rFonts w:ascii="Arial" w:hAnsi="Arial"/>
                <w:sz w:val="16"/>
                <w:szCs w:val="16"/>
                <w:lang w:val="en-AU"/>
              </w:rPr>
              <w:t>22,155</w:t>
            </w:r>
          </w:p>
        </w:tc>
        <w:tc>
          <w:tcPr>
            <w:tcW w:w="1553" w:type="dxa"/>
            <w:noWrap/>
            <w:vAlign w:val="bottom"/>
          </w:tcPr>
          <w:p w14:paraId="35E52F95" w14:textId="79FC6786" w:rsidR="00A04BD1" w:rsidRPr="003E76E7" w:rsidRDefault="00A04BD1" w:rsidP="00C4292D">
            <w:pPr>
              <w:spacing w:before="0" w:after="0"/>
              <w:jc w:val="right"/>
              <w:rPr>
                <w:rFonts w:ascii="Arial" w:hAnsi="Arial"/>
                <w:sz w:val="16"/>
                <w:szCs w:val="16"/>
                <w:lang w:val="en-AU"/>
              </w:rPr>
            </w:pPr>
            <w:r w:rsidRPr="003E76E7">
              <w:rPr>
                <w:rFonts w:ascii="Arial" w:hAnsi="Arial"/>
                <w:sz w:val="16"/>
                <w:szCs w:val="16"/>
                <w:lang w:val="en-AU"/>
              </w:rPr>
              <w:t>22,640</w:t>
            </w:r>
          </w:p>
        </w:tc>
      </w:tr>
      <w:tr w:rsidR="00A04BD1" w:rsidRPr="003E76E7" w14:paraId="70B724E8" w14:textId="77777777" w:rsidTr="000E1A17">
        <w:trPr>
          <w:trHeight w:val="255"/>
        </w:trPr>
        <w:tc>
          <w:tcPr>
            <w:tcW w:w="5553" w:type="dxa"/>
            <w:tcBorders>
              <w:left w:val="nil"/>
              <w:bottom w:val="single" w:sz="4" w:space="0" w:color="auto"/>
              <w:right w:val="nil"/>
            </w:tcBorders>
            <w:vAlign w:val="center"/>
          </w:tcPr>
          <w:p w14:paraId="290DB4C1" w14:textId="07ECBB48" w:rsidR="00A04BD1" w:rsidRPr="003E76E7" w:rsidRDefault="00A04BD1" w:rsidP="00C4292D">
            <w:pPr>
              <w:spacing w:before="0" w:after="0"/>
              <w:rPr>
                <w:rFonts w:ascii="Arial" w:hAnsi="Arial"/>
                <w:b/>
                <w:bCs/>
                <w:sz w:val="16"/>
                <w:szCs w:val="16"/>
                <w:lang w:val="en-AU"/>
              </w:rPr>
            </w:pPr>
            <w:r w:rsidRPr="003E76E7">
              <w:rPr>
                <w:rFonts w:ascii="Arial" w:hAnsi="Arial"/>
                <w:b/>
                <w:bCs/>
                <w:sz w:val="16"/>
                <w:szCs w:val="16"/>
                <w:lang w:val="en-AU"/>
              </w:rPr>
              <w:t>Total Army</w:t>
            </w:r>
          </w:p>
        </w:tc>
        <w:tc>
          <w:tcPr>
            <w:tcW w:w="1397" w:type="dxa"/>
            <w:tcBorders>
              <w:left w:val="nil"/>
              <w:bottom w:val="single" w:sz="4" w:space="0" w:color="auto"/>
              <w:right w:val="nil"/>
            </w:tcBorders>
            <w:noWrap/>
            <w:vAlign w:val="bottom"/>
          </w:tcPr>
          <w:p w14:paraId="460FBC8F" w14:textId="631C6940" w:rsidR="00A04BD1" w:rsidRPr="003E76E7" w:rsidRDefault="00A04BD1" w:rsidP="00C4292D">
            <w:pPr>
              <w:spacing w:before="0" w:after="0"/>
              <w:jc w:val="right"/>
              <w:rPr>
                <w:rFonts w:ascii="Arial" w:hAnsi="Arial"/>
                <w:b/>
                <w:bCs/>
                <w:sz w:val="16"/>
                <w:szCs w:val="16"/>
                <w:lang w:val="en-AU"/>
              </w:rPr>
            </w:pPr>
            <w:r w:rsidRPr="003E76E7">
              <w:rPr>
                <w:rFonts w:ascii="Arial" w:hAnsi="Arial"/>
                <w:b/>
                <w:bCs/>
                <w:sz w:val="16"/>
                <w:szCs w:val="16"/>
                <w:lang w:val="en-AU"/>
              </w:rPr>
              <w:t>29,056</w:t>
            </w:r>
          </w:p>
        </w:tc>
        <w:tc>
          <w:tcPr>
            <w:tcW w:w="1553" w:type="dxa"/>
            <w:tcBorders>
              <w:left w:val="nil"/>
              <w:bottom w:val="single" w:sz="4" w:space="0" w:color="auto"/>
              <w:right w:val="nil"/>
            </w:tcBorders>
            <w:noWrap/>
            <w:vAlign w:val="bottom"/>
          </w:tcPr>
          <w:p w14:paraId="64C18FD1" w14:textId="53FEB9E7" w:rsidR="00A04BD1" w:rsidRPr="003E76E7" w:rsidRDefault="00A04BD1" w:rsidP="00C4292D">
            <w:pPr>
              <w:spacing w:before="0" w:after="0"/>
              <w:jc w:val="right"/>
              <w:rPr>
                <w:rFonts w:ascii="Arial" w:hAnsi="Arial"/>
                <w:b/>
                <w:bCs/>
                <w:sz w:val="16"/>
                <w:szCs w:val="16"/>
                <w:lang w:val="en-AU"/>
              </w:rPr>
            </w:pPr>
            <w:r w:rsidRPr="003E76E7">
              <w:rPr>
                <w:rFonts w:ascii="Arial" w:hAnsi="Arial"/>
                <w:b/>
                <w:bCs/>
                <w:sz w:val="16"/>
                <w:szCs w:val="16"/>
                <w:lang w:val="en-AU"/>
              </w:rPr>
              <w:t>29,685</w:t>
            </w:r>
          </w:p>
        </w:tc>
      </w:tr>
      <w:tr w:rsidR="00A04BD1" w:rsidRPr="003E76E7" w14:paraId="0D3A44F9" w14:textId="77777777" w:rsidTr="000E1A17">
        <w:trPr>
          <w:trHeight w:val="270"/>
        </w:trPr>
        <w:tc>
          <w:tcPr>
            <w:tcW w:w="5553" w:type="dxa"/>
            <w:tcBorders>
              <w:top w:val="single" w:sz="4" w:space="0" w:color="auto"/>
              <w:left w:val="nil"/>
              <w:bottom w:val="single" w:sz="4" w:space="0" w:color="auto"/>
              <w:right w:val="nil"/>
            </w:tcBorders>
            <w:shd w:val="clear" w:color="auto" w:fill="E6E6E6"/>
            <w:vAlign w:val="center"/>
          </w:tcPr>
          <w:p w14:paraId="4CDE8563" w14:textId="1FD9757A" w:rsidR="00A04BD1" w:rsidRPr="003E76E7" w:rsidRDefault="00A04BD1" w:rsidP="00C4292D">
            <w:pPr>
              <w:spacing w:before="0" w:after="0"/>
              <w:rPr>
                <w:rFonts w:ascii="Arial" w:hAnsi="Arial"/>
                <w:b/>
                <w:bCs/>
                <w:sz w:val="16"/>
                <w:szCs w:val="16"/>
                <w:lang w:val="en-AU"/>
              </w:rPr>
            </w:pPr>
            <w:r w:rsidRPr="003E76E7">
              <w:rPr>
                <w:rFonts w:ascii="Arial" w:hAnsi="Arial"/>
                <w:b/>
                <w:bCs/>
                <w:sz w:val="16"/>
                <w:szCs w:val="16"/>
                <w:lang w:val="en-AU"/>
              </w:rPr>
              <w:t>Air Force</w:t>
            </w:r>
          </w:p>
        </w:tc>
        <w:tc>
          <w:tcPr>
            <w:tcW w:w="1397" w:type="dxa"/>
            <w:tcBorders>
              <w:top w:val="single" w:sz="4" w:space="0" w:color="auto"/>
              <w:left w:val="nil"/>
              <w:bottom w:val="single" w:sz="4" w:space="0" w:color="auto"/>
              <w:right w:val="nil"/>
            </w:tcBorders>
            <w:shd w:val="clear" w:color="auto" w:fill="E6E6E6"/>
            <w:noWrap/>
            <w:vAlign w:val="bottom"/>
          </w:tcPr>
          <w:p w14:paraId="221C53CD" w14:textId="77777777" w:rsidR="00A04BD1" w:rsidRPr="003E76E7" w:rsidRDefault="00A04BD1" w:rsidP="00C4292D">
            <w:pPr>
              <w:spacing w:before="0" w:after="0"/>
              <w:jc w:val="right"/>
              <w:rPr>
                <w:rFonts w:ascii="Arial" w:hAnsi="Arial"/>
                <w:b/>
                <w:bCs/>
                <w:sz w:val="16"/>
                <w:szCs w:val="16"/>
                <w:lang w:val="en-AU"/>
              </w:rPr>
            </w:pPr>
          </w:p>
        </w:tc>
        <w:tc>
          <w:tcPr>
            <w:tcW w:w="1553" w:type="dxa"/>
            <w:tcBorders>
              <w:top w:val="single" w:sz="4" w:space="0" w:color="auto"/>
              <w:left w:val="nil"/>
              <w:bottom w:val="single" w:sz="4" w:space="0" w:color="auto"/>
              <w:right w:val="nil"/>
            </w:tcBorders>
            <w:shd w:val="clear" w:color="auto" w:fill="E6E6E6"/>
            <w:noWrap/>
            <w:vAlign w:val="bottom"/>
          </w:tcPr>
          <w:p w14:paraId="33C7A60E" w14:textId="77777777" w:rsidR="00A04BD1" w:rsidRPr="003E76E7" w:rsidRDefault="00A04BD1" w:rsidP="00C4292D">
            <w:pPr>
              <w:spacing w:before="0" w:after="0"/>
              <w:jc w:val="right"/>
              <w:rPr>
                <w:rFonts w:ascii="Arial" w:hAnsi="Arial"/>
                <w:b/>
                <w:bCs/>
                <w:sz w:val="16"/>
                <w:szCs w:val="16"/>
                <w:lang w:val="en-AU"/>
              </w:rPr>
            </w:pPr>
          </w:p>
        </w:tc>
      </w:tr>
      <w:tr w:rsidR="00A04BD1" w:rsidRPr="003E76E7" w14:paraId="0F10191D" w14:textId="77777777" w:rsidTr="000E1A17">
        <w:trPr>
          <w:trHeight w:val="255"/>
        </w:trPr>
        <w:tc>
          <w:tcPr>
            <w:tcW w:w="5553" w:type="dxa"/>
            <w:vAlign w:val="center"/>
          </w:tcPr>
          <w:p w14:paraId="71464C09" w14:textId="747C8543" w:rsidR="00A04BD1" w:rsidRPr="003E76E7" w:rsidRDefault="00A04BD1" w:rsidP="00C4292D">
            <w:pPr>
              <w:spacing w:before="0" w:after="0"/>
              <w:rPr>
                <w:rFonts w:ascii="Arial" w:hAnsi="Arial"/>
                <w:sz w:val="16"/>
                <w:szCs w:val="16"/>
                <w:lang w:val="en-AU"/>
              </w:rPr>
            </w:pPr>
            <w:r w:rsidRPr="003E76E7">
              <w:rPr>
                <w:rFonts w:ascii="Arial" w:hAnsi="Arial"/>
                <w:sz w:val="16"/>
                <w:szCs w:val="16"/>
                <w:lang w:val="en-AU"/>
              </w:rPr>
              <w:t xml:space="preserve">One Star and above </w:t>
            </w:r>
            <w:r w:rsidRPr="003E76E7">
              <w:rPr>
                <w:rFonts w:ascii="Arial" w:hAnsi="Arial"/>
                <w:bCs/>
                <w:sz w:val="16"/>
                <w:szCs w:val="16"/>
                <w:vertAlign w:val="superscript"/>
                <w:lang w:val="en-AU"/>
              </w:rPr>
              <w:t>[b]</w:t>
            </w:r>
          </w:p>
        </w:tc>
        <w:tc>
          <w:tcPr>
            <w:tcW w:w="1397" w:type="dxa"/>
            <w:noWrap/>
            <w:vAlign w:val="bottom"/>
          </w:tcPr>
          <w:p w14:paraId="0F2DD60E" w14:textId="6E2EC435" w:rsidR="00A04BD1" w:rsidRPr="003E76E7" w:rsidRDefault="00A04BD1" w:rsidP="00C4292D">
            <w:pPr>
              <w:spacing w:before="0" w:after="0"/>
              <w:jc w:val="right"/>
              <w:rPr>
                <w:rFonts w:ascii="Arial" w:hAnsi="Arial"/>
                <w:sz w:val="16"/>
                <w:szCs w:val="16"/>
                <w:lang w:val="en-AU"/>
              </w:rPr>
            </w:pPr>
            <w:r w:rsidRPr="003E76E7">
              <w:rPr>
                <w:rFonts w:ascii="Arial" w:hAnsi="Arial"/>
                <w:sz w:val="16"/>
                <w:szCs w:val="16"/>
                <w:lang w:val="en-AU"/>
              </w:rPr>
              <w:t>63</w:t>
            </w:r>
          </w:p>
        </w:tc>
        <w:tc>
          <w:tcPr>
            <w:tcW w:w="1553" w:type="dxa"/>
            <w:noWrap/>
            <w:vAlign w:val="bottom"/>
          </w:tcPr>
          <w:p w14:paraId="6C79932D" w14:textId="132A17AC" w:rsidR="00A04BD1" w:rsidRPr="003E76E7" w:rsidRDefault="00A04BD1" w:rsidP="00C4292D">
            <w:pPr>
              <w:spacing w:before="0" w:after="0"/>
              <w:jc w:val="right"/>
              <w:rPr>
                <w:rFonts w:ascii="Arial" w:hAnsi="Arial"/>
                <w:sz w:val="16"/>
                <w:szCs w:val="16"/>
                <w:lang w:val="en-AU"/>
              </w:rPr>
            </w:pPr>
            <w:r w:rsidRPr="003E76E7">
              <w:rPr>
                <w:rFonts w:ascii="Arial" w:hAnsi="Arial"/>
                <w:sz w:val="16"/>
                <w:szCs w:val="16"/>
                <w:lang w:val="en-AU"/>
              </w:rPr>
              <w:t>63</w:t>
            </w:r>
          </w:p>
        </w:tc>
      </w:tr>
      <w:tr w:rsidR="00A04BD1" w:rsidRPr="003E76E7" w14:paraId="52BF5AC3" w14:textId="77777777" w:rsidTr="000E1A17">
        <w:trPr>
          <w:trHeight w:val="270"/>
        </w:trPr>
        <w:tc>
          <w:tcPr>
            <w:tcW w:w="5553" w:type="dxa"/>
            <w:vAlign w:val="center"/>
          </w:tcPr>
          <w:p w14:paraId="191888E2" w14:textId="6811412A" w:rsidR="00A04BD1" w:rsidRPr="003E76E7" w:rsidRDefault="00A04BD1" w:rsidP="00C4292D">
            <w:pPr>
              <w:spacing w:before="0" w:after="0"/>
              <w:rPr>
                <w:rFonts w:ascii="Arial" w:hAnsi="Arial"/>
                <w:sz w:val="16"/>
                <w:szCs w:val="16"/>
                <w:lang w:val="en-AU"/>
              </w:rPr>
            </w:pPr>
            <w:r w:rsidRPr="003E76E7">
              <w:rPr>
                <w:rFonts w:ascii="Arial" w:hAnsi="Arial"/>
                <w:sz w:val="16"/>
                <w:szCs w:val="16"/>
                <w:lang w:val="en-AU"/>
              </w:rPr>
              <w:t>Senior Officers</w:t>
            </w:r>
            <w:r w:rsidRPr="003E76E7">
              <w:rPr>
                <w:rFonts w:ascii="Arial" w:hAnsi="Arial"/>
                <w:bCs/>
                <w:sz w:val="16"/>
                <w:szCs w:val="16"/>
                <w:vertAlign w:val="superscript"/>
                <w:lang w:val="en-AU"/>
              </w:rPr>
              <w:t xml:space="preserve"> [c]</w:t>
            </w:r>
          </w:p>
        </w:tc>
        <w:tc>
          <w:tcPr>
            <w:tcW w:w="1397" w:type="dxa"/>
            <w:noWrap/>
            <w:vAlign w:val="bottom"/>
          </w:tcPr>
          <w:p w14:paraId="58C8579A" w14:textId="50DAE30C" w:rsidR="00A04BD1" w:rsidRPr="003E76E7" w:rsidRDefault="00A04BD1" w:rsidP="00C4292D">
            <w:pPr>
              <w:spacing w:before="0" w:after="0"/>
              <w:jc w:val="right"/>
              <w:rPr>
                <w:rFonts w:ascii="Arial" w:hAnsi="Arial"/>
                <w:sz w:val="16"/>
                <w:szCs w:val="16"/>
                <w:lang w:val="en-AU"/>
              </w:rPr>
            </w:pPr>
            <w:r w:rsidRPr="003E76E7">
              <w:rPr>
                <w:rFonts w:ascii="Arial" w:hAnsi="Arial"/>
                <w:sz w:val="16"/>
                <w:szCs w:val="16"/>
                <w:lang w:val="en-AU"/>
              </w:rPr>
              <w:t>910</w:t>
            </w:r>
          </w:p>
        </w:tc>
        <w:tc>
          <w:tcPr>
            <w:tcW w:w="1553" w:type="dxa"/>
            <w:noWrap/>
            <w:vAlign w:val="bottom"/>
          </w:tcPr>
          <w:p w14:paraId="18D58797" w14:textId="78451AB9" w:rsidR="00A04BD1" w:rsidRPr="003E76E7" w:rsidRDefault="00A04BD1" w:rsidP="00C4292D">
            <w:pPr>
              <w:spacing w:before="0" w:after="0"/>
              <w:jc w:val="right"/>
              <w:rPr>
                <w:rFonts w:ascii="Arial" w:hAnsi="Arial"/>
                <w:sz w:val="16"/>
                <w:szCs w:val="16"/>
                <w:lang w:val="en-AU"/>
              </w:rPr>
            </w:pPr>
            <w:r w:rsidRPr="003E76E7">
              <w:rPr>
                <w:rFonts w:ascii="Arial" w:hAnsi="Arial"/>
                <w:sz w:val="16"/>
                <w:szCs w:val="16"/>
                <w:lang w:val="en-AU"/>
              </w:rPr>
              <w:t>943</w:t>
            </w:r>
          </w:p>
        </w:tc>
      </w:tr>
      <w:tr w:rsidR="00A04BD1" w:rsidRPr="003E76E7" w14:paraId="26B90496" w14:textId="77777777" w:rsidTr="000E1A17">
        <w:trPr>
          <w:trHeight w:val="255"/>
        </w:trPr>
        <w:tc>
          <w:tcPr>
            <w:tcW w:w="5553" w:type="dxa"/>
            <w:vAlign w:val="center"/>
          </w:tcPr>
          <w:p w14:paraId="2CD41939" w14:textId="78FDE2C3" w:rsidR="00A04BD1" w:rsidRPr="003E76E7" w:rsidRDefault="00A04BD1" w:rsidP="00C4292D">
            <w:pPr>
              <w:spacing w:before="0" w:after="0"/>
              <w:rPr>
                <w:rFonts w:ascii="Arial" w:hAnsi="Arial"/>
                <w:sz w:val="16"/>
                <w:szCs w:val="16"/>
                <w:lang w:val="en-AU"/>
              </w:rPr>
            </w:pPr>
            <w:r w:rsidRPr="003E76E7">
              <w:rPr>
                <w:rFonts w:ascii="Arial" w:hAnsi="Arial"/>
                <w:sz w:val="16"/>
                <w:szCs w:val="16"/>
                <w:lang w:val="en-AU"/>
              </w:rPr>
              <w:t>Officers</w:t>
            </w:r>
          </w:p>
        </w:tc>
        <w:tc>
          <w:tcPr>
            <w:tcW w:w="1397" w:type="dxa"/>
            <w:noWrap/>
            <w:vAlign w:val="bottom"/>
          </w:tcPr>
          <w:p w14:paraId="1A1BEC49" w14:textId="0E1F2378" w:rsidR="00A04BD1" w:rsidRPr="003E76E7" w:rsidRDefault="00A04BD1" w:rsidP="00C4292D">
            <w:pPr>
              <w:spacing w:before="0" w:after="0"/>
              <w:jc w:val="right"/>
              <w:rPr>
                <w:rFonts w:ascii="Arial" w:hAnsi="Arial"/>
                <w:sz w:val="16"/>
                <w:szCs w:val="16"/>
                <w:lang w:val="en-AU"/>
              </w:rPr>
            </w:pPr>
            <w:r w:rsidRPr="003E76E7">
              <w:rPr>
                <w:rFonts w:ascii="Arial" w:hAnsi="Arial"/>
                <w:sz w:val="16"/>
                <w:szCs w:val="16"/>
                <w:lang w:val="en-AU"/>
              </w:rPr>
              <w:t>5,180</w:t>
            </w:r>
          </w:p>
        </w:tc>
        <w:tc>
          <w:tcPr>
            <w:tcW w:w="1553" w:type="dxa"/>
            <w:noWrap/>
            <w:vAlign w:val="bottom"/>
          </w:tcPr>
          <w:p w14:paraId="3C4463E4" w14:textId="5BA07A99" w:rsidR="00A04BD1" w:rsidRPr="003E76E7" w:rsidRDefault="00A04BD1" w:rsidP="00C4292D">
            <w:pPr>
              <w:spacing w:before="0" w:after="0"/>
              <w:jc w:val="right"/>
              <w:rPr>
                <w:rFonts w:ascii="Arial" w:hAnsi="Arial"/>
                <w:sz w:val="16"/>
                <w:szCs w:val="16"/>
                <w:lang w:val="en-AU"/>
              </w:rPr>
            </w:pPr>
            <w:r w:rsidRPr="003E76E7">
              <w:rPr>
                <w:rFonts w:ascii="Arial" w:hAnsi="Arial"/>
                <w:sz w:val="16"/>
                <w:szCs w:val="16"/>
                <w:lang w:val="en-AU"/>
              </w:rPr>
              <w:t>5,370</w:t>
            </w:r>
          </w:p>
        </w:tc>
      </w:tr>
      <w:tr w:rsidR="00A04BD1" w:rsidRPr="003E76E7" w14:paraId="123FAF38" w14:textId="77777777" w:rsidTr="000E1A17">
        <w:trPr>
          <w:trHeight w:val="255"/>
        </w:trPr>
        <w:tc>
          <w:tcPr>
            <w:tcW w:w="5553" w:type="dxa"/>
            <w:vAlign w:val="center"/>
          </w:tcPr>
          <w:p w14:paraId="0E8523FE" w14:textId="3EF1525E" w:rsidR="00A04BD1" w:rsidRPr="003E76E7" w:rsidRDefault="00A04BD1" w:rsidP="00C4292D">
            <w:pPr>
              <w:spacing w:before="0" w:after="0"/>
              <w:rPr>
                <w:rFonts w:ascii="Arial" w:hAnsi="Arial"/>
                <w:sz w:val="16"/>
                <w:szCs w:val="16"/>
                <w:lang w:val="en-AU"/>
              </w:rPr>
            </w:pPr>
            <w:r w:rsidRPr="003E76E7">
              <w:rPr>
                <w:rFonts w:ascii="Arial" w:hAnsi="Arial"/>
                <w:sz w:val="16"/>
                <w:szCs w:val="16"/>
                <w:lang w:val="en-AU"/>
              </w:rPr>
              <w:t>Other Ranks</w:t>
            </w:r>
          </w:p>
        </w:tc>
        <w:tc>
          <w:tcPr>
            <w:tcW w:w="1397" w:type="dxa"/>
            <w:noWrap/>
            <w:vAlign w:val="bottom"/>
          </w:tcPr>
          <w:p w14:paraId="2D2F9E20" w14:textId="368C2EC7" w:rsidR="00A04BD1" w:rsidRPr="003E76E7" w:rsidRDefault="00A04BD1" w:rsidP="00C4292D">
            <w:pPr>
              <w:spacing w:before="0" w:after="0"/>
              <w:jc w:val="right"/>
              <w:rPr>
                <w:rFonts w:ascii="Arial" w:hAnsi="Arial"/>
                <w:sz w:val="16"/>
                <w:szCs w:val="16"/>
                <w:lang w:val="en-AU"/>
              </w:rPr>
            </w:pPr>
            <w:r w:rsidRPr="003E76E7">
              <w:rPr>
                <w:rFonts w:ascii="Arial" w:hAnsi="Arial"/>
                <w:sz w:val="16"/>
                <w:szCs w:val="16"/>
                <w:lang w:val="en-AU"/>
              </w:rPr>
              <w:t>10,697</w:t>
            </w:r>
          </w:p>
        </w:tc>
        <w:tc>
          <w:tcPr>
            <w:tcW w:w="1553" w:type="dxa"/>
            <w:noWrap/>
            <w:vAlign w:val="bottom"/>
          </w:tcPr>
          <w:p w14:paraId="16D20612" w14:textId="3AEB510D" w:rsidR="00A04BD1" w:rsidRPr="003E76E7" w:rsidRDefault="00A04BD1" w:rsidP="00C4292D">
            <w:pPr>
              <w:spacing w:before="0" w:after="0"/>
              <w:jc w:val="right"/>
              <w:rPr>
                <w:rFonts w:ascii="Arial" w:hAnsi="Arial"/>
                <w:sz w:val="16"/>
                <w:szCs w:val="16"/>
                <w:lang w:val="en-AU"/>
              </w:rPr>
            </w:pPr>
            <w:r w:rsidRPr="003E76E7">
              <w:rPr>
                <w:rFonts w:ascii="Arial" w:hAnsi="Arial"/>
                <w:sz w:val="16"/>
                <w:szCs w:val="16"/>
                <w:lang w:val="en-AU"/>
              </w:rPr>
              <w:t>11,091</w:t>
            </w:r>
          </w:p>
        </w:tc>
      </w:tr>
      <w:tr w:rsidR="00A04BD1" w:rsidRPr="003E76E7" w14:paraId="635B24FB" w14:textId="77777777" w:rsidTr="000E1A17">
        <w:trPr>
          <w:trHeight w:val="255"/>
        </w:trPr>
        <w:tc>
          <w:tcPr>
            <w:tcW w:w="5553" w:type="dxa"/>
            <w:tcBorders>
              <w:left w:val="nil"/>
              <w:bottom w:val="single" w:sz="4" w:space="0" w:color="auto"/>
              <w:right w:val="nil"/>
            </w:tcBorders>
            <w:vAlign w:val="center"/>
          </w:tcPr>
          <w:p w14:paraId="5417077B" w14:textId="4AF1BFFB" w:rsidR="00A04BD1" w:rsidRPr="003E76E7" w:rsidRDefault="00A04BD1" w:rsidP="00C4292D">
            <w:pPr>
              <w:spacing w:before="0" w:after="0"/>
              <w:rPr>
                <w:rFonts w:ascii="Arial" w:hAnsi="Arial"/>
                <w:b/>
                <w:bCs/>
                <w:sz w:val="16"/>
                <w:szCs w:val="16"/>
                <w:lang w:val="en-AU"/>
              </w:rPr>
            </w:pPr>
            <w:r w:rsidRPr="003E76E7">
              <w:rPr>
                <w:rFonts w:ascii="Arial" w:hAnsi="Arial"/>
                <w:b/>
                <w:bCs/>
                <w:sz w:val="16"/>
                <w:szCs w:val="16"/>
                <w:lang w:val="en-AU"/>
              </w:rPr>
              <w:t>Total Air Force</w:t>
            </w:r>
          </w:p>
        </w:tc>
        <w:tc>
          <w:tcPr>
            <w:tcW w:w="1397" w:type="dxa"/>
            <w:tcBorders>
              <w:left w:val="nil"/>
              <w:bottom w:val="single" w:sz="4" w:space="0" w:color="auto"/>
              <w:right w:val="nil"/>
            </w:tcBorders>
            <w:noWrap/>
            <w:vAlign w:val="bottom"/>
          </w:tcPr>
          <w:p w14:paraId="7ADADE52" w14:textId="70912182" w:rsidR="00A04BD1" w:rsidRPr="003E76E7" w:rsidRDefault="00A04BD1" w:rsidP="00C4292D">
            <w:pPr>
              <w:spacing w:before="0" w:after="0"/>
              <w:jc w:val="right"/>
              <w:rPr>
                <w:rFonts w:ascii="Arial" w:hAnsi="Arial"/>
                <w:b/>
                <w:bCs/>
                <w:sz w:val="16"/>
                <w:szCs w:val="16"/>
                <w:lang w:val="en-AU"/>
              </w:rPr>
            </w:pPr>
            <w:r w:rsidRPr="003E76E7">
              <w:rPr>
                <w:rFonts w:ascii="Arial" w:hAnsi="Arial"/>
                <w:b/>
                <w:bCs/>
                <w:sz w:val="16"/>
                <w:szCs w:val="16"/>
                <w:lang w:val="en-AU"/>
              </w:rPr>
              <w:t>16,850</w:t>
            </w:r>
          </w:p>
        </w:tc>
        <w:tc>
          <w:tcPr>
            <w:tcW w:w="1553" w:type="dxa"/>
            <w:tcBorders>
              <w:left w:val="nil"/>
              <w:bottom w:val="single" w:sz="4" w:space="0" w:color="auto"/>
              <w:right w:val="nil"/>
            </w:tcBorders>
            <w:noWrap/>
            <w:vAlign w:val="bottom"/>
          </w:tcPr>
          <w:p w14:paraId="398FF948" w14:textId="0ABF6480" w:rsidR="00A04BD1" w:rsidRPr="003E76E7" w:rsidRDefault="00A04BD1" w:rsidP="00C4292D">
            <w:pPr>
              <w:spacing w:before="0" w:after="0"/>
              <w:jc w:val="right"/>
              <w:rPr>
                <w:rFonts w:ascii="Arial" w:hAnsi="Arial"/>
                <w:b/>
                <w:bCs/>
                <w:sz w:val="16"/>
                <w:szCs w:val="16"/>
                <w:lang w:val="en-AU"/>
              </w:rPr>
            </w:pPr>
            <w:r w:rsidRPr="003E76E7">
              <w:rPr>
                <w:rFonts w:ascii="Arial" w:hAnsi="Arial"/>
                <w:b/>
                <w:bCs/>
                <w:sz w:val="16"/>
                <w:szCs w:val="16"/>
                <w:lang w:val="en-AU"/>
              </w:rPr>
              <w:t>17,467</w:t>
            </w:r>
          </w:p>
        </w:tc>
      </w:tr>
      <w:tr w:rsidR="00A04BD1" w:rsidRPr="003E76E7" w14:paraId="10A8EAED" w14:textId="77777777" w:rsidTr="000E1A17">
        <w:trPr>
          <w:trHeight w:val="270"/>
        </w:trPr>
        <w:tc>
          <w:tcPr>
            <w:tcW w:w="5553" w:type="dxa"/>
            <w:tcBorders>
              <w:top w:val="single" w:sz="4" w:space="0" w:color="auto"/>
              <w:left w:val="nil"/>
              <w:bottom w:val="single" w:sz="4" w:space="0" w:color="auto"/>
              <w:right w:val="nil"/>
            </w:tcBorders>
            <w:shd w:val="clear" w:color="auto" w:fill="E6E6E6"/>
            <w:vAlign w:val="center"/>
          </w:tcPr>
          <w:p w14:paraId="5B985464" w14:textId="375EE63D" w:rsidR="00A04BD1" w:rsidRPr="003E76E7" w:rsidRDefault="00A04BD1" w:rsidP="00C4292D">
            <w:pPr>
              <w:spacing w:before="0" w:after="0"/>
              <w:rPr>
                <w:rFonts w:ascii="Arial" w:hAnsi="Arial"/>
                <w:b/>
                <w:bCs/>
                <w:sz w:val="16"/>
                <w:szCs w:val="16"/>
                <w:lang w:val="en-AU"/>
              </w:rPr>
            </w:pPr>
            <w:r w:rsidRPr="003E76E7">
              <w:rPr>
                <w:rFonts w:ascii="Arial" w:hAnsi="Arial"/>
                <w:b/>
                <w:bCs/>
                <w:sz w:val="16"/>
                <w:szCs w:val="16"/>
                <w:lang w:val="en-AU"/>
              </w:rPr>
              <w:t>APS</w:t>
            </w:r>
          </w:p>
        </w:tc>
        <w:tc>
          <w:tcPr>
            <w:tcW w:w="1397" w:type="dxa"/>
            <w:tcBorders>
              <w:top w:val="single" w:sz="4" w:space="0" w:color="auto"/>
              <w:left w:val="nil"/>
              <w:bottom w:val="single" w:sz="4" w:space="0" w:color="auto"/>
              <w:right w:val="nil"/>
            </w:tcBorders>
            <w:shd w:val="clear" w:color="auto" w:fill="E6E6E6"/>
            <w:noWrap/>
            <w:vAlign w:val="bottom"/>
          </w:tcPr>
          <w:p w14:paraId="27129E99" w14:textId="77777777" w:rsidR="00A04BD1" w:rsidRPr="003E76E7" w:rsidRDefault="00A04BD1" w:rsidP="00C4292D">
            <w:pPr>
              <w:spacing w:before="0" w:after="0"/>
              <w:jc w:val="right"/>
              <w:rPr>
                <w:rFonts w:ascii="Arial" w:hAnsi="Arial"/>
                <w:b/>
                <w:bCs/>
                <w:sz w:val="16"/>
                <w:szCs w:val="16"/>
                <w:lang w:val="en-AU"/>
              </w:rPr>
            </w:pPr>
          </w:p>
        </w:tc>
        <w:tc>
          <w:tcPr>
            <w:tcW w:w="1553" w:type="dxa"/>
            <w:tcBorders>
              <w:top w:val="single" w:sz="4" w:space="0" w:color="auto"/>
              <w:left w:val="nil"/>
              <w:bottom w:val="single" w:sz="4" w:space="0" w:color="auto"/>
              <w:right w:val="nil"/>
            </w:tcBorders>
            <w:shd w:val="clear" w:color="auto" w:fill="E6E6E6"/>
            <w:noWrap/>
            <w:vAlign w:val="bottom"/>
          </w:tcPr>
          <w:p w14:paraId="105B1107" w14:textId="77777777" w:rsidR="00A04BD1" w:rsidRPr="003E76E7" w:rsidRDefault="00A04BD1" w:rsidP="00C4292D">
            <w:pPr>
              <w:spacing w:before="0" w:after="0"/>
              <w:jc w:val="right"/>
              <w:rPr>
                <w:rFonts w:ascii="Arial" w:hAnsi="Arial"/>
                <w:b/>
                <w:bCs/>
                <w:sz w:val="16"/>
                <w:szCs w:val="16"/>
                <w:lang w:val="en-AU"/>
              </w:rPr>
            </w:pPr>
          </w:p>
        </w:tc>
      </w:tr>
      <w:tr w:rsidR="00A04BD1" w:rsidRPr="003E76E7" w14:paraId="13234474" w14:textId="77777777" w:rsidTr="000E1A17">
        <w:trPr>
          <w:trHeight w:val="270"/>
        </w:trPr>
        <w:tc>
          <w:tcPr>
            <w:tcW w:w="5553" w:type="dxa"/>
            <w:vAlign w:val="center"/>
          </w:tcPr>
          <w:p w14:paraId="240A845A" w14:textId="4EB374C5" w:rsidR="00A04BD1" w:rsidRPr="003E76E7" w:rsidRDefault="00A04BD1" w:rsidP="00C4292D">
            <w:pPr>
              <w:spacing w:before="0" w:after="0"/>
              <w:rPr>
                <w:rFonts w:ascii="Arial" w:hAnsi="Arial"/>
                <w:sz w:val="16"/>
                <w:szCs w:val="16"/>
                <w:lang w:val="en-AU"/>
              </w:rPr>
            </w:pPr>
            <w:r w:rsidRPr="003E76E7">
              <w:rPr>
                <w:rFonts w:ascii="Arial" w:hAnsi="Arial"/>
                <w:sz w:val="16"/>
                <w:szCs w:val="16"/>
                <w:lang w:val="en-AU"/>
              </w:rPr>
              <w:t xml:space="preserve">Senior Executives </w:t>
            </w:r>
            <w:r w:rsidRPr="003E76E7">
              <w:rPr>
                <w:rFonts w:ascii="Arial" w:hAnsi="Arial"/>
                <w:bCs/>
                <w:sz w:val="16"/>
                <w:szCs w:val="16"/>
                <w:vertAlign w:val="superscript"/>
                <w:lang w:val="en-AU"/>
              </w:rPr>
              <w:t>[d]</w:t>
            </w:r>
          </w:p>
        </w:tc>
        <w:tc>
          <w:tcPr>
            <w:tcW w:w="1397" w:type="dxa"/>
            <w:noWrap/>
            <w:vAlign w:val="bottom"/>
          </w:tcPr>
          <w:p w14:paraId="017AC1DD" w14:textId="6B7F481B" w:rsidR="00A04BD1" w:rsidRPr="003E76E7" w:rsidRDefault="00A04BD1" w:rsidP="00C4292D">
            <w:pPr>
              <w:spacing w:before="0" w:after="0"/>
              <w:jc w:val="right"/>
              <w:rPr>
                <w:rFonts w:ascii="Arial" w:hAnsi="Arial"/>
                <w:sz w:val="16"/>
                <w:szCs w:val="16"/>
                <w:lang w:val="en-AU"/>
              </w:rPr>
            </w:pPr>
            <w:r w:rsidRPr="003E76E7">
              <w:rPr>
                <w:rFonts w:ascii="Arial" w:hAnsi="Arial"/>
                <w:sz w:val="16"/>
                <w:szCs w:val="16"/>
                <w:lang w:val="en-AU"/>
              </w:rPr>
              <w:t>204</w:t>
            </w:r>
          </w:p>
        </w:tc>
        <w:tc>
          <w:tcPr>
            <w:tcW w:w="1553" w:type="dxa"/>
            <w:noWrap/>
            <w:vAlign w:val="bottom"/>
          </w:tcPr>
          <w:p w14:paraId="5D6BFF05" w14:textId="0CFE2A33" w:rsidR="00A04BD1" w:rsidRPr="003E76E7" w:rsidRDefault="00A04BD1" w:rsidP="00C4292D">
            <w:pPr>
              <w:spacing w:before="0" w:after="0"/>
              <w:jc w:val="right"/>
              <w:rPr>
                <w:rFonts w:ascii="Arial" w:hAnsi="Arial"/>
                <w:sz w:val="16"/>
                <w:szCs w:val="16"/>
                <w:lang w:val="en-AU"/>
              </w:rPr>
            </w:pPr>
            <w:r w:rsidRPr="003E76E7">
              <w:rPr>
                <w:rFonts w:ascii="Arial" w:hAnsi="Arial"/>
                <w:sz w:val="16"/>
                <w:szCs w:val="16"/>
                <w:lang w:val="en-AU"/>
              </w:rPr>
              <w:t>204</w:t>
            </w:r>
          </w:p>
        </w:tc>
      </w:tr>
      <w:tr w:rsidR="00A04BD1" w:rsidRPr="003E76E7" w14:paraId="4073D941" w14:textId="77777777" w:rsidTr="000E1A17">
        <w:trPr>
          <w:trHeight w:val="270"/>
        </w:trPr>
        <w:tc>
          <w:tcPr>
            <w:tcW w:w="5553" w:type="dxa"/>
            <w:vAlign w:val="center"/>
          </w:tcPr>
          <w:p w14:paraId="67B380DF" w14:textId="559395C3" w:rsidR="00A04BD1" w:rsidRPr="003E76E7" w:rsidRDefault="00A04BD1" w:rsidP="00C4292D">
            <w:pPr>
              <w:spacing w:before="0" w:after="0"/>
              <w:rPr>
                <w:rFonts w:ascii="Arial" w:hAnsi="Arial"/>
                <w:sz w:val="16"/>
                <w:szCs w:val="16"/>
                <w:lang w:val="en-AU"/>
              </w:rPr>
            </w:pPr>
            <w:r w:rsidRPr="003E76E7">
              <w:rPr>
                <w:rFonts w:ascii="Arial" w:hAnsi="Arial"/>
                <w:sz w:val="16"/>
                <w:szCs w:val="16"/>
                <w:lang w:val="en-AU"/>
              </w:rPr>
              <w:t>Senior Officers</w:t>
            </w:r>
            <w:r w:rsidRPr="003E76E7">
              <w:rPr>
                <w:rFonts w:ascii="Arial" w:hAnsi="Arial"/>
                <w:bCs/>
                <w:sz w:val="16"/>
                <w:szCs w:val="16"/>
                <w:vertAlign w:val="superscript"/>
                <w:lang w:val="en-AU"/>
              </w:rPr>
              <w:t xml:space="preserve"> [c]</w:t>
            </w:r>
          </w:p>
        </w:tc>
        <w:tc>
          <w:tcPr>
            <w:tcW w:w="1397" w:type="dxa"/>
            <w:noWrap/>
            <w:vAlign w:val="bottom"/>
          </w:tcPr>
          <w:p w14:paraId="37F2059F" w14:textId="0DA599B5" w:rsidR="00A04BD1" w:rsidRPr="003E76E7" w:rsidRDefault="00A04BD1" w:rsidP="00C4292D">
            <w:pPr>
              <w:spacing w:before="0" w:after="0"/>
              <w:jc w:val="right"/>
              <w:rPr>
                <w:rFonts w:ascii="Arial" w:hAnsi="Arial"/>
                <w:sz w:val="16"/>
                <w:szCs w:val="16"/>
                <w:lang w:val="en-AU"/>
              </w:rPr>
            </w:pPr>
            <w:r w:rsidRPr="003E76E7">
              <w:rPr>
                <w:rFonts w:ascii="Arial" w:hAnsi="Arial"/>
                <w:sz w:val="16"/>
                <w:szCs w:val="16"/>
                <w:lang w:val="en-AU"/>
              </w:rPr>
              <w:t>7,960</w:t>
            </w:r>
          </w:p>
        </w:tc>
        <w:tc>
          <w:tcPr>
            <w:tcW w:w="1553" w:type="dxa"/>
            <w:noWrap/>
            <w:vAlign w:val="bottom"/>
          </w:tcPr>
          <w:p w14:paraId="5ACE893D" w14:textId="25066A8E" w:rsidR="00A04BD1" w:rsidRPr="003E76E7" w:rsidRDefault="00A04BD1" w:rsidP="00C4292D">
            <w:pPr>
              <w:spacing w:before="0" w:after="0"/>
              <w:jc w:val="right"/>
              <w:rPr>
                <w:rFonts w:ascii="Arial" w:hAnsi="Arial"/>
                <w:sz w:val="16"/>
                <w:szCs w:val="16"/>
                <w:lang w:val="en-AU"/>
              </w:rPr>
            </w:pPr>
            <w:r w:rsidRPr="003E76E7">
              <w:rPr>
                <w:rFonts w:ascii="Arial" w:hAnsi="Arial"/>
                <w:sz w:val="16"/>
                <w:szCs w:val="16"/>
                <w:lang w:val="en-AU"/>
              </w:rPr>
              <w:t>8,114</w:t>
            </w:r>
          </w:p>
        </w:tc>
      </w:tr>
      <w:tr w:rsidR="00A04BD1" w:rsidRPr="003E76E7" w14:paraId="62E55E4A" w14:textId="77777777" w:rsidTr="000E1A17">
        <w:trPr>
          <w:trHeight w:val="255"/>
        </w:trPr>
        <w:tc>
          <w:tcPr>
            <w:tcW w:w="5553" w:type="dxa"/>
            <w:vAlign w:val="center"/>
          </w:tcPr>
          <w:p w14:paraId="4D638FC2" w14:textId="19E53EC5" w:rsidR="00A04BD1" w:rsidRPr="003E76E7" w:rsidRDefault="00A04BD1" w:rsidP="00C4292D">
            <w:pPr>
              <w:spacing w:before="0" w:after="0"/>
              <w:rPr>
                <w:rFonts w:ascii="Arial" w:hAnsi="Arial"/>
                <w:sz w:val="16"/>
                <w:szCs w:val="16"/>
                <w:lang w:val="en-AU"/>
              </w:rPr>
            </w:pPr>
            <w:r w:rsidRPr="003E76E7">
              <w:rPr>
                <w:rFonts w:ascii="Arial" w:hAnsi="Arial"/>
                <w:sz w:val="16"/>
                <w:szCs w:val="16"/>
                <w:lang w:val="en-AU"/>
              </w:rPr>
              <w:t>Other APS Staff</w:t>
            </w:r>
          </w:p>
        </w:tc>
        <w:tc>
          <w:tcPr>
            <w:tcW w:w="1397" w:type="dxa"/>
            <w:noWrap/>
            <w:vAlign w:val="bottom"/>
          </w:tcPr>
          <w:p w14:paraId="54608166" w14:textId="02328D1A" w:rsidR="00A04BD1" w:rsidRPr="003E76E7" w:rsidRDefault="00A04BD1" w:rsidP="00C4292D">
            <w:pPr>
              <w:spacing w:before="0" w:after="0"/>
              <w:jc w:val="right"/>
              <w:rPr>
                <w:rFonts w:ascii="Arial" w:hAnsi="Arial"/>
                <w:sz w:val="16"/>
                <w:szCs w:val="16"/>
                <w:lang w:val="en-AU"/>
              </w:rPr>
            </w:pPr>
            <w:r w:rsidRPr="003E76E7">
              <w:rPr>
                <w:rFonts w:ascii="Arial" w:hAnsi="Arial"/>
                <w:sz w:val="16"/>
                <w:szCs w:val="16"/>
                <w:lang w:val="en-AU"/>
              </w:rPr>
              <w:t>11,622</w:t>
            </w:r>
          </w:p>
        </w:tc>
        <w:tc>
          <w:tcPr>
            <w:tcW w:w="1553" w:type="dxa"/>
            <w:noWrap/>
            <w:vAlign w:val="bottom"/>
          </w:tcPr>
          <w:p w14:paraId="155116D3" w14:textId="685BC4CE" w:rsidR="00A04BD1" w:rsidRPr="003E76E7" w:rsidRDefault="00A04BD1" w:rsidP="00C4292D">
            <w:pPr>
              <w:spacing w:before="0" w:after="0"/>
              <w:jc w:val="right"/>
              <w:rPr>
                <w:rFonts w:ascii="Arial" w:hAnsi="Arial"/>
                <w:sz w:val="16"/>
                <w:szCs w:val="16"/>
                <w:lang w:val="en-AU"/>
              </w:rPr>
            </w:pPr>
            <w:r w:rsidRPr="003E76E7">
              <w:rPr>
                <w:rFonts w:ascii="Arial" w:hAnsi="Arial"/>
                <w:sz w:val="16"/>
                <w:szCs w:val="16"/>
                <w:lang w:val="en-AU"/>
              </w:rPr>
              <w:t>11,851</w:t>
            </w:r>
          </w:p>
        </w:tc>
      </w:tr>
      <w:tr w:rsidR="00A04BD1" w:rsidRPr="003E76E7" w14:paraId="32270161" w14:textId="77777777" w:rsidTr="000E1A17">
        <w:trPr>
          <w:trHeight w:val="255"/>
        </w:trPr>
        <w:tc>
          <w:tcPr>
            <w:tcW w:w="5553" w:type="dxa"/>
            <w:tcBorders>
              <w:left w:val="nil"/>
              <w:bottom w:val="single" w:sz="4" w:space="0" w:color="auto"/>
              <w:right w:val="nil"/>
            </w:tcBorders>
            <w:vAlign w:val="center"/>
          </w:tcPr>
          <w:p w14:paraId="29EE5782" w14:textId="0AA5D8BF" w:rsidR="00A04BD1" w:rsidRPr="003E76E7" w:rsidRDefault="00A04BD1" w:rsidP="00C4292D">
            <w:pPr>
              <w:spacing w:before="0" w:after="0"/>
              <w:rPr>
                <w:rFonts w:ascii="Arial" w:hAnsi="Arial"/>
                <w:b/>
                <w:bCs/>
                <w:sz w:val="16"/>
                <w:szCs w:val="16"/>
                <w:lang w:val="en-AU"/>
              </w:rPr>
            </w:pPr>
            <w:r w:rsidRPr="003E76E7">
              <w:rPr>
                <w:rFonts w:ascii="Arial" w:hAnsi="Arial"/>
                <w:b/>
                <w:bCs/>
                <w:sz w:val="16"/>
                <w:szCs w:val="16"/>
                <w:lang w:val="en-AU"/>
              </w:rPr>
              <w:t>Total APS</w:t>
            </w:r>
          </w:p>
        </w:tc>
        <w:tc>
          <w:tcPr>
            <w:tcW w:w="1397" w:type="dxa"/>
            <w:tcBorders>
              <w:left w:val="nil"/>
              <w:bottom w:val="single" w:sz="4" w:space="0" w:color="auto"/>
              <w:right w:val="nil"/>
            </w:tcBorders>
            <w:noWrap/>
            <w:vAlign w:val="bottom"/>
          </w:tcPr>
          <w:p w14:paraId="1FA4011F" w14:textId="239A130B" w:rsidR="00A04BD1" w:rsidRPr="003E76E7" w:rsidRDefault="00A04BD1" w:rsidP="00C4292D">
            <w:pPr>
              <w:spacing w:before="0" w:after="0"/>
              <w:jc w:val="right"/>
              <w:rPr>
                <w:rFonts w:ascii="Arial" w:hAnsi="Arial"/>
                <w:b/>
                <w:bCs/>
                <w:sz w:val="16"/>
                <w:szCs w:val="16"/>
                <w:lang w:val="en-AU"/>
              </w:rPr>
            </w:pPr>
            <w:r w:rsidRPr="003E76E7">
              <w:rPr>
                <w:rFonts w:ascii="Arial" w:hAnsi="Arial"/>
                <w:b/>
                <w:bCs/>
                <w:sz w:val="16"/>
                <w:szCs w:val="16"/>
                <w:lang w:val="en-AU"/>
              </w:rPr>
              <w:t>19,786</w:t>
            </w:r>
          </w:p>
        </w:tc>
        <w:tc>
          <w:tcPr>
            <w:tcW w:w="1553" w:type="dxa"/>
            <w:tcBorders>
              <w:left w:val="nil"/>
              <w:bottom w:val="single" w:sz="4" w:space="0" w:color="auto"/>
              <w:right w:val="nil"/>
            </w:tcBorders>
            <w:noWrap/>
            <w:vAlign w:val="bottom"/>
          </w:tcPr>
          <w:p w14:paraId="71CBCA91" w14:textId="68D94F4E" w:rsidR="00A04BD1" w:rsidRPr="003E76E7" w:rsidRDefault="00A04BD1" w:rsidP="00C4292D">
            <w:pPr>
              <w:spacing w:before="0" w:after="0"/>
              <w:jc w:val="right"/>
              <w:rPr>
                <w:rFonts w:ascii="Arial" w:hAnsi="Arial"/>
                <w:b/>
                <w:bCs/>
                <w:sz w:val="16"/>
                <w:szCs w:val="16"/>
                <w:lang w:val="en-AU"/>
              </w:rPr>
            </w:pPr>
            <w:r w:rsidRPr="003E76E7">
              <w:rPr>
                <w:rFonts w:ascii="Arial" w:hAnsi="Arial"/>
                <w:b/>
                <w:bCs/>
                <w:sz w:val="16"/>
                <w:szCs w:val="16"/>
                <w:lang w:val="en-AU"/>
              </w:rPr>
              <w:t>20,169</w:t>
            </w:r>
          </w:p>
        </w:tc>
      </w:tr>
      <w:tr w:rsidR="00A04BD1" w:rsidRPr="003E76E7" w14:paraId="7932DFFE" w14:textId="77777777" w:rsidTr="000E1A17">
        <w:trPr>
          <w:trHeight w:val="255"/>
        </w:trPr>
        <w:tc>
          <w:tcPr>
            <w:tcW w:w="5553" w:type="dxa"/>
            <w:tcBorders>
              <w:left w:val="nil"/>
              <w:bottom w:val="single" w:sz="4" w:space="0" w:color="auto"/>
              <w:right w:val="nil"/>
            </w:tcBorders>
            <w:shd w:val="clear" w:color="auto" w:fill="E6E6E6"/>
            <w:vAlign w:val="center"/>
          </w:tcPr>
          <w:p w14:paraId="700247BD" w14:textId="7D5D02B3" w:rsidR="00A04BD1" w:rsidRPr="003E76E7" w:rsidRDefault="00A04BD1" w:rsidP="00C4292D">
            <w:pPr>
              <w:spacing w:before="0" w:after="0"/>
              <w:rPr>
                <w:rFonts w:ascii="Arial" w:hAnsi="Arial"/>
                <w:b/>
                <w:bCs/>
                <w:sz w:val="16"/>
                <w:szCs w:val="16"/>
                <w:vertAlign w:val="superscript"/>
                <w:lang w:val="en-AU"/>
              </w:rPr>
            </w:pPr>
            <w:r w:rsidRPr="003E76E7">
              <w:rPr>
                <w:rFonts w:ascii="Arial" w:hAnsi="Arial"/>
                <w:b/>
                <w:bCs/>
                <w:sz w:val="16"/>
                <w:szCs w:val="16"/>
                <w:lang w:val="en-AU"/>
              </w:rPr>
              <w:t>Total Workforce</w:t>
            </w:r>
          </w:p>
        </w:tc>
        <w:tc>
          <w:tcPr>
            <w:tcW w:w="1397" w:type="dxa"/>
            <w:tcBorders>
              <w:left w:val="nil"/>
              <w:bottom w:val="single" w:sz="4" w:space="0" w:color="auto"/>
              <w:right w:val="nil"/>
            </w:tcBorders>
            <w:shd w:val="clear" w:color="auto" w:fill="E6E6E6"/>
            <w:noWrap/>
            <w:vAlign w:val="bottom"/>
          </w:tcPr>
          <w:p w14:paraId="22871C97" w14:textId="73C45A05" w:rsidR="00A04BD1" w:rsidRPr="003E76E7" w:rsidRDefault="00A04BD1" w:rsidP="00C4292D">
            <w:pPr>
              <w:spacing w:before="0" w:after="0"/>
              <w:jc w:val="right"/>
              <w:rPr>
                <w:rFonts w:ascii="Arial" w:hAnsi="Arial"/>
                <w:b/>
                <w:bCs/>
                <w:sz w:val="16"/>
                <w:szCs w:val="16"/>
                <w:lang w:val="en-AU"/>
              </w:rPr>
            </w:pPr>
            <w:r w:rsidRPr="003E76E7">
              <w:rPr>
                <w:rFonts w:ascii="Arial" w:hAnsi="Arial"/>
                <w:b/>
                <w:bCs/>
                <w:sz w:val="16"/>
                <w:szCs w:val="16"/>
                <w:lang w:val="en-AU"/>
              </w:rPr>
              <w:t>81,497</w:t>
            </w:r>
          </w:p>
        </w:tc>
        <w:tc>
          <w:tcPr>
            <w:tcW w:w="1553" w:type="dxa"/>
            <w:tcBorders>
              <w:left w:val="nil"/>
              <w:bottom w:val="single" w:sz="4" w:space="0" w:color="auto"/>
              <w:right w:val="nil"/>
            </w:tcBorders>
            <w:shd w:val="clear" w:color="auto" w:fill="E6E6E6"/>
            <w:noWrap/>
            <w:vAlign w:val="bottom"/>
          </w:tcPr>
          <w:p w14:paraId="34609B4E" w14:textId="4EBE673A" w:rsidR="00A04BD1" w:rsidRPr="003E76E7" w:rsidRDefault="00A04BD1" w:rsidP="00C4292D">
            <w:pPr>
              <w:spacing w:before="0" w:after="0"/>
              <w:jc w:val="right"/>
              <w:rPr>
                <w:rFonts w:ascii="Arial" w:hAnsi="Arial"/>
                <w:b/>
                <w:bCs/>
                <w:sz w:val="16"/>
                <w:szCs w:val="16"/>
                <w:lang w:val="en-AU"/>
              </w:rPr>
            </w:pPr>
            <w:r w:rsidRPr="003E76E7">
              <w:rPr>
                <w:rFonts w:ascii="Arial" w:hAnsi="Arial"/>
                <w:b/>
                <w:bCs/>
                <w:sz w:val="16"/>
                <w:szCs w:val="16"/>
                <w:lang w:val="en-AU"/>
              </w:rPr>
              <w:t>83,514</w:t>
            </w:r>
          </w:p>
        </w:tc>
      </w:tr>
    </w:tbl>
    <w:p w14:paraId="73D8622E" w14:textId="5F2173BA" w:rsidR="003A015A" w:rsidRPr="003E76E7" w:rsidRDefault="003A015A" w:rsidP="00C4292D">
      <w:pPr>
        <w:spacing w:after="0"/>
        <w:rPr>
          <w:rFonts w:ascii="Arial" w:hAnsi="Arial"/>
          <w:b/>
          <w:sz w:val="14"/>
          <w:szCs w:val="16"/>
          <w:lang w:val="en-AU"/>
        </w:rPr>
      </w:pPr>
      <w:r w:rsidRPr="003E76E7">
        <w:rPr>
          <w:rFonts w:ascii="Arial" w:hAnsi="Arial"/>
          <w:b/>
          <w:sz w:val="14"/>
          <w:szCs w:val="16"/>
          <w:lang w:val="en-AU"/>
        </w:rPr>
        <w:t>Notes</w:t>
      </w:r>
    </w:p>
    <w:p w14:paraId="4F3B71F3" w14:textId="77777777" w:rsidR="003A015A" w:rsidRPr="003E76E7" w:rsidRDefault="003A015A" w:rsidP="00C4292D">
      <w:pPr>
        <w:spacing w:before="0" w:after="0"/>
        <w:ind w:left="284" w:hanging="284"/>
        <w:rPr>
          <w:rFonts w:ascii="Arial" w:hAnsi="Arial"/>
          <w:sz w:val="14"/>
          <w:lang w:val="en-AU"/>
        </w:rPr>
      </w:pPr>
      <w:r w:rsidRPr="003E76E7">
        <w:rPr>
          <w:rFonts w:ascii="Arial" w:hAnsi="Arial"/>
          <w:sz w:val="14"/>
          <w:lang w:val="en-AU"/>
        </w:rPr>
        <w:t xml:space="preserve">a. </w:t>
      </w:r>
      <w:r w:rsidRPr="003E76E7">
        <w:rPr>
          <w:rFonts w:ascii="Arial" w:hAnsi="Arial"/>
          <w:sz w:val="14"/>
          <w:lang w:val="en-AU"/>
        </w:rPr>
        <w:tab/>
        <w:t>The forecast distribution by rank and service is based on a forecast workforce supply and the current workforce distribution. This is subject to review as the workforce is reset and grows to fill ADF requirements.</w:t>
      </w:r>
    </w:p>
    <w:p w14:paraId="368F5F34" w14:textId="77777777" w:rsidR="003A015A" w:rsidRPr="003E76E7" w:rsidRDefault="003A015A" w:rsidP="00C4292D">
      <w:pPr>
        <w:spacing w:before="0" w:after="0"/>
        <w:ind w:left="284" w:hanging="284"/>
        <w:rPr>
          <w:rFonts w:ascii="Arial" w:hAnsi="Arial"/>
          <w:sz w:val="14"/>
          <w:lang w:val="en-AU"/>
        </w:rPr>
      </w:pPr>
      <w:r w:rsidRPr="003E76E7">
        <w:rPr>
          <w:rFonts w:ascii="Arial" w:hAnsi="Arial"/>
          <w:sz w:val="14"/>
          <w:lang w:val="en-AU"/>
        </w:rPr>
        <w:t xml:space="preserve">b. </w:t>
      </w:r>
      <w:r w:rsidRPr="003E76E7">
        <w:rPr>
          <w:rFonts w:ascii="Arial" w:hAnsi="Arial"/>
          <w:sz w:val="14"/>
          <w:lang w:val="en-AU"/>
        </w:rPr>
        <w:tab/>
        <w:t xml:space="preserve">The figures for One Star and above include Chief of the Defence Force, Service Chiefs and Group Heads. This does not include Chaplains. </w:t>
      </w:r>
    </w:p>
    <w:p w14:paraId="35442542" w14:textId="35115256" w:rsidR="003A015A" w:rsidRPr="003E76E7" w:rsidRDefault="003A015A" w:rsidP="00C4292D">
      <w:pPr>
        <w:spacing w:before="0" w:after="0"/>
        <w:ind w:left="284" w:hanging="284"/>
        <w:rPr>
          <w:rFonts w:ascii="Arial" w:hAnsi="Arial"/>
          <w:sz w:val="14"/>
          <w:lang w:val="en-AU"/>
        </w:rPr>
      </w:pPr>
      <w:r w:rsidRPr="003E76E7">
        <w:rPr>
          <w:rFonts w:ascii="Arial" w:hAnsi="Arial"/>
          <w:sz w:val="14"/>
          <w:lang w:val="en-AU"/>
        </w:rPr>
        <w:t xml:space="preserve">c. </w:t>
      </w:r>
      <w:r w:rsidRPr="003E76E7">
        <w:rPr>
          <w:rFonts w:ascii="Arial" w:hAnsi="Arial"/>
          <w:sz w:val="14"/>
          <w:lang w:val="en-AU"/>
        </w:rPr>
        <w:tab/>
        <w:t>Senior Officers are of Colonel or Lieutenant Colonel rank equivalent and APS Executive Level 1 and 2.</w:t>
      </w:r>
    </w:p>
    <w:p w14:paraId="125626E0" w14:textId="55B17F1C" w:rsidR="003A015A" w:rsidRPr="003E76E7" w:rsidRDefault="003A015A" w:rsidP="00C4292D">
      <w:pPr>
        <w:spacing w:before="0" w:after="0"/>
        <w:ind w:left="284" w:hanging="284"/>
        <w:rPr>
          <w:rFonts w:ascii="Arial" w:hAnsi="Arial"/>
          <w:sz w:val="14"/>
          <w:lang w:val="en-AU"/>
        </w:rPr>
      </w:pPr>
      <w:r w:rsidRPr="003E76E7">
        <w:rPr>
          <w:rFonts w:ascii="Arial" w:hAnsi="Arial"/>
          <w:sz w:val="14"/>
          <w:lang w:val="en-AU"/>
        </w:rPr>
        <w:t xml:space="preserve">d. </w:t>
      </w:r>
      <w:r w:rsidRPr="003E76E7">
        <w:rPr>
          <w:rFonts w:ascii="Arial" w:hAnsi="Arial"/>
          <w:sz w:val="14"/>
          <w:lang w:val="en-AU"/>
        </w:rPr>
        <w:tab/>
        <w:t xml:space="preserve">The figures for Senior Executives include the Secretary, SES Band </w:t>
      </w:r>
      <w:r w:rsidR="00B007E4" w:rsidRPr="003E76E7">
        <w:rPr>
          <w:rFonts w:ascii="Arial" w:hAnsi="Arial"/>
          <w:sz w:val="14"/>
          <w:lang w:val="en-AU"/>
        </w:rPr>
        <w:t>1</w:t>
      </w:r>
      <w:r w:rsidRPr="003E76E7">
        <w:rPr>
          <w:rFonts w:ascii="Arial" w:hAnsi="Arial"/>
          <w:sz w:val="14"/>
          <w:lang w:val="en-AU"/>
        </w:rPr>
        <w:t xml:space="preserve">, </w:t>
      </w:r>
      <w:r w:rsidR="00B007E4" w:rsidRPr="003E76E7">
        <w:rPr>
          <w:rFonts w:ascii="Arial" w:hAnsi="Arial"/>
          <w:sz w:val="14"/>
          <w:lang w:val="en-AU"/>
        </w:rPr>
        <w:t xml:space="preserve">2 </w:t>
      </w:r>
      <w:r w:rsidRPr="003E76E7">
        <w:rPr>
          <w:rFonts w:ascii="Arial" w:hAnsi="Arial"/>
          <w:sz w:val="14"/>
          <w:lang w:val="en-AU"/>
        </w:rPr>
        <w:t xml:space="preserve">and </w:t>
      </w:r>
      <w:r w:rsidR="00B007E4" w:rsidRPr="003E76E7">
        <w:rPr>
          <w:rFonts w:ascii="Arial" w:hAnsi="Arial"/>
          <w:sz w:val="14"/>
          <w:lang w:val="en-AU"/>
        </w:rPr>
        <w:t xml:space="preserve">3 </w:t>
      </w:r>
      <w:r w:rsidRPr="003E76E7">
        <w:rPr>
          <w:rFonts w:ascii="Arial" w:hAnsi="Arial"/>
          <w:sz w:val="14"/>
          <w:lang w:val="en-AU"/>
        </w:rPr>
        <w:t>employees, Chiefs of Divisions and Medical Officers.</w:t>
      </w:r>
    </w:p>
    <w:p w14:paraId="6272D6C9" w14:textId="77777777" w:rsidR="00312F38" w:rsidRPr="003E76E7" w:rsidRDefault="00312F38" w:rsidP="00C4292D">
      <w:pPr>
        <w:spacing w:before="0" w:after="0"/>
        <w:ind w:left="284" w:hanging="284"/>
        <w:rPr>
          <w:sz w:val="18"/>
        </w:rPr>
      </w:pPr>
    </w:p>
    <w:p w14:paraId="6AA6BC53" w14:textId="77777777" w:rsidR="00312F38" w:rsidRPr="003E76E7" w:rsidRDefault="00312F38" w:rsidP="00C4292D">
      <w:pPr>
        <w:pStyle w:val="ListParagraph"/>
        <w:numPr>
          <w:ilvl w:val="0"/>
          <w:numId w:val="44"/>
        </w:numPr>
        <w:spacing w:before="0" w:after="0"/>
        <w:ind w:left="426"/>
        <w:sectPr w:rsidR="00312F38" w:rsidRPr="003E76E7" w:rsidSect="00357ADC">
          <w:headerReference w:type="even" r:id="rId73"/>
          <w:headerReference w:type="default" r:id="rId74"/>
          <w:footerReference w:type="even" r:id="rId75"/>
          <w:footerReference w:type="default" r:id="rId76"/>
          <w:pgSz w:w="11906" w:h="16838" w:code="9"/>
          <w:pgMar w:top="1701" w:right="1361" w:bottom="1701" w:left="1928" w:header="720" w:footer="720" w:gutter="0"/>
          <w:cols w:space="720"/>
        </w:sectPr>
      </w:pPr>
    </w:p>
    <w:p w14:paraId="1993BE28" w14:textId="77777777" w:rsidR="00337D21" w:rsidRPr="003E76E7" w:rsidRDefault="00337D21" w:rsidP="00C4292D">
      <w:pPr>
        <w:pStyle w:val="Heading2level3"/>
        <w:spacing w:before="120" w:after="120"/>
        <w:rPr>
          <w:rStyle w:val="Heading2Char"/>
          <w:sz w:val="26"/>
          <w:szCs w:val="26"/>
        </w:rPr>
      </w:pPr>
      <w:bookmarkStart w:id="1023" w:name="_Toc536089229"/>
      <w:bookmarkStart w:id="1024" w:name="_Toc536089489"/>
      <w:bookmarkStart w:id="1025" w:name="_Toc536089595"/>
      <w:bookmarkStart w:id="1026" w:name="_Toc69729045"/>
      <w:bookmarkStart w:id="1027" w:name="_Toc97747828"/>
      <w:bookmarkStart w:id="1028" w:name="_Toc108088939"/>
      <w:bookmarkStart w:id="1029" w:name="_Toc108089018"/>
      <w:bookmarkStart w:id="1030" w:name="_Toc108089413"/>
      <w:bookmarkStart w:id="1031" w:name="_Toc109227293"/>
      <w:bookmarkStart w:id="1032" w:name="_Toc158896246"/>
      <w:bookmarkStart w:id="1033" w:name="_Toc158896303"/>
      <w:bookmarkStart w:id="1034" w:name="_Toc159499683"/>
      <w:bookmarkStart w:id="1035" w:name="_Toc159857674"/>
      <w:bookmarkStart w:id="1036" w:name="_Toc159857753"/>
      <w:bookmarkStart w:id="1037" w:name="_Toc159858149"/>
      <w:bookmarkStart w:id="1038" w:name="_Toc159858814"/>
      <w:bookmarkStart w:id="1039" w:name="_Toc159858884"/>
      <w:bookmarkStart w:id="1040" w:name="_Toc159862284"/>
      <w:bookmarkStart w:id="1041" w:name="_Toc159862474"/>
      <w:bookmarkStart w:id="1042" w:name="_Toc221786178"/>
      <w:bookmarkStart w:id="1043" w:name="_Toc222129923"/>
      <w:bookmarkStart w:id="1044" w:name="_Toc222148353"/>
      <w:bookmarkStart w:id="1045" w:name="_Toc225847981"/>
      <w:bookmarkStart w:id="1046" w:name="_Toc225848064"/>
      <w:bookmarkStart w:id="1047" w:name="_Toc225848147"/>
      <w:bookmarkStart w:id="1048" w:name="_Toc225848222"/>
      <w:bookmarkStart w:id="1049" w:name="_Toc225848257"/>
      <w:bookmarkStart w:id="1050" w:name="_Toc225848486"/>
      <w:bookmarkStart w:id="1051" w:name="_Toc225941553"/>
      <w:bookmarkStart w:id="1052" w:name="_Toc225942560"/>
      <w:bookmarkStart w:id="1053" w:name="_Toc227334370"/>
      <w:bookmarkStart w:id="1054" w:name="_Toc229072445"/>
      <w:bookmarkStart w:id="1055" w:name="_Toc229072617"/>
      <w:r w:rsidRPr="003E76E7">
        <w:rPr>
          <w:rStyle w:val="Heading2Char"/>
          <w:sz w:val="26"/>
          <w:szCs w:val="26"/>
        </w:rPr>
        <w:lastRenderedPageBreak/>
        <w:t>Section 2: Defence Outcomes and Planned Performance</w:t>
      </w:r>
      <w:bookmarkEnd w:id="981"/>
      <w:bookmarkEnd w:id="982"/>
      <w:bookmarkEnd w:id="983"/>
      <w:bookmarkEnd w:id="984"/>
      <w:bookmarkEnd w:id="985"/>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p>
    <w:p w14:paraId="53F2BDA0" w14:textId="1687D255" w:rsidR="006B20D8" w:rsidRPr="003E76E7" w:rsidRDefault="006B20D8" w:rsidP="00C4292D">
      <w:pPr>
        <w:spacing w:before="60" w:after="60" w:line="256" w:lineRule="auto"/>
      </w:pPr>
      <w:r w:rsidRPr="003E76E7">
        <w:t xml:space="preserve">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t>
      </w:r>
      <w:r w:rsidR="00DE0200">
        <w:t>that</w:t>
      </w:r>
      <w:r w:rsidRPr="003E76E7">
        <w:t xml:space="preserve"> contribute to government outcomes over the Budget and forward years.</w:t>
      </w:r>
    </w:p>
    <w:p w14:paraId="22618CB3" w14:textId="25512645" w:rsidR="006B20D8" w:rsidRPr="003E76E7" w:rsidRDefault="006B20D8" w:rsidP="00C4292D">
      <w:pPr>
        <w:spacing w:before="60" w:after="60" w:line="256" w:lineRule="auto"/>
      </w:pPr>
      <w:r w:rsidRPr="003E76E7">
        <w:t>Each outcome is described below</w:t>
      </w:r>
      <w:r w:rsidR="00DE0200">
        <w:t>,</w:t>
      </w:r>
      <w:r w:rsidRPr="003E76E7">
        <w:t xml:space="preserve"> together with its related programs. The following provides detailed information on expenses for each outcome and program, further</w:t>
      </w:r>
      <w:r w:rsidR="00271ADD" w:rsidRPr="003E76E7">
        <w:t xml:space="preserve"> broken down by funding source.</w:t>
      </w:r>
    </w:p>
    <w:p w14:paraId="734F4CBE" w14:textId="77777777" w:rsidR="000B2A8A" w:rsidRPr="003E76E7" w:rsidRDefault="000B2A8A" w:rsidP="00C4292D">
      <w:pPr>
        <w:pBdr>
          <w:top w:val="single" w:sz="2" w:space="6" w:color="auto"/>
          <w:left w:val="single" w:sz="2" w:space="4" w:color="auto"/>
          <w:bottom w:val="single" w:sz="2" w:space="12" w:color="auto"/>
          <w:right w:val="single" w:sz="2" w:space="4" w:color="auto"/>
        </w:pBdr>
        <w:spacing w:before="120" w:after="120"/>
        <w:rPr>
          <w:b/>
        </w:rPr>
      </w:pPr>
      <w:r w:rsidRPr="003E76E7">
        <w:rPr>
          <w:b/>
        </w:rPr>
        <w:t>Note:</w:t>
      </w:r>
    </w:p>
    <w:p w14:paraId="443FFB3A" w14:textId="77777777" w:rsidR="000B2A8A" w:rsidRPr="003E76E7" w:rsidRDefault="000B2A8A" w:rsidP="00C4292D">
      <w:pPr>
        <w:pBdr>
          <w:top w:val="single" w:sz="2" w:space="6" w:color="auto"/>
          <w:left w:val="single" w:sz="2" w:space="4" w:color="auto"/>
          <w:bottom w:val="single" w:sz="2" w:space="12" w:color="auto"/>
          <w:right w:val="single" w:sz="2" w:space="4" w:color="auto"/>
        </w:pBdr>
        <w:spacing w:before="120" w:after="120"/>
      </w:pPr>
      <w:r w:rsidRPr="003E76E7">
        <w:t xml:space="preserve">Performance reporting requirements in the Portfolio Budget Statements are part of the enhanced Commonwealth performance framework established by the </w:t>
      </w:r>
      <w:r w:rsidRPr="003E76E7">
        <w:rPr>
          <w:i/>
        </w:rPr>
        <w:t>Public Governance, Performance and Accountability Act 2013</w:t>
      </w:r>
      <w:r w:rsidRPr="003E76E7">
        <w:t>. It is anticipated that the performance measures described in Portfolio Budget Statements will be read with broader information provided in an entity’s corporate plans and annual performance statements - included in Annual Reports - to provide a complete picture of an entity’s planned and actual performance.</w:t>
      </w:r>
    </w:p>
    <w:p w14:paraId="6595B09E" w14:textId="77777777" w:rsidR="000B2A8A" w:rsidRPr="003E76E7" w:rsidRDefault="000B2A8A" w:rsidP="00C4292D">
      <w:pPr>
        <w:pBdr>
          <w:top w:val="single" w:sz="2" w:space="6" w:color="auto"/>
          <w:left w:val="single" w:sz="2" w:space="4" w:color="auto"/>
          <w:bottom w:val="single" w:sz="2" w:space="12" w:color="auto"/>
          <w:right w:val="single" w:sz="2" w:space="4" w:color="auto"/>
        </w:pBdr>
        <w:spacing w:before="0" w:after="0"/>
      </w:pPr>
    </w:p>
    <w:p w14:paraId="3AA5815A" w14:textId="77777777" w:rsidR="000B2A8A" w:rsidRPr="003E76E7" w:rsidRDefault="000B2A8A" w:rsidP="00C4292D">
      <w:pPr>
        <w:pBdr>
          <w:top w:val="single" w:sz="2" w:space="6" w:color="auto"/>
          <w:left w:val="single" w:sz="2" w:space="4" w:color="auto"/>
          <w:bottom w:val="single" w:sz="2" w:space="12" w:color="auto"/>
          <w:right w:val="single" w:sz="2" w:space="4" w:color="auto"/>
        </w:pBdr>
        <w:spacing w:before="0" w:after="0"/>
      </w:pPr>
      <w:r w:rsidRPr="003E76E7">
        <w:t>The most recent corporate plan for Defence can be found at:</w:t>
      </w:r>
    </w:p>
    <w:p w14:paraId="7A603F5F" w14:textId="77777777" w:rsidR="000B2A8A" w:rsidRPr="003E76E7" w:rsidRDefault="00AD70C0" w:rsidP="00C4292D">
      <w:pPr>
        <w:pBdr>
          <w:top w:val="single" w:sz="2" w:space="6" w:color="auto"/>
          <w:left w:val="single" w:sz="2" w:space="4" w:color="auto"/>
          <w:bottom w:val="single" w:sz="2" w:space="12" w:color="auto"/>
          <w:right w:val="single" w:sz="2" w:space="4" w:color="auto"/>
        </w:pBdr>
        <w:spacing w:before="0" w:after="0"/>
      </w:pPr>
      <w:hyperlink r:id="rId77" w:history="1">
        <w:r w:rsidR="000B2A8A" w:rsidRPr="003E76E7">
          <w:rPr>
            <w:rStyle w:val="Hyperlink"/>
          </w:rPr>
          <w:t>http://www.defence.gov.au/about/strategic-planning/defence-corporate-plan/</w:t>
        </w:r>
      </w:hyperlink>
      <w:r w:rsidR="000B2A8A" w:rsidRPr="003E76E7">
        <w:t>.</w:t>
      </w:r>
    </w:p>
    <w:p w14:paraId="596C0C02" w14:textId="77777777" w:rsidR="000B2A8A" w:rsidRPr="003E76E7" w:rsidRDefault="000B2A8A" w:rsidP="00C4292D">
      <w:pPr>
        <w:pBdr>
          <w:top w:val="single" w:sz="2" w:space="6" w:color="auto"/>
          <w:left w:val="single" w:sz="2" w:space="4" w:color="auto"/>
          <w:bottom w:val="single" w:sz="2" w:space="12" w:color="auto"/>
          <w:right w:val="single" w:sz="2" w:space="4" w:color="auto"/>
        </w:pBdr>
        <w:spacing w:before="0" w:after="0"/>
      </w:pPr>
      <w:r w:rsidRPr="003E76E7">
        <w:t xml:space="preserve"> </w:t>
      </w:r>
    </w:p>
    <w:p w14:paraId="2115832B" w14:textId="77777777" w:rsidR="000B2A8A" w:rsidRPr="003E76E7" w:rsidRDefault="000B2A8A" w:rsidP="00C4292D">
      <w:pPr>
        <w:pBdr>
          <w:top w:val="single" w:sz="2" w:space="6" w:color="auto"/>
          <w:left w:val="single" w:sz="2" w:space="4" w:color="auto"/>
          <w:bottom w:val="single" w:sz="2" w:space="12" w:color="auto"/>
          <w:right w:val="single" w:sz="2" w:space="4" w:color="auto"/>
        </w:pBdr>
        <w:spacing w:before="0" w:after="0"/>
      </w:pPr>
      <w:r w:rsidRPr="003E76E7">
        <w:t>The most recent annual performance statement can be found at:</w:t>
      </w:r>
    </w:p>
    <w:p w14:paraId="5155C550" w14:textId="77777777" w:rsidR="000B2A8A" w:rsidRPr="003E76E7" w:rsidRDefault="00AD70C0" w:rsidP="00C4292D">
      <w:pPr>
        <w:pBdr>
          <w:top w:val="single" w:sz="2" w:space="6" w:color="auto"/>
          <w:left w:val="single" w:sz="2" w:space="4" w:color="auto"/>
          <w:bottom w:val="single" w:sz="2" w:space="12" w:color="auto"/>
          <w:right w:val="single" w:sz="2" w:space="4" w:color="auto"/>
        </w:pBdr>
        <w:spacing w:before="0" w:after="0"/>
      </w:pPr>
      <w:hyperlink r:id="rId78" w:history="1">
        <w:r w:rsidR="000B2A8A" w:rsidRPr="003E76E7">
          <w:rPr>
            <w:rStyle w:val="Hyperlink"/>
          </w:rPr>
          <w:t>https://www.defence.gov.au/about/information-disclosures/annual-reports</w:t>
        </w:r>
      </w:hyperlink>
      <w:r w:rsidR="000B2A8A" w:rsidRPr="003E76E7">
        <w:t xml:space="preserve">. </w:t>
      </w:r>
    </w:p>
    <w:p w14:paraId="525F4507" w14:textId="77777777" w:rsidR="000B2A8A" w:rsidRPr="003E76E7" w:rsidRDefault="000B2A8A" w:rsidP="00C4292D">
      <w:pPr>
        <w:spacing w:before="120" w:after="120"/>
      </w:pPr>
    </w:p>
    <w:p w14:paraId="2290A722" w14:textId="77777777" w:rsidR="000B2A8A" w:rsidRPr="003E76E7" w:rsidRDefault="000B2A8A" w:rsidP="00C4292D">
      <w:pPr>
        <w:spacing w:before="120" w:after="120"/>
      </w:pPr>
    </w:p>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p w14:paraId="0A9AC133" w14:textId="77777777" w:rsidR="000B2A8A" w:rsidRPr="003E76E7" w:rsidRDefault="000B2A8A" w:rsidP="00C4292D">
      <w:pPr>
        <w:spacing w:before="0" w:after="0"/>
        <w:rPr>
          <w:rFonts w:ascii="Arial Bold" w:hAnsi="Arial Bold"/>
          <w:b/>
          <w:lang w:val="en-AU"/>
        </w:rPr>
      </w:pPr>
      <w:r w:rsidRPr="003E76E7">
        <w:rPr>
          <w:rFonts w:ascii="Arial Bold" w:hAnsi="Arial Bold"/>
          <w:lang w:val="en-AU"/>
        </w:rPr>
        <w:br w:type="page"/>
      </w:r>
    </w:p>
    <w:p w14:paraId="19BB1CCB" w14:textId="32B4063D" w:rsidR="00B007E4" w:rsidRPr="003E76E7" w:rsidRDefault="000B2A8A" w:rsidP="00C4292D">
      <w:pPr>
        <w:pStyle w:val="FigureHeading"/>
        <w:numPr>
          <w:ilvl w:val="0"/>
          <w:numId w:val="0"/>
        </w:numPr>
        <w:tabs>
          <w:tab w:val="num" w:pos="426"/>
        </w:tabs>
        <w:spacing w:before="0"/>
        <w:ind w:left="284" w:hanging="284"/>
        <w:outlineLvl w:val="4"/>
        <w:rPr>
          <w:lang w:val="en-AU"/>
        </w:rPr>
      </w:pPr>
      <w:r w:rsidRPr="003E76E7">
        <w:rPr>
          <w:lang w:val="en-AU"/>
        </w:rPr>
        <w:lastRenderedPageBreak/>
        <w:t>Figure 2: S</w:t>
      </w:r>
      <w:r w:rsidR="00330065" w:rsidRPr="003E76E7">
        <w:rPr>
          <w:lang w:val="en-AU"/>
        </w:rPr>
        <w:t>tructure of Defence’s Outcomes</w:t>
      </w:r>
    </w:p>
    <w:p w14:paraId="292A9596" w14:textId="77777777" w:rsidR="001B31DD" w:rsidRPr="003E76E7" w:rsidRDefault="001B31DD" w:rsidP="00C4292D">
      <w:pPr>
        <w:spacing w:before="0" w:after="0"/>
        <w:rPr>
          <w:rFonts w:ascii="Arial" w:hAnsi="Arial"/>
          <w:b/>
          <w:sz w:val="14"/>
          <w:szCs w:val="14"/>
        </w:rPr>
      </w:pPr>
    </w:p>
    <w:p w14:paraId="355E16C1" w14:textId="27C5F243" w:rsidR="001B31DD" w:rsidRPr="003E76E7" w:rsidRDefault="0091310C" w:rsidP="00C4292D">
      <w:pPr>
        <w:spacing w:before="0" w:after="0"/>
        <w:jc w:val="center"/>
        <w:rPr>
          <w:rFonts w:ascii="Arial" w:hAnsi="Arial"/>
          <w:b/>
          <w:sz w:val="14"/>
          <w:szCs w:val="14"/>
        </w:rPr>
      </w:pPr>
      <w:r w:rsidRPr="003E76E7">
        <w:rPr>
          <w:noProof/>
          <w:lang w:val="en-AU"/>
        </w:rPr>
        <w:drawing>
          <wp:inline distT="0" distB="0" distL="0" distR="0" wp14:anchorId="37CE655C" wp14:editId="559F9AB9">
            <wp:extent cx="4592320" cy="7233313"/>
            <wp:effectExtent l="0" t="0" r="0" b="5715"/>
            <wp:docPr id="24575514" name="Picture 24575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r="16065" b="6406"/>
                    <a:stretch/>
                  </pic:blipFill>
                  <pic:spPr bwMode="auto">
                    <a:xfrm>
                      <a:off x="0" y="0"/>
                      <a:ext cx="4592729" cy="7233957"/>
                    </a:xfrm>
                    <a:prstGeom prst="rect">
                      <a:avLst/>
                    </a:prstGeom>
                    <a:noFill/>
                    <a:ln>
                      <a:noFill/>
                    </a:ln>
                    <a:extLst>
                      <a:ext uri="{53640926-AAD7-44D8-BBD7-CCE9431645EC}">
                        <a14:shadowObscured xmlns:a14="http://schemas.microsoft.com/office/drawing/2010/main"/>
                      </a:ext>
                    </a:extLst>
                  </pic:spPr>
                </pic:pic>
              </a:graphicData>
            </a:graphic>
          </wp:inline>
        </w:drawing>
      </w:r>
    </w:p>
    <w:p w14:paraId="57820177" w14:textId="77777777" w:rsidR="001B31DD" w:rsidRPr="003E76E7" w:rsidRDefault="001B31DD" w:rsidP="00C4292D">
      <w:pPr>
        <w:spacing w:before="0" w:after="0"/>
        <w:rPr>
          <w:rFonts w:ascii="Arial" w:hAnsi="Arial"/>
          <w:b/>
          <w:sz w:val="14"/>
          <w:szCs w:val="14"/>
        </w:rPr>
      </w:pPr>
    </w:p>
    <w:p w14:paraId="317F271F" w14:textId="77777777" w:rsidR="002648DE" w:rsidRPr="003E76E7" w:rsidRDefault="004A3BCC" w:rsidP="00C4292D">
      <w:pPr>
        <w:spacing w:before="0" w:after="0"/>
        <w:rPr>
          <w:rFonts w:ascii="Arial" w:hAnsi="Arial"/>
          <w:sz w:val="14"/>
          <w:szCs w:val="14"/>
        </w:rPr>
      </w:pPr>
      <w:r w:rsidRPr="003E76E7">
        <w:rPr>
          <w:rFonts w:ascii="Arial" w:hAnsi="Arial"/>
          <w:b/>
          <w:sz w:val="14"/>
          <w:szCs w:val="14"/>
        </w:rPr>
        <w:t>Notes</w:t>
      </w:r>
    </w:p>
    <w:p w14:paraId="760C9185" w14:textId="77777777" w:rsidR="004A3BCC" w:rsidRPr="003E76E7" w:rsidRDefault="00C5026B" w:rsidP="00C4292D">
      <w:pPr>
        <w:spacing w:before="0" w:after="0"/>
        <w:ind w:left="284" w:hanging="284"/>
        <w:rPr>
          <w:rFonts w:ascii="Arial" w:hAnsi="Arial"/>
          <w:sz w:val="14"/>
          <w:szCs w:val="14"/>
        </w:rPr>
      </w:pPr>
      <w:r w:rsidRPr="003E76E7">
        <w:rPr>
          <w:rFonts w:ascii="Arial" w:hAnsi="Arial"/>
          <w:sz w:val="14"/>
          <w:szCs w:val="14"/>
        </w:rPr>
        <w:t>a.</w:t>
      </w:r>
      <w:r w:rsidRPr="003E76E7">
        <w:rPr>
          <w:rFonts w:ascii="Arial" w:hAnsi="Arial"/>
          <w:sz w:val="14"/>
          <w:szCs w:val="14"/>
        </w:rPr>
        <w:tab/>
      </w:r>
      <w:r w:rsidR="004A3BCC" w:rsidRPr="003E76E7">
        <w:rPr>
          <w:rFonts w:ascii="Arial" w:hAnsi="Arial"/>
          <w:sz w:val="14"/>
          <w:szCs w:val="14"/>
        </w:rPr>
        <w:t>Includes the Governance Group</w:t>
      </w:r>
      <w:r w:rsidR="00F8127C" w:rsidRPr="003E76E7">
        <w:rPr>
          <w:rFonts w:ascii="Arial" w:hAnsi="Arial"/>
          <w:sz w:val="14"/>
          <w:szCs w:val="14"/>
        </w:rPr>
        <w:t>.</w:t>
      </w:r>
      <w:r w:rsidR="004A3BCC" w:rsidRPr="003E76E7">
        <w:rPr>
          <w:rFonts w:ascii="Arial" w:hAnsi="Arial"/>
          <w:sz w:val="14"/>
          <w:szCs w:val="14"/>
        </w:rPr>
        <w:t xml:space="preserve"> </w:t>
      </w:r>
    </w:p>
    <w:p w14:paraId="5B37A389" w14:textId="77777777" w:rsidR="004A3BCC" w:rsidRPr="003E76E7" w:rsidRDefault="00C5026B" w:rsidP="00C4292D">
      <w:pPr>
        <w:spacing w:before="0" w:after="0"/>
        <w:ind w:left="284" w:hanging="284"/>
        <w:rPr>
          <w:rFonts w:ascii="Arial" w:hAnsi="Arial"/>
          <w:sz w:val="14"/>
          <w:szCs w:val="14"/>
        </w:rPr>
      </w:pPr>
      <w:r w:rsidRPr="003E76E7">
        <w:rPr>
          <w:rFonts w:ascii="Arial" w:hAnsi="Arial"/>
          <w:sz w:val="14"/>
          <w:szCs w:val="14"/>
        </w:rPr>
        <w:t>b.</w:t>
      </w:r>
      <w:r w:rsidRPr="003E76E7">
        <w:rPr>
          <w:rFonts w:ascii="Arial" w:hAnsi="Arial"/>
          <w:sz w:val="14"/>
          <w:szCs w:val="14"/>
        </w:rPr>
        <w:tab/>
      </w:r>
      <w:r w:rsidR="004A3BCC" w:rsidRPr="003E76E7">
        <w:rPr>
          <w:rFonts w:ascii="Arial" w:hAnsi="Arial"/>
          <w:sz w:val="14"/>
          <w:szCs w:val="14"/>
        </w:rPr>
        <w:t>Includes the Guided Weapons and Explosive Ordnance Group</w:t>
      </w:r>
      <w:r w:rsidR="00F8127C" w:rsidRPr="003E76E7">
        <w:rPr>
          <w:rFonts w:ascii="Arial" w:hAnsi="Arial"/>
          <w:sz w:val="14"/>
          <w:szCs w:val="14"/>
        </w:rPr>
        <w:t>.</w:t>
      </w:r>
    </w:p>
    <w:p w14:paraId="0089A14E" w14:textId="77777777" w:rsidR="004A3BCC" w:rsidRPr="003E76E7" w:rsidRDefault="00C5026B" w:rsidP="00C4292D">
      <w:pPr>
        <w:spacing w:before="0" w:after="0"/>
        <w:ind w:left="284" w:hanging="284"/>
        <w:rPr>
          <w:rFonts w:ascii="Arial" w:hAnsi="Arial"/>
          <w:sz w:val="14"/>
          <w:szCs w:val="14"/>
        </w:rPr>
      </w:pPr>
      <w:r w:rsidRPr="003E76E7">
        <w:rPr>
          <w:rFonts w:ascii="Arial" w:hAnsi="Arial"/>
          <w:sz w:val="14"/>
          <w:szCs w:val="14"/>
        </w:rPr>
        <w:t>c.</w:t>
      </w:r>
      <w:r w:rsidRPr="003E76E7">
        <w:rPr>
          <w:rFonts w:ascii="Arial" w:hAnsi="Arial"/>
          <w:sz w:val="14"/>
          <w:szCs w:val="14"/>
        </w:rPr>
        <w:tab/>
      </w:r>
      <w:r w:rsidR="004A3BCC" w:rsidRPr="003E76E7">
        <w:rPr>
          <w:rFonts w:ascii="Arial" w:hAnsi="Arial"/>
          <w:sz w:val="14"/>
          <w:szCs w:val="14"/>
        </w:rPr>
        <w:t>Includes the Chief of Personnel</w:t>
      </w:r>
      <w:r w:rsidR="00F8127C" w:rsidRPr="003E76E7">
        <w:rPr>
          <w:rFonts w:ascii="Arial" w:hAnsi="Arial"/>
          <w:sz w:val="14"/>
          <w:szCs w:val="14"/>
        </w:rPr>
        <w:t>.</w:t>
      </w:r>
      <w:r w:rsidR="004A3BCC" w:rsidRPr="003E76E7">
        <w:rPr>
          <w:rFonts w:ascii="Arial" w:hAnsi="Arial"/>
          <w:sz w:val="14"/>
          <w:szCs w:val="14"/>
        </w:rPr>
        <w:t xml:space="preserve"> </w:t>
      </w:r>
    </w:p>
    <w:p w14:paraId="37D486AD" w14:textId="38118568" w:rsidR="00E37456" w:rsidRPr="003E76E7" w:rsidRDefault="0091310C" w:rsidP="00C4292D">
      <w:pPr>
        <w:pStyle w:val="TableHeading"/>
        <w:numPr>
          <w:ilvl w:val="0"/>
          <w:numId w:val="61"/>
        </w:numPr>
        <w:spacing w:before="100"/>
        <w:ind w:left="0" w:firstLine="0"/>
        <w:outlineLvl w:val="4"/>
        <w:rPr>
          <w:lang w:val="en-AU"/>
        </w:rPr>
      </w:pPr>
      <w:r w:rsidRPr="003E76E7">
        <w:rPr>
          <w:sz w:val="8"/>
          <w:szCs w:val="8"/>
        </w:rPr>
        <w:br w:type="page"/>
      </w:r>
      <w:r w:rsidR="00E86D72" w:rsidRPr="003E76E7">
        <w:rPr>
          <w:lang w:val="en-AU"/>
        </w:rPr>
        <w:lastRenderedPageBreak/>
        <w:t>Changes</w:t>
      </w:r>
      <w:r w:rsidR="00526B71" w:rsidRPr="003E76E7">
        <w:rPr>
          <w:lang w:val="en-AU"/>
        </w:rPr>
        <w:t xml:space="preserve"> to the P</w:t>
      </w:r>
      <w:r w:rsidR="00E86D72" w:rsidRPr="003E76E7">
        <w:rPr>
          <w:lang w:val="en-AU"/>
        </w:rPr>
        <w:t xml:space="preserve">rogram </w:t>
      </w:r>
      <w:r w:rsidR="00526B71" w:rsidRPr="003E76E7">
        <w:rPr>
          <w:lang w:val="en-AU"/>
        </w:rPr>
        <w:t>Structures Since the L</w:t>
      </w:r>
      <w:r w:rsidR="00E86D72" w:rsidRPr="003E76E7">
        <w:rPr>
          <w:lang w:val="en-AU"/>
        </w:rPr>
        <w:t xml:space="preserve">ast Portfolio </w:t>
      </w:r>
      <w:r w:rsidR="00F959EA" w:rsidRPr="003E76E7">
        <w:rPr>
          <w:lang w:val="en-AU"/>
        </w:rPr>
        <w:t xml:space="preserve">Budget </w:t>
      </w:r>
      <w:r w:rsidR="00E86D72" w:rsidRPr="003E76E7">
        <w:rPr>
          <w:lang w:val="en-AU"/>
        </w:rPr>
        <w:t>Statement</w:t>
      </w:r>
      <w:r w:rsidR="00F959EA" w:rsidRPr="003E76E7">
        <w:rPr>
          <w:lang w:val="en-AU"/>
        </w:rPr>
        <w:t>s</w:t>
      </w:r>
    </w:p>
    <w:p w14:paraId="1337B622" w14:textId="77777777" w:rsidR="009E7877" w:rsidRPr="003E76E7" w:rsidRDefault="009E7877" w:rsidP="00C4292D">
      <w:pPr>
        <w:spacing w:before="0" w:after="0"/>
        <w:rPr>
          <w:sz w:val="4"/>
          <w:lang w:val="en-AU"/>
        </w:rPr>
      </w:pPr>
    </w:p>
    <w:tbl>
      <w:tblPr>
        <w:tblW w:w="8731" w:type="dxa"/>
        <w:tblInd w:w="113" w:type="dxa"/>
        <w:tblLook w:val="04A0" w:firstRow="1" w:lastRow="0" w:firstColumn="1" w:lastColumn="0" w:noHBand="0" w:noVBand="1"/>
      </w:tblPr>
      <w:tblGrid>
        <w:gridCol w:w="850"/>
        <w:gridCol w:w="3628"/>
        <w:gridCol w:w="4253"/>
      </w:tblGrid>
      <w:tr w:rsidR="00E86D72" w:rsidRPr="003E76E7" w14:paraId="5C50B07E" w14:textId="77777777" w:rsidTr="000E1A17">
        <w:trPr>
          <w:trHeight w:val="510"/>
        </w:trPr>
        <w:tc>
          <w:tcPr>
            <w:tcW w:w="850" w:type="dxa"/>
            <w:tcBorders>
              <w:top w:val="single" w:sz="4" w:space="0" w:color="000000"/>
              <w:left w:val="nil"/>
              <w:bottom w:val="single" w:sz="4" w:space="0" w:color="000000"/>
              <w:right w:val="nil"/>
            </w:tcBorders>
            <w:shd w:val="clear" w:color="auto" w:fill="E6E6E6"/>
            <w:vAlign w:val="center"/>
            <w:hideMark/>
          </w:tcPr>
          <w:p w14:paraId="6F3F79A1" w14:textId="77777777" w:rsidR="00E86D72" w:rsidRPr="003E76E7" w:rsidRDefault="00E86D72" w:rsidP="00C4292D">
            <w:pPr>
              <w:ind w:left="-57" w:right="-57"/>
              <w:jc w:val="center"/>
              <w:rPr>
                <w:rFonts w:ascii="Arial" w:hAnsi="Arial"/>
                <w:b/>
                <w:bCs/>
                <w:color w:val="000000"/>
                <w:sz w:val="16"/>
                <w:szCs w:val="16"/>
                <w:lang w:val="en-AU"/>
              </w:rPr>
            </w:pPr>
            <w:r w:rsidRPr="003E76E7">
              <w:rPr>
                <w:rFonts w:ascii="Arial" w:hAnsi="Arial"/>
                <w:b/>
                <w:bCs/>
                <w:color w:val="000000"/>
                <w:sz w:val="16"/>
                <w:szCs w:val="16"/>
                <w:lang w:val="en-AU"/>
              </w:rPr>
              <w:t>Program No.</w:t>
            </w:r>
          </w:p>
        </w:tc>
        <w:tc>
          <w:tcPr>
            <w:tcW w:w="3628" w:type="dxa"/>
            <w:tcBorders>
              <w:top w:val="single" w:sz="4" w:space="0" w:color="000000"/>
              <w:left w:val="nil"/>
              <w:bottom w:val="single" w:sz="4" w:space="0" w:color="000000"/>
              <w:right w:val="nil"/>
            </w:tcBorders>
            <w:shd w:val="clear" w:color="auto" w:fill="E6E6E6"/>
            <w:vAlign w:val="center"/>
            <w:hideMark/>
          </w:tcPr>
          <w:p w14:paraId="712A0D12" w14:textId="77777777" w:rsidR="00E86D72" w:rsidRPr="003E76E7" w:rsidRDefault="00E86D72" w:rsidP="00C4292D">
            <w:pPr>
              <w:tabs>
                <w:tab w:val="left" w:pos="1425"/>
              </w:tabs>
              <w:ind w:left="-57" w:right="-57"/>
              <w:rPr>
                <w:rFonts w:ascii="Arial" w:hAnsi="Arial"/>
                <w:b/>
                <w:bCs/>
                <w:color w:val="000000"/>
                <w:sz w:val="16"/>
                <w:szCs w:val="16"/>
                <w:lang w:val="en-AU"/>
              </w:rPr>
            </w:pPr>
            <w:r w:rsidRPr="003E76E7">
              <w:rPr>
                <w:rFonts w:ascii="Arial" w:hAnsi="Arial"/>
                <w:b/>
                <w:bCs/>
                <w:color w:val="000000"/>
                <w:sz w:val="16"/>
                <w:szCs w:val="16"/>
                <w:lang w:val="en-AU"/>
              </w:rPr>
              <w:t>Program title</w:t>
            </w:r>
          </w:p>
        </w:tc>
        <w:tc>
          <w:tcPr>
            <w:tcW w:w="4253" w:type="dxa"/>
            <w:tcBorders>
              <w:top w:val="single" w:sz="4" w:space="0" w:color="000000"/>
              <w:left w:val="nil"/>
              <w:bottom w:val="single" w:sz="4" w:space="0" w:color="000000"/>
              <w:right w:val="nil"/>
            </w:tcBorders>
            <w:shd w:val="clear" w:color="auto" w:fill="E6E6E6"/>
            <w:vAlign w:val="center"/>
            <w:hideMark/>
          </w:tcPr>
          <w:p w14:paraId="754467D8" w14:textId="77777777" w:rsidR="00E86D72" w:rsidRPr="003E76E7" w:rsidRDefault="00E86D72" w:rsidP="00C4292D">
            <w:pPr>
              <w:ind w:left="-57" w:right="-57"/>
              <w:rPr>
                <w:rFonts w:ascii="Arial" w:hAnsi="Arial"/>
                <w:b/>
                <w:bCs/>
                <w:color w:val="000000"/>
                <w:sz w:val="16"/>
                <w:szCs w:val="16"/>
                <w:lang w:val="en-AU"/>
              </w:rPr>
            </w:pPr>
            <w:r w:rsidRPr="003E76E7">
              <w:rPr>
                <w:rFonts w:ascii="Arial" w:hAnsi="Arial"/>
                <w:b/>
                <w:bCs/>
                <w:color w:val="000000"/>
                <w:sz w:val="16"/>
                <w:szCs w:val="16"/>
                <w:lang w:val="en-AU"/>
              </w:rPr>
              <w:t>Description of change</w:t>
            </w:r>
          </w:p>
        </w:tc>
      </w:tr>
      <w:tr w:rsidR="00C867A3" w:rsidRPr="003E76E7" w14:paraId="7B1ECC56" w14:textId="77777777" w:rsidTr="000E1A17">
        <w:trPr>
          <w:trHeight w:val="482"/>
        </w:trPr>
        <w:tc>
          <w:tcPr>
            <w:tcW w:w="850" w:type="dxa"/>
            <w:tcBorders>
              <w:top w:val="nil"/>
              <w:left w:val="nil"/>
              <w:bottom w:val="nil"/>
              <w:right w:val="nil"/>
            </w:tcBorders>
            <w:shd w:val="clear" w:color="auto" w:fill="auto"/>
            <w:noWrap/>
            <w:vAlign w:val="center"/>
          </w:tcPr>
          <w:p w14:paraId="1E8FC8B0" w14:textId="77777777" w:rsidR="00C867A3" w:rsidRPr="003E76E7" w:rsidRDefault="00C867A3" w:rsidP="00C4292D">
            <w:pPr>
              <w:ind w:left="-57" w:right="-57"/>
              <w:rPr>
                <w:rFonts w:ascii="Arial" w:hAnsi="Arial"/>
                <w:color w:val="000000"/>
                <w:sz w:val="16"/>
                <w:szCs w:val="16"/>
                <w:lang w:val="en-AU"/>
              </w:rPr>
            </w:pPr>
          </w:p>
        </w:tc>
        <w:tc>
          <w:tcPr>
            <w:tcW w:w="3628" w:type="dxa"/>
            <w:tcBorders>
              <w:top w:val="nil"/>
              <w:left w:val="nil"/>
              <w:bottom w:val="nil"/>
              <w:right w:val="nil"/>
            </w:tcBorders>
            <w:shd w:val="clear" w:color="auto" w:fill="auto"/>
            <w:vAlign w:val="center"/>
          </w:tcPr>
          <w:p w14:paraId="0D12C588" w14:textId="2D51BD1A" w:rsidR="00C867A3" w:rsidRPr="003E76E7" w:rsidRDefault="001542F8" w:rsidP="00C4292D">
            <w:pPr>
              <w:ind w:left="-57" w:right="-57"/>
              <w:rPr>
                <w:rFonts w:ascii="Arial" w:hAnsi="Arial"/>
                <w:color w:val="000000"/>
                <w:sz w:val="16"/>
                <w:szCs w:val="16"/>
                <w:lang w:val="en-AU"/>
              </w:rPr>
            </w:pPr>
            <w:r w:rsidRPr="003E76E7">
              <w:rPr>
                <w:rFonts w:ascii="Arial" w:hAnsi="Arial"/>
                <w:color w:val="000000"/>
                <w:sz w:val="16"/>
                <w:szCs w:val="16"/>
                <w:lang w:val="en-AU"/>
              </w:rPr>
              <w:t>Nil changes</w:t>
            </w:r>
          </w:p>
        </w:tc>
        <w:tc>
          <w:tcPr>
            <w:tcW w:w="4253" w:type="dxa"/>
            <w:tcBorders>
              <w:top w:val="nil"/>
              <w:left w:val="nil"/>
              <w:bottom w:val="nil"/>
              <w:right w:val="nil"/>
            </w:tcBorders>
            <w:shd w:val="clear" w:color="auto" w:fill="auto"/>
            <w:vAlign w:val="center"/>
          </w:tcPr>
          <w:p w14:paraId="2430B1B9" w14:textId="77777777" w:rsidR="00C867A3" w:rsidRPr="003E76E7" w:rsidRDefault="00C867A3" w:rsidP="00C4292D">
            <w:pPr>
              <w:ind w:left="-57" w:right="-57"/>
              <w:rPr>
                <w:rFonts w:ascii="Arial" w:hAnsi="Arial"/>
                <w:color w:val="000000"/>
                <w:sz w:val="16"/>
                <w:szCs w:val="16"/>
                <w:lang w:val="en-AU"/>
              </w:rPr>
            </w:pPr>
          </w:p>
        </w:tc>
      </w:tr>
    </w:tbl>
    <w:p w14:paraId="6792000B" w14:textId="77777777" w:rsidR="00E86D72" w:rsidRPr="003E76E7" w:rsidRDefault="00E86D72" w:rsidP="00C4292D">
      <w:pPr>
        <w:spacing w:before="0" w:after="0"/>
        <w:rPr>
          <w:rFonts w:ascii="Arial" w:hAnsi="Arial"/>
          <w:b/>
          <w:sz w:val="16"/>
          <w:szCs w:val="16"/>
        </w:rPr>
      </w:pPr>
    </w:p>
    <w:p w14:paraId="67188920" w14:textId="77777777" w:rsidR="00C847A0" w:rsidRPr="003E76E7" w:rsidRDefault="00C847A0" w:rsidP="00C4292D">
      <w:pPr>
        <w:pStyle w:val="FootnoteText"/>
        <w:spacing w:before="0" w:after="0"/>
        <w:rPr>
          <w:sz w:val="4"/>
          <w:szCs w:val="4"/>
        </w:rPr>
      </w:pPr>
      <w:r w:rsidRPr="003E76E7">
        <w:rPr>
          <w:sz w:val="14"/>
          <w:szCs w:val="14"/>
        </w:rPr>
        <w:br w:type="page"/>
      </w:r>
    </w:p>
    <w:p w14:paraId="33517661" w14:textId="77777777" w:rsidR="009958F9" w:rsidRPr="003E76E7" w:rsidRDefault="009958F9" w:rsidP="00C4292D">
      <w:pPr>
        <w:pStyle w:val="Heading4"/>
      </w:pPr>
      <w:bookmarkStart w:id="1056" w:name="_Toc476581150"/>
      <w:bookmarkStart w:id="1057" w:name="_Toc507595422"/>
      <w:bookmarkStart w:id="1058" w:name="_Toc536089230"/>
      <w:bookmarkStart w:id="1059" w:name="_Toc536089490"/>
      <w:bookmarkStart w:id="1060" w:name="_Toc536089596"/>
      <w:bookmarkStart w:id="1061" w:name="_Toc69729046"/>
      <w:bookmarkStart w:id="1062" w:name="_Toc97747829"/>
      <w:bookmarkStart w:id="1063" w:name="_Toc108088940"/>
      <w:bookmarkStart w:id="1064" w:name="_Toc108089019"/>
      <w:bookmarkStart w:id="1065" w:name="_Toc108089414"/>
      <w:bookmarkStart w:id="1066" w:name="_Toc159499684"/>
      <w:bookmarkStart w:id="1067" w:name="_Toc222129924"/>
      <w:bookmarkStart w:id="1068" w:name="_Toc222148354"/>
      <w:bookmarkStart w:id="1069" w:name="_Toc225847982"/>
      <w:bookmarkStart w:id="1070" w:name="_Toc225848065"/>
      <w:bookmarkStart w:id="1071" w:name="_Toc225848148"/>
      <w:bookmarkStart w:id="1072" w:name="_Toc225848487"/>
      <w:bookmarkStart w:id="1073" w:name="_Toc225941554"/>
      <w:bookmarkStart w:id="1074" w:name="_Toc225942561"/>
      <w:bookmarkStart w:id="1075" w:name="_Toc227334371"/>
      <w:bookmarkStart w:id="1076" w:name="_Toc229072446"/>
      <w:bookmarkStart w:id="1077" w:name="_Toc229072618"/>
      <w:r w:rsidRPr="003E76E7">
        <w:lastRenderedPageBreak/>
        <w:t>2.1 Budget Expenses and Performance for Outcome 1</w:t>
      </w:r>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07"/>
      </w:tblGrid>
      <w:tr w:rsidR="00556E53" w:rsidRPr="003E76E7" w14:paraId="7BDFC3EB" w14:textId="77777777" w:rsidTr="005039BD">
        <w:trPr>
          <w:trHeight w:val="845"/>
        </w:trPr>
        <w:tc>
          <w:tcPr>
            <w:tcW w:w="8833" w:type="dxa"/>
            <w:shd w:val="clear" w:color="auto" w:fill="CCCCCC"/>
          </w:tcPr>
          <w:p w14:paraId="57373457" w14:textId="733CAED2" w:rsidR="00556E53" w:rsidRPr="003E76E7" w:rsidRDefault="007074AB" w:rsidP="00C4292D">
            <w:pPr>
              <w:spacing w:line="240" w:lineRule="atLeast"/>
              <w:rPr>
                <w:rFonts w:ascii="Arial" w:hAnsi="Arial"/>
                <w:b/>
                <w:lang w:val="en-AU"/>
              </w:rPr>
            </w:pPr>
            <w:r w:rsidRPr="003E76E7">
              <w:rPr>
                <w:lang w:val="en-AU"/>
              </w:rPr>
              <w:br w:type="page"/>
            </w:r>
            <w:r w:rsidR="00EB12DF" w:rsidRPr="003E76E7">
              <w:rPr>
                <w:lang w:val="en-AU"/>
              </w:rPr>
              <w:br w:type="page"/>
            </w:r>
            <w:r w:rsidR="00556E53" w:rsidRPr="003E76E7">
              <w:rPr>
                <w:rFonts w:ascii="Arial" w:hAnsi="Arial"/>
                <w:b/>
                <w:lang w:val="en-AU"/>
              </w:rPr>
              <w:t xml:space="preserve">Outcome 1: </w:t>
            </w:r>
            <w:r w:rsidR="00F93DCB" w:rsidRPr="003E76E7">
              <w:rPr>
                <w:rFonts w:ascii="Arial" w:hAnsi="Arial"/>
                <w:b/>
                <w:lang w:val="en-AU"/>
              </w:rPr>
              <w:t>Defend Australia and its national interests through the conduct of operations and provision of support for the Australian community and civilian authorities in accordance with Government direction.</w:t>
            </w:r>
          </w:p>
        </w:tc>
      </w:tr>
    </w:tbl>
    <w:p w14:paraId="526C182A" w14:textId="77777777" w:rsidR="0071273C" w:rsidRPr="003E76E7" w:rsidRDefault="00E87E2E" w:rsidP="00C4292D">
      <w:pPr>
        <w:pStyle w:val="Heading4level5"/>
        <w:spacing w:before="120" w:after="120"/>
      </w:pPr>
      <w:r w:rsidRPr="003E76E7">
        <w:t>Outcome 1 Strategy</w:t>
      </w:r>
    </w:p>
    <w:p w14:paraId="23EED8F5" w14:textId="77777777" w:rsidR="00A34383" w:rsidRPr="003E76E7" w:rsidRDefault="00A34383" w:rsidP="00C4292D">
      <w:pPr>
        <w:spacing w:before="60" w:after="60" w:line="256" w:lineRule="auto"/>
        <w:rPr>
          <w:lang w:val="en-AU"/>
        </w:rPr>
      </w:pPr>
      <w:r w:rsidRPr="003E76E7">
        <w:rPr>
          <w:lang w:val="en-AU"/>
        </w:rPr>
        <w:t xml:space="preserve">Defence plans for, develops and maintains the capability to deter and defeat armed attacks on Australia or on </w:t>
      </w:r>
      <w:r w:rsidRPr="003E76E7">
        <w:rPr>
          <w:rFonts w:eastAsia="Calibri" w:cs="Calibri"/>
          <w:szCs w:val="20"/>
          <w:lang w:val="en-AU" w:eastAsia="en-US"/>
        </w:rPr>
        <w:t>Australian</w:t>
      </w:r>
      <w:r w:rsidRPr="003E76E7">
        <w:rPr>
          <w:lang w:val="en-AU"/>
        </w:rPr>
        <w:t xml:space="preserve"> interests. This includes planning for, conducting, controlling and evaluating Defence contributions to Government-directed operations. </w:t>
      </w:r>
    </w:p>
    <w:p w14:paraId="113DC972" w14:textId="2A0AEDD4" w:rsidR="00A34383" w:rsidRPr="003E76E7" w:rsidRDefault="00A34383" w:rsidP="00C4292D">
      <w:pPr>
        <w:spacing w:before="60" w:after="60" w:line="256" w:lineRule="auto"/>
        <w:rPr>
          <w:lang w:val="en-AU"/>
        </w:rPr>
      </w:pPr>
      <w:r w:rsidRPr="003E76E7">
        <w:rPr>
          <w:lang w:val="en-AU"/>
        </w:rPr>
        <w:t>Defence also</w:t>
      </w:r>
      <w:r w:rsidR="000C6522">
        <w:rPr>
          <w:lang w:val="en-AU"/>
        </w:rPr>
        <w:t xml:space="preserve"> supports the Commonwealth and state/t</w:t>
      </w:r>
      <w:r w:rsidRPr="003E76E7">
        <w:rPr>
          <w:lang w:val="en-AU"/>
        </w:rPr>
        <w:t>erritory governments with emergency and non</w:t>
      </w:r>
      <w:r w:rsidR="00D020AF" w:rsidRPr="003E76E7">
        <w:rPr>
          <w:lang w:val="en-AU"/>
        </w:rPr>
        <w:t>-</w:t>
      </w:r>
      <w:r w:rsidRPr="003E76E7">
        <w:rPr>
          <w:lang w:val="en-AU"/>
        </w:rPr>
        <w:t xml:space="preserve">emergency tasks, as well as supporting </w:t>
      </w:r>
      <w:r w:rsidRPr="003E76E7">
        <w:rPr>
          <w:rFonts w:eastAsia="Calibri" w:cs="Calibri"/>
          <w:szCs w:val="20"/>
          <w:lang w:val="en-AU" w:eastAsia="en-US"/>
        </w:rPr>
        <w:t>regional</w:t>
      </w:r>
      <w:r w:rsidRPr="003E76E7">
        <w:rPr>
          <w:lang w:val="en-AU"/>
        </w:rPr>
        <w:t xml:space="preserve"> disaster assistance and events of national significance as directed by the Government.</w:t>
      </w:r>
    </w:p>
    <w:p w14:paraId="5943E051" w14:textId="10460E4C" w:rsidR="00144198" w:rsidRPr="003E76E7" w:rsidRDefault="00992768" w:rsidP="00C4292D">
      <w:pPr>
        <w:pStyle w:val="Heading4level5"/>
        <w:rPr>
          <w:szCs w:val="20"/>
          <w:lang w:val="en-AU"/>
        </w:rPr>
      </w:pPr>
      <w:r w:rsidRPr="003E76E7">
        <w:rPr>
          <w:szCs w:val="20"/>
          <w:lang w:val="en-AU"/>
        </w:rPr>
        <w:t>Current Operations</w:t>
      </w:r>
      <w:r w:rsidR="00A34383" w:rsidRPr="003E76E7">
        <w:rPr>
          <w:szCs w:val="20"/>
          <w:lang w:val="en-AU"/>
        </w:rPr>
        <w:t xml:space="preserve"> and </w:t>
      </w:r>
      <w:r w:rsidR="00D020AF" w:rsidRPr="003E76E7">
        <w:rPr>
          <w:szCs w:val="20"/>
          <w:lang w:val="en-AU"/>
        </w:rPr>
        <w:t>Activities</w:t>
      </w:r>
    </w:p>
    <w:p w14:paraId="1C015925" w14:textId="7F5605E9" w:rsidR="00405C17" w:rsidRPr="003E76E7" w:rsidRDefault="00405C17" w:rsidP="00C4292D">
      <w:pPr>
        <w:numPr>
          <w:ilvl w:val="0"/>
          <w:numId w:val="15"/>
        </w:numPr>
        <w:spacing w:before="60" w:after="60" w:line="259" w:lineRule="auto"/>
        <w:rPr>
          <w:szCs w:val="20"/>
          <w:lang w:val="en-AU"/>
        </w:rPr>
      </w:pPr>
      <w:r w:rsidRPr="003E76E7">
        <w:rPr>
          <w:szCs w:val="20"/>
        </w:rPr>
        <w:t>ACCORDION</w:t>
      </w:r>
      <w:r w:rsidRPr="003E76E7">
        <w:rPr>
          <w:szCs w:val="20"/>
          <w:lang w:val="en-AU"/>
        </w:rPr>
        <w:t xml:space="preserve"> </w:t>
      </w:r>
      <w:r w:rsidR="00722810" w:rsidRPr="003E76E7">
        <w:rPr>
          <w:szCs w:val="20"/>
          <w:lang w:val="en-AU"/>
        </w:rPr>
        <w:t>-</w:t>
      </w:r>
      <w:r w:rsidRPr="003E76E7">
        <w:rPr>
          <w:szCs w:val="20"/>
          <w:lang w:val="en-AU"/>
        </w:rPr>
        <w:t xml:space="preserve"> </w:t>
      </w:r>
      <w:r w:rsidRPr="003E76E7">
        <w:rPr>
          <w:szCs w:val="20"/>
        </w:rPr>
        <w:t>Provide</w:t>
      </w:r>
      <w:r w:rsidRPr="003E76E7">
        <w:rPr>
          <w:szCs w:val="20"/>
          <w:lang w:val="en-AU"/>
        </w:rPr>
        <w:t xml:space="preserve"> support to Operations MANITOU and other ADF activities from within the Middle East region.</w:t>
      </w:r>
    </w:p>
    <w:p w14:paraId="7AC5B27C" w14:textId="499B91B8" w:rsidR="00405C17" w:rsidRPr="003E76E7" w:rsidRDefault="00405C17" w:rsidP="00C4292D">
      <w:pPr>
        <w:numPr>
          <w:ilvl w:val="0"/>
          <w:numId w:val="15"/>
        </w:numPr>
        <w:spacing w:before="60" w:after="60" w:line="259" w:lineRule="auto"/>
        <w:rPr>
          <w:szCs w:val="20"/>
          <w:lang w:val="en-AU"/>
        </w:rPr>
      </w:pPr>
      <w:r w:rsidRPr="003E76E7">
        <w:rPr>
          <w:szCs w:val="20"/>
        </w:rPr>
        <w:t>ARGOS</w:t>
      </w:r>
      <w:r w:rsidRPr="003E76E7">
        <w:rPr>
          <w:rFonts w:eastAsia="Calibri"/>
          <w:szCs w:val="20"/>
        </w:rPr>
        <w:t xml:space="preserve"> </w:t>
      </w:r>
      <w:r w:rsidR="00722810" w:rsidRPr="003E76E7">
        <w:rPr>
          <w:rFonts w:eastAsia="Calibri"/>
          <w:szCs w:val="20"/>
        </w:rPr>
        <w:t>-</w:t>
      </w:r>
      <w:r w:rsidRPr="003E76E7">
        <w:rPr>
          <w:rFonts w:eastAsia="Calibri"/>
          <w:szCs w:val="20"/>
        </w:rPr>
        <w:t xml:space="preserve"> </w:t>
      </w:r>
      <w:r w:rsidRPr="003E76E7">
        <w:rPr>
          <w:szCs w:val="20"/>
        </w:rPr>
        <w:t xml:space="preserve">Contribute to the international effort to enforce United Nations Security Council resolutions </w:t>
      </w:r>
      <w:r w:rsidRPr="003E76E7">
        <w:rPr>
          <w:szCs w:val="20"/>
          <w:lang w:val="en-AU"/>
        </w:rPr>
        <w:t>on North Korea.</w:t>
      </w:r>
    </w:p>
    <w:p w14:paraId="0D5D3B48" w14:textId="4F7FE42F" w:rsidR="00405C17" w:rsidRPr="003E76E7" w:rsidRDefault="00405C17" w:rsidP="00C4292D">
      <w:pPr>
        <w:numPr>
          <w:ilvl w:val="0"/>
          <w:numId w:val="15"/>
        </w:numPr>
        <w:spacing w:before="60" w:after="60" w:line="259" w:lineRule="auto"/>
        <w:rPr>
          <w:szCs w:val="20"/>
          <w:lang w:val="en-AU"/>
        </w:rPr>
      </w:pPr>
      <w:r w:rsidRPr="003E76E7">
        <w:rPr>
          <w:szCs w:val="20"/>
        </w:rPr>
        <w:t>ASLAN</w:t>
      </w:r>
      <w:r w:rsidRPr="003E76E7">
        <w:rPr>
          <w:szCs w:val="20"/>
          <w:lang w:val="en-AU"/>
        </w:rPr>
        <w:t xml:space="preserve"> </w:t>
      </w:r>
      <w:r w:rsidR="00722810" w:rsidRPr="003E76E7">
        <w:rPr>
          <w:szCs w:val="20"/>
          <w:lang w:val="en-AU"/>
        </w:rPr>
        <w:t>-</w:t>
      </w:r>
      <w:r w:rsidRPr="003E76E7">
        <w:rPr>
          <w:szCs w:val="20"/>
          <w:lang w:val="en-AU"/>
        </w:rPr>
        <w:t xml:space="preserve"> Contribute to </w:t>
      </w:r>
      <w:r w:rsidRPr="003E76E7">
        <w:rPr>
          <w:szCs w:val="20"/>
        </w:rPr>
        <w:t>the</w:t>
      </w:r>
      <w:r w:rsidRPr="003E76E7">
        <w:rPr>
          <w:szCs w:val="20"/>
          <w:lang w:val="en-AU"/>
        </w:rPr>
        <w:t xml:space="preserve"> United Nations Mission in South Sudan.</w:t>
      </w:r>
    </w:p>
    <w:p w14:paraId="4CB7F2ED" w14:textId="56284FE3" w:rsidR="00405C17" w:rsidRPr="003E76E7" w:rsidRDefault="00405C17" w:rsidP="00C4292D">
      <w:pPr>
        <w:numPr>
          <w:ilvl w:val="0"/>
          <w:numId w:val="15"/>
        </w:numPr>
        <w:spacing w:before="60" w:after="60" w:line="259" w:lineRule="auto"/>
        <w:rPr>
          <w:szCs w:val="20"/>
          <w:lang w:val="en-AU"/>
        </w:rPr>
      </w:pPr>
      <w:r w:rsidRPr="003E76E7">
        <w:rPr>
          <w:szCs w:val="20"/>
        </w:rPr>
        <w:t>AUGURY</w:t>
      </w:r>
      <w:r w:rsidRPr="003E76E7">
        <w:rPr>
          <w:szCs w:val="20"/>
          <w:lang w:val="en-AU"/>
        </w:rPr>
        <w:t xml:space="preserve"> </w:t>
      </w:r>
      <w:r w:rsidR="00722810" w:rsidRPr="003E76E7">
        <w:rPr>
          <w:szCs w:val="20"/>
          <w:lang w:val="en-AU"/>
        </w:rPr>
        <w:t>-</w:t>
      </w:r>
      <w:r w:rsidRPr="003E76E7">
        <w:rPr>
          <w:szCs w:val="20"/>
          <w:lang w:val="en-AU"/>
        </w:rPr>
        <w:t xml:space="preserve"> GLOBAL - ADF </w:t>
      </w:r>
      <w:r w:rsidRPr="003E76E7">
        <w:rPr>
          <w:szCs w:val="20"/>
        </w:rPr>
        <w:t>support</w:t>
      </w:r>
      <w:r w:rsidRPr="003E76E7">
        <w:rPr>
          <w:szCs w:val="20"/>
          <w:lang w:val="en-AU"/>
        </w:rPr>
        <w:t xml:space="preserve"> to the </w:t>
      </w:r>
      <w:r w:rsidR="00DB5DCF" w:rsidRPr="003E76E7">
        <w:rPr>
          <w:szCs w:val="20"/>
          <w:lang w:val="en-AU"/>
        </w:rPr>
        <w:t>w</w:t>
      </w:r>
      <w:r w:rsidRPr="003E76E7">
        <w:rPr>
          <w:szCs w:val="20"/>
          <w:lang w:val="en-AU"/>
        </w:rPr>
        <w:t>hole</w:t>
      </w:r>
      <w:r w:rsidR="007C4112" w:rsidRPr="003E76E7">
        <w:rPr>
          <w:szCs w:val="20"/>
          <w:lang w:val="en-AU"/>
        </w:rPr>
        <w:t>-</w:t>
      </w:r>
      <w:r w:rsidRPr="003E76E7">
        <w:rPr>
          <w:szCs w:val="20"/>
          <w:lang w:val="en-AU"/>
        </w:rPr>
        <w:t>of</w:t>
      </w:r>
      <w:r w:rsidR="00DB5DCF" w:rsidRPr="003E76E7">
        <w:rPr>
          <w:szCs w:val="20"/>
          <w:lang w:val="en-AU"/>
        </w:rPr>
        <w:t>-g</w:t>
      </w:r>
      <w:r w:rsidRPr="003E76E7">
        <w:rPr>
          <w:szCs w:val="20"/>
          <w:lang w:val="en-AU"/>
        </w:rPr>
        <w:t>overnment Counter Terrorism objectives.</w:t>
      </w:r>
    </w:p>
    <w:p w14:paraId="47EF49A9" w14:textId="4C8D06A8" w:rsidR="00866E94" w:rsidRPr="003E76E7" w:rsidRDefault="00866E94" w:rsidP="00C4292D">
      <w:pPr>
        <w:numPr>
          <w:ilvl w:val="0"/>
          <w:numId w:val="15"/>
        </w:numPr>
        <w:spacing w:before="60" w:after="60" w:line="259" w:lineRule="auto"/>
        <w:rPr>
          <w:szCs w:val="20"/>
          <w:lang w:val="en-AU"/>
        </w:rPr>
      </w:pPr>
      <w:r w:rsidRPr="003E76E7">
        <w:rPr>
          <w:szCs w:val="20"/>
          <w:lang w:val="en-AU"/>
        </w:rPr>
        <w:t xml:space="preserve">BANNISTER </w:t>
      </w:r>
      <w:r w:rsidR="00722810" w:rsidRPr="003E76E7">
        <w:rPr>
          <w:szCs w:val="20"/>
          <w:lang w:val="en-AU"/>
        </w:rPr>
        <w:t>-</w:t>
      </w:r>
      <w:r w:rsidRPr="003E76E7">
        <w:rPr>
          <w:szCs w:val="20"/>
          <w:lang w:val="en-AU"/>
        </w:rPr>
        <w:t xml:space="preserve"> Deployment of planning teams to support Australian overseas missions or other activities as required.</w:t>
      </w:r>
    </w:p>
    <w:p w14:paraId="41E9B0E3" w14:textId="51C1C163" w:rsidR="009B5524" w:rsidRPr="003E76E7" w:rsidRDefault="00BE0282" w:rsidP="00C4292D">
      <w:pPr>
        <w:numPr>
          <w:ilvl w:val="0"/>
          <w:numId w:val="15"/>
        </w:numPr>
        <w:spacing w:before="60" w:after="60" w:line="259" w:lineRule="auto"/>
        <w:rPr>
          <w:szCs w:val="20"/>
        </w:rPr>
      </w:pPr>
      <w:r w:rsidRPr="003E76E7">
        <w:rPr>
          <w:szCs w:val="20"/>
        </w:rPr>
        <w:t xml:space="preserve">BEECH </w:t>
      </w:r>
      <w:r w:rsidR="00722810" w:rsidRPr="003E76E7">
        <w:rPr>
          <w:szCs w:val="20"/>
        </w:rPr>
        <w:t>-</w:t>
      </w:r>
      <w:r w:rsidRPr="003E76E7">
        <w:rPr>
          <w:szCs w:val="20"/>
        </w:rPr>
        <w:t xml:space="preserve"> </w:t>
      </w:r>
      <w:r w:rsidR="00C42355" w:rsidRPr="003E76E7">
        <w:rPr>
          <w:szCs w:val="20"/>
        </w:rPr>
        <w:t>Defence’s support to the Australian Government response to the Hamas-Israel conflict.</w:t>
      </w:r>
    </w:p>
    <w:p w14:paraId="3D33BBCC" w14:textId="4BC64D06" w:rsidR="00405C17" w:rsidRPr="003E76E7" w:rsidRDefault="00405C17" w:rsidP="00C4292D">
      <w:pPr>
        <w:numPr>
          <w:ilvl w:val="0"/>
          <w:numId w:val="15"/>
        </w:numPr>
        <w:spacing w:before="60" w:after="60" w:line="259" w:lineRule="auto"/>
        <w:rPr>
          <w:lang w:val="en-AU"/>
        </w:rPr>
      </w:pPr>
      <w:r w:rsidRPr="003E76E7">
        <w:rPr>
          <w:szCs w:val="20"/>
        </w:rPr>
        <w:t>DYURRA</w:t>
      </w:r>
      <w:r w:rsidR="00E50F61" w:rsidRPr="003E76E7">
        <w:rPr>
          <w:lang w:val="en-AU"/>
        </w:rPr>
        <w:t xml:space="preserve"> </w:t>
      </w:r>
      <w:r w:rsidR="00722810" w:rsidRPr="003E76E7">
        <w:rPr>
          <w:lang w:val="en-AU"/>
        </w:rPr>
        <w:t>-</w:t>
      </w:r>
      <w:r w:rsidR="00E50F61" w:rsidRPr="003E76E7">
        <w:rPr>
          <w:lang w:val="en-AU"/>
        </w:rPr>
        <w:t xml:space="preserve"> </w:t>
      </w:r>
      <w:r w:rsidRPr="003E76E7">
        <w:rPr>
          <w:lang w:val="en-AU"/>
        </w:rPr>
        <w:t>ADF space operations and their integration into wider ADF and allied space domain operations.</w:t>
      </w:r>
    </w:p>
    <w:p w14:paraId="2F12F320" w14:textId="547EEAD0" w:rsidR="00405C17" w:rsidRPr="003E76E7" w:rsidRDefault="00405C17" w:rsidP="00C4292D">
      <w:pPr>
        <w:numPr>
          <w:ilvl w:val="0"/>
          <w:numId w:val="15"/>
        </w:numPr>
        <w:spacing w:before="60" w:after="60" w:line="259" w:lineRule="auto"/>
        <w:rPr>
          <w:lang w:val="en-AU"/>
        </w:rPr>
      </w:pPr>
      <w:r w:rsidRPr="003E76E7">
        <w:rPr>
          <w:lang w:val="en-AU"/>
        </w:rPr>
        <w:t xml:space="preserve">FORTITUDE </w:t>
      </w:r>
      <w:r w:rsidR="00722810" w:rsidRPr="003E76E7">
        <w:rPr>
          <w:lang w:val="en-AU"/>
        </w:rPr>
        <w:t>-</w:t>
      </w:r>
      <w:r w:rsidRPr="003E76E7">
        <w:rPr>
          <w:lang w:val="en-AU"/>
        </w:rPr>
        <w:t xml:space="preserve"> </w:t>
      </w:r>
      <w:r w:rsidR="0084189B" w:rsidRPr="003E76E7">
        <w:rPr>
          <w:lang w:val="en-AU"/>
        </w:rPr>
        <w:t>C</w:t>
      </w:r>
      <w:r w:rsidRPr="003E76E7">
        <w:rPr>
          <w:lang w:val="en-AU"/>
        </w:rPr>
        <w:t>ontribution to the United Nations Disengagement Observer Force (UNDOF).</w:t>
      </w:r>
    </w:p>
    <w:p w14:paraId="0505D10B" w14:textId="233FCC18" w:rsidR="00405C17" w:rsidRPr="003E76E7" w:rsidRDefault="00405C17" w:rsidP="00C4292D">
      <w:pPr>
        <w:numPr>
          <w:ilvl w:val="0"/>
          <w:numId w:val="15"/>
        </w:numPr>
        <w:spacing w:before="60" w:after="60" w:line="259" w:lineRule="auto"/>
        <w:rPr>
          <w:szCs w:val="20"/>
          <w:lang w:val="en-AU"/>
        </w:rPr>
      </w:pPr>
      <w:r w:rsidRPr="003E76E7">
        <w:rPr>
          <w:szCs w:val="20"/>
        </w:rPr>
        <w:t>GATEWAY</w:t>
      </w:r>
      <w:r w:rsidRPr="003E76E7">
        <w:rPr>
          <w:szCs w:val="20"/>
          <w:lang w:val="en-AU"/>
        </w:rPr>
        <w:t xml:space="preserve"> </w:t>
      </w:r>
      <w:r w:rsidR="00722810" w:rsidRPr="003E76E7">
        <w:rPr>
          <w:szCs w:val="20"/>
          <w:lang w:val="en-AU"/>
        </w:rPr>
        <w:t>-</w:t>
      </w:r>
      <w:r w:rsidRPr="003E76E7">
        <w:rPr>
          <w:szCs w:val="20"/>
          <w:lang w:val="en-AU"/>
        </w:rPr>
        <w:t xml:space="preserve"> Conduct northern </w:t>
      </w:r>
      <w:r w:rsidRPr="003E76E7">
        <w:rPr>
          <w:szCs w:val="20"/>
        </w:rPr>
        <w:t>Indian</w:t>
      </w:r>
      <w:r w:rsidRPr="003E76E7">
        <w:rPr>
          <w:szCs w:val="20"/>
          <w:lang w:val="en-AU"/>
        </w:rPr>
        <w:t xml:space="preserve"> Ocean and South China Sea maritime surveillance patrols.</w:t>
      </w:r>
    </w:p>
    <w:p w14:paraId="4B31523C" w14:textId="77777777" w:rsidR="00FA2113" w:rsidRPr="003E76E7" w:rsidRDefault="00FA2113" w:rsidP="00C4292D">
      <w:pPr>
        <w:numPr>
          <w:ilvl w:val="0"/>
          <w:numId w:val="15"/>
        </w:numPr>
        <w:spacing w:before="60" w:after="60"/>
        <w:rPr>
          <w:rFonts w:ascii="Calibri" w:hAnsi="Calibri" w:cs="Calibri"/>
          <w:szCs w:val="22"/>
          <w:lang w:val="en-AU"/>
        </w:rPr>
      </w:pPr>
      <w:r w:rsidRPr="003E76E7">
        <w:t>HYDRANTH - ADF contribution to support United States and United Kingdom</w:t>
      </w:r>
      <w:r w:rsidR="00C83633" w:rsidRPr="003E76E7">
        <w:t xml:space="preserve"> (UK)</w:t>
      </w:r>
      <w:r w:rsidRPr="003E76E7">
        <w:t xml:space="preserve"> defensive actions targeting the capabilities used in Houthi rebel attacks in the Red Sea.</w:t>
      </w:r>
    </w:p>
    <w:p w14:paraId="3E2CAD53" w14:textId="55E9D89C" w:rsidR="00405C17" w:rsidRPr="003E76E7" w:rsidRDefault="00405C17" w:rsidP="00C4292D">
      <w:pPr>
        <w:numPr>
          <w:ilvl w:val="0"/>
          <w:numId w:val="15"/>
        </w:numPr>
        <w:spacing w:before="60" w:after="60" w:line="259" w:lineRule="auto"/>
        <w:rPr>
          <w:lang w:val="en-AU"/>
        </w:rPr>
      </w:pPr>
      <w:r w:rsidRPr="003E76E7">
        <w:rPr>
          <w:szCs w:val="20"/>
        </w:rPr>
        <w:t>INDO</w:t>
      </w:r>
      <w:r w:rsidRPr="003E76E7">
        <w:rPr>
          <w:szCs w:val="20"/>
          <w:lang w:val="en-AU"/>
        </w:rPr>
        <w:t xml:space="preserve">-PACIFIC ENDEAVOUR </w:t>
      </w:r>
      <w:r w:rsidR="00722810" w:rsidRPr="003E76E7">
        <w:rPr>
          <w:szCs w:val="20"/>
          <w:lang w:val="en-AU"/>
        </w:rPr>
        <w:t>-</w:t>
      </w:r>
      <w:r w:rsidRPr="003E76E7">
        <w:rPr>
          <w:szCs w:val="20"/>
          <w:lang w:val="en-AU"/>
        </w:rPr>
        <w:t xml:space="preserve"> </w:t>
      </w:r>
      <w:r w:rsidR="00FA2113" w:rsidRPr="003E76E7">
        <w:t>Strengthening Australia’s engagement and partnerships with regional security forces.</w:t>
      </w:r>
    </w:p>
    <w:p w14:paraId="530227B6" w14:textId="1C9B735D" w:rsidR="00405C17" w:rsidRPr="003E76E7" w:rsidRDefault="00405C17" w:rsidP="00C4292D">
      <w:pPr>
        <w:numPr>
          <w:ilvl w:val="0"/>
          <w:numId w:val="15"/>
        </w:numPr>
        <w:spacing w:before="60" w:after="60" w:line="259" w:lineRule="auto"/>
        <w:rPr>
          <w:lang w:val="en-AU"/>
        </w:rPr>
      </w:pPr>
      <w:r w:rsidRPr="003E76E7">
        <w:rPr>
          <w:lang w:val="en-AU"/>
        </w:rPr>
        <w:t xml:space="preserve">KUDU </w:t>
      </w:r>
      <w:r w:rsidR="00722810" w:rsidRPr="003E76E7">
        <w:rPr>
          <w:lang w:val="en-AU"/>
        </w:rPr>
        <w:t>-</w:t>
      </w:r>
      <w:r w:rsidRPr="003E76E7">
        <w:rPr>
          <w:lang w:val="en-AU"/>
        </w:rPr>
        <w:t xml:space="preserve"> ADF commitment to the training of Armed Forces of Ukraine recruits in the </w:t>
      </w:r>
      <w:r w:rsidR="00193E57" w:rsidRPr="003E76E7">
        <w:rPr>
          <w:lang w:val="en-AU"/>
        </w:rPr>
        <w:t>UK</w:t>
      </w:r>
      <w:r w:rsidRPr="003E76E7">
        <w:rPr>
          <w:lang w:val="en-AU"/>
        </w:rPr>
        <w:t>.</w:t>
      </w:r>
    </w:p>
    <w:p w14:paraId="14BA53CD" w14:textId="6FF891DA" w:rsidR="00405C17" w:rsidRPr="003E76E7" w:rsidRDefault="00405C17" w:rsidP="00C4292D">
      <w:pPr>
        <w:numPr>
          <w:ilvl w:val="0"/>
          <w:numId w:val="15"/>
        </w:numPr>
        <w:spacing w:before="60" w:after="60" w:line="259" w:lineRule="auto"/>
        <w:rPr>
          <w:szCs w:val="20"/>
          <w:lang w:val="en-AU"/>
        </w:rPr>
      </w:pPr>
      <w:r w:rsidRPr="003E76E7">
        <w:rPr>
          <w:szCs w:val="20"/>
        </w:rPr>
        <w:t>LINESMEN</w:t>
      </w:r>
      <w:r w:rsidRPr="003E76E7">
        <w:rPr>
          <w:szCs w:val="20"/>
          <w:lang w:val="en-AU"/>
        </w:rPr>
        <w:t xml:space="preserve"> </w:t>
      </w:r>
      <w:r w:rsidR="00722810" w:rsidRPr="003E76E7">
        <w:rPr>
          <w:szCs w:val="20"/>
          <w:lang w:val="en-AU"/>
        </w:rPr>
        <w:t>-</w:t>
      </w:r>
      <w:r w:rsidRPr="003E76E7">
        <w:rPr>
          <w:szCs w:val="20"/>
          <w:lang w:val="en-AU"/>
        </w:rPr>
        <w:t xml:space="preserve"> </w:t>
      </w:r>
      <w:r w:rsidR="00C33776" w:rsidRPr="003E76E7">
        <w:rPr>
          <w:szCs w:val="20"/>
          <w:lang w:val="en-AU"/>
        </w:rPr>
        <w:t xml:space="preserve">Supports the United Nations Command Military Armistice Commission (UNCMAC) in its efforts to reduce tensions on the </w:t>
      </w:r>
      <w:r w:rsidR="004071A7" w:rsidRPr="003E76E7">
        <w:rPr>
          <w:szCs w:val="20"/>
          <w:lang w:val="en-AU"/>
        </w:rPr>
        <w:t>Korean</w:t>
      </w:r>
      <w:r w:rsidR="00C33776" w:rsidRPr="003E76E7">
        <w:rPr>
          <w:szCs w:val="20"/>
          <w:lang w:val="en-AU"/>
        </w:rPr>
        <w:t xml:space="preserve"> Peninsula. </w:t>
      </w:r>
    </w:p>
    <w:p w14:paraId="4B2D9B6A" w14:textId="5DAB1A0B" w:rsidR="00405C17" w:rsidRPr="003E76E7" w:rsidRDefault="00405C17" w:rsidP="00C4292D">
      <w:pPr>
        <w:numPr>
          <w:ilvl w:val="0"/>
          <w:numId w:val="15"/>
        </w:numPr>
        <w:spacing w:before="60" w:after="60" w:line="259" w:lineRule="auto"/>
        <w:rPr>
          <w:szCs w:val="20"/>
          <w:lang w:val="en-AU"/>
        </w:rPr>
      </w:pPr>
      <w:r w:rsidRPr="003E76E7">
        <w:rPr>
          <w:szCs w:val="20"/>
        </w:rPr>
        <w:t>MANITOU</w:t>
      </w:r>
      <w:r w:rsidRPr="003E76E7">
        <w:rPr>
          <w:szCs w:val="20"/>
          <w:lang w:val="en-AU"/>
        </w:rPr>
        <w:t xml:space="preserve"> </w:t>
      </w:r>
      <w:r w:rsidR="00722810" w:rsidRPr="003E76E7">
        <w:rPr>
          <w:szCs w:val="20"/>
          <w:lang w:val="en-AU"/>
        </w:rPr>
        <w:t>-</w:t>
      </w:r>
      <w:r w:rsidRPr="003E76E7">
        <w:rPr>
          <w:szCs w:val="20"/>
          <w:lang w:val="en-AU"/>
        </w:rPr>
        <w:t xml:space="preserve"> Contribute to maritime security in the Middle East Region including the Arabian Gulf, Gulf of Aden, the Red Sea and Indian Ocean.</w:t>
      </w:r>
    </w:p>
    <w:p w14:paraId="2FB01756" w14:textId="5AE58420" w:rsidR="00405C17" w:rsidRPr="003E76E7" w:rsidRDefault="00405C17" w:rsidP="00C4292D">
      <w:pPr>
        <w:numPr>
          <w:ilvl w:val="0"/>
          <w:numId w:val="15"/>
        </w:numPr>
        <w:spacing w:before="60" w:after="60" w:line="259" w:lineRule="auto"/>
        <w:rPr>
          <w:szCs w:val="20"/>
          <w:lang w:val="en-AU"/>
        </w:rPr>
      </w:pPr>
      <w:r w:rsidRPr="003E76E7">
        <w:rPr>
          <w:szCs w:val="20"/>
        </w:rPr>
        <w:t>MAZURKA</w:t>
      </w:r>
      <w:r w:rsidRPr="003E76E7">
        <w:rPr>
          <w:szCs w:val="20"/>
          <w:lang w:val="en-AU"/>
        </w:rPr>
        <w:t xml:space="preserve"> </w:t>
      </w:r>
      <w:r w:rsidR="00722810" w:rsidRPr="003E76E7">
        <w:rPr>
          <w:szCs w:val="20"/>
          <w:lang w:val="en-AU"/>
        </w:rPr>
        <w:t>-</w:t>
      </w:r>
      <w:r w:rsidRPr="003E76E7">
        <w:rPr>
          <w:szCs w:val="20"/>
          <w:lang w:val="en-AU"/>
        </w:rPr>
        <w:t xml:space="preserve"> Contribute to the Multinational Force and Observers in Sinai.</w:t>
      </w:r>
    </w:p>
    <w:p w14:paraId="117C1251" w14:textId="2A56444E" w:rsidR="00405C17" w:rsidRPr="003E76E7" w:rsidRDefault="00405C17" w:rsidP="00C4292D">
      <w:pPr>
        <w:numPr>
          <w:ilvl w:val="0"/>
          <w:numId w:val="15"/>
        </w:numPr>
        <w:spacing w:before="60" w:after="60" w:line="259" w:lineRule="auto"/>
        <w:rPr>
          <w:szCs w:val="20"/>
          <w:lang w:val="en-AU"/>
        </w:rPr>
      </w:pPr>
      <w:r w:rsidRPr="003E76E7">
        <w:rPr>
          <w:szCs w:val="20"/>
        </w:rPr>
        <w:lastRenderedPageBreak/>
        <w:t>PALADIN</w:t>
      </w:r>
      <w:r w:rsidRPr="003E76E7">
        <w:rPr>
          <w:szCs w:val="20"/>
          <w:lang w:val="en-AU"/>
        </w:rPr>
        <w:t xml:space="preserve"> </w:t>
      </w:r>
      <w:r w:rsidR="00722810" w:rsidRPr="003E76E7">
        <w:rPr>
          <w:szCs w:val="20"/>
          <w:lang w:val="en-AU"/>
        </w:rPr>
        <w:t>-</w:t>
      </w:r>
      <w:r w:rsidRPr="003E76E7">
        <w:rPr>
          <w:szCs w:val="20"/>
          <w:lang w:val="en-AU"/>
        </w:rPr>
        <w:t xml:space="preserve"> Contribute to the United Nations Truce Supervision Organisation in the </w:t>
      </w:r>
      <w:r w:rsidR="000C6522">
        <w:rPr>
          <w:szCs w:val="20"/>
          <w:lang w:val="en-AU"/>
        </w:rPr>
        <w:br/>
      </w:r>
      <w:r w:rsidRPr="003E76E7">
        <w:rPr>
          <w:szCs w:val="20"/>
          <w:lang w:val="en-AU"/>
        </w:rPr>
        <w:t>Middle East.</w:t>
      </w:r>
    </w:p>
    <w:p w14:paraId="5FD75942" w14:textId="53E5D43C" w:rsidR="00405C17" w:rsidRPr="003E76E7" w:rsidRDefault="00405C17" w:rsidP="00C4292D">
      <w:pPr>
        <w:numPr>
          <w:ilvl w:val="0"/>
          <w:numId w:val="15"/>
        </w:numPr>
        <w:spacing w:before="60" w:after="60" w:line="259" w:lineRule="auto"/>
        <w:rPr>
          <w:szCs w:val="20"/>
          <w:lang w:val="en-AU"/>
        </w:rPr>
      </w:pPr>
      <w:r w:rsidRPr="003E76E7">
        <w:rPr>
          <w:szCs w:val="20"/>
        </w:rPr>
        <w:t>RENDER</w:t>
      </w:r>
      <w:r w:rsidRPr="003E76E7">
        <w:rPr>
          <w:szCs w:val="20"/>
          <w:lang w:val="en-AU"/>
        </w:rPr>
        <w:t xml:space="preserve"> SA</w:t>
      </w:r>
      <w:r w:rsidR="0084189B" w:rsidRPr="003E76E7">
        <w:rPr>
          <w:szCs w:val="20"/>
          <w:lang w:val="en-AU"/>
        </w:rPr>
        <w:t xml:space="preserve">FE </w:t>
      </w:r>
      <w:r w:rsidR="00722810" w:rsidRPr="003E76E7">
        <w:rPr>
          <w:szCs w:val="20"/>
          <w:lang w:val="en-AU"/>
        </w:rPr>
        <w:t>-</w:t>
      </w:r>
      <w:r w:rsidR="0084189B" w:rsidRPr="003E76E7">
        <w:rPr>
          <w:szCs w:val="20"/>
          <w:lang w:val="en-AU"/>
        </w:rPr>
        <w:t xml:space="preserve"> ADF-</w:t>
      </w:r>
      <w:r w:rsidRPr="003E76E7">
        <w:rPr>
          <w:szCs w:val="20"/>
          <w:lang w:val="en-AU"/>
        </w:rPr>
        <w:t>led mission to safely dispose of Second World War Explosive Remnants of War from Pacific island nations.</w:t>
      </w:r>
    </w:p>
    <w:p w14:paraId="63881CC7" w14:textId="67F050A8" w:rsidR="00405C17" w:rsidRPr="003E76E7" w:rsidRDefault="00405C17" w:rsidP="00C4292D">
      <w:pPr>
        <w:numPr>
          <w:ilvl w:val="0"/>
          <w:numId w:val="15"/>
        </w:numPr>
        <w:spacing w:before="60" w:after="60" w:line="259" w:lineRule="auto"/>
        <w:rPr>
          <w:szCs w:val="20"/>
        </w:rPr>
      </w:pPr>
      <w:r w:rsidRPr="003E76E7">
        <w:rPr>
          <w:szCs w:val="20"/>
        </w:rPr>
        <w:t xml:space="preserve">RESOLUTE </w:t>
      </w:r>
      <w:r w:rsidR="00722810" w:rsidRPr="003E76E7">
        <w:rPr>
          <w:lang w:val="en-AU"/>
        </w:rPr>
        <w:t>-</w:t>
      </w:r>
      <w:r w:rsidR="00DB5DCF" w:rsidRPr="003E76E7">
        <w:rPr>
          <w:szCs w:val="20"/>
        </w:rPr>
        <w:t xml:space="preserve"> Contribute to the whole-of-g</w:t>
      </w:r>
      <w:r w:rsidRPr="003E76E7">
        <w:rPr>
          <w:szCs w:val="20"/>
        </w:rPr>
        <w:t>overnment maritime surveillance and response in the maritime approaches to Australia.</w:t>
      </w:r>
    </w:p>
    <w:p w14:paraId="77C4FC65" w14:textId="56A957C4" w:rsidR="00405C17" w:rsidRPr="003E76E7" w:rsidRDefault="00405C17" w:rsidP="00C4292D">
      <w:pPr>
        <w:numPr>
          <w:ilvl w:val="0"/>
          <w:numId w:val="15"/>
        </w:numPr>
        <w:spacing w:before="60" w:after="60" w:line="259" w:lineRule="auto"/>
        <w:rPr>
          <w:szCs w:val="20"/>
        </w:rPr>
      </w:pPr>
      <w:r w:rsidRPr="003E76E7">
        <w:rPr>
          <w:szCs w:val="20"/>
        </w:rPr>
        <w:t xml:space="preserve">SOLANIA </w:t>
      </w:r>
      <w:r w:rsidR="00722810" w:rsidRPr="003E76E7">
        <w:rPr>
          <w:szCs w:val="20"/>
        </w:rPr>
        <w:t>-</w:t>
      </w:r>
      <w:r w:rsidRPr="003E76E7">
        <w:rPr>
          <w:szCs w:val="20"/>
        </w:rPr>
        <w:t xml:space="preserve"> Contribute to maritime surveillance within the Pacific Region.</w:t>
      </w:r>
    </w:p>
    <w:p w14:paraId="5B13A36E" w14:textId="77777777" w:rsidR="00405C17" w:rsidRPr="003E76E7" w:rsidRDefault="00405C17" w:rsidP="00C4292D">
      <w:pPr>
        <w:numPr>
          <w:ilvl w:val="0"/>
          <w:numId w:val="15"/>
        </w:numPr>
        <w:spacing w:before="60" w:after="60" w:line="259" w:lineRule="auto"/>
        <w:rPr>
          <w:szCs w:val="20"/>
          <w:lang w:val="en-AU"/>
        </w:rPr>
      </w:pPr>
      <w:r w:rsidRPr="003E76E7">
        <w:rPr>
          <w:szCs w:val="20"/>
        </w:rPr>
        <w:t>SOUTHERN</w:t>
      </w:r>
      <w:r w:rsidRPr="003E76E7">
        <w:rPr>
          <w:szCs w:val="20"/>
          <w:lang w:val="en-AU"/>
        </w:rPr>
        <w:t xml:space="preserve"> DISCOVERY</w:t>
      </w:r>
      <w:r w:rsidR="00193E57" w:rsidRPr="003E76E7">
        <w:rPr>
          <w:szCs w:val="20"/>
          <w:lang w:val="en-AU"/>
        </w:rPr>
        <w:t xml:space="preserve"> - </w:t>
      </w:r>
      <w:r w:rsidRPr="003E76E7">
        <w:rPr>
          <w:szCs w:val="20"/>
          <w:lang w:val="en-AU"/>
        </w:rPr>
        <w:t>Provide ADF support to the Australian Antarctic Division.</w:t>
      </w:r>
    </w:p>
    <w:p w14:paraId="6E336624" w14:textId="00A0F388" w:rsidR="00405C17" w:rsidRPr="003E76E7" w:rsidRDefault="00405C17" w:rsidP="00C4292D">
      <w:pPr>
        <w:numPr>
          <w:ilvl w:val="0"/>
          <w:numId w:val="15"/>
        </w:numPr>
        <w:spacing w:before="60" w:after="60" w:line="259" w:lineRule="auto"/>
        <w:rPr>
          <w:szCs w:val="20"/>
          <w:lang w:val="en-AU"/>
        </w:rPr>
      </w:pPr>
      <w:r w:rsidRPr="003E76E7">
        <w:rPr>
          <w:szCs w:val="20"/>
          <w:lang w:val="en-AU"/>
        </w:rPr>
        <w:t xml:space="preserve">Defence </w:t>
      </w:r>
      <w:r w:rsidRPr="003E76E7">
        <w:rPr>
          <w:szCs w:val="20"/>
        </w:rPr>
        <w:t>Assistance</w:t>
      </w:r>
      <w:r w:rsidRPr="003E76E7">
        <w:rPr>
          <w:szCs w:val="20"/>
          <w:lang w:val="en-AU"/>
        </w:rPr>
        <w:t xml:space="preserve"> to the Civil Community </w:t>
      </w:r>
      <w:r w:rsidR="00722810" w:rsidRPr="003E76E7">
        <w:rPr>
          <w:szCs w:val="20"/>
          <w:lang w:val="en-AU"/>
        </w:rPr>
        <w:t>-</w:t>
      </w:r>
      <w:r w:rsidRPr="003E76E7">
        <w:rPr>
          <w:szCs w:val="20"/>
          <w:lang w:val="en-AU"/>
        </w:rPr>
        <w:t xml:space="preserve"> </w:t>
      </w:r>
      <w:r w:rsidR="0084189B" w:rsidRPr="003E76E7">
        <w:rPr>
          <w:szCs w:val="20"/>
          <w:lang w:val="en-AU"/>
        </w:rPr>
        <w:t>Assist</w:t>
      </w:r>
      <w:r w:rsidRPr="003E76E7">
        <w:rPr>
          <w:szCs w:val="20"/>
          <w:lang w:val="en-AU"/>
        </w:rPr>
        <w:t xml:space="preserve"> Co</w:t>
      </w:r>
      <w:r w:rsidR="00F034BA">
        <w:rPr>
          <w:szCs w:val="20"/>
          <w:lang w:val="en-AU"/>
        </w:rPr>
        <w:t>mmonwealth and state/t</w:t>
      </w:r>
      <w:r w:rsidR="0084189B" w:rsidRPr="003E76E7">
        <w:rPr>
          <w:szCs w:val="20"/>
          <w:lang w:val="en-AU"/>
        </w:rPr>
        <w:t>erritory g</w:t>
      </w:r>
      <w:r w:rsidRPr="003E76E7">
        <w:rPr>
          <w:szCs w:val="20"/>
          <w:lang w:val="en-AU"/>
        </w:rPr>
        <w:t>overnments with emergency and n</w:t>
      </w:r>
      <w:r w:rsidR="000C6522">
        <w:rPr>
          <w:szCs w:val="20"/>
          <w:lang w:val="en-AU"/>
        </w:rPr>
        <w:t>on-emergency tasks as required.</w:t>
      </w:r>
      <w:r w:rsidRPr="003E76E7">
        <w:rPr>
          <w:szCs w:val="20"/>
          <w:lang w:val="en-AU"/>
        </w:rPr>
        <w:t xml:space="preserve"> On a case by case basis, support events of national significance as requested by relevant authorities.</w:t>
      </w:r>
    </w:p>
    <w:p w14:paraId="44E272D5" w14:textId="6F60ACD7" w:rsidR="00405C17" w:rsidRPr="003E76E7" w:rsidRDefault="00B82C07" w:rsidP="00C4292D">
      <w:pPr>
        <w:pStyle w:val="Bullet"/>
        <w:spacing w:before="120" w:after="120"/>
        <w:rPr>
          <w:rFonts w:ascii="Arial" w:hAnsi="Arial"/>
          <w:b/>
          <w:szCs w:val="20"/>
          <w:lang w:val="en-AU"/>
        </w:rPr>
      </w:pPr>
      <w:r w:rsidRPr="003E76E7">
        <w:rPr>
          <w:rFonts w:ascii="Arial" w:hAnsi="Arial"/>
          <w:b/>
          <w:szCs w:val="20"/>
          <w:lang w:val="en-AU"/>
        </w:rPr>
        <w:t>Ceased Operations</w:t>
      </w:r>
    </w:p>
    <w:p w14:paraId="1C8927A1" w14:textId="67B40B02" w:rsidR="00A34383" w:rsidRPr="003E76E7" w:rsidRDefault="00882D5A" w:rsidP="00C4292D">
      <w:pPr>
        <w:numPr>
          <w:ilvl w:val="0"/>
          <w:numId w:val="15"/>
        </w:numPr>
        <w:spacing w:before="60" w:after="60" w:line="259" w:lineRule="auto"/>
        <w:rPr>
          <w:szCs w:val="20"/>
          <w:lang w:val="en-AU"/>
        </w:rPr>
      </w:pPr>
      <w:r w:rsidRPr="003E76E7">
        <w:rPr>
          <w:szCs w:val="20"/>
          <w:lang w:val="en-AU"/>
        </w:rPr>
        <w:t xml:space="preserve">No operations have ceased since the release of the </w:t>
      </w:r>
      <w:r w:rsidRPr="003E76E7">
        <w:rPr>
          <w:i/>
          <w:szCs w:val="20"/>
          <w:lang w:val="en-AU"/>
        </w:rPr>
        <w:t>Defence Portfolio Additional Estimates Statements</w:t>
      </w:r>
      <w:r w:rsidR="008627F6">
        <w:rPr>
          <w:i/>
          <w:szCs w:val="20"/>
          <w:lang w:val="en-AU"/>
        </w:rPr>
        <w:t xml:space="preserve"> </w:t>
      </w:r>
      <w:r w:rsidR="008627F6" w:rsidRPr="003E76E7">
        <w:rPr>
          <w:i/>
          <w:szCs w:val="20"/>
          <w:lang w:val="en-AU"/>
        </w:rPr>
        <w:t>2025-26</w:t>
      </w:r>
      <w:r w:rsidRPr="003E76E7">
        <w:rPr>
          <w:i/>
          <w:szCs w:val="20"/>
          <w:lang w:val="en-AU"/>
        </w:rPr>
        <w:t>.</w:t>
      </w:r>
    </w:p>
    <w:p w14:paraId="6FD19CEE" w14:textId="77777777" w:rsidR="00C42355" w:rsidRPr="003E76E7" w:rsidRDefault="00C42355" w:rsidP="00C4292D">
      <w:pPr>
        <w:spacing w:before="120" w:after="120" w:line="259" w:lineRule="auto"/>
        <w:rPr>
          <w:szCs w:val="20"/>
          <w:lang w:val="en-AU"/>
        </w:rPr>
      </w:pPr>
    </w:p>
    <w:p w14:paraId="577E44AE" w14:textId="77777777" w:rsidR="00960A13" w:rsidRPr="003E76E7" w:rsidRDefault="00960A13" w:rsidP="00C4292D">
      <w:pPr>
        <w:numPr>
          <w:ilvl w:val="0"/>
          <w:numId w:val="15"/>
        </w:numPr>
        <w:spacing w:before="120" w:after="120" w:line="259" w:lineRule="auto"/>
        <w:rPr>
          <w:szCs w:val="20"/>
          <w:lang w:val="en-AU"/>
        </w:rPr>
      </w:pPr>
      <w:r w:rsidRPr="003E76E7">
        <w:rPr>
          <w:szCs w:val="20"/>
          <w:lang w:val="en-AU"/>
        </w:rPr>
        <w:br w:type="page"/>
      </w:r>
    </w:p>
    <w:p w14:paraId="221DA88C" w14:textId="77777777" w:rsidR="0071273C" w:rsidRPr="003E76E7" w:rsidRDefault="00E87E2E" w:rsidP="00C4292D">
      <w:pPr>
        <w:pStyle w:val="Heading4level5"/>
        <w:spacing w:before="0" w:after="200"/>
      </w:pPr>
      <w:r w:rsidRPr="003E76E7">
        <w:lastRenderedPageBreak/>
        <w:t>Linked Programs</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07"/>
      </w:tblGrid>
      <w:tr w:rsidR="00A30EE7" w:rsidRPr="003E76E7" w14:paraId="7C32F625" w14:textId="77777777" w:rsidTr="00A30EE7">
        <w:trPr>
          <w:trHeight w:val="113"/>
          <w:tblHeader/>
        </w:trPr>
        <w:tc>
          <w:tcPr>
            <w:tcW w:w="5000" w:type="pct"/>
            <w:tcBorders>
              <w:bottom w:val="dotted" w:sz="4" w:space="0" w:color="auto"/>
            </w:tcBorders>
          </w:tcPr>
          <w:p w14:paraId="376905AA" w14:textId="60007E93" w:rsidR="00A30EE7" w:rsidRPr="003E76E7" w:rsidRDefault="00A30EE7" w:rsidP="00C4292D">
            <w:pPr>
              <w:pStyle w:val="Heading5"/>
              <w:spacing w:before="60" w:after="60"/>
              <w:rPr>
                <w:rFonts w:ascii="Book Antiqua" w:hAnsi="Book Antiqua"/>
                <w:szCs w:val="20"/>
                <w:lang w:val="en-AU"/>
              </w:rPr>
            </w:pPr>
            <w:r w:rsidRPr="003E76E7">
              <w:rPr>
                <w:rFonts w:ascii="Book Antiqua" w:hAnsi="Book Antiqua"/>
                <w:szCs w:val="20"/>
                <w:lang w:val="en-AU"/>
              </w:rPr>
              <w:t>Australian Communications and Media Authority</w:t>
            </w:r>
          </w:p>
        </w:tc>
      </w:tr>
      <w:tr w:rsidR="00A30EE7" w:rsidRPr="003E76E7" w14:paraId="5D452636" w14:textId="77777777" w:rsidTr="00A30EE7">
        <w:trPr>
          <w:trHeight w:val="113"/>
        </w:trPr>
        <w:tc>
          <w:tcPr>
            <w:tcW w:w="5000" w:type="pct"/>
            <w:tcBorders>
              <w:top w:val="dotted" w:sz="4" w:space="0" w:color="auto"/>
              <w:bottom w:val="dotted" w:sz="4" w:space="0" w:color="auto"/>
            </w:tcBorders>
          </w:tcPr>
          <w:p w14:paraId="69D8FDAC" w14:textId="0E04B87A" w:rsidR="00A30EE7" w:rsidRPr="003E76E7" w:rsidRDefault="00A30EE7" w:rsidP="00C4292D">
            <w:pPr>
              <w:spacing w:before="60" w:after="60"/>
              <w:rPr>
                <w:szCs w:val="20"/>
                <w:lang w:val="en-AU"/>
              </w:rPr>
            </w:pPr>
            <w:r w:rsidRPr="003E76E7">
              <w:rPr>
                <w:szCs w:val="20"/>
                <w:lang w:val="en-AU"/>
              </w:rPr>
              <w:t>Program 1.1 - Communications regulation, planning and licensing.</w:t>
            </w:r>
          </w:p>
        </w:tc>
      </w:tr>
      <w:tr w:rsidR="00A30EE7" w:rsidRPr="003E76E7" w14:paraId="2F6E61F6" w14:textId="77777777" w:rsidTr="00A30EE7">
        <w:trPr>
          <w:trHeight w:val="113"/>
        </w:trPr>
        <w:tc>
          <w:tcPr>
            <w:tcW w:w="5000" w:type="pct"/>
            <w:tcBorders>
              <w:top w:val="dotted" w:sz="4" w:space="0" w:color="auto"/>
              <w:bottom w:val="dotted" w:sz="4" w:space="0" w:color="auto"/>
            </w:tcBorders>
          </w:tcPr>
          <w:p w14:paraId="4650B815" w14:textId="6625E973" w:rsidR="00A30EE7" w:rsidRPr="003E76E7" w:rsidRDefault="00A30EE7" w:rsidP="00C4292D">
            <w:pPr>
              <w:pStyle w:val="TableTextHeadingLeft"/>
              <w:spacing w:before="60" w:after="60"/>
              <w:rPr>
                <w:rFonts w:ascii="Book Antiqua" w:hAnsi="Book Antiqua"/>
                <w:sz w:val="20"/>
                <w:szCs w:val="20"/>
                <w:lang w:val="en-AU"/>
              </w:rPr>
            </w:pPr>
            <w:r w:rsidRPr="003E76E7">
              <w:rPr>
                <w:rFonts w:ascii="Book Antiqua" w:hAnsi="Book Antiqua"/>
                <w:sz w:val="20"/>
                <w:szCs w:val="20"/>
                <w:lang w:val="en-AU"/>
              </w:rPr>
              <w:t>Contribution to Outcome 1 by linked program</w:t>
            </w:r>
          </w:p>
        </w:tc>
      </w:tr>
      <w:tr w:rsidR="00A30EE7" w:rsidRPr="003E76E7" w14:paraId="775EC961" w14:textId="77777777" w:rsidTr="00A30EE7">
        <w:trPr>
          <w:trHeight w:val="113"/>
        </w:trPr>
        <w:tc>
          <w:tcPr>
            <w:tcW w:w="5000" w:type="pct"/>
            <w:tcBorders>
              <w:top w:val="dotted" w:sz="4" w:space="0" w:color="auto"/>
              <w:bottom w:val="single" w:sz="4" w:space="0" w:color="auto"/>
            </w:tcBorders>
          </w:tcPr>
          <w:p w14:paraId="63857956" w14:textId="5779C568" w:rsidR="00A30EE7" w:rsidRPr="003E76E7" w:rsidRDefault="00A30EE7" w:rsidP="00C4292D">
            <w:pPr>
              <w:rPr>
                <w:szCs w:val="20"/>
                <w:lang w:val="en-AU"/>
              </w:rPr>
            </w:pPr>
            <w:bookmarkStart w:id="1078" w:name="OLE_LINK3"/>
            <w:r w:rsidRPr="003E76E7">
              <w:rPr>
                <w:szCs w:val="20"/>
                <w:lang w:val="en-AU"/>
              </w:rPr>
              <w:t>Defence provides support to fulfil Australia’s international responsibilities to manage interference through High Frequency Direction Finding as part of Project Nullarbor improvements to the Defence High Frequency Communications System.</w:t>
            </w:r>
            <w:bookmarkEnd w:id="1078"/>
          </w:p>
        </w:tc>
      </w:tr>
    </w:tbl>
    <w:p w14:paraId="0A608F91" w14:textId="77777777" w:rsidR="00071B66" w:rsidRPr="003E76E7" w:rsidRDefault="00071B66" w:rsidP="00C4292D">
      <w:pPr>
        <w:spacing w:before="0" w:after="0"/>
      </w:pPr>
    </w:p>
    <w:tbl>
      <w:tblPr>
        <w:tblW w:w="5000" w:type="pct"/>
        <w:tblInd w:w="113"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8607"/>
      </w:tblGrid>
      <w:tr w:rsidR="00E866E6" w:rsidRPr="003E76E7" w14:paraId="3642C4B3" w14:textId="77777777" w:rsidTr="00EA137A">
        <w:trPr>
          <w:trHeight w:val="113"/>
          <w:tblHeader/>
        </w:trPr>
        <w:tc>
          <w:tcPr>
            <w:tcW w:w="5000" w:type="pct"/>
          </w:tcPr>
          <w:p w14:paraId="357074EF" w14:textId="77777777" w:rsidR="00E866E6" w:rsidRPr="003E76E7" w:rsidRDefault="00E866E6" w:rsidP="00C4292D">
            <w:pPr>
              <w:pStyle w:val="Heading5"/>
              <w:spacing w:before="60" w:after="60"/>
              <w:rPr>
                <w:rFonts w:ascii="Book Antiqua" w:hAnsi="Book Antiqua"/>
                <w:szCs w:val="20"/>
                <w:lang w:val="en-AU"/>
              </w:rPr>
            </w:pPr>
            <w:r w:rsidRPr="003E76E7">
              <w:rPr>
                <w:rFonts w:ascii="Book Antiqua" w:hAnsi="Book Antiqua"/>
                <w:szCs w:val="20"/>
                <w:lang w:val="en-AU"/>
              </w:rPr>
              <w:t>Department of Home Affairs</w:t>
            </w:r>
          </w:p>
        </w:tc>
      </w:tr>
      <w:tr w:rsidR="00E866E6" w:rsidRPr="003E76E7" w14:paraId="7B1D4EE4" w14:textId="77777777" w:rsidTr="00EA137A">
        <w:trPr>
          <w:trHeight w:val="113"/>
        </w:trPr>
        <w:tc>
          <w:tcPr>
            <w:tcW w:w="5000" w:type="pct"/>
          </w:tcPr>
          <w:p w14:paraId="3A80D2A1" w14:textId="77777777" w:rsidR="00E866E6" w:rsidRPr="003E76E7" w:rsidRDefault="00E866E6" w:rsidP="00C4292D">
            <w:pPr>
              <w:spacing w:before="60" w:after="60"/>
              <w:rPr>
                <w:szCs w:val="20"/>
                <w:lang w:val="en-AU"/>
              </w:rPr>
            </w:pPr>
            <w:r w:rsidRPr="003E76E7">
              <w:rPr>
                <w:szCs w:val="20"/>
                <w:lang w:val="en-AU"/>
              </w:rPr>
              <w:t xml:space="preserve">Program </w:t>
            </w:r>
            <w:r w:rsidR="00BE3A33" w:rsidRPr="003E76E7">
              <w:rPr>
                <w:szCs w:val="20"/>
                <w:lang w:val="en-AU"/>
              </w:rPr>
              <w:t>3.4</w:t>
            </w:r>
            <w:r w:rsidRPr="003E76E7">
              <w:rPr>
                <w:szCs w:val="20"/>
                <w:lang w:val="en-AU"/>
              </w:rPr>
              <w:t xml:space="preserve"> </w:t>
            </w:r>
            <w:r w:rsidR="00341F3F" w:rsidRPr="003E76E7">
              <w:rPr>
                <w:szCs w:val="20"/>
                <w:lang w:val="en-AU"/>
              </w:rPr>
              <w:t xml:space="preserve">- </w:t>
            </w:r>
            <w:r w:rsidRPr="003E76E7">
              <w:rPr>
                <w:szCs w:val="20"/>
                <w:lang w:val="en-AU"/>
              </w:rPr>
              <w:t>Border Enforcement</w:t>
            </w:r>
            <w:r w:rsidR="00E15EDB" w:rsidRPr="003E76E7">
              <w:rPr>
                <w:szCs w:val="20"/>
                <w:lang w:val="en-AU"/>
              </w:rPr>
              <w:t>.</w:t>
            </w:r>
          </w:p>
        </w:tc>
      </w:tr>
      <w:tr w:rsidR="00E866E6" w:rsidRPr="003E76E7" w14:paraId="76B5897B" w14:textId="77777777" w:rsidTr="00EA137A">
        <w:trPr>
          <w:trHeight w:val="113"/>
        </w:trPr>
        <w:tc>
          <w:tcPr>
            <w:tcW w:w="5000" w:type="pct"/>
          </w:tcPr>
          <w:p w14:paraId="2E6869F4" w14:textId="77777777" w:rsidR="00E866E6" w:rsidRPr="003E76E7" w:rsidRDefault="00E866E6" w:rsidP="00C4292D">
            <w:pPr>
              <w:pStyle w:val="TableTextHeadingLeft"/>
              <w:spacing w:before="60" w:after="60"/>
              <w:rPr>
                <w:rFonts w:ascii="Book Antiqua" w:hAnsi="Book Antiqua"/>
                <w:sz w:val="20"/>
                <w:szCs w:val="20"/>
                <w:lang w:val="en-AU"/>
              </w:rPr>
            </w:pPr>
            <w:r w:rsidRPr="003E76E7">
              <w:rPr>
                <w:rFonts w:ascii="Book Antiqua" w:hAnsi="Book Antiqua"/>
                <w:sz w:val="20"/>
                <w:szCs w:val="20"/>
                <w:lang w:val="en-AU"/>
              </w:rPr>
              <w:t>Contribution</w:t>
            </w:r>
            <w:r w:rsidR="0065100F" w:rsidRPr="003E76E7">
              <w:rPr>
                <w:rFonts w:ascii="Book Antiqua" w:hAnsi="Book Antiqua"/>
                <w:sz w:val="20"/>
                <w:szCs w:val="20"/>
                <w:lang w:val="en-AU"/>
              </w:rPr>
              <w:t xml:space="preserve"> to Outcome 1 by linked program</w:t>
            </w:r>
          </w:p>
        </w:tc>
      </w:tr>
      <w:tr w:rsidR="00E866E6" w:rsidRPr="003E76E7" w14:paraId="1313EC59" w14:textId="77777777" w:rsidTr="00EA137A">
        <w:trPr>
          <w:trHeight w:val="113"/>
        </w:trPr>
        <w:tc>
          <w:tcPr>
            <w:tcW w:w="5000" w:type="pct"/>
          </w:tcPr>
          <w:p w14:paraId="2D683DB4" w14:textId="2725CDA4" w:rsidR="00E866E6" w:rsidRPr="003E76E7" w:rsidRDefault="00D308BF" w:rsidP="00C4292D">
            <w:pPr>
              <w:rPr>
                <w:szCs w:val="20"/>
                <w:lang w:val="en-AU"/>
              </w:rPr>
            </w:pPr>
            <w:bookmarkStart w:id="1079" w:name="OLE_LINK4"/>
            <w:r w:rsidRPr="003E76E7">
              <w:t xml:space="preserve">Defence supports </w:t>
            </w:r>
            <w:r w:rsidR="004516EC" w:rsidRPr="003E76E7">
              <w:t xml:space="preserve">the Department of </w:t>
            </w:r>
            <w:r w:rsidRPr="003E76E7">
              <w:t xml:space="preserve">Home Affairs </w:t>
            </w:r>
            <w:r w:rsidR="00964D54" w:rsidRPr="003E76E7">
              <w:t xml:space="preserve">(Home Affairs) </w:t>
            </w:r>
            <w:r w:rsidRPr="003E76E7">
              <w:t>through tasks that include planning and conduct of operations to provide security of Australia’s maritime borders from unauthorised maritime arrivals, illegal exploitation of natural resources, and other maritime threats to Australian sovereignty, including counter-terrorism responses</w:t>
            </w:r>
            <w:r w:rsidR="00AE6110" w:rsidRPr="003E76E7">
              <w:t xml:space="preserve">. </w:t>
            </w:r>
            <w:r w:rsidRPr="003E76E7">
              <w:t>Defence contributes to Maritime Border Command tasking through Operation R</w:t>
            </w:r>
            <w:r w:rsidR="003F63E2" w:rsidRPr="003E76E7">
              <w:t>ESOLUTE</w:t>
            </w:r>
            <w:r w:rsidRPr="003E76E7">
              <w:t xml:space="preserve">, providing maritime surveillance and response assets that are tasked routinely in accordance with the Government’s priorities. </w:t>
            </w:r>
            <w:r w:rsidR="00DC281D" w:rsidRPr="003E76E7">
              <w:t xml:space="preserve">Defence is providing maintenance for some current Australian Border Force Cape Class Vessels and </w:t>
            </w:r>
            <w:r w:rsidR="008A607F" w:rsidRPr="003E76E7">
              <w:t xml:space="preserve">is also </w:t>
            </w:r>
            <w:r w:rsidR="0030332C" w:rsidRPr="003E76E7">
              <w:t xml:space="preserve">supporting the acquisition and sustainment </w:t>
            </w:r>
            <w:r w:rsidR="00F048A0" w:rsidRPr="003E76E7">
              <w:t xml:space="preserve">of additional </w:t>
            </w:r>
            <w:r w:rsidR="008A607F" w:rsidRPr="003E76E7">
              <w:t>Cape Class Vessels by the</w:t>
            </w:r>
            <w:r w:rsidR="00F048A0" w:rsidRPr="003E76E7">
              <w:t xml:space="preserve"> Department of Home Affairs to be operated by the Australian</w:t>
            </w:r>
            <w:r w:rsidR="00B37130" w:rsidRPr="003E76E7">
              <w:t xml:space="preserve"> Border Force.</w:t>
            </w:r>
            <w:r w:rsidR="008A607F" w:rsidRPr="003E76E7">
              <w:t xml:space="preserve"> </w:t>
            </w:r>
            <w:r w:rsidRPr="003E76E7">
              <w:t xml:space="preserve">Defence also supports Commonwealth and </w:t>
            </w:r>
            <w:r w:rsidR="0087065C" w:rsidRPr="003E76E7">
              <w:t>s</w:t>
            </w:r>
            <w:r w:rsidRPr="003E76E7">
              <w:t>tate/</w:t>
            </w:r>
            <w:r w:rsidR="0087065C" w:rsidRPr="003E76E7">
              <w:t>t</w:t>
            </w:r>
            <w:r w:rsidRPr="003E76E7">
              <w:t xml:space="preserve">erritory </w:t>
            </w:r>
            <w:r w:rsidR="0087065C" w:rsidRPr="003E76E7">
              <w:t>g</w:t>
            </w:r>
            <w:r w:rsidRPr="003E76E7">
              <w:t>ov</w:t>
            </w:r>
            <w:r w:rsidR="00964D54" w:rsidRPr="003E76E7">
              <w:t>ernments with emergency and non</w:t>
            </w:r>
            <w:r w:rsidR="00964D54" w:rsidRPr="003E76E7">
              <w:noBreakHyphen/>
            </w:r>
            <w:r w:rsidRPr="003E76E7">
              <w:t>emergency tasks through the provision of capabilities and/or expertise.</w:t>
            </w:r>
            <w:r w:rsidR="00163121" w:rsidRPr="003E76E7">
              <w:rPr>
                <w:color w:val="FF0000"/>
              </w:rPr>
              <w:t xml:space="preserve"> </w:t>
            </w:r>
            <w:r w:rsidR="00163121" w:rsidRPr="003E76E7">
              <w:t>Defence further provides support to Home Affairs by regulating the export and supply of military and dual-use goods and technology.</w:t>
            </w:r>
            <w:r w:rsidR="00A954EF" w:rsidRPr="003E76E7">
              <w:t xml:space="preserve"> Home Affairs enforces regulations at the border. </w:t>
            </w:r>
            <w:r w:rsidR="00163121" w:rsidRPr="003E76E7">
              <w:t>This includes export controls assessment of goods stopped at the border and engagement o</w:t>
            </w:r>
            <w:r w:rsidR="00271ADD" w:rsidRPr="003E76E7">
              <w:t>n export compliance activities.</w:t>
            </w:r>
            <w:bookmarkEnd w:id="1079"/>
          </w:p>
        </w:tc>
      </w:tr>
    </w:tbl>
    <w:p w14:paraId="7E5ED085" w14:textId="77777777" w:rsidR="0071273C" w:rsidRPr="003E76E7" w:rsidRDefault="0071273C" w:rsidP="00C4292D">
      <w:pPr>
        <w:pStyle w:val="Heading4level5"/>
        <w:spacing w:before="0" w:after="200"/>
        <w:ind w:firstLine="1"/>
      </w:pPr>
      <w:r w:rsidRPr="003E76E7">
        <w:rPr>
          <w:lang w:val="en-AU"/>
        </w:rPr>
        <w:br w:type="page"/>
      </w:r>
      <w:bookmarkStart w:id="1080" w:name="tbl_DOD_TBRA_1_a"/>
      <w:r w:rsidR="00E87E2E" w:rsidRPr="003E76E7">
        <w:lastRenderedPageBreak/>
        <w:t>Outcome 1 Resources</w:t>
      </w:r>
    </w:p>
    <w:p w14:paraId="16727561" w14:textId="77777777" w:rsidR="0071273C" w:rsidRPr="003E76E7" w:rsidRDefault="0071273C" w:rsidP="00C4292D">
      <w:pPr>
        <w:pStyle w:val="TableHeading"/>
        <w:numPr>
          <w:ilvl w:val="0"/>
          <w:numId w:val="61"/>
        </w:numPr>
        <w:spacing w:before="100"/>
        <w:ind w:left="0" w:firstLine="0"/>
        <w:outlineLvl w:val="4"/>
        <w:rPr>
          <w:lang w:val="en-AU"/>
        </w:rPr>
      </w:pPr>
      <w:r w:rsidRPr="003E76E7">
        <w:rPr>
          <w:lang w:val="en-AU"/>
        </w:rPr>
        <w:t>Total Budgeted Resources Available for Outcome 1</w:t>
      </w:r>
    </w:p>
    <w:bookmarkEnd w:id="1080"/>
    <w:p w14:paraId="400DD5D7" w14:textId="38E66BEA" w:rsidR="00312F38" w:rsidRPr="003E76E7" w:rsidRDefault="00D2256E" w:rsidP="00C4292D">
      <w:pPr>
        <w:rPr>
          <w:rFonts w:ascii="Arial" w:hAnsi="Arial"/>
          <w:b/>
          <w:lang w:val="en-AU"/>
        </w:rPr>
      </w:pPr>
      <w:r w:rsidRPr="003E76E7">
        <w:rPr>
          <w:noProof/>
          <w:lang w:val="en-AU"/>
        </w:rPr>
        <w:drawing>
          <wp:inline distT="0" distB="0" distL="0" distR="0" wp14:anchorId="742AB936" wp14:editId="6CAB0A2E">
            <wp:extent cx="5471795" cy="3407267"/>
            <wp:effectExtent l="0" t="0" r="0"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71795" cy="3407267"/>
                    </a:xfrm>
                    <a:prstGeom prst="rect">
                      <a:avLst/>
                    </a:prstGeom>
                    <a:noFill/>
                    <a:ln>
                      <a:noFill/>
                    </a:ln>
                  </pic:spPr>
                </pic:pic>
              </a:graphicData>
            </a:graphic>
          </wp:inline>
        </w:drawing>
      </w:r>
    </w:p>
    <w:p w14:paraId="6DD17D82" w14:textId="77777777" w:rsidR="0071273C" w:rsidRPr="003E76E7" w:rsidRDefault="0071273C" w:rsidP="00C4292D">
      <w:pPr>
        <w:pStyle w:val="Heading4level5"/>
        <w:spacing w:before="0" w:after="200"/>
      </w:pPr>
      <w:r w:rsidRPr="003E76E7">
        <w:rPr>
          <w:lang w:val="en-AU"/>
        </w:rPr>
        <w:br w:type="page"/>
      </w:r>
      <w:r w:rsidRPr="003E76E7">
        <w:lastRenderedPageBreak/>
        <w:t>Contributions to Outcome 1</w:t>
      </w:r>
    </w:p>
    <w:p w14:paraId="18C8CD5B" w14:textId="77777777" w:rsidR="00777CE3" w:rsidRPr="003E76E7" w:rsidRDefault="00777CE3" w:rsidP="00C4292D">
      <w:pPr>
        <w:spacing w:before="0" w:after="0" w:line="20" w:lineRule="atLeast"/>
        <w:outlineLvl w:val="5"/>
        <w:rPr>
          <w:color w:val="FFFFFF"/>
          <w:sz w:val="2"/>
          <w:szCs w:val="2"/>
        </w:rPr>
      </w:pPr>
      <w:r w:rsidRPr="003E76E7">
        <w:rPr>
          <w:color w:val="FFFFFF"/>
          <w:sz w:val="2"/>
          <w:szCs w:val="2"/>
        </w:rPr>
        <w:t>Program 1.1: Operations Contributing to the Safety of the Immediate Neighbourhood</w:t>
      </w:r>
    </w:p>
    <w:tbl>
      <w:tblPr>
        <w:tblW w:w="492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2003"/>
        <w:gridCol w:w="3292"/>
        <w:gridCol w:w="3174"/>
      </w:tblGrid>
      <w:tr w:rsidR="009958F9" w:rsidRPr="003E76E7" w14:paraId="039296CB" w14:textId="77777777" w:rsidTr="00A211F5">
        <w:trPr>
          <w:trHeight w:val="228"/>
        </w:trPr>
        <w:tc>
          <w:tcPr>
            <w:tcW w:w="8470" w:type="dxa"/>
            <w:gridSpan w:val="3"/>
            <w:tcBorders>
              <w:bottom w:val="single" w:sz="4" w:space="0" w:color="auto"/>
            </w:tcBorders>
            <w:shd w:val="clear" w:color="auto" w:fill="CCCCCC"/>
          </w:tcPr>
          <w:p w14:paraId="6A7AC98A" w14:textId="77777777" w:rsidR="009958F9" w:rsidRPr="003E76E7" w:rsidRDefault="009958F9" w:rsidP="00C4292D">
            <w:pPr>
              <w:pStyle w:val="Heading5"/>
              <w:spacing w:before="60" w:after="60"/>
              <w:ind w:left="-108" w:right="-108" w:firstLine="108"/>
            </w:pPr>
            <w:r w:rsidRPr="003E76E7">
              <w:t>Program 1.1: Operations Contributing to the Safety of the Immediate Neighbourhood</w:t>
            </w:r>
          </w:p>
        </w:tc>
      </w:tr>
      <w:tr w:rsidR="00433482" w:rsidRPr="003E76E7" w14:paraId="4EC8410E" w14:textId="77777777" w:rsidTr="00A211F5">
        <w:trPr>
          <w:trHeight w:val="170"/>
        </w:trPr>
        <w:tc>
          <w:tcPr>
            <w:tcW w:w="8470" w:type="dxa"/>
            <w:gridSpan w:val="3"/>
            <w:tcBorders>
              <w:left w:val="nil"/>
              <w:bottom w:val="single" w:sz="4" w:space="0" w:color="auto"/>
              <w:right w:val="nil"/>
            </w:tcBorders>
            <w:shd w:val="clear" w:color="auto" w:fill="auto"/>
          </w:tcPr>
          <w:p w14:paraId="29AF8D30" w14:textId="77777777" w:rsidR="00433482" w:rsidRPr="003E76E7" w:rsidRDefault="00433482" w:rsidP="00C4292D">
            <w:pPr>
              <w:pStyle w:val="Heading5"/>
              <w:spacing w:before="0" w:after="0"/>
              <w:ind w:left="-108" w:right="-108" w:firstLine="108"/>
              <w:rPr>
                <w:b w:val="0"/>
                <w:sz w:val="16"/>
                <w:szCs w:val="16"/>
              </w:rPr>
            </w:pPr>
          </w:p>
        </w:tc>
      </w:tr>
      <w:tr w:rsidR="009958F9" w:rsidRPr="003E76E7" w14:paraId="3CAE308A" w14:textId="77777777" w:rsidTr="00A211F5">
        <w:tblPrEx>
          <w:shd w:val="clear" w:color="auto" w:fill="auto"/>
          <w:tblLook w:val="04A0" w:firstRow="1" w:lastRow="0" w:firstColumn="1" w:lastColumn="0" w:noHBand="0" w:noVBand="1"/>
        </w:tblPrEx>
        <w:trPr>
          <w:tblHeader/>
        </w:trPr>
        <w:tc>
          <w:tcPr>
            <w:tcW w:w="8470" w:type="dxa"/>
            <w:gridSpan w:val="3"/>
            <w:shd w:val="clear" w:color="auto" w:fill="E6E6E6"/>
          </w:tcPr>
          <w:p w14:paraId="73748F06" w14:textId="77777777" w:rsidR="009958F9" w:rsidRPr="003E76E7" w:rsidRDefault="009958F9" w:rsidP="00C4292D">
            <w:pPr>
              <w:tabs>
                <w:tab w:val="left" w:pos="709"/>
              </w:tabs>
              <w:spacing w:before="60" w:after="60"/>
              <w:rPr>
                <w:rFonts w:ascii="Arial" w:hAnsi="Arial"/>
                <w:sz w:val="16"/>
                <w:szCs w:val="16"/>
              </w:rPr>
            </w:pPr>
            <w:r w:rsidRPr="003E76E7">
              <w:rPr>
                <w:rFonts w:ascii="Arial" w:hAnsi="Arial"/>
                <w:b/>
                <w:sz w:val="16"/>
                <w:szCs w:val="16"/>
              </w:rPr>
              <w:t>Program 1.1</w:t>
            </w:r>
            <w:r w:rsidRPr="003E76E7">
              <w:rPr>
                <w:rFonts w:ascii="Arial" w:hAnsi="Arial"/>
                <w:sz w:val="16"/>
                <w:szCs w:val="16"/>
              </w:rPr>
              <w:t xml:space="preserve"> </w:t>
            </w:r>
            <w:r w:rsidRPr="003E76E7">
              <w:rPr>
                <w:rFonts w:ascii="Arial" w:hAnsi="Arial"/>
                <w:b/>
                <w:sz w:val="16"/>
                <w:szCs w:val="16"/>
              </w:rPr>
              <w:t>Objective</w:t>
            </w:r>
          </w:p>
          <w:p w14:paraId="599FCA52" w14:textId="77777777" w:rsidR="00B84C90" w:rsidRPr="003E76E7" w:rsidRDefault="00B84C90" w:rsidP="00C4292D">
            <w:pPr>
              <w:spacing w:before="60" w:after="60"/>
              <w:rPr>
                <w:rFonts w:ascii="Arial" w:hAnsi="Arial"/>
                <w:sz w:val="16"/>
                <w:szCs w:val="16"/>
                <w:lang w:val="en-AU"/>
              </w:rPr>
            </w:pPr>
            <w:r w:rsidRPr="003E76E7">
              <w:rPr>
                <w:rFonts w:ascii="Arial" w:hAnsi="Arial"/>
                <w:sz w:val="16"/>
                <w:szCs w:val="16"/>
                <w:lang w:val="en-AU"/>
              </w:rPr>
              <w:t xml:space="preserve">To ensure that the Government, through the </w:t>
            </w:r>
            <w:r w:rsidR="00E15EDB" w:rsidRPr="003E76E7">
              <w:rPr>
                <w:rFonts w:ascii="Arial" w:hAnsi="Arial"/>
                <w:sz w:val="16"/>
                <w:szCs w:val="16"/>
                <w:lang w:val="en-AU"/>
              </w:rPr>
              <w:t>Australian Defence Force</w:t>
            </w:r>
            <w:r w:rsidRPr="003E76E7">
              <w:rPr>
                <w:rFonts w:ascii="Arial" w:hAnsi="Arial"/>
                <w:sz w:val="16"/>
                <w:szCs w:val="16"/>
                <w:lang w:val="en-AU"/>
              </w:rPr>
              <w:t>, has an active and effective role in promoting stability, integrity and cohesion in our immediate neighbourhood.</w:t>
            </w:r>
          </w:p>
          <w:p w14:paraId="6221906A" w14:textId="77777777" w:rsidR="009958F9" w:rsidRPr="003E76E7" w:rsidRDefault="00B84C90" w:rsidP="00C4292D">
            <w:pPr>
              <w:tabs>
                <w:tab w:val="left" w:pos="709"/>
              </w:tabs>
              <w:spacing w:before="60" w:after="60"/>
              <w:rPr>
                <w:rFonts w:ascii="Arial" w:hAnsi="Arial"/>
                <w:sz w:val="16"/>
                <w:szCs w:val="16"/>
              </w:rPr>
            </w:pPr>
            <w:r w:rsidRPr="003E76E7">
              <w:rPr>
                <w:rFonts w:ascii="Arial" w:hAnsi="Arial"/>
                <w:sz w:val="16"/>
                <w:szCs w:val="16"/>
                <w:lang w:val="en-AU"/>
              </w:rPr>
              <w:t>Australia shares the immediate neighbourhood with Indonesia, New Zealand, Papua New Guinea, Timor-Leste, South</w:t>
            </w:r>
            <w:r w:rsidR="00E9298B" w:rsidRPr="003E76E7">
              <w:rPr>
                <w:rFonts w:ascii="Arial" w:hAnsi="Arial"/>
                <w:sz w:val="16"/>
                <w:szCs w:val="16"/>
                <w:lang w:val="en-AU"/>
              </w:rPr>
              <w:t>e</w:t>
            </w:r>
            <w:r w:rsidRPr="003E76E7">
              <w:rPr>
                <w:rFonts w:ascii="Arial" w:hAnsi="Arial"/>
                <w:sz w:val="16"/>
                <w:szCs w:val="16"/>
                <w:lang w:val="en-AU"/>
              </w:rPr>
              <w:t>ast Asian countries and the island countries of the Pacific.</w:t>
            </w:r>
          </w:p>
        </w:tc>
      </w:tr>
      <w:tr w:rsidR="009958F9" w:rsidRPr="003E76E7" w14:paraId="73BA8729" w14:textId="77777777" w:rsidTr="00A211F5">
        <w:tblPrEx>
          <w:shd w:val="clear" w:color="auto" w:fill="auto"/>
          <w:tblLook w:val="04A0" w:firstRow="1" w:lastRow="0" w:firstColumn="1" w:lastColumn="0" w:noHBand="0" w:noVBand="1"/>
        </w:tblPrEx>
        <w:trPr>
          <w:trHeight w:val="312"/>
        </w:trPr>
        <w:tc>
          <w:tcPr>
            <w:tcW w:w="2004" w:type="dxa"/>
            <w:tcBorders>
              <w:bottom w:val="single" w:sz="4" w:space="0" w:color="auto"/>
            </w:tcBorders>
          </w:tcPr>
          <w:p w14:paraId="0188E58B" w14:textId="6D196922" w:rsidR="009958F9" w:rsidRPr="003E76E7" w:rsidRDefault="00495811" w:rsidP="00C4292D">
            <w:pPr>
              <w:tabs>
                <w:tab w:val="left" w:pos="709"/>
              </w:tabs>
              <w:spacing w:before="60" w:after="60"/>
              <w:rPr>
                <w:rFonts w:ascii="Arial" w:hAnsi="Arial"/>
                <w:b/>
                <w:color w:val="000000"/>
                <w:sz w:val="16"/>
                <w:szCs w:val="16"/>
              </w:rPr>
            </w:pPr>
            <w:r w:rsidRPr="003E76E7">
              <w:rPr>
                <w:rFonts w:ascii="Arial" w:hAnsi="Arial"/>
                <w:b/>
                <w:color w:val="000000"/>
                <w:sz w:val="16"/>
                <w:szCs w:val="16"/>
              </w:rPr>
              <w:t>Key Activity</w:t>
            </w:r>
            <w:r w:rsidR="009958F9" w:rsidRPr="003E76E7">
              <w:rPr>
                <w:rFonts w:ascii="Arial" w:hAnsi="Arial"/>
                <w:b/>
                <w:color w:val="000000"/>
                <w:sz w:val="16"/>
                <w:szCs w:val="16"/>
              </w:rPr>
              <w:t xml:space="preserve"> </w:t>
            </w:r>
            <w:r w:rsidR="00987771" w:rsidRPr="003E76E7">
              <w:rPr>
                <w:rFonts w:ascii="Arial" w:hAnsi="Arial"/>
                <w:b/>
                <w:color w:val="000000"/>
                <w:sz w:val="16"/>
                <w:szCs w:val="16"/>
                <w:vertAlign w:val="superscript"/>
              </w:rPr>
              <w:t>[a]</w:t>
            </w:r>
          </w:p>
        </w:tc>
        <w:tc>
          <w:tcPr>
            <w:tcW w:w="6466" w:type="dxa"/>
            <w:gridSpan w:val="2"/>
            <w:tcBorders>
              <w:bottom w:val="single" w:sz="4" w:space="0" w:color="auto"/>
            </w:tcBorders>
          </w:tcPr>
          <w:p w14:paraId="214C6158" w14:textId="77777777" w:rsidR="00D57AF5" w:rsidRPr="003E76E7" w:rsidRDefault="00D57AF5" w:rsidP="00C4292D">
            <w:pPr>
              <w:tabs>
                <w:tab w:val="left" w:pos="343"/>
              </w:tabs>
              <w:spacing w:before="60" w:after="60"/>
              <w:rPr>
                <w:rFonts w:ascii="Arial" w:hAnsi="Arial"/>
                <w:bCs/>
                <w:color w:val="000000"/>
                <w:sz w:val="16"/>
                <w:szCs w:val="16"/>
              </w:rPr>
            </w:pPr>
            <w:r w:rsidRPr="003E76E7">
              <w:rPr>
                <w:rFonts w:ascii="Arial" w:hAnsi="Arial"/>
                <w:bCs/>
                <w:color w:val="000000"/>
                <w:sz w:val="16"/>
                <w:szCs w:val="16"/>
              </w:rPr>
              <w:t>This program will be achieved through the following activity:</w:t>
            </w:r>
          </w:p>
          <w:p w14:paraId="427A9532" w14:textId="71FA41ED" w:rsidR="009958F9" w:rsidRPr="003E76E7" w:rsidRDefault="00D57AF5" w:rsidP="00C4292D">
            <w:pPr>
              <w:tabs>
                <w:tab w:val="left" w:pos="343"/>
              </w:tabs>
              <w:spacing w:before="60" w:after="60"/>
              <w:rPr>
                <w:rFonts w:ascii="Arial" w:hAnsi="Arial"/>
                <w:color w:val="000000"/>
                <w:sz w:val="16"/>
                <w:szCs w:val="16"/>
              </w:rPr>
            </w:pPr>
            <w:r w:rsidRPr="003E76E7">
              <w:rPr>
                <w:rFonts w:ascii="Arial" w:hAnsi="Arial"/>
                <w:b/>
                <w:sz w:val="16"/>
                <w:szCs w:val="16"/>
                <w:lang w:val="en-AU"/>
              </w:rPr>
              <w:t>1. Conduct domestic and international operations and exercises to defend Australia and its national interests</w:t>
            </w:r>
            <w:r w:rsidR="00FE5A03">
              <w:rPr>
                <w:rFonts w:ascii="Arial" w:hAnsi="Arial"/>
                <w:b/>
                <w:sz w:val="16"/>
                <w:szCs w:val="16"/>
                <w:lang w:val="en-AU"/>
              </w:rPr>
              <w:t>.</w:t>
            </w:r>
          </w:p>
        </w:tc>
      </w:tr>
      <w:tr w:rsidR="009958F9" w:rsidRPr="003E76E7" w14:paraId="2DE5EA26" w14:textId="77777777" w:rsidTr="00A211F5">
        <w:tblPrEx>
          <w:shd w:val="clear" w:color="auto" w:fill="auto"/>
          <w:tblLook w:val="04A0" w:firstRow="1" w:lastRow="0" w:firstColumn="1" w:lastColumn="0" w:noHBand="0" w:noVBand="1"/>
        </w:tblPrEx>
        <w:trPr>
          <w:trHeight w:val="258"/>
        </w:trPr>
        <w:tc>
          <w:tcPr>
            <w:tcW w:w="2004" w:type="dxa"/>
            <w:tcBorders>
              <w:top w:val="single" w:sz="4" w:space="0" w:color="auto"/>
              <w:bottom w:val="single" w:sz="4" w:space="0" w:color="auto"/>
              <w:right w:val="single" w:sz="4" w:space="0" w:color="auto"/>
            </w:tcBorders>
          </w:tcPr>
          <w:p w14:paraId="55E03497" w14:textId="77777777" w:rsidR="009958F9" w:rsidRPr="003E76E7" w:rsidRDefault="009958F9" w:rsidP="00C4292D">
            <w:pPr>
              <w:tabs>
                <w:tab w:val="left" w:pos="709"/>
              </w:tabs>
              <w:spacing w:before="60" w:after="60"/>
              <w:rPr>
                <w:rFonts w:ascii="Arial" w:hAnsi="Arial"/>
                <w:b/>
                <w:color w:val="000000"/>
                <w:sz w:val="16"/>
                <w:szCs w:val="16"/>
              </w:rPr>
            </w:pPr>
            <w:r w:rsidRPr="003E76E7">
              <w:rPr>
                <w:rFonts w:ascii="Arial" w:hAnsi="Arial"/>
                <w:b/>
                <w:color w:val="000000"/>
                <w:sz w:val="16"/>
                <w:szCs w:val="16"/>
              </w:rPr>
              <w:t>Year</w:t>
            </w:r>
          </w:p>
        </w:tc>
        <w:tc>
          <w:tcPr>
            <w:tcW w:w="3292" w:type="dxa"/>
            <w:tcBorders>
              <w:top w:val="single" w:sz="4" w:space="0" w:color="auto"/>
              <w:left w:val="single" w:sz="4" w:space="0" w:color="auto"/>
              <w:bottom w:val="single" w:sz="4" w:space="0" w:color="auto"/>
              <w:right w:val="single" w:sz="4" w:space="0" w:color="auto"/>
            </w:tcBorders>
          </w:tcPr>
          <w:p w14:paraId="154E7912" w14:textId="7899C893" w:rsidR="009958F9" w:rsidRPr="003E76E7" w:rsidRDefault="00AD14EC" w:rsidP="00C4292D">
            <w:pPr>
              <w:tabs>
                <w:tab w:val="left" w:pos="709"/>
                <w:tab w:val="center" w:pos="1818"/>
              </w:tabs>
              <w:spacing w:before="60" w:after="60"/>
              <w:rPr>
                <w:rFonts w:ascii="Arial" w:hAnsi="Arial"/>
                <w:b/>
                <w:color w:val="000000"/>
                <w:sz w:val="16"/>
                <w:szCs w:val="16"/>
              </w:rPr>
            </w:pPr>
            <w:r w:rsidRPr="003E76E7">
              <w:rPr>
                <w:rFonts w:ascii="Arial" w:hAnsi="Arial"/>
                <w:b/>
                <w:color w:val="000000"/>
                <w:sz w:val="16"/>
                <w:szCs w:val="16"/>
              </w:rPr>
              <w:t>Performance Measures</w:t>
            </w:r>
          </w:p>
        </w:tc>
        <w:tc>
          <w:tcPr>
            <w:tcW w:w="3174" w:type="dxa"/>
            <w:tcBorders>
              <w:top w:val="single" w:sz="4" w:space="0" w:color="auto"/>
              <w:left w:val="single" w:sz="4" w:space="0" w:color="auto"/>
              <w:bottom w:val="single" w:sz="4" w:space="0" w:color="auto"/>
            </w:tcBorders>
          </w:tcPr>
          <w:p w14:paraId="7E8776CF" w14:textId="77777777" w:rsidR="009958F9" w:rsidRPr="003E76E7" w:rsidRDefault="009958F9" w:rsidP="00C4292D">
            <w:pPr>
              <w:tabs>
                <w:tab w:val="left" w:pos="709"/>
              </w:tabs>
              <w:spacing w:before="60" w:after="60"/>
              <w:rPr>
                <w:rFonts w:ascii="Arial" w:hAnsi="Arial"/>
                <w:b/>
                <w:color w:val="000000"/>
                <w:sz w:val="16"/>
                <w:szCs w:val="16"/>
              </w:rPr>
            </w:pPr>
            <w:r w:rsidRPr="003E76E7">
              <w:rPr>
                <w:rFonts w:ascii="Arial" w:hAnsi="Arial"/>
                <w:b/>
                <w:color w:val="000000"/>
                <w:sz w:val="16"/>
                <w:szCs w:val="16"/>
              </w:rPr>
              <w:t>Expected Performance Results</w:t>
            </w:r>
          </w:p>
        </w:tc>
      </w:tr>
      <w:tr w:rsidR="00D57AF5" w:rsidRPr="003E76E7" w14:paraId="363EBE1D" w14:textId="77777777" w:rsidTr="00A211F5">
        <w:trPr>
          <w:trHeight w:val="642"/>
        </w:trPr>
        <w:tc>
          <w:tcPr>
            <w:tcW w:w="2004" w:type="dxa"/>
            <w:vMerge w:val="restart"/>
            <w:tcBorders>
              <w:top w:val="single" w:sz="4" w:space="0" w:color="auto"/>
              <w:right w:val="single" w:sz="4" w:space="0" w:color="auto"/>
            </w:tcBorders>
          </w:tcPr>
          <w:p w14:paraId="68546C86" w14:textId="77777777" w:rsidR="00D57AF5" w:rsidRPr="003E76E7" w:rsidRDefault="00D57AF5" w:rsidP="00C4292D">
            <w:pPr>
              <w:tabs>
                <w:tab w:val="left" w:pos="709"/>
              </w:tabs>
              <w:spacing w:before="0" w:after="0"/>
              <w:rPr>
                <w:rFonts w:ascii="Arial" w:hAnsi="Arial"/>
                <w:color w:val="000000"/>
                <w:sz w:val="16"/>
                <w:szCs w:val="16"/>
              </w:rPr>
            </w:pPr>
            <w:r w:rsidRPr="003E76E7">
              <w:rPr>
                <w:rFonts w:ascii="Arial" w:hAnsi="Arial"/>
                <w:color w:val="000000"/>
                <w:sz w:val="16"/>
                <w:szCs w:val="16"/>
              </w:rPr>
              <w:t>Current Year</w:t>
            </w:r>
          </w:p>
          <w:p w14:paraId="09D43DC7" w14:textId="3EB0ABDC" w:rsidR="00D57AF5" w:rsidRPr="003E76E7" w:rsidRDefault="00D57AF5" w:rsidP="00C4292D">
            <w:pPr>
              <w:tabs>
                <w:tab w:val="left" w:pos="709"/>
              </w:tabs>
              <w:spacing w:before="0" w:after="0"/>
              <w:rPr>
                <w:rFonts w:ascii="Arial" w:hAnsi="Arial"/>
                <w:color w:val="000000"/>
                <w:sz w:val="16"/>
                <w:szCs w:val="16"/>
              </w:rPr>
            </w:pPr>
            <w:r w:rsidRPr="003E76E7">
              <w:rPr>
                <w:rFonts w:ascii="Arial" w:hAnsi="Arial"/>
                <w:color w:val="000000"/>
                <w:sz w:val="16"/>
                <w:szCs w:val="16"/>
              </w:rPr>
              <w:t xml:space="preserve">2025-26 </w:t>
            </w:r>
            <w:r w:rsidR="00987771" w:rsidRPr="003E76E7">
              <w:rPr>
                <w:rFonts w:ascii="Arial" w:hAnsi="Arial"/>
                <w:color w:val="000000"/>
                <w:sz w:val="16"/>
                <w:szCs w:val="16"/>
                <w:vertAlign w:val="superscript"/>
              </w:rPr>
              <w:t>[b]</w:t>
            </w:r>
          </w:p>
        </w:tc>
        <w:tc>
          <w:tcPr>
            <w:tcW w:w="3292" w:type="dxa"/>
            <w:tcBorders>
              <w:top w:val="single" w:sz="4" w:space="0" w:color="auto"/>
              <w:left w:val="single" w:sz="4" w:space="0" w:color="auto"/>
              <w:bottom w:val="single" w:sz="4" w:space="0" w:color="auto"/>
              <w:right w:val="single" w:sz="4" w:space="0" w:color="auto"/>
            </w:tcBorders>
          </w:tcPr>
          <w:p w14:paraId="2E52C0C1" w14:textId="13DC4643" w:rsidR="00D57AF5" w:rsidRPr="003E76E7" w:rsidRDefault="00D57AF5" w:rsidP="00C4292D">
            <w:pPr>
              <w:tabs>
                <w:tab w:val="left" w:pos="709"/>
              </w:tabs>
              <w:spacing w:before="60" w:after="60"/>
              <w:rPr>
                <w:rFonts w:ascii="Arial" w:hAnsi="Arial"/>
                <w:sz w:val="16"/>
                <w:szCs w:val="16"/>
              </w:rPr>
            </w:pPr>
            <w:r w:rsidRPr="003E76E7">
              <w:rPr>
                <w:rFonts w:ascii="Arial" w:hAnsi="Arial"/>
                <w:sz w:val="16"/>
                <w:szCs w:val="16"/>
                <w:lang w:val="en-AU"/>
              </w:rPr>
              <w:t>1.1: Defence conducts operations as directed by Government to achieve Defence’s mission.</w:t>
            </w:r>
          </w:p>
        </w:tc>
        <w:tc>
          <w:tcPr>
            <w:tcW w:w="3174" w:type="dxa"/>
            <w:tcBorders>
              <w:top w:val="single" w:sz="4" w:space="0" w:color="auto"/>
              <w:left w:val="single" w:sz="4" w:space="0" w:color="auto"/>
              <w:bottom w:val="single" w:sz="4" w:space="0" w:color="auto"/>
            </w:tcBorders>
          </w:tcPr>
          <w:p w14:paraId="13B9D3F2" w14:textId="77777777" w:rsidR="00D57AF5" w:rsidRPr="003E76E7" w:rsidRDefault="00D57AF5" w:rsidP="00C4292D">
            <w:pPr>
              <w:tabs>
                <w:tab w:val="left" w:pos="709"/>
              </w:tabs>
              <w:spacing w:before="0" w:after="0"/>
              <w:rPr>
                <w:rFonts w:ascii="Arial" w:hAnsi="Arial"/>
                <w:sz w:val="16"/>
                <w:szCs w:val="16"/>
                <w:lang w:val="en-AU"/>
              </w:rPr>
            </w:pPr>
            <w:r w:rsidRPr="003E76E7">
              <w:rPr>
                <w:rFonts w:ascii="Arial" w:hAnsi="Arial"/>
                <w:sz w:val="16"/>
                <w:szCs w:val="16"/>
                <w:lang w:val="en-AU"/>
              </w:rPr>
              <w:t>100 per cent of operations conducted or being conducted as directed by Government.</w:t>
            </w:r>
          </w:p>
          <w:p w14:paraId="5FC57C4F" w14:textId="719A6AD2" w:rsidR="00D57AF5" w:rsidRPr="003E76E7" w:rsidRDefault="00D021AE" w:rsidP="00C4292D">
            <w:pPr>
              <w:tabs>
                <w:tab w:val="left" w:pos="709"/>
              </w:tabs>
              <w:spacing w:before="60" w:after="60"/>
              <w:jc w:val="right"/>
              <w:rPr>
                <w:rFonts w:ascii="Arial" w:hAnsi="Arial"/>
                <w:sz w:val="16"/>
                <w:szCs w:val="16"/>
              </w:rPr>
            </w:pPr>
            <w:r w:rsidRPr="003E76E7">
              <w:rPr>
                <w:rFonts w:ascii="Arial" w:hAnsi="Arial"/>
                <w:i/>
                <w:sz w:val="16"/>
                <w:szCs w:val="16"/>
                <w:lang w:val="en-AU"/>
              </w:rPr>
              <w:t>Expected to be achieved.</w:t>
            </w:r>
          </w:p>
        </w:tc>
      </w:tr>
      <w:tr w:rsidR="00D57AF5" w:rsidRPr="003E76E7" w14:paraId="481555CC" w14:textId="77777777" w:rsidTr="00A211F5">
        <w:trPr>
          <w:trHeight w:val="100"/>
        </w:trPr>
        <w:tc>
          <w:tcPr>
            <w:tcW w:w="2004" w:type="dxa"/>
            <w:vMerge/>
            <w:tcBorders>
              <w:right w:val="single" w:sz="4" w:space="0" w:color="auto"/>
            </w:tcBorders>
          </w:tcPr>
          <w:p w14:paraId="20102917" w14:textId="77777777" w:rsidR="00D57AF5" w:rsidRPr="003E76E7" w:rsidRDefault="00D57AF5" w:rsidP="00C4292D">
            <w:pPr>
              <w:tabs>
                <w:tab w:val="left" w:pos="709"/>
              </w:tabs>
              <w:spacing w:before="60" w:after="60"/>
              <w:rPr>
                <w:rFonts w:ascii="Arial" w:hAnsi="Arial"/>
                <w:b/>
                <w:color w:val="000000"/>
                <w:sz w:val="16"/>
                <w:szCs w:val="16"/>
              </w:rPr>
            </w:pPr>
          </w:p>
        </w:tc>
        <w:tc>
          <w:tcPr>
            <w:tcW w:w="3292" w:type="dxa"/>
            <w:tcBorders>
              <w:top w:val="single" w:sz="4" w:space="0" w:color="auto"/>
              <w:left w:val="single" w:sz="4" w:space="0" w:color="auto"/>
              <w:bottom w:val="single" w:sz="4" w:space="0" w:color="auto"/>
              <w:right w:val="single" w:sz="4" w:space="0" w:color="auto"/>
            </w:tcBorders>
          </w:tcPr>
          <w:p w14:paraId="270526EE" w14:textId="7D3D56FF" w:rsidR="00D57AF5" w:rsidRPr="003E76E7" w:rsidRDefault="00D57AF5" w:rsidP="00C4292D">
            <w:pPr>
              <w:tabs>
                <w:tab w:val="left" w:pos="709"/>
              </w:tabs>
              <w:spacing w:before="60" w:after="60"/>
              <w:rPr>
                <w:rFonts w:ascii="Arial" w:hAnsi="Arial"/>
                <w:sz w:val="16"/>
                <w:szCs w:val="16"/>
                <w:lang w:val="en-AU"/>
              </w:rPr>
            </w:pPr>
            <w:r w:rsidRPr="003E76E7">
              <w:rPr>
                <w:rFonts w:ascii="Arial" w:hAnsi="Arial"/>
                <w:sz w:val="16"/>
                <w:szCs w:val="16"/>
                <w:lang w:val="en-AU"/>
              </w:rPr>
              <w:t>1.2: Defence maintains ready forces through the conduct of exercises.</w:t>
            </w:r>
          </w:p>
        </w:tc>
        <w:tc>
          <w:tcPr>
            <w:tcW w:w="3174" w:type="dxa"/>
            <w:tcBorders>
              <w:top w:val="single" w:sz="4" w:space="0" w:color="auto"/>
              <w:left w:val="single" w:sz="4" w:space="0" w:color="auto"/>
              <w:bottom w:val="single" w:sz="4" w:space="0" w:color="auto"/>
            </w:tcBorders>
          </w:tcPr>
          <w:p w14:paraId="0CE7DEC8" w14:textId="77777777" w:rsidR="00D57AF5" w:rsidRPr="003E76E7" w:rsidRDefault="00D57AF5" w:rsidP="00C4292D">
            <w:pPr>
              <w:spacing w:before="60" w:after="60"/>
              <w:rPr>
                <w:rFonts w:ascii="Arial" w:hAnsi="Arial"/>
                <w:color w:val="000000"/>
                <w:sz w:val="16"/>
                <w:szCs w:val="16"/>
                <w:lang w:val="en-AU"/>
              </w:rPr>
            </w:pPr>
            <w:r w:rsidRPr="003E76E7">
              <w:rPr>
                <w:rFonts w:ascii="Arial" w:hAnsi="Arial"/>
                <w:color w:val="000000"/>
                <w:sz w:val="16"/>
                <w:szCs w:val="16"/>
                <w:lang w:val="en-AU"/>
              </w:rPr>
              <w:t>100 per cent of exercises conducted achieve planned objectives.</w:t>
            </w:r>
          </w:p>
          <w:p w14:paraId="78D96C1C" w14:textId="58A5AFFC" w:rsidR="00D57AF5" w:rsidRPr="003E76E7" w:rsidRDefault="00486370" w:rsidP="00C4292D">
            <w:pPr>
              <w:tabs>
                <w:tab w:val="left" w:pos="709"/>
              </w:tabs>
              <w:spacing w:before="60" w:after="60"/>
              <w:jc w:val="right"/>
              <w:rPr>
                <w:rFonts w:ascii="Arial" w:hAnsi="Arial"/>
                <w:sz w:val="16"/>
                <w:szCs w:val="16"/>
              </w:rPr>
            </w:pPr>
            <w:r w:rsidRPr="003E76E7">
              <w:rPr>
                <w:rFonts w:ascii="Arial" w:hAnsi="Arial"/>
                <w:i/>
                <w:sz w:val="16"/>
                <w:szCs w:val="16"/>
                <w:lang w:val="en-AU"/>
              </w:rPr>
              <w:t>Expected to be substantially achieved.</w:t>
            </w:r>
          </w:p>
        </w:tc>
      </w:tr>
      <w:tr w:rsidR="00D57AF5" w:rsidRPr="003E76E7" w14:paraId="75682CA6" w14:textId="77777777" w:rsidTr="00A211F5">
        <w:trPr>
          <w:trHeight w:val="100"/>
        </w:trPr>
        <w:tc>
          <w:tcPr>
            <w:tcW w:w="2004" w:type="dxa"/>
            <w:vMerge/>
            <w:tcBorders>
              <w:bottom w:val="single" w:sz="4" w:space="0" w:color="auto"/>
              <w:right w:val="single" w:sz="4" w:space="0" w:color="auto"/>
            </w:tcBorders>
          </w:tcPr>
          <w:p w14:paraId="4337FFFE" w14:textId="77777777" w:rsidR="00D57AF5" w:rsidRPr="003E76E7" w:rsidRDefault="00D57AF5" w:rsidP="00C4292D">
            <w:pPr>
              <w:tabs>
                <w:tab w:val="left" w:pos="709"/>
              </w:tabs>
              <w:spacing w:before="60" w:after="60"/>
              <w:rPr>
                <w:rFonts w:ascii="Arial" w:hAnsi="Arial"/>
                <w:b/>
                <w:color w:val="000000"/>
                <w:sz w:val="16"/>
                <w:szCs w:val="16"/>
              </w:rPr>
            </w:pPr>
          </w:p>
        </w:tc>
        <w:tc>
          <w:tcPr>
            <w:tcW w:w="3292" w:type="dxa"/>
            <w:tcBorders>
              <w:top w:val="single" w:sz="4" w:space="0" w:color="auto"/>
              <w:left w:val="single" w:sz="4" w:space="0" w:color="auto"/>
              <w:bottom w:val="single" w:sz="4" w:space="0" w:color="auto"/>
              <w:right w:val="single" w:sz="4" w:space="0" w:color="auto"/>
            </w:tcBorders>
          </w:tcPr>
          <w:p w14:paraId="56649B7F" w14:textId="5F0985CB" w:rsidR="00D57AF5" w:rsidRPr="003E76E7" w:rsidRDefault="00D57AF5" w:rsidP="00C4292D">
            <w:pPr>
              <w:tabs>
                <w:tab w:val="left" w:pos="709"/>
              </w:tabs>
              <w:spacing w:before="60" w:after="60"/>
              <w:rPr>
                <w:rFonts w:ascii="Arial" w:hAnsi="Arial"/>
                <w:sz w:val="16"/>
                <w:szCs w:val="16"/>
                <w:lang w:val="en-AU"/>
              </w:rPr>
            </w:pPr>
            <w:r w:rsidRPr="003E76E7">
              <w:rPr>
                <w:rFonts w:ascii="Arial" w:hAnsi="Arial"/>
                <w:sz w:val="16"/>
                <w:szCs w:val="16"/>
                <w:lang w:val="en-AU"/>
              </w:rPr>
              <w:t>1.3</w:t>
            </w:r>
            <w:r w:rsidR="00DB5636" w:rsidRPr="003E76E7">
              <w:rPr>
                <w:rFonts w:ascii="Arial" w:hAnsi="Arial"/>
                <w:sz w:val="16"/>
                <w:szCs w:val="16"/>
                <w:lang w:val="en-AU"/>
              </w:rPr>
              <w:t>:</w:t>
            </w:r>
            <w:r w:rsidRPr="003E76E7">
              <w:rPr>
                <w:rFonts w:ascii="Arial" w:hAnsi="Arial"/>
                <w:sz w:val="16"/>
                <w:szCs w:val="16"/>
                <w:lang w:val="en-AU"/>
              </w:rPr>
              <w:t xml:space="preserve"> Defence assists with domestic crisis and emergency response as directed by Government</w:t>
            </w:r>
            <w:r w:rsidR="004B09AF" w:rsidRPr="003E76E7">
              <w:rPr>
                <w:rFonts w:ascii="Arial" w:hAnsi="Arial"/>
                <w:sz w:val="16"/>
                <w:szCs w:val="16"/>
                <w:lang w:val="en-AU"/>
              </w:rPr>
              <w:t>.</w:t>
            </w:r>
          </w:p>
        </w:tc>
        <w:tc>
          <w:tcPr>
            <w:tcW w:w="3174" w:type="dxa"/>
            <w:tcBorders>
              <w:top w:val="single" w:sz="4" w:space="0" w:color="auto"/>
              <w:left w:val="single" w:sz="4" w:space="0" w:color="auto"/>
              <w:bottom w:val="single" w:sz="4" w:space="0" w:color="auto"/>
            </w:tcBorders>
          </w:tcPr>
          <w:p w14:paraId="193DAF41" w14:textId="77777777" w:rsidR="00D57AF5" w:rsidRPr="003E76E7" w:rsidRDefault="00D57AF5" w:rsidP="00C4292D">
            <w:pPr>
              <w:spacing w:before="60" w:after="60"/>
              <w:rPr>
                <w:rFonts w:ascii="Arial" w:hAnsi="Arial"/>
                <w:color w:val="000000"/>
                <w:sz w:val="16"/>
                <w:szCs w:val="16"/>
                <w:lang w:val="en-AU"/>
              </w:rPr>
            </w:pPr>
            <w:r w:rsidRPr="003E76E7">
              <w:rPr>
                <w:rFonts w:ascii="Arial" w:hAnsi="Arial"/>
                <w:color w:val="000000"/>
                <w:sz w:val="16"/>
                <w:szCs w:val="16"/>
                <w:lang w:val="en-AU"/>
              </w:rPr>
              <w:t xml:space="preserve">Defence responds to 100 per cent of requests for assistance as directed by Government. </w:t>
            </w:r>
          </w:p>
          <w:p w14:paraId="6CAE4A60" w14:textId="484BD5B8" w:rsidR="00D57AF5" w:rsidRPr="003E76E7" w:rsidRDefault="00D57AF5" w:rsidP="00C4292D">
            <w:pPr>
              <w:tabs>
                <w:tab w:val="left" w:pos="709"/>
              </w:tabs>
              <w:spacing w:before="60" w:after="60"/>
              <w:jc w:val="right"/>
              <w:rPr>
                <w:rFonts w:ascii="Arial" w:hAnsi="Arial"/>
                <w:sz w:val="16"/>
                <w:szCs w:val="16"/>
                <w:lang w:val="en-AU"/>
              </w:rPr>
            </w:pPr>
            <w:r w:rsidRPr="003E76E7">
              <w:rPr>
                <w:rFonts w:ascii="Arial" w:hAnsi="Arial"/>
                <w:i/>
                <w:sz w:val="16"/>
                <w:szCs w:val="16"/>
                <w:lang w:val="en-AU"/>
              </w:rPr>
              <w:t xml:space="preserve">Expected to be achieved. </w:t>
            </w:r>
          </w:p>
        </w:tc>
      </w:tr>
      <w:tr w:rsidR="0004322A" w:rsidRPr="003E76E7" w14:paraId="1A7A29FD" w14:textId="77777777" w:rsidTr="00A211F5">
        <w:tblPrEx>
          <w:shd w:val="clear" w:color="auto" w:fill="auto"/>
          <w:tblLook w:val="04A0" w:firstRow="1" w:lastRow="0" w:firstColumn="1" w:lastColumn="0" w:noHBand="0" w:noVBand="1"/>
        </w:tblPrEx>
        <w:trPr>
          <w:trHeight w:val="100"/>
        </w:trPr>
        <w:tc>
          <w:tcPr>
            <w:tcW w:w="2004" w:type="dxa"/>
            <w:tcBorders>
              <w:top w:val="single" w:sz="4" w:space="0" w:color="auto"/>
              <w:bottom w:val="single" w:sz="4" w:space="0" w:color="auto"/>
              <w:right w:val="single" w:sz="4" w:space="0" w:color="auto"/>
            </w:tcBorders>
          </w:tcPr>
          <w:p w14:paraId="7589550A" w14:textId="77777777" w:rsidR="0004322A" w:rsidRPr="003E76E7" w:rsidRDefault="0004322A" w:rsidP="00C4292D">
            <w:pPr>
              <w:tabs>
                <w:tab w:val="left" w:pos="709"/>
              </w:tabs>
              <w:spacing w:before="60" w:after="60"/>
              <w:rPr>
                <w:rFonts w:ascii="Arial" w:hAnsi="Arial"/>
                <w:color w:val="000000"/>
                <w:sz w:val="16"/>
                <w:szCs w:val="16"/>
              </w:rPr>
            </w:pPr>
            <w:r w:rsidRPr="003E76E7">
              <w:rPr>
                <w:rFonts w:ascii="Arial" w:hAnsi="Arial"/>
                <w:b/>
                <w:color w:val="000000"/>
                <w:sz w:val="16"/>
                <w:szCs w:val="16"/>
              </w:rPr>
              <w:t>Year</w:t>
            </w:r>
          </w:p>
        </w:tc>
        <w:tc>
          <w:tcPr>
            <w:tcW w:w="3292" w:type="dxa"/>
            <w:tcBorders>
              <w:top w:val="single" w:sz="4" w:space="0" w:color="auto"/>
              <w:left w:val="single" w:sz="4" w:space="0" w:color="auto"/>
              <w:bottom w:val="single" w:sz="4" w:space="0" w:color="auto"/>
              <w:right w:val="single" w:sz="4" w:space="0" w:color="auto"/>
            </w:tcBorders>
          </w:tcPr>
          <w:p w14:paraId="309049FC" w14:textId="1ABDE586" w:rsidR="0004322A" w:rsidRPr="003E76E7" w:rsidRDefault="00AD14EC" w:rsidP="00C4292D">
            <w:pPr>
              <w:tabs>
                <w:tab w:val="left" w:pos="709"/>
              </w:tabs>
              <w:spacing w:before="60" w:after="60"/>
              <w:rPr>
                <w:rFonts w:ascii="Arial" w:hAnsi="Arial"/>
                <w:color w:val="000000"/>
              </w:rPr>
            </w:pPr>
            <w:r w:rsidRPr="003E76E7">
              <w:rPr>
                <w:rFonts w:ascii="Arial" w:hAnsi="Arial"/>
                <w:b/>
                <w:color w:val="000000"/>
                <w:sz w:val="16"/>
                <w:szCs w:val="16"/>
              </w:rPr>
              <w:t>Performance Measures</w:t>
            </w:r>
          </w:p>
        </w:tc>
        <w:tc>
          <w:tcPr>
            <w:tcW w:w="3174" w:type="dxa"/>
            <w:tcBorders>
              <w:top w:val="single" w:sz="4" w:space="0" w:color="auto"/>
              <w:left w:val="single" w:sz="4" w:space="0" w:color="auto"/>
              <w:bottom w:val="single" w:sz="4" w:space="0" w:color="auto"/>
            </w:tcBorders>
          </w:tcPr>
          <w:p w14:paraId="2A730B03" w14:textId="77777777" w:rsidR="0004322A" w:rsidRPr="003E76E7" w:rsidRDefault="0004322A" w:rsidP="00C4292D">
            <w:pPr>
              <w:tabs>
                <w:tab w:val="left" w:pos="709"/>
              </w:tabs>
              <w:spacing w:before="60" w:after="60"/>
              <w:rPr>
                <w:rFonts w:ascii="Arial" w:hAnsi="Arial"/>
                <w:i/>
                <w:color w:val="000000"/>
                <w:sz w:val="16"/>
                <w:szCs w:val="16"/>
              </w:rPr>
            </w:pPr>
            <w:r w:rsidRPr="003E76E7">
              <w:rPr>
                <w:rFonts w:ascii="Arial" w:hAnsi="Arial"/>
                <w:b/>
                <w:color w:val="000000"/>
                <w:sz w:val="16"/>
                <w:szCs w:val="16"/>
              </w:rPr>
              <w:t>Planned Performance Results</w:t>
            </w:r>
          </w:p>
        </w:tc>
      </w:tr>
      <w:tr w:rsidR="00D57AF5" w:rsidRPr="003E76E7" w14:paraId="1D26A3BA" w14:textId="77777777" w:rsidTr="00A211F5">
        <w:trPr>
          <w:trHeight w:val="705"/>
        </w:trPr>
        <w:tc>
          <w:tcPr>
            <w:tcW w:w="2004" w:type="dxa"/>
            <w:vMerge w:val="restart"/>
            <w:tcBorders>
              <w:top w:val="single" w:sz="4" w:space="0" w:color="auto"/>
              <w:right w:val="single" w:sz="4" w:space="0" w:color="auto"/>
            </w:tcBorders>
          </w:tcPr>
          <w:p w14:paraId="1074E978" w14:textId="77777777" w:rsidR="00D57AF5" w:rsidRPr="003E76E7" w:rsidRDefault="00D57AF5" w:rsidP="00C4292D">
            <w:pPr>
              <w:tabs>
                <w:tab w:val="left" w:pos="709"/>
              </w:tabs>
              <w:spacing w:before="0" w:after="0"/>
              <w:rPr>
                <w:rFonts w:ascii="Arial" w:hAnsi="Arial"/>
                <w:color w:val="000000"/>
                <w:sz w:val="16"/>
                <w:szCs w:val="16"/>
              </w:rPr>
            </w:pPr>
            <w:r w:rsidRPr="003E76E7">
              <w:rPr>
                <w:rFonts w:ascii="Arial" w:hAnsi="Arial"/>
                <w:color w:val="000000"/>
                <w:sz w:val="16"/>
                <w:szCs w:val="16"/>
              </w:rPr>
              <w:t>Budget Year</w:t>
            </w:r>
          </w:p>
          <w:p w14:paraId="13E18046" w14:textId="021B0DEA" w:rsidR="00D57AF5" w:rsidRPr="003E76E7" w:rsidRDefault="00D57AF5" w:rsidP="00C4292D">
            <w:pPr>
              <w:tabs>
                <w:tab w:val="left" w:pos="709"/>
              </w:tabs>
              <w:spacing w:before="0" w:after="0"/>
              <w:rPr>
                <w:rFonts w:ascii="Arial" w:hAnsi="Arial"/>
                <w:color w:val="000000"/>
                <w:sz w:val="16"/>
                <w:szCs w:val="16"/>
              </w:rPr>
            </w:pPr>
            <w:r w:rsidRPr="003E76E7">
              <w:rPr>
                <w:rFonts w:ascii="Arial" w:hAnsi="Arial"/>
                <w:color w:val="000000"/>
                <w:sz w:val="16"/>
                <w:szCs w:val="16"/>
              </w:rPr>
              <w:t xml:space="preserve">2026-27 </w:t>
            </w:r>
            <w:r w:rsidRPr="003E76E7">
              <w:rPr>
                <w:rFonts w:ascii="Arial" w:hAnsi="Arial"/>
                <w:color w:val="000000"/>
                <w:sz w:val="16"/>
                <w:szCs w:val="16"/>
                <w:vertAlign w:val="superscript"/>
              </w:rPr>
              <w:t>[</w:t>
            </w:r>
            <w:r w:rsidR="00987771" w:rsidRPr="003E76E7">
              <w:rPr>
                <w:rFonts w:ascii="Arial" w:hAnsi="Arial"/>
                <w:color w:val="000000"/>
                <w:sz w:val="16"/>
                <w:szCs w:val="16"/>
                <w:vertAlign w:val="superscript"/>
              </w:rPr>
              <w:t>c</w:t>
            </w:r>
            <w:r w:rsidRPr="003E76E7">
              <w:rPr>
                <w:rFonts w:ascii="Arial" w:hAnsi="Arial"/>
                <w:color w:val="000000"/>
                <w:sz w:val="16"/>
                <w:szCs w:val="16"/>
                <w:vertAlign w:val="superscript"/>
              </w:rPr>
              <w:t>]</w:t>
            </w:r>
          </w:p>
        </w:tc>
        <w:tc>
          <w:tcPr>
            <w:tcW w:w="3292" w:type="dxa"/>
            <w:tcBorders>
              <w:top w:val="single" w:sz="4" w:space="0" w:color="auto"/>
              <w:left w:val="single" w:sz="4" w:space="0" w:color="auto"/>
              <w:bottom w:val="single" w:sz="4" w:space="0" w:color="auto"/>
              <w:right w:val="single" w:sz="4" w:space="0" w:color="auto"/>
            </w:tcBorders>
          </w:tcPr>
          <w:p w14:paraId="4D02BB65" w14:textId="1613274F" w:rsidR="00D57AF5" w:rsidRPr="003E76E7" w:rsidRDefault="00D57AF5" w:rsidP="00C4292D">
            <w:pPr>
              <w:tabs>
                <w:tab w:val="left" w:pos="709"/>
              </w:tabs>
              <w:spacing w:before="60" w:after="60"/>
              <w:rPr>
                <w:rFonts w:ascii="Arial" w:hAnsi="Arial"/>
                <w:sz w:val="16"/>
                <w:szCs w:val="16"/>
              </w:rPr>
            </w:pPr>
            <w:r w:rsidRPr="003E76E7">
              <w:rPr>
                <w:rFonts w:ascii="Arial" w:hAnsi="Arial"/>
                <w:sz w:val="16"/>
                <w:szCs w:val="16"/>
                <w:lang w:val="en-AU"/>
              </w:rPr>
              <w:t>1.1: Defence conducts operations as directed by Government to achieve Defence’s mission.</w:t>
            </w:r>
          </w:p>
        </w:tc>
        <w:tc>
          <w:tcPr>
            <w:tcW w:w="3174" w:type="dxa"/>
            <w:tcBorders>
              <w:top w:val="single" w:sz="4" w:space="0" w:color="auto"/>
              <w:left w:val="single" w:sz="4" w:space="0" w:color="auto"/>
              <w:bottom w:val="single" w:sz="4" w:space="0" w:color="auto"/>
            </w:tcBorders>
          </w:tcPr>
          <w:p w14:paraId="7CDBF3D8" w14:textId="77D7BE50" w:rsidR="00D57AF5" w:rsidRPr="003E76E7" w:rsidRDefault="00D57AF5" w:rsidP="00C4292D">
            <w:pPr>
              <w:tabs>
                <w:tab w:val="left" w:pos="709"/>
              </w:tabs>
              <w:spacing w:before="60" w:after="60"/>
              <w:rPr>
                <w:rFonts w:ascii="Arial" w:hAnsi="Arial"/>
                <w:sz w:val="16"/>
                <w:szCs w:val="16"/>
              </w:rPr>
            </w:pPr>
            <w:r w:rsidRPr="003E76E7">
              <w:rPr>
                <w:rFonts w:ascii="Arial" w:hAnsi="Arial"/>
                <w:sz w:val="16"/>
                <w:szCs w:val="16"/>
                <w:lang w:val="en-AU"/>
              </w:rPr>
              <w:t>100 per cent of operations conducted or being conducted as directed by Government.</w:t>
            </w:r>
          </w:p>
        </w:tc>
      </w:tr>
      <w:tr w:rsidR="00D57AF5" w:rsidRPr="003E76E7" w14:paraId="7C0034BA" w14:textId="77777777" w:rsidTr="00A211F5">
        <w:trPr>
          <w:trHeight w:val="393"/>
        </w:trPr>
        <w:tc>
          <w:tcPr>
            <w:tcW w:w="2004" w:type="dxa"/>
            <w:vMerge/>
            <w:tcBorders>
              <w:right w:val="single" w:sz="4" w:space="0" w:color="auto"/>
            </w:tcBorders>
          </w:tcPr>
          <w:p w14:paraId="6E63CC97" w14:textId="77777777" w:rsidR="00D57AF5" w:rsidRPr="003E76E7" w:rsidRDefault="00D57AF5" w:rsidP="00C4292D">
            <w:pPr>
              <w:tabs>
                <w:tab w:val="left" w:pos="709"/>
              </w:tabs>
              <w:spacing w:before="60" w:after="60"/>
              <w:rPr>
                <w:rFonts w:ascii="Arial" w:hAnsi="Arial"/>
                <w:color w:val="000000"/>
                <w:sz w:val="16"/>
                <w:szCs w:val="16"/>
              </w:rPr>
            </w:pPr>
          </w:p>
        </w:tc>
        <w:tc>
          <w:tcPr>
            <w:tcW w:w="3292" w:type="dxa"/>
            <w:tcBorders>
              <w:top w:val="single" w:sz="4" w:space="0" w:color="auto"/>
              <w:left w:val="single" w:sz="4" w:space="0" w:color="auto"/>
              <w:bottom w:val="single" w:sz="4" w:space="0" w:color="auto"/>
              <w:right w:val="single" w:sz="4" w:space="0" w:color="auto"/>
            </w:tcBorders>
          </w:tcPr>
          <w:p w14:paraId="05ACBBA3" w14:textId="2AAD013E" w:rsidR="00D57AF5" w:rsidRPr="003E76E7" w:rsidRDefault="00D57AF5" w:rsidP="00C4292D">
            <w:pPr>
              <w:tabs>
                <w:tab w:val="left" w:pos="709"/>
              </w:tabs>
              <w:spacing w:before="60" w:after="60"/>
              <w:rPr>
                <w:rFonts w:ascii="Arial" w:hAnsi="Arial"/>
                <w:sz w:val="16"/>
                <w:szCs w:val="16"/>
                <w:lang w:val="en-AU"/>
              </w:rPr>
            </w:pPr>
            <w:r w:rsidRPr="003E76E7">
              <w:rPr>
                <w:rFonts w:ascii="Arial" w:hAnsi="Arial"/>
                <w:sz w:val="16"/>
                <w:szCs w:val="16"/>
                <w:lang w:val="en-AU"/>
              </w:rPr>
              <w:t>1.2: Defence maintains ready forces through the conduct of exercises.</w:t>
            </w:r>
          </w:p>
        </w:tc>
        <w:tc>
          <w:tcPr>
            <w:tcW w:w="3174" w:type="dxa"/>
            <w:tcBorders>
              <w:top w:val="single" w:sz="4" w:space="0" w:color="auto"/>
              <w:left w:val="single" w:sz="4" w:space="0" w:color="auto"/>
              <w:bottom w:val="single" w:sz="4" w:space="0" w:color="auto"/>
            </w:tcBorders>
          </w:tcPr>
          <w:p w14:paraId="4EA71C94" w14:textId="4A157CDE" w:rsidR="00D57AF5" w:rsidRPr="003E76E7" w:rsidRDefault="00D57AF5" w:rsidP="00C4292D">
            <w:pPr>
              <w:tabs>
                <w:tab w:val="left" w:pos="709"/>
              </w:tabs>
              <w:spacing w:before="60" w:after="60"/>
              <w:rPr>
                <w:rFonts w:ascii="Arial" w:hAnsi="Arial"/>
                <w:sz w:val="16"/>
                <w:szCs w:val="16"/>
              </w:rPr>
            </w:pPr>
            <w:r w:rsidRPr="003E76E7">
              <w:rPr>
                <w:rFonts w:ascii="Arial" w:hAnsi="Arial"/>
                <w:color w:val="000000"/>
                <w:sz w:val="16"/>
                <w:szCs w:val="16"/>
                <w:lang w:val="en-AU"/>
              </w:rPr>
              <w:t>100 per cent of exercises conducted achieve planned objectives.</w:t>
            </w:r>
          </w:p>
        </w:tc>
      </w:tr>
      <w:tr w:rsidR="00D57AF5" w:rsidRPr="003E76E7" w14:paraId="3C7ECE55" w14:textId="77777777" w:rsidTr="00A211F5">
        <w:tblPrEx>
          <w:shd w:val="clear" w:color="auto" w:fill="auto"/>
          <w:tblLook w:val="04A0" w:firstRow="1" w:lastRow="0" w:firstColumn="1" w:lastColumn="0" w:noHBand="0" w:noVBand="1"/>
        </w:tblPrEx>
        <w:trPr>
          <w:trHeight w:val="705"/>
        </w:trPr>
        <w:tc>
          <w:tcPr>
            <w:tcW w:w="2004" w:type="dxa"/>
            <w:vMerge/>
            <w:tcBorders>
              <w:bottom w:val="single" w:sz="4" w:space="0" w:color="auto"/>
              <w:right w:val="single" w:sz="4" w:space="0" w:color="auto"/>
            </w:tcBorders>
          </w:tcPr>
          <w:p w14:paraId="29DDA942" w14:textId="77777777" w:rsidR="00D57AF5" w:rsidRPr="003E76E7" w:rsidRDefault="00D57AF5" w:rsidP="00C4292D">
            <w:pPr>
              <w:tabs>
                <w:tab w:val="left" w:pos="709"/>
              </w:tabs>
              <w:spacing w:before="60" w:after="60"/>
              <w:rPr>
                <w:rFonts w:ascii="Arial" w:hAnsi="Arial"/>
                <w:color w:val="000000"/>
                <w:sz w:val="16"/>
                <w:szCs w:val="16"/>
              </w:rPr>
            </w:pPr>
          </w:p>
        </w:tc>
        <w:tc>
          <w:tcPr>
            <w:tcW w:w="3292" w:type="dxa"/>
            <w:tcBorders>
              <w:top w:val="dotted" w:sz="4" w:space="0" w:color="auto"/>
              <w:left w:val="single" w:sz="4" w:space="0" w:color="auto"/>
              <w:bottom w:val="single" w:sz="4" w:space="0" w:color="auto"/>
              <w:right w:val="single" w:sz="4" w:space="0" w:color="auto"/>
            </w:tcBorders>
          </w:tcPr>
          <w:p w14:paraId="37B3030C" w14:textId="212BC420" w:rsidR="00D57AF5" w:rsidRPr="003E76E7" w:rsidRDefault="00D57AF5" w:rsidP="00C4292D">
            <w:pPr>
              <w:tabs>
                <w:tab w:val="left" w:pos="709"/>
              </w:tabs>
              <w:spacing w:before="60" w:after="60"/>
              <w:rPr>
                <w:rFonts w:ascii="Arial" w:hAnsi="Arial"/>
                <w:sz w:val="16"/>
                <w:szCs w:val="16"/>
                <w:lang w:val="en-AU"/>
              </w:rPr>
            </w:pPr>
            <w:r w:rsidRPr="003E76E7">
              <w:rPr>
                <w:rFonts w:ascii="Arial" w:hAnsi="Arial"/>
                <w:sz w:val="16"/>
                <w:szCs w:val="16"/>
                <w:lang w:val="en-AU"/>
              </w:rPr>
              <w:t>1.3</w:t>
            </w:r>
            <w:r w:rsidR="00DB5636" w:rsidRPr="003E76E7">
              <w:rPr>
                <w:rFonts w:ascii="Arial" w:hAnsi="Arial"/>
                <w:sz w:val="16"/>
                <w:szCs w:val="16"/>
                <w:lang w:val="en-AU"/>
              </w:rPr>
              <w:t>:</w:t>
            </w:r>
            <w:r w:rsidRPr="003E76E7">
              <w:rPr>
                <w:rFonts w:ascii="Arial" w:hAnsi="Arial"/>
                <w:sz w:val="16"/>
                <w:szCs w:val="16"/>
                <w:lang w:val="en-AU"/>
              </w:rPr>
              <w:t xml:space="preserve"> Defence assists with domestic crisis and emergency response as directed by Government. </w:t>
            </w:r>
          </w:p>
        </w:tc>
        <w:tc>
          <w:tcPr>
            <w:tcW w:w="3174" w:type="dxa"/>
            <w:tcBorders>
              <w:top w:val="dotted" w:sz="4" w:space="0" w:color="auto"/>
              <w:left w:val="single" w:sz="4" w:space="0" w:color="auto"/>
              <w:bottom w:val="single" w:sz="4" w:space="0" w:color="auto"/>
            </w:tcBorders>
          </w:tcPr>
          <w:p w14:paraId="6988B46E" w14:textId="5E1AF674" w:rsidR="00D57AF5" w:rsidRPr="003E76E7" w:rsidRDefault="00D57AF5" w:rsidP="00C4292D">
            <w:pPr>
              <w:tabs>
                <w:tab w:val="left" w:pos="709"/>
              </w:tabs>
              <w:spacing w:before="60" w:after="60"/>
              <w:rPr>
                <w:rFonts w:ascii="Arial" w:hAnsi="Arial"/>
                <w:sz w:val="16"/>
                <w:szCs w:val="16"/>
              </w:rPr>
            </w:pPr>
            <w:r w:rsidRPr="003E76E7">
              <w:rPr>
                <w:rFonts w:ascii="Arial" w:hAnsi="Arial"/>
                <w:color w:val="000000"/>
                <w:sz w:val="16"/>
                <w:szCs w:val="16"/>
                <w:lang w:val="en-AU"/>
              </w:rPr>
              <w:t xml:space="preserve">Defence responds to 100 per cent of requests for assistance as directed by Government. </w:t>
            </w:r>
          </w:p>
        </w:tc>
      </w:tr>
      <w:tr w:rsidR="00F32A3A" w:rsidRPr="003E76E7" w14:paraId="0CC554A9" w14:textId="77777777" w:rsidTr="00A211F5">
        <w:trPr>
          <w:trHeight w:val="297"/>
        </w:trPr>
        <w:tc>
          <w:tcPr>
            <w:tcW w:w="2004" w:type="dxa"/>
            <w:tcBorders>
              <w:top w:val="single" w:sz="4" w:space="0" w:color="auto"/>
              <w:bottom w:val="single" w:sz="4" w:space="0" w:color="auto"/>
              <w:right w:val="single" w:sz="4" w:space="0" w:color="auto"/>
            </w:tcBorders>
            <w:vAlign w:val="center"/>
          </w:tcPr>
          <w:p w14:paraId="7C6545FF" w14:textId="0F2C4E79" w:rsidR="00F32A3A" w:rsidRPr="003E76E7" w:rsidRDefault="00F32A3A" w:rsidP="00C4292D">
            <w:pPr>
              <w:tabs>
                <w:tab w:val="left" w:pos="709"/>
              </w:tabs>
              <w:spacing w:before="0" w:after="0"/>
              <w:rPr>
                <w:rFonts w:ascii="Arial" w:hAnsi="Arial"/>
                <w:color w:val="000000"/>
                <w:sz w:val="16"/>
                <w:szCs w:val="16"/>
              </w:rPr>
            </w:pPr>
            <w:r w:rsidRPr="003E76E7">
              <w:rPr>
                <w:rFonts w:ascii="Arial" w:hAnsi="Arial"/>
                <w:b/>
                <w:color w:val="000000"/>
                <w:sz w:val="16"/>
                <w:szCs w:val="16"/>
              </w:rPr>
              <w:t>Year</w:t>
            </w:r>
          </w:p>
        </w:tc>
        <w:tc>
          <w:tcPr>
            <w:tcW w:w="3292" w:type="dxa"/>
            <w:tcBorders>
              <w:top w:val="single" w:sz="4" w:space="0" w:color="auto"/>
              <w:left w:val="single" w:sz="4" w:space="0" w:color="auto"/>
              <w:bottom w:val="single" w:sz="4" w:space="0" w:color="auto"/>
              <w:right w:val="single" w:sz="4" w:space="0" w:color="auto"/>
            </w:tcBorders>
            <w:vAlign w:val="center"/>
          </w:tcPr>
          <w:p w14:paraId="543B485D" w14:textId="201C0B71" w:rsidR="00F32A3A" w:rsidRPr="003E76E7" w:rsidRDefault="00AD14EC" w:rsidP="00C4292D">
            <w:pPr>
              <w:tabs>
                <w:tab w:val="left" w:pos="709"/>
              </w:tabs>
              <w:spacing w:before="60" w:after="60"/>
              <w:rPr>
                <w:rFonts w:ascii="Arial" w:hAnsi="Arial"/>
                <w:color w:val="000000"/>
                <w:sz w:val="16"/>
                <w:szCs w:val="16"/>
              </w:rPr>
            </w:pPr>
            <w:r w:rsidRPr="003E76E7">
              <w:rPr>
                <w:rFonts w:ascii="Arial" w:hAnsi="Arial"/>
                <w:b/>
                <w:color w:val="000000"/>
                <w:sz w:val="16"/>
                <w:szCs w:val="16"/>
              </w:rPr>
              <w:t>Performance Measures</w:t>
            </w:r>
          </w:p>
        </w:tc>
        <w:tc>
          <w:tcPr>
            <w:tcW w:w="3174" w:type="dxa"/>
            <w:tcBorders>
              <w:top w:val="single" w:sz="4" w:space="0" w:color="auto"/>
              <w:left w:val="single" w:sz="4" w:space="0" w:color="auto"/>
              <w:bottom w:val="single" w:sz="4" w:space="0" w:color="auto"/>
            </w:tcBorders>
            <w:vAlign w:val="center"/>
          </w:tcPr>
          <w:p w14:paraId="0153F407" w14:textId="59260051" w:rsidR="00F32A3A" w:rsidRPr="003E76E7" w:rsidRDefault="00F32A3A" w:rsidP="00C4292D">
            <w:pPr>
              <w:tabs>
                <w:tab w:val="left" w:pos="709"/>
              </w:tabs>
              <w:spacing w:before="60" w:after="60"/>
              <w:rPr>
                <w:rFonts w:ascii="Arial" w:hAnsi="Arial"/>
                <w:color w:val="000000"/>
                <w:sz w:val="16"/>
                <w:szCs w:val="16"/>
              </w:rPr>
            </w:pPr>
            <w:r w:rsidRPr="003E76E7">
              <w:rPr>
                <w:rFonts w:ascii="Arial" w:hAnsi="Arial"/>
                <w:b/>
                <w:color w:val="000000"/>
                <w:sz w:val="16"/>
                <w:szCs w:val="16"/>
              </w:rPr>
              <w:t>Planned Performance Results</w:t>
            </w:r>
          </w:p>
        </w:tc>
      </w:tr>
      <w:tr w:rsidR="004B09AF" w:rsidRPr="003E76E7" w14:paraId="7F15CB4C" w14:textId="77777777" w:rsidTr="00A211F5">
        <w:trPr>
          <w:trHeight w:val="439"/>
        </w:trPr>
        <w:tc>
          <w:tcPr>
            <w:tcW w:w="2004" w:type="dxa"/>
            <w:tcBorders>
              <w:top w:val="single" w:sz="4" w:space="0" w:color="auto"/>
              <w:bottom w:val="single" w:sz="4" w:space="0" w:color="auto"/>
              <w:right w:val="single" w:sz="4" w:space="0" w:color="auto"/>
            </w:tcBorders>
            <w:vAlign w:val="center"/>
          </w:tcPr>
          <w:p w14:paraId="2EF3B10B" w14:textId="77777777" w:rsidR="004B09AF" w:rsidRPr="003E76E7" w:rsidRDefault="004B09AF" w:rsidP="00C4292D">
            <w:pPr>
              <w:tabs>
                <w:tab w:val="left" w:pos="709"/>
              </w:tabs>
              <w:spacing w:before="0" w:after="0"/>
              <w:rPr>
                <w:rFonts w:ascii="Arial" w:hAnsi="Arial"/>
                <w:color w:val="000000"/>
                <w:sz w:val="16"/>
                <w:szCs w:val="16"/>
              </w:rPr>
            </w:pPr>
            <w:r w:rsidRPr="003E76E7">
              <w:rPr>
                <w:rFonts w:ascii="Arial" w:hAnsi="Arial"/>
                <w:color w:val="000000"/>
                <w:sz w:val="16"/>
                <w:szCs w:val="16"/>
              </w:rPr>
              <w:t>Forward Estimates</w:t>
            </w:r>
          </w:p>
          <w:p w14:paraId="55DBB502" w14:textId="6F83FB86" w:rsidR="004B09AF" w:rsidRPr="003E76E7" w:rsidRDefault="004B09AF" w:rsidP="00C4292D">
            <w:pPr>
              <w:tabs>
                <w:tab w:val="left" w:pos="709"/>
              </w:tabs>
              <w:spacing w:before="0" w:after="0"/>
              <w:rPr>
                <w:rFonts w:ascii="Arial" w:hAnsi="Arial"/>
                <w:b/>
                <w:color w:val="000000"/>
                <w:sz w:val="16"/>
                <w:szCs w:val="16"/>
              </w:rPr>
            </w:pPr>
            <w:r w:rsidRPr="003E76E7">
              <w:rPr>
                <w:rFonts w:ascii="Arial" w:hAnsi="Arial"/>
                <w:color w:val="000000"/>
                <w:sz w:val="16"/>
                <w:szCs w:val="16"/>
              </w:rPr>
              <w:t>2027-30</w:t>
            </w:r>
          </w:p>
        </w:tc>
        <w:tc>
          <w:tcPr>
            <w:tcW w:w="3292" w:type="dxa"/>
            <w:tcBorders>
              <w:top w:val="single" w:sz="4" w:space="0" w:color="auto"/>
              <w:left w:val="single" w:sz="4" w:space="0" w:color="auto"/>
              <w:bottom w:val="single" w:sz="4" w:space="0" w:color="auto"/>
              <w:right w:val="single" w:sz="4" w:space="0" w:color="auto"/>
            </w:tcBorders>
            <w:vAlign w:val="center"/>
          </w:tcPr>
          <w:p w14:paraId="68BBE88A" w14:textId="2C24FE1F" w:rsidR="004B09AF" w:rsidRPr="003E76E7" w:rsidRDefault="004B09AF" w:rsidP="00C4292D">
            <w:pPr>
              <w:tabs>
                <w:tab w:val="left" w:pos="709"/>
              </w:tabs>
              <w:spacing w:before="60" w:after="60"/>
              <w:rPr>
                <w:rFonts w:ascii="Arial" w:hAnsi="Arial"/>
                <w:b/>
                <w:color w:val="000000"/>
                <w:sz w:val="16"/>
                <w:szCs w:val="16"/>
              </w:rPr>
            </w:pPr>
            <w:r w:rsidRPr="003E76E7">
              <w:rPr>
                <w:rFonts w:ascii="Arial" w:hAnsi="Arial"/>
                <w:color w:val="000000"/>
                <w:sz w:val="16"/>
                <w:szCs w:val="16"/>
              </w:rPr>
              <w:t>As per 2026-27.</w:t>
            </w:r>
          </w:p>
        </w:tc>
        <w:tc>
          <w:tcPr>
            <w:tcW w:w="3174" w:type="dxa"/>
            <w:tcBorders>
              <w:top w:val="single" w:sz="4" w:space="0" w:color="auto"/>
              <w:left w:val="single" w:sz="4" w:space="0" w:color="auto"/>
              <w:bottom w:val="single" w:sz="4" w:space="0" w:color="auto"/>
            </w:tcBorders>
            <w:vAlign w:val="center"/>
          </w:tcPr>
          <w:p w14:paraId="0BD4D5AB" w14:textId="2235BCDC" w:rsidR="004B09AF" w:rsidRPr="003E76E7" w:rsidRDefault="004B09AF" w:rsidP="00C4292D">
            <w:pPr>
              <w:tabs>
                <w:tab w:val="left" w:pos="709"/>
              </w:tabs>
              <w:spacing w:before="60" w:after="60"/>
              <w:rPr>
                <w:rFonts w:ascii="Arial" w:hAnsi="Arial"/>
                <w:b/>
                <w:color w:val="000000"/>
                <w:sz w:val="16"/>
                <w:szCs w:val="16"/>
              </w:rPr>
            </w:pPr>
            <w:r w:rsidRPr="003E76E7">
              <w:rPr>
                <w:rFonts w:ascii="Arial" w:hAnsi="Arial"/>
                <w:color w:val="000000"/>
                <w:sz w:val="16"/>
                <w:szCs w:val="16"/>
              </w:rPr>
              <w:t>As per 2026-27.</w:t>
            </w:r>
          </w:p>
        </w:tc>
      </w:tr>
      <w:tr w:rsidR="0004322A" w:rsidRPr="003E76E7" w14:paraId="64B2A2F2" w14:textId="77777777" w:rsidTr="00A211F5">
        <w:tblPrEx>
          <w:shd w:val="clear" w:color="auto" w:fill="auto"/>
          <w:tblLook w:val="04A0" w:firstRow="1" w:lastRow="0" w:firstColumn="1" w:lastColumn="0" w:noHBand="0" w:noVBand="1"/>
        </w:tblPrEx>
        <w:trPr>
          <w:trHeight w:val="291"/>
        </w:trPr>
        <w:tc>
          <w:tcPr>
            <w:tcW w:w="8470" w:type="dxa"/>
            <w:gridSpan w:val="3"/>
            <w:tcBorders>
              <w:top w:val="single" w:sz="4" w:space="0" w:color="auto"/>
            </w:tcBorders>
          </w:tcPr>
          <w:p w14:paraId="02251C12" w14:textId="72113348" w:rsidR="0004322A" w:rsidRPr="003E76E7" w:rsidRDefault="0004322A" w:rsidP="00C4292D">
            <w:pPr>
              <w:tabs>
                <w:tab w:val="left" w:pos="709"/>
              </w:tabs>
              <w:spacing w:before="60" w:after="60"/>
              <w:rPr>
                <w:rFonts w:ascii="Arial" w:hAnsi="Arial"/>
                <w:color w:val="000000"/>
                <w:sz w:val="16"/>
                <w:szCs w:val="16"/>
              </w:rPr>
            </w:pPr>
            <w:r w:rsidRPr="003E76E7">
              <w:rPr>
                <w:rFonts w:ascii="Arial" w:hAnsi="Arial"/>
                <w:color w:val="000000"/>
                <w:sz w:val="16"/>
                <w:szCs w:val="16"/>
              </w:rPr>
              <w:t>Material changes to Program 1.1 resulting from 202</w:t>
            </w:r>
            <w:r w:rsidR="00173ED3" w:rsidRPr="003E76E7">
              <w:rPr>
                <w:rFonts w:ascii="Arial" w:hAnsi="Arial"/>
                <w:color w:val="000000"/>
                <w:sz w:val="16"/>
                <w:szCs w:val="16"/>
              </w:rPr>
              <w:t>6</w:t>
            </w:r>
            <w:r w:rsidRPr="003E76E7">
              <w:rPr>
                <w:rFonts w:ascii="Arial" w:hAnsi="Arial"/>
                <w:color w:val="000000"/>
                <w:sz w:val="16"/>
                <w:szCs w:val="16"/>
              </w:rPr>
              <w:t>-2</w:t>
            </w:r>
            <w:r w:rsidR="00173ED3" w:rsidRPr="003E76E7">
              <w:rPr>
                <w:rFonts w:ascii="Arial" w:hAnsi="Arial"/>
                <w:color w:val="000000"/>
                <w:sz w:val="16"/>
                <w:szCs w:val="16"/>
              </w:rPr>
              <w:t>7</w:t>
            </w:r>
            <w:r w:rsidRPr="003E76E7">
              <w:rPr>
                <w:rFonts w:ascii="Arial" w:hAnsi="Arial"/>
                <w:color w:val="000000"/>
                <w:sz w:val="16"/>
                <w:szCs w:val="16"/>
              </w:rPr>
              <w:t xml:space="preserve"> Budget Measures:</w:t>
            </w:r>
            <w:r w:rsidRPr="003E76E7">
              <w:rPr>
                <w:rFonts w:ascii="Arial" w:hAnsi="Arial"/>
                <w:sz w:val="16"/>
                <w:szCs w:val="16"/>
              </w:rPr>
              <w:t xml:space="preserve"> Nil.</w:t>
            </w:r>
          </w:p>
        </w:tc>
      </w:tr>
    </w:tbl>
    <w:p w14:paraId="342217E7" w14:textId="77777777" w:rsidR="00CF140A" w:rsidRPr="003E76E7" w:rsidRDefault="00CF140A" w:rsidP="00C4292D">
      <w:pPr>
        <w:pStyle w:val="TableHeading"/>
        <w:spacing w:before="0" w:after="0"/>
        <w:rPr>
          <w:sz w:val="14"/>
          <w:szCs w:val="16"/>
        </w:rPr>
      </w:pPr>
    </w:p>
    <w:p w14:paraId="1AFBB84F" w14:textId="77777777" w:rsidR="00CF140A" w:rsidRPr="003E76E7" w:rsidRDefault="00CF140A" w:rsidP="00C4292D">
      <w:pPr>
        <w:pStyle w:val="TableHeading"/>
        <w:spacing w:before="0" w:after="0"/>
        <w:rPr>
          <w:sz w:val="14"/>
          <w:szCs w:val="14"/>
        </w:rPr>
      </w:pPr>
      <w:r w:rsidRPr="003E76E7">
        <w:rPr>
          <w:sz w:val="14"/>
          <w:szCs w:val="14"/>
        </w:rPr>
        <w:t>Note</w:t>
      </w:r>
      <w:r w:rsidR="00094602" w:rsidRPr="003E76E7">
        <w:rPr>
          <w:sz w:val="14"/>
          <w:szCs w:val="14"/>
        </w:rPr>
        <w:t>s</w:t>
      </w:r>
    </w:p>
    <w:p w14:paraId="699D772F" w14:textId="2299F97B" w:rsidR="00D57AF5" w:rsidRPr="003E76E7" w:rsidRDefault="00D57AF5" w:rsidP="00C4292D">
      <w:pPr>
        <w:pStyle w:val="TableHeading"/>
        <w:numPr>
          <w:ilvl w:val="0"/>
          <w:numId w:val="81"/>
        </w:numPr>
        <w:spacing w:before="0" w:after="0"/>
        <w:ind w:left="284" w:hanging="284"/>
        <w:rPr>
          <w:b w:val="0"/>
          <w:sz w:val="14"/>
          <w:szCs w:val="14"/>
          <w:lang w:val="en-AU"/>
        </w:rPr>
      </w:pPr>
      <w:r w:rsidRPr="003E76E7">
        <w:rPr>
          <w:b w:val="0"/>
          <w:sz w:val="14"/>
          <w:szCs w:val="14"/>
          <w:lang w:val="en-AU"/>
        </w:rPr>
        <w:t xml:space="preserve">Key activity 1 has been amended for 2025-26, as published in the </w:t>
      </w:r>
      <w:r w:rsidRPr="003E76E7">
        <w:rPr>
          <w:b w:val="0"/>
          <w:i/>
          <w:sz w:val="14"/>
          <w:szCs w:val="14"/>
          <w:lang w:val="en-AU"/>
        </w:rPr>
        <w:t>2025-29 Defence Corporate Plan</w:t>
      </w:r>
      <w:r w:rsidR="007A1833" w:rsidRPr="003E76E7">
        <w:rPr>
          <w:b w:val="0"/>
          <w:i/>
          <w:sz w:val="14"/>
          <w:szCs w:val="14"/>
          <w:lang w:val="en-AU"/>
        </w:rPr>
        <w:t>.</w:t>
      </w:r>
    </w:p>
    <w:p w14:paraId="6E481D1D" w14:textId="77777777" w:rsidR="00D57AF5" w:rsidRPr="003E76E7" w:rsidRDefault="00D57AF5" w:rsidP="00C4292D">
      <w:pPr>
        <w:pStyle w:val="TableHeading"/>
        <w:numPr>
          <w:ilvl w:val="0"/>
          <w:numId w:val="81"/>
        </w:numPr>
        <w:spacing w:before="0" w:after="0"/>
        <w:ind w:left="284" w:hanging="284"/>
        <w:rPr>
          <w:b w:val="0"/>
          <w:sz w:val="14"/>
          <w:szCs w:val="14"/>
          <w:lang w:val="en-AU"/>
        </w:rPr>
      </w:pPr>
      <w:r w:rsidRPr="003E76E7">
        <w:rPr>
          <w:b w:val="0"/>
          <w:sz w:val="14"/>
          <w:szCs w:val="14"/>
          <w:lang w:val="en-AU"/>
        </w:rPr>
        <w:t xml:space="preserve">Performance Measure 1.1 and 1.2 have been amended and 1.3 is new for 2025-26, as published in </w:t>
      </w:r>
      <w:r w:rsidRPr="003E76E7">
        <w:rPr>
          <w:b w:val="0"/>
          <w:i/>
          <w:sz w:val="14"/>
          <w:szCs w:val="14"/>
          <w:lang w:val="en-AU"/>
        </w:rPr>
        <w:t>2025-29 Defence Corporate Plan</w:t>
      </w:r>
      <w:r w:rsidRPr="003E76E7">
        <w:rPr>
          <w:b w:val="0"/>
          <w:sz w:val="14"/>
          <w:szCs w:val="14"/>
          <w:lang w:val="en-AU"/>
        </w:rPr>
        <w:t>.</w:t>
      </w:r>
    </w:p>
    <w:p w14:paraId="1CF16DC4" w14:textId="134F8FB0" w:rsidR="00D57AF5" w:rsidRPr="003E76E7" w:rsidRDefault="00D57AF5" w:rsidP="00C4292D">
      <w:pPr>
        <w:pStyle w:val="TableHeading"/>
        <w:numPr>
          <w:ilvl w:val="0"/>
          <w:numId w:val="81"/>
        </w:numPr>
        <w:spacing w:before="0" w:after="0"/>
        <w:ind w:left="284" w:hanging="284"/>
        <w:rPr>
          <w:b w:val="0"/>
          <w:sz w:val="14"/>
          <w:szCs w:val="14"/>
          <w:lang w:val="en-AU"/>
        </w:rPr>
      </w:pPr>
      <w:r w:rsidRPr="003E76E7">
        <w:rPr>
          <w:b w:val="0"/>
          <w:sz w:val="14"/>
          <w:szCs w:val="14"/>
          <w:lang w:val="en-AU"/>
        </w:rPr>
        <w:t xml:space="preserve">In accordance with Defence's Enterprise Performance Framework, Defence is undertaking materiality assessments that may result in updates to the 2026-27 performance information in the 2026-30 Defence Corporate Plan, if required. </w:t>
      </w:r>
    </w:p>
    <w:p w14:paraId="2115C41F" w14:textId="77777777" w:rsidR="0013662A" w:rsidRPr="003E76E7" w:rsidRDefault="00792473" w:rsidP="00C4292D">
      <w:pPr>
        <w:pStyle w:val="TableHeading"/>
        <w:tabs>
          <w:tab w:val="left" w:pos="284"/>
        </w:tabs>
        <w:spacing w:before="0" w:after="0"/>
        <w:rPr>
          <w:lang w:val="en-AU"/>
        </w:rPr>
      </w:pPr>
      <w:r w:rsidRPr="003E76E7">
        <w:rPr>
          <w:szCs w:val="20"/>
        </w:rPr>
        <w:br w:type="page"/>
      </w:r>
    </w:p>
    <w:p w14:paraId="3F2E73D3" w14:textId="0BB7B923" w:rsidR="00055F34" w:rsidRPr="003E76E7" w:rsidRDefault="0013662A" w:rsidP="00C4292D">
      <w:pPr>
        <w:pStyle w:val="TableHeading"/>
        <w:numPr>
          <w:ilvl w:val="0"/>
          <w:numId w:val="61"/>
        </w:numPr>
        <w:spacing w:before="100"/>
        <w:ind w:left="0" w:firstLine="0"/>
        <w:outlineLvl w:val="4"/>
      </w:pPr>
      <w:r w:rsidRPr="003E76E7">
        <w:rPr>
          <w:b w:val="0"/>
          <w:lang w:val="en-AU"/>
        </w:rPr>
        <w:lastRenderedPageBreak/>
        <w:tab/>
      </w:r>
      <w:r w:rsidRPr="003E76E7">
        <w:rPr>
          <w:lang w:val="en-AU"/>
        </w:rPr>
        <w:t>Cost Summary for Program 1.1 Operations Contributing to the Safety of the Immediate Neighbourhood</w:t>
      </w:r>
    </w:p>
    <w:p w14:paraId="741E48A1" w14:textId="7DC30F08" w:rsidR="00656D60" w:rsidRPr="003E76E7" w:rsidRDefault="004E7650" w:rsidP="00C4292D">
      <w:pPr>
        <w:spacing w:after="0"/>
        <w:rPr>
          <w:rFonts w:ascii="Arial" w:hAnsi="Arial"/>
          <w:b/>
          <w:sz w:val="14"/>
          <w:szCs w:val="14"/>
        </w:rPr>
      </w:pPr>
      <w:r w:rsidRPr="004E7650">
        <w:rPr>
          <w:noProof/>
          <w:lang w:val="en-AU"/>
        </w:rPr>
        <w:drawing>
          <wp:inline distT="0" distB="0" distL="0" distR="0" wp14:anchorId="4208183E" wp14:editId="45CF3A58">
            <wp:extent cx="5471795" cy="3575628"/>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71795" cy="3575628"/>
                    </a:xfrm>
                    <a:prstGeom prst="rect">
                      <a:avLst/>
                    </a:prstGeom>
                    <a:noFill/>
                    <a:ln>
                      <a:noFill/>
                    </a:ln>
                  </pic:spPr>
                </pic:pic>
              </a:graphicData>
            </a:graphic>
          </wp:inline>
        </w:drawing>
      </w:r>
    </w:p>
    <w:p w14:paraId="5EB46E10" w14:textId="77777777" w:rsidR="009E7877" w:rsidRPr="003E76E7" w:rsidRDefault="009E7877" w:rsidP="00C4292D">
      <w:pPr>
        <w:tabs>
          <w:tab w:val="left" w:pos="284"/>
          <w:tab w:val="left" w:pos="567"/>
        </w:tabs>
        <w:spacing w:before="0" w:after="0"/>
        <w:ind w:left="284" w:hanging="284"/>
        <w:rPr>
          <w:rFonts w:ascii="Arial" w:hAnsi="Arial"/>
          <w:b/>
          <w:sz w:val="14"/>
          <w:szCs w:val="14"/>
        </w:rPr>
      </w:pPr>
    </w:p>
    <w:p w14:paraId="48D546AB" w14:textId="2F515847" w:rsidR="00CB045C" w:rsidRPr="003E76E7" w:rsidRDefault="00440F9C" w:rsidP="00C4292D">
      <w:pPr>
        <w:tabs>
          <w:tab w:val="left" w:pos="284"/>
          <w:tab w:val="left" w:pos="567"/>
        </w:tabs>
        <w:spacing w:before="0" w:after="0"/>
        <w:ind w:left="284" w:hanging="284"/>
        <w:rPr>
          <w:rFonts w:ascii="Arial" w:hAnsi="Arial"/>
          <w:b/>
          <w:sz w:val="14"/>
          <w:szCs w:val="14"/>
        </w:rPr>
      </w:pPr>
      <w:r w:rsidRPr="003E76E7">
        <w:rPr>
          <w:rFonts w:ascii="Arial" w:hAnsi="Arial"/>
          <w:b/>
          <w:sz w:val="14"/>
          <w:szCs w:val="14"/>
        </w:rPr>
        <w:t>Note</w:t>
      </w:r>
    </w:p>
    <w:p w14:paraId="6C49B299" w14:textId="52D7D267" w:rsidR="00565C1B" w:rsidRPr="003E76E7" w:rsidRDefault="00A37A36" w:rsidP="00C4292D">
      <w:pPr>
        <w:pStyle w:val="ListParagraph"/>
        <w:numPr>
          <w:ilvl w:val="0"/>
          <w:numId w:val="107"/>
        </w:numPr>
        <w:spacing w:before="0"/>
        <w:rPr>
          <w:rFonts w:ascii="Arial" w:hAnsi="Arial"/>
          <w:sz w:val="14"/>
          <w:szCs w:val="14"/>
        </w:rPr>
      </w:pPr>
      <w:r w:rsidRPr="003E76E7">
        <w:rPr>
          <w:rFonts w:ascii="Arial" w:hAnsi="Arial"/>
          <w:sz w:val="14"/>
          <w:szCs w:val="14"/>
        </w:rPr>
        <w:t>Total program funded</w:t>
      </w:r>
      <w:r w:rsidR="00565C1B" w:rsidRPr="003E76E7">
        <w:rPr>
          <w:rFonts w:ascii="Arial" w:hAnsi="Arial"/>
          <w:sz w:val="14"/>
          <w:szCs w:val="14"/>
        </w:rPr>
        <w:t xml:space="preserve"> expenditure includes operating expenses and capital expenditure funded by appropriation and </w:t>
      </w:r>
      <w:r w:rsidR="00565C1B" w:rsidRPr="003E76E7">
        <w:rPr>
          <w:rFonts w:ascii="Arial" w:hAnsi="Arial"/>
          <w:sz w:val="14"/>
          <w:szCs w:val="14"/>
        </w:rPr>
        <w:br/>
        <w:t>own source revenue. This excludes expenses not requiring appropriation.</w:t>
      </w:r>
      <w:r w:rsidR="00565C1B" w:rsidRPr="003E76E7">
        <w:rPr>
          <w:rFonts w:ascii="Arial" w:hAnsi="Arial"/>
          <w:sz w:val="14"/>
          <w:szCs w:val="14"/>
        </w:rPr>
        <w:tab/>
      </w:r>
      <w:r w:rsidR="00565C1B" w:rsidRPr="003E76E7">
        <w:rPr>
          <w:rFonts w:ascii="Arial" w:hAnsi="Arial"/>
          <w:sz w:val="14"/>
          <w:szCs w:val="14"/>
        </w:rPr>
        <w:tab/>
      </w:r>
      <w:r w:rsidR="00565C1B" w:rsidRPr="003E76E7">
        <w:rPr>
          <w:rFonts w:ascii="Arial" w:hAnsi="Arial"/>
          <w:sz w:val="14"/>
          <w:szCs w:val="14"/>
        </w:rPr>
        <w:tab/>
      </w:r>
      <w:r w:rsidR="00565C1B" w:rsidRPr="003E76E7">
        <w:rPr>
          <w:rFonts w:ascii="Arial" w:hAnsi="Arial"/>
          <w:sz w:val="14"/>
          <w:szCs w:val="14"/>
        </w:rPr>
        <w:tab/>
      </w:r>
      <w:r w:rsidR="00565C1B" w:rsidRPr="003E76E7">
        <w:rPr>
          <w:rFonts w:ascii="Arial" w:hAnsi="Arial"/>
          <w:sz w:val="14"/>
          <w:szCs w:val="14"/>
        </w:rPr>
        <w:tab/>
      </w:r>
    </w:p>
    <w:p w14:paraId="0B9721CD" w14:textId="77777777" w:rsidR="00055F34" w:rsidRPr="003E76E7" w:rsidRDefault="00055F34" w:rsidP="00C4292D"/>
    <w:p w14:paraId="3FF87995" w14:textId="77777777" w:rsidR="00055F34" w:rsidRPr="003E76E7" w:rsidRDefault="00055F34" w:rsidP="00C4292D">
      <w:pPr>
        <w:sectPr w:rsidR="00055F34" w:rsidRPr="003E76E7" w:rsidSect="00C30BE6">
          <w:pgSz w:w="11906" w:h="16838" w:code="9"/>
          <w:pgMar w:top="1701" w:right="1361" w:bottom="1701" w:left="1928" w:header="720" w:footer="720" w:gutter="0"/>
          <w:cols w:space="720"/>
        </w:sectPr>
      </w:pPr>
    </w:p>
    <w:p w14:paraId="3A5D273D" w14:textId="77777777" w:rsidR="00055F34" w:rsidRPr="003E76E7" w:rsidRDefault="00055F34" w:rsidP="00C4292D">
      <w:pPr>
        <w:spacing w:before="0" w:after="0" w:line="20" w:lineRule="atLeast"/>
        <w:outlineLvl w:val="5"/>
        <w:rPr>
          <w:color w:val="FFFFFF"/>
          <w:sz w:val="2"/>
          <w:szCs w:val="2"/>
        </w:rPr>
      </w:pPr>
      <w:r w:rsidRPr="003E76E7">
        <w:rPr>
          <w:color w:val="FFFFFF"/>
          <w:sz w:val="2"/>
          <w:szCs w:val="2"/>
        </w:rPr>
        <w:lastRenderedPageBreak/>
        <w:t>Program 1.2: Operations Supporting Wider Interests</w:t>
      </w:r>
    </w:p>
    <w:tbl>
      <w:tblPr>
        <w:tblW w:w="492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2003"/>
        <w:gridCol w:w="3292"/>
        <w:gridCol w:w="3174"/>
      </w:tblGrid>
      <w:tr w:rsidR="00EB2691" w:rsidRPr="003E76E7" w14:paraId="687BAD5C" w14:textId="77777777" w:rsidTr="00A211F5">
        <w:tc>
          <w:tcPr>
            <w:tcW w:w="8470" w:type="dxa"/>
            <w:gridSpan w:val="3"/>
            <w:tcBorders>
              <w:bottom w:val="single" w:sz="4" w:space="0" w:color="auto"/>
            </w:tcBorders>
            <w:shd w:val="clear" w:color="auto" w:fill="CCCCCC"/>
          </w:tcPr>
          <w:p w14:paraId="22B72E65" w14:textId="77777777" w:rsidR="00EB2691" w:rsidRPr="003E76E7" w:rsidRDefault="00EB2691" w:rsidP="00C4292D">
            <w:pPr>
              <w:pStyle w:val="Heading5"/>
              <w:spacing w:before="60" w:after="60"/>
            </w:pPr>
            <w:r w:rsidRPr="003E76E7">
              <w:rPr>
                <w:rFonts w:ascii="Book Antiqua" w:hAnsi="Book Antiqua"/>
                <w:b w:val="0"/>
                <w:bCs w:val="0"/>
                <w:iCs w:val="0"/>
                <w:szCs w:val="24"/>
              </w:rPr>
              <w:br w:type="page"/>
            </w:r>
            <w:r w:rsidRPr="003E76E7">
              <w:rPr>
                <w:rFonts w:ascii="Book Antiqua" w:hAnsi="Book Antiqua"/>
                <w:b w:val="0"/>
                <w:bCs w:val="0"/>
                <w:iCs w:val="0"/>
                <w:szCs w:val="24"/>
              </w:rPr>
              <w:br w:type="page"/>
            </w:r>
            <w:r w:rsidRPr="003E76E7">
              <w:t>Program 1.2: Operations Supporting Wider Interests</w:t>
            </w:r>
          </w:p>
        </w:tc>
      </w:tr>
      <w:tr w:rsidR="00433482" w:rsidRPr="003E76E7" w14:paraId="543F9733" w14:textId="77777777" w:rsidTr="00A211F5">
        <w:trPr>
          <w:trHeight w:val="170"/>
        </w:trPr>
        <w:tc>
          <w:tcPr>
            <w:tcW w:w="8470" w:type="dxa"/>
            <w:gridSpan w:val="3"/>
            <w:tcBorders>
              <w:left w:val="nil"/>
              <w:bottom w:val="single" w:sz="4" w:space="0" w:color="auto"/>
              <w:right w:val="nil"/>
            </w:tcBorders>
            <w:shd w:val="clear" w:color="auto" w:fill="auto"/>
          </w:tcPr>
          <w:p w14:paraId="6BB68600" w14:textId="77777777" w:rsidR="00433482" w:rsidRPr="003E76E7" w:rsidRDefault="00433482" w:rsidP="00C4292D">
            <w:pPr>
              <w:pStyle w:val="Heading5"/>
              <w:spacing w:before="0" w:after="0"/>
              <w:rPr>
                <w:b w:val="0"/>
                <w:bCs w:val="0"/>
                <w:iCs w:val="0"/>
                <w:sz w:val="16"/>
                <w:szCs w:val="16"/>
              </w:rPr>
            </w:pPr>
          </w:p>
        </w:tc>
      </w:tr>
      <w:tr w:rsidR="00EB2691" w:rsidRPr="003E76E7" w14:paraId="4BDC145E" w14:textId="77777777" w:rsidTr="00A211F5">
        <w:tblPrEx>
          <w:shd w:val="clear" w:color="auto" w:fill="auto"/>
          <w:tblLook w:val="04A0" w:firstRow="1" w:lastRow="0" w:firstColumn="1" w:lastColumn="0" w:noHBand="0" w:noVBand="1"/>
        </w:tblPrEx>
        <w:trPr>
          <w:tblHeader/>
        </w:trPr>
        <w:tc>
          <w:tcPr>
            <w:tcW w:w="8470" w:type="dxa"/>
            <w:gridSpan w:val="3"/>
            <w:shd w:val="clear" w:color="auto" w:fill="E6E6E6"/>
          </w:tcPr>
          <w:p w14:paraId="26985A44" w14:textId="77777777" w:rsidR="00EB2691" w:rsidRPr="003E76E7" w:rsidRDefault="00EB2691" w:rsidP="00C4292D">
            <w:pPr>
              <w:tabs>
                <w:tab w:val="left" w:pos="709"/>
              </w:tabs>
              <w:spacing w:before="60" w:after="60"/>
              <w:rPr>
                <w:rFonts w:ascii="Arial" w:hAnsi="Arial"/>
                <w:sz w:val="16"/>
                <w:szCs w:val="16"/>
              </w:rPr>
            </w:pPr>
            <w:r w:rsidRPr="003E76E7">
              <w:rPr>
                <w:rFonts w:ascii="Arial" w:hAnsi="Arial"/>
                <w:b/>
                <w:sz w:val="16"/>
                <w:szCs w:val="16"/>
              </w:rPr>
              <w:t>Program 1.2</w:t>
            </w:r>
            <w:r w:rsidRPr="003E76E7">
              <w:rPr>
                <w:rFonts w:ascii="Arial" w:hAnsi="Arial"/>
                <w:sz w:val="16"/>
                <w:szCs w:val="16"/>
              </w:rPr>
              <w:t xml:space="preserve"> </w:t>
            </w:r>
            <w:r w:rsidRPr="003E76E7">
              <w:rPr>
                <w:rFonts w:ascii="Arial" w:hAnsi="Arial"/>
                <w:b/>
                <w:sz w:val="16"/>
                <w:szCs w:val="16"/>
              </w:rPr>
              <w:t>Objective</w:t>
            </w:r>
          </w:p>
          <w:p w14:paraId="3DCBBB45" w14:textId="77777777" w:rsidR="00EB2691" w:rsidRPr="003E76E7" w:rsidRDefault="00C10936" w:rsidP="00C4292D">
            <w:pPr>
              <w:tabs>
                <w:tab w:val="left" w:pos="709"/>
              </w:tabs>
              <w:spacing w:before="60" w:after="60"/>
              <w:rPr>
                <w:rFonts w:ascii="Arial" w:hAnsi="Arial"/>
                <w:sz w:val="16"/>
                <w:szCs w:val="16"/>
              </w:rPr>
            </w:pPr>
            <w:r w:rsidRPr="003E76E7">
              <w:rPr>
                <w:rFonts w:ascii="Arial" w:eastAsia="MS Mincho" w:hAnsi="Arial"/>
                <w:sz w:val="16"/>
                <w:szCs w:val="16"/>
                <w:lang w:val="en-AU" w:eastAsia="ja-JP"/>
              </w:rPr>
              <w:t>Operations supporting wider interests are designed to contribute to United Nations’ and international efforts to uphold global security.</w:t>
            </w:r>
          </w:p>
        </w:tc>
      </w:tr>
      <w:tr w:rsidR="00EB2691" w:rsidRPr="003E76E7" w14:paraId="49BF9F45" w14:textId="77777777" w:rsidTr="00A211F5">
        <w:tblPrEx>
          <w:shd w:val="clear" w:color="auto" w:fill="auto"/>
          <w:tblLook w:val="04A0" w:firstRow="1" w:lastRow="0" w:firstColumn="1" w:lastColumn="0" w:noHBand="0" w:noVBand="1"/>
        </w:tblPrEx>
        <w:trPr>
          <w:trHeight w:val="312"/>
        </w:trPr>
        <w:tc>
          <w:tcPr>
            <w:tcW w:w="2004" w:type="dxa"/>
            <w:tcBorders>
              <w:bottom w:val="single" w:sz="4" w:space="0" w:color="auto"/>
            </w:tcBorders>
            <w:shd w:val="clear" w:color="auto" w:fill="auto"/>
          </w:tcPr>
          <w:p w14:paraId="55062CDE" w14:textId="2D70D6C0" w:rsidR="00EB2691" w:rsidRPr="003E76E7" w:rsidRDefault="00495811" w:rsidP="00C4292D">
            <w:pPr>
              <w:tabs>
                <w:tab w:val="left" w:pos="709"/>
              </w:tabs>
              <w:spacing w:before="60" w:after="60"/>
              <w:rPr>
                <w:rFonts w:ascii="Arial" w:hAnsi="Arial"/>
                <w:b/>
                <w:color w:val="000000"/>
                <w:sz w:val="16"/>
                <w:szCs w:val="16"/>
              </w:rPr>
            </w:pPr>
            <w:r w:rsidRPr="003E76E7">
              <w:rPr>
                <w:rFonts w:ascii="Arial" w:hAnsi="Arial"/>
                <w:b/>
                <w:color w:val="000000"/>
                <w:sz w:val="16"/>
                <w:szCs w:val="16"/>
              </w:rPr>
              <w:t>Key Activity</w:t>
            </w:r>
            <w:r w:rsidR="00EB2691" w:rsidRPr="003E76E7">
              <w:rPr>
                <w:rFonts w:ascii="Arial" w:hAnsi="Arial"/>
                <w:b/>
                <w:color w:val="000000"/>
                <w:sz w:val="16"/>
                <w:szCs w:val="16"/>
              </w:rPr>
              <w:t xml:space="preserve"> </w:t>
            </w:r>
            <w:r w:rsidR="00A0768C" w:rsidRPr="003E76E7">
              <w:rPr>
                <w:rFonts w:ascii="Arial" w:hAnsi="Arial"/>
                <w:b/>
                <w:color w:val="000000"/>
                <w:sz w:val="16"/>
                <w:szCs w:val="16"/>
                <w:vertAlign w:val="superscript"/>
              </w:rPr>
              <w:t>[a]</w:t>
            </w:r>
          </w:p>
        </w:tc>
        <w:tc>
          <w:tcPr>
            <w:tcW w:w="6466" w:type="dxa"/>
            <w:gridSpan w:val="2"/>
            <w:tcBorders>
              <w:bottom w:val="single" w:sz="4" w:space="0" w:color="auto"/>
            </w:tcBorders>
          </w:tcPr>
          <w:p w14:paraId="2AB2B240" w14:textId="77777777" w:rsidR="00D57AF5" w:rsidRPr="003E76E7" w:rsidRDefault="00D57AF5" w:rsidP="00C4292D">
            <w:pPr>
              <w:tabs>
                <w:tab w:val="left" w:pos="343"/>
              </w:tabs>
              <w:spacing w:before="60" w:after="60"/>
              <w:rPr>
                <w:rFonts w:ascii="Arial" w:hAnsi="Arial"/>
                <w:bCs/>
                <w:color w:val="000000"/>
                <w:sz w:val="16"/>
                <w:szCs w:val="16"/>
              </w:rPr>
            </w:pPr>
            <w:r w:rsidRPr="003E76E7">
              <w:rPr>
                <w:rFonts w:ascii="Arial" w:hAnsi="Arial"/>
                <w:bCs/>
                <w:color w:val="000000"/>
                <w:sz w:val="16"/>
                <w:szCs w:val="16"/>
              </w:rPr>
              <w:t>This program will be achieved through the following activity:</w:t>
            </w:r>
          </w:p>
          <w:p w14:paraId="541F2447" w14:textId="14BCFEF2" w:rsidR="00EB2691" w:rsidRPr="003E76E7" w:rsidRDefault="00D57AF5" w:rsidP="00C4292D">
            <w:pPr>
              <w:tabs>
                <w:tab w:val="left" w:pos="709"/>
              </w:tabs>
              <w:spacing w:before="60" w:after="60"/>
              <w:rPr>
                <w:rFonts w:ascii="Arial" w:hAnsi="Arial"/>
                <w:i/>
                <w:color w:val="000000"/>
                <w:sz w:val="16"/>
                <w:szCs w:val="16"/>
              </w:rPr>
            </w:pPr>
            <w:r w:rsidRPr="003E76E7">
              <w:rPr>
                <w:rFonts w:ascii="Arial" w:hAnsi="Arial"/>
                <w:b/>
                <w:sz w:val="16"/>
                <w:szCs w:val="16"/>
                <w:lang w:val="en-AU"/>
              </w:rPr>
              <w:t>1. Conduct domestic and international operations and exercises to defend Australia and its national interests</w:t>
            </w:r>
            <w:r w:rsidRPr="003E76E7">
              <w:rPr>
                <w:rFonts w:ascii="Arial" w:hAnsi="Arial"/>
                <w:color w:val="000000"/>
                <w:sz w:val="16"/>
                <w:szCs w:val="16"/>
                <w:lang w:val="en-AU"/>
              </w:rPr>
              <w:t>.</w:t>
            </w:r>
          </w:p>
        </w:tc>
      </w:tr>
      <w:tr w:rsidR="00EB2691" w:rsidRPr="003E76E7" w14:paraId="54EB7F1D" w14:textId="77777777" w:rsidTr="00A211F5">
        <w:tblPrEx>
          <w:shd w:val="clear" w:color="auto" w:fill="auto"/>
          <w:tblLook w:val="04A0" w:firstRow="1" w:lastRow="0" w:firstColumn="1" w:lastColumn="0" w:noHBand="0" w:noVBand="1"/>
        </w:tblPrEx>
        <w:trPr>
          <w:trHeight w:val="258"/>
        </w:trPr>
        <w:tc>
          <w:tcPr>
            <w:tcW w:w="2004" w:type="dxa"/>
            <w:tcBorders>
              <w:top w:val="single" w:sz="4" w:space="0" w:color="auto"/>
              <w:bottom w:val="single" w:sz="4" w:space="0" w:color="auto"/>
              <w:right w:val="single" w:sz="4" w:space="0" w:color="auto"/>
            </w:tcBorders>
            <w:shd w:val="clear" w:color="auto" w:fill="auto"/>
          </w:tcPr>
          <w:p w14:paraId="574DEDFC" w14:textId="77777777" w:rsidR="00EB2691" w:rsidRPr="003E76E7" w:rsidRDefault="00EB2691" w:rsidP="00C4292D">
            <w:pPr>
              <w:tabs>
                <w:tab w:val="left" w:pos="709"/>
              </w:tabs>
              <w:spacing w:before="60" w:after="60"/>
              <w:rPr>
                <w:rFonts w:ascii="Arial" w:hAnsi="Arial"/>
                <w:b/>
                <w:color w:val="000000"/>
                <w:sz w:val="16"/>
                <w:szCs w:val="16"/>
              </w:rPr>
            </w:pPr>
            <w:r w:rsidRPr="003E76E7">
              <w:rPr>
                <w:rFonts w:ascii="Arial" w:hAnsi="Arial"/>
                <w:b/>
                <w:color w:val="000000"/>
                <w:sz w:val="16"/>
                <w:szCs w:val="16"/>
              </w:rPr>
              <w:t>Year</w:t>
            </w:r>
          </w:p>
        </w:tc>
        <w:tc>
          <w:tcPr>
            <w:tcW w:w="3292" w:type="dxa"/>
            <w:tcBorders>
              <w:top w:val="single" w:sz="4" w:space="0" w:color="auto"/>
              <w:left w:val="single" w:sz="4" w:space="0" w:color="auto"/>
              <w:bottom w:val="single" w:sz="4" w:space="0" w:color="auto"/>
              <w:right w:val="single" w:sz="4" w:space="0" w:color="auto"/>
            </w:tcBorders>
          </w:tcPr>
          <w:p w14:paraId="63AFC72B" w14:textId="62F18161" w:rsidR="00EB2691" w:rsidRPr="003E76E7" w:rsidRDefault="00AD14EC" w:rsidP="00C4292D">
            <w:pPr>
              <w:tabs>
                <w:tab w:val="left" w:pos="709"/>
                <w:tab w:val="center" w:pos="1818"/>
              </w:tabs>
              <w:spacing w:before="60" w:after="60"/>
              <w:rPr>
                <w:rFonts w:ascii="Arial" w:hAnsi="Arial"/>
                <w:b/>
                <w:color w:val="000000"/>
                <w:sz w:val="16"/>
                <w:szCs w:val="16"/>
              </w:rPr>
            </w:pPr>
            <w:r w:rsidRPr="003E76E7">
              <w:rPr>
                <w:rFonts w:ascii="Arial" w:hAnsi="Arial"/>
                <w:b/>
                <w:color w:val="000000"/>
                <w:sz w:val="16"/>
                <w:szCs w:val="16"/>
              </w:rPr>
              <w:t>Performance Measures</w:t>
            </w:r>
          </w:p>
        </w:tc>
        <w:tc>
          <w:tcPr>
            <w:tcW w:w="3174" w:type="dxa"/>
            <w:tcBorders>
              <w:top w:val="single" w:sz="4" w:space="0" w:color="auto"/>
              <w:left w:val="single" w:sz="4" w:space="0" w:color="auto"/>
              <w:bottom w:val="single" w:sz="4" w:space="0" w:color="auto"/>
            </w:tcBorders>
          </w:tcPr>
          <w:p w14:paraId="6978A8AA" w14:textId="77777777" w:rsidR="00EB2691" w:rsidRPr="003E76E7" w:rsidRDefault="00EB2691" w:rsidP="00C4292D">
            <w:pPr>
              <w:tabs>
                <w:tab w:val="left" w:pos="709"/>
              </w:tabs>
              <w:spacing w:before="60" w:after="60"/>
              <w:rPr>
                <w:rFonts w:ascii="Arial" w:hAnsi="Arial"/>
                <w:b/>
                <w:color w:val="000000"/>
                <w:sz w:val="16"/>
                <w:szCs w:val="16"/>
              </w:rPr>
            </w:pPr>
            <w:r w:rsidRPr="003E76E7">
              <w:rPr>
                <w:rFonts w:ascii="Arial" w:hAnsi="Arial"/>
                <w:b/>
                <w:color w:val="000000"/>
                <w:sz w:val="16"/>
                <w:szCs w:val="16"/>
              </w:rPr>
              <w:t>Expected Performance Results</w:t>
            </w:r>
          </w:p>
        </w:tc>
      </w:tr>
      <w:tr w:rsidR="008B58E4" w:rsidRPr="003E76E7" w14:paraId="18241367" w14:textId="77777777" w:rsidTr="00A211F5">
        <w:tblPrEx>
          <w:shd w:val="clear" w:color="auto" w:fill="auto"/>
          <w:tblLook w:val="04A0" w:firstRow="1" w:lastRow="0" w:firstColumn="1" w:lastColumn="0" w:noHBand="0" w:noVBand="1"/>
        </w:tblPrEx>
        <w:trPr>
          <w:trHeight w:val="705"/>
        </w:trPr>
        <w:tc>
          <w:tcPr>
            <w:tcW w:w="2004" w:type="dxa"/>
            <w:vMerge w:val="restart"/>
            <w:tcBorders>
              <w:top w:val="single" w:sz="4" w:space="0" w:color="auto"/>
              <w:right w:val="single" w:sz="4" w:space="0" w:color="auto"/>
            </w:tcBorders>
            <w:shd w:val="clear" w:color="auto" w:fill="auto"/>
          </w:tcPr>
          <w:p w14:paraId="697850F4" w14:textId="77777777" w:rsidR="008B58E4" w:rsidRPr="003E76E7" w:rsidRDefault="008B58E4" w:rsidP="00C4292D">
            <w:pPr>
              <w:tabs>
                <w:tab w:val="left" w:pos="709"/>
              </w:tabs>
              <w:spacing w:before="0" w:after="0"/>
              <w:rPr>
                <w:rFonts w:ascii="Arial" w:hAnsi="Arial"/>
                <w:color w:val="000000"/>
                <w:sz w:val="16"/>
                <w:szCs w:val="16"/>
              </w:rPr>
            </w:pPr>
            <w:r w:rsidRPr="003E76E7">
              <w:rPr>
                <w:rFonts w:ascii="Arial" w:hAnsi="Arial"/>
                <w:color w:val="000000"/>
                <w:sz w:val="16"/>
                <w:szCs w:val="16"/>
              </w:rPr>
              <w:t>Current Year</w:t>
            </w:r>
          </w:p>
          <w:p w14:paraId="47C67D2D" w14:textId="40E6388D" w:rsidR="008B58E4" w:rsidRPr="003E76E7" w:rsidRDefault="008B58E4" w:rsidP="00C4292D">
            <w:pPr>
              <w:tabs>
                <w:tab w:val="left" w:pos="709"/>
              </w:tabs>
              <w:spacing w:before="0" w:after="0"/>
              <w:rPr>
                <w:rFonts w:ascii="Arial" w:hAnsi="Arial"/>
                <w:color w:val="000000"/>
                <w:sz w:val="16"/>
                <w:szCs w:val="16"/>
              </w:rPr>
            </w:pPr>
            <w:r w:rsidRPr="003E76E7">
              <w:rPr>
                <w:rFonts w:ascii="Arial" w:hAnsi="Arial"/>
                <w:color w:val="000000"/>
                <w:sz w:val="16"/>
                <w:szCs w:val="16"/>
              </w:rPr>
              <w:t xml:space="preserve">2025-26 </w:t>
            </w:r>
            <w:r w:rsidR="00A0768C" w:rsidRPr="003E76E7">
              <w:rPr>
                <w:rFonts w:ascii="Arial" w:hAnsi="Arial"/>
                <w:color w:val="000000"/>
                <w:sz w:val="16"/>
                <w:szCs w:val="16"/>
                <w:vertAlign w:val="superscript"/>
              </w:rPr>
              <w:t>[b]</w:t>
            </w:r>
            <w:r w:rsidR="00A0768C" w:rsidRPr="003E76E7" w:rsidDel="00A0768C">
              <w:rPr>
                <w:rFonts w:ascii="Arial" w:hAnsi="Arial"/>
                <w:color w:val="000000"/>
                <w:sz w:val="16"/>
                <w:szCs w:val="16"/>
                <w:vertAlign w:val="superscript"/>
              </w:rPr>
              <w:t xml:space="preserve"> </w:t>
            </w:r>
          </w:p>
        </w:tc>
        <w:tc>
          <w:tcPr>
            <w:tcW w:w="3292" w:type="dxa"/>
            <w:tcBorders>
              <w:top w:val="single" w:sz="4" w:space="0" w:color="auto"/>
              <w:left w:val="single" w:sz="4" w:space="0" w:color="auto"/>
              <w:bottom w:val="single" w:sz="4" w:space="0" w:color="auto"/>
              <w:right w:val="single" w:sz="4" w:space="0" w:color="auto"/>
            </w:tcBorders>
          </w:tcPr>
          <w:p w14:paraId="24BD0DB4" w14:textId="16307E42" w:rsidR="008B58E4" w:rsidRPr="003E76E7" w:rsidRDefault="008B58E4" w:rsidP="00C4292D">
            <w:pPr>
              <w:tabs>
                <w:tab w:val="left" w:pos="709"/>
              </w:tabs>
              <w:spacing w:before="60" w:after="60"/>
              <w:rPr>
                <w:rFonts w:ascii="Arial" w:hAnsi="Arial"/>
                <w:color w:val="000000"/>
                <w:sz w:val="16"/>
                <w:szCs w:val="16"/>
              </w:rPr>
            </w:pPr>
            <w:r w:rsidRPr="003E76E7">
              <w:rPr>
                <w:rFonts w:ascii="Arial" w:hAnsi="Arial"/>
                <w:sz w:val="16"/>
                <w:szCs w:val="16"/>
                <w:lang w:val="en-AU"/>
              </w:rPr>
              <w:t>1.1: Defence conducts operations as directed by Government to achieve Defence’s mission</w:t>
            </w:r>
            <w:r w:rsidRPr="003E76E7" w:rsidDel="00844C26">
              <w:rPr>
                <w:rFonts w:ascii="Arial" w:hAnsi="Arial"/>
                <w:sz w:val="16"/>
                <w:szCs w:val="16"/>
                <w:lang w:val="en-AU"/>
              </w:rPr>
              <w:t>.</w:t>
            </w:r>
          </w:p>
        </w:tc>
        <w:tc>
          <w:tcPr>
            <w:tcW w:w="3174" w:type="dxa"/>
            <w:tcBorders>
              <w:top w:val="single" w:sz="4" w:space="0" w:color="auto"/>
              <w:left w:val="single" w:sz="4" w:space="0" w:color="auto"/>
              <w:bottom w:val="single" w:sz="4" w:space="0" w:color="auto"/>
            </w:tcBorders>
          </w:tcPr>
          <w:p w14:paraId="7B8F401C" w14:textId="68A694ED" w:rsidR="008B58E4" w:rsidRPr="003E76E7" w:rsidRDefault="008B58E4" w:rsidP="00C4292D">
            <w:pPr>
              <w:tabs>
                <w:tab w:val="left" w:pos="709"/>
              </w:tabs>
              <w:spacing w:before="0" w:after="0"/>
              <w:rPr>
                <w:rFonts w:ascii="Arial" w:hAnsi="Arial"/>
                <w:sz w:val="16"/>
                <w:szCs w:val="16"/>
                <w:lang w:val="en-AU"/>
              </w:rPr>
            </w:pPr>
            <w:r w:rsidRPr="003E76E7">
              <w:rPr>
                <w:rFonts w:ascii="Arial" w:hAnsi="Arial"/>
                <w:sz w:val="16"/>
                <w:szCs w:val="16"/>
                <w:lang w:val="en-AU"/>
              </w:rPr>
              <w:t>100 per cent of operations conducted or being conducted as directed by Government.</w:t>
            </w:r>
          </w:p>
          <w:p w14:paraId="59AC387D" w14:textId="77777777" w:rsidR="003D743B" w:rsidRPr="003E76E7" w:rsidRDefault="003D743B" w:rsidP="00C4292D">
            <w:pPr>
              <w:tabs>
                <w:tab w:val="left" w:pos="709"/>
              </w:tabs>
              <w:spacing w:before="0" w:after="0"/>
              <w:rPr>
                <w:rFonts w:ascii="Arial" w:hAnsi="Arial"/>
                <w:sz w:val="16"/>
                <w:szCs w:val="16"/>
                <w:lang w:val="en-AU"/>
              </w:rPr>
            </w:pPr>
          </w:p>
          <w:p w14:paraId="7AD9FF4C" w14:textId="2E9BE9AB" w:rsidR="008B58E4" w:rsidRPr="003E76E7" w:rsidRDefault="00D021AE" w:rsidP="00C4292D">
            <w:pPr>
              <w:tabs>
                <w:tab w:val="left" w:pos="709"/>
              </w:tabs>
              <w:spacing w:before="0" w:after="0"/>
              <w:jc w:val="right"/>
              <w:rPr>
                <w:rFonts w:ascii="Arial" w:hAnsi="Arial"/>
                <w:color w:val="000000"/>
                <w:sz w:val="16"/>
                <w:szCs w:val="16"/>
              </w:rPr>
            </w:pPr>
            <w:r w:rsidRPr="003E76E7">
              <w:rPr>
                <w:rFonts w:ascii="Arial" w:hAnsi="Arial"/>
                <w:i/>
                <w:sz w:val="16"/>
                <w:szCs w:val="16"/>
                <w:lang w:val="en-AU"/>
              </w:rPr>
              <w:t>Expected to be achieved.</w:t>
            </w:r>
          </w:p>
        </w:tc>
      </w:tr>
      <w:tr w:rsidR="008B58E4" w:rsidRPr="003E76E7" w14:paraId="26D3C338" w14:textId="77777777" w:rsidTr="00A211F5">
        <w:tblPrEx>
          <w:shd w:val="clear" w:color="auto" w:fill="auto"/>
          <w:tblLook w:val="04A0" w:firstRow="1" w:lastRow="0" w:firstColumn="1" w:lastColumn="0" w:noHBand="0" w:noVBand="1"/>
        </w:tblPrEx>
        <w:trPr>
          <w:trHeight w:val="705"/>
        </w:trPr>
        <w:tc>
          <w:tcPr>
            <w:tcW w:w="2004" w:type="dxa"/>
            <w:vMerge/>
            <w:tcBorders>
              <w:right w:val="single" w:sz="4" w:space="0" w:color="auto"/>
            </w:tcBorders>
            <w:shd w:val="clear" w:color="auto" w:fill="auto"/>
          </w:tcPr>
          <w:p w14:paraId="3B091595" w14:textId="77777777" w:rsidR="008B58E4" w:rsidRPr="003E76E7" w:rsidRDefault="008B58E4" w:rsidP="00C4292D">
            <w:pPr>
              <w:tabs>
                <w:tab w:val="left" w:pos="709"/>
              </w:tabs>
              <w:spacing w:before="60" w:after="60"/>
              <w:rPr>
                <w:rFonts w:ascii="Arial" w:hAnsi="Arial"/>
                <w:color w:val="000000"/>
                <w:sz w:val="16"/>
                <w:szCs w:val="16"/>
              </w:rPr>
            </w:pPr>
          </w:p>
        </w:tc>
        <w:tc>
          <w:tcPr>
            <w:tcW w:w="3292" w:type="dxa"/>
            <w:tcBorders>
              <w:top w:val="single" w:sz="4" w:space="0" w:color="auto"/>
              <w:left w:val="single" w:sz="4" w:space="0" w:color="auto"/>
              <w:bottom w:val="single" w:sz="4" w:space="0" w:color="auto"/>
              <w:right w:val="single" w:sz="4" w:space="0" w:color="auto"/>
            </w:tcBorders>
          </w:tcPr>
          <w:p w14:paraId="668DD3B0" w14:textId="78823D32" w:rsidR="008B58E4" w:rsidRPr="003E76E7" w:rsidRDefault="008B58E4" w:rsidP="00C4292D">
            <w:pPr>
              <w:tabs>
                <w:tab w:val="left" w:pos="709"/>
              </w:tabs>
              <w:spacing w:before="60" w:after="60"/>
              <w:rPr>
                <w:rFonts w:ascii="Arial" w:hAnsi="Arial"/>
                <w:color w:val="000000"/>
                <w:sz w:val="16"/>
                <w:szCs w:val="16"/>
              </w:rPr>
            </w:pPr>
            <w:r w:rsidRPr="003E76E7">
              <w:rPr>
                <w:rFonts w:ascii="Arial" w:hAnsi="Arial"/>
                <w:sz w:val="16"/>
                <w:szCs w:val="16"/>
                <w:lang w:val="en-AU"/>
              </w:rPr>
              <w:t>1.2: Defence maintains ready forces through the conduct of exercises.</w:t>
            </w:r>
            <w:r w:rsidRPr="003E76E7" w:rsidDel="003754E8">
              <w:rPr>
                <w:rFonts w:ascii="Arial" w:hAnsi="Arial"/>
                <w:sz w:val="16"/>
                <w:szCs w:val="16"/>
                <w:lang w:val="en-AU"/>
              </w:rPr>
              <w:t xml:space="preserve"> </w:t>
            </w:r>
          </w:p>
        </w:tc>
        <w:tc>
          <w:tcPr>
            <w:tcW w:w="3174" w:type="dxa"/>
            <w:tcBorders>
              <w:top w:val="single" w:sz="4" w:space="0" w:color="auto"/>
              <w:left w:val="single" w:sz="4" w:space="0" w:color="auto"/>
              <w:bottom w:val="single" w:sz="4" w:space="0" w:color="auto"/>
            </w:tcBorders>
          </w:tcPr>
          <w:p w14:paraId="7DD6AD8D" w14:textId="77777777" w:rsidR="008B58E4" w:rsidRPr="003E76E7" w:rsidRDefault="008B58E4" w:rsidP="00C4292D">
            <w:pPr>
              <w:spacing w:before="60" w:after="60"/>
              <w:rPr>
                <w:rFonts w:ascii="Arial" w:hAnsi="Arial"/>
                <w:color w:val="000000"/>
                <w:sz w:val="16"/>
                <w:szCs w:val="16"/>
                <w:lang w:val="en-AU"/>
              </w:rPr>
            </w:pPr>
            <w:r w:rsidRPr="003E76E7">
              <w:rPr>
                <w:rFonts w:ascii="Arial" w:hAnsi="Arial"/>
                <w:color w:val="000000"/>
                <w:sz w:val="16"/>
                <w:szCs w:val="16"/>
                <w:lang w:val="en-AU"/>
              </w:rPr>
              <w:t>100 per cent of exercises conducted achieve planned objectives.</w:t>
            </w:r>
          </w:p>
          <w:p w14:paraId="735534B4" w14:textId="43A81BD7" w:rsidR="008B58E4" w:rsidRPr="003E76E7" w:rsidRDefault="00D021AE" w:rsidP="00C4292D">
            <w:pPr>
              <w:tabs>
                <w:tab w:val="left" w:pos="709"/>
              </w:tabs>
              <w:spacing w:before="60" w:after="60"/>
              <w:jc w:val="right"/>
              <w:rPr>
                <w:rFonts w:ascii="Arial" w:hAnsi="Arial"/>
                <w:color w:val="000000"/>
                <w:sz w:val="16"/>
                <w:szCs w:val="16"/>
              </w:rPr>
            </w:pPr>
            <w:r w:rsidRPr="003E76E7">
              <w:rPr>
                <w:rFonts w:ascii="Arial" w:hAnsi="Arial"/>
                <w:i/>
                <w:sz w:val="16"/>
                <w:szCs w:val="16"/>
                <w:lang w:val="en-AU"/>
              </w:rPr>
              <w:t>Expected to be substantially achieved.</w:t>
            </w:r>
          </w:p>
        </w:tc>
      </w:tr>
      <w:tr w:rsidR="008B58E4" w:rsidRPr="003E76E7" w14:paraId="2DDB7536" w14:textId="77777777" w:rsidTr="00215114">
        <w:tblPrEx>
          <w:shd w:val="clear" w:color="auto" w:fill="auto"/>
          <w:tblLook w:val="04A0" w:firstRow="1" w:lastRow="0" w:firstColumn="1" w:lastColumn="0" w:noHBand="0" w:noVBand="1"/>
        </w:tblPrEx>
        <w:trPr>
          <w:trHeight w:val="705"/>
        </w:trPr>
        <w:tc>
          <w:tcPr>
            <w:tcW w:w="2004" w:type="dxa"/>
            <w:vMerge/>
            <w:tcBorders>
              <w:bottom w:val="single" w:sz="4" w:space="0" w:color="auto"/>
              <w:right w:val="single" w:sz="4" w:space="0" w:color="auto"/>
            </w:tcBorders>
            <w:shd w:val="clear" w:color="auto" w:fill="auto"/>
          </w:tcPr>
          <w:p w14:paraId="4BFD4C5D" w14:textId="77777777" w:rsidR="008B58E4" w:rsidRPr="003E76E7" w:rsidRDefault="008B58E4" w:rsidP="00C4292D">
            <w:pPr>
              <w:tabs>
                <w:tab w:val="left" w:pos="709"/>
              </w:tabs>
              <w:spacing w:before="60" w:after="60"/>
              <w:rPr>
                <w:rFonts w:ascii="Arial" w:hAnsi="Arial"/>
                <w:color w:val="000000"/>
                <w:sz w:val="16"/>
                <w:szCs w:val="16"/>
              </w:rPr>
            </w:pPr>
          </w:p>
        </w:tc>
        <w:tc>
          <w:tcPr>
            <w:tcW w:w="3292" w:type="dxa"/>
            <w:tcBorders>
              <w:top w:val="dotted" w:sz="4" w:space="0" w:color="auto"/>
              <w:left w:val="single" w:sz="4" w:space="0" w:color="auto"/>
              <w:bottom w:val="single" w:sz="4" w:space="0" w:color="auto"/>
              <w:right w:val="single" w:sz="4" w:space="0" w:color="auto"/>
            </w:tcBorders>
          </w:tcPr>
          <w:p w14:paraId="4F67597C" w14:textId="65D42D25" w:rsidR="008B58E4" w:rsidRPr="003E76E7" w:rsidRDefault="008B58E4" w:rsidP="00C4292D">
            <w:pPr>
              <w:tabs>
                <w:tab w:val="left" w:pos="709"/>
              </w:tabs>
              <w:spacing w:before="60" w:after="60"/>
              <w:rPr>
                <w:rFonts w:ascii="Arial" w:hAnsi="Arial"/>
                <w:sz w:val="16"/>
                <w:szCs w:val="16"/>
                <w:lang w:val="en-AU"/>
              </w:rPr>
            </w:pPr>
            <w:r w:rsidRPr="003E76E7">
              <w:rPr>
                <w:rFonts w:ascii="Arial" w:hAnsi="Arial"/>
                <w:sz w:val="16"/>
                <w:szCs w:val="16"/>
                <w:lang w:val="en-AU"/>
              </w:rPr>
              <w:t>1.3</w:t>
            </w:r>
            <w:r w:rsidR="00DB5636" w:rsidRPr="003E76E7">
              <w:rPr>
                <w:rFonts w:ascii="Arial" w:hAnsi="Arial"/>
                <w:sz w:val="16"/>
                <w:szCs w:val="16"/>
                <w:lang w:val="en-AU"/>
              </w:rPr>
              <w:t>:</w:t>
            </w:r>
            <w:r w:rsidRPr="003E76E7">
              <w:rPr>
                <w:rFonts w:ascii="Arial" w:hAnsi="Arial"/>
                <w:sz w:val="16"/>
                <w:szCs w:val="16"/>
                <w:lang w:val="en-AU"/>
              </w:rPr>
              <w:t xml:space="preserve"> Defence assists with domestic crisis and emergency response as directed by Government.</w:t>
            </w:r>
          </w:p>
        </w:tc>
        <w:tc>
          <w:tcPr>
            <w:tcW w:w="3174" w:type="dxa"/>
            <w:tcBorders>
              <w:top w:val="dotted" w:sz="4" w:space="0" w:color="auto"/>
              <w:left w:val="single" w:sz="4" w:space="0" w:color="auto"/>
              <w:bottom w:val="single" w:sz="4" w:space="0" w:color="auto"/>
            </w:tcBorders>
          </w:tcPr>
          <w:p w14:paraId="153B46E5" w14:textId="77777777" w:rsidR="008B58E4" w:rsidRPr="003E76E7" w:rsidRDefault="008B58E4" w:rsidP="00C4292D">
            <w:pPr>
              <w:spacing w:before="60" w:after="60"/>
              <w:rPr>
                <w:rFonts w:ascii="Arial" w:hAnsi="Arial"/>
                <w:color w:val="000000"/>
                <w:sz w:val="16"/>
                <w:szCs w:val="16"/>
                <w:lang w:val="en-AU"/>
              </w:rPr>
            </w:pPr>
            <w:r w:rsidRPr="003E76E7">
              <w:rPr>
                <w:rFonts w:ascii="Arial" w:hAnsi="Arial"/>
                <w:color w:val="000000"/>
                <w:sz w:val="16"/>
                <w:szCs w:val="16"/>
                <w:lang w:val="en-AU"/>
              </w:rPr>
              <w:t xml:space="preserve">Defence responds to 100 per cent of requests for assistance as directed by Government. </w:t>
            </w:r>
          </w:p>
          <w:p w14:paraId="4AE0D1BF" w14:textId="5B1451DD" w:rsidR="008B58E4" w:rsidRPr="003E76E7" w:rsidRDefault="008B58E4" w:rsidP="00C4292D">
            <w:pPr>
              <w:tabs>
                <w:tab w:val="left" w:pos="709"/>
              </w:tabs>
              <w:spacing w:before="60" w:after="60"/>
              <w:jc w:val="right"/>
              <w:rPr>
                <w:rFonts w:ascii="Arial" w:hAnsi="Arial"/>
                <w:sz w:val="16"/>
                <w:szCs w:val="16"/>
                <w:lang w:val="en-AU"/>
              </w:rPr>
            </w:pPr>
            <w:r w:rsidRPr="003E76E7">
              <w:rPr>
                <w:rFonts w:ascii="Arial" w:hAnsi="Arial"/>
                <w:i/>
                <w:sz w:val="16"/>
                <w:szCs w:val="16"/>
                <w:lang w:val="en-AU"/>
              </w:rPr>
              <w:t>Expected to be achieved</w:t>
            </w:r>
            <w:r w:rsidRPr="003E76E7" w:rsidDel="00844C26">
              <w:rPr>
                <w:rFonts w:ascii="Arial" w:hAnsi="Arial"/>
                <w:i/>
                <w:sz w:val="16"/>
                <w:szCs w:val="16"/>
                <w:lang w:val="en-AU"/>
              </w:rPr>
              <w:t xml:space="preserve"> will</w:t>
            </w:r>
            <w:r w:rsidR="00BA525A" w:rsidRPr="003E76E7">
              <w:rPr>
                <w:rFonts w:ascii="Arial" w:hAnsi="Arial"/>
                <w:i/>
                <w:sz w:val="16"/>
                <w:szCs w:val="16"/>
                <w:lang w:val="en-AU"/>
              </w:rPr>
              <w:br/>
            </w:r>
            <w:r w:rsidRPr="003E76E7" w:rsidDel="00844C26">
              <w:rPr>
                <w:rFonts w:ascii="Arial" w:hAnsi="Arial"/>
                <w:i/>
                <w:sz w:val="16"/>
                <w:szCs w:val="16"/>
                <w:lang w:val="en-AU"/>
              </w:rPr>
              <w:t>change year on year</w:t>
            </w:r>
            <w:r w:rsidRPr="003E76E7" w:rsidDel="00844C26">
              <w:rPr>
                <w:rFonts w:ascii="Arial" w:hAnsi="Arial"/>
                <w:sz w:val="16"/>
                <w:szCs w:val="16"/>
                <w:lang w:val="en-AU"/>
              </w:rPr>
              <w:t>.</w:t>
            </w:r>
          </w:p>
        </w:tc>
      </w:tr>
      <w:tr w:rsidR="008B58E4" w:rsidRPr="003E76E7" w14:paraId="36988E1C" w14:textId="77777777" w:rsidTr="00215114">
        <w:tblPrEx>
          <w:shd w:val="clear" w:color="auto" w:fill="auto"/>
          <w:tblLook w:val="04A0" w:firstRow="1" w:lastRow="0" w:firstColumn="1" w:lastColumn="0" w:noHBand="0" w:noVBand="1"/>
        </w:tblPrEx>
        <w:trPr>
          <w:trHeight w:val="100"/>
        </w:trPr>
        <w:tc>
          <w:tcPr>
            <w:tcW w:w="2004" w:type="dxa"/>
            <w:tcBorders>
              <w:top w:val="single" w:sz="4" w:space="0" w:color="auto"/>
              <w:bottom w:val="single" w:sz="4" w:space="0" w:color="auto"/>
              <w:right w:val="single" w:sz="4" w:space="0" w:color="auto"/>
            </w:tcBorders>
            <w:shd w:val="clear" w:color="auto" w:fill="auto"/>
          </w:tcPr>
          <w:p w14:paraId="24F50F7D" w14:textId="77777777" w:rsidR="008B58E4" w:rsidRPr="003E76E7" w:rsidRDefault="008B58E4" w:rsidP="00C4292D">
            <w:pPr>
              <w:tabs>
                <w:tab w:val="left" w:pos="709"/>
              </w:tabs>
              <w:spacing w:before="60" w:after="60"/>
              <w:rPr>
                <w:rFonts w:ascii="Arial" w:hAnsi="Arial"/>
                <w:color w:val="000000"/>
                <w:sz w:val="16"/>
                <w:szCs w:val="16"/>
              </w:rPr>
            </w:pPr>
            <w:r w:rsidRPr="003E76E7">
              <w:rPr>
                <w:rFonts w:ascii="Arial" w:hAnsi="Arial"/>
                <w:b/>
                <w:color w:val="000000"/>
                <w:sz w:val="16"/>
                <w:szCs w:val="16"/>
              </w:rPr>
              <w:t>Year</w:t>
            </w:r>
          </w:p>
        </w:tc>
        <w:tc>
          <w:tcPr>
            <w:tcW w:w="3292" w:type="dxa"/>
            <w:tcBorders>
              <w:top w:val="single" w:sz="4" w:space="0" w:color="auto"/>
              <w:left w:val="single" w:sz="4" w:space="0" w:color="auto"/>
              <w:bottom w:val="single" w:sz="4" w:space="0" w:color="auto"/>
              <w:right w:val="single" w:sz="4" w:space="0" w:color="auto"/>
            </w:tcBorders>
          </w:tcPr>
          <w:p w14:paraId="68600793" w14:textId="3595608E" w:rsidR="008B58E4" w:rsidRPr="003E76E7" w:rsidRDefault="00AD14EC" w:rsidP="00C4292D">
            <w:pPr>
              <w:tabs>
                <w:tab w:val="left" w:pos="709"/>
              </w:tabs>
              <w:spacing w:before="60" w:after="60"/>
              <w:rPr>
                <w:rFonts w:ascii="Arial" w:hAnsi="Arial"/>
                <w:color w:val="000000"/>
              </w:rPr>
            </w:pPr>
            <w:r w:rsidRPr="003E76E7">
              <w:rPr>
                <w:rFonts w:ascii="Arial" w:hAnsi="Arial"/>
                <w:b/>
                <w:color w:val="000000"/>
                <w:sz w:val="16"/>
                <w:szCs w:val="16"/>
              </w:rPr>
              <w:t>Performance Measures</w:t>
            </w:r>
          </w:p>
        </w:tc>
        <w:tc>
          <w:tcPr>
            <w:tcW w:w="3174" w:type="dxa"/>
            <w:tcBorders>
              <w:top w:val="single" w:sz="4" w:space="0" w:color="auto"/>
              <w:left w:val="single" w:sz="4" w:space="0" w:color="auto"/>
              <w:bottom w:val="single" w:sz="4" w:space="0" w:color="auto"/>
            </w:tcBorders>
          </w:tcPr>
          <w:p w14:paraId="470F7216" w14:textId="77777777" w:rsidR="008B58E4" w:rsidRPr="003E76E7" w:rsidRDefault="008B58E4" w:rsidP="00C4292D">
            <w:pPr>
              <w:tabs>
                <w:tab w:val="left" w:pos="709"/>
              </w:tabs>
              <w:spacing w:before="60" w:after="60"/>
              <w:rPr>
                <w:rFonts w:ascii="Arial" w:hAnsi="Arial"/>
                <w:i/>
                <w:color w:val="000000"/>
                <w:sz w:val="16"/>
                <w:szCs w:val="16"/>
              </w:rPr>
            </w:pPr>
            <w:r w:rsidRPr="003E76E7">
              <w:rPr>
                <w:rFonts w:ascii="Arial" w:hAnsi="Arial"/>
                <w:b/>
                <w:color w:val="000000"/>
                <w:sz w:val="16"/>
                <w:szCs w:val="16"/>
              </w:rPr>
              <w:t>Planned Performance Results</w:t>
            </w:r>
          </w:p>
        </w:tc>
      </w:tr>
      <w:tr w:rsidR="008B58E4" w:rsidRPr="003E76E7" w14:paraId="48CF8659" w14:textId="77777777" w:rsidTr="00215114">
        <w:trPr>
          <w:trHeight w:val="305"/>
        </w:trPr>
        <w:tc>
          <w:tcPr>
            <w:tcW w:w="2004" w:type="dxa"/>
            <w:vMerge w:val="restart"/>
            <w:tcBorders>
              <w:top w:val="single" w:sz="4" w:space="0" w:color="auto"/>
              <w:right w:val="single" w:sz="4" w:space="0" w:color="auto"/>
            </w:tcBorders>
            <w:shd w:val="clear" w:color="auto" w:fill="auto"/>
          </w:tcPr>
          <w:p w14:paraId="15909307" w14:textId="77777777" w:rsidR="008B58E4" w:rsidRPr="003E76E7" w:rsidRDefault="008B58E4" w:rsidP="00C4292D">
            <w:pPr>
              <w:tabs>
                <w:tab w:val="left" w:pos="709"/>
              </w:tabs>
              <w:spacing w:before="0" w:after="0"/>
              <w:rPr>
                <w:rFonts w:ascii="Arial" w:hAnsi="Arial"/>
                <w:color w:val="000000"/>
                <w:sz w:val="16"/>
                <w:szCs w:val="16"/>
              </w:rPr>
            </w:pPr>
            <w:r w:rsidRPr="003E76E7">
              <w:rPr>
                <w:rFonts w:ascii="Arial" w:hAnsi="Arial"/>
                <w:color w:val="000000"/>
                <w:sz w:val="16"/>
                <w:szCs w:val="16"/>
              </w:rPr>
              <w:t>Budget Year</w:t>
            </w:r>
          </w:p>
          <w:p w14:paraId="666538A0" w14:textId="3EA5F630" w:rsidR="008B58E4" w:rsidRPr="003E76E7" w:rsidRDefault="008B58E4" w:rsidP="00C4292D">
            <w:pPr>
              <w:tabs>
                <w:tab w:val="left" w:pos="709"/>
              </w:tabs>
              <w:spacing w:before="0" w:after="0"/>
              <w:rPr>
                <w:rFonts w:ascii="Arial" w:hAnsi="Arial"/>
                <w:color w:val="000000"/>
                <w:sz w:val="16"/>
                <w:szCs w:val="16"/>
              </w:rPr>
            </w:pPr>
            <w:r w:rsidRPr="003E76E7">
              <w:rPr>
                <w:rFonts w:ascii="Arial" w:hAnsi="Arial"/>
                <w:color w:val="000000"/>
                <w:sz w:val="16"/>
                <w:szCs w:val="16"/>
              </w:rPr>
              <w:t xml:space="preserve">2026-27 </w:t>
            </w:r>
            <w:r w:rsidRPr="003E76E7">
              <w:rPr>
                <w:rFonts w:ascii="Arial" w:hAnsi="Arial"/>
                <w:color w:val="000000"/>
                <w:sz w:val="16"/>
                <w:szCs w:val="16"/>
                <w:vertAlign w:val="superscript"/>
              </w:rPr>
              <w:t>[</w:t>
            </w:r>
            <w:r w:rsidR="00A0768C" w:rsidRPr="003E76E7">
              <w:rPr>
                <w:rFonts w:ascii="Arial" w:hAnsi="Arial"/>
                <w:color w:val="000000"/>
                <w:sz w:val="16"/>
                <w:szCs w:val="16"/>
                <w:vertAlign w:val="superscript"/>
              </w:rPr>
              <w:t>c</w:t>
            </w:r>
            <w:r w:rsidRPr="003E76E7">
              <w:rPr>
                <w:rFonts w:ascii="Arial" w:hAnsi="Arial"/>
                <w:color w:val="000000"/>
                <w:sz w:val="16"/>
                <w:szCs w:val="16"/>
                <w:vertAlign w:val="superscript"/>
              </w:rPr>
              <w:t>]</w:t>
            </w:r>
          </w:p>
        </w:tc>
        <w:tc>
          <w:tcPr>
            <w:tcW w:w="3292" w:type="dxa"/>
            <w:tcBorders>
              <w:top w:val="single" w:sz="4" w:space="0" w:color="auto"/>
              <w:left w:val="single" w:sz="4" w:space="0" w:color="auto"/>
              <w:bottom w:val="single" w:sz="4" w:space="0" w:color="auto"/>
              <w:right w:val="single" w:sz="4" w:space="0" w:color="auto"/>
            </w:tcBorders>
            <w:shd w:val="clear" w:color="auto" w:fill="auto"/>
          </w:tcPr>
          <w:p w14:paraId="543A3E19" w14:textId="6AE6D6C6" w:rsidR="008B58E4" w:rsidRPr="003E76E7" w:rsidRDefault="008B58E4" w:rsidP="00C4292D">
            <w:pPr>
              <w:tabs>
                <w:tab w:val="left" w:pos="709"/>
              </w:tabs>
              <w:spacing w:before="60" w:after="60"/>
              <w:rPr>
                <w:rFonts w:ascii="Arial" w:hAnsi="Arial"/>
                <w:color w:val="000000"/>
                <w:sz w:val="16"/>
                <w:szCs w:val="16"/>
              </w:rPr>
            </w:pPr>
            <w:r w:rsidRPr="003E76E7">
              <w:rPr>
                <w:rFonts w:ascii="Arial" w:hAnsi="Arial"/>
                <w:sz w:val="16"/>
                <w:szCs w:val="16"/>
                <w:lang w:val="en-AU"/>
              </w:rPr>
              <w:t>1.1: Defence conducts operations as directed by Government to achieve Defence’s mission.</w:t>
            </w:r>
          </w:p>
        </w:tc>
        <w:tc>
          <w:tcPr>
            <w:tcW w:w="3174" w:type="dxa"/>
            <w:tcBorders>
              <w:top w:val="single" w:sz="4" w:space="0" w:color="auto"/>
              <w:left w:val="single" w:sz="4" w:space="0" w:color="auto"/>
              <w:bottom w:val="single" w:sz="4" w:space="0" w:color="auto"/>
            </w:tcBorders>
            <w:shd w:val="clear" w:color="auto" w:fill="auto"/>
          </w:tcPr>
          <w:p w14:paraId="596D151B" w14:textId="34CA669D" w:rsidR="008B58E4" w:rsidRPr="003E76E7" w:rsidRDefault="008B58E4" w:rsidP="00C4292D">
            <w:pPr>
              <w:tabs>
                <w:tab w:val="left" w:pos="709"/>
              </w:tabs>
              <w:spacing w:before="60" w:after="60"/>
              <w:rPr>
                <w:rFonts w:ascii="Arial" w:hAnsi="Arial"/>
                <w:color w:val="000000"/>
                <w:sz w:val="16"/>
                <w:szCs w:val="16"/>
              </w:rPr>
            </w:pPr>
            <w:r w:rsidRPr="003E76E7">
              <w:rPr>
                <w:rFonts w:ascii="Arial" w:hAnsi="Arial"/>
                <w:sz w:val="16"/>
                <w:szCs w:val="16"/>
                <w:lang w:val="en-AU"/>
              </w:rPr>
              <w:t>100 per cent of operations conducted or being conducted as directed by Government.</w:t>
            </w:r>
          </w:p>
        </w:tc>
      </w:tr>
      <w:tr w:rsidR="008B58E4" w:rsidRPr="003E76E7" w14:paraId="2E2AA8BF" w14:textId="77777777" w:rsidTr="00A211F5">
        <w:trPr>
          <w:trHeight w:val="305"/>
        </w:trPr>
        <w:tc>
          <w:tcPr>
            <w:tcW w:w="2004" w:type="dxa"/>
            <w:vMerge/>
            <w:tcBorders>
              <w:right w:val="single" w:sz="4" w:space="0" w:color="auto"/>
            </w:tcBorders>
            <w:shd w:val="clear" w:color="auto" w:fill="auto"/>
          </w:tcPr>
          <w:p w14:paraId="5C61E07E" w14:textId="77777777" w:rsidR="008B58E4" w:rsidRPr="003E76E7" w:rsidRDefault="008B58E4" w:rsidP="00C4292D">
            <w:pPr>
              <w:tabs>
                <w:tab w:val="left" w:pos="709"/>
              </w:tabs>
              <w:spacing w:before="60" w:after="60"/>
              <w:rPr>
                <w:rFonts w:ascii="Arial" w:hAnsi="Arial"/>
                <w:color w:val="000000"/>
                <w:sz w:val="16"/>
                <w:szCs w:val="16"/>
              </w:rPr>
            </w:pPr>
          </w:p>
        </w:tc>
        <w:tc>
          <w:tcPr>
            <w:tcW w:w="3292" w:type="dxa"/>
            <w:tcBorders>
              <w:top w:val="single" w:sz="4" w:space="0" w:color="auto"/>
              <w:left w:val="single" w:sz="4" w:space="0" w:color="auto"/>
              <w:bottom w:val="single" w:sz="4" w:space="0" w:color="auto"/>
              <w:right w:val="single" w:sz="4" w:space="0" w:color="auto"/>
            </w:tcBorders>
            <w:shd w:val="clear" w:color="auto" w:fill="auto"/>
          </w:tcPr>
          <w:p w14:paraId="31EE2BA6" w14:textId="53CF521A" w:rsidR="008B58E4" w:rsidRPr="003E76E7" w:rsidRDefault="008B58E4" w:rsidP="00C4292D">
            <w:pPr>
              <w:tabs>
                <w:tab w:val="left" w:pos="709"/>
              </w:tabs>
              <w:spacing w:before="60" w:after="60"/>
              <w:rPr>
                <w:rFonts w:ascii="Arial" w:hAnsi="Arial"/>
                <w:color w:val="000000"/>
                <w:sz w:val="16"/>
                <w:szCs w:val="16"/>
              </w:rPr>
            </w:pPr>
            <w:r w:rsidRPr="003E76E7">
              <w:rPr>
                <w:rFonts w:ascii="Arial" w:hAnsi="Arial"/>
                <w:sz w:val="16"/>
                <w:szCs w:val="16"/>
                <w:lang w:val="en-AU"/>
              </w:rPr>
              <w:t>1.2: Defence maintains ready forces through the conduct of exercises.</w:t>
            </w:r>
          </w:p>
        </w:tc>
        <w:tc>
          <w:tcPr>
            <w:tcW w:w="3174" w:type="dxa"/>
            <w:tcBorders>
              <w:top w:val="single" w:sz="4" w:space="0" w:color="auto"/>
              <w:left w:val="single" w:sz="4" w:space="0" w:color="auto"/>
              <w:bottom w:val="single" w:sz="4" w:space="0" w:color="auto"/>
            </w:tcBorders>
            <w:shd w:val="clear" w:color="auto" w:fill="auto"/>
          </w:tcPr>
          <w:p w14:paraId="190D4C09" w14:textId="538D8AB5" w:rsidR="008B58E4" w:rsidRPr="003E76E7" w:rsidRDefault="008B58E4" w:rsidP="00C4292D">
            <w:pPr>
              <w:tabs>
                <w:tab w:val="left" w:pos="709"/>
              </w:tabs>
              <w:spacing w:before="60" w:after="60"/>
              <w:rPr>
                <w:rFonts w:ascii="Arial" w:hAnsi="Arial"/>
                <w:color w:val="000000"/>
                <w:sz w:val="16"/>
                <w:szCs w:val="16"/>
              </w:rPr>
            </w:pPr>
            <w:r w:rsidRPr="003E76E7">
              <w:rPr>
                <w:rFonts w:ascii="Arial" w:hAnsi="Arial"/>
                <w:color w:val="000000"/>
                <w:sz w:val="16"/>
                <w:szCs w:val="16"/>
                <w:lang w:val="en-AU"/>
              </w:rPr>
              <w:t>100 per cent of exercises conducted achieve planned objectives.</w:t>
            </w:r>
          </w:p>
        </w:tc>
      </w:tr>
      <w:tr w:rsidR="008B58E4" w:rsidRPr="003E76E7" w14:paraId="27A6D327" w14:textId="77777777" w:rsidTr="00215114">
        <w:tblPrEx>
          <w:shd w:val="clear" w:color="auto" w:fill="auto"/>
          <w:tblLook w:val="04A0" w:firstRow="1" w:lastRow="0" w:firstColumn="1" w:lastColumn="0" w:noHBand="0" w:noVBand="1"/>
        </w:tblPrEx>
        <w:trPr>
          <w:trHeight w:val="305"/>
        </w:trPr>
        <w:tc>
          <w:tcPr>
            <w:tcW w:w="2004" w:type="dxa"/>
            <w:vMerge/>
            <w:tcBorders>
              <w:bottom w:val="single" w:sz="4" w:space="0" w:color="auto"/>
              <w:right w:val="single" w:sz="4" w:space="0" w:color="auto"/>
            </w:tcBorders>
            <w:shd w:val="clear" w:color="auto" w:fill="auto"/>
          </w:tcPr>
          <w:p w14:paraId="099E8A9B" w14:textId="77777777" w:rsidR="008B58E4" w:rsidRPr="003E76E7" w:rsidRDefault="008B58E4" w:rsidP="00C4292D">
            <w:pPr>
              <w:tabs>
                <w:tab w:val="left" w:pos="709"/>
              </w:tabs>
              <w:spacing w:before="60" w:after="60"/>
              <w:rPr>
                <w:rFonts w:ascii="Arial" w:hAnsi="Arial"/>
                <w:color w:val="000000"/>
                <w:sz w:val="16"/>
                <w:szCs w:val="16"/>
              </w:rPr>
            </w:pPr>
          </w:p>
        </w:tc>
        <w:tc>
          <w:tcPr>
            <w:tcW w:w="3292" w:type="dxa"/>
            <w:tcBorders>
              <w:top w:val="dotted" w:sz="4" w:space="0" w:color="auto"/>
              <w:left w:val="single" w:sz="4" w:space="0" w:color="auto"/>
              <w:bottom w:val="single" w:sz="4" w:space="0" w:color="auto"/>
              <w:right w:val="single" w:sz="4" w:space="0" w:color="auto"/>
            </w:tcBorders>
            <w:shd w:val="clear" w:color="auto" w:fill="auto"/>
          </w:tcPr>
          <w:p w14:paraId="22381E8C" w14:textId="075A807C" w:rsidR="008B58E4" w:rsidRPr="003E76E7" w:rsidRDefault="008B58E4" w:rsidP="00C4292D">
            <w:pPr>
              <w:tabs>
                <w:tab w:val="left" w:pos="709"/>
              </w:tabs>
              <w:spacing w:before="60" w:after="60"/>
              <w:rPr>
                <w:rFonts w:ascii="Arial" w:hAnsi="Arial"/>
                <w:color w:val="000000"/>
                <w:sz w:val="16"/>
                <w:szCs w:val="16"/>
              </w:rPr>
            </w:pPr>
            <w:r w:rsidRPr="003E76E7">
              <w:rPr>
                <w:rFonts w:ascii="Arial" w:hAnsi="Arial"/>
                <w:sz w:val="16"/>
                <w:szCs w:val="16"/>
                <w:lang w:val="en-AU"/>
              </w:rPr>
              <w:t>1.3</w:t>
            </w:r>
            <w:r w:rsidR="00DB5636" w:rsidRPr="003E76E7">
              <w:rPr>
                <w:rFonts w:ascii="Arial" w:hAnsi="Arial"/>
                <w:sz w:val="16"/>
                <w:szCs w:val="16"/>
                <w:lang w:val="en-AU"/>
              </w:rPr>
              <w:t>:</w:t>
            </w:r>
            <w:r w:rsidRPr="003E76E7">
              <w:rPr>
                <w:rFonts w:ascii="Arial" w:hAnsi="Arial"/>
                <w:sz w:val="16"/>
                <w:szCs w:val="16"/>
                <w:lang w:val="en-AU"/>
              </w:rPr>
              <w:t xml:space="preserve"> Defence assists with domestic crisis and emergency response as directed by Government. </w:t>
            </w:r>
          </w:p>
        </w:tc>
        <w:tc>
          <w:tcPr>
            <w:tcW w:w="3174" w:type="dxa"/>
            <w:tcBorders>
              <w:top w:val="dotted" w:sz="4" w:space="0" w:color="auto"/>
              <w:left w:val="single" w:sz="4" w:space="0" w:color="auto"/>
              <w:bottom w:val="single" w:sz="4" w:space="0" w:color="auto"/>
            </w:tcBorders>
            <w:shd w:val="clear" w:color="auto" w:fill="auto"/>
          </w:tcPr>
          <w:p w14:paraId="5DF8AA36" w14:textId="7801181C" w:rsidR="008B58E4" w:rsidRPr="003E76E7" w:rsidRDefault="008B58E4" w:rsidP="00C4292D">
            <w:pPr>
              <w:tabs>
                <w:tab w:val="left" w:pos="709"/>
              </w:tabs>
              <w:spacing w:before="60" w:after="60"/>
              <w:rPr>
                <w:rFonts w:ascii="Arial" w:hAnsi="Arial"/>
                <w:color w:val="000000"/>
                <w:sz w:val="16"/>
                <w:szCs w:val="16"/>
              </w:rPr>
            </w:pPr>
            <w:r w:rsidRPr="003E76E7">
              <w:rPr>
                <w:rFonts w:ascii="Arial" w:hAnsi="Arial"/>
                <w:color w:val="000000"/>
                <w:sz w:val="16"/>
                <w:szCs w:val="16"/>
                <w:lang w:val="en-AU"/>
              </w:rPr>
              <w:t xml:space="preserve">Defence responds to 100 per cent of requests for assistance as directed by Government. </w:t>
            </w:r>
          </w:p>
        </w:tc>
      </w:tr>
      <w:tr w:rsidR="00A0768C" w:rsidRPr="003E76E7" w14:paraId="78DC19D7" w14:textId="77777777" w:rsidTr="00215114">
        <w:trPr>
          <w:trHeight w:val="358"/>
        </w:trPr>
        <w:tc>
          <w:tcPr>
            <w:tcW w:w="2004" w:type="dxa"/>
            <w:tcBorders>
              <w:top w:val="single" w:sz="4" w:space="0" w:color="auto"/>
              <w:left w:val="single" w:sz="4" w:space="0" w:color="auto"/>
              <w:bottom w:val="single" w:sz="4" w:space="0" w:color="auto"/>
              <w:right w:val="single" w:sz="4" w:space="0" w:color="auto"/>
            </w:tcBorders>
            <w:shd w:val="clear" w:color="auto" w:fill="auto"/>
            <w:vAlign w:val="center"/>
          </w:tcPr>
          <w:p w14:paraId="7B8FB59A" w14:textId="5D66F2F0" w:rsidR="00A0768C" w:rsidRPr="003E76E7" w:rsidRDefault="00A0768C" w:rsidP="00C4292D">
            <w:pPr>
              <w:tabs>
                <w:tab w:val="left" w:pos="709"/>
              </w:tabs>
              <w:spacing w:before="0" w:after="0"/>
              <w:rPr>
                <w:rFonts w:ascii="Arial" w:hAnsi="Arial"/>
                <w:color w:val="000000"/>
                <w:sz w:val="16"/>
                <w:szCs w:val="16"/>
              </w:rPr>
            </w:pPr>
            <w:r w:rsidRPr="003E76E7">
              <w:rPr>
                <w:rFonts w:ascii="Arial" w:hAnsi="Arial"/>
                <w:b/>
                <w:color w:val="000000"/>
                <w:sz w:val="16"/>
                <w:szCs w:val="16"/>
              </w:rPr>
              <w:t>Year</w:t>
            </w:r>
          </w:p>
        </w:tc>
        <w:tc>
          <w:tcPr>
            <w:tcW w:w="3292" w:type="dxa"/>
            <w:tcBorders>
              <w:top w:val="single" w:sz="4" w:space="0" w:color="auto"/>
              <w:left w:val="single" w:sz="4" w:space="0" w:color="auto"/>
              <w:bottom w:val="single" w:sz="4" w:space="0" w:color="auto"/>
              <w:right w:val="single" w:sz="4" w:space="0" w:color="auto"/>
            </w:tcBorders>
            <w:vAlign w:val="center"/>
          </w:tcPr>
          <w:p w14:paraId="5336C33D" w14:textId="181B73D8" w:rsidR="00A0768C" w:rsidRPr="003E76E7" w:rsidRDefault="00AD14EC" w:rsidP="00C4292D">
            <w:pPr>
              <w:tabs>
                <w:tab w:val="left" w:pos="709"/>
              </w:tabs>
              <w:spacing w:before="60" w:after="60"/>
              <w:rPr>
                <w:rFonts w:ascii="Arial" w:hAnsi="Arial"/>
                <w:color w:val="000000"/>
                <w:sz w:val="16"/>
                <w:szCs w:val="16"/>
              </w:rPr>
            </w:pPr>
            <w:r w:rsidRPr="003E76E7">
              <w:rPr>
                <w:rFonts w:ascii="Arial" w:hAnsi="Arial"/>
                <w:b/>
                <w:color w:val="000000"/>
                <w:sz w:val="16"/>
                <w:szCs w:val="16"/>
              </w:rPr>
              <w:t>Performance Measures</w:t>
            </w:r>
          </w:p>
        </w:tc>
        <w:tc>
          <w:tcPr>
            <w:tcW w:w="3174" w:type="dxa"/>
            <w:tcBorders>
              <w:top w:val="single" w:sz="4" w:space="0" w:color="auto"/>
              <w:left w:val="single" w:sz="4" w:space="0" w:color="auto"/>
              <w:bottom w:val="single" w:sz="4" w:space="0" w:color="auto"/>
              <w:right w:val="single" w:sz="4" w:space="0" w:color="auto"/>
            </w:tcBorders>
            <w:vAlign w:val="center"/>
          </w:tcPr>
          <w:p w14:paraId="76ECE362" w14:textId="237B1D1C" w:rsidR="00A0768C" w:rsidRPr="003E76E7" w:rsidRDefault="00A0768C" w:rsidP="00C4292D">
            <w:pPr>
              <w:tabs>
                <w:tab w:val="left" w:pos="709"/>
              </w:tabs>
              <w:spacing w:before="60" w:after="60"/>
              <w:rPr>
                <w:rFonts w:ascii="Arial" w:hAnsi="Arial"/>
                <w:color w:val="000000"/>
                <w:sz w:val="16"/>
                <w:szCs w:val="16"/>
              </w:rPr>
            </w:pPr>
            <w:r w:rsidRPr="003E76E7">
              <w:rPr>
                <w:rFonts w:ascii="Arial" w:hAnsi="Arial"/>
                <w:b/>
                <w:color w:val="000000"/>
                <w:sz w:val="16"/>
                <w:szCs w:val="16"/>
              </w:rPr>
              <w:t>Planned Performance Results</w:t>
            </w:r>
          </w:p>
        </w:tc>
      </w:tr>
      <w:tr w:rsidR="008B58E4" w:rsidRPr="003E76E7" w14:paraId="1F9871D5" w14:textId="77777777" w:rsidTr="00215114">
        <w:trPr>
          <w:trHeight w:val="485"/>
        </w:trPr>
        <w:tc>
          <w:tcPr>
            <w:tcW w:w="2004" w:type="dxa"/>
            <w:tcBorders>
              <w:top w:val="single" w:sz="4" w:space="0" w:color="auto"/>
              <w:bottom w:val="single" w:sz="4" w:space="0" w:color="auto"/>
              <w:right w:val="single" w:sz="4" w:space="0" w:color="auto"/>
            </w:tcBorders>
            <w:shd w:val="clear" w:color="auto" w:fill="auto"/>
            <w:vAlign w:val="center"/>
          </w:tcPr>
          <w:p w14:paraId="2A56B04F" w14:textId="77777777" w:rsidR="008B58E4" w:rsidRPr="003E76E7" w:rsidRDefault="008B58E4" w:rsidP="00C4292D">
            <w:pPr>
              <w:tabs>
                <w:tab w:val="left" w:pos="709"/>
              </w:tabs>
              <w:spacing w:before="0" w:after="0"/>
              <w:rPr>
                <w:rFonts w:ascii="Arial" w:hAnsi="Arial"/>
                <w:color w:val="000000"/>
                <w:sz w:val="16"/>
                <w:szCs w:val="16"/>
              </w:rPr>
            </w:pPr>
            <w:r w:rsidRPr="003E76E7">
              <w:rPr>
                <w:rFonts w:ascii="Arial" w:hAnsi="Arial"/>
                <w:color w:val="000000"/>
                <w:sz w:val="16"/>
                <w:szCs w:val="16"/>
              </w:rPr>
              <w:t>Forward Estimates</w:t>
            </w:r>
          </w:p>
          <w:p w14:paraId="35690DD7" w14:textId="1C36E106" w:rsidR="008B58E4" w:rsidRPr="003E76E7" w:rsidRDefault="008B58E4" w:rsidP="00C4292D">
            <w:pPr>
              <w:tabs>
                <w:tab w:val="left" w:pos="709"/>
              </w:tabs>
              <w:spacing w:before="0" w:after="0"/>
              <w:rPr>
                <w:rFonts w:ascii="Arial" w:hAnsi="Arial"/>
                <w:b/>
                <w:color w:val="000000"/>
                <w:sz w:val="16"/>
                <w:szCs w:val="16"/>
              </w:rPr>
            </w:pPr>
            <w:r w:rsidRPr="003E76E7">
              <w:rPr>
                <w:rFonts w:ascii="Arial" w:hAnsi="Arial"/>
                <w:color w:val="000000"/>
                <w:sz w:val="16"/>
                <w:szCs w:val="16"/>
              </w:rPr>
              <w:t>2027-30</w:t>
            </w:r>
          </w:p>
        </w:tc>
        <w:tc>
          <w:tcPr>
            <w:tcW w:w="3292" w:type="dxa"/>
            <w:tcBorders>
              <w:top w:val="single" w:sz="4" w:space="0" w:color="auto"/>
              <w:left w:val="single" w:sz="4" w:space="0" w:color="auto"/>
              <w:bottom w:val="single" w:sz="4" w:space="0" w:color="auto"/>
              <w:right w:val="single" w:sz="4" w:space="0" w:color="auto"/>
            </w:tcBorders>
            <w:vAlign w:val="center"/>
          </w:tcPr>
          <w:p w14:paraId="1A44BF55" w14:textId="291D381F" w:rsidR="008B58E4" w:rsidRPr="003E76E7" w:rsidRDefault="008B58E4" w:rsidP="00C4292D">
            <w:pPr>
              <w:tabs>
                <w:tab w:val="left" w:pos="709"/>
              </w:tabs>
              <w:spacing w:before="60" w:after="60"/>
              <w:rPr>
                <w:rFonts w:ascii="Arial" w:hAnsi="Arial"/>
                <w:b/>
                <w:color w:val="000000"/>
                <w:sz w:val="16"/>
                <w:szCs w:val="16"/>
              </w:rPr>
            </w:pPr>
            <w:r w:rsidRPr="003E76E7">
              <w:rPr>
                <w:rFonts w:ascii="Arial" w:hAnsi="Arial"/>
                <w:color w:val="000000"/>
                <w:sz w:val="16"/>
                <w:szCs w:val="16"/>
              </w:rPr>
              <w:t>As per 2026-27.</w:t>
            </w:r>
          </w:p>
        </w:tc>
        <w:tc>
          <w:tcPr>
            <w:tcW w:w="3174" w:type="dxa"/>
            <w:tcBorders>
              <w:top w:val="single" w:sz="4" w:space="0" w:color="auto"/>
              <w:left w:val="single" w:sz="4" w:space="0" w:color="auto"/>
              <w:bottom w:val="single" w:sz="4" w:space="0" w:color="auto"/>
            </w:tcBorders>
            <w:vAlign w:val="center"/>
          </w:tcPr>
          <w:p w14:paraId="5A6CEBA1" w14:textId="60FEB7C7" w:rsidR="008B58E4" w:rsidRPr="003E76E7" w:rsidRDefault="008B58E4" w:rsidP="00C4292D">
            <w:pPr>
              <w:tabs>
                <w:tab w:val="left" w:pos="709"/>
              </w:tabs>
              <w:spacing w:before="60" w:after="60"/>
              <w:rPr>
                <w:rFonts w:ascii="Arial" w:hAnsi="Arial"/>
                <w:b/>
                <w:color w:val="000000"/>
                <w:sz w:val="16"/>
                <w:szCs w:val="16"/>
              </w:rPr>
            </w:pPr>
            <w:r w:rsidRPr="003E76E7">
              <w:rPr>
                <w:rFonts w:ascii="Arial" w:hAnsi="Arial"/>
                <w:color w:val="000000"/>
                <w:sz w:val="16"/>
                <w:szCs w:val="16"/>
              </w:rPr>
              <w:t>As per 2026-27.</w:t>
            </w:r>
          </w:p>
        </w:tc>
      </w:tr>
      <w:tr w:rsidR="008B58E4" w:rsidRPr="003E76E7" w14:paraId="4402F613" w14:textId="77777777" w:rsidTr="00A211F5">
        <w:tblPrEx>
          <w:shd w:val="clear" w:color="auto" w:fill="auto"/>
          <w:tblLook w:val="04A0" w:firstRow="1" w:lastRow="0" w:firstColumn="1" w:lastColumn="0" w:noHBand="0" w:noVBand="1"/>
        </w:tblPrEx>
        <w:trPr>
          <w:trHeight w:val="291"/>
        </w:trPr>
        <w:tc>
          <w:tcPr>
            <w:tcW w:w="8470" w:type="dxa"/>
            <w:gridSpan w:val="3"/>
            <w:tcBorders>
              <w:top w:val="single" w:sz="4" w:space="0" w:color="auto"/>
            </w:tcBorders>
          </w:tcPr>
          <w:p w14:paraId="3653B2E6" w14:textId="1D543357" w:rsidR="008B58E4" w:rsidRPr="003E76E7" w:rsidRDefault="008B58E4" w:rsidP="00C4292D">
            <w:pPr>
              <w:tabs>
                <w:tab w:val="left" w:pos="709"/>
              </w:tabs>
              <w:spacing w:before="60" w:after="60"/>
              <w:rPr>
                <w:rFonts w:ascii="Arial" w:eastAsia="Cambria" w:hAnsi="Arial"/>
                <w:bCs/>
                <w:iCs/>
                <w:color w:val="000000"/>
                <w:spacing w:val="-6"/>
                <w:sz w:val="16"/>
                <w:szCs w:val="16"/>
                <w:lang w:val="x-none"/>
              </w:rPr>
            </w:pPr>
            <w:r w:rsidRPr="003E76E7">
              <w:rPr>
                <w:rFonts w:ascii="Arial" w:hAnsi="Arial"/>
                <w:color w:val="000000"/>
                <w:sz w:val="16"/>
                <w:szCs w:val="16"/>
              </w:rPr>
              <w:t>Material changes to Program 1.2 resulting from 2026-27 Budget Measures:</w:t>
            </w:r>
            <w:r w:rsidRPr="003E76E7">
              <w:rPr>
                <w:rStyle w:val="BodyTextChar"/>
                <w:rFonts w:ascii="Arial" w:hAnsi="Arial"/>
                <w:bCs/>
                <w:iCs/>
                <w:color w:val="000000"/>
                <w:spacing w:val="-6"/>
                <w:sz w:val="16"/>
                <w:szCs w:val="16"/>
              </w:rPr>
              <w:t xml:space="preserve"> Nil.</w:t>
            </w:r>
          </w:p>
        </w:tc>
      </w:tr>
    </w:tbl>
    <w:p w14:paraId="40A70C8C" w14:textId="77777777" w:rsidR="00EB2691" w:rsidRPr="003E76E7" w:rsidRDefault="00EB2691" w:rsidP="00C4292D">
      <w:pPr>
        <w:pStyle w:val="TableHeading"/>
        <w:spacing w:before="0" w:after="0"/>
        <w:rPr>
          <w:sz w:val="14"/>
          <w:szCs w:val="16"/>
        </w:rPr>
      </w:pPr>
    </w:p>
    <w:p w14:paraId="639921F0" w14:textId="77777777" w:rsidR="006130F5" w:rsidRPr="003E76E7" w:rsidRDefault="006130F5" w:rsidP="00C4292D">
      <w:pPr>
        <w:pStyle w:val="TableHeading"/>
        <w:spacing w:before="0" w:after="0"/>
        <w:rPr>
          <w:sz w:val="14"/>
          <w:szCs w:val="14"/>
        </w:rPr>
      </w:pPr>
      <w:r w:rsidRPr="003E76E7">
        <w:rPr>
          <w:sz w:val="14"/>
          <w:szCs w:val="14"/>
        </w:rPr>
        <w:t>Note</w:t>
      </w:r>
      <w:r w:rsidR="00094602" w:rsidRPr="003E76E7">
        <w:rPr>
          <w:sz w:val="14"/>
          <w:szCs w:val="14"/>
        </w:rPr>
        <w:t>s</w:t>
      </w:r>
    </w:p>
    <w:p w14:paraId="22741BE3" w14:textId="7C3F8ACA" w:rsidR="008B58E4" w:rsidRPr="003E76E7" w:rsidRDefault="00216E55" w:rsidP="00C4292D">
      <w:pPr>
        <w:pStyle w:val="TableHeading"/>
        <w:numPr>
          <w:ilvl w:val="0"/>
          <w:numId w:val="82"/>
        </w:numPr>
        <w:tabs>
          <w:tab w:val="left" w:pos="284"/>
        </w:tabs>
        <w:spacing w:before="0" w:after="0"/>
        <w:ind w:left="284" w:hanging="284"/>
        <w:rPr>
          <w:b w:val="0"/>
          <w:sz w:val="14"/>
          <w:szCs w:val="14"/>
          <w:lang w:val="en-AU"/>
        </w:rPr>
      </w:pPr>
      <w:r w:rsidRPr="003E76E7">
        <w:rPr>
          <w:b w:val="0"/>
          <w:sz w:val="14"/>
          <w:szCs w:val="14"/>
          <w:lang w:val="en-AU"/>
        </w:rPr>
        <w:t xml:space="preserve">Key activity 1 </w:t>
      </w:r>
      <w:r w:rsidR="00094602" w:rsidRPr="003E76E7">
        <w:rPr>
          <w:b w:val="0"/>
          <w:sz w:val="14"/>
          <w:szCs w:val="14"/>
          <w:lang w:val="en-AU"/>
        </w:rPr>
        <w:t>has been amended for 202</w:t>
      </w:r>
      <w:r w:rsidR="00833470" w:rsidRPr="003E76E7">
        <w:rPr>
          <w:b w:val="0"/>
          <w:sz w:val="14"/>
          <w:szCs w:val="14"/>
          <w:lang w:val="en-AU"/>
        </w:rPr>
        <w:t>5</w:t>
      </w:r>
      <w:r w:rsidR="00094602" w:rsidRPr="003E76E7">
        <w:rPr>
          <w:b w:val="0"/>
          <w:sz w:val="14"/>
          <w:szCs w:val="14"/>
          <w:lang w:val="en-AU"/>
        </w:rPr>
        <w:t>-2</w:t>
      </w:r>
      <w:r w:rsidR="00833470" w:rsidRPr="003E76E7">
        <w:rPr>
          <w:b w:val="0"/>
          <w:sz w:val="14"/>
          <w:szCs w:val="14"/>
          <w:lang w:val="en-AU"/>
        </w:rPr>
        <w:t>6</w:t>
      </w:r>
      <w:r w:rsidR="00094602" w:rsidRPr="003E76E7">
        <w:rPr>
          <w:b w:val="0"/>
          <w:sz w:val="14"/>
          <w:szCs w:val="14"/>
          <w:lang w:val="en-AU"/>
        </w:rPr>
        <w:t xml:space="preserve">, as published in the </w:t>
      </w:r>
      <w:r w:rsidR="00094602" w:rsidRPr="003E76E7">
        <w:rPr>
          <w:b w:val="0"/>
          <w:i/>
          <w:sz w:val="14"/>
          <w:szCs w:val="14"/>
          <w:lang w:val="en-AU"/>
        </w:rPr>
        <w:t>202</w:t>
      </w:r>
      <w:r w:rsidR="00833470" w:rsidRPr="003E76E7">
        <w:rPr>
          <w:b w:val="0"/>
          <w:i/>
          <w:sz w:val="14"/>
          <w:szCs w:val="14"/>
          <w:lang w:val="en-AU"/>
        </w:rPr>
        <w:t>5</w:t>
      </w:r>
      <w:r w:rsidR="00094602" w:rsidRPr="003E76E7">
        <w:rPr>
          <w:b w:val="0"/>
          <w:i/>
          <w:sz w:val="14"/>
          <w:szCs w:val="14"/>
          <w:lang w:val="en-AU"/>
        </w:rPr>
        <w:t>-2</w:t>
      </w:r>
      <w:r w:rsidR="00833470" w:rsidRPr="003E76E7">
        <w:rPr>
          <w:b w:val="0"/>
          <w:i/>
          <w:sz w:val="14"/>
          <w:szCs w:val="14"/>
          <w:lang w:val="en-AU"/>
        </w:rPr>
        <w:t>9</w:t>
      </w:r>
      <w:r w:rsidR="00094602" w:rsidRPr="003E76E7">
        <w:rPr>
          <w:b w:val="0"/>
          <w:i/>
          <w:sz w:val="14"/>
          <w:szCs w:val="14"/>
          <w:lang w:val="en-AU"/>
        </w:rPr>
        <w:t xml:space="preserve"> Defence Corporate Plan</w:t>
      </w:r>
      <w:r w:rsidR="007A1833" w:rsidRPr="003E76E7">
        <w:rPr>
          <w:b w:val="0"/>
          <w:i/>
          <w:sz w:val="14"/>
          <w:szCs w:val="14"/>
          <w:lang w:val="en-AU"/>
        </w:rPr>
        <w:t>.</w:t>
      </w:r>
    </w:p>
    <w:p w14:paraId="5B5EA656" w14:textId="77777777" w:rsidR="008B58E4" w:rsidRPr="003E76E7" w:rsidRDefault="008B58E4" w:rsidP="00C4292D">
      <w:pPr>
        <w:pStyle w:val="TableHeading"/>
        <w:numPr>
          <w:ilvl w:val="0"/>
          <w:numId w:val="82"/>
        </w:numPr>
        <w:tabs>
          <w:tab w:val="left" w:pos="284"/>
        </w:tabs>
        <w:spacing w:before="0" w:after="0"/>
        <w:ind w:left="284" w:hanging="284"/>
        <w:rPr>
          <w:b w:val="0"/>
          <w:sz w:val="14"/>
          <w:szCs w:val="14"/>
          <w:lang w:val="en-AU"/>
        </w:rPr>
      </w:pPr>
      <w:r w:rsidRPr="003E76E7">
        <w:rPr>
          <w:b w:val="0"/>
          <w:sz w:val="14"/>
          <w:szCs w:val="14"/>
          <w:lang w:val="en-AU"/>
        </w:rPr>
        <w:t xml:space="preserve">Performance Measure 1.1 and 1.2 have been amended and 1.3 is new for 2025-26, as published in </w:t>
      </w:r>
      <w:r w:rsidRPr="003E76E7">
        <w:rPr>
          <w:b w:val="0"/>
          <w:i/>
          <w:sz w:val="14"/>
          <w:szCs w:val="14"/>
          <w:lang w:val="en-AU"/>
        </w:rPr>
        <w:t>2025-29 Defence Corporate Plan.</w:t>
      </w:r>
    </w:p>
    <w:p w14:paraId="5EE07AF0" w14:textId="19DA1DB5" w:rsidR="00216E55" w:rsidRPr="003E76E7" w:rsidRDefault="008B58E4" w:rsidP="00C4292D">
      <w:pPr>
        <w:pStyle w:val="TableHeading"/>
        <w:numPr>
          <w:ilvl w:val="0"/>
          <w:numId w:val="82"/>
        </w:numPr>
        <w:tabs>
          <w:tab w:val="left" w:pos="284"/>
        </w:tabs>
        <w:spacing w:before="0" w:after="0"/>
        <w:ind w:left="284" w:hanging="284"/>
        <w:rPr>
          <w:b w:val="0"/>
          <w:sz w:val="14"/>
          <w:szCs w:val="14"/>
          <w:lang w:val="en-AU"/>
        </w:rPr>
      </w:pPr>
      <w:r w:rsidRPr="003E76E7">
        <w:rPr>
          <w:b w:val="0"/>
          <w:sz w:val="14"/>
          <w:szCs w:val="14"/>
          <w:lang w:val="en-AU"/>
        </w:rPr>
        <w:t xml:space="preserve">In accordance with Defence’s Enterprise Performance Framework, Defence is undertaking materiality assessments that may result in updates to the 2026-27 performance information in the 2026-30 Defence Corporate Plan, if required. </w:t>
      </w:r>
    </w:p>
    <w:p w14:paraId="74064F26" w14:textId="77777777" w:rsidR="00650411" w:rsidRPr="003E76E7" w:rsidRDefault="00650411" w:rsidP="00C4292D">
      <w:pPr>
        <w:pStyle w:val="TableHeading"/>
        <w:tabs>
          <w:tab w:val="left" w:pos="284"/>
        </w:tabs>
        <w:spacing w:before="0" w:after="0"/>
        <w:rPr>
          <w:lang w:val="en-AU"/>
        </w:rPr>
      </w:pPr>
      <w:r w:rsidRPr="003E76E7">
        <w:rPr>
          <w:lang w:val="en-AU"/>
        </w:rPr>
        <w:br w:type="page"/>
      </w:r>
    </w:p>
    <w:p w14:paraId="31175A25" w14:textId="77777777" w:rsidR="0071273C" w:rsidRPr="003E76E7" w:rsidRDefault="00726161" w:rsidP="00C4292D">
      <w:pPr>
        <w:pStyle w:val="TableHeading"/>
        <w:numPr>
          <w:ilvl w:val="0"/>
          <w:numId w:val="61"/>
        </w:numPr>
        <w:spacing w:before="100"/>
        <w:ind w:left="0" w:firstLine="0"/>
        <w:outlineLvl w:val="4"/>
      </w:pPr>
      <w:r w:rsidRPr="003E76E7">
        <w:rPr>
          <w:b w:val="0"/>
          <w:sz w:val="16"/>
          <w:szCs w:val="16"/>
        </w:rPr>
        <w:lastRenderedPageBreak/>
        <w:tab/>
      </w:r>
      <w:r w:rsidR="0071273C" w:rsidRPr="003E76E7">
        <w:rPr>
          <w:lang w:val="en-AU"/>
        </w:rPr>
        <w:t>Cost Summary for Program 1.2 Operations Supporting Wider Interests</w:t>
      </w:r>
    </w:p>
    <w:p w14:paraId="67EA024C" w14:textId="08E89A57" w:rsidR="00055F34" w:rsidRPr="003E76E7" w:rsidRDefault="004E7650" w:rsidP="00C4292D">
      <w:pPr>
        <w:spacing w:after="0"/>
      </w:pPr>
      <w:r w:rsidRPr="004E7650">
        <w:rPr>
          <w:noProof/>
          <w:lang w:val="en-AU"/>
        </w:rPr>
        <w:drawing>
          <wp:inline distT="0" distB="0" distL="0" distR="0" wp14:anchorId="2591A9F3" wp14:editId="2CC7C2E2">
            <wp:extent cx="5471795" cy="3575628"/>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71795" cy="3575628"/>
                    </a:xfrm>
                    <a:prstGeom prst="rect">
                      <a:avLst/>
                    </a:prstGeom>
                    <a:noFill/>
                    <a:ln>
                      <a:noFill/>
                    </a:ln>
                  </pic:spPr>
                </pic:pic>
              </a:graphicData>
            </a:graphic>
          </wp:inline>
        </w:drawing>
      </w:r>
    </w:p>
    <w:p w14:paraId="5DD79417" w14:textId="77777777" w:rsidR="00B03262" w:rsidRPr="003E76E7" w:rsidRDefault="00B03262" w:rsidP="00C4292D">
      <w:pPr>
        <w:pStyle w:val="TableHeading"/>
        <w:spacing w:before="0" w:after="0"/>
        <w:rPr>
          <w:sz w:val="14"/>
          <w:szCs w:val="16"/>
        </w:rPr>
      </w:pPr>
    </w:p>
    <w:p w14:paraId="32591F8F" w14:textId="50D621B8" w:rsidR="00B03262" w:rsidRPr="003E76E7" w:rsidRDefault="00B03262" w:rsidP="00C4292D">
      <w:pPr>
        <w:pStyle w:val="TableHeading"/>
        <w:spacing w:before="0" w:after="0"/>
        <w:rPr>
          <w:sz w:val="14"/>
          <w:szCs w:val="14"/>
        </w:rPr>
      </w:pPr>
      <w:r w:rsidRPr="003E76E7">
        <w:rPr>
          <w:sz w:val="14"/>
          <w:szCs w:val="14"/>
        </w:rPr>
        <w:t>Note</w:t>
      </w:r>
    </w:p>
    <w:p w14:paraId="34D0373C" w14:textId="01CAA0E5" w:rsidR="009C6E28" w:rsidRPr="003E76E7" w:rsidRDefault="009C6E28" w:rsidP="00C4292D">
      <w:pPr>
        <w:tabs>
          <w:tab w:val="left" w:pos="284"/>
        </w:tabs>
        <w:spacing w:before="0" w:after="0"/>
        <w:ind w:left="284" w:hanging="284"/>
        <w:rPr>
          <w:rFonts w:ascii="Arial" w:hAnsi="Arial"/>
          <w:sz w:val="14"/>
          <w:szCs w:val="14"/>
        </w:rPr>
      </w:pPr>
      <w:r w:rsidRPr="003E76E7">
        <w:rPr>
          <w:rFonts w:ascii="Arial" w:hAnsi="Arial"/>
          <w:sz w:val="14"/>
          <w:szCs w:val="14"/>
        </w:rPr>
        <w:t xml:space="preserve">a. </w:t>
      </w:r>
      <w:r w:rsidR="00F63AEF" w:rsidRPr="003E76E7">
        <w:rPr>
          <w:rFonts w:ascii="Arial" w:hAnsi="Arial"/>
          <w:sz w:val="14"/>
          <w:szCs w:val="14"/>
        </w:rPr>
        <w:tab/>
      </w:r>
      <w:r w:rsidR="00A37A36" w:rsidRPr="003E76E7">
        <w:rPr>
          <w:rFonts w:ascii="Arial" w:hAnsi="Arial"/>
          <w:sz w:val="14"/>
          <w:szCs w:val="14"/>
        </w:rPr>
        <w:t>Total program funded</w:t>
      </w:r>
      <w:r w:rsidR="00F14790" w:rsidRPr="003E76E7">
        <w:rPr>
          <w:rFonts w:ascii="Arial" w:hAnsi="Arial"/>
          <w:sz w:val="14"/>
          <w:szCs w:val="14"/>
        </w:rPr>
        <w:t xml:space="preserve"> expenditure includes operating expenses and capital expenditure funded by appropriation and </w:t>
      </w:r>
      <w:r w:rsidR="00BD6B15" w:rsidRPr="003E76E7">
        <w:rPr>
          <w:rFonts w:ascii="Arial" w:hAnsi="Arial"/>
          <w:sz w:val="14"/>
          <w:szCs w:val="14"/>
        </w:rPr>
        <w:br/>
      </w:r>
      <w:r w:rsidR="00F14790" w:rsidRPr="003E76E7">
        <w:rPr>
          <w:rFonts w:ascii="Arial" w:hAnsi="Arial"/>
          <w:sz w:val="14"/>
          <w:szCs w:val="14"/>
        </w:rPr>
        <w:t>own source revenue. This excludes expenses not requiring appropriation.</w:t>
      </w:r>
    </w:p>
    <w:p w14:paraId="32E3B929" w14:textId="77777777" w:rsidR="0071273C" w:rsidRPr="003E76E7" w:rsidRDefault="0071273C" w:rsidP="00C4292D">
      <w:pPr>
        <w:spacing w:before="0" w:after="0"/>
      </w:pPr>
    </w:p>
    <w:p w14:paraId="654334DB" w14:textId="77777777" w:rsidR="00055F34" w:rsidRPr="003E76E7" w:rsidRDefault="00055F34" w:rsidP="00C4292D">
      <w:pPr>
        <w:sectPr w:rsidR="00055F34" w:rsidRPr="003E76E7" w:rsidSect="00C30BE6">
          <w:pgSz w:w="11906" w:h="16838" w:code="9"/>
          <w:pgMar w:top="1701" w:right="1361" w:bottom="1701" w:left="1928" w:header="720" w:footer="720" w:gutter="0"/>
          <w:cols w:space="720"/>
        </w:sectPr>
      </w:pPr>
    </w:p>
    <w:p w14:paraId="5E4FA307" w14:textId="77777777" w:rsidR="00055F34" w:rsidRPr="003E76E7" w:rsidRDefault="009218A1" w:rsidP="00C4292D">
      <w:pPr>
        <w:spacing w:before="0" w:after="0"/>
        <w:outlineLvl w:val="5"/>
        <w:rPr>
          <w:color w:val="FFFFFF"/>
          <w:sz w:val="2"/>
        </w:rPr>
      </w:pPr>
      <w:r w:rsidRPr="003E76E7">
        <w:rPr>
          <w:color w:val="FFFFFF"/>
          <w:sz w:val="2"/>
        </w:rPr>
        <w:lastRenderedPageBreak/>
        <w:t>Program</w:t>
      </w:r>
      <w:r w:rsidR="00055F34" w:rsidRPr="003E76E7">
        <w:rPr>
          <w:color w:val="FFFFFF"/>
          <w:sz w:val="2"/>
        </w:rPr>
        <w:t xml:space="preserve"> 1.3 Defence Contribution to National Support Tasks in Australia</w:t>
      </w:r>
    </w:p>
    <w:tbl>
      <w:tblPr>
        <w:tblW w:w="492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2003"/>
        <w:gridCol w:w="3292"/>
        <w:gridCol w:w="3174"/>
      </w:tblGrid>
      <w:tr w:rsidR="00EB2691" w:rsidRPr="003E76E7" w14:paraId="7654D14F" w14:textId="77777777" w:rsidTr="00A211F5">
        <w:tc>
          <w:tcPr>
            <w:tcW w:w="8470" w:type="dxa"/>
            <w:gridSpan w:val="3"/>
            <w:tcBorders>
              <w:bottom w:val="single" w:sz="4" w:space="0" w:color="auto"/>
            </w:tcBorders>
            <w:shd w:val="clear" w:color="auto" w:fill="CCCCCC"/>
          </w:tcPr>
          <w:p w14:paraId="302E2BD8" w14:textId="77777777" w:rsidR="00EB2691" w:rsidRPr="003E76E7" w:rsidRDefault="00EB2691" w:rsidP="00C4292D">
            <w:pPr>
              <w:pStyle w:val="Heading5"/>
              <w:spacing w:before="60" w:after="60"/>
              <w:rPr>
                <w:lang w:val="en-AU"/>
              </w:rPr>
            </w:pPr>
            <w:r w:rsidRPr="003E76E7">
              <w:rPr>
                <w:rFonts w:ascii="Book Antiqua" w:hAnsi="Book Antiqua"/>
                <w:b w:val="0"/>
                <w:bCs w:val="0"/>
                <w:iCs w:val="0"/>
                <w:szCs w:val="24"/>
              </w:rPr>
              <w:br w:type="page"/>
            </w:r>
            <w:r w:rsidRPr="003E76E7">
              <w:rPr>
                <w:lang w:val="en-AU"/>
              </w:rPr>
              <w:t>Program 1.3 Defence Contribution to National Support Tasks in Australia</w:t>
            </w:r>
          </w:p>
        </w:tc>
      </w:tr>
      <w:tr w:rsidR="00433482" w:rsidRPr="003E76E7" w14:paraId="1A56D5CD" w14:textId="77777777" w:rsidTr="00A211F5">
        <w:trPr>
          <w:trHeight w:val="170"/>
        </w:trPr>
        <w:tc>
          <w:tcPr>
            <w:tcW w:w="8470" w:type="dxa"/>
            <w:gridSpan w:val="3"/>
            <w:tcBorders>
              <w:left w:val="nil"/>
              <w:bottom w:val="single" w:sz="4" w:space="0" w:color="auto"/>
              <w:right w:val="nil"/>
            </w:tcBorders>
            <w:shd w:val="clear" w:color="auto" w:fill="auto"/>
          </w:tcPr>
          <w:p w14:paraId="2EEECDB8" w14:textId="77777777" w:rsidR="00433482" w:rsidRPr="003E76E7" w:rsidRDefault="00433482" w:rsidP="00C4292D">
            <w:pPr>
              <w:pStyle w:val="Heading5"/>
              <w:spacing w:before="0" w:after="0"/>
              <w:rPr>
                <w:b w:val="0"/>
                <w:bCs w:val="0"/>
                <w:iCs w:val="0"/>
                <w:sz w:val="16"/>
                <w:szCs w:val="16"/>
              </w:rPr>
            </w:pPr>
          </w:p>
        </w:tc>
      </w:tr>
      <w:tr w:rsidR="008B58E4" w:rsidRPr="003E76E7" w14:paraId="6517AA30" w14:textId="77777777" w:rsidTr="00A211F5">
        <w:trPr>
          <w:tblHeader/>
        </w:trPr>
        <w:tc>
          <w:tcPr>
            <w:tcW w:w="8470" w:type="dxa"/>
            <w:gridSpan w:val="3"/>
            <w:tcBorders>
              <w:bottom w:val="single" w:sz="4" w:space="0" w:color="auto"/>
            </w:tcBorders>
            <w:shd w:val="clear" w:color="auto" w:fill="E6E6E6"/>
          </w:tcPr>
          <w:p w14:paraId="042D3E0D" w14:textId="77777777" w:rsidR="008B58E4" w:rsidRPr="003E76E7" w:rsidRDefault="008B58E4" w:rsidP="00C4292D">
            <w:pPr>
              <w:tabs>
                <w:tab w:val="left" w:pos="709"/>
              </w:tabs>
              <w:spacing w:before="60" w:after="60"/>
              <w:rPr>
                <w:rFonts w:ascii="Arial" w:hAnsi="Arial"/>
                <w:sz w:val="16"/>
                <w:szCs w:val="16"/>
              </w:rPr>
            </w:pPr>
            <w:r w:rsidRPr="003E76E7">
              <w:rPr>
                <w:rFonts w:ascii="Arial" w:hAnsi="Arial"/>
                <w:b/>
                <w:sz w:val="16"/>
                <w:szCs w:val="16"/>
              </w:rPr>
              <w:t>Program 1.3</w:t>
            </w:r>
            <w:r w:rsidRPr="003E76E7">
              <w:rPr>
                <w:rFonts w:ascii="Arial" w:hAnsi="Arial"/>
                <w:sz w:val="16"/>
                <w:szCs w:val="16"/>
              </w:rPr>
              <w:t xml:space="preserve"> </w:t>
            </w:r>
            <w:r w:rsidRPr="003E76E7">
              <w:rPr>
                <w:rFonts w:ascii="Arial" w:hAnsi="Arial"/>
                <w:b/>
                <w:sz w:val="16"/>
                <w:szCs w:val="16"/>
              </w:rPr>
              <w:t>Objective</w:t>
            </w:r>
          </w:p>
          <w:p w14:paraId="56B23C75" w14:textId="77777777" w:rsidR="008B58E4" w:rsidRPr="003E76E7" w:rsidRDefault="008B58E4" w:rsidP="00C4292D">
            <w:pPr>
              <w:spacing w:before="60" w:after="60"/>
              <w:rPr>
                <w:rFonts w:ascii="Arial" w:eastAsia="MS Mincho" w:hAnsi="Arial"/>
                <w:sz w:val="16"/>
                <w:szCs w:val="16"/>
                <w:lang w:val="en-AU" w:eastAsia="ja-JP"/>
              </w:rPr>
            </w:pPr>
            <w:r w:rsidRPr="003E76E7">
              <w:rPr>
                <w:rFonts w:ascii="Arial" w:eastAsia="MS Mincho" w:hAnsi="Arial"/>
                <w:sz w:val="16"/>
                <w:szCs w:val="16"/>
                <w:lang w:val="en-AU" w:eastAsia="ja-JP"/>
              </w:rPr>
              <w:t>To undertake tasks that include: planning and conduct of operations to provide security of the Australian coastline from unauthorised maritime arrivals, smuggling, quarantine evasion and other intrusions to Australian sovereignty; counter-terrorism responses; search and rescue; humanitarian assistance and disaster relief. Defence contributes to the Department of Home Affairs civil surveillance program and Maritime Border Command tasking, providing maritime surveillance assets that are tasked routinely in accordance with the Government's direction.</w:t>
            </w:r>
          </w:p>
          <w:p w14:paraId="0EC63624" w14:textId="77777777" w:rsidR="008B58E4" w:rsidRPr="003E76E7" w:rsidRDefault="008B58E4" w:rsidP="00C4292D">
            <w:pPr>
              <w:tabs>
                <w:tab w:val="left" w:pos="709"/>
              </w:tabs>
              <w:spacing w:before="60" w:after="60"/>
              <w:rPr>
                <w:rFonts w:ascii="Arial" w:hAnsi="Arial"/>
                <w:sz w:val="16"/>
                <w:szCs w:val="16"/>
              </w:rPr>
            </w:pPr>
            <w:r w:rsidRPr="003E76E7">
              <w:rPr>
                <w:rFonts w:ascii="Arial" w:eastAsia="MS Mincho" w:hAnsi="Arial"/>
                <w:sz w:val="16"/>
                <w:szCs w:val="16"/>
                <w:lang w:val="en-AU" w:eastAsia="ja-JP"/>
              </w:rPr>
              <w:t>Defence, through the Defence Assistance to the Civil Community program, supports the Commonwealth and state/territory governments with emergency and non-emergency tasks, as well as supporting events of national significance as requested by relevant authorities and the general public.</w:t>
            </w:r>
          </w:p>
        </w:tc>
      </w:tr>
      <w:tr w:rsidR="008B58E4" w:rsidRPr="003E76E7" w14:paraId="7ADD62A0" w14:textId="77777777" w:rsidTr="00A211F5">
        <w:tblPrEx>
          <w:shd w:val="clear" w:color="auto" w:fill="auto"/>
          <w:tblLook w:val="04A0" w:firstRow="1" w:lastRow="0" w:firstColumn="1" w:lastColumn="0" w:noHBand="0" w:noVBand="1"/>
        </w:tblPrEx>
        <w:trPr>
          <w:trHeight w:val="312"/>
        </w:trPr>
        <w:tc>
          <w:tcPr>
            <w:tcW w:w="2004" w:type="dxa"/>
            <w:tcBorders>
              <w:bottom w:val="single" w:sz="4" w:space="0" w:color="auto"/>
            </w:tcBorders>
          </w:tcPr>
          <w:p w14:paraId="57E8EC98" w14:textId="5B40087A" w:rsidR="008B58E4" w:rsidRPr="003E76E7" w:rsidRDefault="008B58E4" w:rsidP="00C4292D">
            <w:pPr>
              <w:tabs>
                <w:tab w:val="left" w:pos="709"/>
              </w:tabs>
              <w:spacing w:before="60" w:after="60"/>
              <w:rPr>
                <w:rFonts w:ascii="Arial" w:hAnsi="Arial"/>
                <w:b/>
                <w:color w:val="000000"/>
                <w:sz w:val="16"/>
                <w:szCs w:val="16"/>
              </w:rPr>
            </w:pPr>
            <w:r w:rsidRPr="003E76E7">
              <w:rPr>
                <w:rFonts w:ascii="Arial" w:hAnsi="Arial"/>
                <w:b/>
                <w:color w:val="000000"/>
                <w:sz w:val="16"/>
                <w:szCs w:val="16"/>
              </w:rPr>
              <w:t>Key Activity</w:t>
            </w:r>
            <w:r w:rsidR="00A0768C" w:rsidRPr="003E76E7">
              <w:rPr>
                <w:rFonts w:ascii="Arial" w:hAnsi="Arial"/>
                <w:b/>
                <w:color w:val="000000"/>
                <w:sz w:val="16"/>
                <w:szCs w:val="16"/>
              </w:rPr>
              <w:t xml:space="preserve"> </w:t>
            </w:r>
            <w:r w:rsidR="00A0768C" w:rsidRPr="003E76E7">
              <w:rPr>
                <w:rFonts w:ascii="Arial" w:hAnsi="Arial"/>
                <w:b/>
                <w:color w:val="000000"/>
                <w:sz w:val="16"/>
                <w:szCs w:val="16"/>
                <w:vertAlign w:val="superscript"/>
              </w:rPr>
              <w:t>[a]</w:t>
            </w:r>
          </w:p>
        </w:tc>
        <w:tc>
          <w:tcPr>
            <w:tcW w:w="6466" w:type="dxa"/>
            <w:gridSpan w:val="2"/>
            <w:tcBorders>
              <w:bottom w:val="single" w:sz="4" w:space="0" w:color="auto"/>
            </w:tcBorders>
          </w:tcPr>
          <w:p w14:paraId="1DC97869" w14:textId="77777777" w:rsidR="008B58E4" w:rsidRPr="003E76E7" w:rsidRDefault="008B58E4" w:rsidP="00C4292D">
            <w:pPr>
              <w:tabs>
                <w:tab w:val="left" w:pos="343"/>
              </w:tabs>
              <w:spacing w:before="60" w:after="60"/>
              <w:rPr>
                <w:rFonts w:ascii="Arial" w:hAnsi="Arial"/>
                <w:bCs/>
                <w:color w:val="000000"/>
                <w:sz w:val="16"/>
                <w:szCs w:val="16"/>
              </w:rPr>
            </w:pPr>
            <w:r w:rsidRPr="003E76E7">
              <w:rPr>
                <w:rFonts w:ascii="Arial" w:hAnsi="Arial"/>
                <w:bCs/>
                <w:color w:val="000000"/>
                <w:sz w:val="16"/>
                <w:szCs w:val="16"/>
              </w:rPr>
              <w:t>This program will be achieved through the following activity:</w:t>
            </w:r>
          </w:p>
          <w:p w14:paraId="56FB1EE7" w14:textId="511BE2D9" w:rsidR="008B58E4" w:rsidRPr="003E76E7" w:rsidRDefault="008B58E4" w:rsidP="00C4292D">
            <w:pPr>
              <w:tabs>
                <w:tab w:val="left" w:pos="709"/>
              </w:tabs>
              <w:spacing w:before="60" w:after="60"/>
              <w:rPr>
                <w:rFonts w:ascii="Arial" w:hAnsi="Arial"/>
                <w:i/>
                <w:color w:val="000000"/>
                <w:sz w:val="16"/>
                <w:szCs w:val="16"/>
              </w:rPr>
            </w:pPr>
            <w:r w:rsidRPr="003E76E7">
              <w:rPr>
                <w:rFonts w:ascii="Arial" w:hAnsi="Arial"/>
                <w:b/>
                <w:sz w:val="16"/>
                <w:szCs w:val="16"/>
                <w:lang w:val="en-AU"/>
              </w:rPr>
              <w:t>1. Conduct domestic and international operations and exercises to defend Australia and its national interests</w:t>
            </w:r>
            <w:r w:rsidRPr="003E76E7">
              <w:rPr>
                <w:rFonts w:ascii="Arial" w:hAnsi="Arial"/>
                <w:color w:val="000000"/>
                <w:sz w:val="16"/>
                <w:szCs w:val="16"/>
                <w:lang w:val="en-AU"/>
              </w:rPr>
              <w:t>.</w:t>
            </w:r>
          </w:p>
        </w:tc>
      </w:tr>
      <w:tr w:rsidR="00EB2691" w:rsidRPr="003E76E7" w14:paraId="274B59C2" w14:textId="77777777" w:rsidTr="00A211F5">
        <w:tblPrEx>
          <w:shd w:val="clear" w:color="auto" w:fill="auto"/>
          <w:tblLook w:val="04A0" w:firstRow="1" w:lastRow="0" w:firstColumn="1" w:lastColumn="0" w:noHBand="0" w:noVBand="1"/>
        </w:tblPrEx>
        <w:trPr>
          <w:trHeight w:val="258"/>
        </w:trPr>
        <w:tc>
          <w:tcPr>
            <w:tcW w:w="2004" w:type="dxa"/>
            <w:tcBorders>
              <w:top w:val="single" w:sz="4" w:space="0" w:color="auto"/>
              <w:bottom w:val="single" w:sz="4" w:space="0" w:color="auto"/>
              <w:right w:val="single" w:sz="4" w:space="0" w:color="auto"/>
            </w:tcBorders>
          </w:tcPr>
          <w:p w14:paraId="28AEE750" w14:textId="77777777" w:rsidR="00EB2691" w:rsidRPr="003E76E7" w:rsidRDefault="00EB2691" w:rsidP="00C4292D">
            <w:pPr>
              <w:tabs>
                <w:tab w:val="left" w:pos="709"/>
              </w:tabs>
              <w:spacing w:before="60" w:after="60"/>
              <w:rPr>
                <w:rFonts w:ascii="Arial" w:hAnsi="Arial"/>
                <w:b/>
                <w:color w:val="000000"/>
                <w:sz w:val="16"/>
                <w:szCs w:val="16"/>
              </w:rPr>
            </w:pPr>
            <w:r w:rsidRPr="003E76E7">
              <w:rPr>
                <w:rFonts w:ascii="Arial" w:hAnsi="Arial"/>
                <w:b/>
                <w:color w:val="000000"/>
                <w:sz w:val="16"/>
                <w:szCs w:val="16"/>
              </w:rPr>
              <w:t>Year</w:t>
            </w:r>
          </w:p>
        </w:tc>
        <w:tc>
          <w:tcPr>
            <w:tcW w:w="3292" w:type="dxa"/>
            <w:tcBorders>
              <w:top w:val="single" w:sz="4" w:space="0" w:color="auto"/>
              <w:left w:val="single" w:sz="4" w:space="0" w:color="auto"/>
              <w:bottom w:val="single" w:sz="4" w:space="0" w:color="auto"/>
              <w:right w:val="single" w:sz="4" w:space="0" w:color="auto"/>
            </w:tcBorders>
          </w:tcPr>
          <w:p w14:paraId="58ECBB62" w14:textId="19823F36" w:rsidR="00EB2691" w:rsidRPr="003E76E7" w:rsidRDefault="00AD14EC" w:rsidP="00C4292D">
            <w:pPr>
              <w:tabs>
                <w:tab w:val="left" w:pos="709"/>
                <w:tab w:val="center" w:pos="1818"/>
              </w:tabs>
              <w:spacing w:before="60" w:after="60"/>
              <w:rPr>
                <w:rFonts w:ascii="Arial" w:hAnsi="Arial"/>
                <w:b/>
                <w:color w:val="000000"/>
                <w:sz w:val="16"/>
                <w:szCs w:val="16"/>
              </w:rPr>
            </w:pPr>
            <w:r w:rsidRPr="003E76E7">
              <w:rPr>
                <w:rFonts w:ascii="Arial" w:hAnsi="Arial"/>
                <w:b/>
                <w:color w:val="000000"/>
                <w:sz w:val="16"/>
                <w:szCs w:val="16"/>
              </w:rPr>
              <w:t>Performance Measures</w:t>
            </w:r>
          </w:p>
        </w:tc>
        <w:tc>
          <w:tcPr>
            <w:tcW w:w="3174" w:type="dxa"/>
            <w:tcBorders>
              <w:top w:val="single" w:sz="4" w:space="0" w:color="auto"/>
              <w:left w:val="single" w:sz="4" w:space="0" w:color="auto"/>
              <w:bottom w:val="single" w:sz="4" w:space="0" w:color="auto"/>
            </w:tcBorders>
          </w:tcPr>
          <w:p w14:paraId="0CDD77D8" w14:textId="77777777" w:rsidR="00EB2691" w:rsidRPr="003E76E7" w:rsidRDefault="00EB2691" w:rsidP="00C4292D">
            <w:pPr>
              <w:tabs>
                <w:tab w:val="left" w:pos="709"/>
              </w:tabs>
              <w:spacing w:before="60" w:after="60"/>
              <w:rPr>
                <w:rFonts w:ascii="Arial" w:hAnsi="Arial"/>
                <w:b/>
                <w:color w:val="000000"/>
                <w:sz w:val="16"/>
                <w:szCs w:val="16"/>
              </w:rPr>
            </w:pPr>
            <w:r w:rsidRPr="003E76E7">
              <w:rPr>
                <w:rFonts w:ascii="Arial" w:hAnsi="Arial"/>
                <w:b/>
                <w:color w:val="000000"/>
                <w:sz w:val="16"/>
                <w:szCs w:val="16"/>
              </w:rPr>
              <w:t>Expected Performance Results</w:t>
            </w:r>
          </w:p>
        </w:tc>
      </w:tr>
      <w:tr w:rsidR="008B58E4" w:rsidRPr="003E76E7" w14:paraId="3948864B" w14:textId="77777777" w:rsidTr="00A211F5">
        <w:trPr>
          <w:trHeight w:val="705"/>
        </w:trPr>
        <w:tc>
          <w:tcPr>
            <w:tcW w:w="2004" w:type="dxa"/>
            <w:vMerge w:val="restart"/>
            <w:tcBorders>
              <w:top w:val="single" w:sz="4" w:space="0" w:color="auto"/>
              <w:bottom w:val="single" w:sz="4" w:space="0" w:color="auto"/>
              <w:right w:val="single" w:sz="4" w:space="0" w:color="auto"/>
            </w:tcBorders>
          </w:tcPr>
          <w:p w14:paraId="10BF3B79" w14:textId="77777777" w:rsidR="008B58E4" w:rsidRPr="003E76E7" w:rsidRDefault="008B58E4" w:rsidP="00C4292D">
            <w:pPr>
              <w:tabs>
                <w:tab w:val="left" w:pos="709"/>
              </w:tabs>
              <w:spacing w:before="0" w:after="0"/>
              <w:rPr>
                <w:rFonts w:ascii="Arial" w:hAnsi="Arial"/>
                <w:color w:val="000000"/>
                <w:sz w:val="16"/>
                <w:szCs w:val="16"/>
              </w:rPr>
            </w:pPr>
            <w:r w:rsidRPr="003E76E7">
              <w:rPr>
                <w:rFonts w:ascii="Arial" w:hAnsi="Arial"/>
                <w:color w:val="000000"/>
                <w:sz w:val="16"/>
                <w:szCs w:val="16"/>
              </w:rPr>
              <w:t>Current Year</w:t>
            </w:r>
          </w:p>
          <w:p w14:paraId="13595C30" w14:textId="34BFAFE4" w:rsidR="008B58E4" w:rsidRPr="003E76E7" w:rsidRDefault="008B58E4" w:rsidP="00C4292D">
            <w:pPr>
              <w:tabs>
                <w:tab w:val="left" w:pos="709"/>
              </w:tabs>
              <w:spacing w:before="0" w:after="0"/>
              <w:rPr>
                <w:rFonts w:ascii="Arial" w:hAnsi="Arial"/>
                <w:color w:val="000000"/>
                <w:sz w:val="16"/>
                <w:szCs w:val="16"/>
              </w:rPr>
            </w:pPr>
            <w:r w:rsidRPr="003E76E7">
              <w:rPr>
                <w:rFonts w:ascii="Arial" w:hAnsi="Arial"/>
                <w:color w:val="000000"/>
                <w:sz w:val="16"/>
                <w:szCs w:val="16"/>
              </w:rPr>
              <w:t xml:space="preserve">2025-26 </w:t>
            </w:r>
            <w:r w:rsidRPr="003E76E7">
              <w:rPr>
                <w:rFonts w:ascii="Arial" w:hAnsi="Arial"/>
                <w:color w:val="000000"/>
                <w:sz w:val="16"/>
                <w:szCs w:val="16"/>
                <w:vertAlign w:val="superscript"/>
              </w:rPr>
              <w:t>[</w:t>
            </w:r>
            <w:r w:rsidR="00A0768C" w:rsidRPr="003E76E7">
              <w:rPr>
                <w:rFonts w:ascii="Arial" w:hAnsi="Arial"/>
                <w:color w:val="000000"/>
                <w:sz w:val="16"/>
                <w:szCs w:val="16"/>
                <w:vertAlign w:val="superscript"/>
              </w:rPr>
              <w:t>b</w:t>
            </w:r>
            <w:r w:rsidRPr="003E76E7">
              <w:rPr>
                <w:rFonts w:ascii="Arial" w:hAnsi="Arial"/>
                <w:color w:val="000000"/>
                <w:sz w:val="16"/>
                <w:szCs w:val="16"/>
                <w:vertAlign w:val="superscript"/>
              </w:rPr>
              <w:t>]</w:t>
            </w:r>
          </w:p>
        </w:tc>
        <w:tc>
          <w:tcPr>
            <w:tcW w:w="3292" w:type="dxa"/>
            <w:tcBorders>
              <w:top w:val="single" w:sz="4" w:space="0" w:color="auto"/>
              <w:left w:val="single" w:sz="4" w:space="0" w:color="auto"/>
              <w:bottom w:val="single" w:sz="4" w:space="0" w:color="auto"/>
              <w:right w:val="single" w:sz="4" w:space="0" w:color="auto"/>
            </w:tcBorders>
          </w:tcPr>
          <w:p w14:paraId="66325EFF" w14:textId="35DA7CA5" w:rsidR="008B58E4" w:rsidRPr="003E76E7" w:rsidRDefault="008B58E4" w:rsidP="00C4292D">
            <w:pPr>
              <w:tabs>
                <w:tab w:val="left" w:pos="709"/>
              </w:tabs>
              <w:spacing w:before="60" w:after="60"/>
              <w:rPr>
                <w:rFonts w:ascii="Arial" w:hAnsi="Arial"/>
                <w:color w:val="000000"/>
                <w:sz w:val="16"/>
                <w:szCs w:val="16"/>
              </w:rPr>
            </w:pPr>
            <w:r w:rsidRPr="003E76E7">
              <w:rPr>
                <w:rFonts w:ascii="Arial" w:hAnsi="Arial"/>
                <w:sz w:val="16"/>
                <w:szCs w:val="16"/>
                <w:lang w:val="en-AU"/>
              </w:rPr>
              <w:t>1.1: Defence conducts operations as directed by Government to achieve Defence’s mission.</w:t>
            </w:r>
            <w:r w:rsidRPr="003E76E7" w:rsidDel="008C4382">
              <w:rPr>
                <w:rFonts w:ascii="Arial" w:hAnsi="Arial"/>
                <w:sz w:val="16"/>
                <w:szCs w:val="16"/>
                <w:lang w:val="en-AU"/>
              </w:rPr>
              <w:t xml:space="preserve"> </w:t>
            </w:r>
          </w:p>
        </w:tc>
        <w:tc>
          <w:tcPr>
            <w:tcW w:w="3174" w:type="dxa"/>
            <w:tcBorders>
              <w:top w:val="single" w:sz="4" w:space="0" w:color="auto"/>
              <w:left w:val="single" w:sz="4" w:space="0" w:color="auto"/>
              <w:bottom w:val="single" w:sz="4" w:space="0" w:color="auto"/>
            </w:tcBorders>
          </w:tcPr>
          <w:p w14:paraId="3E077084" w14:textId="77777777" w:rsidR="008B58E4" w:rsidRPr="003E76E7" w:rsidRDefault="008B58E4" w:rsidP="00C4292D">
            <w:pPr>
              <w:tabs>
                <w:tab w:val="left" w:pos="709"/>
              </w:tabs>
              <w:spacing w:before="0" w:after="0"/>
              <w:rPr>
                <w:rFonts w:ascii="Arial" w:hAnsi="Arial"/>
                <w:sz w:val="16"/>
                <w:szCs w:val="16"/>
                <w:lang w:val="en-AU"/>
              </w:rPr>
            </w:pPr>
            <w:r w:rsidRPr="003E76E7">
              <w:rPr>
                <w:rFonts w:ascii="Arial" w:hAnsi="Arial"/>
                <w:sz w:val="16"/>
                <w:szCs w:val="16"/>
                <w:lang w:val="en-AU"/>
              </w:rPr>
              <w:t>100 per cent of operations conducted or being conducted as directed by Government.</w:t>
            </w:r>
          </w:p>
          <w:p w14:paraId="255E9A0C" w14:textId="370148ED" w:rsidR="008B58E4" w:rsidRPr="003E76E7" w:rsidRDefault="00D021AE" w:rsidP="00C4292D">
            <w:pPr>
              <w:tabs>
                <w:tab w:val="left" w:pos="709"/>
              </w:tabs>
              <w:spacing w:before="60" w:after="60"/>
              <w:jc w:val="right"/>
              <w:rPr>
                <w:rFonts w:ascii="Arial" w:hAnsi="Arial"/>
                <w:color w:val="000000"/>
                <w:sz w:val="16"/>
                <w:szCs w:val="16"/>
              </w:rPr>
            </w:pPr>
            <w:r w:rsidRPr="003E76E7">
              <w:rPr>
                <w:rFonts w:ascii="Arial" w:hAnsi="Arial"/>
                <w:i/>
                <w:sz w:val="16"/>
                <w:szCs w:val="16"/>
                <w:lang w:val="en-AU"/>
              </w:rPr>
              <w:t>Expected to be achieved.</w:t>
            </w:r>
          </w:p>
        </w:tc>
      </w:tr>
      <w:tr w:rsidR="008B58E4" w:rsidRPr="003E76E7" w14:paraId="0387E520" w14:textId="77777777" w:rsidTr="00A211F5">
        <w:trPr>
          <w:trHeight w:val="705"/>
        </w:trPr>
        <w:tc>
          <w:tcPr>
            <w:tcW w:w="2004" w:type="dxa"/>
            <w:vMerge/>
            <w:tcBorders>
              <w:top w:val="single" w:sz="4" w:space="0" w:color="auto"/>
              <w:right w:val="single" w:sz="4" w:space="0" w:color="auto"/>
            </w:tcBorders>
          </w:tcPr>
          <w:p w14:paraId="2E54AD1C" w14:textId="77777777" w:rsidR="008B58E4" w:rsidRPr="003E76E7" w:rsidRDefault="008B58E4" w:rsidP="00C4292D">
            <w:pPr>
              <w:tabs>
                <w:tab w:val="left" w:pos="709"/>
              </w:tabs>
              <w:spacing w:before="60" w:after="60"/>
              <w:rPr>
                <w:rFonts w:ascii="Arial" w:hAnsi="Arial"/>
                <w:color w:val="000000"/>
                <w:sz w:val="16"/>
                <w:szCs w:val="16"/>
              </w:rPr>
            </w:pPr>
          </w:p>
        </w:tc>
        <w:tc>
          <w:tcPr>
            <w:tcW w:w="3292" w:type="dxa"/>
            <w:tcBorders>
              <w:top w:val="single" w:sz="4" w:space="0" w:color="auto"/>
              <w:left w:val="single" w:sz="4" w:space="0" w:color="auto"/>
              <w:bottom w:val="single" w:sz="4" w:space="0" w:color="auto"/>
              <w:right w:val="single" w:sz="4" w:space="0" w:color="auto"/>
            </w:tcBorders>
          </w:tcPr>
          <w:p w14:paraId="0181D80D" w14:textId="225C3421" w:rsidR="008B58E4" w:rsidRPr="003E76E7" w:rsidRDefault="008B58E4" w:rsidP="00C4292D">
            <w:pPr>
              <w:tabs>
                <w:tab w:val="left" w:pos="709"/>
              </w:tabs>
              <w:spacing w:before="60" w:after="60"/>
              <w:rPr>
                <w:rFonts w:ascii="Arial" w:hAnsi="Arial"/>
                <w:color w:val="000000"/>
                <w:sz w:val="16"/>
                <w:szCs w:val="16"/>
              </w:rPr>
            </w:pPr>
            <w:r w:rsidRPr="003E76E7">
              <w:rPr>
                <w:rFonts w:ascii="Arial" w:hAnsi="Arial"/>
                <w:sz w:val="16"/>
                <w:szCs w:val="16"/>
                <w:lang w:val="en-AU"/>
              </w:rPr>
              <w:t>1.2: Defence maintains ready forces through the conduct of exercises.</w:t>
            </w:r>
            <w:r w:rsidRPr="003E76E7" w:rsidDel="008C4382">
              <w:rPr>
                <w:rFonts w:ascii="Arial" w:hAnsi="Arial"/>
                <w:sz w:val="16"/>
                <w:szCs w:val="16"/>
                <w:lang w:val="en-AU"/>
              </w:rPr>
              <w:t xml:space="preserve"> </w:t>
            </w:r>
          </w:p>
        </w:tc>
        <w:tc>
          <w:tcPr>
            <w:tcW w:w="3174" w:type="dxa"/>
            <w:tcBorders>
              <w:top w:val="single" w:sz="4" w:space="0" w:color="auto"/>
              <w:left w:val="single" w:sz="4" w:space="0" w:color="auto"/>
              <w:bottom w:val="single" w:sz="4" w:space="0" w:color="auto"/>
            </w:tcBorders>
          </w:tcPr>
          <w:p w14:paraId="7BA6F16D" w14:textId="77777777" w:rsidR="008B58E4" w:rsidRPr="003E76E7" w:rsidRDefault="008B58E4" w:rsidP="00C4292D">
            <w:pPr>
              <w:spacing w:before="60" w:after="60"/>
              <w:rPr>
                <w:rFonts w:ascii="Arial" w:hAnsi="Arial"/>
                <w:color w:val="000000"/>
                <w:sz w:val="16"/>
                <w:szCs w:val="16"/>
                <w:lang w:val="en-AU"/>
              </w:rPr>
            </w:pPr>
            <w:r w:rsidRPr="003E76E7">
              <w:rPr>
                <w:rFonts w:ascii="Arial" w:hAnsi="Arial"/>
                <w:color w:val="000000"/>
                <w:sz w:val="16"/>
                <w:szCs w:val="16"/>
                <w:lang w:val="en-AU"/>
              </w:rPr>
              <w:t>100 per cent of exercises conducted achieve planned objectives.</w:t>
            </w:r>
          </w:p>
          <w:p w14:paraId="518C0425" w14:textId="0504AAFE" w:rsidR="008B58E4" w:rsidRPr="003E76E7" w:rsidRDefault="00D021AE" w:rsidP="00C4292D">
            <w:pPr>
              <w:tabs>
                <w:tab w:val="left" w:pos="709"/>
              </w:tabs>
              <w:spacing w:before="60" w:after="60"/>
              <w:jc w:val="right"/>
              <w:rPr>
                <w:rFonts w:ascii="Arial" w:hAnsi="Arial"/>
                <w:color w:val="000000"/>
                <w:sz w:val="16"/>
                <w:szCs w:val="16"/>
              </w:rPr>
            </w:pPr>
            <w:r w:rsidRPr="003E76E7">
              <w:rPr>
                <w:rFonts w:ascii="Arial" w:hAnsi="Arial"/>
                <w:i/>
                <w:sz w:val="16"/>
                <w:szCs w:val="16"/>
                <w:lang w:val="en-AU"/>
              </w:rPr>
              <w:t>Expected to be substantially achieved.</w:t>
            </w:r>
          </w:p>
        </w:tc>
      </w:tr>
      <w:tr w:rsidR="008B58E4" w:rsidRPr="003E76E7" w14:paraId="522D94ED" w14:textId="77777777" w:rsidTr="00A211F5">
        <w:trPr>
          <w:trHeight w:val="705"/>
        </w:trPr>
        <w:tc>
          <w:tcPr>
            <w:tcW w:w="2004" w:type="dxa"/>
            <w:vMerge/>
            <w:tcBorders>
              <w:top w:val="single" w:sz="4" w:space="0" w:color="auto"/>
              <w:bottom w:val="single" w:sz="4" w:space="0" w:color="auto"/>
              <w:right w:val="single" w:sz="4" w:space="0" w:color="auto"/>
            </w:tcBorders>
          </w:tcPr>
          <w:p w14:paraId="64A67CAF" w14:textId="77777777" w:rsidR="008B58E4" w:rsidRPr="003E76E7" w:rsidRDefault="008B58E4" w:rsidP="00C4292D">
            <w:pPr>
              <w:tabs>
                <w:tab w:val="left" w:pos="709"/>
              </w:tabs>
              <w:spacing w:before="60" w:after="60"/>
              <w:rPr>
                <w:rFonts w:ascii="Arial" w:hAnsi="Arial"/>
                <w:color w:val="000000"/>
                <w:sz w:val="16"/>
                <w:szCs w:val="16"/>
              </w:rPr>
            </w:pPr>
          </w:p>
        </w:tc>
        <w:tc>
          <w:tcPr>
            <w:tcW w:w="3292" w:type="dxa"/>
            <w:tcBorders>
              <w:top w:val="single" w:sz="4" w:space="0" w:color="auto"/>
              <w:left w:val="single" w:sz="4" w:space="0" w:color="auto"/>
              <w:bottom w:val="single" w:sz="4" w:space="0" w:color="auto"/>
              <w:right w:val="single" w:sz="4" w:space="0" w:color="auto"/>
            </w:tcBorders>
          </w:tcPr>
          <w:p w14:paraId="620A3DAF" w14:textId="13D82DD3" w:rsidR="008B58E4" w:rsidRPr="003E76E7" w:rsidRDefault="008B58E4" w:rsidP="00C4292D">
            <w:pPr>
              <w:tabs>
                <w:tab w:val="left" w:pos="709"/>
              </w:tabs>
              <w:spacing w:before="60" w:after="60"/>
              <w:rPr>
                <w:rFonts w:ascii="Arial" w:hAnsi="Arial"/>
                <w:sz w:val="16"/>
                <w:szCs w:val="16"/>
                <w:lang w:val="en-AU"/>
              </w:rPr>
            </w:pPr>
            <w:r w:rsidRPr="003E76E7">
              <w:rPr>
                <w:rFonts w:ascii="Arial" w:hAnsi="Arial"/>
                <w:sz w:val="16"/>
                <w:szCs w:val="16"/>
                <w:lang w:val="en-AU"/>
              </w:rPr>
              <w:t>1.3</w:t>
            </w:r>
            <w:r w:rsidR="00DB5636" w:rsidRPr="003E76E7">
              <w:rPr>
                <w:rFonts w:ascii="Arial" w:hAnsi="Arial"/>
                <w:sz w:val="16"/>
                <w:szCs w:val="16"/>
                <w:lang w:val="en-AU"/>
              </w:rPr>
              <w:t>:</w:t>
            </w:r>
            <w:r w:rsidRPr="003E76E7">
              <w:rPr>
                <w:rFonts w:ascii="Arial" w:hAnsi="Arial"/>
                <w:sz w:val="16"/>
                <w:szCs w:val="16"/>
                <w:lang w:val="en-AU"/>
              </w:rPr>
              <w:t xml:space="preserve"> Defence assists with domestic crisis and emergency response as directed by Government. </w:t>
            </w:r>
          </w:p>
        </w:tc>
        <w:tc>
          <w:tcPr>
            <w:tcW w:w="3174" w:type="dxa"/>
            <w:tcBorders>
              <w:top w:val="single" w:sz="4" w:space="0" w:color="auto"/>
              <w:left w:val="single" w:sz="4" w:space="0" w:color="auto"/>
              <w:bottom w:val="single" w:sz="4" w:space="0" w:color="auto"/>
            </w:tcBorders>
          </w:tcPr>
          <w:p w14:paraId="1A16AD7A" w14:textId="77777777" w:rsidR="008B58E4" w:rsidRPr="003E76E7" w:rsidRDefault="008B58E4" w:rsidP="00C4292D">
            <w:pPr>
              <w:spacing w:before="60" w:after="60"/>
              <w:rPr>
                <w:rFonts w:ascii="Arial" w:hAnsi="Arial"/>
                <w:color w:val="000000"/>
                <w:sz w:val="16"/>
                <w:szCs w:val="16"/>
                <w:lang w:val="en-AU"/>
              </w:rPr>
            </w:pPr>
            <w:r w:rsidRPr="003E76E7">
              <w:rPr>
                <w:rFonts w:ascii="Arial" w:hAnsi="Arial"/>
                <w:color w:val="000000"/>
                <w:sz w:val="16"/>
                <w:szCs w:val="16"/>
                <w:lang w:val="en-AU"/>
              </w:rPr>
              <w:t xml:space="preserve">Defence responds to 100 per cent of requests for assistance as directed by Government. </w:t>
            </w:r>
          </w:p>
          <w:p w14:paraId="3DED42EF" w14:textId="6568CEC4" w:rsidR="008B58E4" w:rsidRPr="003E76E7" w:rsidRDefault="008B58E4" w:rsidP="00C4292D">
            <w:pPr>
              <w:tabs>
                <w:tab w:val="left" w:pos="709"/>
              </w:tabs>
              <w:spacing w:before="60" w:after="60"/>
              <w:jc w:val="right"/>
              <w:rPr>
                <w:rFonts w:ascii="Arial" w:hAnsi="Arial"/>
                <w:sz w:val="16"/>
                <w:szCs w:val="16"/>
                <w:lang w:val="en-AU"/>
              </w:rPr>
            </w:pPr>
            <w:r w:rsidRPr="003E76E7">
              <w:rPr>
                <w:rFonts w:ascii="Arial" w:hAnsi="Arial"/>
                <w:i/>
                <w:sz w:val="16"/>
                <w:szCs w:val="16"/>
                <w:lang w:val="en-AU"/>
              </w:rPr>
              <w:t>Expected to be achieved</w:t>
            </w:r>
            <w:r w:rsidR="009C15A7" w:rsidRPr="003E76E7">
              <w:rPr>
                <w:rFonts w:ascii="Arial" w:hAnsi="Arial"/>
                <w:i/>
                <w:sz w:val="16"/>
                <w:szCs w:val="16"/>
                <w:lang w:val="en-AU"/>
              </w:rPr>
              <w:t>.</w:t>
            </w:r>
          </w:p>
        </w:tc>
      </w:tr>
      <w:tr w:rsidR="00EF3130" w:rsidRPr="003E76E7" w14:paraId="4EED96EE" w14:textId="77777777" w:rsidTr="00A211F5">
        <w:tblPrEx>
          <w:shd w:val="clear" w:color="auto" w:fill="auto"/>
          <w:tblLook w:val="04A0" w:firstRow="1" w:lastRow="0" w:firstColumn="1" w:lastColumn="0" w:noHBand="0" w:noVBand="1"/>
        </w:tblPrEx>
        <w:trPr>
          <w:trHeight w:val="100"/>
        </w:trPr>
        <w:tc>
          <w:tcPr>
            <w:tcW w:w="2004" w:type="dxa"/>
            <w:tcBorders>
              <w:top w:val="single" w:sz="4" w:space="0" w:color="auto"/>
              <w:bottom w:val="single" w:sz="4" w:space="0" w:color="auto"/>
              <w:right w:val="single" w:sz="4" w:space="0" w:color="auto"/>
            </w:tcBorders>
          </w:tcPr>
          <w:p w14:paraId="0F6D9C66" w14:textId="77777777" w:rsidR="00EF3130" w:rsidRPr="003E76E7" w:rsidRDefault="00EF3130" w:rsidP="00C4292D">
            <w:pPr>
              <w:tabs>
                <w:tab w:val="left" w:pos="709"/>
              </w:tabs>
              <w:spacing w:before="60" w:after="60"/>
              <w:rPr>
                <w:rFonts w:ascii="Arial" w:hAnsi="Arial"/>
                <w:color w:val="000000"/>
                <w:sz w:val="16"/>
                <w:szCs w:val="16"/>
              </w:rPr>
            </w:pPr>
            <w:r w:rsidRPr="003E76E7">
              <w:rPr>
                <w:rFonts w:ascii="Arial" w:hAnsi="Arial"/>
                <w:b/>
                <w:color w:val="000000"/>
                <w:sz w:val="16"/>
                <w:szCs w:val="16"/>
              </w:rPr>
              <w:t>Year</w:t>
            </w:r>
          </w:p>
        </w:tc>
        <w:tc>
          <w:tcPr>
            <w:tcW w:w="3292" w:type="dxa"/>
            <w:tcBorders>
              <w:top w:val="single" w:sz="4" w:space="0" w:color="auto"/>
              <w:left w:val="single" w:sz="4" w:space="0" w:color="auto"/>
              <w:bottom w:val="single" w:sz="4" w:space="0" w:color="auto"/>
              <w:right w:val="single" w:sz="4" w:space="0" w:color="auto"/>
            </w:tcBorders>
          </w:tcPr>
          <w:p w14:paraId="7B15A920" w14:textId="38CB9D4A" w:rsidR="00EF3130" w:rsidRPr="003E76E7" w:rsidRDefault="00AD14EC" w:rsidP="00C4292D">
            <w:pPr>
              <w:tabs>
                <w:tab w:val="left" w:pos="709"/>
              </w:tabs>
              <w:spacing w:before="60" w:after="60"/>
              <w:rPr>
                <w:rFonts w:ascii="Arial" w:hAnsi="Arial"/>
                <w:color w:val="000000"/>
              </w:rPr>
            </w:pPr>
            <w:r w:rsidRPr="003E76E7">
              <w:rPr>
                <w:rFonts w:ascii="Arial" w:hAnsi="Arial"/>
                <w:b/>
                <w:color w:val="000000"/>
                <w:sz w:val="16"/>
                <w:szCs w:val="16"/>
              </w:rPr>
              <w:t>Performance Measures</w:t>
            </w:r>
          </w:p>
        </w:tc>
        <w:tc>
          <w:tcPr>
            <w:tcW w:w="3174" w:type="dxa"/>
            <w:tcBorders>
              <w:top w:val="single" w:sz="4" w:space="0" w:color="auto"/>
              <w:left w:val="single" w:sz="4" w:space="0" w:color="auto"/>
              <w:bottom w:val="single" w:sz="4" w:space="0" w:color="auto"/>
            </w:tcBorders>
          </w:tcPr>
          <w:p w14:paraId="09063A0C" w14:textId="77777777" w:rsidR="00EF3130" w:rsidRPr="003E76E7" w:rsidRDefault="00EF3130" w:rsidP="00C4292D">
            <w:pPr>
              <w:tabs>
                <w:tab w:val="left" w:pos="709"/>
              </w:tabs>
              <w:spacing w:before="60" w:after="60"/>
              <w:rPr>
                <w:rFonts w:ascii="Arial" w:hAnsi="Arial"/>
                <w:i/>
                <w:color w:val="000000"/>
                <w:sz w:val="16"/>
                <w:szCs w:val="16"/>
              </w:rPr>
            </w:pPr>
            <w:r w:rsidRPr="003E76E7">
              <w:rPr>
                <w:rFonts w:ascii="Arial" w:hAnsi="Arial"/>
                <w:b/>
                <w:color w:val="000000"/>
                <w:sz w:val="16"/>
                <w:szCs w:val="16"/>
              </w:rPr>
              <w:t>Planned Performance Results</w:t>
            </w:r>
          </w:p>
        </w:tc>
      </w:tr>
      <w:tr w:rsidR="008B58E4" w:rsidRPr="003E76E7" w14:paraId="1702E5C3" w14:textId="77777777" w:rsidTr="00A211F5">
        <w:trPr>
          <w:trHeight w:val="305"/>
        </w:trPr>
        <w:tc>
          <w:tcPr>
            <w:tcW w:w="2004" w:type="dxa"/>
            <w:vMerge w:val="restart"/>
            <w:tcBorders>
              <w:top w:val="single" w:sz="4" w:space="0" w:color="auto"/>
              <w:bottom w:val="single" w:sz="4" w:space="0" w:color="auto"/>
              <w:right w:val="single" w:sz="4" w:space="0" w:color="auto"/>
            </w:tcBorders>
          </w:tcPr>
          <w:p w14:paraId="0BC407A0" w14:textId="77777777" w:rsidR="008B58E4" w:rsidRPr="003E76E7" w:rsidRDefault="008B58E4" w:rsidP="00C4292D">
            <w:pPr>
              <w:tabs>
                <w:tab w:val="left" w:pos="709"/>
              </w:tabs>
              <w:spacing w:before="0" w:after="0"/>
              <w:rPr>
                <w:rFonts w:ascii="Arial" w:hAnsi="Arial"/>
                <w:color w:val="000000"/>
                <w:sz w:val="16"/>
                <w:szCs w:val="16"/>
              </w:rPr>
            </w:pPr>
            <w:r w:rsidRPr="003E76E7">
              <w:rPr>
                <w:rFonts w:ascii="Arial" w:hAnsi="Arial"/>
                <w:color w:val="000000"/>
                <w:sz w:val="16"/>
                <w:szCs w:val="16"/>
              </w:rPr>
              <w:t>Budget Year</w:t>
            </w:r>
          </w:p>
          <w:p w14:paraId="7A652C76" w14:textId="765DE317" w:rsidR="008B58E4" w:rsidRPr="003E76E7" w:rsidRDefault="008B58E4" w:rsidP="00C4292D">
            <w:pPr>
              <w:tabs>
                <w:tab w:val="left" w:pos="709"/>
              </w:tabs>
              <w:spacing w:before="0" w:after="0"/>
              <w:rPr>
                <w:rFonts w:ascii="Arial" w:hAnsi="Arial"/>
                <w:color w:val="000000"/>
                <w:sz w:val="16"/>
                <w:szCs w:val="16"/>
              </w:rPr>
            </w:pPr>
            <w:r w:rsidRPr="003E76E7">
              <w:rPr>
                <w:rFonts w:ascii="Arial" w:hAnsi="Arial"/>
                <w:color w:val="000000"/>
                <w:sz w:val="16"/>
                <w:szCs w:val="16"/>
              </w:rPr>
              <w:t xml:space="preserve">2026-27 </w:t>
            </w:r>
            <w:r w:rsidRPr="003E76E7">
              <w:rPr>
                <w:rFonts w:ascii="Arial" w:hAnsi="Arial"/>
                <w:color w:val="000000"/>
                <w:sz w:val="16"/>
                <w:szCs w:val="16"/>
                <w:vertAlign w:val="superscript"/>
              </w:rPr>
              <w:t>[</w:t>
            </w:r>
            <w:r w:rsidR="00A0768C" w:rsidRPr="003E76E7">
              <w:rPr>
                <w:rFonts w:ascii="Arial" w:hAnsi="Arial"/>
                <w:color w:val="000000"/>
                <w:sz w:val="16"/>
                <w:szCs w:val="16"/>
                <w:vertAlign w:val="superscript"/>
              </w:rPr>
              <w:t>c</w:t>
            </w:r>
            <w:r w:rsidRPr="003E76E7">
              <w:rPr>
                <w:rFonts w:ascii="Arial" w:hAnsi="Arial"/>
                <w:color w:val="000000"/>
                <w:sz w:val="16"/>
                <w:szCs w:val="16"/>
                <w:vertAlign w:val="superscript"/>
              </w:rPr>
              <w:t>]</w:t>
            </w:r>
          </w:p>
        </w:tc>
        <w:tc>
          <w:tcPr>
            <w:tcW w:w="3292" w:type="dxa"/>
            <w:tcBorders>
              <w:top w:val="single" w:sz="4" w:space="0" w:color="auto"/>
              <w:left w:val="single" w:sz="4" w:space="0" w:color="auto"/>
              <w:bottom w:val="single" w:sz="4" w:space="0" w:color="auto"/>
              <w:right w:val="single" w:sz="4" w:space="0" w:color="auto"/>
            </w:tcBorders>
          </w:tcPr>
          <w:p w14:paraId="16679292" w14:textId="55851634" w:rsidR="008B58E4" w:rsidRPr="003E76E7" w:rsidRDefault="008B58E4" w:rsidP="00C4292D">
            <w:pPr>
              <w:tabs>
                <w:tab w:val="left" w:pos="709"/>
              </w:tabs>
              <w:spacing w:before="60" w:after="60"/>
              <w:rPr>
                <w:rFonts w:ascii="Arial" w:hAnsi="Arial"/>
                <w:color w:val="000000"/>
                <w:sz w:val="16"/>
                <w:szCs w:val="16"/>
              </w:rPr>
            </w:pPr>
            <w:r w:rsidRPr="003E76E7">
              <w:rPr>
                <w:rFonts w:ascii="Arial" w:hAnsi="Arial"/>
                <w:sz w:val="16"/>
                <w:szCs w:val="16"/>
                <w:lang w:val="en-AU"/>
              </w:rPr>
              <w:t>1.1: Defence conducts operations as directed by Government to achieve Defence’s mission.</w:t>
            </w:r>
          </w:p>
        </w:tc>
        <w:tc>
          <w:tcPr>
            <w:tcW w:w="3174" w:type="dxa"/>
            <w:tcBorders>
              <w:top w:val="single" w:sz="4" w:space="0" w:color="auto"/>
              <w:left w:val="single" w:sz="4" w:space="0" w:color="auto"/>
              <w:bottom w:val="single" w:sz="4" w:space="0" w:color="auto"/>
              <w:right w:val="single" w:sz="4" w:space="0" w:color="auto"/>
            </w:tcBorders>
          </w:tcPr>
          <w:p w14:paraId="1E6EAD81" w14:textId="1890AE73" w:rsidR="008B58E4" w:rsidRPr="003E76E7" w:rsidRDefault="008B58E4" w:rsidP="00C4292D">
            <w:pPr>
              <w:tabs>
                <w:tab w:val="left" w:pos="709"/>
              </w:tabs>
              <w:spacing w:before="60" w:after="60"/>
              <w:rPr>
                <w:rFonts w:ascii="Arial" w:hAnsi="Arial"/>
                <w:color w:val="000000"/>
                <w:sz w:val="16"/>
                <w:szCs w:val="16"/>
              </w:rPr>
            </w:pPr>
            <w:r w:rsidRPr="003E76E7">
              <w:rPr>
                <w:rFonts w:ascii="Arial" w:hAnsi="Arial"/>
                <w:sz w:val="16"/>
                <w:szCs w:val="16"/>
                <w:lang w:val="en-AU"/>
              </w:rPr>
              <w:t>100 per cent of operations conducted or being conducted as directed by Government.</w:t>
            </w:r>
          </w:p>
        </w:tc>
      </w:tr>
      <w:tr w:rsidR="008B58E4" w:rsidRPr="003E76E7" w14:paraId="17C9EA80" w14:textId="77777777" w:rsidTr="00A211F5">
        <w:trPr>
          <w:trHeight w:val="305"/>
        </w:trPr>
        <w:tc>
          <w:tcPr>
            <w:tcW w:w="2004" w:type="dxa"/>
            <w:vMerge/>
            <w:tcBorders>
              <w:top w:val="single" w:sz="4" w:space="0" w:color="auto"/>
              <w:right w:val="single" w:sz="4" w:space="0" w:color="auto"/>
            </w:tcBorders>
          </w:tcPr>
          <w:p w14:paraId="653530A5" w14:textId="77777777" w:rsidR="008B58E4" w:rsidRPr="003E76E7" w:rsidRDefault="008B58E4" w:rsidP="00C4292D">
            <w:pPr>
              <w:tabs>
                <w:tab w:val="left" w:pos="709"/>
              </w:tabs>
              <w:spacing w:before="60" w:after="60"/>
              <w:rPr>
                <w:rFonts w:ascii="Arial" w:hAnsi="Arial"/>
                <w:color w:val="000000"/>
                <w:sz w:val="16"/>
                <w:szCs w:val="16"/>
              </w:rPr>
            </w:pPr>
          </w:p>
        </w:tc>
        <w:tc>
          <w:tcPr>
            <w:tcW w:w="3292" w:type="dxa"/>
            <w:tcBorders>
              <w:top w:val="single" w:sz="4" w:space="0" w:color="auto"/>
              <w:left w:val="single" w:sz="4" w:space="0" w:color="auto"/>
              <w:bottom w:val="single" w:sz="4" w:space="0" w:color="auto"/>
              <w:right w:val="single" w:sz="4" w:space="0" w:color="auto"/>
            </w:tcBorders>
          </w:tcPr>
          <w:p w14:paraId="44981CBB" w14:textId="7F057CE2" w:rsidR="008B58E4" w:rsidRPr="003E76E7" w:rsidRDefault="008B58E4" w:rsidP="00C4292D">
            <w:pPr>
              <w:tabs>
                <w:tab w:val="left" w:pos="709"/>
              </w:tabs>
              <w:spacing w:before="60" w:after="60"/>
              <w:rPr>
                <w:rFonts w:ascii="Arial" w:hAnsi="Arial"/>
                <w:color w:val="000000"/>
                <w:sz w:val="16"/>
                <w:szCs w:val="16"/>
              </w:rPr>
            </w:pPr>
            <w:r w:rsidRPr="003E76E7">
              <w:rPr>
                <w:rFonts w:ascii="Arial" w:hAnsi="Arial"/>
                <w:sz w:val="16"/>
                <w:szCs w:val="16"/>
                <w:lang w:val="en-AU"/>
              </w:rPr>
              <w:t>1.2: Defence maintains ready forces through the conduct of exercises.</w:t>
            </w:r>
          </w:p>
        </w:tc>
        <w:tc>
          <w:tcPr>
            <w:tcW w:w="3174" w:type="dxa"/>
            <w:tcBorders>
              <w:top w:val="single" w:sz="4" w:space="0" w:color="auto"/>
              <w:left w:val="single" w:sz="4" w:space="0" w:color="auto"/>
              <w:bottom w:val="single" w:sz="4" w:space="0" w:color="auto"/>
              <w:right w:val="single" w:sz="4" w:space="0" w:color="auto"/>
            </w:tcBorders>
          </w:tcPr>
          <w:p w14:paraId="1A931644" w14:textId="2890C3CB" w:rsidR="008B58E4" w:rsidRPr="003E76E7" w:rsidRDefault="008B58E4" w:rsidP="00C4292D">
            <w:pPr>
              <w:tabs>
                <w:tab w:val="left" w:pos="709"/>
              </w:tabs>
              <w:spacing w:before="60" w:after="60"/>
              <w:rPr>
                <w:rFonts w:ascii="Arial" w:hAnsi="Arial"/>
                <w:color w:val="000000"/>
                <w:sz w:val="16"/>
                <w:szCs w:val="16"/>
              </w:rPr>
            </w:pPr>
            <w:r w:rsidRPr="003E76E7">
              <w:rPr>
                <w:rFonts w:ascii="Arial" w:hAnsi="Arial"/>
                <w:color w:val="000000"/>
                <w:sz w:val="16"/>
                <w:szCs w:val="16"/>
                <w:lang w:val="en-AU"/>
              </w:rPr>
              <w:t>100 per cent of exercises conducted achieve planned objectives.</w:t>
            </w:r>
          </w:p>
        </w:tc>
      </w:tr>
      <w:tr w:rsidR="008B58E4" w:rsidRPr="003E76E7" w14:paraId="298D3C1A" w14:textId="77777777" w:rsidTr="00A211F5">
        <w:trPr>
          <w:trHeight w:val="305"/>
        </w:trPr>
        <w:tc>
          <w:tcPr>
            <w:tcW w:w="2004" w:type="dxa"/>
            <w:vMerge/>
            <w:tcBorders>
              <w:top w:val="single" w:sz="4" w:space="0" w:color="auto"/>
              <w:bottom w:val="single" w:sz="4" w:space="0" w:color="auto"/>
              <w:right w:val="single" w:sz="4" w:space="0" w:color="auto"/>
            </w:tcBorders>
          </w:tcPr>
          <w:p w14:paraId="095C043F" w14:textId="77777777" w:rsidR="008B58E4" w:rsidRPr="003E76E7" w:rsidRDefault="008B58E4" w:rsidP="00C4292D">
            <w:pPr>
              <w:tabs>
                <w:tab w:val="left" w:pos="709"/>
              </w:tabs>
              <w:spacing w:before="60" w:after="60"/>
              <w:rPr>
                <w:rFonts w:ascii="Arial" w:hAnsi="Arial"/>
                <w:color w:val="000000"/>
                <w:sz w:val="16"/>
                <w:szCs w:val="16"/>
              </w:rPr>
            </w:pPr>
          </w:p>
        </w:tc>
        <w:tc>
          <w:tcPr>
            <w:tcW w:w="3292" w:type="dxa"/>
            <w:tcBorders>
              <w:top w:val="single" w:sz="4" w:space="0" w:color="auto"/>
              <w:left w:val="single" w:sz="4" w:space="0" w:color="auto"/>
              <w:bottom w:val="single" w:sz="4" w:space="0" w:color="auto"/>
              <w:right w:val="single" w:sz="4" w:space="0" w:color="auto"/>
            </w:tcBorders>
          </w:tcPr>
          <w:p w14:paraId="2A1BA121" w14:textId="3AEE8BA7" w:rsidR="008B58E4" w:rsidRPr="003E76E7" w:rsidRDefault="008B58E4" w:rsidP="00C4292D">
            <w:pPr>
              <w:tabs>
                <w:tab w:val="left" w:pos="709"/>
              </w:tabs>
              <w:spacing w:before="60" w:after="60"/>
              <w:rPr>
                <w:rFonts w:ascii="Arial" w:hAnsi="Arial"/>
                <w:color w:val="000000"/>
                <w:sz w:val="16"/>
                <w:szCs w:val="16"/>
              </w:rPr>
            </w:pPr>
            <w:r w:rsidRPr="003E76E7">
              <w:rPr>
                <w:rFonts w:ascii="Arial" w:hAnsi="Arial"/>
                <w:sz w:val="16"/>
                <w:szCs w:val="16"/>
                <w:lang w:val="en-AU"/>
              </w:rPr>
              <w:t>1.3</w:t>
            </w:r>
            <w:r w:rsidR="00DB5636" w:rsidRPr="003E76E7">
              <w:rPr>
                <w:rFonts w:ascii="Arial" w:hAnsi="Arial"/>
                <w:sz w:val="16"/>
                <w:szCs w:val="16"/>
                <w:lang w:val="en-AU"/>
              </w:rPr>
              <w:t>:</w:t>
            </w:r>
            <w:r w:rsidRPr="003E76E7">
              <w:rPr>
                <w:rFonts w:ascii="Arial" w:hAnsi="Arial"/>
                <w:sz w:val="16"/>
                <w:szCs w:val="16"/>
                <w:lang w:val="en-AU"/>
              </w:rPr>
              <w:t xml:space="preserve"> Defence assists with domestic crisis and emergency response as directed by Government.</w:t>
            </w:r>
          </w:p>
        </w:tc>
        <w:tc>
          <w:tcPr>
            <w:tcW w:w="3174" w:type="dxa"/>
            <w:tcBorders>
              <w:top w:val="single" w:sz="4" w:space="0" w:color="auto"/>
              <w:left w:val="single" w:sz="4" w:space="0" w:color="auto"/>
              <w:bottom w:val="single" w:sz="4" w:space="0" w:color="auto"/>
              <w:right w:val="single" w:sz="4" w:space="0" w:color="auto"/>
            </w:tcBorders>
          </w:tcPr>
          <w:p w14:paraId="01014A54" w14:textId="25B9304C" w:rsidR="008B58E4" w:rsidRPr="003E76E7" w:rsidRDefault="008B58E4" w:rsidP="00C4292D">
            <w:pPr>
              <w:tabs>
                <w:tab w:val="left" w:pos="709"/>
              </w:tabs>
              <w:spacing w:before="60" w:after="60"/>
              <w:rPr>
                <w:rFonts w:ascii="Arial" w:hAnsi="Arial"/>
                <w:color w:val="000000"/>
                <w:sz w:val="16"/>
                <w:szCs w:val="16"/>
              </w:rPr>
            </w:pPr>
            <w:r w:rsidRPr="003E76E7">
              <w:rPr>
                <w:rFonts w:ascii="Arial" w:hAnsi="Arial"/>
                <w:color w:val="000000"/>
                <w:sz w:val="16"/>
                <w:szCs w:val="16"/>
                <w:lang w:val="en-AU"/>
              </w:rPr>
              <w:t>Defence responds to 100 per cent of requests for assistance as directed by Government.</w:t>
            </w:r>
          </w:p>
        </w:tc>
      </w:tr>
      <w:tr w:rsidR="00A0768C" w:rsidRPr="003E76E7" w14:paraId="31C85D23" w14:textId="77777777" w:rsidTr="00A211F5">
        <w:trPr>
          <w:trHeight w:val="88"/>
        </w:trPr>
        <w:tc>
          <w:tcPr>
            <w:tcW w:w="2004" w:type="dxa"/>
            <w:tcBorders>
              <w:top w:val="single" w:sz="4" w:space="0" w:color="auto"/>
              <w:bottom w:val="single" w:sz="4" w:space="0" w:color="auto"/>
              <w:right w:val="single" w:sz="4" w:space="0" w:color="auto"/>
            </w:tcBorders>
            <w:vAlign w:val="center"/>
          </w:tcPr>
          <w:p w14:paraId="4EE257D8" w14:textId="7789968C" w:rsidR="00A0768C" w:rsidRPr="003E76E7" w:rsidRDefault="00A0768C" w:rsidP="00C4292D">
            <w:pPr>
              <w:tabs>
                <w:tab w:val="left" w:pos="709"/>
              </w:tabs>
              <w:spacing w:before="0" w:after="0"/>
              <w:rPr>
                <w:rFonts w:ascii="Arial" w:hAnsi="Arial"/>
                <w:color w:val="000000"/>
                <w:sz w:val="16"/>
                <w:szCs w:val="16"/>
              </w:rPr>
            </w:pPr>
            <w:r w:rsidRPr="003E76E7">
              <w:rPr>
                <w:rFonts w:ascii="Arial" w:hAnsi="Arial"/>
                <w:b/>
                <w:color w:val="000000"/>
                <w:sz w:val="16"/>
                <w:szCs w:val="16"/>
              </w:rPr>
              <w:t>Year</w:t>
            </w:r>
          </w:p>
        </w:tc>
        <w:tc>
          <w:tcPr>
            <w:tcW w:w="3292" w:type="dxa"/>
            <w:tcBorders>
              <w:top w:val="single" w:sz="4" w:space="0" w:color="auto"/>
              <w:left w:val="single" w:sz="4" w:space="0" w:color="auto"/>
              <w:bottom w:val="single" w:sz="4" w:space="0" w:color="auto"/>
              <w:right w:val="single" w:sz="4" w:space="0" w:color="auto"/>
            </w:tcBorders>
            <w:vAlign w:val="center"/>
          </w:tcPr>
          <w:p w14:paraId="5C50D09C" w14:textId="24B9FB82" w:rsidR="00A0768C" w:rsidRPr="003E76E7" w:rsidRDefault="00AD14EC" w:rsidP="00C4292D">
            <w:pPr>
              <w:tabs>
                <w:tab w:val="left" w:pos="709"/>
              </w:tabs>
              <w:spacing w:before="60" w:after="60"/>
              <w:rPr>
                <w:rFonts w:ascii="Arial" w:hAnsi="Arial"/>
                <w:color w:val="000000"/>
                <w:sz w:val="16"/>
                <w:szCs w:val="16"/>
              </w:rPr>
            </w:pPr>
            <w:r w:rsidRPr="003E76E7">
              <w:rPr>
                <w:rFonts w:ascii="Arial" w:hAnsi="Arial"/>
                <w:b/>
                <w:color w:val="000000"/>
                <w:sz w:val="16"/>
                <w:szCs w:val="16"/>
              </w:rPr>
              <w:t>Performance Measures</w:t>
            </w:r>
          </w:p>
        </w:tc>
        <w:tc>
          <w:tcPr>
            <w:tcW w:w="3174" w:type="dxa"/>
            <w:tcBorders>
              <w:top w:val="single" w:sz="4" w:space="0" w:color="auto"/>
              <w:left w:val="single" w:sz="4" w:space="0" w:color="auto"/>
              <w:bottom w:val="single" w:sz="4" w:space="0" w:color="auto"/>
            </w:tcBorders>
            <w:vAlign w:val="center"/>
          </w:tcPr>
          <w:p w14:paraId="235FEB08" w14:textId="5A5FCD48" w:rsidR="00A0768C" w:rsidRPr="003E76E7" w:rsidRDefault="00A0768C" w:rsidP="00C4292D">
            <w:pPr>
              <w:tabs>
                <w:tab w:val="left" w:pos="709"/>
              </w:tabs>
              <w:spacing w:before="60" w:after="60"/>
              <w:rPr>
                <w:rFonts w:ascii="Arial" w:hAnsi="Arial"/>
                <w:color w:val="000000"/>
                <w:sz w:val="16"/>
                <w:szCs w:val="16"/>
              </w:rPr>
            </w:pPr>
            <w:r w:rsidRPr="003E76E7">
              <w:rPr>
                <w:rFonts w:ascii="Arial" w:hAnsi="Arial"/>
                <w:b/>
                <w:color w:val="000000"/>
                <w:sz w:val="16"/>
                <w:szCs w:val="16"/>
              </w:rPr>
              <w:t>Planned Performance Results</w:t>
            </w:r>
          </w:p>
        </w:tc>
      </w:tr>
      <w:tr w:rsidR="008B58E4" w:rsidRPr="003E76E7" w14:paraId="72F72434" w14:textId="77777777" w:rsidTr="00A211F5">
        <w:trPr>
          <w:trHeight w:val="491"/>
        </w:trPr>
        <w:tc>
          <w:tcPr>
            <w:tcW w:w="2004" w:type="dxa"/>
            <w:tcBorders>
              <w:top w:val="single" w:sz="4" w:space="0" w:color="auto"/>
              <w:bottom w:val="single" w:sz="4" w:space="0" w:color="auto"/>
              <w:right w:val="single" w:sz="4" w:space="0" w:color="auto"/>
            </w:tcBorders>
            <w:vAlign w:val="center"/>
          </w:tcPr>
          <w:p w14:paraId="3835E207" w14:textId="77777777" w:rsidR="008B58E4" w:rsidRPr="003E76E7" w:rsidRDefault="008B58E4" w:rsidP="00C4292D">
            <w:pPr>
              <w:tabs>
                <w:tab w:val="left" w:pos="709"/>
              </w:tabs>
              <w:spacing w:before="0" w:after="0"/>
              <w:rPr>
                <w:rFonts w:ascii="Arial" w:hAnsi="Arial"/>
                <w:color w:val="000000"/>
                <w:sz w:val="16"/>
                <w:szCs w:val="16"/>
              </w:rPr>
            </w:pPr>
            <w:r w:rsidRPr="003E76E7">
              <w:rPr>
                <w:rFonts w:ascii="Arial" w:hAnsi="Arial"/>
                <w:color w:val="000000"/>
                <w:sz w:val="16"/>
                <w:szCs w:val="16"/>
              </w:rPr>
              <w:t>Forward Estimates</w:t>
            </w:r>
          </w:p>
          <w:p w14:paraId="062D02DC" w14:textId="56EAD06D" w:rsidR="008B58E4" w:rsidRPr="003E76E7" w:rsidRDefault="008B58E4" w:rsidP="00C4292D">
            <w:pPr>
              <w:tabs>
                <w:tab w:val="left" w:pos="709"/>
              </w:tabs>
              <w:spacing w:before="0" w:after="0"/>
              <w:rPr>
                <w:rFonts w:ascii="Arial" w:hAnsi="Arial"/>
                <w:b/>
                <w:color w:val="000000"/>
                <w:sz w:val="16"/>
                <w:szCs w:val="16"/>
              </w:rPr>
            </w:pPr>
            <w:r w:rsidRPr="003E76E7">
              <w:rPr>
                <w:rFonts w:ascii="Arial" w:hAnsi="Arial"/>
                <w:color w:val="000000"/>
                <w:sz w:val="16"/>
                <w:szCs w:val="16"/>
              </w:rPr>
              <w:t>2027-30</w:t>
            </w:r>
          </w:p>
        </w:tc>
        <w:tc>
          <w:tcPr>
            <w:tcW w:w="3292" w:type="dxa"/>
            <w:tcBorders>
              <w:top w:val="single" w:sz="4" w:space="0" w:color="auto"/>
              <w:left w:val="single" w:sz="4" w:space="0" w:color="auto"/>
              <w:bottom w:val="single" w:sz="4" w:space="0" w:color="auto"/>
              <w:right w:val="single" w:sz="4" w:space="0" w:color="auto"/>
            </w:tcBorders>
            <w:vAlign w:val="center"/>
          </w:tcPr>
          <w:p w14:paraId="07D35D02" w14:textId="7A7EA39D" w:rsidR="008B58E4" w:rsidRPr="003E76E7" w:rsidRDefault="008B58E4" w:rsidP="00C4292D">
            <w:pPr>
              <w:tabs>
                <w:tab w:val="left" w:pos="709"/>
              </w:tabs>
              <w:spacing w:before="60" w:after="60"/>
              <w:rPr>
                <w:rFonts w:ascii="Arial" w:hAnsi="Arial"/>
                <w:b/>
                <w:color w:val="000000"/>
                <w:sz w:val="16"/>
                <w:szCs w:val="16"/>
              </w:rPr>
            </w:pPr>
            <w:r w:rsidRPr="003E76E7">
              <w:rPr>
                <w:rFonts w:ascii="Arial" w:hAnsi="Arial"/>
                <w:color w:val="000000"/>
                <w:sz w:val="16"/>
                <w:szCs w:val="16"/>
              </w:rPr>
              <w:t>As per 2026-27.</w:t>
            </w:r>
          </w:p>
        </w:tc>
        <w:tc>
          <w:tcPr>
            <w:tcW w:w="3174" w:type="dxa"/>
            <w:tcBorders>
              <w:top w:val="single" w:sz="4" w:space="0" w:color="auto"/>
              <w:left w:val="single" w:sz="4" w:space="0" w:color="auto"/>
              <w:bottom w:val="single" w:sz="4" w:space="0" w:color="auto"/>
            </w:tcBorders>
            <w:vAlign w:val="center"/>
          </w:tcPr>
          <w:p w14:paraId="52A3DA36" w14:textId="6757A609" w:rsidR="008B58E4" w:rsidRPr="003E76E7" w:rsidRDefault="008B58E4" w:rsidP="00C4292D">
            <w:pPr>
              <w:tabs>
                <w:tab w:val="left" w:pos="709"/>
              </w:tabs>
              <w:spacing w:before="60" w:after="60"/>
              <w:rPr>
                <w:rFonts w:ascii="Arial" w:hAnsi="Arial"/>
                <w:b/>
                <w:color w:val="000000"/>
                <w:sz w:val="16"/>
                <w:szCs w:val="16"/>
              </w:rPr>
            </w:pPr>
            <w:r w:rsidRPr="003E76E7">
              <w:rPr>
                <w:rFonts w:ascii="Arial" w:hAnsi="Arial"/>
                <w:color w:val="000000"/>
                <w:sz w:val="16"/>
                <w:szCs w:val="16"/>
              </w:rPr>
              <w:t>As per 2026-27.</w:t>
            </w:r>
          </w:p>
        </w:tc>
      </w:tr>
      <w:tr w:rsidR="00EF3130" w:rsidRPr="003E76E7" w14:paraId="1B17E7A5" w14:textId="77777777" w:rsidTr="00A211F5">
        <w:tblPrEx>
          <w:shd w:val="clear" w:color="auto" w:fill="auto"/>
          <w:tblLook w:val="04A0" w:firstRow="1" w:lastRow="0" w:firstColumn="1" w:lastColumn="0" w:noHBand="0" w:noVBand="1"/>
        </w:tblPrEx>
        <w:trPr>
          <w:trHeight w:val="291"/>
        </w:trPr>
        <w:tc>
          <w:tcPr>
            <w:tcW w:w="8470" w:type="dxa"/>
            <w:gridSpan w:val="3"/>
            <w:tcBorders>
              <w:top w:val="single" w:sz="4" w:space="0" w:color="auto"/>
            </w:tcBorders>
          </w:tcPr>
          <w:p w14:paraId="0E34CFE3" w14:textId="647C7CDD" w:rsidR="00EF3130" w:rsidRPr="003E76E7" w:rsidRDefault="00EF3130" w:rsidP="00C4292D">
            <w:pPr>
              <w:tabs>
                <w:tab w:val="left" w:pos="709"/>
              </w:tabs>
              <w:spacing w:before="60" w:after="60"/>
              <w:rPr>
                <w:rFonts w:ascii="Arial" w:hAnsi="Arial"/>
                <w:bCs/>
                <w:iCs/>
                <w:color w:val="000000"/>
                <w:spacing w:val="-6"/>
                <w:sz w:val="16"/>
                <w:szCs w:val="16"/>
              </w:rPr>
            </w:pPr>
            <w:r w:rsidRPr="003E76E7">
              <w:rPr>
                <w:rFonts w:ascii="Arial" w:hAnsi="Arial"/>
                <w:color w:val="000000"/>
                <w:sz w:val="16"/>
                <w:szCs w:val="16"/>
              </w:rPr>
              <w:t>Material changes to Program 1.3 resulting from 202</w:t>
            </w:r>
            <w:r w:rsidR="00173ED3" w:rsidRPr="003E76E7">
              <w:rPr>
                <w:rFonts w:ascii="Arial" w:hAnsi="Arial"/>
                <w:color w:val="000000"/>
                <w:sz w:val="16"/>
                <w:szCs w:val="16"/>
              </w:rPr>
              <w:t>6</w:t>
            </w:r>
            <w:r w:rsidRPr="003E76E7">
              <w:rPr>
                <w:rFonts w:ascii="Arial" w:hAnsi="Arial"/>
                <w:color w:val="000000"/>
                <w:sz w:val="16"/>
                <w:szCs w:val="16"/>
              </w:rPr>
              <w:t>-2</w:t>
            </w:r>
            <w:r w:rsidR="00173ED3" w:rsidRPr="003E76E7">
              <w:rPr>
                <w:rFonts w:ascii="Arial" w:hAnsi="Arial"/>
                <w:color w:val="000000"/>
                <w:sz w:val="16"/>
                <w:szCs w:val="16"/>
              </w:rPr>
              <w:t>7</w:t>
            </w:r>
            <w:r w:rsidRPr="003E76E7">
              <w:rPr>
                <w:rFonts w:ascii="Arial" w:hAnsi="Arial"/>
                <w:color w:val="000000"/>
                <w:sz w:val="16"/>
                <w:szCs w:val="16"/>
              </w:rPr>
              <w:t xml:space="preserve"> Budget Measures:</w:t>
            </w:r>
            <w:r w:rsidRPr="003E76E7">
              <w:rPr>
                <w:rStyle w:val="BodyTextChar"/>
                <w:rFonts w:ascii="Arial" w:hAnsi="Arial"/>
                <w:bCs/>
                <w:iCs/>
                <w:color w:val="000000"/>
                <w:spacing w:val="-6"/>
                <w:sz w:val="16"/>
                <w:szCs w:val="16"/>
              </w:rPr>
              <w:t xml:space="preserve"> Nil.</w:t>
            </w:r>
          </w:p>
        </w:tc>
      </w:tr>
    </w:tbl>
    <w:p w14:paraId="7F1E76E9" w14:textId="77777777" w:rsidR="00EB2691" w:rsidRPr="003E76E7" w:rsidRDefault="00EB2691" w:rsidP="00C4292D">
      <w:pPr>
        <w:pStyle w:val="TableHeading"/>
        <w:spacing w:before="0" w:after="0"/>
        <w:rPr>
          <w:sz w:val="14"/>
          <w:szCs w:val="16"/>
        </w:rPr>
      </w:pPr>
    </w:p>
    <w:p w14:paraId="4EC4BDE8" w14:textId="77777777" w:rsidR="006130F5" w:rsidRPr="003E76E7" w:rsidRDefault="006130F5" w:rsidP="00C4292D">
      <w:pPr>
        <w:pStyle w:val="TableHeading"/>
        <w:spacing w:before="0" w:after="0"/>
        <w:rPr>
          <w:sz w:val="14"/>
          <w:szCs w:val="14"/>
        </w:rPr>
      </w:pPr>
      <w:r w:rsidRPr="003E76E7">
        <w:rPr>
          <w:sz w:val="14"/>
          <w:szCs w:val="14"/>
        </w:rPr>
        <w:t>Note</w:t>
      </w:r>
      <w:r w:rsidR="00094602" w:rsidRPr="003E76E7">
        <w:rPr>
          <w:sz w:val="14"/>
          <w:szCs w:val="14"/>
        </w:rPr>
        <w:t>s</w:t>
      </w:r>
    </w:p>
    <w:p w14:paraId="127B6DBA" w14:textId="3A29B8F5" w:rsidR="008B58E4" w:rsidRPr="003E76E7" w:rsidRDefault="008B58E4" w:rsidP="00C4292D">
      <w:pPr>
        <w:pStyle w:val="TableHeading"/>
        <w:numPr>
          <w:ilvl w:val="0"/>
          <w:numId w:val="48"/>
        </w:numPr>
        <w:tabs>
          <w:tab w:val="left" w:pos="284"/>
        </w:tabs>
        <w:spacing w:before="0" w:after="0"/>
        <w:rPr>
          <w:b w:val="0"/>
          <w:i/>
          <w:sz w:val="14"/>
          <w:szCs w:val="14"/>
          <w:lang w:val="en-AU"/>
        </w:rPr>
      </w:pPr>
      <w:r w:rsidRPr="003E76E7">
        <w:rPr>
          <w:b w:val="0"/>
          <w:sz w:val="14"/>
          <w:szCs w:val="14"/>
          <w:lang w:val="en-AU"/>
        </w:rPr>
        <w:t xml:space="preserve">Key activity 1 has been amended for 2025-26, as published in the </w:t>
      </w:r>
      <w:r w:rsidRPr="003E76E7">
        <w:rPr>
          <w:b w:val="0"/>
          <w:i/>
          <w:sz w:val="14"/>
          <w:szCs w:val="14"/>
          <w:lang w:val="en-AU"/>
        </w:rPr>
        <w:t>2025-29 Defence Corporate Plan</w:t>
      </w:r>
      <w:r w:rsidR="007A1833" w:rsidRPr="003E76E7">
        <w:rPr>
          <w:b w:val="0"/>
          <w:i/>
          <w:sz w:val="14"/>
          <w:szCs w:val="14"/>
          <w:lang w:val="en-AU"/>
        </w:rPr>
        <w:t>.</w:t>
      </w:r>
    </w:p>
    <w:p w14:paraId="242D2AC6" w14:textId="77777777" w:rsidR="008B58E4" w:rsidRPr="003E76E7" w:rsidRDefault="008B58E4" w:rsidP="00C4292D">
      <w:pPr>
        <w:pStyle w:val="TableHeading"/>
        <w:numPr>
          <w:ilvl w:val="0"/>
          <w:numId w:val="48"/>
        </w:numPr>
        <w:tabs>
          <w:tab w:val="left" w:pos="284"/>
        </w:tabs>
        <w:spacing w:before="0" w:after="0"/>
        <w:rPr>
          <w:b w:val="0"/>
          <w:sz w:val="14"/>
          <w:szCs w:val="14"/>
          <w:lang w:val="en-AU"/>
        </w:rPr>
      </w:pPr>
      <w:r w:rsidRPr="003E76E7">
        <w:rPr>
          <w:b w:val="0"/>
          <w:sz w:val="14"/>
          <w:szCs w:val="14"/>
          <w:lang w:val="en-AU"/>
        </w:rPr>
        <w:t xml:space="preserve">Performance Measure 1.1 and 1.2 have been amended and 1.3 is new for 2025-26, as published in </w:t>
      </w:r>
      <w:r w:rsidRPr="003E76E7">
        <w:rPr>
          <w:b w:val="0"/>
          <w:i/>
          <w:sz w:val="14"/>
          <w:szCs w:val="14"/>
          <w:lang w:val="en-AU"/>
        </w:rPr>
        <w:t>2025-29 Defence Corporate Plan.</w:t>
      </w:r>
    </w:p>
    <w:p w14:paraId="73CEBC3A" w14:textId="2CDC593B" w:rsidR="008B58E4" w:rsidRPr="003E76E7" w:rsidRDefault="008B58E4" w:rsidP="00C4292D">
      <w:pPr>
        <w:pStyle w:val="TableHeading"/>
        <w:numPr>
          <w:ilvl w:val="0"/>
          <w:numId w:val="48"/>
        </w:numPr>
        <w:tabs>
          <w:tab w:val="left" w:pos="284"/>
        </w:tabs>
        <w:spacing w:before="0" w:after="0"/>
        <w:ind w:left="284" w:hanging="284"/>
        <w:rPr>
          <w:b w:val="0"/>
          <w:sz w:val="14"/>
          <w:szCs w:val="14"/>
        </w:rPr>
      </w:pPr>
      <w:r w:rsidRPr="003E76E7">
        <w:rPr>
          <w:b w:val="0"/>
          <w:sz w:val="14"/>
          <w:szCs w:val="14"/>
          <w:lang w:val="en-AU"/>
        </w:rPr>
        <w:t>In accordance with Defence’s Enterprise Performance Framework, Defence is undertaking materiality assessments that may result in</w:t>
      </w:r>
      <w:r w:rsidR="00A46042" w:rsidRPr="003E76E7">
        <w:rPr>
          <w:b w:val="0"/>
          <w:sz w:val="14"/>
          <w:szCs w:val="14"/>
          <w:lang w:val="en-AU"/>
        </w:rPr>
        <w:t xml:space="preserve"> </w:t>
      </w:r>
      <w:r w:rsidRPr="003E76E7">
        <w:rPr>
          <w:b w:val="0"/>
          <w:sz w:val="14"/>
          <w:szCs w:val="14"/>
          <w:lang w:val="en-AU"/>
        </w:rPr>
        <w:t xml:space="preserve">updates to the 2026-27 performance information in the 2026-30 Defence Corporate Plan, if required. </w:t>
      </w:r>
    </w:p>
    <w:p w14:paraId="2B19BDF0" w14:textId="77777777" w:rsidR="009737EB" w:rsidRPr="003E76E7" w:rsidRDefault="009737EB" w:rsidP="00C4292D">
      <w:pPr>
        <w:pStyle w:val="BodyText"/>
        <w:rPr>
          <w:lang w:val="en-AU"/>
        </w:rPr>
      </w:pPr>
    </w:p>
    <w:p w14:paraId="093826CA" w14:textId="77777777" w:rsidR="00F63AEF" w:rsidRPr="003E76E7" w:rsidRDefault="00792473" w:rsidP="00C4292D">
      <w:pPr>
        <w:pStyle w:val="TableHeading"/>
        <w:numPr>
          <w:ilvl w:val="0"/>
          <w:numId w:val="61"/>
        </w:numPr>
        <w:spacing w:before="100"/>
        <w:ind w:left="0" w:firstLine="0"/>
        <w:outlineLvl w:val="4"/>
        <w:rPr>
          <w:lang w:val="en-AU"/>
        </w:rPr>
      </w:pPr>
      <w:r w:rsidRPr="003E76E7">
        <w:rPr>
          <w:lang w:val="en-AU"/>
        </w:rPr>
        <w:br w:type="page"/>
      </w:r>
      <w:r w:rsidR="00F63AEF" w:rsidRPr="003E76E7">
        <w:rPr>
          <w:lang w:val="en-AU"/>
        </w:rPr>
        <w:lastRenderedPageBreak/>
        <w:t>Cost Summary for Program 1.3 Defence Contribution to National Support Tasks in Australia</w:t>
      </w:r>
    </w:p>
    <w:p w14:paraId="25D5F0EE" w14:textId="34E7A35B" w:rsidR="00656D60" w:rsidRPr="003E76E7" w:rsidRDefault="004E7650" w:rsidP="00C4292D">
      <w:pPr>
        <w:pStyle w:val="BodyText"/>
        <w:spacing w:after="0"/>
        <w:rPr>
          <w:lang w:val="en-AU"/>
        </w:rPr>
      </w:pPr>
      <w:r w:rsidRPr="004E7650">
        <w:rPr>
          <w:noProof/>
          <w:lang w:val="en-AU"/>
        </w:rPr>
        <w:drawing>
          <wp:inline distT="0" distB="0" distL="0" distR="0" wp14:anchorId="13E4456E" wp14:editId="53BBC582">
            <wp:extent cx="5471795" cy="35692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71795" cy="3569255"/>
                    </a:xfrm>
                    <a:prstGeom prst="rect">
                      <a:avLst/>
                    </a:prstGeom>
                    <a:noFill/>
                    <a:ln>
                      <a:noFill/>
                    </a:ln>
                  </pic:spPr>
                </pic:pic>
              </a:graphicData>
            </a:graphic>
          </wp:inline>
        </w:drawing>
      </w:r>
    </w:p>
    <w:p w14:paraId="1B859983" w14:textId="77777777" w:rsidR="00B03262" w:rsidRPr="003E76E7" w:rsidRDefault="00B03262" w:rsidP="00C4292D">
      <w:pPr>
        <w:spacing w:before="0" w:after="0"/>
        <w:rPr>
          <w:rFonts w:ascii="Arial" w:hAnsi="Arial"/>
          <w:b/>
          <w:sz w:val="14"/>
          <w:szCs w:val="14"/>
          <w:lang w:val="en-AU"/>
        </w:rPr>
      </w:pPr>
    </w:p>
    <w:p w14:paraId="1B88A1CC" w14:textId="21141C12" w:rsidR="006B7AD5" w:rsidRPr="003E76E7" w:rsidRDefault="006B7AD5" w:rsidP="00C4292D">
      <w:pPr>
        <w:spacing w:before="0" w:after="0"/>
        <w:rPr>
          <w:rFonts w:ascii="Arial" w:hAnsi="Arial"/>
          <w:b/>
          <w:sz w:val="14"/>
          <w:szCs w:val="14"/>
          <w:lang w:val="en-AU"/>
        </w:rPr>
      </w:pPr>
      <w:r w:rsidRPr="003E76E7">
        <w:rPr>
          <w:rFonts w:ascii="Arial" w:hAnsi="Arial"/>
          <w:b/>
          <w:sz w:val="14"/>
          <w:szCs w:val="14"/>
          <w:lang w:val="en-AU"/>
        </w:rPr>
        <w:t>Note</w:t>
      </w:r>
    </w:p>
    <w:p w14:paraId="63B3BF96" w14:textId="66A9A9A0" w:rsidR="006B7AD5" w:rsidRPr="003E76E7" w:rsidRDefault="006B7AD5" w:rsidP="00C4292D">
      <w:pPr>
        <w:spacing w:before="0" w:after="0"/>
        <w:ind w:left="284" w:hanging="284"/>
        <w:rPr>
          <w:rFonts w:ascii="Arial" w:hAnsi="Arial"/>
          <w:sz w:val="14"/>
          <w:szCs w:val="14"/>
          <w:lang w:val="en-AU"/>
        </w:rPr>
      </w:pPr>
      <w:r w:rsidRPr="003E76E7">
        <w:rPr>
          <w:rFonts w:ascii="Arial" w:hAnsi="Arial"/>
          <w:sz w:val="14"/>
          <w:szCs w:val="14"/>
          <w:lang w:val="en-AU"/>
        </w:rPr>
        <w:t xml:space="preserve">a. </w:t>
      </w:r>
      <w:r w:rsidRPr="003E76E7">
        <w:rPr>
          <w:rFonts w:ascii="Arial" w:hAnsi="Arial"/>
          <w:sz w:val="14"/>
          <w:szCs w:val="14"/>
          <w:lang w:val="en-AU"/>
        </w:rPr>
        <w:tab/>
      </w:r>
      <w:r w:rsidR="00A37A36" w:rsidRPr="003E76E7">
        <w:rPr>
          <w:rFonts w:ascii="Arial" w:hAnsi="Arial"/>
          <w:sz w:val="14"/>
          <w:szCs w:val="14"/>
          <w:lang w:val="en-AU"/>
        </w:rPr>
        <w:t>Total program funded</w:t>
      </w:r>
      <w:r w:rsidR="00BD6B15" w:rsidRPr="003E76E7">
        <w:rPr>
          <w:rFonts w:ascii="Arial" w:hAnsi="Arial"/>
          <w:sz w:val="14"/>
          <w:szCs w:val="14"/>
          <w:lang w:val="en-AU"/>
        </w:rPr>
        <w:t xml:space="preserve"> expenditure includes operating expenses and capital expenditure funded by appropriation and </w:t>
      </w:r>
      <w:r w:rsidR="00BD6B15" w:rsidRPr="003E76E7">
        <w:rPr>
          <w:rFonts w:ascii="Arial" w:hAnsi="Arial"/>
          <w:sz w:val="14"/>
          <w:szCs w:val="14"/>
          <w:lang w:val="en-AU"/>
        </w:rPr>
        <w:br/>
        <w:t>own source revenue. This excludes expenses not requiring appropriation.</w:t>
      </w:r>
    </w:p>
    <w:p w14:paraId="01C9CB57" w14:textId="77777777" w:rsidR="00792473" w:rsidRPr="003E76E7" w:rsidRDefault="00225258" w:rsidP="00C4292D">
      <w:pPr>
        <w:tabs>
          <w:tab w:val="left" w:pos="284"/>
        </w:tabs>
        <w:spacing w:before="0" w:after="0"/>
        <w:ind w:left="284" w:hanging="284"/>
        <w:rPr>
          <w:rFonts w:ascii="Arial" w:hAnsi="Arial"/>
          <w:lang w:val="en-AU"/>
        </w:rPr>
      </w:pPr>
      <w:r w:rsidRPr="003E76E7">
        <w:rPr>
          <w:rFonts w:ascii="Arial" w:hAnsi="Arial"/>
          <w:sz w:val="14"/>
          <w:szCs w:val="14"/>
          <w:lang w:val="en-AU"/>
        </w:rPr>
        <w:tab/>
      </w:r>
      <w:r w:rsidRPr="003E76E7">
        <w:rPr>
          <w:rFonts w:ascii="Arial" w:hAnsi="Arial"/>
          <w:sz w:val="14"/>
          <w:szCs w:val="14"/>
          <w:lang w:val="en-AU"/>
        </w:rPr>
        <w:tab/>
      </w:r>
      <w:r w:rsidR="00F80746" w:rsidRPr="003E76E7">
        <w:rPr>
          <w:rFonts w:ascii="Arial" w:hAnsi="Arial"/>
          <w:sz w:val="14"/>
          <w:szCs w:val="14"/>
          <w:lang w:val="en-AU"/>
        </w:rPr>
        <w:tab/>
      </w:r>
      <w:r w:rsidR="00F80746" w:rsidRPr="003E76E7">
        <w:rPr>
          <w:rFonts w:ascii="Arial" w:hAnsi="Arial"/>
          <w:sz w:val="14"/>
          <w:szCs w:val="14"/>
          <w:lang w:val="en-AU"/>
        </w:rPr>
        <w:tab/>
      </w:r>
      <w:r w:rsidR="00F80746" w:rsidRPr="003E76E7">
        <w:rPr>
          <w:rFonts w:ascii="Arial" w:hAnsi="Arial"/>
          <w:sz w:val="14"/>
          <w:szCs w:val="14"/>
          <w:lang w:val="en-AU"/>
        </w:rPr>
        <w:tab/>
      </w:r>
      <w:r w:rsidR="00F80746" w:rsidRPr="003E76E7">
        <w:rPr>
          <w:rFonts w:ascii="Arial" w:hAnsi="Arial"/>
          <w:sz w:val="14"/>
          <w:szCs w:val="14"/>
          <w:lang w:val="en-AU"/>
        </w:rPr>
        <w:tab/>
      </w:r>
      <w:r w:rsidR="00F80746" w:rsidRPr="003E76E7">
        <w:rPr>
          <w:rFonts w:ascii="Arial" w:hAnsi="Arial"/>
          <w:sz w:val="14"/>
          <w:szCs w:val="14"/>
          <w:lang w:val="en-AU"/>
        </w:rPr>
        <w:tab/>
      </w:r>
    </w:p>
    <w:p w14:paraId="358A8706" w14:textId="77777777" w:rsidR="00792473" w:rsidRPr="003E76E7" w:rsidRDefault="00792473" w:rsidP="00C4292D">
      <w:pPr>
        <w:rPr>
          <w:rFonts w:ascii="Arial" w:hAnsi="Arial"/>
          <w:b/>
          <w:color w:val="FF0000"/>
          <w:lang w:val="en-AU"/>
        </w:rPr>
        <w:sectPr w:rsidR="00792473" w:rsidRPr="003E76E7" w:rsidSect="00C30BE6">
          <w:pgSz w:w="11906" w:h="16838" w:code="9"/>
          <w:pgMar w:top="1701" w:right="1361" w:bottom="1701" w:left="1928" w:header="720" w:footer="720" w:gutter="0"/>
          <w:cols w:space="720"/>
        </w:sectPr>
      </w:pPr>
    </w:p>
    <w:p w14:paraId="1E6AB06D" w14:textId="77777777" w:rsidR="00EB2691" w:rsidRPr="003E76E7" w:rsidRDefault="00EB2691" w:rsidP="00C4292D">
      <w:pPr>
        <w:pStyle w:val="Heading4"/>
      </w:pPr>
      <w:bookmarkStart w:id="1081" w:name="_Toc97747830"/>
      <w:bookmarkStart w:id="1082" w:name="_Toc108088941"/>
      <w:bookmarkStart w:id="1083" w:name="_Toc108089020"/>
      <w:bookmarkStart w:id="1084" w:name="_Toc108089415"/>
      <w:bookmarkStart w:id="1085" w:name="_Toc159499685"/>
      <w:bookmarkStart w:id="1086" w:name="_Toc222129925"/>
      <w:bookmarkStart w:id="1087" w:name="_Toc222148355"/>
      <w:bookmarkStart w:id="1088" w:name="_Toc225847983"/>
      <w:bookmarkStart w:id="1089" w:name="_Toc225848066"/>
      <w:bookmarkStart w:id="1090" w:name="_Toc225848149"/>
      <w:bookmarkStart w:id="1091" w:name="_Toc225848488"/>
      <w:bookmarkStart w:id="1092" w:name="_Toc225941555"/>
      <w:bookmarkStart w:id="1093" w:name="_Toc225942562"/>
      <w:bookmarkStart w:id="1094" w:name="_Toc227334372"/>
      <w:bookmarkStart w:id="1095" w:name="_Toc229072447"/>
      <w:bookmarkStart w:id="1096" w:name="_Toc229072619"/>
      <w:r w:rsidRPr="003E76E7">
        <w:lastRenderedPageBreak/>
        <w:t>2.2 Budget Expenses and Performance for Outcome 2</w:t>
      </w:r>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8607"/>
      </w:tblGrid>
      <w:tr w:rsidR="007F3383" w:rsidRPr="003E76E7" w14:paraId="391945E9" w14:textId="77777777" w:rsidTr="00DE5B01">
        <w:trPr>
          <w:trHeight w:val="965"/>
        </w:trPr>
        <w:tc>
          <w:tcPr>
            <w:tcW w:w="8833" w:type="dxa"/>
            <w:shd w:val="clear" w:color="auto" w:fill="CCCCCC"/>
          </w:tcPr>
          <w:p w14:paraId="7DFEF566" w14:textId="20340BE8" w:rsidR="007F3383" w:rsidRPr="003E76E7" w:rsidRDefault="00D228AC" w:rsidP="00C4292D">
            <w:pPr>
              <w:spacing w:line="240" w:lineRule="atLeast"/>
              <w:rPr>
                <w:rFonts w:ascii="Arial" w:hAnsi="Arial"/>
                <w:b/>
                <w:szCs w:val="20"/>
                <w:lang w:val="en-AU"/>
              </w:rPr>
            </w:pPr>
            <w:r w:rsidRPr="003E76E7">
              <w:rPr>
                <w:lang w:val="en-AU"/>
              </w:rPr>
              <w:br w:type="page"/>
            </w:r>
            <w:r w:rsidR="008B58E4" w:rsidRPr="003E76E7">
              <w:rPr>
                <w:rFonts w:ascii="Arial" w:hAnsi="Arial"/>
                <w:b/>
                <w:lang w:val="en-AU"/>
              </w:rPr>
              <w:t>Outcome 2: Protect and advance Australia’s strategic interests through the provision of strategic policy, the development, delivery and sustainment of military, intelligence and enabling capabilities, and the promotion of regional and global security and stability as directed by Government.</w:t>
            </w:r>
          </w:p>
        </w:tc>
      </w:tr>
    </w:tbl>
    <w:p w14:paraId="199BDF3A" w14:textId="148CACD1" w:rsidR="00BF36E5" w:rsidRPr="003E76E7" w:rsidRDefault="00C8207E" w:rsidP="00C4292D">
      <w:pPr>
        <w:pStyle w:val="Heading4level5"/>
        <w:spacing w:before="120" w:after="120"/>
      </w:pPr>
      <w:r w:rsidRPr="003E76E7">
        <w:t>Outcome 2 Strategy</w:t>
      </w:r>
    </w:p>
    <w:p w14:paraId="0C1E3D2D" w14:textId="69261396" w:rsidR="008F7D34" w:rsidRPr="003E76E7" w:rsidRDefault="00DB53E7" w:rsidP="00C4292D">
      <w:pPr>
        <w:spacing w:before="60" w:after="60" w:line="256" w:lineRule="auto"/>
        <w:rPr>
          <w:color w:val="000000"/>
          <w:szCs w:val="20"/>
        </w:rPr>
      </w:pPr>
      <w:r w:rsidRPr="003E76E7">
        <w:rPr>
          <w:color w:val="000000"/>
          <w:szCs w:val="20"/>
        </w:rPr>
        <w:t xml:space="preserve">The biennial National Defence Strategy cycle ensures that </w:t>
      </w:r>
      <w:r w:rsidR="008F7D34" w:rsidRPr="003E76E7">
        <w:rPr>
          <w:color w:val="000000"/>
          <w:szCs w:val="20"/>
        </w:rPr>
        <w:t xml:space="preserve">Defence’s </w:t>
      </w:r>
      <w:r w:rsidRPr="003E76E7">
        <w:rPr>
          <w:color w:val="000000"/>
          <w:szCs w:val="20"/>
        </w:rPr>
        <w:t xml:space="preserve">policy, strategy, capability and planning keeps pace with Australia’s rapidly evolving strategic environment. </w:t>
      </w:r>
    </w:p>
    <w:p w14:paraId="20F030FF" w14:textId="74CA419F" w:rsidR="00DB53E7" w:rsidRPr="003E76E7" w:rsidRDefault="00DB53E7" w:rsidP="00C4292D">
      <w:pPr>
        <w:spacing w:before="60" w:after="60" w:line="256" w:lineRule="auto"/>
        <w:rPr>
          <w:color w:val="000000"/>
          <w:szCs w:val="20"/>
        </w:rPr>
      </w:pPr>
      <w:r w:rsidRPr="003E76E7">
        <w:rPr>
          <w:color w:val="000000"/>
          <w:szCs w:val="20"/>
        </w:rPr>
        <w:t xml:space="preserve">The </w:t>
      </w:r>
      <w:r w:rsidRPr="003E76E7">
        <w:rPr>
          <w:i/>
          <w:color w:val="000000"/>
          <w:szCs w:val="20"/>
        </w:rPr>
        <w:t>2024-26 Defence Strategy Framework</w:t>
      </w:r>
      <w:r w:rsidRPr="003E76E7">
        <w:rPr>
          <w:color w:val="000000"/>
          <w:szCs w:val="20"/>
        </w:rPr>
        <w:t xml:space="preserve">, endorsed by the Secretary </w:t>
      </w:r>
      <w:r w:rsidRPr="003E76E7">
        <w:rPr>
          <w:rFonts w:eastAsia="Calibri" w:cs="Calibri"/>
          <w:szCs w:val="20"/>
          <w:lang w:val="en-AU" w:eastAsia="en-US"/>
        </w:rPr>
        <w:t>of</w:t>
      </w:r>
      <w:r w:rsidRPr="003E76E7">
        <w:rPr>
          <w:color w:val="000000"/>
          <w:szCs w:val="20"/>
        </w:rPr>
        <w:t xml:space="preserve"> the Department of Defence and the Chief of the Defence </w:t>
      </w:r>
      <w:r w:rsidRPr="003E76E7">
        <w:rPr>
          <w:color w:val="000000"/>
          <w:szCs w:val="20"/>
          <w:lang w:val="en-AU"/>
        </w:rPr>
        <w:t>Force</w:t>
      </w:r>
      <w:r w:rsidRPr="003E76E7">
        <w:rPr>
          <w:color w:val="000000"/>
          <w:szCs w:val="20"/>
        </w:rPr>
        <w:t xml:space="preserve">, outlines the intelligence-informed, strategy-led and accountable approach Defence will take to implement the </w:t>
      </w:r>
      <w:r w:rsidRPr="003E76E7">
        <w:rPr>
          <w:i/>
          <w:color w:val="000000"/>
          <w:szCs w:val="20"/>
        </w:rPr>
        <w:t>2026 National Defence Strategy</w:t>
      </w:r>
      <w:r w:rsidRPr="003E76E7">
        <w:rPr>
          <w:color w:val="000000"/>
          <w:szCs w:val="20"/>
        </w:rPr>
        <w:t>.</w:t>
      </w:r>
    </w:p>
    <w:p w14:paraId="399476BC" w14:textId="77777777" w:rsidR="00DB53E7" w:rsidRPr="003E76E7" w:rsidRDefault="00DB53E7" w:rsidP="00C4292D">
      <w:pPr>
        <w:rPr>
          <w:color w:val="000000"/>
          <w:szCs w:val="20"/>
          <w:lang w:val="en-AU"/>
        </w:rPr>
      </w:pPr>
      <w:r w:rsidRPr="003E76E7">
        <w:rPr>
          <w:color w:val="000000"/>
          <w:szCs w:val="20"/>
          <w:lang w:val="en-AU"/>
        </w:rPr>
        <w:t>The biennial National Defence Strategy is Defence’s highest-level planning document. It informs the context, preparation and alignment of subsidiary planning documents across policy, enterprise planning, force employment, force generation and force design. The National Defence Strategy implements Cabinet decisions and updated Government direction, identifies priorities, and provides guidance on the tasks that need to be undertaken to achieve the Strategy of Denial.</w:t>
      </w:r>
    </w:p>
    <w:p w14:paraId="0F9BEACF" w14:textId="1499DD09" w:rsidR="00DB53E7" w:rsidRPr="003E76E7" w:rsidRDefault="00DB53E7" w:rsidP="00C4292D">
      <w:pPr>
        <w:spacing w:before="120" w:after="120"/>
        <w:rPr>
          <w:rFonts w:eastAsia="Calibri" w:cs="Calibri"/>
          <w:szCs w:val="20"/>
          <w:lang w:val="en-AU" w:eastAsia="en-US"/>
        </w:rPr>
      </w:pPr>
      <w:r w:rsidRPr="003E76E7">
        <w:rPr>
          <w:rFonts w:eastAsia="Calibri" w:cs="Calibri"/>
          <w:szCs w:val="20"/>
          <w:lang w:val="en-AU" w:eastAsia="en-US"/>
        </w:rPr>
        <w:t>The Strategy of Denial is designed to deter a potential adversary from taking actions that would be inimical to Australia’s interest and regional stability. It requires demonstrating the ADF</w:t>
      </w:r>
      <w:r w:rsidR="008F7D34" w:rsidRPr="003E76E7">
        <w:rPr>
          <w:rFonts w:eastAsia="Calibri" w:cs="Calibri"/>
          <w:szCs w:val="20"/>
          <w:lang w:val="en-AU" w:eastAsia="en-US"/>
        </w:rPr>
        <w:t xml:space="preserve">’s </w:t>
      </w:r>
      <w:r w:rsidRPr="003E76E7">
        <w:rPr>
          <w:rFonts w:eastAsia="Calibri" w:cs="Calibri"/>
          <w:szCs w:val="20"/>
          <w:lang w:val="en-AU" w:eastAsia="en-US"/>
        </w:rPr>
        <w:t xml:space="preserve">credible capability, capacity and resolve to hold potential adversary forces at risk, and to degrade their willingness and confidence to employ force or military coercion against us. It involves working with the United States and key partners to contribute to regional stability and security and strengthen deterrence against the threat of military coercion or a conflict. </w:t>
      </w:r>
    </w:p>
    <w:p w14:paraId="6B8BB8E0" w14:textId="532D1582" w:rsidR="00DB53E7" w:rsidRPr="003E76E7" w:rsidRDefault="00DB53E7" w:rsidP="00C4292D">
      <w:pPr>
        <w:rPr>
          <w:color w:val="000000"/>
          <w:szCs w:val="20"/>
        </w:rPr>
      </w:pPr>
      <w:r w:rsidRPr="003E76E7">
        <w:rPr>
          <w:color w:val="000000"/>
          <w:szCs w:val="20"/>
        </w:rPr>
        <w:t xml:space="preserve">The </w:t>
      </w:r>
      <w:r w:rsidRPr="003E76E7">
        <w:rPr>
          <w:i/>
          <w:color w:val="000000"/>
          <w:szCs w:val="20"/>
        </w:rPr>
        <w:t>2026 National Defence Strategy</w:t>
      </w:r>
      <w:r w:rsidRPr="003E76E7">
        <w:rPr>
          <w:color w:val="000000"/>
          <w:szCs w:val="20"/>
        </w:rPr>
        <w:t xml:space="preserve"> retains</w:t>
      </w:r>
      <w:r w:rsidR="001F6071" w:rsidRPr="003E76E7">
        <w:rPr>
          <w:color w:val="000000"/>
          <w:szCs w:val="20"/>
        </w:rPr>
        <w:t xml:space="preserve"> the three strategic D</w:t>
      </w:r>
      <w:r w:rsidRPr="003E76E7">
        <w:rPr>
          <w:color w:val="000000"/>
          <w:szCs w:val="20"/>
        </w:rPr>
        <w:t xml:space="preserve">efence objectives to: deter actions against Australia’s interests, shape Australia’s strategic environment and respond with credible military force, when required. Deterrence remains Defence’s primary strategic objective. </w:t>
      </w:r>
    </w:p>
    <w:p w14:paraId="6A40539F" w14:textId="77777777" w:rsidR="00DB53E7" w:rsidRPr="003E76E7" w:rsidRDefault="00DB53E7" w:rsidP="00C4292D">
      <w:pPr>
        <w:rPr>
          <w:color w:val="000000"/>
          <w:szCs w:val="20"/>
        </w:rPr>
      </w:pPr>
      <w:r w:rsidRPr="003E76E7">
        <w:rPr>
          <w:color w:val="000000"/>
          <w:szCs w:val="20"/>
        </w:rPr>
        <w:t xml:space="preserve">The </w:t>
      </w:r>
      <w:r w:rsidRPr="003E76E7">
        <w:rPr>
          <w:i/>
          <w:color w:val="000000"/>
          <w:szCs w:val="20"/>
        </w:rPr>
        <w:t>2026 National Defence Strategy</w:t>
      </w:r>
      <w:r w:rsidRPr="003E76E7">
        <w:rPr>
          <w:color w:val="000000"/>
          <w:szCs w:val="20"/>
        </w:rPr>
        <w:t xml:space="preserve"> builds on the foundations of the </w:t>
      </w:r>
      <w:r w:rsidRPr="003E76E7">
        <w:rPr>
          <w:i/>
          <w:color w:val="000000"/>
          <w:szCs w:val="20"/>
        </w:rPr>
        <w:t>2024 National Defence Strategy</w:t>
      </w:r>
      <w:r w:rsidRPr="003E76E7">
        <w:rPr>
          <w:color w:val="000000"/>
          <w:szCs w:val="20"/>
        </w:rPr>
        <w:t xml:space="preserve"> by: </w:t>
      </w:r>
    </w:p>
    <w:p w14:paraId="40D4EA7B" w14:textId="77777777" w:rsidR="00DB53E7" w:rsidRPr="003E76E7" w:rsidRDefault="00DB53E7" w:rsidP="005B1916">
      <w:pPr>
        <w:numPr>
          <w:ilvl w:val="0"/>
          <w:numId w:val="15"/>
        </w:numPr>
        <w:tabs>
          <w:tab w:val="clear" w:pos="340"/>
          <w:tab w:val="num" w:pos="567"/>
        </w:tabs>
        <w:spacing w:before="0" w:after="60"/>
        <w:ind w:hanging="340"/>
        <w:rPr>
          <w:szCs w:val="20"/>
        </w:rPr>
      </w:pPr>
      <w:r w:rsidRPr="003E76E7">
        <w:rPr>
          <w:szCs w:val="20"/>
        </w:rPr>
        <w:t xml:space="preserve">increasing efforts to develop greater self-reliance over the longer term so Defence can more ably and independently deter force projection against Australia; </w:t>
      </w:r>
    </w:p>
    <w:p w14:paraId="433443DB" w14:textId="19D729C9" w:rsidR="00DB53E7" w:rsidRPr="003E76E7" w:rsidRDefault="00DB53E7" w:rsidP="00C4292D">
      <w:pPr>
        <w:numPr>
          <w:ilvl w:val="0"/>
          <w:numId w:val="15"/>
        </w:numPr>
        <w:tabs>
          <w:tab w:val="clear" w:pos="340"/>
          <w:tab w:val="num" w:pos="567"/>
        </w:tabs>
        <w:spacing w:before="60" w:after="60"/>
        <w:ind w:hanging="340"/>
        <w:rPr>
          <w:szCs w:val="20"/>
        </w:rPr>
      </w:pPr>
      <w:r w:rsidRPr="003E76E7">
        <w:rPr>
          <w:szCs w:val="20"/>
        </w:rPr>
        <w:t>prior</w:t>
      </w:r>
      <w:r w:rsidR="008F7D34" w:rsidRPr="003E76E7">
        <w:rPr>
          <w:szCs w:val="20"/>
        </w:rPr>
        <w:t>i</w:t>
      </w:r>
      <w:r w:rsidRPr="003E76E7">
        <w:rPr>
          <w:szCs w:val="20"/>
        </w:rPr>
        <w:t xml:space="preserve">tising capability acquisition and sustainment plans to deliver the Strategy of Denial, drawing on lessons learned from the war in Ukraine and conflict in the Middle East; </w:t>
      </w:r>
    </w:p>
    <w:p w14:paraId="471BF3DD" w14:textId="77777777" w:rsidR="00DB53E7" w:rsidRPr="003E76E7" w:rsidRDefault="00DB53E7" w:rsidP="00C4292D">
      <w:pPr>
        <w:numPr>
          <w:ilvl w:val="0"/>
          <w:numId w:val="15"/>
        </w:numPr>
        <w:tabs>
          <w:tab w:val="clear" w:pos="340"/>
          <w:tab w:val="num" w:pos="567"/>
        </w:tabs>
        <w:spacing w:before="60" w:after="60"/>
        <w:ind w:hanging="340"/>
        <w:rPr>
          <w:szCs w:val="20"/>
        </w:rPr>
      </w:pPr>
      <w:r w:rsidRPr="003E76E7">
        <w:rPr>
          <w:szCs w:val="20"/>
        </w:rPr>
        <w:t xml:space="preserve">strengthening the resilience of Australia’s sovereign defence industrial base and building stronger, more diverse international industrial partnerships; </w:t>
      </w:r>
    </w:p>
    <w:p w14:paraId="16672DD2" w14:textId="77777777" w:rsidR="00DB53E7" w:rsidRPr="003E76E7" w:rsidRDefault="00DB53E7" w:rsidP="00C4292D">
      <w:pPr>
        <w:numPr>
          <w:ilvl w:val="0"/>
          <w:numId w:val="15"/>
        </w:numPr>
        <w:tabs>
          <w:tab w:val="clear" w:pos="340"/>
          <w:tab w:val="num" w:pos="567"/>
        </w:tabs>
        <w:spacing w:before="60" w:after="60"/>
        <w:ind w:hanging="340"/>
        <w:rPr>
          <w:szCs w:val="20"/>
        </w:rPr>
      </w:pPr>
      <w:r w:rsidRPr="003E76E7">
        <w:rPr>
          <w:szCs w:val="20"/>
        </w:rPr>
        <w:t xml:space="preserve">improving national civil preparedness and national resilience as part of </w:t>
      </w:r>
      <w:r w:rsidRPr="003E76E7">
        <w:rPr>
          <w:i/>
          <w:szCs w:val="20"/>
        </w:rPr>
        <w:t>National Defence</w:t>
      </w:r>
      <w:r w:rsidRPr="003E76E7">
        <w:rPr>
          <w:szCs w:val="20"/>
        </w:rPr>
        <w:t xml:space="preserve"> to help shield Australia from regional or global disruptions; and </w:t>
      </w:r>
    </w:p>
    <w:p w14:paraId="0F557E2D" w14:textId="77777777" w:rsidR="00DB53E7" w:rsidRPr="003E76E7" w:rsidRDefault="00DB53E7" w:rsidP="00C4292D">
      <w:pPr>
        <w:numPr>
          <w:ilvl w:val="0"/>
          <w:numId w:val="15"/>
        </w:numPr>
        <w:tabs>
          <w:tab w:val="clear" w:pos="340"/>
          <w:tab w:val="num" w:pos="567"/>
        </w:tabs>
        <w:spacing w:before="60" w:after="60"/>
        <w:ind w:hanging="340"/>
        <w:rPr>
          <w:szCs w:val="20"/>
        </w:rPr>
      </w:pPr>
      <w:r w:rsidRPr="003E76E7">
        <w:rPr>
          <w:szCs w:val="20"/>
        </w:rPr>
        <w:t xml:space="preserve">increasing coordination with regional partners to collectively deter actions inimical to our shared interests and shape a region governed by rights and rules, not fear or force. </w:t>
      </w:r>
    </w:p>
    <w:p w14:paraId="388EBBA3" w14:textId="77777777" w:rsidR="001F6071" w:rsidRPr="003E76E7" w:rsidRDefault="001F6071" w:rsidP="00C4292D">
      <w:pPr>
        <w:spacing w:before="0" w:after="0"/>
        <w:rPr>
          <w:rFonts w:eastAsia="Calibri" w:cs="Calibri"/>
          <w:szCs w:val="20"/>
          <w:lang w:val="en-AU" w:eastAsia="en-US"/>
        </w:rPr>
      </w:pPr>
      <w:r w:rsidRPr="003E76E7">
        <w:rPr>
          <w:rFonts w:eastAsia="Calibri" w:cs="Calibri"/>
          <w:szCs w:val="20"/>
          <w:lang w:val="en-AU" w:eastAsia="en-US"/>
        </w:rPr>
        <w:br w:type="page"/>
      </w:r>
    </w:p>
    <w:p w14:paraId="5DD63041" w14:textId="01FF41DF" w:rsidR="00DB53E7" w:rsidRPr="003E76E7" w:rsidRDefault="00DB53E7" w:rsidP="005B1916">
      <w:pPr>
        <w:rPr>
          <w:rFonts w:eastAsia="Calibri" w:cs="Calibri"/>
          <w:szCs w:val="20"/>
          <w:lang w:val="en-AU" w:eastAsia="en-US"/>
        </w:rPr>
      </w:pPr>
      <w:r w:rsidRPr="003E76E7">
        <w:rPr>
          <w:rFonts w:eastAsia="Calibri" w:cs="Calibri"/>
          <w:szCs w:val="20"/>
          <w:lang w:val="en-AU" w:eastAsia="en-US"/>
        </w:rPr>
        <w:lastRenderedPageBreak/>
        <w:t xml:space="preserve">Together, the </w:t>
      </w:r>
      <w:r w:rsidRPr="003E76E7">
        <w:rPr>
          <w:rFonts w:eastAsia="Calibri" w:cs="Calibri"/>
          <w:i/>
          <w:szCs w:val="20"/>
          <w:lang w:val="en-AU" w:eastAsia="en-US"/>
        </w:rPr>
        <w:t>2026 National Defence Strategy</w:t>
      </w:r>
      <w:r w:rsidRPr="003E76E7">
        <w:rPr>
          <w:rFonts w:eastAsia="Calibri" w:cs="Calibri"/>
          <w:szCs w:val="20"/>
          <w:lang w:val="en-AU" w:eastAsia="en-US"/>
        </w:rPr>
        <w:t xml:space="preserve"> and the </w:t>
      </w:r>
      <w:r w:rsidRPr="003E76E7">
        <w:rPr>
          <w:rFonts w:eastAsia="Calibri" w:cs="Calibri"/>
          <w:i/>
          <w:szCs w:val="20"/>
          <w:lang w:val="en-AU" w:eastAsia="en-US"/>
        </w:rPr>
        <w:t>2026 Integrated Investment</w:t>
      </w:r>
      <w:r w:rsidRPr="003E76E7">
        <w:rPr>
          <w:rFonts w:eastAsia="Calibri" w:cs="Calibri"/>
          <w:szCs w:val="20"/>
          <w:lang w:val="en-AU" w:eastAsia="en-US"/>
        </w:rPr>
        <w:t xml:space="preserve"> </w:t>
      </w:r>
      <w:r w:rsidRPr="003E76E7">
        <w:rPr>
          <w:rFonts w:eastAsia="Calibri" w:cs="Calibri"/>
          <w:i/>
          <w:szCs w:val="20"/>
          <w:lang w:val="en-AU" w:eastAsia="en-US"/>
        </w:rPr>
        <w:t>Program</w:t>
      </w:r>
      <w:r w:rsidRPr="003E76E7">
        <w:rPr>
          <w:rFonts w:eastAsia="Calibri" w:cs="Calibri"/>
          <w:szCs w:val="20"/>
          <w:lang w:val="en-AU" w:eastAsia="en-US"/>
        </w:rPr>
        <w:t xml:space="preserve"> are designed to ensure the </w:t>
      </w:r>
      <w:r w:rsidR="001F6071" w:rsidRPr="003E76E7">
        <w:rPr>
          <w:rFonts w:eastAsia="Calibri" w:cs="Calibri"/>
          <w:szCs w:val="20"/>
          <w:lang w:val="en-AU" w:eastAsia="en-US"/>
        </w:rPr>
        <w:t>ADF</w:t>
      </w:r>
      <w:r w:rsidRPr="003E76E7">
        <w:rPr>
          <w:rFonts w:eastAsia="Calibri" w:cs="Calibri"/>
          <w:szCs w:val="20"/>
          <w:lang w:val="en-AU" w:eastAsia="en-US"/>
        </w:rPr>
        <w:t xml:space="preserve"> has the capacity to:</w:t>
      </w:r>
    </w:p>
    <w:p w14:paraId="20224D6F" w14:textId="77777777" w:rsidR="00F14EE3" w:rsidRPr="003E76E7" w:rsidRDefault="00F14EE3" w:rsidP="00C4292D">
      <w:pPr>
        <w:numPr>
          <w:ilvl w:val="0"/>
          <w:numId w:val="15"/>
        </w:numPr>
        <w:tabs>
          <w:tab w:val="clear" w:pos="340"/>
          <w:tab w:val="num" w:pos="567"/>
        </w:tabs>
        <w:spacing w:before="60" w:after="60"/>
        <w:ind w:hanging="340"/>
        <w:rPr>
          <w:rFonts w:eastAsia="Calibri" w:cs="Calibri"/>
          <w:szCs w:val="20"/>
          <w:lang w:val="en-AU" w:eastAsia="en-US"/>
        </w:rPr>
      </w:pPr>
      <w:r w:rsidRPr="003E76E7">
        <w:rPr>
          <w:rFonts w:eastAsia="Calibri" w:cs="Calibri"/>
          <w:b/>
          <w:szCs w:val="20"/>
          <w:lang w:val="en-AU" w:eastAsia="en-US"/>
        </w:rPr>
        <w:t>defend</w:t>
      </w:r>
      <w:r w:rsidRPr="003E76E7">
        <w:rPr>
          <w:rFonts w:eastAsia="Calibri" w:cs="Calibri"/>
          <w:szCs w:val="20"/>
          <w:lang w:val="en-AU" w:eastAsia="en-US"/>
        </w:rPr>
        <w:t xml:space="preserve"> Australia and </w:t>
      </w:r>
      <w:r w:rsidRPr="003E76E7">
        <w:rPr>
          <w:szCs w:val="20"/>
        </w:rPr>
        <w:t>our</w:t>
      </w:r>
      <w:r w:rsidRPr="003E76E7">
        <w:rPr>
          <w:rFonts w:eastAsia="Calibri" w:cs="Calibri"/>
          <w:szCs w:val="20"/>
          <w:lang w:val="en-AU" w:eastAsia="en-US"/>
        </w:rPr>
        <w:t xml:space="preserve"> immediate region;</w:t>
      </w:r>
    </w:p>
    <w:p w14:paraId="5F01577D" w14:textId="77777777" w:rsidR="00F14EE3" w:rsidRPr="003E76E7" w:rsidRDefault="00F14EE3" w:rsidP="00C4292D">
      <w:pPr>
        <w:numPr>
          <w:ilvl w:val="0"/>
          <w:numId w:val="15"/>
        </w:numPr>
        <w:tabs>
          <w:tab w:val="clear" w:pos="340"/>
          <w:tab w:val="num" w:pos="567"/>
        </w:tabs>
        <w:spacing w:before="60" w:after="60"/>
        <w:ind w:hanging="340"/>
        <w:rPr>
          <w:rFonts w:eastAsia="Calibri" w:cs="Calibri"/>
          <w:szCs w:val="20"/>
          <w:lang w:val="en-AU" w:eastAsia="en-US"/>
        </w:rPr>
      </w:pPr>
      <w:r w:rsidRPr="003E76E7">
        <w:rPr>
          <w:rFonts w:eastAsia="Calibri" w:cs="Calibri"/>
          <w:b/>
          <w:szCs w:val="20"/>
          <w:lang w:val="en-AU" w:eastAsia="en-US"/>
        </w:rPr>
        <w:t>deter</w:t>
      </w:r>
      <w:r w:rsidRPr="003E76E7">
        <w:rPr>
          <w:rFonts w:eastAsia="Calibri" w:cs="Calibri"/>
          <w:szCs w:val="20"/>
          <w:lang w:val="en-AU" w:eastAsia="en-US"/>
        </w:rPr>
        <w:t xml:space="preserve"> through denial any adversary’s attempt to project force against Australia through our northern approaches; </w:t>
      </w:r>
    </w:p>
    <w:p w14:paraId="51865124" w14:textId="77777777" w:rsidR="00F14EE3" w:rsidRPr="003E76E7" w:rsidRDefault="00F14EE3" w:rsidP="00C4292D">
      <w:pPr>
        <w:numPr>
          <w:ilvl w:val="0"/>
          <w:numId w:val="15"/>
        </w:numPr>
        <w:tabs>
          <w:tab w:val="clear" w:pos="340"/>
          <w:tab w:val="num" w:pos="567"/>
        </w:tabs>
        <w:spacing w:before="60" w:after="60"/>
        <w:ind w:hanging="340"/>
        <w:rPr>
          <w:rFonts w:eastAsia="Calibri" w:cs="Calibri"/>
          <w:szCs w:val="20"/>
          <w:lang w:val="en-AU" w:eastAsia="en-US"/>
        </w:rPr>
      </w:pPr>
      <w:r w:rsidRPr="003E76E7">
        <w:rPr>
          <w:rFonts w:eastAsia="Calibri" w:cs="Calibri"/>
          <w:b/>
          <w:szCs w:val="20"/>
          <w:lang w:val="en-AU" w:eastAsia="en-US"/>
        </w:rPr>
        <w:t>protect</w:t>
      </w:r>
      <w:r w:rsidRPr="003E76E7">
        <w:rPr>
          <w:rFonts w:eastAsia="Calibri" w:cs="Calibri"/>
          <w:szCs w:val="20"/>
          <w:lang w:val="en-AU" w:eastAsia="en-US"/>
        </w:rPr>
        <w:t xml:space="preserve"> Australia’s economic connection to our region and the world;</w:t>
      </w:r>
    </w:p>
    <w:p w14:paraId="28E3C026" w14:textId="77777777" w:rsidR="00F14EE3" w:rsidRPr="003E76E7" w:rsidRDefault="00F14EE3" w:rsidP="00C4292D">
      <w:pPr>
        <w:numPr>
          <w:ilvl w:val="0"/>
          <w:numId w:val="15"/>
        </w:numPr>
        <w:tabs>
          <w:tab w:val="clear" w:pos="340"/>
          <w:tab w:val="num" w:pos="567"/>
        </w:tabs>
        <w:spacing w:before="60" w:after="60"/>
        <w:ind w:hanging="340"/>
        <w:rPr>
          <w:rFonts w:eastAsia="Calibri" w:cs="Calibri"/>
          <w:szCs w:val="20"/>
          <w:lang w:val="en-AU" w:eastAsia="en-US"/>
        </w:rPr>
      </w:pPr>
      <w:r w:rsidRPr="003E76E7">
        <w:rPr>
          <w:rFonts w:eastAsia="Calibri" w:cs="Calibri"/>
          <w:b/>
          <w:szCs w:val="20"/>
          <w:lang w:val="en-AU" w:eastAsia="en-US"/>
        </w:rPr>
        <w:t>contribute</w:t>
      </w:r>
      <w:r w:rsidRPr="003E76E7">
        <w:rPr>
          <w:rFonts w:eastAsia="Calibri" w:cs="Calibri"/>
          <w:szCs w:val="20"/>
          <w:lang w:val="en-AU" w:eastAsia="en-US"/>
        </w:rPr>
        <w:t xml:space="preserve"> with our partners to the collective security of the Indo-Pacific; and</w:t>
      </w:r>
    </w:p>
    <w:p w14:paraId="444F4520" w14:textId="77777777" w:rsidR="00F14EE3" w:rsidRPr="003E76E7" w:rsidRDefault="00F14EE3" w:rsidP="00C4292D">
      <w:pPr>
        <w:numPr>
          <w:ilvl w:val="0"/>
          <w:numId w:val="15"/>
        </w:numPr>
        <w:tabs>
          <w:tab w:val="clear" w:pos="340"/>
          <w:tab w:val="num" w:pos="567"/>
        </w:tabs>
        <w:spacing w:before="60" w:after="60"/>
        <w:ind w:hanging="340"/>
        <w:rPr>
          <w:rFonts w:eastAsia="Calibri" w:cs="Calibri"/>
          <w:szCs w:val="20"/>
          <w:lang w:val="en-AU" w:eastAsia="en-US"/>
        </w:rPr>
      </w:pPr>
      <w:r w:rsidRPr="003E76E7">
        <w:rPr>
          <w:rFonts w:eastAsia="Calibri" w:cs="Calibri"/>
          <w:b/>
          <w:szCs w:val="20"/>
          <w:lang w:val="en-AU" w:eastAsia="en-US"/>
        </w:rPr>
        <w:t xml:space="preserve">contribute </w:t>
      </w:r>
      <w:r w:rsidRPr="003E76E7">
        <w:rPr>
          <w:rFonts w:eastAsia="Calibri" w:cs="Calibri"/>
          <w:szCs w:val="20"/>
          <w:lang w:val="en-AU" w:eastAsia="en-US"/>
        </w:rPr>
        <w:t xml:space="preserve">with our partners to protecting and upholding global rules and norms. </w:t>
      </w:r>
    </w:p>
    <w:p w14:paraId="66CF864A" w14:textId="1976530B" w:rsidR="00DB53E7" w:rsidRPr="003E76E7" w:rsidRDefault="00DB53E7" w:rsidP="00C4292D">
      <w:pPr>
        <w:rPr>
          <w:color w:val="000000"/>
          <w:szCs w:val="20"/>
          <w:lang w:val="en-AU"/>
        </w:rPr>
      </w:pPr>
      <w:r w:rsidRPr="003E76E7">
        <w:rPr>
          <w:color w:val="000000"/>
          <w:szCs w:val="20"/>
          <w:lang w:val="en-AU"/>
        </w:rPr>
        <w:t>The Government remains committed to a biennial National Defence Strategy cycle to ensure Defence policy, strategy, capability and planning keep pace with the rapidly evolving strategic environment, respond to Australia’s national security priorities</w:t>
      </w:r>
      <w:r w:rsidR="008F7D34" w:rsidRPr="003E76E7">
        <w:rPr>
          <w:color w:val="000000"/>
          <w:szCs w:val="20"/>
          <w:lang w:val="en-AU"/>
        </w:rPr>
        <w:t>,</w:t>
      </w:r>
      <w:r w:rsidRPr="003E76E7">
        <w:rPr>
          <w:color w:val="000000"/>
          <w:szCs w:val="20"/>
          <w:lang w:val="en-AU"/>
        </w:rPr>
        <w:t xml:space="preserve"> and provide clarity of process and approach to defence industry. The next National Defence Strategy will be delivered in 2028. </w:t>
      </w:r>
    </w:p>
    <w:p w14:paraId="425FB56D" w14:textId="77777777" w:rsidR="00DB53E7" w:rsidRPr="003E76E7" w:rsidRDefault="00DB53E7" w:rsidP="00C4292D">
      <w:r w:rsidRPr="003E76E7">
        <w:t xml:space="preserve">International engagement remains a critical function of Defence. Defence works with the United States and key partners to build a stable, secure and prosperous region that is free from coercion. Defence conducts operations and exercises in the region - including with the United States and key partners - to contribute to regional security and stability, and strengthen deterrence against the threat of military coercion or a major conflict. The Defence Cooperation Program is a key part of our Defence engagement, enhancing shared understanding and capability with our partners in the Pacific, Southeast Asia and Northeast Indian Ocean. We are building on decades of defence cooperation and interoperability, working together to shape a region that is peaceful, stable and prosperous, that operates by rules, standards and norms and in which countries exercise their own agency to safeguard sovereignty. </w:t>
      </w:r>
    </w:p>
    <w:p w14:paraId="6CC000B2" w14:textId="42DA8D29" w:rsidR="00DB53E7" w:rsidRPr="003E76E7" w:rsidRDefault="00DB53E7" w:rsidP="00C4292D">
      <w:r w:rsidRPr="003E76E7">
        <w:t>Australia’s support for the principles of sovereignty, territorial integrity and international law is not constrained by geography. Australia has committed over $1.7 billi</w:t>
      </w:r>
      <w:r w:rsidR="00874F17" w:rsidRPr="003E76E7">
        <w:t>on in support of Ukraine’s self-</w:t>
      </w:r>
      <w:r w:rsidRPr="003E76E7">
        <w:t xml:space="preserve">defence. In addition to materiel and financial support, the ADF continues to make an important contribution to multinational efforts in support of Ukraine under Operation </w:t>
      </w:r>
      <w:r w:rsidR="00874F17" w:rsidRPr="003E76E7">
        <w:t>KUDU</w:t>
      </w:r>
      <w:r w:rsidRPr="003E76E7">
        <w:t xml:space="preserve">. The ADF is also providing personnel to support maritime security in the Middle East, including by supporting coalition efforts to protect international shipping transiting the Red Sea.  </w:t>
      </w:r>
    </w:p>
    <w:p w14:paraId="1CE78E4C" w14:textId="3A234B6E" w:rsidR="00DB53E7" w:rsidRPr="003E76E7" w:rsidRDefault="00DB53E7" w:rsidP="00C4292D">
      <w:r w:rsidRPr="003E76E7">
        <w:t xml:space="preserve">A continued focus in 2026 and beyond will be reviewing the ongoing implementation of the </w:t>
      </w:r>
      <w:r w:rsidRPr="003E76E7">
        <w:rPr>
          <w:i/>
        </w:rPr>
        <w:t>Defence Trade Control Amendment Act 2024</w:t>
      </w:r>
      <w:r w:rsidRPr="003E76E7">
        <w:t xml:space="preserve">, which established a trilateral export control </w:t>
      </w:r>
      <w:r w:rsidR="00874F17" w:rsidRPr="003E76E7">
        <w:br/>
      </w:r>
      <w:r w:rsidRPr="003E76E7">
        <w:t xml:space="preserve">licence-free environment with the United States and the United Kingdom. This legislation came into effect on 1 September 2024, and its three new offences took effect on 1 March 2025. Defence continues to pursue further changes to the military and dual-use goods and technology export framework to protect and strengthen our capability edge while accelerating capability delivery. This is achieved through participation in a series of multilateral non-proliferation and export control regimes, along with ongoing engagement with industry, academia and government. </w:t>
      </w:r>
    </w:p>
    <w:p w14:paraId="7A4AC728" w14:textId="77777777" w:rsidR="00DB53E7" w:rsidRPr="003E76E7" w:rsidRDefault="00DB53E7" w:rsidP="00C4292D">
      <w:r w:rsidRPr="003E76E7">
        <w:t>Regulating the export of military and dual-use goods, software, technology and services is vital for maintaining the ADF’s security and capability edge, preventing regional and international instability, ensuring Australia upholds international obligations, and preventing the illicit trade of conventional weapons and proliferation of weapons of mass destruction.</w:t>
      </w:r>
    </w:p>
    <w:p w14:paraId="63579C00" w14:textId="77777777" w:rsidR="00F14EE3" w:rsidRPr="003E76E7" w:rsidRDefault="00F14EE3" w:rsidP="00C4292D">
      <w:pPr>
        <w:spacing w:before="0" w:after="0"/>
      </w:pPr>
      <w:r w:rsidRPr="003E76E7">
        <w:br w:type="page"/>
      </w:r>
    </w:p>
    <w:p w14:paraId="21C749A9" w14:textId="52B0CA8E" w:rsidR="00DB53E7" w:rsidRPr="003E76E7" w:rsidRDefault="00DB53E7" w:rsidP="00C4292D">
      <w:r w:rsidRPr="003E76E7">
        <w:lastRenderedPageBreak/>
        <w:t xml:space="preserve">Defence is strengthening our cooperation with key partners in the Indo-Pacific, including Japan, India, the Republic of Korea, and France. Defence is enhancing operational cooperation with Japan through the </w:t>
      </w:r>
      <w:r w:rsidRPr="003E76E7">
        <w:rPr>
          <w:i/>
        </w:rPr>
        <w:t>2022 Joint Declaration on Security Cooperation</w:t>
      </w:r>
      <w:r w:rsidRPr="003E76E7">
        <w:t xml:space="preserve"> and the </w:t>
      </w:r>
      <w:r w:rsidRPr="003E76E7">
        <w:rPr>
          <w:i/>
        </w:rPr>
        <w:t>Australia-Japan Reciprocal Access Agreement</w:t>
      </w:r>
      <w:r w:rsidRPr="003E76E7">
        <w:t>, both reflections of our strategic alignment. Defence is developing an enduring and reciprocal framework to support increasingly sophisticated defence activities with the Republic of Korea. With India, Defence is enhancing maritime domain awareness cooperation and exercising with increased complexity and regularity. Defence is also deepening operational cooperation with France in the Indo-Pacific.</w:t>
      </w:r>
    </w:p>
    <w:p w14:paraId="7561A33F" w14:textId="77777777" w:rsidR="00DB53E7" w:rsidRPr="003E76E7" w:rsidRDefault="00DB53E7" w:rsidP="00C4292D">
      <w:r w:rsidRPr="003E76E7">
        <w:t xml:space="preserve">Defence will seek to strengthen industrial engagement with priority partners, bolster collective capability and resilience, and advance collaboration including through the Partnership for </w:t>
      </w:r>
      <w:r w:rsidRPr="003E76E7">
        <w:br/>
        <w:t xml:space="preserve">Indo-Pacific Industrial Resilience (a multilateral forum bringing together Indo-Pacific and </w:t>
      </w:r>
      <w:r w:rsidRPr="003E76E7">
        <w:br/>
        <w:t xml:space="preserve">Euro-Atlantic partners).  </w:t>
      </w:r>
    </w:p>
    <w:p w14:paraId="3DC09356" w14:textId="004A7953" w:rsidR="00DB53E7" w:rsidRPr="003E76E7" w:rsidRDefault="00DB53E7" w:rsidP="00C4292D">
      <w:r w:rsidRPr="003E76E7">
        <w:t xml:space="preserve">A strong partnership with defence industry is critical to delivering defence capabilities. A capable, resilient, competitive and innovative sovereign defence industrial base enables Defence’s mission and Australia’s national security outcomes. The Government’s </w:t>
      </w:r>
      <w:r w:rsidRPr="003E76E7">
        <w:rPr>
          <w:i/>
        </w:rPr>
        <w:t>2024 Defence Industry Development Strategy</w:t>
      </w:r>
      <w:r w:rsidRPr="003E76E7">
        <w:t xml:space="preserve"> establishes the framework and principles for the direction of defence industry policy. The Strategy includes initiatives to develop the sovereign defence industrial base required to meet our national security needs. The next Defence Industry Development Strategy will be delivered in 2026 to align with the biennial National Defence Strategy cycle.</w:t>
      </w:r>
    </w:p>
    <w:p w14:paraId="441D242B" w14:textId="77777777" w:rsidR="00DB53E7" w:rsidRPr="003E76E7" w:rsidRDefault="00DB53E7" w:rsidP="00C4292D">
      <w:pPr>
        <w:spacing w:before="0" w:after="0"/>
      </w:pPr>
      <w:r w:rsidRPr="003E76E7">
        <w:br w:type="page"/>
      </w:r>
    </w:p>
    <w:p w14:paraId="38E72BAD" w14:textId="05AC664E" w:rsidR="00353707" w:rsidRPr="003E76E7" w:rsidRDefault="00CA5BB7" w:rsidP="00C4292D">
      <w:pPr>
        <w:pStyle w:val="Heading4level5"/>
        <w:spacing w:before="0" w:after="200"/>
      </w:pPr>
      <w:r w:rsidRPr="003E76E7">
        <w:lastRenderedPageBreak/>
        <w:t>Linked Programs</w:t>
      </w:r>
    </w:p>
    <w:tbl>
      <w:tblPr>
        <w:tblW w:w="5000" w:type="pct"/>
        <w:tblInd w:w="113"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8607"/>
      </w:tblGrid>
      <w:tr w:rsidR="005B237A" w:rsidRPr="003E76E7" w14:paraId="25B03052" w14:textId="77777777" w:rsidTr="005B237A">
        <w:trPr>
          <w:trHeight w:val="113"/>
        </w:trPr>
        <w:tc>
          <w:tcPr>
            <w:tcW w:w="5000" w:type="pct"/>
          </w:tcPr>
          <w:p w14:paraId="2FE259CC" w14:textId="65379295" w:rsidR="005B237A" w:rsidRPr="003E76E7" w:rsidRDefault="005B237A" w:rsidP="00C4292D">
            <w:pPr>
              <w:spacing w:before="60"/>
              <w:rPr>
                <w:b/>
                <w:lang w:val="en-AU"/>
              </w:rPr>
            </w:pPr>
            <w:r w:rsidRPr="003E76E7">
              <w:rPr>
                <w:b/>
                <w:lang w:val="en-AU"/>
              </w:rPr>
              <w:t>Australian Federal Police</w:t>
            </w:r>
          </w:p>
        </w:tc>
      </w:tr>
      <w:tr w:rsidR="005B237A" w:rsidRPr="003E76E7" w14:paraId="73FC6499" w14:textId="77777777" w:rsidTr="005B237A">
        <w:trPr>
          <w:trHeight w:val="113"/>
        </w:trPr>
        <w:tc>
          <w:tcPr>
            <w:tcW w:w="5000" w:type="pct"/>
          </w:tcPr>
          <w:p w14:paraId="1FFF3C64" w14:textId="77777777" w:rsidR="005B237A" w:rsidRPr="003E76E7" w:rsidRDefault="005B237A" w:rsidP="00C4292D">
            <w:pPr>
              <w:pStyle w:val="xxboxbullet"/>
              <w:spacing w:before="60" w:after="60"/>
            </w:pPr>
            <w:r w:rsidRPr="003E76E7">
              <w:rPr>
                <w:rFonts w:ascii="Book Antiqua" w:eastAsia="Times New Roman" w:hAnsi="Book Antiqua" w:cs="Arial"/>
                <w:sz w:val="20"/>
                <w:szCs w:val="24"/>
              </w:rPr>
              <w:t>Program 1.1 - Federal Policing.</w:t>
            </w:r>
          </w:p>
          <w:p w14:paraId="1DBC8F23" w14:textId="77777777" w:rsidR="005B237A" w:rsidRPr="003E76E7" w:rsidRDefault="005B237A" w:rsidP="00C4292D">
            <w:pPr>
              <w:pStyle w:val="xxboxbullet"/>
              <w:spacing w:before="60" w:after="60"/>
            </w:pPr>
            <w:r w:rsidRPr="003E76E7">
              <w:rPr>
                <w:rFonts w:ascii="Book Antiqua" w:eastAsia="Times New Roman" w:hAnsi="Book Antiqua" w:cs="Arial"/>
                <w:sz w:val="20"/>
                <w:szCs w:val="24"/>
              </w:rPr>
              <w:t>Program 3.1 - Specialist Protective Services.</w:t>
            </w:r>
          </w:p>
          <w:p w14:paraId="65CBFE24" w14:textId="77777777" w:rsidR="005B237A" w:rsidRPr="003E76E7" w:rsidRDefault="005B237A" w:rsidP="00C4292D">
            <w:pPr>
              <w:pStyle w:val="xxboxbullet"/>
              <w:spacing w:before="60" w:after="60"/>
            </w:pPr>
            <w:r w:rsidRPr="003E76E7">
              <w:rPr>
                <w:rFonts w:ascii="Book Antiqua" w:eastAsia="Times New Roman" w:hAnsi="Book Antiqua" w:cs="Arial"/>
                <w:sz w:val="20"/>
                <w:szCs w:val="24"/>
              </w:rPr>
              <w:t>Program 3.2 - International Police Assistance and External Territories.</w:t>
            </w:r>
          </w:p>
          <w:p w14:paraId="0509F5B0" w14:textId="5DE18F68" w:rsidR="005B237A" w:rsidRPr="003E76E7" w:rsidRDefault="005B237A" w:rsidP="00C4292D">
            <w:pPr>
              <w:pStyle w:val="xxboxbullet"/>
              <w:spacing w:before="60" w:after="60"/>
            </w:pPr>
            <w:r w:rsidRPr="003E76E7">
              <w:rPr>
                <w:rFonts w:ascii="Book Antiqua" w:eastAsia="Times New Roman" w:hAnsi="Book Antiqua" w:cs="Arial"/>
                <w:sz w:val="20"/>
                <w:szCs w:val="24"/>
              </w:rPr>
              <w:t>Program 3.3 - AFP Nuclear-Powered Submarine Program.</w:t>
            </w:r>
          </w:p>
        </w:tc>
      </w:tr>
      <w:tr w:rsidR="005B237A" w:rsidRPr="003E76E7" w14:paraId="4E399B37" w14:textId="77777777" w:rsidTr="005B237A">
        <w:trPr>
          <w:trHeight w:val="113"/>
        </w:trPr>
        <w:tc>
          <w:tcPr>
            <w:tcW w:w="5000" w:type="pct"/>
          </w:tcPr>
          <w:p w14:paraId="60EC7FFE" w14:textId="31476AF0" w:rsidR="005B237A" w:rsidRPr="003E76E7" w:rsidRDefault="005B237A" w:rsidP="00C4292D">
            <w:pPr>
              <w:spacing w:before="60" w:after="60"/>
              <w:rPr>
                <w:b/>
                <w:bCs/>
              </w:rPr>
            </w:pPr>
            <w:r w:rsidRPr="003E76E7">
              <w:rPr>
                <w:b/>
                <w:bCs/>
              </w:rPr>
              <w:t>Contribution</w:t>
            </w:r>
            <w:r w:rsidRPr="003E76E7">
              <w:rPr>
                <w:b/>
                <w:lang w:val="en-AU"/>
              </w:rPr>
              <w:t xml:space="preserve"> to Outcome 2 by linked programs</w:t>
            </w:r>
          </w:p>
        </w:tc>
      </w:tr>
      <w:tr w:rsidR="005B237A" w:rsidRPr="003E76E7" w14:paraId="3702B4A0" w14:textId="77777777" w:rsidTr="005B237A">
        <w:trPr>
          <w:trHeight w:val="113"/>
        </w:trPr>
        <w:tc>
          <w:tcPr>
            <w:tcW w:w="5000" w:type="pct"/>
          </w:tcPr>
          <w:p w14:paraId="1BDE5115" w14:textId="42F34677" w:rsidR="005B237A" w:rsidRPr="003E76E7" w:rsidRDefault="005B237A" w:rsidP="00C4292D">
            <w:pPr>
              <w:keepNext/>
              <w:spacing w:before="60"/>
              <w:rPr>
                <w:rFonts w:cs="Times New Roman"/>
                <w:szCs w:val="20"/>
              </w:rPr>
            </w:pPr>
            <w:bookmarkStart w:id="1097" w:name="OLE_LINK6"/>
            <w:r w:rsidRPr="003E76E7">
              <w:rPr>
                <w:rFonts w:cs="Times New Roman"/>
                <w:szCs w:val="20"/>
              </w:rPr>
              <w:t xml:space="preserve">The Australian Federal Police (AFP) engages with the Department of Defence under a framework for cooperation between the participants to strengthen and consolidate sharing of information in national security, international and border-related activities (directly and through the National Intelligence Community). This cooperation promotes security and stability within Australia’s external and internal territories, including Christmas Island, </w:t>
            </w:r>
            <w:r w:rsidR="00662F77">
              <w:rPr>
                <w:rFonts w:cs="Times New Roman"/>
                <w:szCs w:val="20"/>
              </w:rPr>
              <w:br/>
            </w:r>
            <w:r w:rsidRPr="003E76E7">
              <w:rPr>
                <w:rFonts w:cs="Times New Roman"/>
                <w:szCs w:val="20"/>
              </w:rPr>
              <w:t>Cocos (Keeling) Islands, Norfolk Island and the Jervis Bay Territory.</w:t>
            </w:r>
          </w:p>
          <w:p w14:paraId="3AD94894" w14:textId="77777777" w:rsidR="005B237A" w:rsidRPr="003E76E7" w:rsidRDefault="005B237A" w:rsidP="00C4292D">
            <w:pPr>
              <w:keepNext/>
              <w:spacing w:before="60"/>
              <w:rPr>
                <w:rFonts w:cs="Times New Roman"/>
                <w:szCs w:val="20"/>
              </w:rPr>
            </w:pPr>
            <w:r w:rsidRPr="003E76E7">
              <w:rPr>
                <w:rFonts w:cs="Times New Roman"/>
                <w:szCs w:val="20"/>
              </w:rPr>
              <w:t>The AFP delivers protective security services for Defence at Defence Sites. The AFP National Operations State Service Centre works closely with Defence for matters of crisis management and response, assisting domestic and international coordination and management to protect national interests. The placement of AFP advisors at the Australian Civil</w:t>
            </w:r>
            <w:r w:rsidRPr="003E76E7">
              <w:rPr>
                <w:rFonts w:cs="Times New Roman"/>
                <w:szCs w:val="20"/>
              </w:rPr>
              <w:noBreakHyphen/>
              <w:t>Military Centre (ACMC) supports a high-priority Australian Government initiative to enhance the effectiveness of national and regional civil-military-police interaction in conflict and disaster management and promotes regional and global security.</w:t>
            </w:r>
          </w:p>
          <w:p w14:paraId="04EC0797" w14:textId="771F45C7" w:rsidR="005B237A" w:rsidRPr="003E76E7" w:rsidRDefault="005B237A" w:rsidP="00C4292D">
            <w:pPr>
              <w:keepNext/>
              <w:spacing w:before="60"/>
              <w:rPr>
                <w:rFonts w:cs="Times New Roman"/>
                <w:szCs w:val="20"/>
              </w:rPr>
            </w:pPr>
            <w:r w:rsidRPr="003E76E7">
              <w:rPr>
                <w:rFonts w:cs="Times New Roman"/>
                <w:szCs w:val="20"/>
              </w:rPr>
              <w:t xml:space="preserve">The AFP collaborates with Defence in building and integrating the interim AFP protective security overlay in support of the Australian </w:t>
            </w:r>
            <w:r w:rsidR="008627F6">
              <w:rPr>
                <w:rFonts w:cs="Times New Roman"/>
                <w:szCs w:val="20"/>
              </w:rPr>
              <w:t>N</w:t>
            </w:r>
            <w:r w:rsidRPr="003E76E7">
              <w:rPr>
                <w:rFonts w:cs="Times New Roman"/>
                <w:szCs w:val="20"/>
              </w:rPr>
              <w:t>uclear</w:t>
            </w:r>
            <w:r w:rsidR="008627F6">
              <w:rPr>
                <w:rFonts w:cs="Times New Roman"/>
                <w:szCs w:val="20"/>
              </w:rPr>
              <w:t>-Powered</w:t>
            </w:r>
            <w:r w:rsidRPr="003E76E7">
              <w:rPr>
                <w:rFonts w:cs="Times New Roman"/>
                <w:szCs w:val="20"/>
              </w:rPr>
              <w:t xml:space="preserve"> </w:t>
            </w:r>
            <w:r w:rsidR="008627F6">
              <w:rPr>
                <w:rFonts w:cs="Times New Roman"/>
                <w:szCs w:val="20"/>
              </w:rPr>
              <w:t>S</w:t>
            </w:r>
            <w:r w:rsidRPr="003E76E7">
              <w:rPr>
                <w:rFonts w:cs="Times New Roman"/>
                <w:szCs w:val="20"/>
              </w:rPr>
              <w:t xml:space="preserve">ubmarine </w:t>
            </w:r>
            <w:r w:rsidR="006F589B">
              <w:rPr>
                <w:rFonts w:cs="Times New Roman"/>
                <w:szCs w:val="20"/>
              </w:rPr>
              <w:t>P</w:t>
            </w:r>
            <w:r w:rsidRPr="003E76E7">
              <w:rPr>
                <w:rFonts w:cs="Times New Roman"/>
                <w:szCs w:val="20"/>
              </w:rPr>
              <w:t>rogram under the Australia, the United Kingdom and the United States (AUKUS) initiative.</w:t>
            </w:r>
            <w:bookmarkEnd w:id="1097"/>
          </w:p>
        </w:tc>
      </w:tr>
    </w:tbl>
    <w:p w14:paraId="7DD8212F" w14:textId="77777777" w:rsidR="00353707" w:rsidRPr="003E76E7" w:rsidRDefault="00353707" w:rsidP="00C4292D">
      <w:pPr>
        <w:spacing w:before="0" w:after="0"/>
        <w:jc w:val="both"/>
      </w:pPr>
    </w:p>
    <w:tbl>
      <w:tblPr>
        <w:tblW w:w="5000" w:type="pct"/>
        <w:tblInd w:w="113"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8607"/>
      </w:tblGrid>
      <w:tr w:rsidR="00353707" w:rsidRPr="003E76E7" w14:paraId="66951A32" w14:textId="77777777" w:rsidTr="00E3161E">
        <w:trPr>
          <w:trHeight w:val="113"/>
        </w:trPr>
        <w:tc>
          <w:tcPr>
            <w:tcW w:w="5000" w:type="pct"/>
            <w:tcMar>
              <w:top w:w="0" w:type="dxa"/>
              <w:left w:w="108" w:type="dxa"/>
              <w:bottom w:w="0" w:type="dxa"/>
              <w:right w:w="108" w:type="dxa"/>
            </w:tcMar>
            <w:hideMark/>
          </w:tcPr>
          <w:p w14:paraId="677DF7B7" w14:textId="77777777" w:rsidR="00353707" w:rsidRPr="003E76E7" w:rsidRDefault="00353707" w:rsidP="00C4292D">
            <w:pPr>
              <w:spacing w:before="60"/>
              <w:rPr>
                <w:rFonts w:ascii="Calibri" w:hAnsi="Calibri" w:cs="Calibri"/>
                <w:szCs w:val="22"/>
              </w:rPr>
            </w:pPr>
            <w:r w:rsidRPr="003E76E7">
              <w:rPr>
                <w:b/>
                <w:bCs/>
                <w:szCs w:val="20"/>
              </w:rPr>
              <w:t>Australian Maritime Safety Authority</w:t>
            </w:r>
          </w:p>
        </w:tc>
      </w:tr>
      <w:tr w:rsidR="00353707" w:rsidRPr="003E76E7" w14:paraId="7C4B73F4" w14:textId="77777777" w:rsidTr="00E3161E">
        <w:trPr>
          <w:trHeight w:val="113"/>
        </w:trPr>
        <w:tc>
          <w:tcPr>
            <w:tcW w:w="5000" w:type="pct"/>
            <w:tcMar>
              <w:top w:w="0" w:type="dxa"/>
              <w:left w:w="108" w:type="dxa"/>
              <w:bottom w:w="0" w:type="dxa"/>
              <w:right w:w="108" w:type="dxa"/>
            </w:tcMar>
            <w:hideMark/>
          </w:tcPr>
          <w:p w14:paraId="011ACD87" w14:textId="12D83FF1" w:rsidR="00353707" w:rsidRPr="003E76E7" w:rsidRDefault="00353707" w:rsidP="00C4292D">
            <w:pPr>
              <w:spacing w:before="60"/>
            </w:pPr>
            <w:r w:rsidRPr="003E76E7">
              <w:rPr>
                <w:szCs w:val="20"/>
              </w:rPr>
              <w:t xml:space="preserve">Program 1.1 </w:t>
            </w:r>
            <w:r w:rsidR="00722810" w:rsidRPr="003E76E7">
              <w:rPr>
                <w:szCs w:val="20"/>
              </w:rPr>
              <w:t>-</w:t>
            </w:r>
            <w:r w:rsidRPr="003E76E7">
              <w:rPr>
                <w:szCs w:val="20"/>
              </w:rPr>
              <w:t xml:space="preserve"> Seafarer and ship safety, safety of navigation and environmental protection.</w:t>
            </w:r>
          </w:p>
        </w:tc>
      </w:tr>
      <w:tr w:rsidR="00353707" w:rsidRPr="003E76E7" w14:paraId="6F59BAB0" w14:textId="77777777" w:rsidTr="00E3161E">
        <w:trPr>
          <w:trHeight w:val="113"/>
        </w:trPr>
        <w:tc>
          <w:tcPr>
            <w:tcW w:w="5000" w:type="pct"/>
            <w:tcMar>
              <w:top w:w="0" w:type="dxa"/>
              <w:left w:w="108" w:type="dxa"/>
              <w:bottom w:w="0" w:type="dxa"/>
              <w:right w:w="108" w:type="dxa"/>
            </w:tcMar>
            <w:hideMark/>
          </w:tcPr>
          <w:p w14:paraId="75AC5585" w14:textId="77777777" w:rsidR="00353707" w:rsidRPr="003E76E7" w:rsidRDefault="00353707" w:rsidP="00C4292D">
            <w:pPr>
              <w:spacing w:before="60" w:after="60"/>
            </w:pPr>
            <w:r w:rsidRPr="003E76E7">
              <w:rPr>
                <w:b/>
                <w:bCs/>
                <w:szCs w:val="20"/>
              </w:rPr>
              <w:t>Contribution to Outcome 2 by linked program</w:t>
            </w:r>
          </w:p>
        </w:tc>
      </w:tr>
      <w:tr w:rsidR="00353707" w:rsidRPr="003E76E7" w14:paraId="3E548FA4" w14:textId="77777777" w:rsidTr="00E3161E">
        <w:trPr>
          <w:trHeight w:val="113"/>
        </w:trPr>
        <w:tc>
          <w:tcPr>
            <w:tcW w:w="5000" w:type="pct"/>
            <w:tcMar>
              <w:top w:w="0" w:type="dxa"/>
              <w:left w:w="108" w:type="dxa"/>
              <w:bottom w:w="0" w:type="dxa"/>
              <w:right w:w="108" w:type="dxa"/>
            </w:tcMar>
            <w:hideMark/>
          </w:tcPr>
          <w:p w14:paraId="605BD704" w14:textId="77777777" w:rsidR="00353707" w:rsidRPr="003E76E7" w:rsidRDefault="00353707" w:rsidP="00C4292D">
            <w:pPr>
              <w:spacing w:before="60"/>
            </w:pPr>
            <w:r w:rsidRPr="003E76E7">
              <w:rPr>
                <w:bCs/>
                <w:szCs w:val="20"/>
              </w:rPr>
              <w:t>Australian Maritime Safety Authority</w:t>
            </w:r>
            <w:r w:rsidRPr="003E76E7">
              <w:rPr>
                <w:szCs w:val="20"/>
              </w:rPr>
              <w:t xml:space="preserve"> provides advice and direction on the provision of official nautical charts and publications, to best support Program 1.1.</w:t>
            </w:r>
          </w:p>
        </w:tc>
      </w:tr>
    </w:tbl>
    <w:p w14:paraId="468390C2" w14:textId="233CA56D" w:rsidR="00A55CD7" w:rsidRPr="003E76E7" w:rsidRDefault="00A55CD7" w:rsidP="00C4292D">
      <w:pPr>
        <w:spacing w:before="0" w:after="0"/>
      </w:pPr>
      <w:bookmarkStart w:id="1098" w:name="_Toc97275917"/>
    </w:p>
    <w:tbl>
      <w:tblPr>
        <w:tblW w:w="5000" w:type="pct"/>
        <w:tblInd w:w="113"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8607"/>
      </w:tblGrid>
      <w:tr w:rsidR="00353707" w:rsidRPr="003E76E7" w14:paraId="242D3EB8" w14:textId="77777777" w:rsidTr="00E3161E">
        <w:trPr>
          <w:trHeight w:val="113"/>
        </w:trPr>
        <w:tc>
          <w:tcPr>
            <w:tcW w:w="5000" w:type="pct"/>
            <w:tcMar>
              <w:top w:w="0" w:type="dxa"/>
              <w:left w:w="108" w:type="dxa"/>
              <w:bottom w:w="0" w:type="dxa"/>
              <w:right w:w="108" w:type="dxa"/>
            </w:tcMar>
            <w:hideMark/>
          </w:tcPr>
          <w:p w14:paraId="152E16CC" w14:textId="2B99CE14" w:rsidR="00353707" w:rsidRPr="003E76E7" w:rsidRDefault="00353707" w:rsidP="00C4292D">
            <w:pPr>
              <w:spacing w:before="60"/>
              <w:rPr>
                <w:rFonts w:ascii="Calibri" w:hAnsi="Calibri" w:cs="Calibri"/>
                <w:szCs w:val="22"/>
              </w:rPr>
            </w:pPr>
            <w:r w:rsidRPr="003E76E7">
              <w:rPr>
                <w:b/>
                <w:lang w:val="en-AU"/>
              </w:rPr>
              <w:t>Australian Nuclear Science and Technology Organisation</w:t>
            </w:r>
            <w:bookmarkEnd w:id="1098"/>
          </w:p>
        </w:tc>
      </w:tr>
      <w:tr w:rsidR="00353707" w:rsidRPr="003E76E7" w14:paraId="034D78C2" w14:textId="77777777" w:rsidTr="00E3161E">
        <w:trPr>
          <w:trHeight w:val="113"/>
        </w:trPr>
        <w:tc>
          <w:tcPr>
            <w:tcW w:w="5000" w:type="pct"/>
            <w:tcMar>
              <w:top w:w="0" w:type="dxa"/>
              <w:left w:w="108" w:type="dxa"/>
              <w:bottom w:w="0" w:type="dxa"/>
              <w:right w:w="108" w:type="dxa"/>
            </w:tcMar>
            <w:hideMark/>
          </w:tcPr>
          <w:p w14:paraId="76CBCB91" w14:textId="2CF14FAB" w:rsidR="00353707" w:rsidRPr="003E76E7" w:rsidRDefault="00353707" w:rsidP="00C4292D">
            <w:pPr>
              <w:spacing w:before="60" w:after="60"/>
            </w:pPr>
            <w:r w:rsidRPr="003E76E7">
              <w:t xml:space="preserve">Program 2 </w:t>
            </w:r>
            <w:r w:rsidR="00722810" w:rsidRPr="003E76E7">
              <w:t>-</w:t>
            </w:r>
            <w:r w:rsidRPr="003E76E7">
              <w:t xml:space="preserve"> Nuclear-Powered Submarines.</w:t>
            </w:r>
          </w:p>
        </w:tc>
      </w:tr>
      <w:tr w:rsidR="00353707" w:rsidRPr="003E76E7" w14:paraId="7E63272C" w14:textId="77777777" w:rsidTr="00E3161E">
        <w:trPr>
          <w:trHeight w:val="113"/>
        </w:trPr>
        <w:tc>
          <w:tcPr>
            <w:tcW w:w="5000" w:type="pct"/>
            <w:tcMar>
              <w:top w:w="0" w:type="dxa"/>
              <w:left w:w="108" w:type="dxa"/>
              <w:bottom w:w="0" w:type="dxa"/>
              <w:right w:w="108" w:type="dxa"/>
            </w:tcMar>
            <w:hideMark/>
          </w:tcPr>
          <w:p w14:paraId="4E1E6059" w14:textId="77777777" w:rsidR="00353707" w:rsidRPr="003E76E7" w:rsidRDefault="00353707" w:rsidP="00C4292D">
            <w:pPr>
              <w:spacing w:before="60" w:after="60"/>
            </w:pPr>
            <w:r w:rsidRPr="003E76E7">
              <w:rPr>
                <w:b/>
                <w:bCs/>
              </w:rPr>
              <w:t>Contribution to Outcome 2 by linked program</w:t>
            </w:r>
          </w:p>
        </w:tc>
      </w:tr>
      <w:tr w:rsidR="00353707" w:rsidRPr="003E76E7" w14:paraId="63443026" w14:textId="77777777" w:rsidTr="000409BF">
        <w:trPr>
          <w:trHeight w:val="1136"/>
        </w:trPr>
        <w:tc>
          <w:tcPr>
            <w:tcW w:w="5000" w:type="pct"/>
            <w:tcMar>
              <w:top w:w="0" w:type="dxa"/>
              <w:left w:w="108" w:type="dxa"/>
              <w:bottom w:w="0" w:type="dxa"/>
              <w:right w:w="108" w:type="dxa"/>
            </w:tcMar>
            <w:hideMark/>
          </w:tcPr>
          <w:p w14:paraId="3CE2C8F5" w14:textId="689643B1" w:rsidR="00353707" w:rsidRPr="003E76E7" w:rsidRDefault="00353707" w:rsidP="00C4292D">
            <w:pPr>
              <w:spacing w:before="60"/>
            </w:pPr>
            <w:r w:rsidRPr="003E76E7">
              <w:t xml:space="preserve">The Australian Nuclear Science and Technology Organisation (ANSTO) contributes to Outcome 2 through the provision of expertise and advice in the support of the </w:t>
            </w:r>
            <w:r w:rsidR="007A1833" w:rsidRPr="003E76E7">
              <w:br/>
            </w:r>
            <w:r w:rsidRPr="003E76E7">
              <w:t>Nuc</w:t>
            </w:r>
            <w:r w:rsidR="004E5DA6" w:rsidRPr="003E76E7">
              <w:t>lear-Powered Submarine Program</w:t>
            </w:r>
            <w:r w:rsidRPr="003E76E7">
              <w:t xml:space="preserve">, </w:t>
            </w:r>
            <w:r w:rsidRPr="003E76E7">
              <w:rPr>
                <w:rFonts w:cs="Times New Roman"/>
                <w:szCs w:val="20"/>
                <w:lang w:val="en-AU"/>
              </w:rPr>
              <w:t>with</w:t>
            </w:r>
            <w:r w:rsidRPr="003E76E7">
              <w:t xml:space="preserve"> a focus on baselining and augmenting </w:t>
            </w:r>
            <w:r w:rsidR="007A1833" w:rsidRPr="003E76E7">
              <w:br/>
            </w:r>
            <w:r w:rsidRPr="003E76E7">
              <w:t>Australia's nuclear stewardship capabilities and credentials.</w:t>
            </w:r>
          </w:p>
        </w:tc>
      </w:tr>
    </w:tbl>
    <w:p w14:paraId="072DB201" w14:textId="3AA7ABA1" w:rsidR="00FE7A38" w:rsidRPr="003E76E7" w:rsidRDefault="00FE7A38" w:rsidP="00C4292D">
      <w:pPr>
        <w:spacing w:before="0" w:after="0"/>
      </w:pPr>
    </w:p>
    <w:p w14:paraId="76E96ADC" w14:textId="77777777" w:rsidR="00CA5BB7" w:rsidRPr="003E76E7" w:rsidRDefault="00CA5BB7" w:rsidP="00C4292D">
      <w:r w:rsidRPr="003E76E7">
        <w:br w:type="page"/>
      </w:r>
    </w:p>
    <w:tbl>
      <w:tblPr>
        <w:tblW w:w="5000" w:type="pct"/>
        <w:tblInd w:w="113"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8607"/>
      </w:tblGrid>
      <w:tr w:rsidR="00525ECB" w:rsidRPr="003E76E7" w14:paraId="0E5EC04D" w14:textId="77777777" w:rsidTr="001B5E91">
        <w:trPr>
          <w:trHeight w:val="113"/>
        </w:trPr>
        <w:tc>
          <w:tcPr>
            <w:tcW w:w="5000" w:type="pct"/>
          </w:tcPr>
          <w:p w14:paraId="4D9CAB26" w14:textId="0087DB01" w:rsidR="00525ECB" w:rsidRPr="003E76E7" w:rsidRDefault="00525ECB" w:rsidP="00C4292D">
            <w:pPr>
              <w:spacing w:before="60" w:after="60"/>
            </w:pPr>
            <w:r w:rsidRPr="003E76E7">
              <w:rPr>
                <w:rFonts w:cs="Times New Roman"/>
                <w:b/>
                <w:szCs w:val="20"/>
                <w:lang w:val="en-AU"/>
              </w:rPr>
              <w:lastRenderedPageBreak/>
              <w:t>Australian Radiation Protection and Nuclear Safety Agency</w:t>
            </w:r>
          </w:p>
        </w:tc>
      </w:tr>
      <w:tr w:rsidR="00525ECB" w:rsidRPr="003E76E7" w14:paraId="09BCE3D4" w14:textId="77777777" w:rsidTr="001B5E91">
        <w:trPr>
          <w:trHeight w:val="113"/>
        </w:trPr>
        <w:tc>
          <w:tcPr>
            <w:tcW w:w="5000" w:type="pct"/>
          </w:tcPr>
          <w:p w14:paraId="6404083C" w14:textId="0B17A2A7" w:rsidR="00525ECB" w:rsidRPr="003E76E7" w:rsidRDefault="004F152F" w:rsidP="00C4292D">
            <w:pPr>
              <w:spacing w:before="60" w:after="60"/>
              <w:rPr>
                <w:rFonts w:cs="Times New Roman"/>
                <w:szCs w:val="20"/>
                <w:lang w:val="en-AU"/>
              </w:rPr>
            </w:pPr>
            <w:r w:rsidRPr="003E76E7">
              <w:rPr>
                <w:rFonts w:cs="Times New Roman"/>
                <w:szCs w:val="20"/>
                <w:lang w:val="en-AU"/>
              </w:rPr>
              <w:t xml:space="preserve">Program 1.2 </w:t>
            </w:r>
            <w:r w:rsidR="00722810" w:rsidRPr="003E76E7">
              <w:rPr>
                <w:rFonts w:cs="Times New Roman"/>
                <w:szCs w:val="20"/>
                <w:lang w:val="en-AU"/>
              </w:rPr>
              <w:t>-</w:t>
            </w:r>
            <w:r w:rsidRPr="003E76E7">
              <w:rPr>
                <w:rFonts w:cs="Times New Roman"/>
                <w:szCs w:val="20"/>
                <w:lang w:val="en-AU"/>
              </w:rPr>
              <w:t xml:space="preserve"> </w:t>
            </w:r>
            <w:r w:rsidR="00FE0D70" w:rsidRPr="003E76E7">
              <w:rPr>
                <w:rStyle w:val="ui-provider"/>
              </w:rPr>
              <w:t>Nuclear-</w:t>
            </w:r>
            <w:r w:rsidR="00085217" w:rsidRPr="003E76E7">
              <w:rPr>
                <w:rStyle w:val="ui-provider"/>
              </w:rPr>
              <w:t>P</w:t>
            </w:r>
            <w:r w:rsidR="0038299D" w:rsidRPr="003E76E7">
              <w:rPr>
                <w:rStyle w:val="ui-provider"/>
              </w:rPr>
              <w:t>owered Su</w:t>
            </w:r>
            <w:r w:rsidR="002A3FD5" w:rsidRPr="003E76E7">
              <w:rPr>
                <w:rStyle w:val="ui-provider"/>
              </w:rPr>
              <w:t>b</w:t>
            </w:r>
            <w:r w:rsidR="0038299D" w:rsidRPr="003E76E7">
              <w:rPr>
                <w:rStyle w:val="ui-provider"/>
              </w:rPr>
              <w:t>marines</w:t>
            </w:r>
            <w:r w:rsidRPr="003E76E7">
              <w:rPr>
                <w:rStyle w:val="ui-provider"/>
              </w:rPr>
              <w:t>.</w:t>
            </w:r>
          </w:p>
        </w:tc>
      </w:tr>
      <w:tr w:rsidR="00525ECB" w:rsidRPr="003E76E7" w14:paraId="0CF9240C" w14:textId="77777777" w:rsidTr="001B5E91">
        <w:trPr>
          <w:trHeight w:val="113"/>
        </w:trPr>
        <w:tc>
          <w:tcPr>
            <w:tcW w:w="5000" w:type="pct"/>
          </w:tcPr>
          <w:p w14:paraId="2E7D036C" w14:textId="77777777" w:rsidR="00525ECB" w:rsidRPr="003E76E7" w:rsidRDefault="00525ECB" w:rsidP="00C4292D">
            <w:pPr>
              <w:spacing w:before="60" w:after="60"/>
              <w:rPr>
                <w:rFonts w:cs="Times New Roman"/>
                <w:b/>
                <w:szCs w:val="20"/>
                <w:lang w:val="en-AU"/>
              </w:rPr>
            </w:pPr>
            <w:r w:rsidRPr="003E76E7">
              <w:rPr>
                <w:rFonts w:cs="Times New Roman"/>
                <w:b/>
                <w:szCs w:val="20"/>
                <w:lang w:val="en-AU"/>
              </w:rPr>
              <w:t>Contribution to Outcome 2 by linked program</w:t>
            </w:r>
          </w:p>
        </w:tc>
      </w:tr>
      <w:tr w:rsidR="003A4149" w:rsidRPr="003E76E7" w14:paraId="13DDAF00" w14:textId="77777777" w:rsidTr="001B5E91">
        <w:trPr>
          <w:trHeight w:val="113"/>
        </w:trPr>
        <w:tc>
          <w:tcPr>
            <w:tcW w:w="5000" w:type="pct"/>
          </w:tcPr>
          <w:p w14:paraId="4CE8A3B8" w14:textId="6730B863" w:rsidR="003A4149" w:rsidRPr="003E76E7" w:rsidRDefault="00DC281D" w:rsidP="00C4292D">
            <w:pPr>
              <w:spacing w:before="60"/>
              <w:rPr>
                <w:rFonts w:ascii="Calibri" w:hAnsi="Calibri" w:cs="Calibri"/>
                <w:color w:val="000000"/>
                <w:sz w:val="22"/>
                <w:szCs w:val="22"/>
                <w:lang w:val="en-AU"/>
              </w:rPr>
            </w:pPr>
            <w:r w:rsidRPr="003E76E7">
              <w:t>Support delivery of nuclear-powered submarines capabilities through radiation protection and nuclear safety research, policy, advice, codes, standards and services.</w:t>
            </w:r>
          </w:p>
        </w:tc>
      </w:tr>
    </w:tbl>
    <w:p w14:paraId="5DE8906D" w14:textId="1F4160EE" w:rsidR="006F552C" w:rsidRPr="003E76E7" w:rsidRDefault="006F552C" w:rsidP="00C4292D">
      <w:pPr>
        <w:tabs>
          <w:tab w:val="left" w:pos="525"/>
        </w:tabs>
        <w:spacing w:before="0" w:after="0"/>
        <w:jc w:val="both"/>
      </w:pPr>
    </w:p>
    <w:tbl>
      <w:tblPr>
        <w:tblW w:w="5000" w:type="pct"/>
        <w:tblInd w:w="10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8607"/>
      </w:tblGrid>
      <w:tr w:rsidR="00735E90" w:rsidRPr="003E76E7" w14:paraId="0E3F6EAC" w14:textId="77777777" w:rsidTr="00101E53">
        <w:trPr>
          <w:trHeight w:val="113"/>
        </w:trPr>
        <w:tc>
          <w:tcPr>
            <w:tcW w:w="5000" w:type="pct"/>
          </w:tcPr>
          <w:p w14:paraId="45A962C8" w14:textId="77777777" w:rsidR="00735E90" w:rsidRPr="003E76E7" w:rsidRDefault="00735E90" w:rsidP="00C4292D">
            <w:pPr>
              <w:spacing w:before="40" w:after="40"/>
              <w:rPr>
                <w:rFonts w:cs="Times New Roman"/>
                <w:b/>
                <w:szCs w:val="20"/>
                <w:lang w:val="en-AU"/>
              </w:rPr>
            </w:pPr>
            <w:r w:rsidRPr="003E76E7">
              <w:rPr>
                <w:rFonts w:cs="Times New Roman"/>
                <w:b/>
                <w:szCs w:val="20"/>
                <w:lang w:val="en-AU"/>
              </w:rPr>
              <w:t>Australian Secret Intelligence Service</w:t>
            </w:r>
          </w:p>
        </w:tc>
      </w:tr>
      <w:tr w:rsidR="00735E90" w:rsidRPr="003E76E7" w14:paraId="44757E6B" w14:textId="77777777" w:rsidTr="00101E53">
        <w:trPr>
          <w:trHeight w:val="113"/>
        </w:trPr>
        <w:tc>
          <w:tcPr>
            <w:tcW w:w="5000" w:type="pct"/>
          </w:tcPr>
          <w:p w14:paraId="3285720F" w14:textId="77777777" w:rsidR="00735E90" w:rsidRPr="003E76E7" w:rsidRDefault="00735E90" w:rsidP="00C4292D">
            <w:pPr>
              <w:spacing w:before="40" w:after="40"/>
              <w:rPr>
                <w:rFonts w:cs="Times New Roman"/>
                <w:szCs w:val="20"/>
                <w:lang w:val="en-AU"/>
              </w:rPr>
            </w:pPr>
            <w:r w:rsidRPr="003E76E7">
              <w:rPr>
                <w:rFonts w:cs="Times New Roman"/>
                <w:szCs w:val="20"/>
                <w:lang w:val="en-AU"/>
              </w:rPr>
              <w:t>Program 1.1 - Security Intelligence.</w:t>
            </w:r>
          </w:p>
        </w:tc>
      </w:tr>
      <w:tr w:rsidR="00735E90" w:rsidRPr="003E76E7" w14:paraId="3E5B6115" w14:textId="77777777" w:rsidTr="00101E53">
        <w:trPr>
          <w:trHeight w:val="113"/>
        </w:trPr>
        <w:tc>
          <w:tcPr>
            <w:tcW w:w="5000" w:type="pct"/>
          </w:tcPr>
          <w:p w14:paraId="6A7FA7F5" w14:textId="77777777" w:rsidR="00735E90" w:rsidRPr="003E76E7" w:rsidRDefault="00735E90" w:rsidP="00C4292D">
            <w:pPr>
              <w:spacing w:before="40" w:after="40"/>
              <w:rPr>
                <w:rFonts w:cs="Times New Roman"/>
                <w:b/>
                <w:szCs w:val="20"/>
                <w:lang w:val="en-AU"/>
              </w:rPr>
            </w:pPr>
            <w:r w:rsidRPr="003E76E7">
              <w:rPr>
                <w:rFonts w:cs="Times New Roman"/>
                <w:b/>
                <w:szCs w:val="20"/>
                <w:lang w:val="en-AU"/>
              </w:rPr>
              <w:t>Contribution to Outcome 2 by linked program</w:t>
            </w:r>
          </w:p>
        </w:tc>
      </w:tr>
      <w:tr w:rsidR="00735E90" w:rsidRPr="003E76E7" w14:paraId="1B809521" w14:textId="77777777" w:rsidTr="00101E53">
        <w:trPr>
          <w:trHeight w:val="113"/>
        </w:trPr>
        <w:tc>
          <w:tcPr>
            <w:tcW w:w="5000" w:type="pct"/>
          </w:tcPr>
          <w:p w14:paraId="52A83EDD" w14:textId="2C97B659" w:rsidR="00735E90" w:rsidRPr="003E76E7" w:rsidRDefault="00735E90" w:rsidP="00C4292D">
            <w:pPr>
              <w:spacing w:before="40" w:after="40"/>
              <w:rPr>
                <w:rFonts w:cs="Times New Roman"/>
                <w:i/>
                <w:szCs w:val="20"/>
                <w:lang w:val="en-AU"/>
              </w:rPr>
            </w:pPr>
            <w:r w:rsidRPr="003E76E7">
              <w:rPr>
                <w:rFonts w:cs="Times New Roman"/>
                <w:szCs w:val="20"/>
                <w:lang w:val="en-AU"/>
              </w:rPr>
              <w:t xml:space="preserve">Consistent with the functions for the Australian Secret Intelligence Service (ASIS) detailed in the </w:t>
            </w:r>
            <w:r w:rsidRPr="003E76E7">
              <w:rPr>
                <w:rFonts w:cs="Times New Roman"/>
                <w:i/>
                <w:szCs w:val="20"/>
                <w:lang w:val="en-AU"/>
              </w:rPr>
              <w:t>Intelligence Services Act 2001</w:t>
            </w:r>
            <w:r w:rsidRPr="003E76E7">
              <w:rPr>
                <w:rFonts w:cs="Times New Roman"/>
                <w:szCs w:val="20"/>
                <w:lang w:val="en-AU"/>
              </w:rPr>
              <w:t xml:space="preserve">, ASIS provides assistance to the Australian Defence Force (ADF) in support of military operations; cooperates with the ADF on intelligence matters; and cooperates with and assists the Australian Signals Directorate and the Australian </w:t>
            </w:r>
            <w:r w:rsidR="00E71782" w:rsidRPr="003E76E7">
              <w:rPr>
                <w:rFonts w:cs="Times New Roman"/>
                <w:szCs w:val="20"/>
                <w:lang w:val="en-AU"/>
              </w:rPr>
              <w:br/>
            </w:r>
            <w:r w:rsidRPr="003E76E7">
              <w:rPr>
                <w:rFonts w:cs="Times New Roman"/>
                <w:szCs w:val="20"/>
                <w:lang w:val="en-AU"/>
              </w:rPr>
              <w:t>Geospatial-Intelligence Organisation in the performance of their functions.</w:t>
            </w:r>
          </w:p>
        </w:tc>
      </w:tr>
    </w:tbl>
    <w:p w14:paraId="5C289548" w14:textId="77777777" w:rsidR="00735E90" w:rsidRPr="003E76E7" w:rsidRDefault="00735E90" w:rsidP="00C4292D">
      <w:pPr>
        <w:tabs>
          <w:tab w:val="left" w:pos="525"/>
        </w:tabs>
        <w:spacing w:before="0" w:after="0"/>
        <w:jc w:val="both"/>
      </w:pPr>
    </w:p>
    <w:tbl>
      <w:tblPr>
        <w:tblW w:w="5000" w:type="pct"/>
        <w:tblInd w:w="113"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8607"/>
      </w:tblGrid>
      <w:tr w:rsidR="005B237A" w:rsidRPr="003E76E7" w14:paraId="2C74857E" w14:textId="77777777" w:rsidTr="005B237A">
        <w:trPr>
          <w:trHeight w:val="113"/>
        </w:trPr>
        <w:tc>
          <w:tcPr>
            <w:tcW w:w="5000" w:type="pct"/>
          </w:tcPr>
          <w:p w14:paraId="3EA861E6" w14:textId="3CCB0A9C" w:rsidR="005B237A" w:rsidRPr="003E76E7" w:rsidRDefault="005B237A" w:rsidP="00C4292D">
            <w:pPr>
              <w:spacing w:before="40" w:after="40"/>
              <w:rPr>
                <w:rFonts w:cs="Times New Roman"/>
                <w:b/>
                <w:szCs w:val="20"/>
                <w:lang w:val="en-AU"/>
              </w:rPr>
            </w:pPr>
            <w:r w:rsidRPr="003E76E7">
              <w:rPr>
                <w:rFonts w:cs="Times New Roman"/>
                <w:b/>
                <w:szCs w:val="20"/>
                <w:lang w:val="en-AU"/>
              </w:rPr>
              <w:t>Australian Security Intelligence Organisation</w:t>
            </w:r>
          </w:p>
        </w:tc>
      </w:tr>
      <w:tr w:rsidR="005B237A" w:rsidRPr="003E76E7" w14:paraId="51B39062" w14:textId="77777777" w:rsidTr="005B237A">
        <w:trPr>
          <w:trHeight w:val="113"/>
        </w:trPr>
        <w:tc>
          <w:tcPr>
            <w:tcW w:w="5000" w:type="pct"/>
          </w:tcPr>
          <w:p w14:paraId="5F1E4D26" w14:textId="5462E49A" w:rsidR="005B237A" w:rsidRPr="003E76E7" w:rsidRDefault="005B237A" w:rsidP="00C4292D">
            <w:pPr>
              <w:spacing w:before="40" w:after="40"/>
              <w:rPr>
                <w:rFonts w:cs="Times New Roman"/>
                <w:szCs w:val="20"/>
                <w:lang w:val="en-AU"/>
              </w:rPr>
            </w:pPr>
            <w:r w:rsidRPr="003E76E7">
              <w:rPr>
                <w:rFonts w:cs="Times New Roman"/>
                <w:szCs w:val="20"/>
                <w:lang w:val="en-AU"/>
              </w:rPr>
              <w:t>Program 1.1 - Security Intelligence.</w:t>
            </w:r>
          </w:p>
        </w:tc>
      </w:tr>
      <w:tr w:rsidR="005B237A" w:rsidRPr="003E76E7" w14:paraId="319E1747" w14:textId="77777777" w:rsidTr="005B237A">
        <w:trPr>
          <w:trHeight w:val="113"/>
        </w:trPr>
        <w:tc>
          <w:tcPr>
            <w:tcW w:w="5000" w:type="pct"/>
          </w:tcPr>
          <w:p w14:paraId="373DA508" w14:textId="70E8D14B" w:rsidR="005B237A" w:rsidRPr="003E76E7" w:rsidRDefault="005B237A" w:rsidP="00C4292D">
            <w:pPr>
              <w:spacing w:before="40" w:after="40"/>
              <w:rPr>
                <w:rFonts w:cs="Times New Roman"/>
                <w:b/>
                <w:szCs w:val="20"/>
                <w:lang w:val="en-AU"/>
              </w:rPr>
            </w:pPr>
            <w:r w:rsidRPr="003E76E7">
              <w:rPr>
                <w:rFonts w:cs="Times New Roman"/>
                <w:b/>
                <w:szCs w:val="20"/>
                <w:lang w:val="en-AU"/>
              </w:rPr>
              <w:t>Contribution to Outcome 2 by linked program</w:t>
            </w:r>
          </w:p>
        </w:tc>
      </w:tr>
      <w:tr w:rsidR="005B237A" w:rsidRPr="003E76E7" w14:paraId="4034C01E" w14:textId="77777777" w:rsidTr="005B237A">
        <w:trPr>
          <w:trHeight w:val="113"/>
        </w:trPr>
        <w:tc>
          <w:tcPr>
            <w:tcW w:w="5000" w:type="pct"/>
          </w:tcPr>
          <w:p w14:paraId="7E63A6AC" w14:textId="2EB212EC" w:rsidR="005B237A" w:rsidRPr="003E76E7" w:rsidRDefault="005B237A" w:rsidP="00C4292D">
            <w:pPr>
              <w:spacing w:before="40" w:after="40"/>
              <w:rPr>
                <w:rFonts w:cs="Times New Roman"/>
                <w:szCs w:val="20"/>
                <w:lang w:val="en-AU"/>
              </w:rPr>
            </w:pPr>
            <w:r w:rsidRPr="003E76E7">
              <w:rPr>
                <w:rFonts w:cs="Times New Roman"/>
                <w:szCs w:val="20"/>
                <w:lang w:val="en-AU"/>
              </w:rPr>
              <w:t xml:space="preserve">Consistent with the </w:t>
            </w:r>
            <w:r w:rsidRPr="003E76E7">
              <w:rPr>
                <w:rFonts w:cs="Times New Roman"/>
                <w:i/>
                <w:szCs w:val="20"/>
                <w:lang w:val="en-AU"/>
              </w:rPr>
              <w:t>Australian Security Intelligence Organisation Act</w:t>
            </w:r>
            <w:r w:rsidRPr="003E76E7">
              <w:rPr>
                <w:rFonts w:cs="Times New Roman"/>
                <w:szCs w:val="20"/>
                <w:lang w:val="en-AU"/>
              </w:rPr>
              <w:t xml:space="preserve"> </w:t>
            </w:r>
            <w:r w:rsidRPr="003E76E7">
              <w:rPr>
                <w:rFonts w:cs="Times New Roman"/>
                <w:i/>
                <w:szCs w:val="20"/>
                <w:lang w:val="en-AU"/>
              </w:rPr>
              <w:t>1979</w:t>
            </w:r>
            <w:r w:rsidRPr="003E76E7">
              <w:rPr>
                <w:rFonts w:cs="Times New Roman"/>
                <w:szCs w:val="20"/>
                <w:lang w:val="en-AU"/>
              </w:rPr>
              <w:t>, Australian Security Intelligence Organisation (ASIO) also provides advice to Defence on matters relevant to security. ASIO exercises its foreign intelligence collection powers under warrant at the request of the Minister for Defence or the Minister for Foreign Affairs.</w:t>
            </w:r>
          </w:p>
        </w:tc>
      </w:tr>
    </w:tbl>
    <w:p w14:paraId="5FA199DC" w14:textId="77777777" w:rsidR="00735E90" w:rsidRPr="003E76E7" w:rsidRDefault="00735E90" w:rsidP="00C4292D">
      <w:pPr>
        <w:spacing w:before="0" w:after="0"/>
        <w:jc w:val="both"/>
      </w:pPr>
    </w:p>
    <w:tbl>
      <w:tblPr>
        <w:tblW w:w="5000" w:type="pct"/>
        <w:tblInd w:w="113"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8607"/>
      </w:tblGrid>
      <w:tr w:rsidR="00E866E6" w:rsidRPr="003E76E7" w14:paraId="0A57C12B" w14:textId="77777777" w:rsidTr="00EA137A">
        <w:trPr>
          <w:trHeight w:val="113"/>
        </w:trPr>
        <w:tc>
          <w:tcPr>
            <w:tcW w:w="5000" w:type="pct"/>
          </w:tcPr>
          <w:p w14:paraId="1BEDBC26" w14:textId="77777777" w:rsidR="00E866E6" w:rsidRPr="003E76E7" w:rsidRDefault="00E866E6" w:rsidP="00C4292D">
            <w:pPr>
              <w:spacing w:before="40" w:after="40"/>
              <w:rPr>
                <w:rFonts w:cs="Times New Roman"/>
                <w:b/>
                <w:szCs w:val="20"/>
                <w:lang w:val="en-AU"/>
              </w:rPr>
            </w:pPr>
            <w:r w:rsidRPr="003E76E7">
              <w:rPr>
                <w:rFonts w:cs="Times New Roman"/>
                <w:b/>
                <w:szCs w:val="20"/>
                <w:lang w:val="en-AU"/>
              </w:rPr>
              <w:t>Australian Signals Directorate</w:t>
            </w:r>
          </w:p>
        </w:tc>
      </w:tr>
      <w:tr w:rsidR="00E866E6" w:rsidRPr="003E76E7" w14:paraId="3198973A" w14:textId="77777777" w:rsidTr="00EA137A">
        <w:trPr>
          <w:trHeight w:val="113"/>
        </w:trPr>
        <w:tc>
          <w:tcPr>
            <w:tcW w:w="5000" w:type="pct"/>
            <w:vAlign w:val="center"/>
          </w:tcPr>
          <w:p w14:paraId="639A4D69" w14:textId="7FBBDAF9" w:rsidR="00E866E6" w:rsidRPr="003E76E7" w:rsidRDefault="00E866E6" w:rsidP="00C4292D">
            <w:pPr>
              <w:spacing w:before="40" w:after="40"/>
              <w:rPr>
                <w:rFonts w:cs="Times New Roman"/>
                <w:b/>
                <w:szCs w:val="20"/>
                <w:lang w:val="en-AU"/>
              </w:rPr>
            </w:pPr>
            <w:r w:rsidRPr="003E76E7">
              <w:rPr>
                <w:lang w:val="en-AU"/>
              </w:rPr>
              <w:t>Program 1.1</w:t>
            </w:r>
            <w:r w:rsidR="00341F3F" w:rsidRPr="003E76E7">
              <w:rPr>
                <w:lang w:val="en-AU"/>
              </w:rPr>
              <w:t xml:space="preserve"> </w:t>
            </w:r>
            <w:r w:rsidR="00722810" w:rsidRPr="003E76E7">
              <w:rPr>
                <w:rFonts w:cs="Times New Roman"/>
                <w:szCs w:val="20"/>
                <w:lang w:val="en-AU"/>
              </w:rPr>
              <w:t>-</w:t>
            </w:r>
            <w:r w:rsidRPr="003E76E7">
              <w:rPr>
                <w:lang w:val="en-AU"/>
              </w:rPr>
              <w:t xml:space="preserve"> Foreign Signals Intelligence, Cyber Secur</w:t>
            </w:r>
            <w:r w:rsidR="00E15EDB" w:rsidRPr="003E76E7">
              <w:rPr>
                <w:lang w:val="en-AU"/>
              </w:rPr>
              <w:t>ity, Offensive Cyber Operations.</w:t>
            </w:r>
          </w:p>
        </w:tc>
      </w:tr>
      <w:tr w:rsidR="00E866E6" w:rsidRPr="003E76E7" w14:paraId="64725CB4" w14:textId="77777777" w:rsidTr="00EA137A">
        <w:trPr>
          <w:trHeight w:val="113"/>
        </w:trPr>
        <w:tc>
          <w:tcPr>
            <w:tcW w:w="5000" w:type="pct"/>
          </w:tcPr>
          <w:p w14:paraId="45EE5CFE" w14:textId="77777777" w:rsidR="00E866E6" w:rsidRPr="003E76E7" w:rsidRDefault="00E866E6" w:rsidP="00C4292D">
            <w:pPr>
              <w:spacing w:before="40" w:after="40"/>
              <w:rPr>
                <w:rFonts w:cs="Times New Roman"/>
                <w:b/>
                <w:szCs w:val="20"/>
                <w:lang w:val="en-AU"/>
              </w:rPr>
            </w:pPr>
            <w:r w:rsidRPr="003E76E7">
              <w:rPr>
                <w:rFonts w:cs="Times New Roman"/>
                <w:b/>
                <w:szCs w:val="20"/>
                <w:lang w:val="en-AU"/>
              </w:rPr>
              <w:t>Contribution to Outcome 2 by linked program</w:t>
            </w:r>
          </w:p>
        </w:tc>
      </w:tr>
      <w:tr w:rsidR="007C6A31" w:rsidRPr="003E76E7" w14:paraId="5604F905" w14:textId="77777777" w:rsidTr="00EA137A">
        <w:trPr>
          <w:trHeight w:val="113"/>
        </w:trPr>
        <w:tc>
          <w:tcPr>
            <w:tcW w:w="5000" w:type="pct"/>
          </w:tcPr>
          <w:p w14:paraId="125B5CD4" w14:textId="77777777" w:rsidR="007C6A31" w:rsidRPr="003E76E7" w:rsidRDefault="007C6A31" w:rsidP="00C4292D">
            <w:pPr>
              <w:spacing w:before="40" w:after="40"/>
              <w:rPr>
                <w:rFonts w:cs="Times New Roman"/>
                <w:szCs w:val="20"/>
                <w:lang w:val="en-AU"/>
              </w:rPr>
            </w:pPr>
            <w:r w:rsidRPr="003E76E7">
              <w:rPr>
                <w:rFonts w:cs="Times New Roman"/>
                <w:szCs w:val="20"/>
                <w:lang w:val="en-AU"/>
              </w:rPr>
              <w:t xml:space="preserve">Consistent with the functions for the Australian Signals Directorate </w:t>
            </w:r>
            <w:r w:rsidR="00067DCA" w:rsidRPr="003E76E7">
              <w:rPr>
                <w:rFonts w:cs="Times New Roman"/>
                <w:szCs w:val="20"/>
                <w:lang w:val="en-AU"/>
              </w:rPr>
              <w:t xml:space="preserve">(ASD) </w:t>
            </w:r>
            <w:r w:rsidRPr="003E76E7">
              <w:rPr>
                <w:rFonts w:cs="Times New Roman"/>
                <w:szCs w:val="20"/>
                <w:lang w:val="en-AU"/>
              </w:rPr>
              <w:t xml:space="preserve">detailed in the </w:t>
            </w:r>
            <w:r w:rsidRPr="003E76E7">
              <w:rPr>
                <w:rFonts w:cs="Times New Roman"/>
                <w:i/>
                <w:szCs w:val="20"/>
                <w:lang w:val="en-AU"/>
              </w:rPr>
              <w:t xml:space="preserve">Intelligence Services Act 2001, </w:t>
            </w:r>
            <w:r w:rsidR="00BF5080" w:rsidRPr="003E76E7">
              <w:rPr>
                <w:rFonts w:cs="Times New Roman"/>
                <w:szCs w:val="20"/>
                <w:lang w:val="en-AU"/>
              </w:rPr>
              <w:t>ASD</w:t>
            </w:r>
            <w:r w:rsidRPr="003E76E7">
              <w:rPr>
                <w:rFonts w:cs="Times New Roman"/>
                <w:szCs w:val="20"/>
                <w:lang w:val="en-AU"/>
              </w:rPr>
              <w:t xml:space="preserve"> provides foreign signals intelligence, cyber security advice, </w:t>
            </w:r>
            <w:r w:rsidR="00AD5B56" w:rsidRPr="003E76E7">
              <w:rPr>
                <w:rFonts w:cs="Times New Roman"/>
                <w:szCs w:val="20"/>
                <w:lang w:val="en-AU"/>
              </w:rPr>
              <w:t xml:space="preserve">and </w:t>
            </w:r>
            <w:r w:rsidRPr="003E76E7">
              <w:rPr>
                <w:rFonts w:cs="Times New Roman"/>
                <w:szCs w:val="20"/>
                <w:lang w:val="en-AU"/>
              </w:rPr>
              <w:t>offensive cyber operations</w:t>
            </w:r>
            <w:r w:rsidR="00AD5B56" w:rsidRPr="003E76E7">
              <w:rPr>
                <w:rFonts w:cs="Times New Roman"/>
                <w:szCs w:val="20"/>
                <w:lang w:val="en-AU"/>
              </w:rPr>
              <w:t>,</w:t>
            </w:r>
            <w:r w:rsidRPr="003E76E7">
              <w:rPr>
                <w:rFonts w:cs="Times New Roman"/>
                <w:szCs w:val="20"/>
                <w:lang w:val="en-AU"/>
              </w:rPr>
              <w:t xml:space="preserve"> </w:t>
            </w:r>
            <w:r w:rsidR="00AD5B56" w:rsidRPr="003E76E7">
              <w:rPr>
                <w:rFonts w:cs="Times New Roman"/>
                <w:szCs w:val="20"/>
                <w:lang w:val="en-AU"/>
              </w:rPr>
              <w:t xml:space="preserve">and utilises corporate shared services, </w:t>
            </w:r>
            <w:r w:rsidRPr="003E76E7">
              <w:rPr>
                <w:rFonts w:cs="Times New Roman"/>
                <w:szCs w:val="20"/>
                <w:lang w:val="en-AU"/>
              </w:rPr>
              <w:t xml:space="preserve">in order to meet the operational needs of the </w:t>
            </w:r>
            <w:r w:rsidR="0067507F" w:rsidRPr="003E76E7">
              <w:rPr>
                <w:rFonts w:cs="Times New Roman"/>
                <w:szCs w:val="20"/>
                <w:lang w:val="en-AU"/>
              </w:rPr>
              <w:t>ADF</w:t>
            </w:r>
            <w:r w:rsidRPr="003E76E7">
              <w:rPr>
                <w:rFonts w:cs="Times New Roman"/>
                <w:szCs w:val="20"/>
                <w:lang w:val="en-AU"/>
              </w:rPr>
              <w:t xml:space="preserve"> and the requiremen</w:t>
            </w:r>
            <w:r w:rsidR="00AD5B56" w:rsidRPr="003E76E7">
              <w:rPr>
                <w:rFonts w:cs="Times New Roman"/>
                <w:szCs w:val="20"/>
                <w:lang w:val="en-AU"/>
              </w:rPr>
              <w:t>ts of the Department of Defence.</w:t>
            </w:r>
          </w:p>
        </w:tc>
      </w:tr>
    </w:tbl>
    <w:p w14:paraId="700E0BF1" w14:textId="531E8DA6" w:rsidR="007177B7" w:rsidRPr="003E76E7" w:rsidRDefault="007177B7" w:rsidP="00C4292D">
      <w:pPr>
        <w:spacing w:before="0" w:after="0"/>
      </w:pPr>
    </w:p>
    <w:tbl>
      <w:tblPr>
        <w:tblW w:w="5000" w:type="pct"/>
        <w:tblInd w:w="113"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8607"/>
      </w:tblGrid>
      <w:tr w:rsidR="00E866E6" w:rsidRPr="003E76E7" w14:paraId="41542C83" w14:textId="77777777" w:rsidTr="003A5C37">
        <w:trPr>
          <w:trHeight w:val="113"/>
        </w:trPr>
        <w:tc>
          <w:tcPr>
            <w:tcW w:w="5000" w:type="pct"/>
          </w:tcPr>
          <w:p w14:paraId="77C45094" w14:textId="77777777" w:rsidR="00E866E6" w:rsidRPr="003E76E7" w:rsidRDefault="00E866E6" w:rsidP="00C4292D">
            <w:pPr>
              <w:spacing w:before="40" w:after="40"/>
              <w:rPr>
                <w:rFonts w:cs="Times New Roman"/>
                <w:b/>
                <w:szCs w:val="20"/>
                <w:lang w:val="en-AU"/>
              </w:rPr>
            </w:pPr>
            <w:r w:rsidRPr="003E76E7">
              <w:rPr>
                <w:b/>
                <w:lang w:val="en-AU"/>
              </w:rPr>
              <w:t>Commonwealth Superannuation Corporation</w:t>
            </w:r>
          </w:p>
        </w:tc>
      </w:tr>
      <w:tr w:rsidR="00E866E6" w:rsidRPr="003E76E7" w14:paraId="08B0ABD0" w14:textId="77777777" w:rsidTr="003A5C37">
        <w:trPr>
          <w:trHeight w:val="113"/>
        </w:trPr>
        <w:tc>
          <w:tcPr>
            <w:tcW w:w="5000" w:type="pct"/>
          </w:tcPr>
          <w:p w14:paraId="553C630C" w14:textId="15D152BB" w:rsidR="00E866E6" w:rsidRPr="003E76E7" w:rsidRDefault="00E866E6" w:rsidP="00C4292D">
            <w:pPr>
              <w:spacing w:before="40" w:after="40"/>
              <w:rPr>
                <w:rFonts w:cs="Times New Roman"/>
                <w:b/>
                <w:szCs w:val="20"/>
                <w:lang w:val="en-AU"/>
              </w:rPr>
            </w:pPr>
            <w:r w:rsidRPr="003E76E7">
              <w:rPr>
                <w:lang w:val="en-AU"/>
              </w:rPr>
              <w:t xml:space="preserve">Program 1.1 </w:t>
            </w:r>
            <w:r w:rsidR="00722810" w:rsidRPr="003E76E7">
              <w:rPr>
                <w:rFonts w:cs="Times New Roman"/>
                <w:szCs w:val="20"/>
                <w:lang w:val="en-AU"/>
              </w:rPr>
              <w:t>-</w:t>
            </w:r>
            <w:r w:rsidRPr="003E76E7">
              <w:rPr>
                <w:lang w:val="en-AU"/>
              </w:rPr>
              <w:t xml:space="preserve"> Superannuation Scheme Governance</w:t>
            </w:r>
            <w:r w:rsidR="00E15EDB" w:rsidRPr="003E76E7">
              <w:rPr>
                <w:lang w:val="en-AU"/>
              </w:rPr>
              <w:t>.</w:t>
            </w:r>
          </w:p>
        </w:tc>
      </w:tr>
      <w:tr w:rsidR="00E866E6" w:rsidRPr="003E76E7" w14:paraId="543E4998" w14:textId="77777777" w:rsidTr="003A5C37">
        <w:trPr>
          <w:trHeight w:val="113"/>
        </w:trPr>
        <w:tc>
          <w:tcPr>
            <w:tcW w:w="5000" w:type="pct"/>
          </w:tcPr>
          <w:p w14:paraId="7CBC05FA" w14:textId="77777777" w:rsidR="00E866E6" w:rsidRPr="003E76E7" w:rsidRDefault="00E866E6" w:rsidP="00C4292D">
            <w:pPr>
              <w:spacing w:before="40" w:after="40"/>
              <w:rPr>
                <w:rFonts w:cs="Times New Roman"/>
                <w:b/>
                <w:szCs w:val="20"/>
                <w:lang w:val="en-AU"/>
              </w:rPr>
            </w:pPr>
            <w:r w:rsidRPr="003E76E7">
              <w:rPr>
                <w:rFonts w:cs="Times New Roman"/>
                <w:b/>
                <w:szCs w:val="20"/>
                <w:lang w:val="en-AU"/>
              </w:rPr>
              <w:t>Contribution</w:t>
            </w:r>
            <w:r w:rsidRPr="003E76E7">
              <w:rPr>
                <w:b/>
                <w:szCs w:val="20"/>
                <w:lang w:val="en-AU"/>
              </w:rPr>
              <w:t xml:space="preserve"> to Outcome 2 by linked programs</w:t>
            </w:r>
          </w:p>
        </w:tc>
      </w:tr>
      <w:tr w:rsidR="00E866E6" w:rsidRPr="003E76E7" w14:paraId="5C28374A" w14:textId="77777777" w:rsidTr="003A5C37">
        <w:trPr>
          <w:trHeight w:val="113"/>
        </w:trPr>
        <w:tc>
          <w:tcPr>
            <w:tcW w:w="5000" w:type="pct"/>
          </w:tcPr>
          <w:p w14:paraId="749A3D22" w14:textId="77777777" w:rsidR="00E866E6" w:rsidRPr="003E76E7" w:rsidRDefault="007C6A31" w:rsidP="00C4292D">
            <w:pPr>
              <w:spacing w:before="40" w:after="40"/>
              <w:rPr>
                <w:rFonts w:cs="Times New Roman"/>
                <w:b/>
                <w:szCs w:val="20"/>
                <w:lang w:val="en-AU"/>
              </w:rPr>
            </w:pPr>
            <w:r w:rsidRPr="003E76E7">
              <w:rPr>
                <w:lang w:val="en-AU"/>
              </w:rPr>
              <w:t xml:space="preserve">The Departments of Finance and Defence provide funding through third party access arrangements to Commonwealth Superannuation Corporation for the purpose of providing payments of retirement and death and invalidity benefits for scheme members and beneficiaries, including past, present and future employees of the Australian Government and other eligible employers and members of the </w:t>
            </w:r>
            <w:r w:rsidR="007C4112" w:rsidRPr="003E76E7">
              <w:rPr>
                <w:lang w:val="en-AU"/>
              </w:rPr>
              <w:t>ADF</w:t>
            </w:r>
            <w:r w:rsidRPr="003E76E7">
              <w:rPr>
                <w:lang w:val="en-AU"/>
              </w:rPr>
              <w:t>.</w:t>
            </w:r>
          </w:p>
        </w:tc>
      </w:tr>
    </w:tbl>
    <w:p w14:paraId="37C82EFC" w14:textId="1CE0DDE5" w:rsidR="00215114" w:rsidRPr="003E76E7" w:rsidRDefault="00215114" w:rsidP="00C4292D">
      <w:pPr>
        <w:spacing w:before="0" w:after="0"/>
      </w:pPr>
    </w:p>
    <w:p w14:paraId="79AD499E" w14:textId="77777777" w:rsidR="00215114" w:rsidRPr="003E76E7" w:rsidRDefault="00215114" w:rsidP="00C4292D">
      <w:pPr>
        <w:spacing w:before="0" w:after="0"/>
      </w:pPr>
      <w:r w:rsidRPr="003E76E7">
        <w:br w:type="page"/>
      </w:r>
    </w:p>
    <w:tbl>
      <w:tblPr>
        <w:tblW w:w="5000" w:type="pct"/>
        <w:tblInd w:w="113"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8607"/>
      </w:tblGrid>
      <w:tr w:rsidR="00DC281D" w:rsidRPr="003E76E7" w14:paraId="1CAA3BEA" w14:textId="77777777" w:rsidTr="0029190E">
        <w:trPr>
          <w:trHeight w:val="113"/>
        </w:trPr>
        <w:tc>
          <w:tcPr>
            <w:tcW w:w="5000" w:type="pct"/>
          </w:tcPr>
          <w:p w14:paraId="0CD9DAC4" w14:textId="3EBEC63F" w:rsidR="00DC281D" w:rsidRPr="003E76E7" w:rsidRDefault="00DC281D" w:rsidP="00C4292D">
            <w:pPr>
              <w:spacing w:before="40" w:after="40"/>
              <w:rPr>
                <w:rFonts w:cs="Times New Roman"/>
                <w:b/>
                <w:szCs w:val="20"/>
                <w:lang w:val="en-AU"/>
              </w:rPr>
            </w:pPr>
            <w:r w:rsidRPr="003E76E7">
              <w:rPr>
                <w:b/>
              </w:rPr>
              <w:lastRenderedPageBreak/>
              <w:t>Defence and Veterans’ Service Commission</w:t>
            </w:r>
          </w:p>
        </w:tc>
      </w:tr>
      <w:tr w:rsidR="00DC281D" w:rsidRPr="003E76E7" w14:paraId="49DC8A48" w14:textId="77777777" w:rsidTr="0029190E">
        <w:trPr>
          <w:trHeight w:val="113"/>
        </w:trPr>
        <w:tc>
          <w:tcPr>
            <w:tcW w:w="5000" w:type="pct"/>
          </w:tcPr>
          <w:p w14:paraId="49C94803" w14:textId="77777777" w:rsidR="00DC281D" w:rsidRPr="003E76E7" w:rsidRDefault="00DC281D" w:rsidP="00C4292D">
            <w:pPr>
              <w:spacing w:before="40" w:after="40"/>
              <w:rPr>
                <w:rFonts w:cs="Times New Roman"/>
                <w:szCs w:val="20"/>
                <w:lang w:val="en-AU"/>
              </w:rPr>
            </w:pPr>
            <w:r w:rsidRPr="003E76E7">
              <w:t xml:space="preserve">Program 2.12 </w:t>
            </w:r>
            <w:r w:rsidRPr="003E76E7">
              <w:rPr>
                <w:lang w:val="en-AU"/>
              </w:rPr>
              <w:t>- Defence People.</w:t>
            </w:r>
          </w:p>
        </w:tc>
      </w:tr>
      <w:tr w:rsidR="00DC281D" w:rsidRPr="003E76E7" w14:paraId="3E35F495" w14:textId="77777777" w:rsidTr="0029190E">
        <w:trPr>
          <w:trHeight w:val="113"/>
        </w:trPr>
        <w:tc>
          <w:tcPr>
            <w:tcW w:w="5000" w:type="pct"/>
          </w:tcPr>
          <w:p w14:paraId="2CB1DB47" w14:textId="77777777" w:rsidR="00DC281D" w:rsidRPr="003E76E7" w:rsidRDefault="00DC281D" w:rsidP="00C4292D">
            <w:pPr>
              <w:spacing w:before="40" w:after="40"/>
              <w:rPr>
                <w:rFonts w:cs="Times New Roman"/>
                <w:b/>
                <w:szCs w:val="20"/>
                <w:lang w:val="en-AU"/>
              </w:rPr>
            </w:pPr>
            <w:r w:rsidRPr="003E76E7">
              <w:rPr>
                <w:rFonts w:cs="Times New Roman"/>
                <w:b/>
                <w:szCs w:val="20"/>
                <w:lang w:val="en-AU"/>
              </w:rPr>
              <w:t>Contribution to Outcome 2 by linked program</w:t>
            </w:r>
          </w:p>
        </w:tc>
      </w:tr>
      <w:tr w:rsidR="00DC281D" w:rsidRPr="003E76E7" w14:paraId="662B4B2A" w14:textId="77777777" w:rsidTr="0029190E">
        <w:trPr>
          <w:trHeight w:val="113"/>
        </w:trPr>
        <w:tc>
          <w:tcPr>
            <w:tcW w:w="5000" w:type="pct"/>
          </w:tcPr>
          <w:p w14:paraId="36F4BE0A" w14:textId="77777777" w:rsidR="00DC281D" w:rsidRPr="003E76E7" w:rsidRDefault="00DC281D" w:rsidP="00C4292D">
            <w:pPr>
              <w:rPr>
                <w:rFonts w:ascii="Calibri" w:hAnsi="Calibri" w:cs="Calibri"/>
                <w:szCs w:val="22"/>
                <w:lang w:val="en-AU"/>
              </w:rPr>
            </w:pPr>
            <w:r w:rsidRPr="003E76E7">
              <w:t xml:space="preserve">The Defence and Veterans’ Service Commission provides independent oversight and evidence-based advice to the Australian Government and Parliament, including by monitoring, inquiring and reporting on reforms to systems affecting ADF members and Veterans. </w:t>
            </w:r>
          </w:p>
        </w:tc>
      </w:tr>
    </w:tbl>
    <w:p w14:paraId="1F9CC574" w14:textId="0B71F860" w:rsidR="00CA5BB7" w:rsidRPr="003E76E7" w:rsidRDefault="00CA5BB7" w:rsidP="00C4292D">
      <w:pPr>
        <w:spacing w:before="0" w:after="0"/>
      </w:pPr>
    </w:p>
    <w:tbl>
      <w:tblPr>
        <w:tblW w:w="5000" w:type="pct"/>
        <w:tblInd w:w="113"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8607"/>
      </w:tblGrid>
      <w:tr w:rsidR="00E866E6" w:rsidRPr="003E76E7" w14:paraId="5EED5B60" w14:textId="77777777" w:rsidTr="003A5C37">
        <w:trPr>
          <w:trHeight w:val="113"/>
        </w:trPr>
        <w:tc>
          <w:tcPr>
            <w:tcW w:w="5000" w:type="pct"/>
          </w:tcPr>
          <w:p w14:paraId="151EF017" w14:textId="77DACAA3" w:rsidR="00E866E6" w:rsidRPr="003E76E7" w:rsidRDefault="00E866E6" w:rsidP="00C4292D">
            <w:pPr>
              <w:spacing w:before="40" w:after="40"/>
              <w:rPr>
                <w:b/>
                <w:lang w:val="en-AU"/>
              </w:rPr>
            </w:pPr>
            <w:r w:rsidRPr="003E76E7">
              <w:rPr>
                <w:b/>
                <w:lang w:val="en-AU"/>
              </w:rPr>
              <w:t>Defence Housing Australia</w:t>
            </w:r>
          </w:p>
        </w:tc>
      </w:tr>
      <w:tr w:rsidR="00E866E6" w:rsidRPr="003E76E7" w14:paraId="29D0CE06" w14:textId="77777777" w:rsidTr="003A5C37">
        <w:trPr>
          <w:trHeight w:val="113"/>
        </w:trPr>
        <w:tc>
          <w:tcPr>
            <w:tcW w:w="5000" w:type="pct"/>
          </w:tcPr>
          <w:p w14:paraId="52D7547B" w14:textId="5C6F4E41" w:rsidR="00E866E6" w:rsidRPr="003E76E7" w:rsidRDefault="00E866E6" w:rsidP="00C4292D">
            <w:pPr>
              <w:spacing w:before="40" w:after="40"/>
              <w:rPr>
                <w:lang w:val="en-AU"/>
              </w:rPr>
            </w:pPr>
            <w:r w:rsidRPr="003E76E7">
              <w:rPr>
                <w:lang w:val="en-AU"/>
              </w:rPr>
              <w:t xml:space="preserve">Program 1.1 </w:t>
            </w:r>
            <w:r w:rsidR="00722810" w:rsidRPr="003E76E7">
              <w:rPr>
                <w:rFonts w:cs="Times New Roman"/>
                <w:szCs w:val="20"/>
                <w:lang w:val="en-AU"/>
              </w:rPr>
              <w:t>-</w:t>
            </w:r>
            <w:r w:rsidRPr="003E76E7">
              <w:rPr>
                <w:lang w:val="en-AU"/>
              </w:rPr>
              <w:t xml:space="preserve"> The provision of Defence housing and housing related services</w:t>
            </w:r>
            <w:r w:rsidR="00E15EDB" w:rsidRPr="003E76E7">
              <w:rPr>
                <w:lang w:val="en-AU"/>
              </w:rPr>
              <w:t>.</w:t>
            </w:r>
          </w:p>
        </w:tc>
      </w:tr>
      <w:tr w:rsidR="00E866E6" w:rsidRPr="003E76E7" w14:paraId="253E55E6" w14:textId="77777777" w:rsidTr="003A5C37">
        <w:trPr>
          <w:trHeight w:val="113"/>
        </w:trPr>
        <w:tc>
          <w:tcPr>
            <w:tcW w:w="5000" w:type="pct"/>
          </w:tcPr>
          <w:p w14:paraId="4A7C7FC4" w14:textId="77777777" w:rsidR="00E866E6" w:rsidRPr="003E76E7" w:rsidRDefault="00E866E6" w:rsidP="00C4292D">
            <w:pPr>
              <w:spacing w:before="40" w:after="40"/>
              <w:rPr>
                <w:b/>
                <w:lang w:val="en-AU"/>
              </w:rPr>
            </w:pPr>
            <w:r w:rsidRPr="003E76E7">
              <w:rPr>
                <w:b/>
                <w:lang w:val="en-AU"/>
              </w:rPr>
              <w:t>Contribution to Outcome 2 by linked programs</w:t>
            </w:r>
          </w:p>
        </w:tc>
      </w:tr>
      <w:tr w:rsidR="00E866E6" w:rsidRPr="003E76E7" w14:paraId="2E66057A" w14:textId="77777777" w:rsidTr="006317D4">
        <w:trPr>
          <w:trHeight w:val="231"/>
        </w:trPr>
        <w:tc>
          <w:tcPr>
            <w:tcW w:w="5000" w:type="pct"/>
          </w:tcPr>
          <w:p w14:paraId="63722E45" w14:textId="77777777" w:rsidR="00E866E6" w:rsidRPr="003E76E7" w:rsidRDefault="007C6A31" w:rsidP="00C4292D">
            <w:pPr>
              <w:spacing w:before="40" w:after="40"/>
              <w:rPr>
                <w:lang w:val="en-AU"/>
              </w:rPr>
            </w:pPr>
            <w:r w:rsidRPr="003E76E7">
              <w:rPr>
                <w:lang w:val="en-AU"/>
              </w:rPr>
              <w:t xml:space="preserve">Under a Services Agreement and in accordance with the </w:t>
            </w:r>
            <w:r w:rsidRPr="003E76E7">
              <w:rPr>
                <w:i/>
                <w:lang w:val="en-AU"/>
              </w:rPr>
              <w:t>Defence Housing Australia Act 1987</w:t>
            </w:r>
            <w:r w:rsidRPr="003E76E7">
              <w:rPr>
                <w:lang w:val="en-AU"/>
              </w:rPr>
              <w:t xml:space="preserve">, </w:t>
            </w:r>
            <w:r w:rsidR="00067DCA" w:rsidRPr="003E76E7">
              <w:rPr>
                <w:lang w:val="en-AU"/>
              </w:rPr>
              <w:t xml:space="preserve">Defence Housing Australia </w:t>
            </w:r>
            <w:r w:rsidRPr="003E76E7">
              <w:rPr>
                <w:lang w:val="en-AU"/>
              </w:rPr>
              <w:t>is to achieve the efficient provision of contemporary housing solutions for ADF Members and their families on behalf of Defence.</w:t>
            </w:r>
          </w:p>
        </w:tc>
      </w:tr>
    </w:tbl>
    <w:p w14:paraId="0E6FF164" w14:textId="7FEFC4C6" w:rsidR="005B237A" w:rsidRPr="003E76E7" w:rsidRDefault="005B237A" w:rsidP="00C4292D">
      <w:pPr>
        <w:spacing w:before="0" w:after="0"/>
        <w:jc w:val="both"/>
      </w:pPr>
    </w:p>
    <w:tbl>
      <w:tblPr>
        <w:tblW w:w="5000" w:type="pct"/>
        <w:tblInd w:w="113"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8607"/>
      </w:tblGrid>
      <w:tr w:rsidR="00012918" w:rsidRPr="003E76E7" w14:paraId="4D67D0DC" w14:textId="77777777" w:rsidTr="00EA137A">
        <w:trPr>
          <w:trHeight w:val="113"/>
        </w:trPr>
        <w:tc>
          <w:tcPr>
            <w:tcW w:w="5000" w:type="pct"/>
          </w:tcPr>
          <w:p w14:paraId="0EA0E46D" w14:textId="18A8FF63" w:rsidR="00012918" w:rsidRPr="003E76E7" w:rsidRDefault="00012918" w:rsidP="00C4292D">
            <w:pPr>
              <w:spacing w:before="40" w:after="40"/>
              <w:rPr>
                <w:rFonts w:cs="Times New Roman"/>
                <w:b/>
                <w:szCs w:val="20"/>
                <w:lang w:val="en-AU"/>
              </w:rPr>
            </w:pPr>
            <w:r w:rsidRPr="003E76E7">
              <w:rPr>
                <w:rFonts w:cs="Times New Roman"/>
                <w:b/>
                <w:szCs w:val="20"/>
                <w:lang w:val="en-AU" w:eastAsia="en-US"/>
              </w:rPr>
              <w:t>Department of Climate Change, Energy, the Environment and Water</w:t>
            </w:r>
          </w:p>
        </w:tc>
      </w:tr>
      <w:tr w:rsidR="00012918" w:rsidRPr="003E76E7" w14:paraId="7EFD53EB" w14:textId="77777777" w:rsidTr="00EA137A">
        <w:trPr>
          <w:trHeight w:val="113"/>
        </w:trPr>
        <w:tc>
          <w:tcPr>
            <w:tcW w:w="5000" w:type="pct"/>
          </w:tcPr>
          <w:p w14:paraId="24C17E2C" w14:textId="2206F1C9" w:rsidR="00012918" w:rsidRPr="003E76E7" w:rsidRDefault="00012918" w:rsidP="00C4292D">
            <w:pPr>
              <w:pStyle w:val="xxboxbullet"/>
              <w:spacing w:before="60" w:after="60" w:line="240" w:lineRule="auto"/>
            </w:pPr>
            <w:r w:rsidRPr="003E76E7">
              <w:rPr>
                <w:rFonts w:ascii="Book Antiqua" w:eastAsia="Times New Roman" w:hAnsi="Book Antiqua" w:cs="Arial"/>
                <w:sz w:val="20"/>
                <w:szCs w:val="24"/>
              </w:rPr>
              <w:t>Program 1.</w:t>
            </w:r>
            <w:r w:rsidR="00BF07AE" w:rsidRPr="003E76E7">
              <w:rPr>
                <w:rFonts w:ascii="Book Antiqua" w:eastAsia="Times New Roman" w:hAnsi="Book Antiqua" w:cs="Arial"/>
                <w:sz w:val="20"/>
                <w:szCs w:val="24"/>
              </w:rPr>
              <w:t>1</w:t>
            </w:r>
            <w:r w:rsidRPr="003E76E7">
              <w:rPr>
                <w:rFonts w:ascii="Book Antiqua" w:eastAsia="Times New Roman" w:hAnsi="Book Antiqua" w:cs="Arial"/>
                <w:sz w:val="20"/>
                <w:szCs w:val="24"/>
              </w:rPr>
              <w:t xml:space="preserve"> - Support reliable, secure and affordable energy.</w:t>
            </w:r>
          </w:p>
          <w:p w14:paraId="2E122B9D" w14:textId="77777777" w:rsidR="00012918" w:rsidRPr="003E76E7" w:rsidRDefault="00012918" w:rsidP="00C4292D">
            <w:pPr>
              <w:pStyle w:val="xxboxbullet"/>
              <w:spacing w:before="60" w:after="60" w:line="240" w:lineRule="auto"/>
              <w:ind w:left="0" w:firstLine="0"/>
            </w:pPr>
            <w:r w:rsidRPr="003E76E7">
              <w:rPr>
                <w:rFonts w:ascii="Book Antiqua" w:eastAsia="Times New Roman" w:hAnsi="Book Antiqua" w:cs="Arial"/>
                <w:sz w:val="20"/>
                <w:szCs w:val="24"/>
              </w:rPr>
              <w:t>Program 2.3 - Accelerate the transition to a circular economy, while safely managing pollutants and hazardous substances.</w:t>
            </w:r>
          </w:p>
          <w:p w14:paraId="63EFBB9D" w14:textId="3127B3B2" w:rsidR="00012918" w:rsidRPr="003E76E7" w:rsidRDefault="00012918" w:rsidP="00C4292D">
            <w:pPr>
              <w:pStyle w:val="xxboxbullet"/>
              <w:spacing w:before="60" w:after="60" w:line="240" w:lineRule="auto"/>
              <w:ind w:left="0" w:firstLine="0"/>
            </w:pPr>
            <w:r w:rsidRPr="003E76E7">
              <w:rPr>
                <w:rFonts w:ascii="Book Antiqua" w:eastAsia="Times New Roman" w:hAnsi="Book Antiqua" w:cs="Arial"/>
                <w:sz w:val="20"/>
                <w:szCs w:val="24"/>
              </w:rPr>
              <w:t>Program 3.1</w:t>
            </w:r>
            <w:r w:rsidR="000D0440" w:rsidRPr="003E76E7">
              <w:rPr>
                <w:rFonts w:ascii="Book Antiqua" w:eastAsia="Times New Roman" w:hAnsi="Book Antiqua" w:cs="Arial"/>
                <w:sz w:val="20"/>
                <w:szCs w:val="24"/>
              </w:rPr>
              <w:t xml:space="preserve"> - </w:t>
            </w:r>
            <w:r w:rsidRPr="003E76E7">
              <w:rPr>
                <w:rFonts w:ascii="Book Antiqua" w:eastAsia="Times New Roman" w:hAnsi="Book Antiqua" w:cs="Arial"/>
                <w:sz w:val="20"/>
                <w:szCs w:val="24"/>
              </w:rPr>
              <w:t>Contribute to Australia's national Antarctic interests through science, environmental management and international engagement, including delivering Australia's scientific research and operations in Antarctica and the Southern Ocean.</w:t>
            </w:r>
          </w:p>
        </w:tc>
      </w:tr>
      <w:tr w:rsidR="00012918" w:rsidRPr="003E76E7" w14:paraId="49AAF9D8" w14:textId="77777777" w:rsidTr="00EA137A">
        <w:trPr>
          <w:trHeight w:val="113"/>
        </w:trPr>
        <w:tc>
          <w:tcPr>
            <w:tcW w:w="5000" w:type="pct"/>
          </w:tcPr>
          <w:p w14:paraId="57894F10" w14:textId="29E836CE" w:rsidR="00012918" w:rsidRPr="003E76E7" w:rsidRDefault="00012918" w:rsidP="00C4292D">
            <w:pPr>
              <w:spacing w:before="40" w:after="40"/>
              <w:rPr>
                <w:rFonts w:cs="Times New Roman"/>
                <w:b/>
                <w:szCs w:val="20"/>
                <w:lang w:val="en-AU"/>
              </w:rPr>
            </w:pPr>
            <w:r w:rsidRPr="003E76E7">
              <w:rPr>
                <w:b/>
                <w:lang w:val="en-AU" w:eastAsia="en-US"/>
              </w:rPr>
              <w:t xml:space="preserve">Contribution to Outcome 2 by </w:t>
            </w:r>
            <w:r w:rsidRPr="003E76E7">
              <w:rPr>
                <w:rFonts w:cs="Times New Roman"/>
                <w:b/>
                <w:szCs w:val="20"/>
                <w:lang w:val="en-AU" w:eastAsia="en-US"/>
              </w:rPr>
              <w:t>linked</w:t>
            </w:r>
            <w:r w:rsidRPr="003E76E7">
              <w:rPr>
                <w:b/>
                <w:lang w:val="en-AU" w:eastAsia="en-US"/>
              </w:rPr>
              <w:t xml:space="preserve"> programs</w:t>
            </w:r>
          </w:p>
        </w:tc>
      </w:tr>
      <w:tr w:rsidR="00012918" w:rsidRPr="003E76E7" w14:paraId="59365D76" w14:textId="77777777" w:rsidTr="00EA137A">
        <w:trPr>
          <w:trHeight w:val="113"/>
        </w:trPr>
        <w:tc>
          <w:tcPr>
            <w:tcW w:w="5000" w:type="pct"/>
          </w:tcPr>
          <w:p w14:paraId="41C43AA3" w14:textId="77777777" w:rsidR="00DC281D" w:rsidRPr="003E76E7" w:rsidRDefault="00DC281D" w:rsidP="00C4292D">
            <w:pPr>
              <w:spacing w:before="60" w:after="60" w:line="256" w:lineRule="auto"/>
              <w:rPr>
                <w:lang w:eastAsia="en-US"/>
              </w:rPr>
            </w:pPr>
            <w:r w:rsidRPr="003E76E7">
              <w:rPr>
                <w:lang w:eastAsia="en-US"/>
              </w:rPr>
              <w:t>Defence actively participates in forums relating to renewable energy and energy security and applies principles consistent with Australia’s Paris Agreement commitments when considering energy options.</w:t>
            </w:r>
          </w:p>
          <w:p w14:paraId="200A59F5" w14:textId="77777777" w:rsidR="00DC281D" w:rsidRPr="003E76E7" w:rsidRDefault="00DC281D" w:rsidP="00C4292D">
            <w:pPr>
              <w:spacing w:before="60" w:after="60" w:line="256" w:lineRule="auto"/>
              <w:rPr>
                <w:lang w:eastAsia="en-US"/>
              </w:rPr>
            </w:pPr>
            <w:r w:rsidRPr="003E76E7">
              <w:rPr>
                <w:lang w:eastAsia="en-US"/>
              </w:rPr>
              <w:t xml:space="preserve">Defence actively participates in forums and initiatives led by the Department of Climate Change, Energy, the Environment and Water to ensure alignment with national approaches for the effective and efficient management of environmental factors. </w:t>
            </w:r>
          </w:p>
          <w:p w14:paraId="64598453" w14:textId="7E0B3497" w:rsidR="00012918" w:rsidRPr="003E76E7" w:rsidRDefault="00DC281D" w:rsidP="00C4292D">
            <w:pPr>
              <w:spacing w:before="40" w:after="40"/>
              <w:rPr>
                <w:rFonts w:cs="Times New Roman"/>
                <w:szCs w:val="20"/>
                <w:lang w:val="en-AU"/>
              </w:rPr>
            </w:pPr>
            <w:r w:rsidRPr="003E76E7">
              <w:rPr>
                <w:lang w:eastAsia="en-US"/>
              </w:rPr>
              <w:t>Defence provides a range of logistics support services and advice to the Australian Antarctic program, including air and sealift capability to supplement existing arrangements in the delivery of cargo and contributing to aeromedical emergency responses in the region.</w:t>
            </w:r>
          </w:p>
        </w:tc>
      </w:tr>
    </w:tbl>
    <w:p w14:paraId="03F03843" w14:textId="6C6601F8" w:rsidR="00A55CD7" w:rsidRPr="003E76E7" w:rsidRDefault="00A55CD7" w:rsidP="00C4292D">
      <w:pPr>
        <w:spacing w:before="0" w:after="0"/>
      </w:pPr>
    </w:p>
    <w:tbl>
      <w:tblPr>
        <w:tblW w:w="5000" w:type="pct"/>
        <w:tblInd w:w="113"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8607"/>
      </w:tblGrid>
      <w:tr w:rsidR="00871156" w:rsidRPr="003E76E7" w14:paraId="5E3876B9" w14:textId="77777777" w:rsidTr="001B5E91">
        <w:trPr>
          <w:trHeight w:val="113"/>
        </w:trPr>
        <w:tc>
          <w:tcPr>
            <w:tcW w:w="5000" w:type="pct"/>
          </w:tcPr>
          <w:p w14:paraId="0F377963" w14:textId="2FEBCBA5" w:rsidR="00871156" w:rsidRPr="003E76E7" w:rsidRDefault="00871156" w:rsidP="00C4292D">
            <w:pPr>
              <w:spacing w:before="40" w:after="40"/>
              <w:rPr>
                <w:rFonts w:cs="Times New Roman"/>
                <w:b/>
                <w:szCs w:val="20"/>
                <w:lang w:val="en-AU"/>
              </w:rPr>
            </w:pPr>
            <w:r w:rsidRPr="003E76E7">
              <w:rPr>
                <w:rFonts w:cs="Times New Roman"/>
                <w:b/>
                <w:szCs w:val="20"/>
                <w:lang w:val="en-AU"/>
              </w:rPr>
              <w:t>Department of Education</w:t>
            </w:r>
          </w:p>
        </w:tc>
      </w:tr>
      <w:tr w:rsidR="00871156" w:rsidRPr="003E76E7" w14:paraId="7F7EB6EB" w14:textId="77777777" w:rsidTr="001B5E91">
        <w:trPr>
          <w:trHeight w:val="113"/>
        </w:trPr>
        <w:tc>
          <w:tcPr>
            <w:tcW w:w="5000" w:type="pct"/>
          </w:tcPr>
          <w:p w14:paraId="723D9CD6" w14:textId="2E6C94EF" w:rsidR="00A55CD7" w:rsidRPr="003E76E7" w:rsidRDefault="00871156" w:rsidP="00C4292D">
            <w:pPr>
              <w:pStyle w:val="xxboxbullet"/>
              <w:spacing w:before="60" w:after="60"/>
              <w:rPr>
                <w:rFonts w:ascii="Book Antiqua" w:eastAsia="Times New Roman" w:hAnsi="Book Antiqua" w:cs="Arial"/>
                <w:sz w:val="20"/>
                <w:szCs w:val="24"/>
              </w:rPr>
            </w:pPr>
            <w:r w:rsidRPr="003E76E7">
              <w:rPr>
                <w:rFonts w:ascii="Book Antiqua" w:eastAsia="Times New Roman" w:hAnsi="Book Antiqua" w:cs="Arial"/>
                <w:sz w:val="20"/>
                <w:szCs w:val="24"/>
              </w:rPr>
              <w:t xml:space="preserve">Program 2.1 </w:t>
            </w:r>
            <w:r w:rsidR="00722810" w:rsidRPr="003E76E7">
              <w:rPr>
                <w:rFonts w:ascii="Book Antiqua" w:eastAsia="Times New Roman" w:hAnsi="Book Antiqua" w:cs="Arial"/>
                <w:sz w:val="20"/>
                <w:szCs w:val="24"/>
              </w:rPr>
              <w:t>-</w:t>
            </w:r>
            <w:r w:rsidRPr="003E76E7">
              <w:rPr>
                <w:rFonts w:ascii="Book Antiqua" w:eastAsia="Times New Roman" w:hAnsi="Book Antiqua" w:cs="Arial"/>
                <w:sz w:val="20"/>
                <w:szCs w:val="24"/>
              </w:rPr>
              <w:t xml:space="preserve"> </w:t>
            </w:r>
            <w:r w:rsidR="00A55CD7" w:rsidRPr="003E76E7">
              <w:rPr>
                <w:rFonts w:ascii="Book Antiqua" w:eastAsia="Times New Roman" w:hAnsi="Book Antiqua" w:cs="Arial"/>
                <w:sz w:val="20"/>
                <w:szCs w:val="24"/>
              </w:rPr>
              <w:t>Commonwealth Grant Scheme.</w:t>
            </w:r>
          </w:p>
          <w:p w14:paraId="3283A5DC" w14:textId="205D883E" w:rsidR="00871156" w:rsidRPr="003E76E7" w:rsidRDefault="00871156" w:rsidP="00C4292D">
            <w:pPr>
              <w:pStyle w:val="xxboxbullet"/>
              <w:spacing w:before="60" w:after="60"/>
              <w:rPr>
                <w:rFonts w:cs="Times New Roman"/>
                <w:b/>
                <w:szCs w:val="20"/>
              </w:rPr>
            </w:pPr>
            <w:r w:rsidRPr="003E76E7">
              <w:rPr>
                <w:rFonts w:ascii="Book Antiqua" w:eastAsia="Times New Roman" w:hAnsi="Book Antiqua" w:cs="Arial"/>
                <w:sz w:val="20"/>
                <w:szCs w:val="24"/>
              </w:rPr>
              <w:t xml:space="preserve">Program 2.8 </w:t>
            </w:r>
            <w:r w:rsidR="00722810" w:rsidRPr="003E76E7">
              <w:rPr>
                <w:rFonts w:ascii="Book Antiqua" w:eastAsia="Times New Roman" w:hAnsi="Book Antiqua" w:cs="Arial"/>
                <w:sz w:val="20"/>
                <w:szCs w:val="24"/>
              </w:rPr>
              <w:t>-</w:t>
            </w:r>
            <w:r w:rsidR="006D73B4" w:rsidRPr="003E76E7">
              <w:rPr>
                <w:rFonts w:ascii="Book Antiqua" w:eastAsia="Times New Roman" w:hAnsi="Book Antiqua" w:cs="Arial"/>
                <w:sz w:val="20"/>
                <w:szCs w:val="24"/>
              </w:rPr>
              <w:t xml:space="preserve"> Nuclear-</w:t>
            </w:r>
            <w:r w:rsidRPr="003E76E7">
              <w:rPr>
                <w:rFonts w:ascii="Book Antiqua" w:eastAsia="Times New Roman" w:hAnsi="Book Antiqua" w:cs="Arial"/>
                <w:sz w:val="20"/>
                <w:szCs w:val="24"/>
              </w:rPr>
              <w:t>Powered Submarine Program.</w:t>
            </w:r>
          </w:p>
        </w:tc>
      </w:tr>
      <w:tr w:rsidR="00871156" w:rsidRPr="003E76E7" w14:paraId="152D1442" w14:textId="77777777" w:rsidTr="001B5E91">
        <w:trPr>
          <w:trHeight w:val="113"/>
        </w:trPr>
        <w:tc>
          <w:tcPr>
            <w:tcW w:w="5000" w:type="pct"/>
          </w:tcPr>
          <w:p w14:paraId="3B3C58F2" w14:textId="77777777" w:rsidR="00871156" w:rsidRPr="003E76E7" w:rsidRDefault="00871156" w:rsidP="00C4292D">
            <w:pPr>
              <w:spacing w:before="40" w:after="40"/>
              <w:rPr>
                <w:rFonts w:cs="Times New Roman"/>
                <w:b/>
                <w:szCs w:val="20"/>
                <w:lang w:val="en-AU"/>
              </w:rPr>
            </w:pPr>
            <w:r w:rsidRPr="003E76E7">
              <w:rPr>
                <w:rFonts w:cs="Times New Roman"/>
                <w:b/>
                <w:szCs w:val="20"/>
                <w:lang w:val="en-AU"/>
              </w:rPr>
              <w:t>Contribution to Outcome 2 by linked program</w:t>
            </w:r>
          </w:p>
        </w:tc>
      </w:tr>
      <w:tr w:rsidR="00871156" w:rsidRPr="003E76E7" w14:paraId="21C8D899" w14:textId="77777777" w:rsidTr="001B5E91">
        <w:trPr>
          <w:trHeight w:val="319"/>
        </w:trPr>
        <w:tc>
          <w:tcPr>
            <w:tcW w:w="5000" w:type="pct"/>
          </w:tcPr>
          <w:p w14:paraId="7D6EE15E" w14:textId="77777777" w:rsidR="00871156" w:rsidRPr="003E76E7" w:rsidRDefault="00871156" w:rsidP="00C4292D">
            <w:pPr>
              <w:spacing w:before="60" w:after="60"/>
              <w:rPr>
                <w:rFonts w:cs="Times New Roman"/>
                <w:szCs w:val="20"/>
                <w:lang w:val="en-AU"/>
              </w:rPr>
            </w:pPr>
            <w:r w:rsidRPr="003E76E7">
              <w:rPr>
                <w:szCs w:val="20"/>
              </w:rPr>
              <w:t>The linked programs contribute to Outcome 2 and support Australia’s broader sovereign capabilities through strategic engagement across government, building education pipelines and supporting the nuclear workforce.</w:t>
            </w:r>
          </w:p>
        </w:tc>
      </w:tr>
    </w:tbl>
    <w:p w14:paraId="56C47A28" w14:textId="32865C42" w:rsidR="00FE7A38" w:rsidRPr="003E76E7" w:rsidRDefault="00FE7A38" w:rsidP="00C4292D">
      <w:pPr>
        <w:spacing w:before="0" w:after="0"/>
      </w:pPr>
    </w:p>
    <w:p w14:paraId="3AEC309D" w14:textId="77777777" w:rsidR="00215114" w:rsidRPr="003E76E7" w:rsidRDefault="00215114" w:rsidP="00C4292D">
      <w:r w:rsidRPr="003E76E7">
        <w:br w:type="page"/>
      </w:r>
    </w:p>
    <w:tbl>
      <w:tblPr>
        <w:tblW w:w="5000" w:type="pct"/>
        <w:tblInd w:w="113"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8607"/>
      </w:tblGrid>
      <w:tr w:rsidR="00071B66" w:rsidRPr="003E76E7" w14:paraId="248A0472" w14:textId="77777777" w:rsidTr="006317D4">
        <w:trPr>
          <w:trHeight w:val="113"/>
        </w:trPr>
        <w:tc>
          <w:tcPr>
            <w:tcW w:w="5000" w:type="pct"/>
            <w:shd w:val="clear" w:color="auto" w:fill="auto"/>
          </w:tcPr>
          <w:p w14:paraId="39F5C4C1" w14:textId="117E721B" w:rsidR="00071B66" w:rsidRPr="003E76E7" w:rsidRDefault="00071B66" w:rsidP="00C4292D">
            <w:pPr>
              <w:spacing w:before="40" w:after="40"/>
              <w:rPr>
                <w:rFonts w:cs="Times New Roman"/>
                <w:b/>
                <w:szCs w:val="20"/>
                <w:lang w:val="en-AU"/>
              </w:rPr>
            </w:pPr>
            <w:r w:rsidRPr="003E76E7">
              <w:rPr>
                <w:rFonts w:cs="Times New Roman"/>
                <w:b/>
                <w:szCs w:val="20"/>
                <w:lang w:val="en-AU"/>
              </w:rPr>
              <w:lastRenderedPageBreak/>
              <w:t>Department of Employment and Workplace Relations</w:t>
            </w:r>
            <w:r w:rsidR="0067507F" w:rsidRPr="003E76E7">
              <w:rPr>
                <w:rFonts w:cs="Times New Roman"/>
                <w:b/>
                <w:szCs w:val="20"/>
                <w:lang w:val="en-AU"/>
              </w:rPr>
              <w:t xml:space="preserve"> </w:t>
            </w:r>
          </w:p>
        </w:tc>
      </w:tr>
      <w:tr w:rsidR="00071B66" w:rsidRPr="003E76E7" w14:paraId="7340DA24" w14:textId="77777777" w:rsidTr="006317D4">
        <w:trPr>
          <w:trHeight w:val="113"/>
        </w:trPr>
        <w:tc>
          <w:tcPr>
            <w:tcW w:w="5000" w:type="pct"/>
            <w:shd w:val="clear" w:color="auto" w:fill="auto"/>
          </w:tcPr>
          <w:p w14:paraId="5DD94535" w14:textId="7880C0F4" w:rsidR="00071B66" w:rsidRPr="003E76E7" w:rsidRDefault="00467332" w:rsidP="00C4292D">
            <w:pPr>
              <w:spacing w:before="40" w:after="40"/>
              <w:rPr>
                <w:rFonts w:cs="Times New Roman"/>
                <w:b/>
                <w:szCs w:val="20"/>
                <w:lang w:val="en-AU"/>
              </w:rPr>
            </w:pPr>
            <w:r w:rsidRPr="003E76E7">
              <w:t xml:space="preserve">Departmental Program 2.3 </w:t>
            </w:r>
            <w:r w:rsidR="00722810" w:rsidRPr="003E76E7">
              <w:t>-</w:t>
            </w:r>
            <w:r w:rsidRPr="003E76E7">
              <w:t xml:space="preserve"> DEWR </w:t>
            </w:r>
            <w:r w:rsidR="00722810" w:rsidRPr="003E76E7">
              <w:t>-</w:t>
            </w:r>
            <w:r w:rsidRPr="003E76E7">
              <w:t xml:space="preserve"> Nuclear-Powered Submarine</w:t>
            </w:r>
            <w:r w:rsidR="00145A9A" w:rsidRPr="003E76E7">
              <w:t>.</w:t>
            </w:r>
          </w:p>
        </w:tc>
      </w:tr>
      <w:tr w:rsidR="00071B66" w:rsidRPr="003E76E7" w14:paraId="31005290" w14:textId="77777777" w:rsidTr="006317D4">
        <w:trPr>
          <w:trHeight w:val="113"/>
        </w:trPr>
        <w:tc>
          <w:tcPr>
            <w:tcW w:w="5000" w:type="pct"/>
            <w:shd w:val="clear" w:color="auto" w:fill="auto"/>
          </w:tcPr>
          <w:p w14:paraId="19FD99C1" w14:textId="77777777" w:rsidR="00071B66" w:rsidRPr="003E76E7" w:rsidRDefault="00071B66" w:rsidP="00C4292D">
            <w:pPr>
              <w:spacing w:before="40" w:after="40"/>
              <w:rPr>
                <w:rFonts w:cs="Times New Roman"/>
                <w:b/>
                <w:szCs w:val="20"/>
                <w:lang w:val="en-AU"/>
              </w:rPr>
            </w:pPr>
            <w:r w:rsidRPr="003E76E7">
              <w:rPr>
                <w:rFonts w:cs="Times New Roman"/>
                <w:b/>
                <w:szCs w:val="20"/>
                <w:lang w:val="en-AU"/>
              </w:rPr>
              <w:t>Contribution to Outcome 2 by linked program</w:t>
            </w:r>
          </w:p>
        </w:tc>
      </w:tr>
      <w:tr w:rsidR="00E3272F" w:rsidRPr="003E76E7" w14:paraId="737FC6B2" w14:textId="77777777" w:rsidTr="006317D4">
        <w:trPr>
          <w:trHeight w:val="113"/>
        </w:trPr>
        <w:tc>
          <w:tcPr>
            <w:tcW w:w="5000" w:type="pct"/>
            <w:shd w:val="clear" w:color="auto" w:fill="auto"/>
          </w:tcPr>
          <w:p w14:paraId="746C22CB" w14:textId="77777777" w:rsidR="00E3272F" w:rsidRPr="003E76E7" w:rsidRDefault="00E3272F" w:rsidP="00C4292D">
            <w:pPr>
              <w:spacing w:before="60" w:after="60"/>
              <w:rPr>
                <w:rFonts w:cs="Times New Roman"/>
                <w:b/>
                <w:szCs w:val="20"/>
                <w:lang w:val="en-AU"/>
              </w:rPr>
            </w:pPr>
            <w:r w:rsidRPr="003E76E7">
              <w:rPr>
                <w:rFonts w:eastAsia="Calibri"/>
                <w:szCs w:val="20"/>
              </w:rPr>
              <w:t>The linked programs contribute to Outcome 2 and support Australia’s broader sovereign capabilities through strategic engagement across government and supporting the nuclear workforce.</w:t>
            </w:r>
          </w:p>
        </w:tc>
      </w:tr>
    </w:tbl>
    <w:p w14:paraId="3EB701BB" w14:textId="23B3D94F" w:rsidR="00CA5BB7" w:rsidRPr="003E76E7" w:rsidRDefault="00CA5BB7" w:rsidP="00C4292D">
      <w:pPr>
        <w:spacing w:before="0" w:after="0"/>
      </w:pPr>
    </w:p>
    <w:tbl>
      <w:tblPr>
        <w:tblW w:w="5000" w:type="pct"/>
        <w:tblInd w:w="113"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8607"/>
      </w:tblGrid>
      <w:tr w:rsidR="00311464" w:rsidRPr="003E76E7" w14:paraId="04DF5D24" w14:textId="77777777" w:rsidTr="00AB5CA2">
        <w:trPr>
          <w:trHeight w:val="113"/>
        </w:trPr>
        <w:tc>
          <w:tcPr>
            <w:tcW w:w="5000" w:type="pct"/>
          </w:tcPr>
          <w:p w14:paraId="185B6286" w14:textId="68166895" w:rsidR="00311464" w:rsidRPr="003E76E7" w:rsidRDefault="00311464" w:rsidP="00C4292D">
            <w:pPr>
              <w:spacing w:before="40" w:after="40"/>
              <w:rPr>
                <w:rFonts w:cs="Times New Roman"/>
                <w:b/>
                <w:szCs w:val="20"/>
                <w:lang w:val="en-AU"/>
              </w:rPr>
            </w:pPr>
            <w:r w:rsidRPr="003E76E7">
              <w:rPr>
                <w:rFonts w:cs="Times New Roman"/>
                <w:b/>
                <w:szCs w:val="20"/>
                <w:lang w:val="en-AU"/>
              </w:rPr>
              <w:t>Department of Finance</w:t>
            </w:r>
          </w:p>
        </w:tc>
      </w:tr>
      <w:tr w:rsidR="00311464" w:rsidRPr="003E76E7" w14:paraId="3C1A6F9B" w14:textId="77777777" w:rsidTr="00AB5CA2">
        <w:trPr>
          <w:trHeight w:val="113"/>
        </w:trPr>
        <w:tc>
          <w:tcPr>
            <w:tcW w:w="5000" w:type="pct"/>
          </w:tcPr>
          <w:p w14:paraId="0804D2DF" w14:textId="77777777" w:rsidR="00311464" w:rsidRPr="003E76E7" w:rsidRDefault="00311464" w:rsidP="00C4292D">
            <w:pPr>
              <w:spacing w:before="40" w:after="40"/>
              <w:rPr>
                <w:rFonts w:cs="Times New Roman"/>
                <w:b/>
                <w:szCs w:val="20"/>
                <w:lang w:val="en-AU"/>
              </w:rPr>
            </w:pPr>
            <w:r w:rsidRPr="003E76E7">
              <w:rPr>
                <w:lang w:val="en-AU"/>
              </w:rPr>
              <w:t>Program</w:t>
            </w:r>
            <w:r w:rsidRPr="003E76E7">
              <w:t xml:space="preserve"> 2.10 - Nuclear-Powered Submarine Program Advice.</w:t>
            </w:r>
          </w:p>
        </w:tc>
      </w:tr>
      <w:tr w:rsidR="00311464" w:rsidRPr="003E76E7" w14:paraId="58192BA1" w14:textId="77777777" w:rsidTr="00AB5CA2">
        <w:trPr>
          <w:trHeight w:val="113"/>
        </w:trPr>
        <w:tc>
          <w:tcPr>
            <w:tcW w:w="5000" w:type="pct"/>
          </w:tcPr>
          <w:p w14:paraId="5D3868CB" w14:textId="77777777" w:rsidR="00311464" w:rsidRPr="003E76E7" w:rsidRDefault="00311464" w:rsidP="00C4292D">
            <w:pPr>
              <w:spacing w:before="40" w:after="40"/>
              <w:rPr>
                <w:rFonts w:cs="Times New Roman"/>
                <w:b/>
                <w:szCs w:val="20"/>
                <w:lang w:val="en-AU"/>
              </w:rPr>
            </w:pPr>
            <w:r w:rsidRPr="003E76E7">
              <w:rPr>
                <w:rFonts w:cs="Times New Roman"/>
                <w:b/>
                <w:szCs w:val="20"/>
                <w:lang w:val="en-AU"/>
              </w:rPr>
              <w:t>Contribution to Outcome 2 by linked program</w:t>
            </w:r>
          </w:p>
        </w:tc>
      </w:tr>
      <w:tr w:rsidR="00311464" w:rsidRPr="003E76E7" w14:paraId="4DBDD3CD" w14:textId="77777777" w:rsidTr="00AB5CA2">
        <w:trPr>
          <w:trHeight w:val="703"/>
        </w:trPr>
        <w:tc>
          <w:tcPr>
            <w:tcW w:w="5000" w:type="pct"/>
          </w:tcPr>
          <w:p w14:paraId="58ABB14E" w14:textId="77777777" w:rsidR="00311464" w:rsidRPr="003E76E7" w:rsidRDefault="00311464" w:rsidP="00C4292D">
            <w:pPr>
              <w:pStyle w:val="BoxText"/>
              <w:spacing w:before="60" w:after="60"/>
              <w:rPr>
                <w:rFonts w:ascii="Book Antiqua" w:hAnsi="Book Antiqua" w:cs="Times New Roman"/>
                <w:sz w:val="20"/>
                <w:szCs w:val="20"/>
              </w:rPr>
            </w:pPr>
            <w:r w:rsidRPr="003E76E7">
              <w:rPr>
                <w:rFonts w:ascii="Book Antiqua" w:hAnsi="Book Antiqua"/>
                <w:sz w:val="20"/>
                <w:szCs w:val="20"/>
              </w:rPr>
              <w:t>Contributes to Outcome 2 through the provision of budget and commercial advice for the delivery of nuclear-powered submarine capabilities.</w:t>
            </w:r>
          </w:p>
        </w:tc>
      </w:tr>
    </w:tbl>
    <w:p w14:paraId="067350D8" w14:textId="77777777" w:rsidR="0062151B" w:rsidRPr="003E76E7" w:rsidRDefault="0062151B" w:rsidP="00C4292D">
      <w:pPr>
        <w:spacing w:before="0" w:after="0"/>
        <w:jc w:val="both"/>
      </w:pPr>
    </w:p>
    <w:tbl>
      <w:tblPr>
        <w:tblW w:w="5000" w:type="pct"/>
        <w:tblInd w:w="113"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8607"/>
      </w:tblGrid>
      <w:tr w:rsidR="00626B8B" w:rsidRPr="003E76E7" w14:paraId="0CAA7E5C" w14:textId="77777777" w:rsidTr="006317D4">
        <w:trPr>
          <w:trHeight w:val="113"/>
        </w:trPr>
        <w:tc>
          <w:tcPr>
            <w:tcW w:w="5000" w:type="pct"/>
            <w:shd w:val="clear" w:color="auto" w:fill="auto"/>
          </w:tcPr>
          <w:p w14:paraId="10F11B21" w14:textId="77777777" w:rsidR="00626B8B" w:rsidRPr="003E76E7" w:rsidRDefault="00626B8B" w:rsidP="00C4292D">
            <w:pPr>
              <w:spacing w:before="60" w:after="60"/>
              <w:rPr>
                <w:rFonts w:cs="Times New Roman"/>
                <w:b/>
                <w:szCs w:val="20"/>
                <w:lang w:val="en-AU"/>
              </w:rPr>
            </w:pPr>
            <w:r w:rsidRPr="003E76E7">
              <w:rPr>
                <w:rFonts w:cs="Times New Roman"/>
                <w:b/>
                <w:szCs w:val="20"/>
                <w:lang w:val="en-AU"/>
              </w:rPr>
              <w:t>Department of Foreign Affairs and Trade</w:t>
            </w:r>
          </w:p>
        </w:tc>
      </w:tr>
      <w:tr w:rsidR="00626B8B" w:rsidRPr="003E76E7" w14:paraId="05ECD4B2" w14:textId="77777777" w:rsidTr="006317D4">
        <w:trPr>
          <w:trHeight w:val="113"/>
        </w:trPr>
        <w:tc>
          <w:tcPr>
            <w:tcW w:w="5000" w:type="pct"/>
            <w:shd w:val="clear" w:color="auto" w:fill="auto"/>
          </w:tcPr>
          <w:p w14:paraId="03BE39D6" w14:textId="3FEFBC77" w:rsidR="00626B8B" w:rsidRPr="003E76E7" w:rsidRDefault="00626B8B" w:rsidP="00C4292D">
            <w:pPr>
              <w:pStyle w:val="xxboxbullet"/>
              <w:spacing w:before="60" w:after="60"/>
            </w:pPr>
            <w:r w:rsidRPr="003E76E7">
              <w:rPr>
                <w:rFonts w:ascii="Book Antiqua" w:eastAsia="Times New Roman" w:hAnsi="Book Antiqua" w:cs="Arial"/>
                <w:sz w:val="20"/>
                <w:szCs w:val="24"/>
              </w:rPr>
              <w:t xml:space="preserve">Program 1.1 </w:t>
            </w:r>
            <w:r w:rsidR="00722810" w:rsidRPr="003E76E7">
              <w:rPr>
                <w:rFonts w:ascii="Book Antiqua" w:eastAsia="Times New Roman" w:hAnsi="Book Antiqua" w:cs="Arial"/>
                <w:sz w:val="20"/>
                <w:szCs w:val="24"/>
              </w:rPr>
              <w:t>-</w:t>
            </w:r>
            <w:r w:rsidRPr="003E76E7">
              <w:rPr>
                <w:rFonts w:ascii="Book Antiqua" w:eastAsia="Times New Roman" w:hAnsi="Book Antiqua" w:cs="Arial"/>
                <w:sz w:val="20"/>
                <w:szCs w:val="24"/>
              </w:rPr>
              <w:t xml:space="preserve"> Foreign Affairs and Trade Operations</w:t>
            </w:r>
            <w:r w:rsidR="00E15EDB" w:rsidRPr="003E76E7">
              <w:rPr>
                <w:rFonts w:ascii="Book Antiqua" w:eastAsia="Times New Roman" w:hAnsi="Book Antiqua" w:cs="Arial"/>
                <w:sz w:val="20"/>
                <w:szCs w:val="24"/>
              </w:rPr>
              <w:t>.</w:t>
            </w:r>
          </w:p>
          <w:p w14:paraId="33BD72E0" w14:textId="756CD348" w:rsidR="00525ECB" w:rsidRPr="003E76E7" w:rsidRDefault="00525ECB" w:rsidP="00C4292D">
            <w:pPr>
              <w:pStyle w:val="xxboxbullet"/>
              <w:spacing w:before="60" w:after="60"/>
              <w:rPr>
                <w:rFonts w:cs="Times New Roman"/>
                <w:szCs w:val="20"/>
              </w:rPr>
            </w:pPr>
            <w:r w:rsidRPr="003E76E7">
              <w:rPr>
                <w:rFonts w:ascii="Book Antiqua" w:eastAsia="Times New Roman" w:hAnsi="Book Antiqua" w:cs="Arial"/>
                <w:sz w:val="20"/>
                <w:szCs w:val="24"/>
              </w:rPr>
              <w:t xml:space="preserve">Program 1.8 </w:t>
            </w:r>
            <w:r w:rsidR="00722810" w:rsidRPr="003E76E7">
              <w:rPr>
                <w:rFonts w:ascii="Book Antiqua" w:eastAsia="Times New Roman" w:hAnsi="Book Antiqua" w:cs="Arial"/>
                <w:sz w:val="20"/>
                <w:szCs w:val="24"/>
              </w:rPr>
              <w:t>-</w:t>
            </w:r>
            <w:r w:rsidR="006D73B4" w:rsidRPr="003E76E7">
              <w:rPr>
                <w:rFonts w:ascii="Book Antiqua" w:eastAsia="Times New Roman" w:hAnsi="Book Antiqua" w:cs="Arial"/>
                <w:sz w:val="20"/>
                <w:szCs w:val="24"/>
              </w:rPr>
              <w:t xml:space="preserve"> Nuclear-</w:t>
            </w:r>
            <w:r w:rsidRPr="003E76E7">
              <w:rPr>
                <w:rFonts w:ascii="Book Antiqua" w:eastAsia="Times New Roman" w:hAnsi="Book Antiqua" w:cs="Arial"/>
                <w:sz w:val="20"/>
                <w:szCs w:val="24"/>
              </w:rPr>
              <w:t>Powered Submarine Program.</w:t>
            </w:r>
          </w:p>
        </w:tc>
      </w:tr>
      <w:tr w:rsidR="00626B8B" w:rsidRPr="003E76E7" w14:paraId="794DAAD2" w14:textId="77777777" w:rsidTr="006317D4">
        <w:trPr>
          <w:trHeight w:val="113"/>
        </w:trPr>
        <w:tc>
          <w:tcPr>
            <w:tcW w:w="5000" w:type="pct"/>
            <w:shd w:val="clear" w:color="auto" w:fill="auto"/>
          </w:tcPr>
          <w:p w14:paraId="69A8518E" w14:textId="77777777" w:rsidR="00626B8B" w:rsidRPr="003E76E7" w:rsidRDefault="00626B8B" w:rsidP="00C4292D">
            <w:pPr>
              <w:spacing w:before="60" w:after="60"/>
              <w:rPr>
                <w:rFonts w:cs="Times New Roman"/>
                <w:b/>
                <w:szCs w:val="20"/>
                <w:lang w:val="en-AU"/>
              </w:rPr>
            </w:pPr>
            <w:r w:rsidRPr="003E76E7">
              <w:rPr>
                <w:rFonts w:cs="Times New Roman"/>
                <w:b/>
                <w:szCs w:val="20"/>
                <w:lang w:val="en-AU"/>
              </w:rPr>
              <w:t>Contribution to Outcome 2 by linked programs</w:t>
            </w:r>
          </w:p>
        </w:tc>
      </w:tr>
      <w:tr w:rsidR="007C6A31" w:rsidRPr="003E76E7" w14:paraId="2DCAC873" w14:textId="77777777" w:rsidTr="006317D4">
        <w:trPr>
          <w:trHeight w:val="113"/>
        </w:trPr>
        <w:tc>
          <w:tcPr>
            <w:tcW w:w="5000" w:type="pct"/>
            <w:shd w:val="clear" w:color="auto" w:fill="auto"/>
          </w:tcPr>
          <w:p w14:paraId="339F2C42" w14:textId="20CA5020" w:rsidR="007C6A31" w:rsidRPr="003E76E7" w:rsidRDefault="007C6A31" w:rsidP="00C4292D">
            <w:pPr>
              <w:spacing w:before="60" w:after="60"/>
              <w:rPr>
                <w:color w:val="000000"/>
              </w:rPr>
            </w:pPr>
            <w:r w:rsidRPr="003E76E7">
              <w:rPr>
                <w:color w:val="000000"/>
              </w:rPr>
              <w:t>Under a Memorandum of Understanding</w:t>
            </w:r>
            <w:r w:rsidR="00F034BA">
              <w:rPr>
                <w:color w:val="000000"/>
              </w:rPr>
              <w:t xml:space="preserve"> (MOU)</w:t>
            </w:r>
            <w:r w:rsidRPr="003E76E7">
              <w:rPr>
                <w:color w:val="000000"/>
              </w:rPr>
              <w:t>, the placement of Department of Foreign Affairs and Trade advisors at the A</w:t>
            </w:r>
            <w:r w:rsidR="000D0440" w:rsidRPr="003E76E7">
              <w:rPr>
                <w:color w:val="000000"/>
              </w:rPr>
              <w:t xml:space="preserve">ustralian </w:t>
            </w:r>
            <w:r w:rsidRPr="003E76E7">
              <w:rPr>
                <w:color w:val="000000"/>
              </w:rPr>
              <w:t>C</w:t>
            </w:r>
            <w:r w:rsidR="000D0440" w:rsidRPr="003E76E7">
              <w:rPr>
                <w:color w:val="000000"/>
              </w:rPr>
              <w:t>ivil-</w:t>
            </w:r>
            <w:r w:rsidRPr="003E76E7">
              <w:rPr>
                <w:color w:val="000000"/>
              </w:rPr>
              <w:t>M</w:t>
            </w:r>
            <w:r w:rsidR="000D0440" w:rsidRPr="003E76E7">
              <w:rPr>
                <w:color w:val="000000"/>
              </w:rPr>
              <w:t xml:space="preserve">ilitary </w:t>
            </w:r>
            <w:r w:rsidRPr="003E76E7">
              <w:rPr>
                <w:color w:val="000000"/>
              </w:rPr>
              <w:t>C</w:t>
            </w:r>
            <w:r w:rsidR="000D0440" w:rsidRPr="003E76E7">
              <w:rPr>
                <w:color w:val="000000"/>
              </w:rPr>
              <w:t>entre</w:t>
            </w:r>
            <w:r w:rsidR="006A24A9" w:rsidRPr="003E76E7">
              <w:rPr>
                <w:color w:val="000000"/>
              </w:rPr>
              <w:t xml:space="preserve"> (ACMC)</w:t>
            </w:r>
            <w:r w:rsidRPr="003E76E7">
              <w:rPr>
                <w:color w:val="000000"/>
              </w:rPr>
              <w:t xml:space="preserve"> supports a </w:t>
            </w:r>
            <w:r w:rsidR="00662F77">
              <w:rPr>
                <w:color w:val="000000"/>
              </w:rPr>
              <w:br/>
            </w:r>
            <w:r w:rsidRPr="003E76E7">
              <w:rPr>
                <w:color w:val="000000"/>
              </w:rPr>
              <w:t>high-priority Australian Government initiative to enhance the effectiveness of national and regional civil-military-police interaction in conflict and disaster management and promote</w:t>
            </w:r>
            <w:r w:rsidRPr="003E76E7">
              <w:rPr>
                <w:strike/>
                <w:color w:val="000000"/>
              </w:rPr>
              <w:t>s</w:t>
            </w:r>
            <w:r w:rsidRPr="003E76E7">
              <w:rPr>
                <w:color w:val="000000"/>
              </w:rPr>
              <w:t xml:space="preserve"> regional and global security.</w:t>
            </w:r>
          </w:p>
          <w:p w14:paraId="7C719E17" w14:textId="0BB6E443" w:rsidR="00525ECB" w:rsidRPr="003E76E7" w:rsidRDefault="00525ECB" w:rsidP="00C4292D">
            <w:pPr>
              <w:spacing w:before="60" w:after="60"/>
              <w:rPr>
                <w:rFonts w:cs="Times New Roman"/>
                <w:szCs w:val="20"/>
                <w:lang w:val="en-AU"/>
              </w:rPr>
            </w:pPr>
            <w:r w:rsidRPr="003E76E7">
              <w:t>The Department of Foreign Affairs and Trade including the</w:t>
            </w:r>
            <w:r w:rsidR="00662F77">
              <w:t xml:space="preserve"> Australian Safeguards and Non</w:t>
            </w:r>
            <w:r w:rsidR="00662F77">
              <w:noBreakHyphen/>
              <w:t>P</w:t>
            </w:r>
            <w:r w:rsidRPr="003E76E7">
              <w:t>roliferation Office provides the legal, policy and diplomatic capability necessary to support Australia’s acquisition of conventionally</w:t>
            </w:r>
            <w:r w:rsidR="00163783" w:rsidRPr="003E76E7">
              <w:t>-</w:t>
            </w:r>
            <w:r w:rsidRPr="003E76E7">
              <w:t>armed</w:t>
            </w:r>
            <w:r w:rsidR="001548D3" w:rsidRPr="003E76E7">
              <w:t>,</w:t>
            </w:r>
            <w:r w:rsidRPr="003E76E7">
              <w:t xml:space="preserve"> nuclear-powered submarines.</w:t>
            </w:r>
          </w:p>
        </w:tc>
      </w:tr>
    </w:tbl>
    <w:p w14:paraId="5778B36D" w14:textId="77777777" w:rsidR="008C6FDE" w:rsidRPr="003E76E7" w:rsidRDefault="008C6FDE" w:rsidP="00C4292D">
      <w:pPr>
        <w:spacing w:before="0" w:after="0"/>
      </w:pPr>
    </w:p>
    <w:tbl>
      <w:tblPr>
        <w:tblW w:w="5000" w:type="pct"/>
        <w:tblInd w:w="113"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8607"/>
      </w:tblGrid>
      <w:tr w:rsidR="001E4E1B" w:rsidRPr="003E76E7" w14:paraId="2118D2CD" w14:textId="77777777" w:rsidTr="00EA137A">
        <w:trPr>
          <w:trHeight w:val="113"/>
        </w:trPr>
        <w:tc>
          <w:tcPr>
            <w:tcW w:w="5000" w:type="pct"/>
          </w:tcPr>
          <w:p w14:paraId="4C8839A8" w14:textId="4AAE8FD5" w:rsidR="001E4E1B" w:rsidRPr="003E76E7" w:rsidRDefault="001E4E1B" w:rsidP="00C4292D">
            <w:pPr>
              <w:spacing w:before="60" w:after="60"/>
              <w:rPr>
                <w:b/>
                <w:color w:val="000000"/>
              </w:rPr>
            </w:pPr>
            <w:r w:rsidRPr="003E76E7">
              <w:rPr>
                <w:b/>
                <w:color w:val="000000"/>
              </w:rPr>
              <w:t>Department of Home Affairs</w:t>
            </w:r>
          </w:p>
        </w:tc>
      </w:tr>
      <w:tr w:rsidR="001E4E1B" w:rsidRPr="003E76E7" w14:paraId="6B7F4481" w14:textId="77777777" w:rsidTr="00EA137A">
        <w:trPr>
          <w:trHeight w:val="113"/>
        </w:trPr>
        <w:tc>
          <w:tcPr>
            <w:tcW w:w="5000" w:type="pct"/>
          </w:tcPr>
          <w:p w14:paraId="505BC41C" w14:textId="25D0B4FF" w:rsidR="001E4E1B" w:rsidRPr="003E76E7" w:rsidRDefault="001E4E1B" w:rsidP="00C4292D">
            <w:pPr>
              <w:spacing w:before="60" w:after="60"/>
              <w:rPr>
                <w:color w:val="000000"/>
              </w:rPr>
            </w:pPr>
            <w:r w:rsidRPr="003E76E7">
              <w:rPr>
                <w:color w:val="000000"/>
              </w:rPr>
              <w:t>Program 1.2 - National Security and Resilience.</w:t>
            </w:r>
          </w:p>
        </w:tc>
      </w:tr>
      <w:tr w:rsidR="001E4E1B" w:rsidRPr="003E76E7" w14:paraId="58BDD7D1" w14:textId="77777777" w:rsidTr="00EA137A">
        <w:trPr>
          <w:trHeight w:val="113"/>
        </w:trPr>
        <w:tc>
          <w:tcPr>
            <w:tcW w:w="5000" w:type="pct"/>
          </w:tcPr>
          <w:p w14:paraId="0C73FD01" w14:textId="52BC7393" w:rsidR="001E4E1B" w:rsidRPr="003E76E7" w:rsidRDefault="001E4E1B" w:rsidP="00C4292D">
            <w:pPr>
              <w:spacing w:before="60" w:after="60"/>
              <w:rPr>
                <w:b/>
                <w:color w:val="000000"/>
              </w:rPr>
            </w:pPr>
            <w:r w:rsidRPr="003E76E7">
              <w:rPr>
                <w:b/>
                <w:color w:val="000000"/>
              </w:rPr>
              <w:t>Contribution to Outcome 2 by linked programs</w:t>
            </w:r>
          </w:p>
        </w:tc>
      </w:tr>
      <w:tr w:rsidR="001E4E1B" w:rsidRPr="003E76E7" w14:paraId="18C6BA94" w14:textId="77777777" w:rsidTr="00EA137A">
        <w:trPr>
          <w:trHeight w:val="113"/>
        </w:trPr>
        <w:tc>
          <w:tcPr>
            <w:tcW w:w="5000" w:type="pct"/>
          </w:tcPr>
          <w:p w14:paraId="2A7CAF14" w14:textId="04D1BB63" w:rsidR="001E4E1B" w:rsidRPr="003E76E7" w:rsidRDefault="001E4E1B" w:rsidP="00C4292D">
            <w:pPr>
              <w:spacing w:before="60" w:after="60"/>
              <w:rPr>
                <w:color w:val="000000"/>
              </w:rPr>
            </w:pPr>
            <w:r w:rsidRPr="003E76E7">
              <w:rPr>
                <w:color w:val="000000"/>
              </w:rPr>
              <w:t>The National Emergency Management Agency's close working relationship with ACMC enhances the effectiveness of national and regional civil-military-police interaction for national security and disaster management to promote regional and global security and stability.</w:t>
            </w:r>
          </w:p>
          <w:p w14:paraId="4A181411" w14:textId="55468674" w:rsidR="001E4E1B" w:rsidRPr="003E76E7" w:rsidRDefault="001E4E1B" w:rsidP="00C4292D">
            <w:pPr>
              <w:spacing w:before="60" w:after="60"/>
              <w:rPr>
                <w:color w:val="000000"/>
              </w:rPr>
            </w:pPr>
            <w:r w:rsidRPr="003E76E7">
              <w:rPr>
                <w:color w:val="000000"/>
              </w:rPr>
              <w:t>Under the Service Level Charter, Australian Government Security Vetting Agency (AGSVA) works collaboratively with government agencies to provide the delivery of security vetting functions on behalf of the Commonwealth in line with Government requirements (excluding authorised vetting agencies).</w:t>
            </w:r>
          </w:p>
        </w:tc>
      </w:tr>
    </w:tbl>
    <w:p w14:paraId="20BA4570" w14:textId="52895D7E" w:rsidR="00012206" w:rsidRPr="003E76E7" w:rsidRDefault="00012206" w:rsidP="00C4292D">
      <w:pPr>
        <w:spacing w:before="0" w:after="0"/>
      </w:pPr>
    </w:p>
    <w:p w14:paraId="2E131325" w14:textId="77777777" w:rsidR="00215114" w:rsidRPr="003E76E7" w:rsidRDefault="00215114" w:rsidP="00C4292D">
      <w:r w:rsidRPr="003E76E7">
        <w:br w:type="page"/>
      </w:r>
    </w:p>
    <w:tbl>
      <w:tblPr>
        <w:tblW w:w="5000" w:type="pct"/>
        <w:tblInd w:w="113"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8607"/>
      </w:tblGrid>
      <w:tr w:rsidR="005B237A" w:rsidRPr="003E76E7" w14:paraId="1CFE4851" w14:textId="77777777" w:rsidTr="005B237A">
        <w:trPr>
          <w:trHeight w:val="113"/>
        </w:trPr>
        <w:tc>
          <w:tcPr>
            <w:tcW w:w="5000" w:type="pct"/>
          </w:tcPr>
          <w:p w14:paraId="61C1D715" w14:textId="6FDDE124" w:rsidR="005B237A" w:rsidRPr="003E76E7" w:rsidRDefault="005B237A" w:rsidP="00C4292D">
            <w:pPr>
              <w:spacing w:before="60"/>
            </w:pPr>
            <w:r w:rsidRPr="003E76E7">
              <w:lastRenderedPageBreak/>
              <w:br w:type="page"/>
            </w:r>
            <w:r w:rsidRPr="003E76E7">
              <w:rPr>
                <w:rStyle w:val="ExampletextCharChar"/>
                <w:b/>
                <w:i w:val="0"/>
                <w:color w:val="auto"/>
                <w:szCs w:val="20"/>
              </w:rPr>
              <w:t>Department of Industry, Science and Resources</w:t>
            </w:r>
          </w:p>
        </w:tc>
      </w:tr>
      <w:tr w:rsidR="005B237A" w:rsidRPr="003E76E7" w14:paraId="2FA07CC5" w14:textId="77777777" w:rsidTr="005B237A">
        <w:trPr>
          <w:trHeight w:val="113"/>
        </w:trPr>
        <w:tc>
          <w:tcPr>
            <w:tcW w:w="5000" w:type="pct"/>
          </w:tcPr>
          <w:p w14:paraId="1C1D9311" w14:textId="77777777" w:rsidR="005B237A" w:rsidRPr="003E76E7" w:rsidRDefault="005B237A" w:rsidP="00C4292D">
            <w:pPr>
              <w:pStyle w:val="xxboxbullet"/>
              <w:spacing w:before="60" w:after="60"/>
              <w:rPr>
                <w:sz w:val="20"/>
                <w:szCs w:val="24"/>
              </w:rPr>
            </w:pPr>
            <w:r w:rsidRPr="003E76E7">
              <w:rPr>
                <w:rFonts w:ascii="Book Antiqua" w:eastAsia="Times New Roman" w:hAnsi="Book Antiqua" w:cs="Arial"/>
                <w:sz w:val="20"/>
                <w:szCs w:val="24"/>
              </w:rPr>
              <w:t>Program 1.1 - Growing innovative and competitive businesses, industries and regions.</w:t>
            </w:r>
          </w:p>
          <w:p w14:paraId="359FB1BE" w14:textId="77777777" w:rsidR="005B237A" w:rsidRPr="003E76E7" w:rsidRDefault="005B237A" w:rsidP="00C4292D">
            <w:pPr>
              <w:pStyle w:val="xxboxbullet"/>
              <w:spacing w:before="60" w:after="60"/>
              <w:rPr>
                <w:sz w:val="20"/>
                <w:szCs w:val="24"/>
              </w:rPr>
            </w:pPr>
            <w:r w:rsidRPr="003E76E7">
              <w:rPr>
                <w:rFonts w:ascii="Book Antiqua" w:eastAsia="Times New Roman" w:hAnsi="Book Antiqua" w:cs="Arial"/>
                <w:sz w:val="20"/>
                <w:szCs w:val="24"/>
              </w:rPr>
              <w:t>Program 1.2 - Investing in science and technology.</w:t>
            </w:r>
          </w:p>
          <w:p w14:paraId="1A1C0C93" w14:textId="4A729333" w:rsidR="005B237A" w:rsidRPr="003E76E7" w:rsidRDefault="005B237A" w:rsidP="00C4292D">
            <w:pPr>
              <w:pStyle w:val="xxboxbullet"/>
              <w:spacing w:before="60" w:after="60"/>
              <w:rPr>
                <w:sz w:val="19"/>
                <w:szCs w:val="19"/>
              </w:rPr>
            </w:pPr>
            <w:r w:rsidRPr="003E76E7">
              <w:rPr>
                <w:rFonts w:ascii="Book Antiqua" w:eastAsia="Times New Roman" w:hAnsi="Book Antiqua" w:cs="Arial"/>
                <w:sz w:val="20"/>
                <w:szCs w:val="24"/>
              </w:rPr>
              <w:t>Program 1.4 - Nuclear-Powered Submarines.</w:t>
            </w:r>
          </w:p>
        </w:tc>
      </w:tr>
      <w:tr w:rsidR="005B237A" w:rsidRPr="003E76E7" w14:paraId="23F536D3" w14:textId="77777777" w:rsidTr="005B237A">
        <w:trPr>
          <w:trHeight w:val="113"/>
        </w:trPr>
        <w:tc>
          <w:tcPr>
            <w:tcW w:w="5000" w:type="pct"/>
          </w:tcPr>
          <w:p w14:paraId="46974F6E" w14:textId="2885E8D1" w:rsidR="005B237A" w:rsidRPr="003E76E7" w:rsidRDefault="005B237A" w:rsidP="00C4292D">
            <w:pPr>
              <w:spacing w:before="60" w:after="60"/>
              <w:rPr>
                <w:rFonts w:cs="Times New Roman"/>
                <w:b/>
                <w:szCs w:val="20"/>
                <w:lang w:val="en-AU"/>
              </w:rPr>
            </w:pPr>
            <w:r w:rsidRPr="003E76E7">
              <w:rPr>
                <w:rFonts w:cs="Times New Roman"/>
                <w:b/>
                <w:szCs w:val="20"/>
                <w:lang w:val="en-AU"/>
              </w:rPr>
              <w:t>Contribution</w:t>
            </w:r>
            <w:r w:rsidRPr="003E76E7">
              <w:rPr>
                <w:b/>
                <w:lang w:val="en-AU"/>
              </w:rPr>
              <w:t xml:space="preserve"> to Outcome 2 by linked programs</w:t>
            </w:r>
          </w:p>
        </w:tc>
      </w:tr>
      <w:tr w:rsidR="005B237A" w:rsidRPr="003E76E7" w14:paraId="0556CCA8" w14:textId="77777777" w:rsidTr="005B237A">
        <w:trPr>
          <w:trHeight w:val="113"/>
        </w:trPr>
        <w:tc>
          <w:tcPr>
            <w:tcW w:w="5000" w:type="pct"/>
          </w:tcPr>
          <w:p w14:paraId="344152DF" w14:textId="77777777" w:rsidR="005B237A" w:rsidRPr="003E76E7" w:rsidRDefault="005B237A" w:rsidP="00C4292D">
            <w:pPr>
              <w:spacing w:before="60" w:after="60"/>
              <w:rPr>
                <w:szCs w:val="20"/>
                <w:bdr w:val="none" w:sz="0" w:space="0" w:color="auto" w:frame="1"/>
                <w:lang w:val="en-AU"/>
              </w:rPr>
            </w:pPr>
            <w:r w:rsidRPr="003E76E7">
              <w:rPr>
                <w:szCs w:val="20"/>
                <w:bdr w:val="none" w:sz="0" w:space="0" w:color="auto" w:frame="1"/>
              </w:rPr>
              <w:t>The Department of Industry, Science and Resources (DISR) works closely with the department on enterprise-level programs to ensure alignment with whole-of-government industry policy and to support the development of innovative and competitive businesses.</w:t>
            </w:r>
          </w:p>
          <w:p w14:paraId="44771BDD" w14:textId="381B6211" w:rsidR="005B237A" w:rsidRPr="003E76E7" w:rsidRDefault="005B237A" w:rsidP="00C4292D">
            <w:pPr>
              <w:spacing w:before="60" w:after="60"/>
              <w:rPr>
                <w:szCs w:val="20"/>
                <w:bdr w:val="none" w:sz="0" w:space="0" w:color="auto" w:frame="1"/>
              </w:rPr>
            </w:pPr>
            <w:r w:rsidRPr="003E76E7">
              <w:rPr>
                <w:szCs w:val="20"/>
                <w:bdr w:val="none" w:sz="0" w:space="0" w:color="auto" w:frame="1"/>
              </w:rPr>
              <w:t xml:space="preserve">This includes supporting the development of defence industry policy and related programs, and facilitating links between Defence activities and industry initiatives including the </w:t>
            </w:r>
            <w:r w:rsidR="00432109" w:rsidRPr="003E76E7">
              <w:rPr>
                <w:szCs w:val="20"/>
                <w:bdr w:val="none" w:sz="0" w:space="0" w:color="auto" w:frame="1"/>
              </w:rPr>
              <w:br/>
            </w:r>
            <w:r w:rsidRPr="003E76E7">
              <w:rPr>
                <w:szCs w:val="20"/>
                <w:bdr w:val="none" w:sz="0" w:space="0" w:color="auto" w:frame="1"/>
              </w:rPr>
              <w:t>National Reconstruction Fund, Buy Australian Plan, designing and implementing grants programs, and Australian Industry Participation.</w:t>
            </w:r>
          </w:p>
          <w:p w14:paraId="4D1CB5A2" w14:textId="7F765FDE" w:rsidR="00215114" w:rsidRPr="003E76E7" w:rsidRDefault="00215114" w:rsidP="00C4292D">
            <w:pPr>
              <w:spacing w:before="60" w:after="60"/>
              <w:rPr>
                <w:szCs w:val="20"/>
                <w:bdr w:val="none" w:sz="0" w:space="0" w:color="auto" w:frame="1"/>
              </w:rPr>
            </w:pPr>
            <w:r w:rsidRPr="003E76E7">
              <w:rPr>
                <w:szCs w:val="20"/>
                <w:bdr w:val="none" w:sz="0" w:space="0" w:color="auto" w:frame="1"/>
              </w:rPr>
              <w:t xml:space="preserve">DISR engages with Defence’s Industry Engagement Division to share industry insights and identify alignment opportunities for inter-departmental policy on promoting Australian businesses seeking to increase their capability and capacity to participate in supply chains </w:t>
            </w:r>
            <w:r w:rsidR="00432109" w:rsidRPr="003E76E7">
              <w:rPr>
                <w:szCs w:val="20"/>
                <w:bdr w:val="none" w:sz="0" w:space="0" w:color="auto" w:frame="1"/>
              </w:rPr>
              <w:br/>
            </w:r>
            <w:r w:rsidRPr="003E76E7">
              <w:rPr>
                <w:szCs w:val="20"/>
                <w:bdr w:val="none" w:sz="0" w:space="0" w:color="auto" w:frame="1"/>
              </w:rPr>
              <w:t xml:space="preserve">for </w:t>
            </w:r>
            <w:r w:rsidR="00432109" w:rsidRPr="003E76E7">
              <w:rPr>
                <w:szCs w:val="20"/>
                <w:bdr w:val="none" w:sz="0" w:space="0" w:color="auto" w:frame="1"/>
              </w:rPr>
              <w:t>d</w:t>
            </w:r>
            <w:r w:rsidRPr="003E76E7">
              <w:rPr>
                <w:szCs w:val="20"/>
                <w:bdr w:val="none" w:sz="0" w:space="0" w:color="auto" w:frame="1"/>
              </w:rPr>
              <w:t>efence projects.</w:t>
            </w:r>
          </w:p>
          <w:p w14:paraId="6170E85C" w14:textId="77777777" w:rsidR="00215114" w:rsidRPr="003E76E7" w:rsidRDefault="00215114" w:rsidP="00C4292D">
            <w:pPr>
              <w:spacing w:before="60" w:after="60"/>
              <w:rPr>
                <w:szCs w:val="20"/>
                <w:bdr w:val="none" w:sz="0" w:space="0" w:color="auto" w:frame="1"/>
              </w:rPr>
            </w:pPr>
            <w:r w:rsidRPr="003E76E7">
              <w:rPr>
                <w:szCs w:val="20"/>
                <w:bdr w:val="none" w:sz="0" w:space="0" w:color="auto" w:frame="1"/>
              </w:rPr>
              <w:t>DISR engages with Defence on a cross-portfolio approach to artificial intelligence across the economy.</w:t>
            </w:r>
          </w:p>
          <w:p w14:paraId="438EE976" w14:textId="77777777" w:rsidR="00215114" w:rsidRPr="003E76E7" w:rsidRDefault="00215114" w:rsidP="00C4292D">
            <w:pPr>
              <w:spacing w:before="60" w:after="60"/>
              <w:rPr>
                <w:szCs w:val="20"/>
                <w:bdr w:val="none" w:sz="0" w:space="0" w:color="auto" w:frame="1"/>
              </w:rPr>
            </w:pPr>
            <w:r w:rsidRPr="003E76E7">
              <w:rPr>
                <w:szCs w:val="20"/>
                <w:bdr w:val="none" w:sz="0" w:space="0" w:color="auto" w:frame="1"/>
              </w:rPr>
              <w:t>DISR collaborates with Defence to ensure a complementary approach between civil space policy, industry development, regulation of space activities and Defence’s space responsibilities and interests.</w:t>
            </w:r>
          </w:p>
          <w:p w14:paraId="5C9F3E1D" w14:textId="282AA832" w:rsidR="00215114" w:rsidRPr="003E76E7" w:rsidRDefault="00215114" w:rsidP="00C4292D">
            <w:pPr>
              <w:spacing w:before="60" w:after="60"/>
              <w:rPr>
                <w:szCs w:val="20"/>
                <w:bdr w:val="none" w:sz="0" w:space="0" w:color="auto" w:frame="1"/>
              </w:rPr>
            </w:pPr>
            <w:r w:rsidRPr="003E76E7">
              <w:rPr>
                <w:szCs w:val="20"/>
                <w:bdr w:val="none" w:sz="0" w:space="0" w:color="auto" w:frame="1"/>
              </w:rPr>
              <w:t xml:space="preserve">DISR, through the Australian Radioactive Waste Agency and the Australian Nuclear </w:t>
            </w:r>
            <w:r w:rsidR="00432109" w:rsidRPr="003E76E7">
              <w:rPr>
                <w:szCs w:val="20"/>
                <w:bdr w:val="none" w:sz="0" w:space="0" w:color="auto" w:frame="1"/>
              </w:rPr>
              <w:br/>
            </w:r>
            <w:r w:rsidRPr="003E76E7">
              <w:rPr>
                <w:szCs w:val="20"/>
                <w:bdr w:val="none" w:sz="0" w:space="0" w:color="auto" w:frame="1"/>
              </w:rPr>
              <w:t xml:space="preserve">Science and Technology Organisation, provides expert advice to support Defence’s </w:t>
            </w:r>
            <w:r w:rsidR="00432109" w:rsidRPr="003E76E7">
              <w:rPr>
                <w:szCs w:val="20"/>
                <w:bdr w:val="none" w:sz="0" w:space="0" w:color="auto" w:frame="1"/>
              </w:rPr>
              <w:br/>
            </w:r>
            <w:r w:rsidRPr="003E76E7">
              <w:rPr>
                <w:szCs w:val="20"/>
                <w:bdr w:val="none" w:sz="0" w:space="0" w:color="auto" w:frame="1"/>
              </w:rPr>
              <w:t>conventionally-armed</w:t>
            </w:r>
            <w:r w:rsidR="008627F6">
              <w:rPr>
                <w:szCs w:val="20"/>
                <w:bdr w:val="none" w:sz="0" w:space="0" w:color="auto" w:frame="1"/>
              </w:rPr>
              <w:t xml:space="preserve"> and</w:t>
            </w:r>
            <w:r w:rsidRPr="003E76E7">
              <w:rPr>
                <w:szCs w:val="20"/>
                <w:bdr w:val="none" w:sz="0" w:space="0" w:color="auto" w:frame="1"/>
              </w:rPr>
              <w:t xml:space="preserve"> </w:t>
            </w:r>
            <w:r w:rsidR="008627F6">
              <w:rPr>
                <w:szCs w:val="20"/>
                <w:bdr w:val="none" w:sz="0" w:space="0" w:color="auto" w:frame="1"/>
              </w:rPr>
              <w:t>N</w:t>
            </w:r>
            <w:r w:rsidRPr="003E76E7">
              <w:rPr>
                <w:szCs w:val="20"/>
                <w:bdr w:val="none" w:sz="0" w:space="0" w:color="auto" w:frame="1"/>
              </w:rPr>
              <w:t>uclear</w:t>
            </w:r>
            <w:r w:rsidR="008627F6">
              <w:rPr>
                <w:szCs w:val="20"/>
                <w:bdr w:val="none" w:sz="0" w:space="0" w:color="auto" w:frame="1"/>
              </w:rPr>
              <w:t>-Powered</w:t>
            </w:r>
            <w:r w:rsidRPr="003E76E7">
              <w:rPr>
                <w:szCs w:val="20"/>
                <w:bdr w:val="none" w:sz="0" w:space="0" w:color="auto" w:frame="1"/>
              </w:rPr>
              <w:t xml:space="preserve"> </w:t>
            </w:r>
            <w:r w:rsidR="008627F6">
              <w:rPr>
                <w:szCs w:val="20"/>
                <w:bdr w:val="none" w:sz="0" w:space="0" w:color="auto" w:frame="1"/>
              </w:rPr>
              <w:t>S</w:t>
            </w:r>
            <w:r w:rsidRPr="003E76E7">
              <w:rPr>
                <w:szCs w:val="20"/>
                <w:bdr w:val="none" w:sz="0" w:space="0" w:color="auto" w:frame="1"/>
              </w:rPr>
              <w:t>ubmarine program. DISR engages with the department regarding Defence Export Controls to prevent the unwanted transfer of dual-use and critical technologies to harness the benefits while protecting Australia’s research capability, innovation and comparative advantage.</w:t>
            </w:r>
          </w:p>
          <w:p w14:paraId="608C096C" w14:textId="641ECE1A" w:rsidR="00215114" w:rsidRPr="003E76E7" w:rsidRDefault="00215114" w:rsidP="00C4292D">
            <w:pPr>
              <w:spacing w:before="60" w:after="60"/>
              <w:rPr>
                <w:szCs w:val="20"/>
                <w:bdr w:val="none" w:sz="0" w:space="0" w:color="auto" w:frame="1"/>
              </w:rPr>
            </w:pPr>
            <w:r w:rsidRPr="003E76E7">
              <w:rPr>
                <w:szCs w:val="20"/>
                <w:bdr w:val="none" w:sz="0" w:space="0" w:color="auto" w:frame="1"/>
              </w:rPr>
              <w:t>DISR works with Defence on initiatives to address critical workforce shortages in Science Technology Engineering and Mathematics (STEM) by attracting and retaining Australians from diverse backgrounds in STEM education and careers.</w:t>
            </w:r>
          </w:p>
        </w:tc>
      </w:tr>
    </w:tbl>
    <w:p w14:paraId="044F01C7" w14:textId="4070734E" w:rsidR="00CA5BB7" w:rsidRPr="003E76E7" w:rsidRDefault="00CA5BB7" w:rsidP="00C4292D">
      <w:pPr>
        <w:spacing w:before="0" w:after="0"/>
        <w:jc w:val="both"/>
      </w:pPr>
    </w:p>
    <w:tbl>
      <w:tblPr>
        <w:tblW w:w="5000" w:type="pct"/>
        <w:tblInd w:w="113" w:type="dxa"/>
        <w:tblBorders>
          <w:top w:val="single" w:sz="4" w:space="0" w:color="000000"/>
          <w:left w:val="single" w:sz="4" w:space="0" w:color="auto"/>
          <w:bottom w:val="single" w:sz="4" w:space="0" w:color="auto"/>
          <w:right w:val="single" w:sz="4" w:space="0" w:color="auto"/>
          <w:insideH w:val="dotted" w:sz="4" w:space="0" w:color="auto"/>
          <w:insideV w:val="single" w:sz="4" w:space="0" w:color="7F7F7F"/>
        </w:tblBorders>
        <w:tblLook w:val="0000" w:firstRow="0" w:lastRow="0" w:firstColumn="0" w:lastColumn="0" w:noHBand="0" w:noVBand="0"/>
      </w:tblPr>
      <w:tblGrid>
        <w:gridCol w:w="8607"/>
      </w:tblGrid>
      <w:tr w:rsidR="00E866E6" w:rsidRPr="003E76E7" w14:paraId="28C48FC8" w14:textId="77777777" w:rsidTr="003A5C37">
        <w:trPr>
          <w:trHeight w:val="113"/>
        </w:trPr>
        <w:tc>
          <w:tcPr>
            <w:tcW w:w="5000" w:type="pct"/>
          </w:tcPr>
          <w:p w14:paraId="3681B334" w14:textId="30675C1E" w:rsidR="00E866E6" w:rsidRPr="003E76E7" w:rsidRDefault="00E866E6" w:rsidP="00C4292D">
            <w:pPr>
              <w:spacing w:before="60" w:after="60"/>
              <w:rPr>
                <w:b/>
                <w:lang w:val="en-AU"/>
              </w:rPr>
            </w:pPr>
            <w:r w:rsidRPr="003E76E7">
              <w:rPr>
                <w:b/>
                <w:lang w:val="en-AU"/>
              </w:rPr>
              <w:t>Department of Infrastructure</w:t>
            </w:r>
            <w:r w:rsidR="00F532D7" w:rsidRPr="003E76E7">
              <w:rPr>
                <w:b/>
                <w:lang w:val="en-AU"/>
              </w:rPr>
              <w:t>, Transport,</w:t>
            </w:r>
            <w:r w:rsidRPr="003E76E7">
              <w:rPr>
                <w:b/>
                <w:lang w:val="en-AU"/>
              </w:rPr>
              <w:t xml:space="preserve"> Regional Development</w:t>
            </w:r>
            <w:r w:rsidR="00C16EA3" w:rsidRPr="003E76E7">
              <w:rPr>
                <w:b/>
                <w:lang w:val="en-AU"/>
              </w:rPr>
              <w:t>,</w:t>
            </w:r>
            <w:r w:rsidR="00F532D7" w:rsidRPr="003E76E7">
              <w:rPr>
                <w:b/>
                <w:lang w:val="en-AU"/>
              </w:rPr>
              <w:t xml:space="preserve"> Communications</w:t>
            </w:r>
            <w:r w:rsidR="002F1B8E" w:rsidRPr="003E76E7">
              <w:rPr>
                <w:b/>
                <w:lang w:val="en-AU"/>
              </w:rPr>
              <w:t xml:space="preserve">, Sport </w:t>
            </w:r>
            <w:r w:rsidR="00C16EA3" w:rsidRPr="003E76E7">
              <w:rPr>
                <w:b/>
                <w:lang w:val="en-AU"/>
              </w:rPr>
              <w:t>and the Arts</w:t>
            </w:r>
          </w:p>
        </w:tc>
      </w:tr>
      <w:tr w:rsidR="00E866E6" w:rsidRPr="003E76E7" w14:paraId="491ED29F" w14:textId="77777777" w:rsidTr="003A5C37">
        <w:trPr>
          <w:trHeight w:val="113"/>
        </w:trPr>
        <w:tc>
          <w:tcPr>
            <w:tcW w:w="5000" w:type="pct"/>
          </w:tcPr>
          <w:p w14:paraId="17CCC6D9" w14:textId="6FC2C63B" w:rsidR="00E866E6" w:rsidRPr="003E76E7" w:rsidRDefault="00E866E6" w:rsidP="00C4292D">
            <w:pPr>
              <w:spacing w:before="40" w:after="40"/>
              <w:rPr>
                <w:szCs w:val="20"/>
                <w:lang w:val="en-AU"/>
              </w:rPr>
            </w:pPr>
            <w:r w:rsidRPr="003E76E7">
              <w:rPr>
                <w:szCs w:val="20"/>
                <w:lang w:val="en-AU"/>
              </w:rPr>
              <w:t xml:space="preserve">Program 1.1 </w:t>
            </w:r>
            <w:r w:rsidR="00722810" w:rsidRPr="003E76E7">
              <w:rPr>
                <w:rFonts w:cs="Times New Roman"/>
                <w:szCs w:val="20"/>
                <w:lang w:val="en-AU"/>
              </w:rPr>
              <w:t>-</w:t>
            </w:r>
            <w:r w:rsidRPr="003E76E7">
              <w:rPr>
                <w:szCs w:val="20"/>
                <w:lang w:val="en-AU"/>
              </w:rPr>
              <w:t xml:space="preserve"> The Australian Transport Safety Bureau</w:t>
            </w:r>
            <w:r w:rsidR="00E15EDB" w:rsidRPr="003E76E7">
              <w:rPr>
                <w:szCs w:val="20"/>
                <w:lang w:val="en-AU"/>
              </w:rPr>
              <w:t>.</w:t>
            </w:r>
          </w:p>
          <w:p w14:paraId="25F5287C" w14:textId="4F28FC50" w:rsidR="00E866E6" w:rsidRPr="003E76E7" w:rsidRDefault="00341F3F" w:rsidP="00C4292D">
            <w:pPr>
              <w:spacing w:before="40" w:after="40"/>
              <w:rPr>
                <w:b/>
                <w:lang w:val="en-AU"/>
              </w:rPr>
            </w:pPr>
            <w:r w:rsidRPr="003E76E7">
              <w:rPr>
                <w:szCs w:val="20"/>
                <w:lang w:val="en-AU"/>
              </w:rPr>
              <w:t xml:space="preserve">Program 1.1 </w:t>
            </w:r>
            <w:r w:rsidR="00722810" w:rsidRPr="003E76E7">
              <w:rPr>
                <w:rFonts w:cs="Times New Roman"/>
                <w:szCs w:val="20"/>
                <w:lang w:val="en-AU"/>
              </w:rPr>
              <w:t>-</w:t>
            </w:r>
            <w:r w:rsidR="00E866E6" w:rsidRPr="003E76E7">
              <w:rPr>
                <w:szCs w:val="20"/>
                <w:lang w:val="en-AU"/>
              </w:rPr>
              <w:t xml:space="preserve"> The Civil Aviation Safety Authority</w:t>
            </w:r>
            <w:r w:rsidR="00E15EDB" w:rsidRPr="003E76E7">
              <w:rPr>
                <w:szCs w:val="20"/>
                <w:lang w:val="en-AU"/>
              </w:rPr>
              <w:t>.</w:t>
            </w:r>
          </w:p>
        </w:tc>
      </w:tr>
      <w:tr w:rsidR="00E866E6" w:rsidRPr="003E76E7" w14:paraId="40A6C906" w14:textId="77777777" w:rsidTr="003A5C37">
        <w:trPr>
          <w:trHeight w:val="113"/>
        </w:trPr>
        <w:tc>
          <w:tcPr>
            <w:tcW w:w="5000" w:type="pct"/>
          </w:tcPr>
          <w:p w14:paraId="3E82F2BB" w14:textId="77777777" w:rsidR="00E866E6" w:rsidRPr="003E76E7" w:rsidRDefault="00E866E6" w:rsidP="00C4292D">
            <w:pPr>
              <w:spacing w:before="60" w:after="60"/>
              <w:rPr>
                <w:b/>
                <w:lang w:val="en-AU"/>
              </w:rPr>
            </w:pPr>
            <w:r w:rsidRPr="003E76E7">
              <w:rPr>
                <w:rFonts w:cs="Times New Roman"/>
                <w:b/>
                <w:szCs w:val="20"/>
                <w:lang w:val="en-AU"/>
              </w:rPr>
              <w:t>Contribution</w:t>
            </w:r>
            <w:r w:rsidRPr="003E76E7">
              <w:rPr>
                <w:b/>
                <w:szCs w:val="20"/>
                <w:lang w:val="en-AU"/>
              </w:rPr>
              <w:t xml:space="preserve"> to Outcome 2 by linked programs</w:t>
            </w:r>
          </w:p>
        </w:tc>
      </w:tr>
      <w:tr w:rsidR="00B33E02" w:rsidRPr="003E76E7" w14:paraId="55BA046D" w14:textId="77777777" w:rsidTr="003A5C37">
        <w:trPr>
          <w:trHeight w:val="113"/>
        </w:trPr>
        <w:tc>
          <w:tcPr>
            <w:tcW w:w="5000" w:type="pct"/>
          </w:tcPr>
          <w:p w14:paraId="597AC3E5" w14:textId="6E2FDC34" w:rsidR="00CA5BB7" w:rsidRPr="003E76E7" w:rsidRDefault="00F034BA" w:rsidP="00C4292D">
            <w:pPr>
              <w:spacing w:before="60" w:after="60"/>
              <w:rPr>
                <w:lang w:val="en-AU"/>
              </w:rPr>
            </w:pPr>
            <w:r>
              <w:rPr>
                <w:lang w:val="en-AU"/>
              </w:rPr>
              <w:t>The Memorandum of Understanding (MOU)</w:t>
            </w:r>
            <w:r w:rsidR="000F5BDA" w:rsidRPr="003E76E7">
              <w:rPr>
                <w:lang w:val="en-AU"/>
              </w:rPr>
              <w:t xml:space="preserve"> </w:t>
            </w:r>
            <w:r w:rsidR="00B33E02" w:rsidRPr="003E76E7">
              <w:rPr>
                <w:lang w:val="en-AU"/>
              </w:rPr>
              <w:t>between Defence and the Australian Transport Safety Bureau</w:t>
            </w:r>
            <w:r w:rsidR="00E80DA1" w:rsidRPr="003E76E7">
              <w:rPr>
                <w:lang w:val="en-AU"/>
              </w:rPr>
              <w:t xml:space="preserve"> (ATSB)</w:t>
            </w:r>
            <w:r w:rsidR="00B33E02" w:rsidRPr="003E76E7">
              <w:rPr>
                <w:lang w:val="en-AU"/>
              </w:rPr>
              <w:t xml:space="preserve"> contribute</w:t>
            </w:r>
            <w:r w:rsidR="008D11A9" w:rsidRPr="003E76E7">
              <w:rPr>
                <w:lang w:val="en-AU"/>
              </w:rPr>
              <w:t>s</w:t>
            </w:r>
            <w:r w:rsidR="00B33E02" w:rsidRPr="003E76E7">
              <w:rPr>
                <w:lang w:val="en-AU"/>
              </w:rPr>
              <w:t xml:space="preserve"> to the outcome through the sharing of expertise, training opportunities, experience and equipment in transport safety investigations and supports the adoption of a systematic approach to aviation safety. The </w:t>
            </w:r>
            <w:r w:rsidR="008B17C9" w:rsidRPr="003E76E7">
              <w:rPr>
                <w:lang w:val="en-AU"/>
              </w:rPr>
              <w:t>ATSB</w:t>
            </w:r>
            <w:r w:rsidR="00B33E02" w:rsidRPr="003E76E7">
              <w:rPr>
                <w:lang w:val="en-AU"/>
              </w:rPr>
              <w:t xml:space="preserve"> support to Defence Aviation Safety investigations contribute</w:t>
            </w:r>
            <w:r w:rsidR="008B17C9" w:rsidRPr="003E76E7">
              <w:rPr>
                <w:lang w:val="en-AU"/>
              </w:rPr>
              <w:t>s</w:t>
            </w:r>
            <w:r w:rsidR="00B33E02" w:rsidRPr="003E76E7">
              <w:rPr>
                <w:lang w:val="en-AU"/>
              </w:rPr>
              <w:t xml:space="preserve"> to capability through the prevention of recurrence and the mutual adoption of a systemic approach to aviation safety enhances capability through the prevention of accident</w:t>
            </w:r>
            <w:r w:rsidR="008B17C9" w:rsidRPr="003E76E7">
              <w:rPr>
                <w:lang w:val="en-AU"/>
              </w:rPr>
              <w:t>s</w:t>
            </w:r>
            <w:r w:rsidR="00B33E02" w:rsidRPr="003E76E7">
              <w:rPr>
                <w:lang w:val="en-AU"/>
              </w:rPr>
              <w:t xml:space="preserve"> and seri</w:t>
            </w:r>
            <w:r w:rsidR="0014365C" w:rsidRPr="003E76E7">
              <w:rPr>
                <w:lang w:val="en-AU"/>
              </w:rPr>
              <w:t>ou</w:t>
            </w:r>
            <w:r w:rsidR="00B33E02" w:rsidRPr="003E76E7">
              <w:rPr>
                <w:lang w:val="en-AU"/>
              </w:rPr>
              <w:t>s incidents.</w:t>
            </w:r>
          </w:p>
        </w:tc>
      </w:tr>
    </w:tbl>
    <w:p w14:paraId="16B77EE4" w14:textId="77777777" w:rsidR="001D5856" w:rsidRPr="003E76E7" w:rsidRDefault="001D5856" w:rsidP="00C4292D">
      <w:pPr>
        <w:spacing w:before="0" w:after="0"/>
      </w:pPr>
    </w:p>
    <w:tbl>
      <w:tblPr>
        <w:tblW w:w="5000" w:type="pct"/>
        <w:tblInd w:w="113" w:type="dxa"/>
        <w:tblBorders>
          <w:top w:val="single" w:sz="4" w:space="0" w:color="000000"/>
          <w:left w:val="single" w:sz="4" w:space="0" w:color="auto"/>
          <w:bottom w:val="single" w:sz="4" w:space="0" w:color="auto"/>
          <w:right w:val="single" w:sz="4" w:space="0" w:color="auto"/>
          <w:insideH w:val="dotted" w:sz="4" w:space="0" w:color="auto"/>
          <w:insideV w:val="single" w:sz="4" w:space="0" w:color="7F7F7F"/>
        </w:tblBorders>
        <w:tblLook w:val="0000" w:firstRow="0" w:lastRow="0" w:firstColumn="0" w:lastColumn="0" w:noHBand="0" w:noVBand="0"/>
      </w:tblPr>
      <w:tblGrid>
        <w:gridCol w:w="8607"/>
      </w:tblGrid>
      <w:tr w:rsidR="00215114" w:rsidRPr="003E76E7" w14:paraId="53DBD891" w14:textId="77777777" w:rsidTr="00634633">
        <w:trPr>
          <w:trHeight w:val="113"/>
        </w:trPr>
        <w:tc>
          <w:tcPr>
            <w:tcW w:w="5000" w:type="pct"/>
          </w:tcPr>
          <w:p w14:paraId="25B60B4A" w14:textId="4EF7AA34" w:rsidR="00215114" w:rsidRPr="003E76E7" w:rsidRDefault="00215114" w:rsidP="00C4292D">
            <w:pPr>
              <w:spacing w:before="60" w:after="60"/>
              <w:rPr>
                <w:b/>
                <w:lang w:val="en-AU"/>
              </w:rPr>
            </w:pPr>
            <w:r w:rsidRPr="003E76E7">
              <w:rPr>
                <w:b/>
                <w:lang w:val="en-AU"/>
              </w:rPr>
              <w:lastRenderedPageBreak/>
              <w:t>Department of Infrastructure, Transport, Regional Development, Communications</w:t>
            </w:r>
            <w:r w:rsidR="002F1B8E" w:rsidRPr="003E76E7">
              <w:rPr>
                <w:b/>
                <w:lang w:val="en-AU"/>
              </w:rPr>
              <w:t>, Sport and the Arts</w:t>
            </w:r>
          </w:p>
        </w:tc>
      </w:tr>
      <w:tr w:rsidR="00215114" w:rsidRPr="003E76E7" w14:paraId="131FA390" w14:textId="77777777" w:rsidTr="00634633">
        <w:trPr>
          <w:trHeight w:val="113"/>
        </w:trPr>
        <w:tc>
          <w:tcPr>
            <w:tcW w:w="5000" w:type="pct"/>
          </w:tcPr>
          <w:p w14:paraId="341025D7" w14:textId="77777777" w:rsidR="00215114" w:rsidRPr="003E76E7" w:rsidRDefault="00215114" w:rsidP="00C4292D">
            <w:pPr>
              <w:spacing w:before="40" w:after="40"/>
              <w:rPr>
                <w:szCs w:val="20"/>
                <w:lang w:val="en-AU"/>
              </w:rPr>
            </w:pPr>
            <w:r w:rsidRPr="003E76E7">
              <w:rPr>
                <w:szCs w:val="20"/>
                <w:lang w:val="en-AU"/>
              </w:rPr>
              <w:t xml:space="preserve">Program 1.1 </w:t>
            </w:r>
            <w:r w:rsidRPr="003E76E7">
              <w:rPr>
                <w:rFonts w:cs="Times New Roman"/>
                <w:szCs w:val="20"/>
                <w:lang w:val="en-AU"/>
              </w:rPr>
              <w:t>-</w:t>
            </w:r>
            <w:r w:rsidRPr="003E76E7">
              <w:rPr>
                <w:szCs w:val="20"/>
                <w:lang w:val="en-AU"/>
              </w:rPr>
              <w:t xml:space="preserve"> The Australian Transport Safety Bureau.</w:t>
            </w:r>
          </w:p>
          <w:p w14:paraId="6A8889E9" w14:textId="77777777" w:rsidR="00215114" w:rsidRPr="003E76E7" w:rsidRDefault="00215114" w:rsidP="00C4292D">
            <w:pPr>
              <w:spacing w:before="40" w:after="40"/>
              <w:rPr>
                <w:b/>
                <w:lang w:val="en-AU"/>
              </w:rPr>
            </w:pPr>
            <w:r w:rsidRPr="003E76E7">
              <w:rPr>
                <w:szCs w:val="20"/>
                <w:lang w:val="en-AU"/>
              </w:rPr>
              <w:t xml:space="preserve">Program 1.1 </w:t>
            </w:r>
            <w:r w:rsidRPr="003E76E7">
              <w:rPr>
                <w:rFonts w:cs="Times New Roman"/>
                <w:szCs w:val="20"/>
                <w:lang w:val="en-AU"/>
              </w:rPr>
              <w:t>-</w:t>
            </w:r>
            <w:r w:rsidRPr="003E76E7">
              <w:rPr>
                <w:szCs w:val="20"/>
                <w:lang w:val="en-AU"/>
              </w:rPr>
              <w:t xml:space="preserve"> The Civil Aviation Safety Authority.</w:t>
            </w:r>
          </w:p>
        </w:tc>
      </w:tr>
      <w:tr w:rsidR="00215114" w:rsidRPr="003E76E7" w14:paraId="0953FD30" w14:textId="77777777" w:rsidTr="00634633">
        <w:trPr>
          <w:trHeight w:val="113"/>
        </w:trPr>
        <w:tc>
          <w:tcPr>
            <w:tcW w:w="5000" w:type="pct"/>
          </w:tcPr>
          <w:p w14:paraId="3FD27EB7" w14:textId="77777777" w:rsidR="00215114" w:rsidRPr="003E76E7" w:rsidRDefault="00215114" w:rsidP="00C4292D">
            <w:pPr>
              <w:spacing w:before="60" w:after="60"/>
              <w:rPr>
                <w:b/>
                <w:lang w:val="en-AU"/>
              </w:rPr>
            </w:pPr>
            <w:r w:rsidRPr="003E76E7">
              <w:rPr>
                <w:rFonts w:cs="Times New Roman"/>
                <w:b/>
                <w:szCs w:val="20"/>
                <w:lang w:val="en-AU"/>
              </w:rPr>
              <w:t>Contribution</w:t>
            </w:r>
            <w:r w:rsidRPr="003E76E7">
              <w:rPr>
                <w:b/>
                <w:szCs w:val="20"/>
                <w:lang w:val="en-AU"/>
              </w:rPr>
              <w:t xml:space="preserve"> to Outcome 2 by linked programs</w:t>
            </w:r>
          </w:p>
        </w:tc>
      </w:tr>
      <w:tr w:rsidR="00215114" w:rsidRPr="003E76E7" w14:paraId="13D04052" w14:textId="77777777" w:rsidTr="00634633">
        <w:trPr>
          <w:trHeight w:val="113"/>
        </w:trPr>
        <w:tc>
          <w:tcPr>
            <w:tcW w:w="5000" w:type="pct"/>
          </w:tcPr>
          <w:p w14:paraId="7D893557" w14:textId="32F68E96" w:rsidR="00215114" w:rsidRPr="003E76E7" w:rsidRDefault="00215114" w:rsidP="00C4292D">
            <w:pPr>
              <w:spacing w:before="60" w:after="60"/>
              <w:rPr>
                <w:lang w:val="en-AU"/>
              </w:rPr>
            </w:pPr>
            <w:r w:rsidRPr="003E76E7">
              <w:rPr>
                <w:lang w:val="en-AU"/>
              </w:rPr>
              <w:t xml:space="preserve">The MOU between Defence and the Civil Aviation Safety Authority contributes to the outcome through a harmonisation of military and civil aviation regulation and management. This harmonisation reaches into areas such as shared use airfields, the provision of air traffic services through Airservices Australia to Defence and the use of civil registered aircraft and </w:t>
            </w:r>
            <w:r w:rsidR="009612AE" w:rsidRPr="003E76E7">
              <w:rPr>
                <w:lang w:val="en-AU"/>
              </w:rPr>
              <w:t xml:space="preserve">uncrewed </w:t>
            </w:r>
            <w:r w:rsidRPr="003E76E7">
              <w:rPr>
                <w:lang w:val="en-AU"/>
              </w:rPr>
              <w:t xml:space="preserve">aerial systems by </w:t>
            </w:r>
            <w:r w:rsidR="009612AE" w:rsidRPr="003E76E7">
              <w:rPr>
                <w:lang w:val="en-AU"/>
              </w:rPr>
              <w:t>Defence</w:t>
            </w:r>
            <w:r w:rsidRPr="003E76E7">
              <w:rPr>
                <w:lang w:val="en-AU"/>
              </w:rPr>
              <w:t>. Agreement between civil and military regulators leads to cooperation and reduced duplication in Air Traffic Management, aviation landing and approach procedures, aviation rescue and fire-fighting services, and airport infrastructure.</w:t>
            </w:r>
          </w:p>
        </w:tc>
      </w:tr>
    </w:tbl>
    <w:p w14:paraId="4A0EB09E" w14:textId="61CAD52A" w:rsidR="00CA5BB7" w:rsidRPr="003E76E7" w:rsidRDefault="00CA5BB7" w:rsidP="00C4292D">
      <w:pPr>
        <w:spacing w:before="0" w:after="0"/>
      </w:pPr>
    </w:p>
    <w:tbl>
      <w:tblPr>
        <w:tblW w:w="5037" w:type="pct"/>
        <w:tblInd w:w="113" w:type="dxa"/>
        <w:tblBorders>
          <w:top w:val="single" w:sz="4" w:space="0" w:color="auto"/>
          <w:left w:val="single" w:sz="4" w:space="0" w:color="auto"/>
          <w:bottom w:val="single" w:sz="4" w:space="0" w:color="auto"/>
          <w:right w:val="single" w:sz="4" w:space="0" w:color="auto"/>
          <w:insideH w:val="dotted" w:sz="4" w:space="0" w:color="auto"/>
          <w:insideV w:val="single" w:sz="4" w:space="0" w:color="7F7F7F"/>
        </w:tblBorders>
        <w:tblLook w:val="0000" w:firstRow="0" w:lastRow="0" w:firstColumn="0" w:lastColumn="0" w:noHBand="0" w:noVBand="0"/>
      </w:tblPr>
      <w:tblGrid>
        <w:gridCol w:w="8671"/>
      </w:tblGrid>
      <w:tr w:rsidR="005B237A" w:rsidRPr="003E76E7" w14:paraId="40843200" w14:textId="77777777" w:rsidTr="006317D4">
        <w:trPr>
          <w:trHeight w:val="113"/>
        </w:trPr>
        <w:tc>
          <w:tcPr>
            <w:tcW w:w="5000" w:type="pct"/>
          </w:tcPr>
          <w:p w14:paraId="07340789" w14:textId="18031A25" w:rsidR="005B237A" w:rsidRPr="003E76E7" w:rsidRDefault="005B237A" w:rsidP="00C4292D">
            <w:pPr>
              <w:spacing w:before="40" w:after="40"/>
              <w:rPr>
                <w:b/>
                <w:lang w:eastAsia="en-US"/>
              </w:rPr>
            </w:pPr>
            <w:r w:rsidRPr="003E76E7">
              <w:rPr>
                <w:b/>
                <w:lang w:eastAsia="en-US"/>
              </w:rPr>
              <w:t>Department of the Treasury</w:t>
            </w:r>
          </w:p>
        </w:tc>
      </w:tr>
      <w:tr w:rsidR="005B237A" w:rsidRPr="003E76E7" w14:paraId="27AAE8D1" w14:textId="77777777" w:rsidTr="006317D4">
        <w:trPr>
          <w:trHeight w:val="113"/>
        </w:trPr>
        <w:tc>
          <w:tcPr>
            <w:tcW w:w="5000" w:type="pct"/>
          </w:tcPr>
          <w:p w14:paraId="105D12AD" w14:textId="77777777" w:rsidR="005B237A" w:rsidRPr="003E76E7" w:rsidRDefault="005B237A" w:rsidP="00C4292D">
            <w:pPr>
              <w:pStyle w:val="xxboxbullet"/>
              <w:spacing w:before="60" w:after="60"/>
            </w:pPr>
            <w:r w:rsidRPr="003E76E7">
              <w:rPr>
                <w:rFonts w:ascii="Book Antiqua" w:eastAsia="Times New Roman" w:hAnsi="Book Antiqua" w:cs="Arial"/>
                <w:sz w:val="20"/>
                <w:szCs w:val="24"/>
              </w:rPr>
              <w:t>Program 1.3 - Support for Markets and Business.</w:t>
            </w:r>
          </w:p>
          <w:p w14:paraId="2E3CF894" w14:textId="5DA22AEC" w:rsidR="005B237A" w:rsidRPr="003E76E7" w:rsidRDefault="005B237A" w:rsidP="00C4292D">
            <w:pPr>
              <w:pStyle w:val="xxboxbullet"/>
              <w:spacing w:before="60" w:after="60"/>
            </w:pPr>
            <w:r w:rsidRPr="003E76E7">
              <w:rPr>
                <w:rFonts w:ascii="Book Antiqua" w:eastAsia="Times New Roman" w:hAnsi="Book Antiqua" w:cs="Arial"/>
                <w:sz w:val="20"/>
                <w:szCs w:val="24"/>
              </w:rPr>
              <w:t>Program 1.4 - Commonwealth-State Financial Relations.</w:t>
            </w:r>
          </w:p>
        </w:tc>
      </w:tr>
      <w:tr w:rsidR="005B237A" w:rsidRPr="003E76E7" w14:paraId="72FEB8A6" w14:textId="77777777" w:rsidTr="006317D4">
        <w:trPr>
          <w:trHeight w:val="113"/>
        </w:trPr>
        <w:tc>
          <w:tcPr>
            <w:tcW w:w="5000" w:type="pct"/>
          </w:tcPr>
          <w:p w14:paraId="00D8E643" w14:textId="315582CA" w:rsidR="005B237A" w:rsidRPr="003E76E7" w:rsidRDefault="005B237A" w:rsidP="00C4292D">
            <w:pPr>
              <w:spacing w:before="40" w:after="40"/>
              <w:rPr>
                <w:rFonts w:cs="Times New Roman"/>
                <w:b/>
                <w:szCs w:val="20"/>
                <w:lang w:val="en-AU"/>
              </w:rPr>
            </w:pPr>
            <w:r w:rsidRPr="003E76E7">
              <w:rPr>
                <w:rFonts w:cs="Times New Roman"/>
                <w:b/>
                <w:szCs w:val="20"/>
                <w:lang w:val="en-AU"/>
              </w:rPr>
              <w:t xml:space="preserve">Contribution to Outcome 2 by </w:t>
            </w:r>
            <w:r w:rsidRPr="003E76E7">
              <w:rPr>
                <w:b/>
                <w:lang w:eastAsia="en-US"/>
              </w:rPr>
              <w:t>linked</w:t>
            </w:r>
            <w:r w:rsidRPr="003E76E7">
              <w:rPr>
                <w:rFonts w:cs="Times New Roman"/>
                <w:b/>
                <w:szCs w:val="20"/>
                <w:lang w:val="en-AU"/>
              </w:rPr>
              <w:t xml:space="preserve"> programs</w:t>
            </w:r>
          </w:p>
        </w:tc>
      </w:tr>
      <w:tr w:rsidR="005B237A" w:rsidRPr="003E76E7" w14:paraId="34DCBD4A" w14:textId="77777777" w:rsidTr="006317D4">
        <w:trPr>
          <w:trHeight w:val="563"/>
        </w:trPr>
        <w:tc>
          <w:tcPr>
            <w:tcW w:w="5000" w:type="pct"/>
          </w:tcPr>
          <w:p w14:paraId="3A7A4CDF" w14:textId="38875E2B" w:rsidR="005B237A" w:rsidRPr="003E76E7" w:rsidRDefault="005B237A" w:rsidP="00C4292D">
            <w:pPr>
              <w:spacing w:before="40" w:after="40"/>
              <w:rPr>
                <w:rFonts w:cs="Times New Roman"/>
                <w:szCs w:val="20"/>
                <w:lang w:val="en-AU"/>
              </w:rPr>
            </w:pPr>
            <w:r w:rsidRPr="003E76E7">
              <w:rPr>
                <w:rFonts w:cs="Times New Roman"/>
                <w:szCs w:val="20"/>
                <w:lang w:val="en-AU"/>
              </w:rPr>
              <w:t>The Treasury, on behalf of the Government, provides financial support to the states and territories to support the delivery of specified outputs or projects, facilitate reforms or reward jurisdictions that deliver on nationally significant reforms. Defence participates as a consult partner in Australia’s Foreign Investment Framework, undertaking risk assessments in relation to foreign investment applications, where those applications have national security implications or affect Defence interests.</w:t>
            </w:r>
          </w:p>
        </w:tc>
      </w:tr>
    </w:tbl>
    <w:p w14:paraId="1C7B1CC1" w14:textId="36961B4B" w:rsidR="00012206" w:rsidRPr="003E76E7" w:rsidRDefault="00012206" w:rsidP="00C4292D">
      <w:pPr>
        <w:spacing w:before="0" w:after="0"/>
      </w:pPr>
    </w:p>
    <w:tbl>
      <w:tblPr>
        <w:tblW w:w="5037" w:type="pct"/>
        <w:tblInd w:w="113" w:type="dxa"/>
        <w:tblBorders>
          <w:top w:val="single" w:sz="4" w:space="0" w:color="000000"/>
          <w:left w:val="single" w:sz="4" w:space="0" w:color="auto"/>
          <w:bottom w:val="single" w:sz="4" w:space="0" w:color="auto"/>
          <w:right w:val="single" w:sz="4" w:space="0" w:color="auto"/>
          <w:insideH w:val="dotted" w:sz="4" w:space="0" w:color="auto"/>
          <w:insideV w:val="single" w:sz="4" w:space="0" w:color="7F7F7F"/>
        </w:tblBorders>
        <w:tblLook w:val="0000" w:firstRow="0" w:lastRow="0" w:firstColumn="0" w:lastColumn="0" w:noHBand="0" w:noVBand="0"/>
      </w:tblPr>
      <w:tblGrid>
        <w:gridCol w:w="8671"/>
      </w:tblGrid>
      <w:tr w:rsidR="00E866E6" w:rsidRPr="003E76E7" w14:paraId="0E8FF251" w14:textId="77777777" w:rsidTr="006317D4">
        <w:trPr>
          <w:trHeight w:val="113"/>
        </w:trPr>
        <w:tc>
          <w:tcPr>
            <w:tcW w:w="5000" w:type="pct"/>
          </w:tcPr>
          <w:p w14:paraId="42F365AA" w14:textId="7E0838E1" w:rsidR="00E866E6" w:rsidRPr="003E76E7" w:rsidRDefault="00E866E6" w:rsidP="00C4292D">
            <w:pPr>
              <w:spacing w:before="40" w:after="40"/>
              <w:rPr>
                <w:b/>
                <w:lang w:val="en-AU"/>
              </w:rPr>
            </w:pPr>
            <w:r w:rsidRPr="003E76E7">
              <w:rPr>
                <w:b/>
                <w:lang w:val="en-AU"/>
              </w:rPr>
              <w:t>Department of Veterans’ Affairs</w:t>
            </w:r>
          </w:p>
        </w:tc>
      </w:tr>
      <w:tr w:rsidR="00E866E6" w:rsidRPr="003E76E7" w14:paraId="1396CD8E" w14:textId="77777777" w:rsidTr="006317D4">
        <w:trPr>
          <w:trHeight w:val="113"/>
        </w:trPr>
        <w:tc>
          <w:tcPr>
            <w:tcW w:w="5000" w:type="pct"/>
          </w:tcPr>
          <w:p w14:paraId="434FD2CF" w14:textId="42D97819" w:rsidR="00E866E6" w:rsidRPr="003E76E7" w:rsidRDefault="00E866E6" w:rsidP="00C4292D">
            <w:pPr>
              <w:spacing w:before="60" w:after="60"/>
              <w:rPr>
                <w:szCs w:val="20"/>
                <w:lang w:val="en-AU"/>
              </w:rPr>
            </w:pPr>
            <w:r w:rsidRPr="003E76E7">
              <w:rPr>
                <w:szCs w:val="20"/>
                <w:lang w:val="en-AU"/>
              </w:rPr>
              <w:t>Program 1.1</w:t>
            </w:r>
            <w:r w:rsidR="00341F3F" w:rsidRPr="003E76E7">
              <w:rPr>
                <w:szCs w:val="20"/>
                <w:lang w:val="en-AU"/>
              </w:rPr>
              <w:t xml:space="preserve"> </w:t>
            </w:r>
            <w:r w:rsidR="00722810" w:rsidRPr="003E76E7">
              <w:rPr>
                <w:rFonts w:cs="Times New Roman"/>
                <w:szCs w:val="20"/>
                <w:lang w:val="en-AU"/>
              </w:rPr>
              <w:t>-</w:t>
            </w:r>
            <w:r w:rsidRPr="003E76E7">
              <w:rPr>
                <w:szCs w:val="20"/>
                <w:lang w:val="en-AU"/>
              </w:rPr>
              <w:t xml:space="preserve"> Veterans’ Income Support and Allowances</w:t>
            </w:r>
            <w:r w:rsidR="00E15EDB" w:rsidRPr="003E76E7">
              <w:rPr>
                <w:szCs w:val="20"/>
                <w:lang w:val="en-AU"/>
              </w:rPr>
              <w:t>.</w:t>
            </w:r>
          </w:p>
          <w:p w14:paraId="685730AE" w14:textId="76897D26" w:rsidR="00E866E6" w:rsidRPr="003E76E7" w:rsidRDefault="00E866E6" w:rsidP="00C4292D">
            <w:pPr>
              <w:spacing w:before="60" w:after="60"/>
              <w:rPr>
                <w:szCs w:val="20"/>
                <w:lang w:val="en-AU"/>
              </w:rPr>
            </w:pPr>
            <w:r w:rsidRPr="003E76E7">
              <w:rPr>
                <w:szCs w:val="20"/>
                <w:lang w:val="en-AU"/>
              </w:rPr>
              <w:t xml:space="preserve">Program 1.2 </w:t>
            </w:r>
            <w:r w:rsidR="00722810" w:rsidRPr="003E76E7">
              <w:rPr>
                <w:rFonts w:cs="Times New Roman"/>
                <w:szCs w:val="20"/>
                <w:lang w:val="en-AU"/>
              </w:rPr>
              <w:t>-</w:t>
            </w:r>
            <w:r w:rsidRPr="003E76E7">
              <w:rPr>
                <w:szCs w:val="20"/>
                <w:lang w:val="en-AU"/>
              </w:rPr>
              <w:t xml:space="preserve"> Veterans’ Disability Support</w:t>
            </w:r>
            <w:r w:rsidR="00E15EDB" w:rsidRPr="003E76E7">
              <w:rPr>
                <w:szCs w:val="20"/>
                <w:lang w:val="en-AU"/>
              </w:rPr>
              <w:t>.</w:t>
            </w:r>
          </w:p>
          <w:p w14:paraId="5C145892" w14:textId="0139CB17" w:rsidR="00B33E02" w:rsidRPr="003E76E7" w:rsidRDefault="00E866E6" w:rsidP="00C4292D">
            <w:pPr>
              <w:spacing w:before="60" w:after="60"/>
              <w:rPr>
                <w:szCs w:val="20"/>
                <w:lang w:val="en-AU"/>
              </w:rPr>
            </w:pPr>
            <w:r w:rsidRPr="003E76E7">
              <w:rPr>
                <w:szCs w:val="20"/>
                <w:lang w:val="en-AU"/>
              </w:rPr>
              <w:t xml:space="preserve">Program 1.6 </w:t>
            </w:r>
            <w:r w:rsidR="00722810" w:rsidRPr="003E76E7">
              <w:rPr>
                <w:rFonts w:cs="Times New Roman"/>
                <w:szCs w:val="20"/>
                <w:lang w:val="en-AU"/>
              </w:rPr>
              <w:t>-</w:t>
            </w:r>
            <w:r w:rsidRPr="003E76E7">
              <w:rPr>
                <w:szCs w:val="20"/>
                <w:lang w:val="en-AU"/>
              </w:rPr>
              <w:t xml:space="preserve"> Military Rehabilitation and Compensation Acts Payment </w:t>
            </w:r>
            <w:r w:rsidR="00722810" w:rsidRPr="003E76E7">
              <w:rPr>
                <w:szCs w:val="20"/>
                <w:lang w:val="en-AU"/>
              </w:rPr>
              <w:t>-</w:t>
            </w:r>
            <w:r w:rsidRPr="003E76E7">
              <w:rPr>
                <w:szCs w:val="20"/>
                <w:lang w:val="en-AU"/>
              </w:rPr>
              <w:t xml:space="preserve"> Income Support and Compensation</w:t>
            </w:r>
            <w:r w:rsidR="00E15EDB" w:rsidRPr="003E76E7">
              <w:rPr>
                <w:szCs w:val="20"/>
                <w:lang w:val="en-AU"/>
              </w:rPr>
              <w:t>.</w:t>
            </w:r>
          </w:p>
        </w:tc>
      </w:tr>
      <w:tr w:rsidR="00E866E6" w:rsidRPr="003E76E7" w14:paraId="2E015D9D" w14:textId="77777777" w:rsidTr="006317D4">
        <w:trPr>
          <w:trHeight w:val="113"/>
        </w:trPr>
        <w:tc>
          <w:tcPr>
            <w:tcW w:w="5000" w:type="pct"/>
          </w:tcPr>
          <w:p w14:paraId="1B58855F" w14:textId="77777777" w:rsidR="00E866E6" w:rsidRPr="003E76E7" w:rsidRDefault="00E866E6" w:rsidP="00C4292D">
            <w:pPr>
              <w:spacing w:before="40" w:after="40"/>
              <w:rPr>
                <w:b/>
                <w:lang w:val="en-AU"/>
              </w:rPr>
            </w:pPr>
            <w:r w:rsidRPr="003E76E7">
              <w:rPr>
                <w:b/>
                <w:lang w:val="en-AU"/>
              </w:rPr>
              <w:t xml:space="preserve">Contribution to Outcome 2 by </w:t>
            </w:r>
            <w:r w:rsidRPr="003E76E7">
              <w:rPr>
                <w:rFonts w:cs="Times New Roman"/>
                <w:b/>
                <w:szCs w:val="20"/>
                <w:lang w:val="en-AU"/>
              </w:rPr>
              <w:t>linked</w:t>
            </w:r>
            <w:r w:rsidRPr="003E76E7">
              <w:rPr>
                <w:b/>
                <w:lang w:val="en-AU"/>
              </w:rPr>
              <w:t xml:space="preserve"> programs</w:t>
            </w:r>
          </w:p>
        </w:tc>
      </w:tr>
      <w:tr w:rsidR="000409BF" w:rsidRPr="003E76E7" w14:paraId="013E0250" w14:textId="77777777" w:rsidTr="006317D4">
        <w:trPr>
          <w:trHeight w:val="1414"/>
        </w:trPr>
        <w:tc>
          <w:tcPr>
            <w:tcW w:w="5000" w:type="pct"/>
          </w:tcPr>
          <w:p w14:paraId="05710A2F" w14:textId="77777777" w:rsidR="000409BF" w:rsidRPr="003E76E7" w:rsidRDefault="000409BF" w:rsidP="00C4292D">
            <w:pPr>
              <w:spacing w:before="40" w:after="40"/>
              <w:rPr>
                <w:lang w:val="en-AU"/>
              </w:rPr>
            </w:pPr>
            <w:r w:rsidRPr="003E76E7">
              <w:rPr>
                <w:lang w:val="en-AU"/>
              </w:rPr>
              <w:t>The Department of Veterans’ Affairs (DVA) and Defence are committed to delivering the best possible outcomes to current and former members o</w:t>
            </w:r>
            <w:r w:rsidR="00163783" w:rsidRPr="003E76E7">
              <w:rPr>
                <w:lang w:val="en-AU"/>
              </w:rPr>
              <w:t xml:space="preserve">f the </w:t>
            </w:r>
            <w:r w:rsidRPr="003E76E7">
              <w:rPr>
                <w:lang w:val="en-AU"/>
              </w:rPr>
              <w:t>ADF and their eligible family members.</w:t>
            </w:r>
          </w:p>
          <w:p w14:paraId="5CA05EC0" w14:textId="77777777" w:rsidR="000409BF" w:rsidRPr="003E76E7" w:rsidRDefault="000409BF" w:rsidP="00C4292D">
            <w:pPr>
              <w:spacing w:before="40" w:after="40"/>
              <w:rPr>
                <w:lang w:val="en-AU"/>
              </w:rPr>
            </w:pPr>
            <w:r w:rsidRPr="003E76E7">
              <w:rPr>
                <w:lang w:val="en-AU"/>
              </w:rPr>
              <w:t>Under a Memorandum of Understanding</w:t>
            </w:r>
            <w:r w:rsidR="00F4318E" w:rsidRPr="003E76E7">
              <w:rPr>
                <w:lang w:val="en-AU"/>
              </w:rPr>
              <w:t xml:space="preserve"> (MOU)</w:t>
            </w:r>
            <w:r w:rsidRPr="003E76E7">
              <w:rPr>
                <w:lang w:val="en-AU"/>
              </w:rPr>
              <w:t>, Defence and DVA work cooperatively to deliver care and support to current and former members of the permanent and reserve forces and their families.</w:t>
            </w:r>
          </w:p>
          <w:p w14:paraId="33E0DCA6" w14:textId="2130E462" w:rsidR="00FE7A38" w:rsidRPr="003E76E7" w:rsidRDefault="000409BF" w:rsidP="00C4292D">
            <w:pPr>
              <w:spacing w:before="40" w:after="40"/>
              <w:rPr>
                <w:lang w:val="en-AU"/>
              </w:rPr>
            </w:pPr>
            <w:r w:rsidRPr="003E76E7">
              <w:rPr>
                <w:lang w:val="en-AU"/>
              </w:rPr>
              <w:t>Close and ongoing cooperation occurs between DVA and Defence under this M</w:t>
            </w:r>
            <w:r w:rsidR="00F4318E" w:rsidRPr="003E76E7">
              <w:rPr>
                <w:lang w:val="en-AU"/>
              </w:rPr>
              <w:t>OU</w:t>
            </w:r>
            <w:r w:rsidRPr="003E76E7">
              <w:rPr>
                <w:lang w:val="en-AU"/>
              </w:rPr>
              <w:t>. Ongoing DVA engagement with members starting as early as practical in their careers and continuing through their service and during and after their transition from permanent or continuous full time service, results in better outcomes for members and their families. Such cooperation and engagement is particularly important where a member suffers a serious injury or illness or where the member is identified for medical separation from the ADF.</w:t>
            </w:r>
          </w:p>
          <w:p w14:paraId="07FC9DCA" w14:textId="49707F46" w:rsidR="000409BF" w:rsidRPr="003E76E7" w:rsidRDefault="00FE7A38" w:rsidP="00C4292D">
            <w:pPr>
              <w:spacing w:before="40" w:after="40"/>
              <w:rPr>
                <w:lang w:val="en-AU"/>
              </w:rPr>
            </w:pPr>
            <w:r w:rsidRPr="003E76E7">
              <w:rPr>
                <w:lang w:val="en-AU"/>
              </w:rPr>
              <w:t>Defence and DVA work collaboratively on areas of research, mental health, rehabilitation and medical aspects of transition. Defence is also engaged with DVA for the future contracti</w:t>
            </w:r>
            <w:r w:rsidR="00215114" w:rsidRPr="003E76E7">
              <w:rPr>
                <w:lang w:val="en-AU"/>
              </w:rPr>
              <w:t>ng of health care arrangements.</w:t>
            </w:r>
          </w:p>
        </w:tc>
      </w:tr>
    </w:tbl>
    <w:p w14:paraId="142229FF" w14:textId="77777777" w:rsidR="00215114" w:rsidRPr="003E76E7" w:rsidRDefault="00215114" w:rsidP="00C4292D">
      <w:r w:rsidRPr="003E76E7">
        <w:br w:type="page"/>
      </w:r>
    </w:p>
    <w:tbl>
      <w:tblPr>
        <w:tblW w:w="5037" w:type="pct"/>
        <w:tblInd w:w="113" w:type="dxa"/>
        <w:tblBorders>
          <w:top w:val="single" w:sz="4" w:space="0" w:color="000000"/>
          <w:left w:val="single" w:sz="4" w:space="0" w:color="auto"/>
          <w:bottom w:val="single" w:sz="4" w:space="0" w:color="auto"/>
          <w:right w:val="single" w:sz="4" w:space="0" w:color="auto"/>
          <w:insideH w:val="dotted" w:sz="4" w:space="0" w:color="auto"/>
          <w:insideV w:val="single" w:sz="4" w:space="0" w:color="7F7F7F"/>
        </w:tblBorders>
        <w:tblLook w:val="0000" w:firstRow="0" w:lastRow="0" w:firstColumn="0" w:lastColumn="0" w:noHBand="0" w:noVBand="0"/>
      </w:tblPr>
      <w:tblGrid>
        <w:gridCol w:w="8671"/>
      </w:tblGrid>
      <w:tr w:rsidR="00215114" w:rsidRPr="003E76E7" w14:paraId="411FE5F9" w14:textId="77777777" w:rsidTr="00634633">
        <w:trPr>
          <w:trHeight w:val="113"/>
        </w:trPr>
        <w:tc>
          <w:tcPr>
            <w:tcW w:w="5000" w:type="pct"/>
          </w:tcPr>
          <w:p w14:paraId="661B51D9" w14:textId="70DAC771" w:rsidR="00215114" w:rsidRPr="003E76E7" w:rsidRDefault="00215114" w:rsidP="00C4292D">
            <w:pPr>
              <w:spacing w:before="40" w:after="40"/>
              <w:rPr>
                <w:b/>
                <w:lang w:val="en-AU"/>
              </w:rPr>
            </w:pPr>
            <w:r w:rsidRPr="003E76E7">
              <w:rPr>
                <w:b/>
                <w:lang w:val="en-AU"/>
              </w:rPr>
              <w:lastRenderedPageBreak/>
              <w:t>Department of Veterans’ Affairs (Continued)</w:t>
            </w:r>
          </w:p>
        </w:tc>
      </w:tr>
      <w:tr w:rsidR="00215114" w:rsidRPr="003E76E7" w14:paraId="184314B7" w14:textId="77777777" w:rsidTr="00634633">
        <w:trPr>
          <w:trHeight w:val="113"/>
        </w:trPr>
        <w:tc>
          <w:tcPr>
            <w:tcW w:w="5000" w:type="pct"/>
          </w:tcPr>
          <w:p w14:paraId="7FC649C2" w14:textId="77777777" w:rsidR="00215114" w:rsidRPr="003E76E7" w:rsidRDefault="00215114" w:rsidP="00C4292D">
            <w:pPr>
              <w:spacing w:before="60" w:after="60"/>
              <w:rPr>
                <w:szCs w:val="20"/>
                <w:lang w:val="en-AU"/>
              </w:rPr>
            </w:pPr>
            <w:r w:rsidRPr="003E76E7">
              <w:rPr>
                <w:szCs w:val="20"/>
                <w:lang w:val="en-AU"/>
              </w:rPr>
              <w:t xml:space="preserve">Program 1.1 </w:t>
            </w:r>
            <w:r w:rsidRPr="003E76E7">
              <w:rPr>
                <w:rFonts w:cs="Times New Roman"/>
                <w:szCs w:val="20"/>
                <w:lang w:val="en-AU"/>
              </w:rPr>
              <w:t>-</w:t>
            </w:r>
            <w:r w:rsidRPr="003E76E7">
              <w:rPr>
                <w:szCs w:val="20"/>
                <w:lang w:val="en-AU"/>
              </w:rPr>
              <w:t xml:space="preserve"> Veterans’ Income Support and Allowances.</w:t>
            </w:r>
          </w:p>
          <w:p w14:paraId="7508A28A" w14:textId="77777777" w:rsidR="00215114" w:rsidRPr="003E76E7" w:rsidRDefault="00215114" w:rsidP="00C4292D">
            <w:pPr>
              <w:spacing w:before="60" w:after="60"/>
              <w:rPr>
                <w:szCs w:val="20"/>
                <w:lang w:val="en-AU"/>
              </w:rPr>
            </w:pPr>
            <w:r w:rsidRPr="003E76E7">
              <w:rPr>
                <w:szCs w:val="20"/>
                <w:lang w:val="en-AU"/>
              </w:rPr>
              <w:t xml:space="preserve">Program 1.2 </w:t>
            </w:r>
            <w:r w:rsidRPr="003E76E7">
              <w:rPr>
                <w:rFonts w:cs="Times New Roman"/>
                <w:szCs w:val="20"/>
                <w:lang w:val="en-AU"/>
              </w:rPr>
              <w:t>-</w:t>
            </w:r>
            <w:r w:rsidRPr="003E76E7">
              <w:rPr>
                <w:szCs w:val="20"/>
                <w:lang w:val="en-AU"/>
              </w:rPr>
              <w:t xml:space="preserve"> Veterans’ Disability Support.</w:t>
            </w:r>
          </w:p>
          <w:p w14:paraId="67508D21" w14:textId="77777777" w:rsidR="00215114" w:rsidRPr="003E76E7" w:rsidRDefault="00215114" w:rsidP="00C4292D">
            <w:pPr>
              <w:spacing w:before="60" w:after="60"/>
              <w:rPr>
                <w:szCs w:val="20"/>
                <w:lang w:val="en-AU"/>
              </w:rPr>
            </w:pPr>
            <w:r w:rsidRPr="003E76E7">
              <w:rPr>
                <w:szCs w:val="20"/>
                <w:lang w:val="en-AU"/>
              </w:rPr>
              <w:t xml:space="preserve">Program 1.6 </w:t>
            </w:r>
            <w:r w:rsidRPr="003E76E7">
              <w:rPr>
                <w:rFonts w:cs="Times New Roman"/>
                <w:szCs w:val="20"/>
                <w:lang w:val="en-AU"/>
              </w:rPr>
              <w:t>-</w:t>
            </w:r>
            <w:r w:rsidRPr="003E76E7">
              <w:rPr>
                <w:szCs w:val="20"/>
                <w:lang w:val="en-AU"/>
              </w:rPr>
              <w:t xml:space="preserve"> Military Rehabilitation and Compensation Acts Payment - Income Support and Compensation.</w:t>
            </w:r>
          </w:p>
        </w:tc>
      </w:tr>
      <w:tr w:rsidR="00215114" w:rsidRPr="003E76E7" w14:paraId="6D7F8C25" w14:textId="77777777" w:rsidTr="00634633">
        <w:trPr>
          <w:trHeight w:val="113"/>
        </w:trPr>
        <w:tc>
          <w:tcPr>
            <w:tcW w:w="5000" w:type="pct"/>
          </w:tcPr>
          <w:p w14:paraId="607E6F45" w14:textId="77777777" w:rsidR="00215114" w:rsidRPr="003E76E7" w:rsidRDefault="00215114" w:rsidP="00C4292D">
            <w:pPr>
              <w:spacing w:before="40" w:after="40"/>
              <w:rPr>
                <w:b/>
                <w:lang w:val="en-AU"/>
              </w:rPr>
            </w:pPr>
            <w:r w:rsidRPr="003E76E7">
              <w:rPr>
                <w:b/>
                <w:lang w:val="en-AU"/>
              </w:rPr>
              <w:t xml:space="preserve">Contribution to Outcome 2 by </w:t>
            </w:r>
            <w:r w:rsidRPr="003E76E7">
              <w:rPr>
                <w:rFonts w:cs="Times New Roman"/>
                <w:b/>
                <w:szCs w:val="20"/>
                <w:lang w:val="en-AU"/>
              </w:rPr>
              <w:t>linked</w:t>
            </w:r>
            <w:r w:rsidRPr="003E76E7">
              <w:rPr>
                <w:b/>
                <w:lang w:val="en-AU"/>
              </w:rPr>
              <w:t xml:space="preserve"> programs</w:t>
            </w:r>
          </w:p>
        </w:tc>
      </w:tr>
      <w:tr w:rsidR="00215114" w:rsidRPr="003E76E7" w14:paraId="4E1B3717" w14:textId="77777777" w:rsidTr="00634633">
        <w:trPr>
          <w:trHeight w:val="1414"/>
        </w:trPr>
        <w:tc>
          <w:tcPr>
            <w:tcW w:w="5000" w:type="pct"/>
          </w:tcPr>
          <w:p w14:paraId="0CE8327F" w14:textId="77777777" w:rsidR="00215114" w:rsidRPr="003E76E7" w:rsidRDefault="00215114" w:rsidP="00C4292D">
            <w:pPr>
              <w:spacing w:before="40" w:after="40"/>
              <w:rPr>
                <w:lang w:val="en-AU"/>
              </w:rPr>
            </w:pPr>
            <w:r w:rsidRPr="003E76E7">
              <w:rPr>
                <w:lang w:val="en-AU"/>
              </w:rPr>
              <w:t xml:space="preserve">This is supported through Schedule 6 of the </w:t>
            </w:r>
            <w:r w:rsidRPr="003E76E7">
              <w:rPr>
                <w:i/>
                <w:lang w:val="en-AU"/>
              </w:rPr>
              <w:t>Agreement between Defence and Veterans’ Affairs for the Provision of Mental Health Support Services by the Open Arms to ADF Personnel</w:t>
            </w:r>
            <w:r w:rsidRPr="003E76E7">
              <w:rPr>
                <w:lang w:val="en-AU"/>
              </w:rPr>
              <w:t xml:space="preserve"> (Agreement for Services).</w:t>
            </w:r>
          </w:p>
          <w:p w14:paraId="42E5FAE4" w14:textId="77777777" w:rsidR="00215114" w:rsidRPr="003E76E7" w:rsidRDefault="00215114" w:rsidP="00C4292D">
            <w:pPr>
              <w:spacing w:before="40" w:after="40"/>
              <w:rPr>
                <w:lang w:val="en-AU"/>
              </w:rPr>
            </w:pPr>
            <w:r w:rsidRPr="003E76E7">
              <w:rPr>
                <w:lang w:val="en-AU"/>
              </w:rPr>
              <w:t xml:space="preserve">Under a MOU, and in accordance with the </w:t>
            </w:r>
            <w:r w:rsidRPr="003E76E7">
              <w:rPr>
                <w:i/>
                <w:lang w:val="en-AU"/>
              </w:rPr>
              <w:t>Defence Home Ownership Assistance Scheme Act 2008</w:t>
            </w:r>
            <w:r w:rsidRPr="003E76E7">
              <w:rPr>
                <w:lang w:val="en-AU"/>
              </w:rPr>
              <w:t>, DVA administer the Defence Home Ownership Assistance Scheme (DHOAS). The scheme was established to support the Government’s ADF recruitment and retention initiatives by incentivising ADF members to remain in the ADF beyond critical career points.</w:t>
            </w:r>
          </w:p>
          <w:p w14:paraId="0BD6E4FB" w14:textId="77777777" w:rsidR="00215114" w:rsidRPr="003E76E7" w:rsidRDefault="00215114" w:rsidP="00C4292D">
            <w:pPr>
              <w:spacing w:before="40" w:after="40"/>
              <w:rPr>
                <w:lang w:val="en-AU"/>
              </w:rPr>
            </w:pPr>
            <w:r w:rsidRPr="003E76E7">
              <w:rPr>
                <w:lang w:eastAsia="en-US"/>
              </w:rPr>
              <w:t>Under Schedule 20 of the MOU, Defence and DVA collaboratively utilise system to system exchanges and/or direct access, to provide access to, or enable disclosure of, certain Personal Information held digitally in specified departmental information systems. These information exchanges support the assessment and determination of claims, and the delivery of appropriate care and support to current and former members of the ADF and their families.</w:t>
            </w:r>
          </w:p>
        </w:tc>
      </w:tr>
    </w:tbl>
    <w:p w14:paraId="5B9170EA" w14:textId="7C5897C8" w:rsidR="00CA5BB7" w:rsidRPr="003E76E7" w:rsidRDefault="00CA5BB7" w:rsidP="00C4292D">
      <w:pPr>
        <w:spacing w:before="0" w:after="0"/>
      </w:pPr>
    </w:p>
    <w:tbl>
      <w:tblPr>
        <w:tblW w:w="5000" w:type="pct"/>
        <w:tblInd w:w="113" w:type="dxa"/>
        <w:tblBorders>
          <w:top w:val="single" w:sz="4" w:space="0" w:color="auto"/>
          <w:left w:val="single" w:sz="4" w:space="0" w:color="auto"/>
          <w:bottom w:val="single" w:sz="4" w:space="0" w:color="auto"/>
          <w:right w:val="single" w:sz="4" w:space="0" w:color="auto"/>
          <w:insideH w:val="dotted" w:sz="4" w:space="0" w:color="auto"/>
          <w:insideV w:val="single" w:sz="4" w:space="0" w:color="7F7F7F"/>
        </w:tblBorders>
        <w:tblLook w:val="04A0" w:firstRow="1" w:lastRow="0" w:firstColumn="1" w:lastColumn="0" w:noHBand="0" w:noVBand="1"/>
      </w:tblPr>
      <w:tblGrid>
        <w:gridCol w:w="8607"/>
      </w:tblGrid>
      <w:tr w:rsidR="00325C99" w:rsidRPr="003E76E7" w14:paraId="39F51194" w14:textId="77777777" w:rsidTr="003E5385">
        <w:trPr>
          <w:trHeight w:val="113"/>
        </w:trPr>
        <w:tc>
          <w:tcPr>
            <w:tcW w:w="5000" w:type="pct"/>
            <w:tcBorders>
              <w:top w:val="single" w:sz="4" w:space="0" w:color="auto"/>
              <w:left w:val="single" w:sz="4" w:space="0" w:color="auto"/>
              <w:bottom w:val="dotted" w:sz="4" w:space="0" w:color="auto"/>
              <w:right w:val="single" w:sz="4" w:space="0" w:color="auto"/>
            </w:tcBorders>
            <w:hideMark/>
          </w:tcPr>
          <w:p w14:paraId="5BADE9F4" w14:textId="5920D4D2" w:rsidR="00325C99" w:rsidRPr="003E76E7" w:rsidRDefault="000D45D6" w:rsidP="00C4292D">
            <w:pPr>
              <w:spacing w:before="60" w:after="60"/>
              <w:rPr>
                <w:rFonts w:cs="Times New Roman"/>
                <w:b/>
                <w:szCs w:val="20"/>
                <w:lang w:val="en-AU"/>
              </w:rPr>
            </w:pPr>
            <w:r w:rsidRPr="003E76E7">
              <w:rPr>
                <w:rFonts w:cs="Times New Roman"/>
                <w:b/>
                <w:szCs w:val="20"/>
              </w:rPr>
              <w:t>Geoscience Australia</w:t>
            </w:r>
          </w:p>
        </w:tc>
      </w:tr>
      <w:tr w:rsidR="00325C99" w:rsidRPr="003E76E7" w14:paraId="47241863" w14:textId="77777777" w:rsidTr="003E5385">
        <w:trPr>
          <w:trHeight w:val="113"/>
        </w:trPr>
        <w:tc>
          <w:tcPr>
            <w:tcW w:w="5000" w:type="pct"/>
            <w:tcBorders>
              <w:top w:val="dotted" w:sz="4" w:space="0" w:color="auto"/>
              <w:left w:val="single" w:sz="4" w:space="0" w:color="auto"/>
              <w:bottom w:val="dotted" w:sz="4" w:space="0" w:color="auto"/>
              <w:right w:val="single" w:sz="4" w:space="0" w:color="auto"/>
            </w:tcBorders>
            <w:hideMark/>
          </w:tcPr>
          <w:p w14:paraId="09B02FBD" w14:textId="6ADE62B8" w:rsidR="00325C99" w:rsidRPr="003E76E7" w:rsidRDefault="00325C99" w:rsidP="00C4292D">
            <w:pPr>
              <w:spacing w:before="60" w:after="60"/>
              <w:ind w:left="1"/>
              <w:rPr>
                <w:rFonts w:cs="Times New Roman"/>
                <w:szCs w:val="20"/>
              </w:rPr>
            </w:pPr>
            <w:r w:rsidRPr="003E76E7">
              <w:rPr>
                <w:rFonts w:cs="Times New Roman"/>
                <w:szCs w:val="20"/>
              </w:rPr>
              <w:t xml:space="preserve">Program 1.1 </w:t>
            </w:r>
            <w:r w:rsidR="00722810" w:rsidRPr="003E76E7">
              <w:rPr>
                <w:rFonts w:cs="Times New Roman"/>
                <w:szCs w:val="20"/>
                <w:lang w:val="en-AU"/>
              </w:rPr>
              <w:t>-</w:t>
            </w:r>
            <w:r w:rsidRPr="003E76E7">
              <w:rPr>
                <w:rFonts w:cs="Times New Roman"/>
                <w:szCs w:val="20"/>
              </w:rPr>
              <w:t xml:space="preserve"> </w:t>
            </w:r>
            <w:r w:rsidR="006E1EA1" w:rsidRPr="003E76E7">
              <w:rPr>
                <w:rFonts w:cs="Times New Roman"/>
                <w:szCs w:val="20"/>
              </w:rPr>
              <w:t>Geoscientific and Spatial Information Services</w:t>
            </w:r>
            <w:r w:rsidR="00E15EDB" w:rsidRPr="003E76E7">
              <w:rPr>
                <w:rFonts w:cs="Times New Roman"/>
                <w:szCs w:val="20"/>
              </w:rPr>
              <w:t>.</w:t>
            </w:r>
          </w:p>
        </w:tc>
      </w:tr>
      <w:tr w:rsidR="00325C99" w:rsidRPr="003E76E7" w14:paraId="7917FD72" w14:textId="77777777" w:rsidTr="003E5385">
        <w:trPr>
          <w:trHeight w:val="113"/>
        </w:trPr>
        <w:tc>
          <w:tcPr>
            <w:tcW w:w="5000" w:type="pct"/>
            <w:tcBorders>
              <w:top w:val="dotted" w:sz="4" w:space="0" w:color="auto"/>
              <w:left w:val="single" w:sz="4" w:space="0" w:color="auto"/>
              <w:bottom w:val="dotted" w:sz="4" w:space="0" w:color="auto"/>
              <w:right w:val="single" w:sz="4" w:space="0" w:color="auto"/>
            </w:tcBorders>
            <w:hideMark/>
          </w:tcPr>
          <w:p w14:paraId="4EC866AE" w14:textId="77777777" w:rsidR="00325C99" w:rsidRPr="003E76E7" w:rsidRDefault="00325C99" w:rsidP="00C4292D">
            <w:pPr>
              <w:spacing w:before="60" w:after="60"/>
              <w:rPr>
                <w:rFonts w:cs="Times New Roman"/>
                <w:b/>
                <w:szCs w:val="20"/>
              </w:rPr>
            </w:pPr>
            <w:r w:rsidRPr="003E76E7">
              <w:rPr>
                <w:rFonts w:cs="Times New Roman"/>
                <w:b/>
                <w:szCs w:val="20"/>
              </w:rPr>
              <w:t>Contributing to Outcome 2 by linked program</w:t>
            </w:r>
          </w:p>
        </w:tc>
      </w:tr>
      <w:tr w:rsidR="00325C99" w:rsidRPr="003E76E7" w14:paraId="76817FBB" w14:textId="77777777" w:rsidTr="000D45D6">
        <w:trPr>
          <w:trHeight w:val="375"/>
        </w:trPr>
        <w:tc>
          <w:tcPr>
            <w:tcW w:w="5000" w:type="pct"/>
            <w:tcBorders>
              <w:top w:val="dotted" w:sz="4" w:space="0" w:color="auto"/>
              <w:left w:val="single" w:sz="4" w:space="0" w:color="auto"/>
              <w:bottom w:val="single" w:sz="4" w:space="0" w:color="auto"/>
              <w:right w:val="single" w:sz="4" w:space="0" w:color="auto"/>
            </w:tcBorders>
            <w:hideMark/>
          </w:tcPr>
          <w:p w14:paraId="2862EF42" w14:textId="77777777" w:rsidR="00325C99" w:rsidRPr="003E76E7" w:rsidRDefault="006E1EA1" w:rsidP="00C4292D">
            <w:pPr>
              <w:spacing w:before="60" w:after="60"/>
              <w:rPr>
                <w:rFonts w:cs="Times New Roman"/>
                <w:szCs w:val="20"/>
              </w:rPr>
            </w:pPr>
            <w:r w:rsidRPr="003E76E7">
              <w:rPr>
                <w:rFonts w:cs="Times New Roman"/>
                <w:szCs w:val="20"/>
              </w:rPr>
              <w:t xml:space="preserve">Australian Hydrographic Office and Geoscience Australia are collaborating to deliver the AusSeabed initiative. </w:t>
            </w:r>
          </w:p>
        </w:tc>
      </w:tr>
    </w:tbl>
    <w:p w14:paraId="73B23F0C" w14:textId="613776B4" w:rsidR="00B210FA" w:rsidRPr="003E76E7" w:rsidRDefault="00B210FA" w:rsidP="00C4292D">
      <w:pPr>
        <w:spacing w:before="0" w:after="0"/>
        <w:jc w:val="both"/>
      </w:pPr>
    </w:p>
    <w:tbl>
      <w:tblPr>
        <w:tblW w:w="5000" w:type="pct"/>
        <w:tblInd w:w="113" w:type="dxa"/>
        <w:tblBorders>
          <w:top w:val="single" w:sz="4" w:space="0" w:color="000000"/>
          <w:left w:val="single" w:sz="4" w:space="0" w:color="auto"/>
          <w:bottom w:val="single" w:sz="4" w:space="0" w:color="auto"/>
          <w:right w:val="single" w:sz="4" w:space="0" w:color="auto"/>
          <w:insideH w:val="dotted" w:sz="4" w:space="0" w:color="auto"/>
          <w:insideV w:val="single" w:sz="4" w:space="0" w:color="7F7F7F"/>
        </w:tblBorders>
        <w:tblLook w:val="0000" w:firstRow="0" w:lastRow="0" w:firstColumn="0" w:lastColumn="0" w:noHBand="0" w:noVBand="0"/>
      </w:tblPr>
      <w:tblGrid>
        <w:gridCol w:w="8607"/>
      </w:tblGrid>
      <w:tr w:rsidR="00E57B93" w:rsidRPr="003E76E7" w14:paraId="114CA421" w14:textId="77777777" w:rsidTr="00902A2D">
        <w:trPr>
          <w:trHeight w:val="113"/>
        </w:trPr>
        <w:tc>
          <w:tcPr>
            <w:tcW w:w="5000" w:type="pct"/>
          </w:tcPr>
          <w:p w14:paraId="1829A932" w14:textId="77777777" w:rsidR="00E57B93" w:rsidRPr="003E76E7" w:rsidRDefault="00E57B93" w:rsidP="00C4292D">
            <w:pPr>
              <w:spacing w:before="60" w:after="60"/>
              <w:rPr>
                <w:rFonts w:cs="Times New Roman"/>
                <w:b/>
                <w:szCs w:val="20"/>
                <w:lang w:val="en-AU"/>
              </w:rPr>
            </w:pPr>
            <w:r w:rsidRPr="003E76E7">
              <w:rPr>
                <w:rFonts w:cs="Times New Roman"/>
                <w:b/>
                <w:szCs w:val="20"/>
                <w:lang w:val="en-AU"/>
              </w:rPr>
              <w:t>Office of the Commonwealth Ombudsman - Defence Force Ombudsman</w:t>
            </w:r>
          </w:p>
        </w:tc>
      </w:tr>
      <w:tr w:rsidR="00E57B93" w:rsidRPr="003E76E7" w14:paraId="180C5BF6" w14:textId="77777777" w:rsidTr="00902A2D">
        <w:trPr>
          <w:trHeight w:val="113"/>
        </w:trPr>
        <w:tc>
          <w:tcPr>
            <w:tcW w:w="5000" w:type="pct"/>
          </w:tcPr>
          <w:p w14:paraId="44414BF9" w14:textId="2FFE175E" w:rsidR="00E57B93" w:rsidRPr="003E76E7" w:rsidRDefault="00E57B93" w:rsidP="00C4292D">
            <w:pPr>
              <w:spacing w:before="60" w:after="60"/>
              <w:rPr>
                <w:rFonts w:cs="Times New Roman"/>
                <w:szCs w:val="20"/>
                <w:lang w:val="en-AU"/>
              </w:rPr>
            </w:pPr>
            <w:r w:rsidRPr="003E76E7">
              <w:rPr>
                <w:rFonts w:cs="Times New Roman"/>
                <w:szCs w:val="20"/>
                <w:lang w:val="en-AU"/>
              </w:rPr>
              <w:t xml:space="preserve">Program 1.1 </w:t>
            </w:r>
            <w:r w:rsidR="00722810" w:rsidRPr="003E76E7">
              <w:rPr>
                <w:rFonts w:cs="Times New Roman"/>
                <w:szCs w:val="20"/>
                <w:lang w:val="en-AU"/>
              </w:rPr>
              <w:t>-</w:t>
            </w:r>
            <w:r w:rsidRPr="003E76E7">
              <w:rPr>
                <w:rFonts w:cs="Times New Roman"/>
                <w:szCs w:val="20"/>
                <w:lang w:val="en-AU"/>
              </w:rPr>
              <w:t xml:space="preserve"> Office of the Commonwealth Ombudsman</w:t>
            </w:r>
            <w:r w:rsidR="00E15EDB" w:rsidRPr="003E76E7">
              <w:rPr>
                <w:rFonts w:cs="Times New Roman"/>
                <w:szCs w:val="20"/>
                <w:lang w:val="en-AU"/>
              </w:rPr>
              <w:t>.</w:t>
            </w:r>
          </w:p>
        </w:tc>
      </w:tr>
      <w:tr w:rsidR="00E57B93" w:rsidRPr="003E76E7" w14:paraId="400EB502" w14:textId="77777777" w:rsidTr="00902A2D">
        <w:trPr>
          <w:trHeight w:val="113"/>
        </w:trPr>
        <w:tc>
          <w:tcPr>
            <w:tcW w:w="5000" w:type="pct"/>
          </w:tcPr>
          <w:p w14:paraId="2D30B14D" w14:textId="77777777" w:rsidR="00E57B93" w:rsidRPr="003E76E7" w:rsidRDefault="00E57B93" w:rsidP="00C4292D">
            <w:pPr>
              <w:spacing w:before="60" w:after="60"/>
              <w:rPr>
                <w:rFonts w:cs="Times New Roman"/>
                <w:b/>
                <w:szCs w:val="20"/>
                <w:lang w:val="en-AU"/>
              </w:rPr>
            </w:pPr>
            <w:r w:rsidRPr="003E76E7">
              <w:rPr>
                <w:b/>
                <w:szCs w:val="20"/>
                <w:lang w:val="en-AU"/>
              </w:rPr>
              <w:t>Contribution to Outcome 2 by linked programs</w:t>
            </w:r>
          </w:p>
        </w:tc>
      </w:tr>
      <w:tr w:rsidR="00E57B93" w:rsidRPr="003E76E7" w14:paraId="147E1A11" w14:textId="77777777" w:rsidTr="00902A2D">
        <w:trPr>
          <w:trHeight w:val="113"/>
        </w:trPr>
        <w:tc>
          <w:tcPr>
            <w:tcW w:w="5000" w:type="pct"/>
          </w:tcPr>
          <w:p w14:paraId="0F42E5FF" w14:textId="77777777" w:rsidR="00E57B93" w:rsidRPr="003E76E7" w:rsidRDefault="00E57B93" w:rsidP="00C4292D">
            <w:pPr>
              <w:spacing w:before="60" w:after="60"/>
              <w:rPr>
                <w:rFonts w:cs="Times New Roman"/>
                <w:szCs w:val="20"/>
                <w:lang w:val="en-AU"/>
              </w:rPr>
            </w:pPr>
            <w:r w:rsidRPr="003E76E7">
              <w:rPr>
                <w:rFonts w:cs="Times New Roman"/>
                <w:szCs w:val="20"/>
                <w:lang w:val="en-AU"/>
              </w:rPr>
              <w:t xml:space="preserve">The Office of the Commonwealth Ombudsman ensures administrative action by Australian Government entities is fair and accountable by handling complaints, conducting investigations, performing audits and inspections, encouraging good administration, and discharging other specialist oversight tasks. The Commonwealth Ombudsman is also the Defence Force Ombudsman, who </w:t>
            </w:r>
            <w:r w:rsidR="000C7763" w:rsidRPr="003E76E7">
              <w:rPr>
                <w:rFonts w:cs="Times New Roman"/>
                <w:szCs w:val="20"/>
                <w:lang w:val="en-AU"/>
              </w:rPr>
              <w:t>offer</w:t>
            </w:r>
            <w:r w:rsidR="00795112" w:rsidRPr="003E76E7">
              <w:rPr>
                <w:rFonts w:cs="Times New Roman"/>
                <w:szCs w:val="20"/>
                <w:lang w:val="en-AU"/>
              </w:rPr>
              <w:t>s</w:t>
            </w:r>
            <w:r w:rsidR="000C7763" w:rsidRPr="003E76E7">
              <w:rPr>
                <w:rFonts w:cs="Times New Roman"/>
                <w:szCs w:val="20"/>
                <w:lang w:val="en-AU"/>
              </w:rPr>
              <w:t xml:space="preserve"> an independent complaint-handling mechanism for </w:t>
            </w:r>
            <w:r w:rsidR="00795112" w:rsidRPr="003E76E7">
              <w:rPr>
                <w:rFonts w:cs="Times New Roman"/>
                <w:szCs w:val="20"/>
                <w:lang w:val="en-AU"/>
              </w:rPr>
              <w:t xml:space="preserve">serving </w:t>
            </w:r>
            <w:r w:rsidR="000C7763" w:rsidRPr="003E76E7">
              <w:rPr>
                <w:rFonts w:cs="Times New Roman"/>
                <w:szCs w:val="20"/>
                <w:lang w:val="en-AU"/>
              </w:rPr>
              <w:t xml:space="preserve">and former Defence members and </w:t>
            </w:r>
            <w:r w:rsidRPr="003E76E7">
              <w:rPr>
                <w:rFonts w:cs="Times New Roman"/>
                <w:szCs w:val="20"/>
                <w:lang w:val="en-AU"/>
              </w:rPr>
              <w:t xml:space="preserve">is able to accept complaints </w:t>
            </w:r>
            <w:r w:rsidR="000C7763" w:rsidRPr="003E76E7">
              <w:rPr>
                <w:rFonts w:cs="Times New Roman"/>
                <w:szCs w:val="20"/>
                <w:lang w:val="en-AU"/>
              </w:rPr>
              <w:t xml:space="preserve">where it is alleged </w:t>
            </w:r>
            <w:r w:rsidRPr="003E76E7">
              <w:rPr>
                <w:rFonts w:cs="Times New Roman"/>
                <w:szCs w:val="20"/>
                <w:lang w:val="en-AU"/>
              </w:rPr>
              <w:t xml:space="preserve">that a </w:t>
            </w:r>
            <w:r w:rsidR="000C7763" w:rsidRPr="003E76E7">
              <w:rPr>
                <w:rFonts w:cs="Times New Roman"/>
                <w:szCs w:val="20"/>
                <w:lang w:val="en-AU"/>
              </w:rPr>
              <w:t xml:space="preserve">Defence </w:t>
            </w:r>
            <w:r w:rsidRPr="003E76E7">
              <w:rPr>
                <w:rFonts w:cs="Times New Roman"/>
                <w:szCs w:val="20"/>
                <w:lang w:val="en-AU"/>
              </w:rPr>
              <w:t>member has perpetrated an act of sexual abuse</w:t>
            </w:r>
            <w:r w:rsidR="00795112" w:rsidRPr="003E76E7">
              <w:rPr>
                <w:rFonts w:cs="Times New Roman"/>
                <w:szCs w:val="20"/>
                <w:lang w:val="en-AU"/>
              </w:rPr>
              <w:t>,</w:t>
            </w:r>
            <w:r w:rsidRPr="003E76E7">
              <w:rPr>
                <w:rFonts w:cs="Times New Roman"/>
                <w:szCs w:val="20"/>
                <w:lang w:val="en-AU"/>
              </w:rPr>
              <w:t xml:space="preserve"> serious physical abuse</w:t>
            </w:r>
            <w:r w:rsidR="00E80DA1" w:rsidRPr="003E76E7">
              <w:rPr>
                <w:rFonts w:cs="Times New Roman"/>
                <w:szCs w:val="20"/>
                <w:lang w:val="en-AU"/>
              </w:rPr>
              <w:t>,</w:t>
            </w:r>
            <w:r w:rsidR="00795112" w:rsidRPr="003E76E7">
              <w:rPr>
                <w:rFonts w:cs="Times New Roman"/>
                <w:szCs w:val="20"/>
                <w:lang w:val="en-AU"/>
              </w:rPr>
              <w:t xml:space="preserve"> or serious</w:t>
            </w:r>
            <w:r w:rsidRPr="003E76E7">
              <w:rPr>
                <w:rFonts w:cs="Times New Roman"/>
                <w:szCs w:val="20"/>
                <w:lang w:val="en-AU"/>
              </w:rPr>
              <w:t xml:space="preserve"> bullying or harassment.</w:t>
            </w:r>
          </w:p>
        </w:tc>
      </w:tr>
    </w:tbl>
    <w:p w14:paraId="44BABB05" w14:textId="77777777" w:rsidR="001E6607" w:rsidRPr="003E76E7" w:rsidRDefault="001E6607" w:rsidP="00C4292D">
      <w:pPr>
        <w:spacing w:before="0" w:after="0"/>
        <w:jc w:val="both"/>
        <w:rPr>
          <w:szCs w:val="20"/>
        </w:rPr>
      </w:pPr>
    </w:p>
    <w:tbl>
      <w:tblPr>
        <w:tblW w:w="5000" w:type="pct"/>
        <w:tblInd w:w="113" w:type="dxa"/>
        <w:tblBorders>
          <w:top w:val="single" w:sz="8" w:space="0" w:color="auto"/>
          <w:left w:val="single" w:sz="8" w:space="0" w:color="auto"/>
          <w:bottom w:val="single" w:sz="8" w:space="0" w:color="auto"/>
          <w:right w:val="single" w:sz="8" w:space="0" w:color="auto"/>
          <w:insideH w:val="dotted" w:sz="8" w:space="0" w:color="auto"/>
          <w:insideV w:val="dotted" w:sz="8" w:space="0" w:color="auto"/>
        </w:tblBorders>
        <w:tblCellMar>
          <w:left w:w="0" w:type="dxa"/>
          <w:right w:w="0" w:type="dxa"/>
        </w:tblCellMar>
        <w:tblLook w:val="04A0" w:firstRow="1" w:lastRow="0" w:firstColumn="1" w:lastColumn="0" w:noHBand="0" w:noVBand="1"/>
      </w:tblPr>
      <w:tblGrid>
        <w:gridCol w:w="8607"/>
      </w:tblGrid>
      <w:tr w:rsidR="00E57B93" w:rsidRPr="003E76E7" w14:paraId="488D0854" w14:textId="77777777" w:rsidTr="005F7D13">
        <w:trPr>
          <w:trHeight w:val="113"/>
        </w:trPr>
        <w:tc>
          <w:tcPr>
            <w:tcW w:w="5000" w:type="pct"/>
            <w:tcBorders>
              <w:top w:val="single"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4AA5752C" w14:textId="77777777" w:rsidR="00E57B93" w:rsidRPr="003E76E7" w:rsidRDefault="00E57B93" w:rsidP="00C4292D">
            <w:pPr>
              <w:spacing w:before="60" w:after="60"/>
              <w:rPr>
                <w:b/>
                <w:szCs w:val="20"/>
                <w:lang w:eastAsia="en-US"/>
              </w:rPr>
            </w:pPr>
            <w:r w:rsidRPr="003E76E7">
              <w:rPr>
                <w:b/>
                <w:szCs w:val="20"/>
                <w:lang w:eastAsia="en-US"/>
              </w:rPr>
              <w:t>Office of National Intelligence</w:t>
            </w:r>
          </w:p>
        </w:tc>
      </w:tr>
      <w:tr w:rsidR="00E57B93" w:rsidRPr="003E76E7" w14:paraId="4722B229" w14:textId="77777777" w:rsidTr="005F7D13">
        <w:trPr>
          <w:trHeight w:val="113"/>
        </w:trPr>
        <w:tc>
          <w:tcPr>
            <w:tcW w:w="5000" w:type="pct"/>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65855535" w14:textId="5D5BD258" w:rsidR="00E57B93" w:rsidRPr="003E76E7" w:rsidRDefault="00E57B93" w:rsidP="00C4292D">
            <w:pPr>
              <w:spacing w:before="60" w:after="60"/>
              <w:rPr>
                <w:szCs w:val="20"/>
                <w:lang w:eastAsia="en-US"/>
              </w:rPr>
            </w:pPr>
            <w:r w:rsidRPr="003E76E7">
              <w:rPr>
                <w:szCs w:val="20"/>
                <w:lang w:eastAsia="en-US"/>
              </w:rPr>
              <w:t xml:space="preserve">Outcome 1 </w:t>
            </w:r>
            <w:r w:rsidR="00722810" w:rsidRPr="003E76E7">
              <w:rPr>
                <w:rFonts w:cs="Times New Roman"/>
                <w:szCs w:val="20"/>
                <w:lang w:val="en-AU"/>
              </w:rPr>
              <w:t>-</w:t>
            </w:r>
            <w:r w:rsidRPr="003E76E7">
              <w:rPr>
                <w:szCs w:val="20"/>
                <w:lang w:eastAsia="en-US"/>
              </w:rPr>
              <w:t xml:space="preserve"> Advancement of Australia's nation</w:t>
            </w:r>
            <w:r w:rsidR="00F4318E" w:rsidRPr="003E76E7">
              <w:rPr>
                <w:szCs w:val="20"/>
                <w:lang w:eastAsia="en-US"/>
              </w:rPr>
              <w:t>al interests through increased G</w:t>
            </w:r>
            <w:r w:rsidRPr="003E76E7">
              <w:rPr>
                <w:szCs w:val="20"/>
                <w:lang w:eastAsia="en-US"/>
              </w:rPr>
              <w:t>overnment awareness of international developments affecting Australia and integration, coordination and evaluation of Australia's national intelligence capabilities</w:t>
            </w:r>
            <w:r w:rsidR="00E15EDB" w:rsidRPr="003E76E7">
              <w:rPr>
                <w:szCs w:val="20"/>
                <w:lang w:eastAsia="en-US"/>
              </w:rPr>
              <w:t>.</w:t>
            </w:r>
          </w:p>
        </w:tc>
      </w:tr>
      <w:tr w:rsidR="00E57B93" w:rsidRPr="003E76E7" w14:paraId="0B4AE4DD" w14:textId="77777777" w:rsidTr="005F7D13">
        <w:trPr>
          <w:trHeight w:val="113"/>
        </w:trPr>
        <w:tc>
          <w:tcPr>
            <w:tcW w:w="5000" w:type="pct"/>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1919BBEB" w14:textId="77777777" w:rsidR="00E57B93" w:rsidRPr="003E76E7" w:rsidRDefault="00E57B93" w:rsidP="00C4292D">
            <w:pPr>
              <w:spacing w:before="60" w:after="60"/>
              <w:rPr>
                <w:b/>
                <w:szCs w:val="20"/>
                <w:lang w:eastAsia="en-US"/>
              </w:rPr>
            </w:pPr>
            <w:r w:rsidRPr="003E76E7">
              <w:rPr>
                <w:b/>
                <w:szCs w:val="20"/>
                <w:lang w:eastAsia="en-US"/>
              </w:rPr>
              <w:t xml:space="preserve">Contribution to </w:t>
            </w:r>
            <w:r w:rsidRPr="003E76E7">
              <w:rPr>
                <w:b/>
                <w:szCs w:val="20"/>
                <w:lang w:val="en-AU"/>
              </w:rPr>
              <w:t>Outcome</w:t>
            </w:r>
            <w:r w:rsidRPr="003E76E7">
              <w:rPr>
                <w:b/>
                <w:szCs w:val="20"/>
                <w:lang w:eastAsia="en-US"/>
              </w:rPr>
              <w:t xml:space="preserve"> 2 by linked program</w:t>
            </w:r>
          </w:p>
        </w:tc>
      </w:tr>
      <w:tr w:rsidR="00E57B93" w:rsidRPr="003E76E7" w14:paraId="0EC49B2F" w14:textId="77777777" w:rsidTr="005F7D13">
        <w:trPr>
          <w:trHeight w:val="563"/>
        </w:trPr>
        <w:tc>
          <w:tcPr>
            <w:tcW w:w="5000" w:type="pct"/>
            <w:tcBorders>
              <w:top w:val="dott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3AB87E" w14:textId="77777777" w:rsidR="00E57B93" w:rsidRPr="003E76E7" w:rsidRDefault="00E57B93" w:rsidP="00C4292D">
            <w:pPr>
              <w:spacing w:before="60" w:after="60"/>
              <w:rPr>
                <w:szCs w:val="20"/>
                <w:lang w:eastAsia="en-US"/>
              </w:rPr>
            </w:pPr>
            <w:r w:rsidRPr="003E76E7">
              <w:rPr>
                <w:szCs w:val="20"/>
                <w:lang w:eastAsia="en-US"/>
              </w:rPr>
              <w:t xml:space="preserve">The Office of National Intelligence leads efforts to integrate and coordinate the activities of the national intelligence agencies to meet the operational requirements of the </w:t>
            </w:r>
            <w:r w:rsidR="007C4112" w:rsidRPr="003E76E7">
              <w:rPr>
                <w:szCs w:val="20"/>
                <w:lang w:eastAsia="en-US"/>
              </w:rPr>
              <w:t>ADF</w:t>
            </w:r>
            <w:r w:rsidRPr="003E76E7">
              <w:rPr>
                <w:szCs w:val="20"/>
                <w:lang w:eastAsia="en-US"/>
              </w:rPr>
              <w:t xml:space="preserve"> and the Department of Defence, as well as other priorities as set by Government.</w:t>
            </w:r>
          </w:p>
        </w:tc>
      </w:tr>
      <w:tr w:rsidR="0054625A" w:rsidRPr="003E76E7" w14:paraId="06D96A26" w14:textId="77777777" w:rsidTr="0054625A">
        <w:tblPrEx>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108" w:type="dxa"/>
            <w:right w:w="108" w:type="dxa"/>
          </w:tblCellMar>
          <w:tblLook w:val="0000" w:firstRow="0" w:lastRow="0" w:firstColumn="0" w:lastColumn="0" w:noHBand="0" w:noVBand="0"/>
        </w:tblPrEx>
        <w:trPr>
          <w:trHeight w:val="113"/>
        </w:trPr>
        <w:tc>
          <w:tcPr>
            <w:tcW w:w="5000" w:type="pct"/>
          </w:tcPr>
          <w:p w14:paraId="4412231A" w14:textId="1784EF9B" w:rsidR="0054625A" w:rsidRPr="003E76E7" w:rsidRDefault="0054625A" w:rsidP="00C4292D">
            <w:pPr>
              <w:spacing w:before="60" w:after="60"/>
              <w:rPr>
                <w:rFonts w:ascii="Arial" w:hAnsi="Arial"/>
                <w:b/>
                <w:sz w:val="24"/>
                <w:lang w:val="en-AU"/>
              </w:rPr>
            </w:pPr>
            <w:r w:rsidRPr="003E76E7">
              <w:rPr>
                <w:rFonts w:cs="Times New Roman"/>
                <w:b/>
                <w:szCs w:val="20"/>
                <w:lang w:val="en-AU"/>
              </w:rPr>
              <w:lastRenderedPageBreak/>
              <w:t>The Australian Trade and Investment Commission (Austrade)</w:t>
            </w:r>
          </w:p>
        </w:tc>
      </w:tr>
      <w:tr w:rsidR="0054625A" w:rsidRPr="003E76E7" w14:paraId="27CE4EE8" w14:textId="77777777" w:rsidTr="0054625A">
        <w:tblPrEx>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108" w:type="dxa"/>
            <w:right w:w="108" w:type="dxa"/>
          </w:tblCellMar>
          <w:tblLook w:val="0000" w:firstRow="0" w:lastRow="0" w:firstColumn="0" w:lastColumn="0" w:noHBand="0" w:noVBand="0"/>
        </w:tblPrEx>
        <w:trPr>
          <w:trHeight w:val="113"/>
        </w:trPr>
        <w:tc>
          <w:tcPr>
            <w:tcW w:w="5000" w:type="pct"/>
          </w:tcPr>
          <w:p w14:paraId="5DC9F524" w14:textId="5CB8B730" w:rsidR="0054625A" w:rsidRPr="003E76E7" w:rsidRDefault="0054625A" w:rsidP="00C4292D">
            <w:pPr>
              <w:spacing w:before="60" w:after="60"/>
              <w:rPr>
                <w:rFonts w:cs="Times New Roman"/>
                <w:szCs w:val="20"/>
                <w:lang w:val="en-AU"/>
              </w:rPr>
            </w:pPr>
            <w:r w:rsidRPr="003E76E7">
              <w:rPr>
                <w:rFonts w:cs="Times New Roman"/>
                <w:szCs w:val="20"/>
                <w:lang w:val="en-AU"/>
              </w:rPr>
              <w:t xml:space="preserve">Program 1.1 </w:t>
            </w:r>
            <w:r w:rsidR="00722810" w:rsidRPr="003E76E7">
              <w:rPr>
                <w:rFonts w:cs="Times New Roman"/>
                <w:szCs w:val="20"/>
                <w:lang w:val="en-AU"/>
              </w:rPr>
              <w:t>-</w:t>
            </w:r>
            <w:r w:rsidRPr="003E76E7">
              <w:rPr>
                <w:rFonts w:cs="Times New Roman"/>
                <w:szCs w:val="20"/>
                <w:lang w:val="en-AU"/>
              </w:rPr>
              <w:t xml:space="preserve"> </w:t>
            </w:r>
            <w:r w:rsidR="004C32F2" w:rsidRPr="003E76E7">
              <w:t>Supporting Australian exporters to expand internationally, attracting productive international investment, and growing visitor economy</w:t>
            </w:r>
            <w:r w:rsidR="006E48A1" w:rsidRPr="003E76E7">
              <w:t>.</w:t>
            </w:r>
          </w:p>
        </w:tc>
      </w:tr>
      <w:tr w:rsidR="0054625A" w:rsidRPr="003E76E7" w14:paraId="4A4CF585" w14:textId="77777777" w:rsidTr="0054625A">
        <w:tblPrEx>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108" w:type="dxa"/>
            <w:right w:w="108" w:type="dxa"/>
          </w:tblCellMar>
          <w:tblLook w:val="0000" w:firstRow="0" w:lastRow="0" w:firstColumn="0" w:lastColumn="0" w:noHBand="0" w:noVBand="0"/>
        </w:tblPrEx>
        <w:trPr>
          <w:trHeight w:val="113"/>
        </w:trPr>
        <w:tc>
          <w:tcPr>
            <w:tcW w:w="5000" w:type="pct"/>
          </w:tcPr>
          <w:p w14:paraId="30B5D22E" w14:textId="77777777" w:rsidR="0054625A" w:rsidRPr="003E76E7" w:rsidRDefault="0054625A" w:rsidP="00C4292D">
            <w:pPr>
              <w:spacing w:before="60" w:after="60"/>
              <w:rPr>
                <w:rFonts w:cs="Times New Roman"/>
                <w:b/>
                <w:szCs w:val="20"/>
                <w:lang w:val="en-AU"/>
              </w:rPr>
            </w:pPr>
            <w:r w:rsidRPr="003E76E7">
              <w:rPr>
                <w:rFonts w:cs="Times New Roman"/>
                <w:b/>
                <w:szCs w:val="20"/>
                <w:lang w:val="en-AU"/>
              </w:rPr>
              <w:t xml:space="preserve">Contribution to Outcome </w:t>
            </w:r>
            <w:r w:rsidR="00722E2D" w:rsidRPr="003E76E7">
              <w:rPr>
                <w:rFonts w:cs="Times New Roman"/>
                <w:b/>
                <w:szCs w:val="20"/>
                <w:lang w:val="en-AU"/>
              </w:rPr>
              <w:t>2</w:t>
            </w:r>
            <w:r w:rsidRPr="003E76E7">
              <w:rPr>
                <w:rFonts w:cs="Times New Roman"/>
                <w:b/>
                <w:szCs w:val="20"/>
                <w:lang w:val="en-AU"/>
              </w:rPr>
              <w:t xml:space="preserve"> by linked programs</w:t>
            </w:r>
          </w:p>
        </w:tc>
      </w:tr>
      <w:tr w:rsidR="0054625A" w:rsidRPr="003E76E7" w14:paraId="43F64C5A" w14:textId="77777777" w:rsidTr="0054625A">
        <w:tblPrEx>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108" w:type="dxa"/>
            <w:right w:w="108" w:type="dxa"/>
          </w:tblCellMar>
          <w:tblLook w:val="0000" w:firstRow="0" w:lastRow="0" w:firstColumn="0" w:lastColumn="0" w:noHBand="0" w:noVBand="0"/>
        </w:tblPrEx>
        <w:trPr>
          <w:trHeight w:val="113"/>
        </w:trPr>
        <w:tc>
          <w:tcPr>
            <w:tcW w:w="5000" w:type="pct"/>
          </w:tcPr>
          <w:p w14:paraId="0573BBBF" w14:textId="65F3EB63" w:rsidR="0054625A" w:rsidRPr="003E76E7" w:rsidRDefault="0054625A" w:rsidP="00C4292D">
            <w:pPr>
              <w:spacing w:before="60" w:after="60"/>
              <w:rPr>
                <w:rFonts w:cs="Times New Roman"/>
                <w:szCs w:val="20"/>
                <w:lang w:val="en-AU"/>
              </w:rPr>
            </w:pPr>
            <w:r w:rsidRPr="003E76E7">
              <w:rPr>
                <w:rFonts w:cs="Segoe UI"/>
                <w:color w:val="000000"/>
                <w:szCs w:val="20"/>
              </w:rPr>
              <w:t>Implementation of the Government’s Defence Export Strategy is led by Defence</w:t>
            </w:r>
            <w:r w:rsidR="007E7C7E" w:rsidRPr="003E76E7">
              <w:rPr>
                <w:rFonts w:cs="Segoe UI"/>
                <w:color w:val="000000"/>
                <w:szCs w:val="20"/>
              </w:rPr>
              <w:t xml:space="preserve">. </w:t>
            </w:r>
            <w:r w:rsidRPr="003E76E7">
              <w:rPr>
                <w:rFonts w:cs="Segoe UI"/>
                <w:color w:val="000000"/>
                <w:szCs w:val="20"/>
              </w:rPr>
              <w:t xml:space="preserve">This </w:t>
            </w:r>
            <w:r w:rsidR="00163783" w:rsidRPr="003E76E7">
              <w:rPr>
                <w:rFonts w:cs="Segoe UI"/>
                <w:color w:val="000000"/>
                <w:szCs w:val="20"/>
              </w:rPr>
              <w:t xml:space="preserve">is </w:t>
            </w:r>
            <w:r w:rsidRPr="003E76E7">
              <w:rPr>
                <w:rFonts w:cs="Segoe UI"/>
                <w:color w:val="000000"/>
                <w:szCs w:val="20"/>
              </w:rPr>
              <w:t>provid</w:t>
            </w:r>
            <w:r w:rsidR="00163783" w:rsidRPr="003E76E7">
              <w:rPr>
                <w:rFonts w:cs="Segoe UI"/>
                <w:color w:val="000000"/>
                <w:szCs w:val="20"/>
              </w:rPr>
              <w:t>ing</w:t>
            </w:r>
            <w:r w:rsidRPr="003E76E7">
              <w:rPr>
                <w:rFonts w:cs="Segoe UI"/>
                <w:color w:val="000000"/>
                <w:szCs w:val="20"/>
              </w:rPr>
              <w:t xml:space="preserve"> a </w:t>
            </w:r>
            <w:r w:rsidR="00DB5DCF" w:rsidRPr="003E76E7">
              <w:rPr>
                <w:rFonts w:cs="Segoe UI"/>
                <w:color w:val="000000"/>
                <w:szCs w:val="20"/>
              </w:rPr>
              <w:t>w</w:t>
            </w:r>
            <w:r w:rsidRPr="003E76E7">
              <w:rPr>
                <w:rFonts w:cs="Segoe UI"/>
                <w:color w:val="000000"/>
                <w:szCs w:val="20"/>
              </w:rPr>
              <w:t>hole-of-</w:t>
            </w:r>
            <w:r w:rsidR="00DB5DCF" w:rsidRPr="003E76E7">
              <w:rPr>
                <w:rFonts w:cs="Segoe UI"/>
                <w:color w:val="000000"/>
                <w:szCs w:val="20"/>
              </w:rPr>
              <w:t>g</w:t>
            </w:r>
            <w:r w:rsidRPr="003E76E7">
              <w:rPr>
                <w:rFonts w:cs="Segoe UI"/>
                <w:color w:val="000000"/>
                <w:szCs w:val="20"/>
              </w:rPr>
              <w:t>overnment coordinated approach to supporti</w:t>
            </w:r>
            <w:r w:rsidR="0014365C" w:rsidRPr="003E76E7">
              <w:rPr>
                <w:rFonts w:cs="Segoe UI"/>
                <w:color w:val="000000"/>
                <w:szCs w:val="20"/>
              </w:rPr>
              <w:t>ng Australian defence industry. C</w:t>
            </w:r>
            <w:r w:rsidRPr="003E76E7">
              <w:rPr>
                <w:rFonts w:cs="Segoe UI"/>
                <w:color w:val="000000"/>
                <w:szCs w:val="20"/>
              </w:rPr>
              <w:t>ooperation with Austrade is focused on growing exports to underpin sustainability and growth al</w:t>
            </w:r>
            <w:r w:rsidR="000666D9" w:rsidRPr="003E76E7">
              <w:rPr>
                <w:rFonts w:cs="Segoe UI"/>
                <w:color w:val="000000"/>
                <w:szCs w:val="20"/>
              </w:rPr>
              <w:t xml:space="preserve">igned with national </w:t>
            </w:r>
            <w:r w:rsidR="00C50CF3" w:rsidRPr="003E76E7">
              <w:rPr>
                <w:rFonts w:cs="Segoe UI"/>
                <w:color w:val="000000"/>
                <w:szCs w:val="20"/>
              </w:rPr>
              <w:t xml:space="preserve">security </w:t>
            </w:r>
            <w:r w:rsidR="000666D9" w:rsidRPr="003E76E7">
              <w:rPr>
                <w:rFonts w:cs="Segoe UI"/>
                <w:color w:val="000000"/>
                <w:szCs w:val="20"/>
              </w:rPr>
              <w:t>priorities.</w:t>
            </w:r>
            <w:r w:rsidR="009911FD" w:rsidRPr="003E76E7">
              <w:rPr>
                <w:rFonts w:cs="Segoe UI"/>
                <w:color w:val="000000"/>
                <w:szCs w:val="20"/>
              </w:rPr>
              <w:t xml:space="preserve"> Defence Export Controls issues authorisations for </w:t>
            </w:r>
            <w:r w:rsidR="008F7D34" w:rsidRPr="003E76E7">
              <w:rPr>
                <w:rFonts w:cs="Segoe UI"/>
                <w:color w:val="000000"/>
                <w:szCs w:val="20"/>
              </w:rPr>
              <w:t xml:space="preserve">the export of </w:t>
            </w:r>
            <w:r w:rsidR="009911FD" w:rsidRPr="003E76E7">
              <w:rPr>
                <w:rFonts w:cs="Segoe UI"/>
                <w:color w:val="000000"/>
                <w:szCs w:val="20"/>
              </w:rPr>
              <w:t>goods and technology subject to permit requirements.</w:t>
            </w:r>
          </w:p>
        </w:tc>
      </w:tr>
    </w:tbl>
    <w:p w14:paraId="5ADBFADA" w14:textId="497EBE9E" w:rsidR="00B377A6" w:rsidRPr="003E76E7" w:rsidRDefault="00A343B8" w:rsidP="00C4292D">
      <w:r w:rsidRPr="003E76E7">
        <w:br w:type="page"/>
      </w:r>
    </w:p>
    <w:p w14:paraId="44335516" w14:textId="77777777" w:rsidR="00BF36E5" w:rsidRPr="003E76E7" w:rsidRDefault="00792473" w:rsidP="00C4292D">
      <w:pPr>
        <w:pStyle w:val="Heading4level5"/>
        <w:spacing w:before="0" w:after="200"/>
      </w:pPr>
      <w:r w:rsidRPr="003E76E7">
        <w:lastRenderedPageBreak/>
        <w:t>Outcome 2 Resources</w:t>
      </w:r>
    </w:p>
    <w:p w14:paraId="0054094F" w14:textId="0A6641C6" w:rsidR="00BF36E5" w:rsidRPr="003E76E7" w:rsidRDefault="00BF36E5" w:rsidP="00C4292D">
      <w:pPr>
        <w:pStyle w:val="TableHeading"/>
        <w:numPr>
          <w:ilvl w:val="0"/>
          <w:numId w:val="61"/>
        </w:numPr>
        <w:spacing w:before="100"/>
        <w:ind w:left="0" w:firstLine="0"/>
        <w:outlineLvl w:val="4"/>
        <w:rPr>
          <w:lang w:val="en-AU"/>
        </w:rPr>
      </w:pPr>
      <w:r w:rsidRPr="003E76E7">
        <w:rPr>
          <w:lang w:val="en-AU"/>
        </w:rPr>
        <w:t>Total Budgeted Re</w:t>
      </w:r>
      <w:r w:rsidR="00C8207E" w:rsidRPr="003E76E7">
        <w:rPr>
          <w:lang w:val="en-AU"/>
        </w:rPr>
        <w:t>sources Available for Outcome 2</w:t>
      </w:r>
    </w:p>
    <w:p w14:paraId="32F5C6C9" w14:textId="4CF0BE24" w:rsidR="00986F28" w:rsidRPr="003E76E7" w:rsidRDefault="001313B1" w:rsidP="00C4292D">
      <w:pPr>
        <w:spacing w:after="0"/>
      </w:pPr>
      <w:r w:rsidRPr="001313B1">
        <w:rPr>
          <w:noProof/>
          <w:lang w:val="en-AU"/>
        </w:rPr>
        <w:drawing>
          <wp:inline distT="0" distB="0" distL="0" distR="0" wp14:anchorId="2FC641E4" wp14:editId="58A98220">
            <wp:extent cx="5471795" cy="7550801"/>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71795" cy="7550801"/>
                    </a:xfrm>
                    <a:prstGeom prst="rect">
                      <a:avLst/>
                    </a:prstGeom>
                    <a:noFill/>
                    <a:ln>
                      <a:noFill/>
                    </a:ln>
                  </pic:spPr>
                </pic:pic>
              </a:graphicData>
            </a:graphic>
          </wp:inline>
        </w:drawing>
      </w:r>
    </w:p>
    <w:p w14:paraId="076E1E54" w14:textId="5503875A" w:rsidR="001B542D" w:rsidRPr="003E76E7" w:rsidRDefault="00933FBD" w:rsidP="00C4292D">
      <w:pPr>
        <w:pStyle w:val="TableHeading"/>
        <w:spacing w:before="120"/>
        <w:rPr>
          <w:szCs w:val="20"/>
        </w:rPr>
      </w:pPr>
      <w:r w:rsidRPr="003E76E7">
        <w:rPr>
          <w:szCs w:val="20"/>
        </w:rPr>
        <w:br w:type="page"/>
      </w:r>
      <w:r w:rsidR="007F6FA2" w:rsidRPr="003E76E7">
        <w:rPr>
          <w:szCs w:val="20"/>
        </w:rPr>
        <w:lastRenderedPageBreak/>
        <w:t>Table 1</w:t>
      </w:r>
      <w:r w:rsidR="008106F6" w:rsidRPr="003E76E7">
        <w:rPr>
          <w:szCs w:val="20"/>
        </w:rPr>
        <w:t>6</w:t>
      </w:r>
      <w:r w:rsidR="007F6FA2" w:rsidRPr="003E76E7">
        <w:rPr>
          <w:szCs w:val="20"/>
        </w:rPr>
        <w:t xml:space="preserve">: Total </w:t>
      </w:r>
      <w:r w:rsidR="007F6FA2" w:rsidRPr="003E76E7">
        <w:t>Budgeted</w:t>
      </w:r>
      <w:r w:rsidR="007F6FA2" w:rsidRPr="003E76E7">
        <w:rPr>
          <w:szCs w:val="20"/>
        </w:rPr>
        <w:t xml:space="preserve"> Resources Available for Outcome 2 (continued)</w:t>
      </w:r>
    </w:p>
    <w:p w14:paraId="51AA6159" w14:textId="7C88D588" w:rsidR="00433070" w:rsidRPr="003E76E7" w:rsidRDefault="00430E62" w:rsidP="00C4292D">
      <w:pPr>
        <w:spacing w:after="0"/>
      </w:pPr>
      <w:r w:rsidRPr="00430E62">
        <w:rPr>
          <w:noProof/>
          <w:lang w:val="en-AU"/>
        </w:rPr>
        <w:drawing>
          <wp:inline distT="0" distB="0" distL="0" distR="0" wp14:anchorId="2B7D3C57" wp14:editId="45DFD967">
            <wp:extent cx="5590030" cy="6233242"/>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597357" cy="6241412"/>
                    </a:xfrm>
                    <a:prstGeom prst="rect">
                      <a:avLst/>
                    </a:prstGeom>
                    <a:noFill/>
                    <a:ln>
                      <a:noFill/>
                    </a:ln>
                  </pic:spPr>
                </pic:pic>
              </a:graphicData>
            </a:graphic>
          </wp:inline>
        </w:drawing>
      </w:r>
    </w:p>
    <w:p w14:paraId="1912F094" w14:textId="77777777" w:rsidR="00B03262" w:rsidRPr="003E76E7" w:rsidRDefault="00B03262" w:rsidP="00C4292D">
      <w:pPr>
        <w:spacing w:before="0" w:after="0"/>
        <w:rPr>
          <w:rFonts w:ascii="Arial" w:hAnsi="Arial"/>
          <w:b/>
          <w:sz w:val="14"/>
          <w:szCs w:val="14"/>
        </w:rPr>
      </w:pPr>
    </w:p>
    <w:p w14:paraId="242C9223" w14:textId="77777777" w:rsidR="004B16DA" w:rsidRDefault="004B16DA">
      <w:pPr>
        <w:spacing w:before="0" w:after="0"/>
        <w:rPr>
          <w:rFonts w:ascii="Arial" w:hAnsi="Arial"/>
          <w:b/>
          <w:sz w:val="14"/>
          <w:szCs w:val="14"/>
        </w:rPr>
      </w:pPr>
      <w:r>
        <w:rPr>
          <w:rFonts w:ascii="Arial" w:hAnsi="Arial"/>
          <w:b/>
          <w:sz w:val="14"/>
          <w:szCs w:val="14"/>
        </w:rPr>
        <w:br w:type="page"/>
      </w:r>
    </w:p>
    <w:p w14:paraId="4DB13FF0" w14:textId="52DA84FC" w:rsidR="00173D21" w:rsidRPr="003E76E7" w:rsidRDefault="005E30AB" w:rsidP="00C4292D">
      <w:pPr>
        <w:spacing w:before="0" w:after="0"/>
        <w:rPr>
          <w:rFonts w:ascii="Arial" w:hAnsi="Arial"/>
          <w:b/>
          <w:sz w:val="14"/>
          <w:szCs w:val="14"/>
        </w:rPr>
      </w:pPr>
      <w:r w:rsidRPr="003E76E7">
        <w:rPr>
          <w:rFonts w:ascii="Arial" w:hAnsi="Arial"/>
          <w:b/>
          <w:sz w:val="14"/>
          <w:szCs w:val="14"/>
        </w:rPr>
        <w:lastRenderedPageBreak/>
        <w:t>Notes</w:t>
      </w:r>
    </w:p>
    <w:p w14:paraId="0F597563" w14:textId="584D9D0A" w:rsidR="00D2256E" w:rsidRPr="003E76E7" w:rsidRDefault="00D2256E" w:rsidP="00C4292D">
      <w:pPr>
        <w:pStyle w:val="ListParagraph"/>
        <w:numPr>
          <w:ilvl w:val="0"/>
          <w:numId w:val="132"/>
        </w:numPr>
        <w:spacing w:before="0" w:after="0"/>
        <w:ind w:left="284" w:hanging="284"/>
        <w:rPr>
          <w:rFonts w:ascii="Arial" w:hAnsi="Arial" w:cs="Times New Roman"/>
          <w:bCs/>
          <w:sz w:val="14"/>
          <w:szCs w:val="14"/>
        </w:rPr>
      </w:pPr>
      <w:r w:rsidRPr="003E76E7">
        <w:rPr>
          <w:rFonts w:ascii="Arial" w:hAnsi="Arial" w:cs="Times New Roman"/>
          <w:bCs/>
          <w:sz w:val="14"/>
          <w:szCs w:val="14"/>
        </w:rPr>
        <w:t>The Defence Finance revenue from other sources includes receip</w:t>
      </w:r>
      <w:r w:rsidR="0063528E" w:rsidRPr="003E76E7">
        <w:rPr>
          <w:rFonts w:ascii="Arial" w:hAnsi="Arial" w:cs="Times New Roman"/>
          <w:bCs/>
          <w:sz w:val="14"/>
          <w:szCs w:val="14"/>
        </w:rPr>
        <w:t>ts/</w:t>
      </w:r>
      <w:r w:rsidRPr="003E76E7">
        <w:rPr>
          <w:rFonts w:ascii="Arial" w:hAnsi="Arial" w:cs="Times New Roman"/>
          <w:bCs/>
          <w:sz w:val="14"/>
          <w:szCs w:val="14"/>
        </w:rPr>
        <w:t xml:space="preserve">refunds from other </w:t>
      </w:r>
      <w:r w:rsidR="0063528E" w:rsidRPr="003E76E7">
        <w:rPr>
          <w:rFonts w:ascii="Arial" w:hAnsi="Arial" w:cs="Times New Roman"/>
          <w:bCs/>
          <w:sz w:val="14"/>
          <w:szCs w:val="14"/>
        </w:rPr>
        <w:t>agencies that are managed centrally.</w:t>
      </w:r>
    </w:p>
    <w:p w14:paraId="75F90544" w14:textId="0C7DF39C" w:rsidR="00D2256E" w:rsidRPr="003E76E7" w:rsidRDefault="00D2256E" w:rsidP="00C4292D">
      <w:pPr>
        <w:pStyle w:val="ListParagraph"/>
        <w:numPr>
          <w:ilvl w:val="0"/>
          <w:numId w:val="132"/>
        </w:numPr>
        <w:spacing w:before="0" w:after="0"/>
        <w:ind w:left="284" w:hanging="284"/>
        <w:rPr>
          <w:rFonts w:ascii="Arial" w:hAnsi="Arial" w:cs="Times New Roman"/>
          <w:bCs/>
          <w:sz w:val="14"/>
          <w:szCs w:val="14"/>
        </w:rPr>
      </w:pPr>
      <w:r w:rsidRPr="003E76E7">
        <w:rPr>
          <w:rFonts w:ascii="Arial" w:hAnsi="Arial" w:cs="Times New Roman"/>
          <w:bCs/>
          <w:sz w:val="14"/>
          <w:szCs w:val="14"/>
        </w:rPr>
        <w:t xml:space="preserve">Includes estimated resourcing used to meet payments for Defence Force Superannuation Nominal Interest under </w:t>
      </w:r>
      <w:r w:rsidR="0063528E" w:rsidRPr="003E76E7">
        <w:rPr>
          <w:rFonts w:ascii="Arial" w:hAnsi="Arial" w:cs="Times New Roman"/>
          <w:bCs/>
          <w:sz w:val="14"/>
          <w:szCs w:val="14"/>
        </w:rPr>
        <w:br/>
      </w:r>
      <w:r w:rsidRPr="003E76E7">
        <w:rPr>
          <w:rFonts w:ascii="Arial" w:hAnsi="Arial" w:cs="Times New Roman"/>
          <w:bCs/>
          <w:i/>
          <w:sz w:val="14"/>
          <w:szCs w:val="14"/>
        </w:rPr>
        <w:t xml:space="preserve">Military Superannuation and Benefits Act, 1991 Part V, s.17. </w:t>
      </w:r>
      <w:r w:rsidRPr="003E76E7">
        <w:rPr>
          <w:rFonts w:ascii="Arial" w:hAnsi="Arial" w:cs="Times New Roman"/>
          <w:bCs/>
          <w:i/>
          <w:sz w:val="14"/>
          <w:szCs w:val="14"/>
        </w:rPr>
        <w:tab/>
      </w:r>
      <w:r w:rsidRPr="003E76E7">
        <w:rPr>
          <w:rFonts w:ascii="Arial" w:hAnsi="Arial" w:cs="Times New Roman"/>
          <w:bCs/>
          <w:i/>
          <w:sz w:val="14"/>
          <w:szCs w:val="14"/>
        </w:rPr>
        <w:tab/>
      </w:r>
      <w:r w:rsidRPr="003E76E7">
        <w:rPr>
          <w:rFonts w:ascii="Arial" w:hAnsi="Arial" w:cs="Times New Roman"/>
          <w:bCs/>
          <w:i/>
          <w:sz w:val="14"/>
          <w:szCs w:val="14"/>
        </w:rPr>
        <w:tab/>
      </w:r>
      <w:r w:rsidRPr="003E76E7">
        <w:rPr>
          <w:rFonts w:ascii="Arial" w:hAnsi="Arial" w:cs="Times New Roman"/>
          <w:bCs/>
          <w:i/>
          <w:sz w:val="14"/>
          <w:szCs w:val="14"/>
        </w:rPr>
        <w:tab/>
      </w:r>
      <w:r w:rsidRPr="003E76E7">
        <w:rPr>
          <w:rFonts w:ascii="Arial" w:hAnsi="Arial" w:cs="Times New Roman"/>
          <w:bCs/>
          <w:i/>
          <w:sz w:val="14"/>
          <w:szCs w:val="14"/>
        </w:rPr>
        <w:tab/>
      </w:r>
    </w:p>
    <w:p w14:paraId="6D4C0BA5" w14:textId="001E71FB" w:rsidR="00D2256E" w:rsidRPr="003E76E7" w:rsidRDefault="00D2256E" w:rsidP="00C4292D">
      <w:pPr>
        <w:pStyle w:val="ListParagraph"/>
        <w:numPr>
          <w:ilvl w:val="0"/>
          <w:numId w:val="132"/>
        </w:numPr>
        <w:spacing w:before="0" w:after="0"/>
        <w:ind w:left="284" w:hanging="284"/>
        <w:rPr>
          <w:rFonts w:ascii="Arial" w:hAnsi="Arial" w:cs="Times New Roman"/>
          <w:bCs/>
          <w:sz w:val="14"/>
          <w:szCs w:val="14"/>
        </w:rPr>
      </w:pPr>
      <w:r w:rsidRPr="003E76E7">
        <w:rPr>
          <w:rFonts w:ascii="Arial" w:hAnsi="Arial" w:cs="Times New Roman"/>
          <w:bCs/>
          <w:sz w:val="14"/>
          <w:szCs w:val="14"/>
        </w:rPr>
        <w:t xml:space="preserve">Figures for 2025-26 have been calculated using the applicable Australian Accounting Standards Board (AASB) 119 interest rate. Forward years are estimated based on the discount rate determined by the superannuation scheme actuaries in preparing the latest Long Term Cost Reports, being CPI plus 2.5 per cent. </w:t>
      </w:r>
      <w:r w:rsidRPr="003E76E7">
        <w:rPr>
          <w:rFonts w:ascii="Arial" w:hAnsi="Arial" w:cs="Times New Roman"/>
          <w:bCs/>
          <w:sz w:val="14"/>
          <w:szCs w:val="14"/>
        </w:rPr>
        <w:tab/>
      </w:r>
      <w:r w:rsidRPr="003E76E7">
        <w:rPr>
          <w:rFonts w:ascii="Arial" w:hAnsi="Arial" w:cs="Times New Roman"/>
          <w:bCs/>
          <w:sz w:val="14"/>
          <w:szCs w:val="14"/>
        </w:rPr>
        <w:tab/>
      </w:r>
      <w:r w:rsidRPr="003E76E7">
        <w:rPr>
          <w:rFonts w:ascii="Arial" w:hAnsi="Arial" w:cs="Times New Roman"/>
          <w:bCs/>
          <w:sz w:val="14"/>
          <w:szCs w:val="14"/>
        </w:rPr>
        <w:tab/>
      </w:r>
      <w:r w:rsidRPr="003E76E7">
        <w:rPr>
          <w:rFonts w:ascii="Arial" w:hAnsi="Arial" w:cs="Times New Roman"/>
          <w:bCs/>
          <w:sz w:val="14"/>
          <w:szCs w:val="14"/>
        </w:rPr>
        <w:tab/>
      </w:r>
      <w:r w:rsidRPr="003E76E7">
        <w:rPr>
          <w:rFonts w:ascii="Arial" w:hAnsi="Arial" w:cs="Times New Roman"/>
          <w:bCs/>
          <w:sz w:val="14"/>
          <w:szCs w:val="14"/>
        </w:rPr>
        <w:tab/>
      </w:r>
    </w:p>
    <w:p w14:paraId="1967A238" w14:textId="5BE52B08" w:rsidR="00D2256E" w:rsidRPr="003E76E7" w:rsidRDefault="00D2256E" w:rsidP="00C4292D">
      <w:pPr>
        <w:pStyle w:val="ListParagraph"/>
        <w:numPr>
          <w:ilvl w:val="0"/>
          <w:numId w:val="132"/>
        </w:numPr>
        <w:spacing w:before="0" w:after="0"/>
        <w:ind w:left="284" w:hanging="284"/>
        <w:rPr>
          <w:rFonts w:ascii="Arial" w:hAnsi="Arial" w:cs="Times New Roman"/>
          <w:bCs/>
          <w:sz w:val="14"/>
          <w:szCs w:val="14"/>
        </w:rPr>
      </w:pPr>
      <w:r w:rsidRPr="003E76E7">
        <w:rPr>
          <w:rFonts w:ascii="Arial" w:hAnsi="Arial" w:cs="Times New Roman"/>
          <w:bCs/>
          <w:sz w:val="14"/>
          <w:szCs w:val="14"/>
        </w:rPr>
        <w:t>The expenditure for the 2025-26 Estimated Actual reflects a movement of funds of $2.0 billion from 2027-28 to 2025-26 towards increased preparedness in Sustainment and the acceleration of Capability.</w:t>
      </w:r>
      <w:r w:rsidRPr="003E76E7">
        <w:rPr>
          <w:rFonts w:ascii="Arial" w:hAnsi="Arial" w:cs="Times New Roman"/>
          <w:bCs/>
          <w:sz w:val="14"/>
          <w:szCs w:val="14"/>
        </w:rPr>
        <w:tab/>
      </w:r>
      <w:r w:rsidRPr="003E76E7">
        <w:rPr>
          <w:rFonts w:ascii="Arial" w:hAnsi="Arial" w:cs="Times New Roman"/>
          <w:bCs/>
          <w:sz w:val="14"/>
          <w:szCs w:val="14"/>
        </w:rPr>
        <w:tab/>
      </w:r>
      <w:r w:rsidRPr="003E76E7">
        <w:rPr>
          <w:rFonts w:ascii="Arial" w:hAnsi="Arial" w:cs="Times New Roman"/>
          <w:bCs/>
          <w:sz w:val="14"/>
          <w:szCs w:val="14"/>
        </w:rPr>
        <w:tab/>
      </w:r>
      <w:r w:rsidRPr="003E76E7">
        <w:rPr>
          <w:rFonts w:ascii="Arial" w:hAnsi="Arial" w:cs="Times New Roman"/>
          <w:bCs/>
          <w:sz w:val="14"/>
          <w:szCs w:val="14"/>
        </w:rPr>
        <w:tab/>
      </w:r>
      <w:r w:rsidRPr="003E76E7">
        <w:rPr>
          <w:rFonts w:ascii="Arial" w:hAnsi="Arial" w:cs="Times New Roman"/>
          <w:bCs/>
          <w:sz w:val="14"/>
          <w:szCs w:val="14"/>
        </w:rPr>
        <w:tab/>
      </w:r>
    </w:p>
    <w:p w14:paraId="37C6F9C3" w14:textId="05FF249C" w:rsidR="00D2256E" w:rsidRPr="003E76E7" w:rsidRDefault="00D2256E" w:rsidP="00C4292D">
      <w:pPr>
        <w:pStyle w:val="ListParagraph"/>
        <w:numPr>
          <w:ilvl w:val="0"/>
          <w:numId w:val="132"/>
        </w:numPr>
        <w:spacing w:before="0" w:after="0"/>
        <w:ind w:left="284" w:hanging="284"/>
        <w:rPr>
          <w:rFonts w:ascii="Arial" w:hAnsi="Arial" w:cs="Times New Roman"/>
          <w:bCs/>
          <w:sz w:val="14"/>
          <w:szCs w:val="14"/>
        </w:rPr>
      </w:pPr>
      <w:r w:rsidRPr="003E76E7">
        <w:rPr>
          <w:rFonts w:ascii="Arial" w:hAnsi="Arial" w:cs="Times New Roman"/>
          <w:bCs/>
          <w:sz w:val="14"/>
          <w:szCs w:val="14"/>
        </w:rPr>
        <w:t>The funding increase in 2025-26 of $900 million is to partly address Defence's ongoing working capital requirements. The adjustment provides an increase to cash reserves to meet Defence industry commitments as and when they fall due for payments. Refer Table 1</w:t>
      </w:r>
      <w:r w:rsidR="0063528E" w:rsidRPr="003E76E7">
        <w:rPr>
          <w:rFonts w:ascii="Arial" w:hAnsi="Arial" w:cs="Times New Roman"/>
          <w:bCs/>
          <w:sz w:val="14"/>
          <w:szCs w:val="14"/>
        </w:rPr>
        <w:t>,</w:t>
      </w:r>
      <w:r w:rsidRPr="003E76E7">
        <w:rPr>
          <w:rFonts w:ascii="Arial" w:hAnsi="Arial" w:cs="Times New Roman"/>
          <w:bCs/>
          <w:sz w:val="14"/>
          <w:szCs w:val="14"/>
        </w:rPr>
        <w:t xml:space="preserve"> Serial 4. The increase to working capital in 2025-26 is represented by an equity injection and not as increased </w:t>
      </w:r>
      <w:r w:rsidR="008627F6">
        <w:rPr>
          <w:rFonts w:ascii="Arial" w:hAnsi="Arial" w:cs="Times New Roman"/>
          <w:bCs/>
          <w:sz w:val="14"/>
          <w:szCs w:val="14"/>
        </w:rPr>
        <w:t>D</w:t>
      </w:r>
      <w:r w:rsidRPr="003E76E7">
        <w:rPr>
          <w:rFonts w:ascii="Arial" w:hAnsi="Arial" w:cs="Times New Roman"/>
          <w:bCs/>
          <w:sz w:val="14"/>
          <w:szCs w:val="14"/>
        </w:rPr>
        <w:t>efence funding. This is because the injection was to be used to address existing expenditure commitments already incurred/recognised, the increase of appropriation will not impact planned expenditure levels in that financial year.</w:t>
      </w:r>
      <w:r w:rsidRPr="003E76E7">
        <w:rPr>
          <w:rFonts w:ascii="Arial" w:hAnsi="Arial" w:cs="Times New Roman"/>
          <w:bCs/>
          <w:sz w:val="14"/>
          <w:szCs w:val="14"/>
        </w:rPr>
        <w:tab/>
      </w:r>
      <w:r w:rsidRPr="003E76E7">
        <w:rPr>
          <w:rFonts w:ascii="Arial" w:hAnsi="Arial" w:cs="Times New Roman"/>
          <w:bCs/>
          <w:sz w:val="14"/>
          <w:szCs w:val="14"/>
        </w:rPr>
        <w:tab/>
      </w:r>
      <w:r w:rsidRPr="003E76E7">
        <w:rPr>
          <w:rFonts w:ascii="Arial" w:hAnsi="Arial" w:cs="Times New Roman"/>
          <w:bCs/>
          <w:sz w:val="14"/>
          <w:szCs w:val="14"/>
        </w:rPr>
        <w:tab/>
      </w:r>
      <w:r w:rsidRPr="003E76E7">
        <w:rPr>
          <w:rFonts w:ascii="Arial" w:hAnsi="Arial" w:cs="Times New Roman"/>
          <w:bCs/>
          <w:sz w:val="14"/>
          <w:szCs w:val="14"/>
        </w:rPr>
        <w:tab/>
      </w:r>
      <w:r w:rsidRPr="003E76E7">
        <w:rPr>
          <w:rFonts w:ascii="Arial" w:hAnsi="Arial" w:cs="Times New Roman"/>
          <w:bCs/>
          <w:sz w:val="14"/>
          <w:szCs w:val="14"/>
        </w:rPr>
        <w:tab/>
      </w:r>
    </w:p>
    <w:p w14:paraId="67688940" w14:textId="7891A7DB" w:rsidR="00D2256E" w:rsidRPr="003E76E7" w:rsidRDefault="00D2256E" w:rsidP="00C4292D">
      <w:pPr>
        <w:pStyle w:val="ListParagraph"/>
        <w:numPr>
          <w:ilvl w:val="0"/>
          <w:numId w:val="132"/>
        </w:numPr>
        <w:spacing w:before="0" w:after="0"/>
        <w:ind w:left="284" w:hanging="284"/>
        <w:rPr>
          <w:rFonts w:ascii="Arial" w:hAnsi="Arial" w:cs="Times New Roman"/>
          <w:bCs/>
          <w:sz w:val="14"/>
          <w:szCs w:val="14"/>
        </w:rPr>
      </w:pPr>
      <w:r w:rsidRPr="003E76E7">
        <w:rPr>
          <w:rFonts w:ascii="Arial" w:hAnsi="Arial" w:cs="Times New Roman"/>
          <w:bCs/>
          <w:sz w:val="14"/>
          <w:szCs w:val="14"/>
        </w:rPr>
        <w:t>The funding movement from 2027-28 to 2024-25 of $700 million was to partly address Defence’s ongoing working capital requirements. This adjustment provided short-term relief to increase cash reserves to meet Defence industry commitments as and when they fell due for payment. Refer Table 1</w:t>
      </w:r>
      <w:r w:rsidR="0063528E" w:rsidRPr="003E76E7">
        <w:rPr>
          <w:rFonts w:ascii="Arial" w:hAnsi="Arial" w:cs="Times New Roman"/>
          <w:bCs/>
          <w:sz w:val="14"/>
          <w:szCs w:val="14"/>
        </w:rPr>
        <w:t>,</w:t>
      </w:r>
      <w:r w:rsidRPr="003E76E7">
        <w:rPr>
          <w:rFonts w:ascii="Arial" w:hAnsi="Arial" w:cs="Times New Roman"/>
          <w:bCs/>
          <w:sz w:val="14"/>
          <w:szCs w:val="14"/>
        </w:rPr>
        <w:t xml:space="preserve"> Serial 4. While the increase in working capital in 2024-25 was by way of the movement of appropriation from 2027-28, the movement was represented as an equity injection and not as increased Defence funding. This is because the injection was used to address existing expenditure</w:t>
      </w:r>
      <w:r w:rsidR="0063528E" w:rsidRPr="003E76E7">
        <w:rPr>
          <w:rFonts w:ascii="Arial" w:hAnsi="Arial" w:cs="Times New Roman"/>
          <w:bCs/>
          <w:sz w:val="14"/>
          <w:szCs w:val="14"/>
        </w:rPr>
        <w:t xml:space="preserve"> commitments already incurred/</w:t>
      </w:r>
      <w:r w:rsidRPr="003E76E7">
        <w:rPr>
          <w:rFonts w:ascii="Arial" w:hAnsi="Arial" w:cs="Times New Roman"/>
          <w:bCs/>
          <w:sz w:val="14"/>
          <w:szCs w:val="14"/>
        </w:rPr>
        <w:t>recognised. In 2027-28, the reduction of appropriation will not impact planned capital expenditure levels as Government has agreed Defence will operate with a Net Capital Deficit in that financial year.</w:t>
      </w:r>
      <w:r w:rsidRPr="003E76E7">
        <w:rPr>
          <w:rFonts w:ascii="Arial" w:hAnsi="Arial" w:cs="Times New Roman"/>
          <w:bCs/>
          <w:sz w:val="14"/>
          <w:szCs w:val="14"/>
        </w:rPr>
        <w:tab/>
      </w:r>
      <w:r w:rsidRPr="003E76E7">
        <w:rPr>
          <w:rFonts w:ascii="Arial" w:hAnsi="Arial" w:cs="Times New Roman"/>
          <w:bCs/>
          <w:sz w:val="14"/>
          <w:szCs w:val="14"/>
        </w:rPr>
        <w:tab/>
      </w:r>
      <w:r w:rsidRPr="003E76E7">
        <w:rPr>
          <w:rFonts w:ascii="Arial" w:hAnsi="Arial" w:cs="Times New Roman"/>
          <w:bCs/>
          <w:sz w:val="14"/>
          <w:szCs w:val="14"/>
        </w:rPr>
        <w:tab/>
      </w:r>
      <w:r w:rsidRPr="003E76E7">
        <w:rPr>
          <w:rFonts w:ascii="Arial" w:hAnsi="Arial" w:cs="Times New Roman"/>
          <w:bCs/>
          <w:sz w:val="14"/>
          <w:szCs w:val="14"/>
        </w:rPr>
        <w:tab/>
      </w:r>
      <w:r w:rsidRPr="003E76E7">
        <w:rPr>
          <w:rFonts w:ascii="Arial" w:hAnsi="Arial" w:cs="Times New Roman"/>
          <w:bCs/>
          <w:sz w:val="14"/>
          <w:szCs w:val="14"/>
        </w:rPr>
        <w:tab/>
      </w:r>
    </w:p>
    <w:p w14:paraId="30664D2B" w14:textId="7F68ADFF" w:rsidR="00D2256E" w:rsidRPr="003E76E7" w:rsidRDefault="00D2256E" w:rsidP="00C4292D">
      <w:pPr>
        <w:pStyle w:val="ListParagraph"/>
        <w:numPr>
          <w:ilvl w:val="0"/>
          <w:numId w:val="132"/>
        </w:numPr>
        <w:spacing w:before="0" w:after="0"/>
        <w:ind w:left="284" w:hanging="284"/>
        <w:rPr>
          <w:rFonts w:ascii="Arial" w:hAnsi="Arial" w:cs="Times New Roman"/>
          <w:bCs/>
          <w:sz w:val="14"/>
          <w:szCs w:val="14"/>
        </w:rPr>
      </w:pPr>
      <w:r w:rsidRPr="003E76E7">
        <w:rPr>
          <w:rFonts w:ascii="Arial" w:hAnsi="Arial" w:cs="Times New Roman"/>
          <w:bCs/>
          <w:sz w:val="14"/>
          <w:szCs w:val="14"/>
        </w:rPr>
        <w:t>Includes estimated resourcing required to meet payments for the Defence Superannuation Benefits. Table 50 shows estimates of total expenses for the Defence Superannuation Schemes.</w:t>
      </w:r>
      <w:r w:rsidRPr="003E76E7">
        <w:rPr>
          <w:rFonts w:ascii="Arial" w:hAnsi="Arial" w:cs="Times New Roman"/>
          <w:bCs/>
          <w:sz w:val="14"/>
          <w:szCs w:val="14"/>
        </w:rPr>
        <w:tab/>
      </w:r>
      <w:r w:rsidRPr="003E76E7">
        <w:rPr>
          <w:rFonts w:ascii="Arial" w:hAnsi="Arial" w:cs="Times New Roman"/>
          <w:bCs/>
          <w:sz w:val="14"/>
          <w:szCs w:val="14"/>
        </w:rPr>
        <w:tab/>
      </w:r>
      <w:r w:rsidRPr="003E76E7">
        <w:rPr>
          <w:rFonts w:ascii="Arial" w:hAnsi="Arial" w:cs="Times New Roman"/>
          <w:bCs/>
          <w:sz w:val="14"/>
          <w:szCs w:val="14"/>
        </w:rPr>
        <w:tab/>
      </w:r>
      <w:r w:rsidRPr="003E76E7">
        <w:rPr>
          <w:rFonts w:ascii="Arial" w:hAnsi="Arial" w:cs="Times New Roman"/>
          <w:bCs/>
          <w:sz w:val="14"/>
          <w:szCs w:val="14"/>
        </w:rPr>
        <w:tab/>
      </w:r>
      <w:r w:rsidRPr="003E76E7">
        <w:rPr>
          <w:rFonts w:ascii="Arial" w:hAnsi="Arial" w:cs="Times New Roman"/>
          <w:bCs/>
          <w:sz w:val="14"/>
          <w:szCs w:val="14"/>
        </w:rPr>
        <w:tab/>
      </w:r>
    </w:p>
    <w:p w14:paraId="5FAB3A31" w14:textId="4A232E5C" w:rsidR="00D2256E" w:rsidRPr="003E76E7" w:rsidRDefault="00D2256E" w:rsidP="00C4292D">
      <w:pPr>
        <w:pStyle w:val="ListParagraph"/>
        <w:numPr>
          <w:ilvl w:val="0"/>
          <w:numId w:val="132"/>
        </w:numPr>
        <w:spacing w:before="0" w:after="0"/>
        <w:ind w:left="284" w:hanging="284"/>
        <w:rPr>
          <w:rFonts w:ascii="Arial" w:hAnsi="Arial" w:cs="Times New Roman"/>
          <w:bCs/>
          <w:sz w:val="14"/>
          <w:szCs w:val="14"/>
        </w:rPr>
      </w:pPr>
      <w:r w:rsidRPr="003E76E7">
        <w:rPr>
          <w:rFonts w:ascii="Arial" w:hAnsi="Arial" w:cs="Times New Roman"/>
          <w:bCs/>
          <w:sz w:val="14"/>
          <w:szCs w:val="14"/>
        </w:rPr>
        <w:t>Total Administered revenue from other sources comprises of Military superannuation contributions, competitive neutrality revenue received from Defence Housing Australia (DHA) and licence fees received under the Defence Home Ownership Assistance Scheme (DHOAS).</w:t>
      </w:r>
      <w:r w:rsidRPr="003E76E7">
        <w:rPr>
          <w:rFonts w:ascii="Arial" w:hAnsi="Arial" w:cs="Times New Roman"/>
          <w:bCs/>
          <w:sz w:val="14"/>
          <w:szCs w:val="14"/>
        </w:rPr>
        <w:tab/>
      </w:r>
      <w:r w:rsidRPr="003E76E7">
        <w:rPr>
          <w:rFonts w:ascii="Arial" w:hAnsi="Arial" w:cs="Times New Roman"/>
          <w:bCs/>
          <w:sz w:val="14"/>
          <w:szCs w:val="14"/>
        </w:rPr>
        <w:tab/>
      </w:r>
      <w:r w:rsidRPr="003E76E7">
        <w:rPr>
          <w:rFonts w:ascii="Arial" w:hAnsi="Arial" w:cs="Times New Roman"/>
          <w:bCs/>
          <w:sz w:val="14"/>
          <w:szCs w:val="14"/>
        </w:rPr>
        <w:tab/>
      </w:r>
      <w:r w:rsidRPr="003E76E7">
        <w:rPr>
          <w:rFonts w:ascii="Arial" w:hAnsi="Arial" w:cs="Times New Roman"/>
          <w:bCs/>
          <w:sz w:val="14"/>
          <w:szCs w:val="14"/>
        </w:rPr>
        <w:tab/>
      </w:r>
      <w:r w:rsidRPr="003E76E7">
        <w:rPr>
          <w:rFonts w:ascii="Arial" w:hAnsi="Arial" w:cs="Times New Roman"/>
          <w:bCs/>
          <w:sz w:val="14"/>
          <w:szCs w:val="14"/>
        </w:rPr>
        <w:tab/>
      </w:r>
    </w:p>
    <w:p w14:paraId="2859F798" w14:textId="595D9168" w:rsidR="0063528E" w:rsidRPr="003E76E7" w:rsidRDefault="00D2256E" w:rsidP="00C4292D">
      <w:pPr>
        <w:pStyle w:val="ListParagraph"/>
        <w:numPr>
          <w:ilvl w:val="0"/>
          <w:numId w:val="132"/>
        </w:numPr>
        <w:spacing w:before="0" w:after="0"/>
        <w:ind w:left="284" w:hanging="284"/>
        <w:rPr>
          <w:rFonts w:ascii="Arial" w:hAnsi="Arial" w:cs="Times New Roman"/>
          <w:bCs/>
          <w:sz w:val="14"/>
          <w:szCs w:val="14"/>
        </w:rPr>
      </w:pPr>
      <w:r w:rsidRPr="003E76E7">
        <w:rPr>
          <w:rFonts w:ascii="Arial" w:hAnsi="Arial" w:cs="Times New Roman"/>
          <w:bCs/>
          <w:sz w:val="14"/>
          <w:szCs w:val="14"/>
        </w:rPr>
        <w:t>Administered returns to the Official Public Account (OPA) are in relation to Administered revenue from activities performed by Defence on behalf of the Australian Government including administered receipts passed through from Superannuation programs to the OPA.</w:t>
      </w:r>
      <w:r w:rsidRPr="003E76E7">
        <w:rPr>
          <w:rFonts w:ascii="Arial" w:hAnsi="Arial" w:cs="Times New Roman"/>
          <w:bCs/>
          <w:sz w:val="14"/>
          <w:szCs w:val="14"/>
        </w:rPr>
        <w:tab/>
      </w:r>
      <w:r w:rsidRPr="003E76E7">
        <w:rPr>
          <w:rFonts w:ascii="Arial" w:hAnsi="Arial" w:cs="Times New Roman"/>
          <w:bCs/>
          <w:sz w:val="14"/>
          <w:szCs w:val="14"/>
        </w:rPr>
        <w:tab/>
      </w:r>
      <w:r w:rsidRPr="003E76E7">
        <w:rPr>
          <w:rFonts w:ascii="Arial" w:hAnsi="Arial" w:cs="Times New Roman"/>
          <w:bCs/>
          <w:sz w:val="14"/>
          <w:szCs w:val="14"/>
        </w:rPr>
        <w:tab/>
      </w:r>
      <w:r w:rsidRPr="003E76E7">
        <w:rPr>
          <w:rFonts w:ascii="Arial" w:hAnsi="Arial" w:cs="Times New Roman"/>
          <w:bCs/>
          <w:sz w:val="14"/>
          <w:szCs w:val="14"/>
        </w:rPr>
        <w:tab/>
      </w:r>
      <w:r w:rsidRPr="003E76E7">
        <w:rPr>
          <w:rFonts w:ascii="Arial" w:hAnsi="Arial" w:cs="Times New Roman"/>
          <w:bCs/>
          <w:sz w:val="14"/>
          <w:szCs w:val="14"/>
        </w:rPr>
        <w:tab/>
      </w:r>
      <w:r w:rsidR="0053730A" w:rsidRPr="003E76E7">
        <w:rPr>
          <w:rFonts w:ascii="Arial" w:hAnsi="Arial" w:cs="Times New Roman"/>
          <w:bCs/>
          <w:sz w:val="14"/>
          <w:szCs w:val="14"/>
        </w:rPr>
        <w:tab/>
      </w:r>
      <w:r w:rsidR="0053730A" w:rsidRPr="003E76E7">
        <w:rPr>
          <w:rFonts w:ascii="Arial" w:hAnsi="Arial" w:cs="Times New Roman"/>
          <w:bCs/>
          <w:sz w:val="14"/>
          <w:szCs w:val="14"/>
        </w:rPr>
        <w:tab/>
      </w:r>
      <w:r w:rsidR="0053730A" w:rsidRPr="003E76E7">
        <w:rPr>
          <w:rFonts w:ascii="Arial" w:hAnsi="Arial" w:cs="Times New Roman"/>
          <w:bCs/>
          <w:sz w:val="14"/>
          <w:szCs w:val="14"/>
        </w:rPr>
        <w:tab/>
      </w:r>
      <w:r w:rsidR="0053730A" w:rsidRPr="003E76E7">
        <w:rPr>
          <w:rFonts w:ascii="Arial" w:hAnsi="Arial" w:cs="Times New Roman"/>
          <w:bCs/>
          <w:sz w:val="14"/>
          <w:szCs w:val="14"/>
        </w:rPr>
        <w:tab/>
      </w:r>
      <w:r w:rsidR="0053730A" w:rsidRPr="003E76E7">
        <w:rPr>
          <w:rFonts w:ascii="Arial" w:hAnsi="Arial" w:cs="Times New Roman"/>
          <w:bCs/>
          <w:sz w:val="14"/>
          <w:szCs w:val="14"/>
        </w:rPr>
        <w:tab/>
      </w:r>
    </w:p>
    <w:p w14:paraId="01FDB404" w14:textId="77777777" w:rsidR="004B16DA" w:rsidRDefault="004B16DA">
      <w:pPr>
        <w:spacing w:before="0" w:after="0"/>
        <w:rPr>
          <w:rFonts w:ascii="Arial" w:hAnsi="Arial" w:cs="Times New Roman"/>
          <w:b/>
          <w:bCs/>
          <w:sz w:val="22"/>
          <w:szCs w:val="28"/>
        </w:rPr>
      </w:pPr>
      <w:r>
        <w:br w:type="page"/>
      </w:r>
    </w:p>
    <w:p w14:paraId="1926AF14" w14:textId="20E811C0" w:rsidR="00BF36E5" w:rsidRPr="003E76E7" w:rsidRDefault="000142CB" w:rsidP="00C4292D">
      <w:pPr>
        <w:pStyle w:val="Heading4level5"/>
        <w:spacing w:before="0" w:after="200"/>
        <w:ind w:firstLine="1"/>
      </w:pPr>
      <w:r w:rsidRPr="003E76E7">
        <w:lastRenderedPageBreak/>
        <w:t>Contributions to Outcome 2</w:t>
      </w:r>
    </w:p>
    <w:p w14:paraId="7C17492F" w14:textId="77777777" w:rsidR="009218A1" w:rsidRPr="003E76E7" w:rsidRDefault="009218A1" w:rsidP="00C4292D">
      <w:pPr>
        <w:spacing w:before="0" w:after="0"/>
        <w:outlineLvl w:val="5"/>
        <w:rPr>
          <w:color w:val="FFFFFF"/>
          <w:sz w:val="2"/>
          <w:szCs w:val="2"/>
        </w:rPr>
      </w:pPr>
      <w:r w:rsidRPr="003E76E7">
        <w:rPr>
          <w:color w:val="FFFFFF"/>
          <w:sz w:val="2"/>
          <w:szCs w:val="2"/>
        </w:rPr>
        <w:t>Program 2.1: Strateg</w:t>
      </w:r>
      <w:r w:rsidR="000142CB" w:rsidRPr="003E76E7">
        <w:rPr>
          <w:color w:val="FFFFFF"/>
          <w:sz w:val="2"/>
          <w:szCs w:val="2"/>
        </w:rPr>
        <w:t>y,</w:t>
      </w:r>
      <w:r w:rsidRPr="003E76E7">
        <w:rPr>
          <w:color w:val="FFFFFF"/>
          <w:sz w:val="2"/>
          <w:szCs w:val="2"/>
        </w:rPr>
        <w:t xml:space="preserve"> Policy and I</w:t>
      </w:r>
      <w:r w:rsidR="000142CB" w:rsidRPr="003E76E7">
        <w:rPr>
          <w:color w:val="FFFFFF"/>
          <w:sz w:val="2"/>
          <w:szCs w:val="2"/>
        </w:rPr>
        <w:t>ndust</w:t>
      </w:r>
      <w:r w:rsidR="00777CE3" w:rsidRPr="003E76E7">
        <w:rPr>
          <w:color w:val="FFFFFF"/>
          <w:sz w:val="2"/>
          <w:szCs w:val="2"/>
        </w:rPr>
        <w:t>r</w:t>
      </w:r>
      <w:r w:rsidR="000142CB" w:rsidRPr="003E76E7">
        <w:rPr>
          <w:color w:val="FFFFFF"/>
          <w:sz w:val="2"/>
          <w:szCs w:val="2"/>
        </w:rPr>
        <w:t>y</w:t>
      </w:r>
    </w:p>
    <w:tbl>
      <w:tblPr>
        <w:tblW w:w="4852"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1799"/>
        <w:gridCol w:w="3174"/>
        <w:gridCol w:w="3379"/>
      </w:tblGrid>
      <w:tr w:rsidR="00737EBD" w:rsidRPr="003E76E7" w14:paraId="02009C07" w14:textId="77777777" w:rsidTr="00215114">
        <w:tc>
          <w:tcPr>
            <w:tcW w:w="8352" w:type="dxa"/>
            <w:gridSpan w:val="3"/>
            <w:tcBorders>
              <w:top w:val="single" w:sz="4" w:space="0" w:color="auto"/>
              <w:bottom w:val="single" w:sz="4" w:space="0" w:color="auto"/>
            </w:tcBorders>
            <w:shd w:val="clear" w:color="auto" w:fill="CCCCCC"/>
          </w:tcPr>
          <w:p w14:paraId="245F95C0" w14:textId="77777777" w:rsidR="00737EBD" w:rsidRPr="003E76E7" w:rsidRDefault="00737EBD" w:rsidP="00C4292D">
            <w:pPr>
              <w:pStyle w:val="Heading5"/>
              <w:spacing w:before="60" w:after="60"/>
            </w:pPr>
            <w:r w:rsidRPr="003E76E7">
              <w:rPr>
                <w:rFonts w:ascii="Book Antiqua" w:hAnsi="Book Antiqua"/>
                <w:b w:val="0"/>
                <w:bCs w:val="0"/>
                <w:iCs w:val="0"/>
                <w:szCs w:val="24"/>
              </w:rPr>
              <w:br w:type="page"/>
            </w:r>
            <w:r w:rsidRPr="003E76E7">
              <w:br w:type="page"/>
              <w:t>Program 2.1: Strategy, Policy and Industry</w:t>
            </w:r>
          </w:p>
        </w:tc>
      </w:tr>
      <w:tr w:rsidR="00F10E14" w:rsidRPr="003E76E7" w14:paraId="640A63CA" w14:textId="77777777" w:rsidTr="00215114">
        <w:trPr>
          <w:trHeight w:val="170"/>
        </w:trPr>
        <w:tc>
          <w:tcPr>
            <w:tcW w:w="8352" w:type="dxa"/>
            <w:gridSpan w:val="3"/>
            <w:tcBorders>
              <w:left w:val="nil"/>
              <w:bottom w:val="single" w:sz="4" w:space="0" w:color="auto"/>
              <w:right w:val="nil"/>
            </w:tcBorders>
            <w:shd w:val="clear" w:color="auto" w:fill="auto"/>
          </w:tcPr>
          <w:p w14:paraId="6C6E71A3" w14:textId="77777777" w:rsidR="00F10E14" w:rsidRPr="003E76E7" w:rsidRDefault="00F10E14" w:rsidP="00C4292D">
            <w:pPr>
              <w:pStyle w:val="Heading5"/>
              <w:spacing w:before="0" w:after="0"/>
              <w:rPr>
                <w:b w:val="0"/>
                <w:bCs w:val="0"/>
                <w:iCs w:val="0"/>
                <w:sz w:val="16"/>
                <w:szCs w:val="16"/>
              </w:rPr>
            </w:pPr>
          </w:p>
        </w:tc>
      </w:tr>
      <w:tr w:rsidR="00737EBD" w:rsidRPr="003E76E7" w14:paraId="3EA0970A" w14:textId="77777777" w:rsidTr="0004322A">
        <w:tblPrEx>
          <w:shd w:val="clear" w:color="auto" w:fill="auto"/>
          <w:tblLook w:val="04A0" w:firstRow="1" w:lastRow="0" w:firstColumn="1" w:lastColumn="0" w:noHBand="0" w:noVBand="1"/>
        </w:tblPrEx>
        <w:trPr>
          <w:tblHeader/>
        </w:trPr>
        <w:tc>
          <w:tcPr>
            <w:tcW w:w="8352" w:type="dxa"/>
            <w:gridSpan w:val="3"/>
            <w:shd w:val="clear" w:color="auto" w:fill="E6E6E6"/>
          </w:tcPr>
          <w:p w14:paraId="7DA32A99" w14:textId="77777777" w:rsidR="00737EBD" w:rsidRPr="003E76E7" w:rsidRDefault="00737EBD" w:rsidP="00C4292D">
            <w:pPr>
              <w:tabs>
                <w:tab w:val="left" w:pos="709"/>
              </w:tabs>
              <w:spacing w:before="60" w:after="60"/>
              <w:rPr>
                <w:rFonts w:ascii="Arial" w:hAnsi="Arial"/>
                <w:b/>
                <w:sz w:val="16"/>
                <w:szCs w:val="16"/>
              </w:rPr>
            </w:pPr>
            <w:r w:rsidRPr="003E76E7">
              <w:rPr>
                <w:rFonts w:ascii="Arial" w:hAnsi="Arial"/>
                <w:b/>
                <w:sz w:val="16"/>
                <w:szCs w:val="16"/>
              </w:rPr>
              <w:t>Program 2.1 Objective</w:t>
            </w:r>
          </w:p>
          <w:p w14:paraId="77A63733" w14:textId="77777777" w:rsidR="00737EBD" w:rsidRPr="003E76E7" w:rsidRDefault="00A433AD" w:rsidP="00C4292D">
            <w:pPr>
              <w:tabs>
                <w:tab w:val="left" w:pos="709"/>
              </w:tabs>
              <w:spacing w:before="0" w:after="60"/>
              <w:rPr>
                <w:rFonts w:ascii="Arial" w:hAnsi="Arial"/>
                <w:sz w:val="16"/>
                <w:szCs w:val="16"/>
              </w:rPr>
            </w:pPr>
            <w:r w:rsidRPr="003E76E7">
              <w:rPr>
                <w:rFonts w:ascii="Arial" w:hAnsi="Arial"/>
                <w:sz w:val="16"/>
                <w:szCs w:val="16"/>
                <w:lang w:val="en-AU"/>
              </w:rPr>
              <w:t>To deliver high-quality policy advice to Government, the Secretary and Chief of the Defence Force, to protect and advance Australia’s strategic interests.</w:t>
            </w:r>
          </w:p>
        </w:tc>
      </w:tr>
      <w:tr w:rsidR="00354C38" w:rsidRPr="003E76E7" w14:paraId="3CB72C63" w14:textId="77777777" w:rsidTr="003C0162">
        <w:tblPrEx>
          <w:shd w:val="clear" w:color="auto" w:fill="auto"/>
          <w:tblLook w:val="04A0" w:firstRow="1" w:lastRow="0" w:firstColumn="1" w:lastColumn="0" w:noHBand="0" w:noVBand="1"/>
        </w:tblPrEx>
        <w:trPr>
          <w:trHeight w:val="312"/>
        </w:trPr>
        <w:tc>
          <w:tcPr>
            <w:tcW w:w="1799" w:type="dxa"/>
            <w:tcBorders>
              <w:bottom w:val="single" w:sz="4" w:space="0" w:color="auto"/>
            </w:tcBorders>
          </w:tcPr>
          <w:p w14:paraId="31CF29AF" w14:textId="77777777" w:rsidR="00354C38" w:rsidRPr="003E76E7" w:rsidRDefault="00354C38" w:rsidP="00C4292D">
            <w:pPr>
              <w:tabs>
                <w:tab w:val="left" w:pos="709"/>
              </w:tabs>
              <w:spacing w:before="60" w:after="60"/>
              <w:rPr>
                <w:rFonts w:ascii="Arial" w:hAnsi="Arial"/>
                <w:b/>
                <w:color w:val="000000"/>
                <w:sz w:val="16"/>
                <w:szCs w:val="16"/>
              </w:rPr>
            </w:pPr>
            <w:r w:rsidRPr="003E76E7">
              <w:rPr>
                <w:rFonts w:ascii="Arial" w:hAnsi="Arial"/>
                <w:b/>
                <w:color w:val="000000"/>
                <w:sz w:val="16"/>
                <w:szCs w:val="16"/>
              </w:rPr>
              <w:t xml:space="preserve">Key Activities </w:t>
            </w:r>
            <w:r w:rsidRPr="003E76E7">
              <w:rPr>
                <w:rFonts w:ascii="Arial" w:hAnsi="Arial"/>
                <w:b/>
                <w:color w:val="000000"/>
                <w:sz w:val="16"/>
                <w:szCs w:val="16"/>
                <w:vertAlign w:val="superscript"/>
              </w:rPr>
              <w:t>[a]</w:t>
            </w:r>
          </w:p>
        </w:tc>
        <w:tc>
          <w:tcPr>
            <w:tcW w:w="6553" w:type="dxa"/>
            <w:gridSpan w:val="2"/>
            <w:tcBorders>
              <w:bottom w:val="single" w:sz="4" w:space="0" w:color="auto"/>
            </w:tcBorders>
          </w:tcPr>
          <w:p w14:paraId="737EEA40" w14:textId="77777777" w:rsidR="00354C38" w:rsidRPr="003E76E7" w:rsidRDefault="00354C38" w:rsidP="00C4292D">
            <w:pPr>
              <w:tabs>
                <w:tab w:val="left" w:pos="343"/>
              </w:tabs>
              <w:spacing w:before="60" w:after="60"/>
              <w:rPr>
                <w:rFonts w:ascii="Arial" w:hAnsi="Arial"/>
                <w:bCs/>
                <w:color w:val="000000"/>
                <w:sz w:val="16"/>
                <w:szCs w:val="16"/>
                <w:lang w:val="en-AU"/>
              </w:rPr>
            </w:pPr>
            <w:r w:rsidRPr="003E76E7">
              <w:rPr>
                <w:rFonts w:ascii="Arial" w:hAnsi="Arial"/>
                <w:bCs/>
                <w:color w:val="000000"/>
                <w:sz w:val="16"/>
                <w:szCs w:val="16"/>
                <w:lang w:val="en-AU"/>
              </w:rPr>
              <w:t>This program will be achieved through the following activities:</w:t>
            </w:r>
          </w:p>
          <w:p w14:paraId="66ED849F" w14:textId="14E7A42F" w:rsidR="00354C38" w:rsidRPr="003E76E7" w:rsidRDefault="00354C38" w:rsidP="00C4292D">
            <w:pPr>
              <w:tabs>
                <w:tab w:val="left" w:pos="343"/>
              </w:tabs>
              <w:spacing w:before="60" w:after="60"/>
              <w:rPr>
                <w:rFonts w:ascii="Arial" w:hAnsi="Arial"/>
                <w:b/>
                <w:sz w:val="16"/>
                <w:szCs w:val="16"/>
                <w:lang w:val="en-AU"/>
              </w:rPr>
            </w:pPr>
            <w:r w:rsidRPr="003E76E7">
              <w:rPr>
                <w:rFonts w:ascii="Arial" w:hAnsi="Arial"/>
                <w:b/>
                <w:sz w:val="16"/>
                <w:szCs w:val="16"/>
                <w:lang w:val="en-AU"/>
              </w:rPr>
              <w:t>2.</w:t>
            </w:r>
            <w:r w:rsidR="006E48A1" w:rsidRPr="003E76E7">
              <w:rPr>
                <w:rFonts w:ascii="Arial" w:hAnsi="Arial"/>
                <w:color w:val="000000"/>
                <w:sz w:val="16"/>
                <w:szCs w:val="16"/>
                <w:lang w:val="en-AU"/>
              </w:rPr>
              <w:t xml:space="preserve"> </w:t>
            </w:r>
            <w:r w:rsidR="00392BAC" w:rsidRPr="003E76E7">
              <w:rPr>
                <w:rFonts w:ascii="Arial" w:hAnsi="Arial"/>
                <w:b/>
                <w:color w:val="000000"/>
                <w:sz w:val="16"/>
                <w:szCs w:val="16"/>
                <w:lang w:val="en-AU"/>
              </w:rPr>
              <w:t>As a strategy-led organisation, Defence operationalises and implements the Government-directed biennial National Defence Strategy.</w:t>
            </w:r>
          </w:p>
          <w:p w14:paraId="4105ACD7" w14:textId="15926BA7" w:rsidR="00354C38" w:rsidRPr="003E76E7" w:rsidRDefault="00354C38" w:rsidP="00C4292D">
            <w:pPr>
              <w:tabs>
                <w:tab w:val="left" w:pos="343"/>
              </w:tabs>
              <w:spacing w:before="60" w:after="60"/>
              <w:rPr>
                <w:rFonts w:ascii="Arial" w:hAnsi="Arial"/>
                <w:b/>
                <w:color w:val="000000"/>
                <w:sz w:val="16"/>
                <w:szCs w:val="16"/>
                <w:lang w:val="en-AU"/>
              </w:rPr>
            </w:pPr>
            <w:r w:rsidRPr="003E76E7">
              <w:rPr>
                <w:rFonts w:ascii="Arial" w:hAnsi="Arial"/>
                <w:b/>
                <w:sz w:val="16"/>
                <w:szCs w:val="16"/>
                <w:lang w:val="en-AU"/>
              </w:rPr>
              <w:t>5.</w:t>
            </w:r>
            <w:r w:rsidRPr="003E76E7">
              <w:rPr>
                <w:rFonts w:ascii="Arial" w:hAnsi="Arial"/>
                <w:sz w:val="16"/>
                <w:szCs w:val="16"/>
                <w:lang w:val="en-AU"/>
              </w:rPr>
              <w:t xml:space="preserve"> </w:t>
            </w:r>
            <w:r w:rsidR="00392BAC" w:rsidRPr="003E76E7">
              <w:rPr>
                <w:rFonts w:ascii="Arial" w:hAnsi="Arial"/>
                <w:b/>
                <w:sz w:val="16"/>
                <w:szCs w:val="16"/>
                <w:lang w:val="en-AU"/>
              </w:rPr>
              <w:t xml:space="preserve">Defence’s international engagement </w:t>
            </w:r>
            <w:r w:rsidR="00AD14EC" w:rsidRPr="003E76E7">
              <w:rPr>
                <w:rFonts w:ascii="Arial" w:hAnsi="Arial"/>
                <w:b/>
                <w:sz w:val="16"/>
                <w:szCs w:val="16"/>
                <w:lang w:val="en-AU"/>
              </w:rPr>
              <w:t>-</w:t>
            </w:r>
            <w:r w:rsidR="00392BAC" w:rsidRPr="003E76E7">
              <w:rPr>
                <w:rFonts w:ascii="Arial" w:hAnsi="Arial"/>
                <w:b/>
                <w:sz w:val="16"/>
                <w:szCs w:val="16"/>
                <w:lang w:val="en-AU"/>
              </w:rPr>
              <w:t xml:space="preserve"> operational presence; support to regional security capability; people-to-people engagement; and bilateral and multilateral diplomatic engagement </w:t>
            </w:r>
            <w:r w:rsidR="00AD14EC" w:rsidRPr="003E76E7">
              <w:rPr>
                <w:rFonts w:ascii="Arial" w:hAnsi="Arial"/>
                <w:b/>
                <w:sz w:val="16"/>
                <w:szCs w:val="16"/>
                <w:lang w:val="en-AU"/>
              </w:rPr>
              <w:t>-</w:t>
            </w:r>
            <w:r w:rsidR="00392BAC" w:rsidRPr="003E76E7">
              <w:rPr>
                <w:rFonts w:ascii="Arial" w:hAnsi="Arial"/>
                <w:b/>
                <w:sz w:val="16"/>
                <w:szCs w:val="16"/>
                <w:lang w:val="en-AU"/>
              </w:rPr>
              <w:t xml:space="preserve"> support a strategy of denial in our primary area of military interest.</w:t>
            </w:r>
          </w:p>
          <w:p w14:paraId="11C48F39" w14:textId="4F5BAE55" w:rsidR="00354C38" w:rsidRPr="003E76E7" w:rsidRDefault="00354C38" w:rsidP="00C4292D">
            <w:pPr>
              <w:tabs>
                <w:tab w:val="left" w:pos="343"/>
              </w:tabs>
              <w:spacing w:before="60" w:after="60"/>
              <w:rPr>
                <w:rFonts w:ascii="Arial" w:hAnsi="Arial"/>
                <w:color w:val="000000"/>
                <w:sz w:val="16"/>
                <w:szCs w:val="16"/>
                <w:lang w:val="en-AU"/>
              </w:rPr>
            </w:pPr>
            <w:r w:rsidRPr="003E76E7">
              <w:rPr>
                <w:rFonts w:ascii="Arial" w:hAnsi="Arial"/>
                <w:b/>
                <w:sz w:val="16"/>
                <w:szCs w:val="16"/>
                <w:lang w:val="en-AU"/>
              </w:rPr>
              <w:t>8.</w:t>
            </w:r>
            <w:r w:rsidRPr="003E76E7">
              <w:rPr>
                <w:rFonts w:ascii="Arial" w:hAnsi="Arial"/>
                <w:sz w:val="16"/>
                <w:szCs w:val="16"/>
                <w:lang w:val="en-AU"/>
              </w:rPr>
              <w:t xml:space="preserve"> </w:t>
            </w:r>
            <w:r w:rsidRPr="003E76E7">
              <w:rPr>
                <w:rFonts w:ascii="Arial" w:hAnsi="Arial"/>
                <w:b/>
                <w:sz w:val="16"/>
                <w:szCs w:val="16"/>
                <w:lang w:val="en-AU"/>
              </w:rPr>
              <w:t>Defence supports improved regulatory perf</w:t>
            </w:r>
            <w:r w:rsidR="00F55367" w:rsidRPr="003E76E7">
              <w:rPr>
                <w:rFonts w:ascii="Arial" w:hAnsi="Arial"/>
                <w:b/>
                <w:sz w:val="16"/>
                <w:szCs w:val="16"/>
                <w:lang w:val="en-AU"/>
              </w:rPr>
              <w:t>ormance, capability and culture</w:t>
            </w:r>
            <w:r w:rsidR="00935FB4" w:rsidRPr="003E76E7">
              <w:rPr>
                <w:rFonts w:ascii="Arial" w:hAnsi="Arial"/>
                <w:b/>
                <w:sz w:val="16"/>
                <w:szCs w:val="16"/>
                <w:lang w:val="en-AU"/>
              </w:rPr>
              <w:t xml:space="preserve"> </w:t>
            </w:r>
            <w:r w:rsidR="00722810" w:rsidRPr="003E76E7">
              <w:rPr>
                <w:rFonts w:ascii="Arial" w:hAnsi="Arial"/>
                <w:b/>
                <w:sz w:val="16"/>
                <w:szCs w:val="16"/>
                <w:lang w:val="en-AU"/>
              </w:rPr>
              <w:t>-</w:t>
            </w:r>
            <w:r w:rsidRPr="003E76E7">
              <w:rPr>
                <w:rFonts w:ascii="Arial" w:hAnsi="Arial"/>
                <w:b/>
                <w:sz w:val="16"/>
                <w:szCs w:val="16"/>
                <w:lang w:val="en-AU"/>
              </w:rPr>
              <w:t>through regulatory stewardship in line with the Government’s commitment to Australian Public Service reform.</w:t>
            </w:r>
          </w:p>
        </w:tc>
      </w:tr>
      <w:tr w:rsidR="001A5E03" w:rsidRPr="003E76E7" w14:paraId="63D78774" w14:textId="77777777" w:rsidTr="000E1A17">
        <w:trPr>
          <w:trHeight w:val="100"/>
        </w:trPr>
        <w:tc>
          <w:tcPr>
            <w:tcW w:w="1799" w:type="dxa"/>
            <w:tcBorders>
              <w:top w:val="single" w:sz="4" w:space="0" w:color="auto"/>
              <w:bottom w:val="single" w:sz="4" w:space="0" w:color="auto"/>
              <w:right w:val="single" w:sz="4" w:space="0" w:color="auto"/>
            </w:tcBorders>
          </w:tcPr>
          <w:p w14:paraId="5A2EB206" w14:textId="77777777" w:rsidR="001A5E03" w:rsidRPr="003E76E7" w:rsidRDefault="001A5E03" w:rsidP="00C4292D">
            <w:pPr>
              <w:tabs>
                <w:tab w:val="left" w:pos="709"/>
              </w:tabs>
              <w:spacing w:before="60" w:after="60"/>
              <w:rPr>
                <w:rFonts w:ascii="Arial" w:hAnsi="Arial"/>
                <w:color w:val="000000"/>
                <w:sz w:val="16"/>
                <w:szCs w:val="16"/>
              </w:rPr>
            </w:pPr>
            <w:r w:rsidRPr="003E76E7">
              <w:rPr>
                <w:rFonts w:ascii="Arial" w:hAnsi="Arial"/>
                <w:b/>
                <w:color w:val="000000"/>
                <w:sz w:val="16"/>
                <w:szCs w:val="16"/>
              </w:rPr>
              <w:t>Year</w:t>
            </w:r>
          </w:p>
        </w:tc>
        <w:tc>
          <w:tcPr>
            <w:tcW w:w="3174" w:type="dxa"/>
            <w:tcBorders>
              <w:top w:val="single" w:sz="4" w:space="0" w:color="auto"/>
              <w:left w:val="single" w:sz="4" w:space="0" w:color="auto"/>
              <w:bottom w:val="single" w:sz="4" w:space="0" w:color="auto"/>
              <w:right w:val="single" w:sz="4" w:space="0" w:color="auto"/>
            </w:tcBorders>
          </w:tcPr>
          <w:p w14:paraId="4C7064C6" w14:textId="691CB97F" w:rsidR="001A5E03" w:rsidRPr="003E76E7" w:rsidRDefault="00AD14EC" w:rsidP="00C4292D">
            <w:pPr>
              <w:tabs>
                <w:tab w:val="left" w:pos="709"/>
              </w:tabs>
              <w:spacing w:before="60" w:after="60"/>
              <w:rPr>
                <w:rFonts w:ascii="Arial" w:hAnsi="Arial"/>
                <w:color w:val="000000"/>
              </w:rPr>
            </w:pPr>
            <w:r w:rsidRPr="003E76E7">
              <w:rPr>
                <w:rFonts w:ascii="Arial" w:hAnsi="Arial"/>
                <w:b/>
                <w:color w:val="000000"/>
                <w:sz w:val="16"/>
                <w:szCs w:val="16"/>
              </w:rPr>
              <w:t>Performance Measures</w:t>
            </w:r>
          </w:p>
        </w:tc>
        <w:tc>
          <w:tcPr>
            <w:tcW w:w="3379" w:type="dxa"/>
            <w:tcBorders>
              <w:top w:val="single" w:sz="4" w:space="0" w:color="auto"/>
              <w:left w:val="single" w:sz="4" w:space="0" w:color="auto"/>
              <w:bottom w:val="single" w:sz="4" w:space="0" w:color="auto"/>
            </w:tcBorders>
          </w:tcPr>
          <w:p w14:paraId="0ED6DC8B" w14:textId="77777777" w:rsidR="001A5E03" w:rsidRPr="003E76E7" w:rsidRDefault="00FF7D45" w:rsidP="00C4292D">
            <w:pPr>
              <w:tabs>
                <w:tab w:val="left" w:pos="709"/>
              </w:tabs>
              <w:spacing w:before="60" w:after="60"/>
              <w:rPr>
                <w:rFonts w:ascii="Arial" w:hAnsi="Arial"/>
                <w:i/>
                <w:color w:val="000000"/>
                <w:sz w:val="16"/>
                <w:szCs w:val="16"/>
              </w:rPr>
            </w:pPr>
            <w:r w:rsidRPr="003E76E7">
              <w:rPr>
                <w:rFonts w:ascii="Arial" w:hAnsi="Arial"/>
                <w:b/>
                <w:color w:val="000000"/>
                <w:sz w:val="16"/>
                <w:szCs w:val="16"/>
              </w:rPr>
              <w:t>Expected Performance Results</w:t>
            </w:r>
          </w:p>
        </w:tc>
      </w:tr>
      <w:tr w:rsidR="00EF3130" w:rsidRPr="003E76E7" w14:paraId="2787D3B9" w14:textId="77777777" w:rsidTr="000E1A17">
        <w:trPr>
          <w:trHeight w:val="354"/>
        </w:trPr>
        <w:tc>
          <w:tcPr>
            <w:tcW w:w="1799" w:type="dxa"/>
            <w:vMerge w:val="restart"/>
            <w:tcBorders>
              <w:top w:val="single" w:sz="4" w:space="0" w:color="auto"/>
              <w:right w:val="single" w:sz="4" w:space="0" w:color="auto"/>
            </w:tcBorders>
          </w:tcPr>
          <w:p w14:paraId="5E744781" w14:textId="77777777" w:rsidR="00EF3130" w:rsidRPr="003E76E7" w:rsidRDefault="00EF3130" w:rsidP="00C4292D">
            <w:pPr>
              <w:tabs>
                <w:tab w:val="left" w:pos="709"/>
              </w:tabs>
              <w:spacing w:before="0" w:after="0"/>
              <w:rPr>
                <w:rFonts w:ascii="Arial" w:hAnsi="Arial"/>
                <w:color w:val="000000"/>
                <w:sz w:val="16"/>
                <w:szCs w:val="16"/>
              </w:rPr>
            </w:pPr>
            <w:r w:rsidRPr="003E76E7">
              <w:rPr>
                <w:rFonts w:ascii="Arial" w:hAnsi="Arial"/>
                <w:color w:val="000000"/>
                <w:sz w:val="16"/>
                <w:szCs w:val="16"/>
              </w:rPr>
              <w:t>Current Year</w:t>
            </w:r>
          </w:p>
          <w:p w14:paraId="2DE7FBF4" w14:textId="0E052B0F" w:rsidR="00EF3130" w:rsidRPr="003E76E7" w:rsidRDefault="00EF3130" w:rsidP="00C4292D">
            <w:pPr>
              <w:tabs>
                <w:tab w:val="left" w:pos="709"/>
              </w:tabs>
              <w:spacing w:before="0" w:after="0"/>
              <w:rPr>
                <w:rFonts w:ascii="Arial" w:hAnsi="Arial"/>
                <w:color w:val="000000"/>
                <w:sz w:val="16"/>
                <w:szCs w:val="16"/>
              </w:rPr>
            </w:pPr>
            <w:r w:rsidRPr="003E76E7">
              <w:rPr>
                <w:rFonts w:ascii="Arial" w:hAnsi="Arial"/>
                <w:color w:val="000000"/>
                <w:sz w:val="16"/>
                <w:szCs w:val="16"/>
              </w:rPr>
              <w:t>202</w:t>
            </w:r>
            <w:r w:rsidR="00173ED3" w:rsidRPr="003E76E7">
              <w:rPr>
                <w:rFonts w:ascii="Arial" w:hAnsi="Arial"/>
                <w:color w:val="000000"/>
                <w:sz w:val="16"/>
                <w:szCs w:val="16"/>
              </w:rPr>
              <w:t>5</w:t>
            </w:r>
            <w:r w:rsidRPr="003E76E7">
              <w:rPr>
                <w:rFonts w:ascii="Arial" w:hAnsi="Arial"/>
                <w:color w:val="000000"/>
                <w:sz w:val="16"/>
                <w:szCs w:val="16"/>
              </w:rPr>
              <w:t>-2</w:t>
            </w:r>
            <w:r w:rsidR="00173ED3" w:rsidRPr="003E76E7">
              <w:rPr>
                <w:rFonts w:ascii="Arial" w:hAnsi="Arial"/>
                <w:color w:val="000000"/>
                <w:sz w:val="16"/>
                <w:szCs w:val="16"/>
              </w:rPr>
              <w:t>6</w:t>
            </w:r>
            <w:r w:rsidRPr="003E76E7">
              <w:rPr>
                <w:rFonts w:ascii="Arial" w:hAnsi="Arial"/>
                <w:color w:val="000000"/>
                <w:sz w:val="16"/>
                <w:szCs w:val="16"/>
              </w:rPr>
              <w:t xml:space="preserve"> </w:t>
            </w:r>
          </w:p>
        </w:tc>
        <w:tc>
          <w:tcPr>
            <w:tcW w:w="3174" w:type="dxa"/>
            <w:tcBorders>
              <w:top w:val="single" w:sz="4" w:space="0" w:color="auto"/>
              <w:left w:val="single" w:sz="4" w:space="0" w:color="auto"/>
              <w:bottom w:val="single" w:sz="4" w:space="0" w:color="auto"/>
              <w:right w:val="single" w:sz="4" w:space="0" w:color="auto"/>
            </w:tcBorders>
          </w:tcPr>
          <w:p w14:paraId="37B97C2F" w14:textId="734ED275" w:rsidR="00EF3130" w:rsidRPr="003E76E7" w:rsidRDefault="00EF3130" w:rsidP="00C4292D">
            <w:pPr>
              <w:tabs>
                <w:tab w:val="left" w:pos="709"/>
              </w:tabs>
              <w:spacing w:before="60" w:after="60"/>
              <w:rPr>
                <w:rFonts w:ascii="Arial" w:hAnsi="Arial"/>
                <w:sz w:val="16"/>
                <w:szCs w:val="16"/>
                <w:lang w:val="en-AU"/>
              </w:rPr>
            </w:pPr>
            <w:r w:rsidRPr="003E76E7">
              <w:rPr>
                <w:rFonts w:ascii="Arial" w:hAnsi="Arial"/>
                <w:sz w:val="16"/>
                <w:szCs w:val="16"/>
                <w:lang w:val="en-AU"/>
              </w:rPr>
              <w:t>2.1: The National Defence Strategy is operationalised and monitored through alignment with enterprise planning.</w:t>
            </w:r>
          </w:p>
        </w:tc>
        <w:tc>
          <w:tcPr>
            <w:tcW w:w="3379" w:type="dxa"/>
            <w:tcBorders>
              <w:top w:val="single" w:sz="4" w:space="0" w:color="auto"/>
              <w:left w:val="single" w:sz="4" w:space="0" w:color="auto"/>
              <w:bottom w:val="single" w:sz="4" w:space="0" w:color="auto"/>
              <w:right w:val="single" w:sz="4" w:space="0" w:color="auto"/>
            </w:tcBorders>
          </w:tcPr>
          <w:p w14:paraId="5771E0DF" w14:textId="66FD1F75" w:rsidR="00A51CBA" w:rsidRPr="003E76E7" w:rsidRDefault="00A51CBA" w:rsidP="00C4292D">
            <w:pPr>
              <w:tabs>
                <w:tab w:val="left" w:pos="709"/>
              </w:tabs>
              <w:spacing w:before="60" w:after="60"/>
              <w:rPr>
                <w:rFonts w:ascii="Arial" w:hAnsi="Arial"/>
                <w:sz w:val="16"/>
                <w:szCs w:val="16"/>
                <w:lang w:val="en-AU"/>
              </w:rPr>
            </w:pPr>
            <w:r w:rsidRPr="003E76E7">
              <w:rPr>
                <w:rFonts w:ascii="Arial" w:hAnsi="Arial"/>
                <w:sz w:val="16"/>
                <w:szCs w:val="16"/>
                <w:lang w:val="en-AU"/>
              </w:rPr>
              <w:t>90 per cent or more of National Defence Strategy aligned Group and Service Business Plan activities are completed during the reporting period.</w:t>
            </w:r>
          </w:p>
          <w:p w14:paraId="19172234" w14:textId="3C4EC54F" w:rsidR="00A51CBA" w:rsidRPr="003E76E7" w:rsidRDefault="000055A9" w:rsidP="00C4292D">
            <w:pPr>
              <w:spacing w:before="60" w:after="60"/>
              <w:jc w:val="right"/>
              <w:rPr>
                <w:rFonts w:ascii="Arial" w:hAnsi="Arial"/>
                <w:i/>
                <w:color w:val="000000"/>
                <w:sz w:val="16"/>
                <w:szCs w:val="16"/>
              </w:rPr>
            </w:pPr>
            <w:r w:rsidRPr="003E76E7">
              <w:rPr>
                <w:rFonts w:ascii="Arial" w:hAnsi="Arial"/>
                <w:i/>
                <w:sz w:val="16"/>
                <w:szCs w:val="16"/>
                <w:lang w:val="en-AU"/>
              </w:rPr>
              <w:t>Yet to be determined.</w:t>
            </w:r>
            <w:r w:rsidR="00634633" w:rsidRPr="003E76E7">
              <w:rPr>
                <w:rFonts w:ascii="Arial" w:hAnsi="Arial"/>
                <w:i/>
                <w:sz w:val="16"/>
                <w:szCs w:val="16"/>
                <w:vertAlign w:val="superscript"/>
                <w:lang w:val="en-AU"/>
              </w:rPr>
              <w:t>[b</w:t>
            </w:r>
            <w:r w:rsidRPr="003E76E7">
              <w:rPr>
                <w:rFonts w:ascii="Arial" w:hAnsi="Arial"/>
                <w:i/>
                <w:sz w:val="16"/>
                <w:szCs w:val="16"/>
                <w:vertAlign w:val="superscript"/>
                <w:lang w:val="en-AU"/>
              </w:rPr>
              <w:t>]</w:t>
            </w:r>
          </w:p>
        </w:tc>
      </w:tr>
      <w:tr w:rsidR="00EF3130" w:rsidRPr="003E76E7" w14:paraId="208D80BB" w14:textId="77777777" w:rsidTr="000E1A17">
        <w:trPr>
          <w:trHeight w:val="354"/>
        </w:trPr>
        <w:tc>
          <w:tcPr>
            <w:tcW w:w="1799" w:type="dxa"/>
            <w:vMerge/>
            <w:tcBorders>
              <w:right w:val="single" w:sz="4" w:space="0" w:color="auto"/>
            </w:tcBorders>
          </w:tcPr>
          <w:p w14:paraId="4FED5E0D" w14:textId="77777777" w:rsidR="00EF3130" w:rsidRPr="003E76E7" w:rsidRDefault="00EF3130" w:rsidP="00C4292D">
            <w:pPr>
              <w:tabs>
                <w:tab w:val="left" w:pos="709"/>
              </w:tabs>
              <w:spacing w:before="0" w:after="0"/>
              <w:rPr>
                <w:rFonts w:ascii="Arial" w:hAnsi="Arial"/>
                <w:color w:val="000000"/>
                <w:sz w:val="16"/>
                <w:szCs w:val="16"/>
              </w:rPr>
            </w:pPr>
          </w:p>
        </w:tc>
        <w:tc>
          <w:tcPr>
            <w:tcW w:w="3174" w:type="dxa"/>
            <w:tcBorders>
              <w:top w:val="single" w:sz="4" w:space="0" w:color="auto"/>
              <w:left w:val="single" w:sz="4" w:space="0" w:color="auto"/>
              <w:bottom w:val="single" w:sz="4" w:space="0" w:color="auto"/>
              <w:right w:val="single" w:sz="4" w:space="0" w:color="auto"/>
            </w:tcBorders>
          </w:tcPr>
          <w:p w14:paraId="603E0AB0" w14:textId="31ECD255" w:rsidR="00EF3130" w:rsidRPr="003E76E7" w:rsidRDefault="00EF3130" w:rsidP="00C4292D">
            <w:pPr>
              <w:tabs>
                <w:tab w:val="left" w:pos="709"/>
              </w:tabs>
              <w:spacing w:before="60" w:after="60"/>
              <w:rPr>
                <w:rFonts w:ascii="Arial" w:hAnsi="Arial"/>
                <w:sz w:val="16"/>
                <w:szCs w:val="16"/>
                <w:lang w:val="en-AU"/>
              </w:rPr>
            </w:pPr>
            <w:r w:rsidRPr="003E76E7">
              <w:rPr>
                <w:rFonts w:ascii="Arial" w:hAnsi="Arial"/>
                <w:sz w:val="16"/>
                <w:szCs w:val="16"/>
                <w:lang w:val="en-AU"/>
              </w:rPr>
              <w:t>5.1: The ADF has a near persistent presence in Australia’s immediate region.</w:t>
            </w:r>
          </w:p>
        </w:tc>
        <w:tc>
          <w:tcPr>
            <w:tcW w:w="3379" w:type="dxa"/>
            <w:tcBorders>
              <w:top w:val="single" w:sz="4" w:space="0" w:color="auto"/>
              <w:left w:val="single" w:sz="4" w:space="0" w:color="auto"/>
              <w:bottom w:val="single" w:sz="4" w:space="0" w:color="auto"/>
              <w:right w:val="single" w:sz="4" w:space="0" w:color="auto"/>
            </w:tcBorders>
          </w:tcPr>
          <w:p w14:paraId="1DD486F8" w14:textId="77777777" w:rsidR="00A51CBA" w:rsidRPr="003E76E7" w:rsidRDefault="00EF3130" w:rsidP="00C4292D">
            <w:pPr>
              <w:spacing w:before="60" w:after="60"/>
              <w:rPr>
                <w:rFonts w:ascii="Arial" w:hAnsi="Arial"/>
                <w:sz w:val="16"/>
                <w:szCs w:val="16"/>
                <w:lang w:val="en-AU"/>
              </w:rPr>
            </w:pPr>
            <w:r w:rsidRPr="003E76E7">
              <w:rPr>
                <w:rFonts w:ascii="Arial" w:hAnsi="Arial"/>
                <w:sz w:val="16"/>
                <w:szCs w:val="16"/>
                <w:lang w:val="en-AU"/>
              </w:rPr>
              <w:t>Defence maintains its regional forward force presence through ADF operations, activities and investments.</w:t>
            </w:r>
          </w:p>
          <w:p w14:paraId="472CE657" w14:textId="423E5D24" w:rsidR="00EF3130" w:rsidRPr="003E76E7" w:rsidRDefault="000055A9" w:rsidP="00C4292D">
            <w:pPr>
              <w:spacing w:before="60" w:after="60"/>
              <w:jc w:val="right"/>
              <w:rPr>
                <w:rFonts w:ascii="Arial" w:hAnsi="Arial"/>
                <w:i/>
                <w:sz w:val="16"/>
                <w:szCs w:val="16"/>
                <w:lang w:val="en-AU"/>
              </w:rPr>
            </w:pPr>
            <w:r w:rsidRPr="003E76E7">
              <w:rPr>
                <w:rFonts w:ascii="Arial" w:hAnsi="Arial"/>
                <w:i/>
                <w:sz w:val="16"/>
                <w:szCs w:val="16"/>
                <w:lang w:val="en-AU"/>
              </w:rPr>
              <w:t>Expected to be achieved.</w:t>
            </w:r>
          </w:p>
        </w:tc>
      </w:tr>
      <w:tr w:rsidR="00EF3130" w:rsidRPr="003E76E7" w14:paraId="57E73600" w14:textId="77777777" w:rsidTr="000E1A17">
        <w:trPr>
          <w:trHeight w:val="354"/>
        </w:trPr>
        <w:tc>
          <w:tcPr>
            <w:tcW w:w="1799" w:type="dxa"/>
            <w:vMerge/>
            <w:tcBorders>
              <w:right w:val="single" w:sz="4" w:space="0" w:color="auto"/>
            </w:tcBorders>
          </w:tcPr>
          <w:p w14:paraId="63934C8D" w14:textId="77777777" w:rsidR="00EF3130" w:rsidRPr="003E76E7" w:rsidRDefault="00EF3130" w:rsidP="00C4292D">
            <w:pPr>
              <w:tabs>
                <w:tab w:val="left" w:pos="709"/>
              </w:tabs>
              <w:spacing w:before="0" w:after="0"/>
              <w:rPr>
                <w:rFonts w:ascii="Arial" w:hAnsi="Arial"/>
                <w:color w:val="000000"/>
                <w:sz w:val="16"/>
                <w:szCs w:val="16"/>
              </w:rPr>
            </w:pPr>
          </w:p>
        </w:tc>
        <w:tc>
          <w:tcPr>
            <w:tcW w:w="3174" w:type="dxa"/>
            <w:tcBorders>
              <w:top w:val="single" w:sz="4" w:space="0" w:color="auto"/>
              <w:left w:val="single" w:sz="4" w:space="0" w:color="auto"/>
              <w:bottom w:val="single" w:sz="4" w:space="0" w:color="auto"/>
              <w:right w:val="single" w:sz="4" w:space="0" w:color="auto"/>
            </w:tcBorders>
          </w:tcPr>
          <w:p w14:paraId="24ECB842" w14:textId="654DDC38" w:rsidR="00EF3130" w:rsidRPr="003E76E7" w:rsidRDefault="00EF3130" w:rsidP="00C4292D">
            <w:pPr>
              <w:tabs>
                <w:tab w:val="left" w:pos="709"/>
              </w:tabs>
              <w:spacing w:before="60" w:after="60"/>
              <w:rPr>
                <w:rFonts w:ascii="Arial" w:hAnsi="Arial"/>
                <w:sz w:val="16"/>
                <w:szCs w:val="16"/>
                <w:lang w:val="en-AU"/>
              </w:rPr>
            </w:pPr>
            <w:r w:rsidRPr="003E76E7">
              <w:rPr>
                <w:rFonts w:ascii="Arial" w:hAnsi="Arial"/>
                <w:sz w:val="16"/>
                <w:szCs w:val="16"/>
                <w:lang w:val="en-AU"/>
              </w:rPr>
              <w:t>5.2: Defence enhances Australia’s relationships with the Government’s priority Indo-Pacific and global partners.</w:t>
            </w:r>
          </w:p>
        </w:tc>
        <w:tc>
          <w:tcPr>
            <w:tcW w:w="3379" w:type="dxa"/>
            <w:tcBorders>
              <w:top w:val="single" w:sz="4" w:space="0" w:color="auto"/>
              <w:left w:val="single" w:sz="4" w:space="0" w:color="auto"/>
              <w:bottom w:val="single" w:sz="4" w:space="0" w:color="auto"/>
              <w:right w:val="single" w:sz="4" w:space="0" w:color="auto"/>
            </w:tcBorders>
          </w:tcPr>
          <w:p w14:paraId="5AE1E831" w14:textId="3EDF9B38" w:rsidR="00A51CBA" w:rsidRPr="003E76E7" w:rsidRDefault="00EF3130" w:rsidP="00C4292D">
            <w:pPr>
              <w:spacing w:before="60" w:after="60"/>
              <w:rPr>
                <w:rFonts w:ascii="Arial" w:hAnsi="Arial"/>
                <w:sz w:val="16"/>
                <w:szCs w:val="16"/>
                <w:lang w:val="en-AU"/>
              </w:rPr>
            </w:pPr>
            <w:r w:rsidRPr="003E76E7">
              <w:rPr>
                <w:rFonts w:ascii="Arial" w:hAnsi="Arial"/>
                <w:sz w:val="16"/>
                <w:szCs w:val="16"/>
                <w:lang w:val="en-AU"/>
              </w:rPr>
              <w:t>Defence implements action items from annual 2+2 (Foreign Affairs and Defence) ministerial meetings</w:t>
            </w:r>
            <w:r w:rsidR="00A51CBA" w:rsidRPr="003E76E7">
              <w:rPr>
                <w:rFonts w:ascii="Arial" w:hAnsi="Arial"/>
                <w:sz w:val="16"/>
                <w:szCs w:val="16"/>
                <w:lang w:val="en-AU"/>
              </w:rPr>
              <w:t xml:space="preserve"> (80 per cent or more action items are completed or on track).</w:t>
            </w:r>
          </w:p>
          <w:p w14:paraId="28657932" w14:textId="2352870A" w:rsidR="00EF3130" w:rsidRPr="003E76E7" w:rsidRDefault="00A51CBA" w:rsidP="00C4292D">
            <w:pPr>
              <w:spacing w:before="60" w:after="60"/>
              <w:jc w:val="right"/>
              <w:rPr>
                <w:rFonts w:ascii="Arial" w:hAnsi="Arial"/>
                <w:color w:val="000000"/>
                <w:sz w:val="16"/>
                <w:szCs w:val="16"/>
              </w:rPr>
            </w:pPr>
            <w:r w:rsidRPr="003E76E7">
              <w:rPr>
                <w:rFonts w:ascii="Arial" w:hAnsi="Arial"/>
                <w:i/>
                <w:sz w:val="16"/>
                <w:szCs w:val="16"/>
                <w:lang w:val="en-AU"/>
              </w:rPr>
              <w:t>Expected to be achieved.</w:t>
            </w:r>
          </w:p>
        </w:tc>
      </w:tr>
      <w:tr w:rsidR="00EF3130" w:rsidRPr="003E76E7" w14:paraId="1E2417D5" w14:textId="77777777" w:rsidTr="000E1A17">
        <w:trPr>
          <w:trHeight w:val="352"/>
        </w:trPr>
        <w:tc>
          <w:tcPr>
            <w:tcW w:w="1799" w:type="dxa"/>
            <w:vMerge/>
            <w:tcBorders>
              <w:bottom w:val="single" w:sz="4" w:space="0" w:color="auto"/>
              <w:right w:val="single" w:sz="4" w:space="0" w:color="auto"/>
            </w:tcBorders>
          </w:tcPr>
          <w:p w14:paraId="20D227D7" w14:textId="77777777" w:rsidR="00EF3130" w:rsidRPr="003E76E7" w:rsidRDefault="00EF3130" w:rsidP="00C4292D">
            <w:pPr>
              <w:tabs>
                <w:tab w:val="left" w:pos="709"/>
              </w:tabs>
              <w:spacing w:before="60" w:after="60"/>
              <w:rPr>
                <w:rFonts w:ascii="Arial" w:hAnsi="Arial"/>
                <w:color w:val="000000"/>
                <w:sz w:val="16"/>
                <w:szCs w:val="16"/>
              </w:rPr>
            </w:pPr>
          </w:p>
        </w:tc>
        <w:tc>
          <w:tcPr>
            <w:tcW w:w="3174" w:type="dxa"/>
            <w:tcBorders>
              <w:top w:val="single" w:sz="4" w:space="0" w:color="auto"/>
              <w:left w:val="single" w:sz="4" w:space="0" w:color="auto"/>
              <w:bottom w:val="single" w:sz="4" w:space="0" w:color="auto"/>
              <w:right w:val="single" w:sz="4" w:space="0" w:color="auto"/>
            </w:tcBorders>
            <w:shd w:val="clear" w:color="auto" w:fill="auto"/>
          </w:tcPr>
          <w:p w14:paraId="394F2F75" w14:textId="2CFA2C15" w:rsidR="00EF3130" w:rsidRPr="003E76E7" w:rsidRDefault="00EF3130" w:rsidP="00C4292D">
            <w:pPr>
              <w:tabs>
                <w:tab w:val="left" w:pos="709"/>
              </w:tabs>
              <w:spacing w:before="60" w:after="60"/>
              <w:rPr>
                <w:rFonts w:ascii="Arial" w:hAnsi="Arial"/>
                <w:sz w:val="16"/>
                <w:szCs w:val="16"/>
                <w:lang w:val="en-AU"/>
              </w:rPr>
            </w:pPr>
            <w:r w:rsidRPr="003E76E7">
              <w:rPr>
                <w:rFonts w:ascii="Arial" w:hAnsi="Arial"/>
                <w:sz w:val="16"/>
                <w:szCs w:val="16"/>
                <w:lang w:val="en-AU"/>
              </w:rPr>
              <w:t>8.1</w:t>
            </w:r>
            <w:r w:rsidR="00392824" w:rsidRPr="003E76E7">
              <w:rPr>
                <w:rFonts w:ascii="Arial" w:hAnsi="Arial"/>
                <w:sz w:val="16"/>
                <w:szCs w:val="16"/>
                <w:lang w:val="en-AU"/>
              </w:rPr>
              <w:t>:</w:t>
            </w:r>
            <w:r w:rsidRPr="003E76E7">
              <w:rPr>
                <w:rFonts w:ascii="Arial" w:hAnsi="Arial"/>
                <w:sz w:val="16"/>
                <w:szCs w:val="16"/>
                <w:lang w:val="en-AU"/>
              </w:rPr>
              <w:t xml:space="preserve"> </w:t>
            </w:r>
            <w:r w:rsidR="001074BE" w:rsidRPr="003E76E7">
              <w:rPr>
                <w:rFonts w:ascii="Arial" w:eastAsia="Franklin Gothic Book" w:hAnsi="Arial"/>
                <w:bCs/>
                <w:sz w:val="16"/>
                <w:szCs w:val="16"/>
                <w:lang w:val="en-AU"/>
              </w:rPr>
              <w:t xml:space="preserve">Defence improves regulatory performance and capability through the finalisation of export permit applications within benchmark timeframes and reduction of export permits to the United States and United Kingdom facilitated via the AUKUS license-free environment. </w:t>
            </w:r>
          </w:p>
        </w:tc>
        <w:tc>
          <w:tcPr>
            <w:tcW w:w="3379" w:type="dxa"/>
            <w:tcBorders>
              <w:top w:val="single" w:sz="4" w:space="0" w:color="auto"/>
              <w:left w:val="single" w:sz="4" w:space="0" w:color="auto"/>
              <w:bottom w:val="single" w:sz="4" w:space="0" w:color="auto"/>
              <w:right w:val="single" w:sz="4" w:space="0" w:color="auto"/>
            </w:tcBorders>
          </w:tcPr>
          <w:p w14:paraId="537DE6CB" w14:textId="6B8D3F10" w:rsidR="001074BE" w:rsidRPr="003E76E7" w:rsidRDefault="001074BE" w:rsidP="00C4292D">
            <w:pPr>
              <w:spacing w:before="60" w:after="60"/>
              <w:rPr>
                <w:rFonts w:ascii="Arial" w:hAnsi="Arial"/>
                <w:sz w:val="16"/>
                <w:szCs w:val="16"/>
                <w:lang w:val="en-AU"/>
              </w:rPr>
            </w:pPr>
            <w:r w:rsidRPr="003E76E7">
              <w:rPr>
                <w:rFonts w:ascii="Arial" w:hAnsi="Arial"/>
                <w:sz w:val="16"/>
                <w:szCs w:val="16"/>
                <w:lang w:val="en-AU"/>
              </w:rPr>
              <w:t xml:space="preserve">Defence will finalise the approved export permit applications within benchmark timeframes (15 days for non-complex applications; and 35 days for complex applications), and will process fewer permits each year </w:t>
            </w:r>
            <w:r w:rsidR="00FE5A03">
              <w:rPr>
                <w:rFonts w:ascii="Arial" w:hAnsi="Arial"/>
                <w:sz w:val="16"/>
                <w:szCs w:val="16"/>
                <w:lang w:val="en-AU"/>
              </w:rPr>
              <w:t xml:space="preserve">in total to the United States, </w:t>
            </w:r>
            <w:r w:rsidRPr="003E76E7">
              <w:rPr>
                <w:rFonts w:ascii="Arial" w:hAnsi="Arial"/>
                <w:sz w:val="16"/>
                <w:szCs w:val="16"/>
                <w:lang w:val="en-AU"/>
              </w:rPr>
              <w:t>United Kingdom and Australia since the introduction of the AUKUS licence-free environment.</w:t>
            </w:r>
          </w:p>
          <w:p w14:paraId="7E159C8F" w14:textId="263832FC" w:rsidR="001074BE" w:rsidRPr="003E76E7" w:rsidRDefault="001074BE" w:rsidP="00C4292D">
            <w:pPr>
              <w:spacing w:before="60" w:after="60"/>
              <w:jc w:val="right"/>
              <w:rPr>
                <w:rFonts w:ascii="Arial" w:hAnsi="Arial"/>
                <w:sz w:val="16"/>
                <w:szCs w:val="16"/>
                <w:lang w:val="en-AU"/>
              </w:rPr>
            </w:pPr>
            <w:r w:rsidRPr="003E76E7">
              <w:rPr>
                <w:rFonts w:ascii="Arial" w:hAnsi="Arial"/>
                <w:i/>
                <w:sz w:val="16"/>
                <w:szCs w:val="16"/>
                <w:lang w:val="en-AU"/>
              </w:rPr>
              <w:t>Expected to be substantially achieved</w:t>
            </w:r>
            <w:r w:rsidR="00E123DA" w:rsidRPr="003E76E7">
              <w:rPr>
                <w:rFonts w:ascii="Arial" w:hAnsi="Arial"/>
                <w:sz w:val="16"/>
                <w:szCs w:val="16"/>
                <w:lang w:val="en-AU"/>
              </w:rPr>
              <w:t>.</w:t>
            </w:r>
          </w:p>
        </w:tc>
      </w:tr>
      <w:tr w:rsidR="00EF3130" w:rsidRPr="003E76E7" w14:paraId="310D0153" w14:textId="77777777" w:rsidTr="000E1A17">
        <w:trPr>
          <w:trHeight w:val="258"/>
        </w:trPr>
        <w:tc>
          <w:tcPr>
            <w:tcW w:w="1799" w:type="dxa"/>
            <w:tcBorders>
              <w:top w:val="single" w:sz="4" w:space="0" w:color="auto"/>
              <w:bottom w:val="single" w:sz="4" w:space="0" w:color="auto"/>
              <w:right w:val="single" w:sz="4" w:space="0" w:color="auto"/>
            </w:tcBorders>
          </w:tcPr>
          <w:p w14:paraId="126746F9" w14:textId="77777777" w:rsidR="00EF3130" w:rsidRPr="003E76E7" w:rsidRDefault="00EF3130" w:rsidP="00C4292D">
            <w:pPr>
              <w:keepNext/>
              <w:keepLines/>
              <w:tabs>
                <w:tab w:val="left" w:pos="709"/>
              </w:tabs>
              <w:spacing w:before="60" w:after="60"/>
              <w:rPr>
                <w:rFonts w:ascii="Arial" w:hAnsi="Arial"/>
                <w:b/>
                <w:color w:val="000000"/>
                <w:sz w:val="16"/>
                <w:szCs w:val="16"/>
              </w:rPr>
            </w:pPr>
            <w:r w:rsidRPr="003E76E7">
              <w:rPr>
                <w:rFonts w:ascii="Arial" w:hAnsi="Arial"/>
                <w:b/>
                <w:color w:val="000000"/>
                <w:sz w:val="16"/>
                <w:szCs w:val="16"/>
              </w:rPr>
              <w:t>Year</w:t>
            </w:r>
          </w:p>
        </w:tc>
        <w:tc>
          <w:tcPr>
            <w:tcW w:w="3174" w:type="dxa"/>
            <w:tcBorders>
              <w:top w:val="single" w:sz="4" w:space="0" w:color="auto"/>
              <w:left w:val="single" w:sz="4" w:space="0" w:color="auto"/>
              <w:bottom w:val="single" w:sz="4" w:space="0" w:color="auto"/>
              <w:right w:val="single" w:sz="4" w:space="0" w:color="auto"/>
            </w:tcBorders>
          </w:tcPr>
          <w:p w14:paraId="1F1A72C2" w14:textId="7751A3D4" w:rsidR="00EF3130" w:rsidRPr="003E76E7" w:rsidRDefault="00AD14EC" w:rsidP="00C4292D">
            <w:pPr>
              <w:keepNext/>
              <w:keepLines/>
              <w:tabs>
                <w:tab w:val="left" w:pos="709"/>
                <w:tab w:val="center" w:pos="1818"/>
              </w:tabs>
              <w:spacing w:before="60" w:after="60"/>
              <w:rPr>
                <w:rFonts w:ascii="Arial" w:hAnsi="Arial"/>
                <w:b/>
                <w:color w:val="000000"/>
                <w:sz w:val="16"/>
                <w:szCs w:val="16"/>
              </w:rPr>
            </w:pPr>
            <w:r w:rsidRPr="003E76E7">
              <w:rPr>
                <w:rFonts w:ascii="Arial" w:hAnsi="Arial"/>
                <w:b/>
                <w:color w:val="000000"/>
                <w:sz w:val="16"/>
                <w:szCs w:val="16"/>
              </w:rPr>
              <w:t>Performance Measures</w:t>
            </w:r>
          </w:p>
        </w:tc>
        <w:tc>
          <w:tcPr>
            <w:tcW w:w="3379" w:type="dxa"/>
            <w:tcBorders>
              <w:top w:val="single" w:sz="4" w:space="0" w:color="auto"/>
              <w:left w:val="single" w:sz="4" w:space="0" w:color="auto"/>
              <w:bottom w:val="single" w:sz="4" w:space="0" w:color="auto"/>
            </w:tcBorders>
          </w:tcPr>
          <w:p w14:paraId="54B14E13" w14:textId="77777777" w:rsidR="00EF3130" w:rsidRPr="003E76E7" w:rsidRDefault="00EF3130" w:rsidP="00C4292D">
            <w:pPr>
              <w:tabs>
                <w:tab w:val="left" w:pos="709"/>
              </w:tabs>
              <w:spacing w:before="60" w:after="60"/>
              <w:rPr>
                <w:rFonts w:ascii="Arial" w:hAnsi="Arial"/>
                <w:b/>
                <w:color w:val="000000"/>
                <w:sz w:val="16"/>
                <w:szCs w:val="16"/>
              </w:rPr>
            </w:pPr>
            <w:r w:rsidRPr="003E76E7">
              <w:rPr>
                <w:rFonts w:ascii="Arial" w:hAnsi="Arial"/>
                <w:b/>
                <w:color w:val="000000"/>
                <w:sz w:val="16"/>
                <w:szCs w:val="16"/>
              </w:rPr>
              <w:t>Planned Performance Results</w:t>
            </w:r>
          </w:p>
        </w:tc>
      </w:tr>
      <w:tr w:rsidR="001074BE" w:rsidRPr="003E76E7" w14:paraId="0870B52B" w14:textId="77777777" w:rsidTr="000E1A17">
        <w:trPr>
          <w:trHeight w:val="250"/>
        </w:trPr>
        <w:tc>
          <w:tcPr>
            <w:tcW w:w="1799" w:type="dxa"/>
            <w:vMerge w:val="restart"/>
            <w:tcBorders>
              <w:right w:val="single" w:sz="4" w:space="0" w:color="auto"/>
            </w:tcBorders>
          </w:tcPr>
          <w:p w14:paraId="5AF89F7F" w14:textId="77777777" w:rsidR="001074BE" w:rsidRPr="003E76E7" w:rsidRDefault="001074BE" w:rsidP="00C4292D">
            <w:pPr>
              <w:tabs>
                <w:tab w:val="left" w:pos="709"/>
              </w:tabs>
              <w:spacing w:before="0" w:after="0"/>
              <w:rPr>
                <w:rFonts w:ascii="Arial" w:hAnsi="Arial"/>
                <w:color w:val="000000"/>
                <w:sz w:val="16"/>
                <w:szCs w:val="16"/>
              </w:rPr>
            </w:pPr>
            <w:r w:rsidRPr="003E76E7">
              <w:rPr>
                <w:rFonts w:ascii="Arial" w:hAnsi="Arial"/>
                <w:color w:val="000000"/>
                <w:sz w:val="16"/>
                <w:szCs w:val="16"/>
              </w:rPr>
              <w:t>Budget Year</w:t>
            </w:r>
          </w:p>
          <w:p w14:paraId="0F0BBCE2" w14:textId="498835AE" w:rsidR="001074BE" w:rsidRPr="003E76E7" w:rsidRDefault="001074BE" w:rsidP="00C4292D">
            <w:pPr>
              <w:tabs>
                <w:tab w:val="left" w:pos="709"/>
              </w:tabs>
              <w:spacing w:before="0" w:after="0"/>
              <w:rPr>
                <w:rFonts w:ascii="Arial" w:hAnsi="Arial"/>
                <w:color w:val="000000"/>
                <w:sz w:val="16"/>
                <w:szCs w:val="16"/>
              </w:rPr>
            </w:pPr>
            <w:r w:rsidRPr="003E76E7">
              <w:rPr>
                <w:rFonts w:ascii="Arial" w:hAnsi="Arial"/>
                <w:color w:val="000000"/>
                <w:sz w:val="16"/>
                <w:szCs w:val="16"/>
              </w:rPr>
              <w:t xml:space="preserve">2026-27 </w:t>
            </w:r>
            <w:r w:rsidRPr="003E76E7">
              <w:rPr>
                <w:rFonts w:ascii="Arial" w:hAnsi="Arial"/>
                <w:color w:val="000000"/>
                <w:sz w:val="16"/>
                <w:szCs w:val="16"/>
                <w:vertAlign w:val="superscript"/>
              </w:rPr>
              <w:t>[</w:t>
            </w:r>
            <w:r w:rsidR="00634633" w:rsidRPr="003E76E7">
              <w:rPr>
                <w:rFonts w:ascii="Arial" w:hAnsi="Arial"/>
                <w:color w:val="000000"/>
                <w:sz w:val="16"/>
                <w:szCs w:val="16"/>
                <w:vertAlign w:val="superscript"/>
              </w:rPr>
              <w:t>c</w:t>
            </w:r>
            <w:r w:rsidRPr="003E76E7">
              <w:rPr>
                <w:rFonts w:ascii="Arial" w:hAnsi="Arial"/>
                <w:color w:val="000000"/>
                <w:sz w:val="16"/>
                <w:szCs w:val="16"/>
                <w:vertAlign w:val="superscript"/>
              </w:rPr>
              <w:t>]</w:t>
            </w:r>
          </w:p>
        </w:tc>
        <w:tc>
          <w:tcPr>
            <w:tcW w:w="3174" w:type="dxa"/>
            <w:tcBorders>
              <w:top w:val="single" w:sz="4" w:space="0" w:color="auto"/>
              <w:left w:val="single" w:sz="4" w:space="0" w:color="auto"/>
              <w:bottom w:val="single" w:sz="4" w:space="0" w:color="auto"/>
              <w:right w:val="single" w:sz="4" w:space="0" w:color="auto"/>
            </w:tcBorders>
          </w:tcPr>
          <w:p w14:paraId="5059D33D" w14:textId="2A0426D2" w:rsidR="001074BE" w:rsidRPr="003E76E7" w:rsidRDefault="001074BE" w:rsidP="00C4292D">
            <w:pPr>
              <w:tabs>
                <w:tab w:val="left" w:pos="709"/>
              </w:tabs>
              <w:spacing w:before="60" w:after="60"/>
              <w:rPr>
                <w:rFonts w:ascii="Arial" w:hAnsi="Arial"/>
                <w:color w:val="000000"/>
                <w:sz w:val="16"/>
                <w:szCs w:val="16"/>
              </w:rPr>
            </w:pPr>
            <w:r w:rsidRPr="003E76E7">
              <w:rPr>
                <w:rFonts w:ascii="Arial" w:hAnsi="Arial"/>
                <w:sz w:val="16"/>
                <w:szCs w:val="16"/>
                <w:lang w:val="en-AU"/>
              </w:rPr>
              <w:t>2.1: The National Defence Strategy is operationalised and monitored through alignment with enterprise planning.</w:t>
            </w:r>
          </w:p>
        </w:tc>
        <w:tc>
          <w:tcPr>
            <w:tcW w:w="3379" w:type="dxa"/>
            <w:tcBorders>
              <w:top w:val="single" w:sz="4" w:space="0" w:color="auto"/>
              <w:left w:val="single" w:sz="4" w:space="0" w:color="auto"/>
              <w:bottom w:val="single" w:sz="4" w:space="0" w:color="auto"/>
              <w:right w:val="single" w:sz="4" w:space="0" w:color="auto"/>
            </w:tcBorders>
          </w:tcPr>
          <w:p w14:paraId="21099A49" w14:textId="7A7591F8" w:rsidR="001074BE" w:rsidRPr="003E76E7" w:rsidRDefault="001074BE" w:rsidP="00C4292D">
            <w:pPr>
              <w:spacing w:before="60" w:after="60"/>
              <w:rPr>
                <w:rFonts w:ascii="Arial" w:hAnsi="Arial"/>
                <w:sz w:val="16"/>
                <w:szCs w:val="16"/>
                <w:lang w:val="en-AU"/>
              </w:rPr>
            </w:pPr>
            <w:r w:rsidRPr="003E76E7">
              <w:rPr>
                <w:rFonts w:ascii="Arial" w:hAnsi="Arial"/>
                <w:sz w:val="16"/>
                <w:szCs w:val="16"/>
                <w:lang w:val="en-AU"/>
              </w:rPr>
              <w:t>90 per cent or more of National Defence Strategy aligned Group and Service Business Plan activities are completed during the reporting period.</w:t>
            </w:r>
          </w:p>
        </w:tc>
      </w:tr>
      <w:tr w:rsidR="001074BE" w:rsidRPr="003E76E7" w14:paraId="3D565662" w14:textId="77777777" w:rsidTr="000E1A17">
        <w:trPr>
          <w:trHeight w:val="678"/>
        </w:trPr>
        <w:tc>
          <w:tcPr>
            <w:tcW w:w="1799" w:type="dxa"/>
            <w:vMerge/>
            <w:tcBorders>
              <w:right w:val="single" w:sz="4" w:space="0" w:color="auto"/>
            </w:tcBorders>
          </w:tcPr>
          <w:p w14:paraId="66E2F382" w14:textId="77777777" w:rsidR="001074BE" w:rsidRPr="003E76E7" w:rsidRDefault="001074BE" w:rsidP="00C4292D">
            <w:pPr>
              <w:tabs>
                <w:tab w:val="left" w:pos="709"/>
              </w:tabs>
              <w:spacing w:before="60" w:after="60"/>
              <w:rPr>
                <w:rFonts w:ascii="Arial" w:hAnsi="Arial"/>
                <w:color w:val="000000"/>
                <w:sz w:val="16"/>
                <w:szCs w:val="16"/>
              </w:rPr>
            </w:pPr>
          </w:p>
        </w:tc>
        <w:tc>
          <w:tcPr>
            <w:tcW w:w="3174" w:type="dxa"/>
            <w:tcBorders>
              <w:top w:val="single" w:sz="4" w:space="0" w:color="auto"/>
              <w:left w:val="single" w:sz="4" w:space="0" w:color="auto"/>
              <w:bottom w:val="single" w:sz="4" w:space="0" w:color="auto"/>
              <w:right w:val="single" w:sz="4" w:space="0" w:color="auto"/>
            </w:tcBorders>
          </w:tcPr>
          <w:p w14:paraId="2BA4A79B" w14:textId="7C5202FA" w:rsidR="001074BE" w:rsidRPr="003E76E7" w:rsidRDefault="001074BE" w:rsidP="00C4292D">
            <w:pPr>
              <w:tabs>
                <w:tab w:val="left" w:pos="709"/>
              </w:tabs>
              <w:spacing w:before="60" w:after="60"/>
              <w:rPr>
                <w:rFonts w:ascii="Arial" w:eastAsia="Calibri" w:hAnsi="Arial"/>
                <w:sz w:val="16"/>
                <w:szCs w:val="16"/>
                <w:lang w:val="en-AU" w:eastAsia="en-US"/>
              </w:rPr>
            </w:pPr>
            <w:r w:rsidRPr="003E76E7">
              <w:rPr>
                <w:rFonts w:ascii="Arial" w:hAnsi="Arial"/>
                <w:sz w:val="16"/>
                <w:szCs w:val="16"/>
                <w:lang w:val="en-AU"/>
              </w:rPr>
              <w:t>5.1: The ADF has a near persistent presence in Australia’s immediate region.</w:t>
            </w:r>
          </w:p>
        </w:tc>
        <w:tc>
          <w:tcPr>
            <w:tcW w:w="3379" w:type="dxa"/>
            <w:tcBorders>
              <w:top w:val="single" w:sz="4" w:space="0" w:color="auto"/>
              <w:left w:val="single" w:sz="4" w:space="0" w:color="auto"/>
              <w:bottom w:val="single" w:sz="4" w:space="0" w:color="auto"/>
              <w:right w:val="single" w:sz="4" w:space="0" w:color="auto"/>
            </w:tcBorders>
          </w:tcPr>
          <w:p w14:paraId="66BEB5EE" w14:textId="0B6DCB63" w:rsidR="001074BE" w:rsidRPr="003E76E7" w:rsidRDefault="001074BE" w:rsidP="00C4292D">
            <w:pPr>
              <w:spacing w:before="60" w:after="60"/>
              <w:rPr>
                <w:rFonts w:ascii="Arial" w:hAnsi="Arial"/>
                <w:sz w:val="16"/>
                <w:szCs w:val="16"/>
                <w:lang w:val="en-AU"/>
              </w:rPr>
            </w:pPr>
            <w:r w:rsidRPr="003E76E7">
              <w:rPr>
                <w:rFonts w:ascii="Arial" w:hAnsi="Arial"/>
                <w:sz w:val="16"/>
                <w:szCs w:val="16"/>
                <w:lang w:val="en-AU"/>
              </w:rPr>
              <w:t>Defence maintains its regional forward force presence through ADF operations, activities and investments.</w:t>
            </w:r>
          </w:p>
        </w:tc>
      </w:tr>
      <w:tr w:rsidR="001074BE" w:rsidRPr="003E76E7" w14:paraId="5904ADB1" w14:textId="77777777" w:rsidTr="000E1A17">
        <w:trPr>
          <w:trHeight w:val="835"/>
        </w:trPr>
        <w:tc>
          <w:tcPr>
            <w:tcW w:w="1799" w:type="dxa"/>
            <w:vMerge/>
            <w:tcBorders>
              <w:bottom w:val="single" w:sz="4" w:space="0" w:color="auto"/>
              <w:right w:val="single" w:sz="4" w:space="0" w:color="auto"/>
            </w:tcBorders>
          </w:tcPr>
          <w:p w14:paraId="343CCF29" w14:textId="77777777" w:rsidR="001074BE" w:rsidRPr="003E76E7" w:rsidRDefault="001074BE" w:rsidP="00C4292D">
            <w:pPr>
              <w:tabs>
                <w:tab w:val="left" w:pos="709"/>
              </w:tabs>
              <w:spacing w:before="60" w:after="60"/>
              <w:rPr>
                <w:rFonts w:ascii="Arial" w:hAnsi="Arial"/>
                <w:color w:val="000000"/>
                <w:sz w:val="16"/>
                <w:szCs w:val="16"/>
              </w:rPr>
            </w:pPr>
          </w:p>
        </w:tc>
        <w:tc>
          <w:tcPr>
            <w:tcW w:w="3174" w:type="dxa"/>
            <w:tcBorders>
              <w:top w:val="single" w:sz="4" w:space="0" w:color="auto"/>
              <w:left w:val="single" w:sz="4" w:space="0" w:color="auto"/>
              <w:bottom w:val="single" w:sz="4" w:space="0" w:color="auto"/>
              <w:right w:val="single" w:sz="4" w:space="0" w:color="auto"/>
            </w:tcBorders>
          </w:tcPr>
          <w:p w14:paraId="1BE41E68" w14:textId="714935F7" w:rsidR="001074BE" w:rsidRPr="003E76E7" w:rsidRDefault="001074BE" w:rsidP="00C4292D">
            <w:pPr>
              <w:tabs>
                <w:tab w:val="left" w:pos="709"/>
              </w:tabs>
              <w:spacing w:before="60" w:after="60"/>
              <w:rPr>
                <w:rFonts w:ascii="Arial" w:eastAsia="Calibri" w:hAnsi="Arial"/>
                <w:sz w:val="16"/>
                <w:szCs w:val="16"/>
                <w:lang w:val="en-AU" w:eastAsia="en-US"/>
              </w:rPr>
            </w:pPr>
            <w:r w:rsidRPr="003E76E7">
              <w:rPr>
                <w:rFonts w:ascii="Arial" w:hAnsi="Arial"/>
                <w:sz w:val="16"/>
                <w:szCs w:val="16"/>
                <w:lang w:val="en-AU"/>
              </w:rPr>
              <w:t>5.2: Defence enhances Australia’s relationships with the Government’s priority Indo-Pacific and global partners.</w:t>
            </w:r>
          </w:p>
        </w:tc>
        <w:tc>
          <w:tcPr>
            <w:tcW w:w="3379" w:type="dxa"/>
            <w:tcBorders>
              <w:top w:val="single" w:sz="4" w:space="0" w:color="auto"/>
              <w:left w:val="single" w:sz="4" w:space="0" w:color="auto"/>
              <w:bottom w:val="single" w:sz="4" w:space="0" w:color="auto"/>
              <w:right w:val="single" w:sz="4" w:space="0" w:color="auto"/>
            </w:tcBorders>
          </w:tcPr>
          <w:p w14:paraId="196F2C56" w14:textId="322BF4E7" w:rsidR="001074BE" w:rsidRPr="003E76E7" w:rsidRDefault="001074BE" w:rsidP="00C4292D">
            <w:pPr>
              <w:spacing w:before="60" w:after="60"/>
              <w:rPr>
                <w:rFonts w:ascii="Arial" w:hAnsi="Arial"/>
                <w:sz w:val="16"/>
                <w:szCs w:val="16"/>
                <w:lang w:val="en-AU"/>
              </w:rPr>
            </w:pPr>
            <w:r w:rsidRPr="003E76E7">
              <w:rPr>
                <w:rFonts w:ascii="Arial" w:hAnsi="Arial"/>
                <w:sz w:val="16"/>
                <w:szCs w:val="16"/>
                <w:lang w:val="en-AU"/>
              </w:rPr>
              <w:t>Defence implements action items from annual 2+2 (Foreign Affairs and Defence) ministerial meetings (80 per cent or more action items completed or on track).</w:t>
            </w:r>
          </w:p>
        </w:tc>
      </w:tr>
      <w:tr w:rsidR="001074BE" w:rsidRPr="003E76E7" w14:paraId="0CDA6771" w14:textId="77777777" w:rsidTr="000E1A17">
        <w:trPr>
          <w:trHeight w:val="132"/>
        </w:trPr>
        <w:tc>
          <w:tcPr>
            <w:tcW w:w="1799" w:type="dxa"/>
            <w:tcBorders>
              <w:top w:val="single" w:sz="4" w:space="0" w:color="auto"/>
              <w:bottom w:val="single" w:sz="4" w:space="0" w:color="auto"/>
              <w:right w:val="single" w:sz="4" w:space="0" w:color="auto"/>
            </w:tcBorders>
          </w:tcPr>
          <w:p w14:paraId="3D30688C" w14:textId="7002C1C7" w:rsidR="001074BE" w:rsidRPr="003E76E7" w:rsidRDefault="001074BE" w:rsidP="00C4292D">
            <w:pPr>
              <w:pageBreakBefore/>
              <w:tabs>
                <w:tab w:val="left" w:pos="709"/>
              </w:tabs>
              <w:spacing w:before="60" w:after="60"/>
              <w:rPr>
                <w:rFonts w:ascii="Arial" w:hAnsi="Arial"/>
                <w:color w:val="000000"/>
                <w:sz w:val="16"/>
                <w:szCs w:val="16"/>
              </w:rPr>
            </w:pPr>
            <w:r w:rsidRPr="003E76E7">
              <w:rPr>
                <w:rFonts w:ascii="Arial" w:hAnsi="Arial"/>
                <w:b/>
                <w:color w:val="000000"/>
                <w:sz w:val="16"/>
                <w:szCs w:val="16"/>
              </w:rPr>
              <w:lastRenderedPageBreak/>
              <w:t>Year</w:t>
            </w:r>
          </w:p>
        </w:tc>
        <w:tc>
          <w:tcPr>
            <w:tcW w:w="3174" w:type="dxa"/>
            <w:tcBorders>
              <w:top w:val="single" w:sz="4" w:space="0" w:color="auto"/>
              <w:left w:val="single" w:sz="4" w:space="0" w:color="auto"/>
              <w:bottom w:val="single" w:sz="4" w:space="0" w:color="auto"/>
              <w:right w:val="single" w:sz="4" w:space="0" w:color="auto"/>
            </w:tcBorders>
          </w:tcPr>
          <w:p w14:paraId="0527A6F8" w14:textId="5B5EFD8F" w:rsidR="001074BE" w:rsidRPr="003E76E7" w:rsidRDefault="00AD14EC" w:rsidP="00C4292D">
            <w:pPr>
              <w:tabs>
                <w:tab w:val="left" w:pos="709"/>
              </w:tabs>
              <w:spacing w:before="60" w:after="60"/>
              <w:rPr>
                <w:rFonts w:ascii="Arial" w:hAnsi="Arial"/>
                <w:sz w:val="16"/>
                <w:szCs w:val="16"/>
                <w:lang w:val="en-AU"/>
              </w:rPr>
            </w:pPr>
            <w:r w:rsidRPr="003E76E7">
              <w:rPr>
                <w:rFonts w:ascii="Arial" w:hAnsi="Arial"/>
                <w:b/>
                <w:color w:val="000000"/>
                <w:sz w:val="16"/>
                <w:szCs w:val="16"/>
              </w:rPr>
              <w:t>Performance Measures</w:t>
            </w:r>
          </w:p>
        </w:tc>
        <w:tc>
          <w:tcPr>
            <w:tcW w:w="3379" w:type="dxa"/>
            <w:tcBorders>
              <w:top w:val="single" w:sz="4" w:space="0" w:color="auto"/>
              <w:left w:val="single" w:sz="4" w:space="0" w:color="auto"/>
              <w:bottom w:val="single" w:sz="4" w:space="0" w:color="auto"/>
              <w:right w:val="single" w:sz="4" w:space="0" w:color="auto"/>
            </w:tcBorders>
          </w:tcPr>
          <w:p w14:paraId="5D3D1EFB" w14:textId="4DA076F8" w:rsidR="001074BE" w:rsidRPr="003E76E7" w:rsidRDefault="001074BE" w:rsidP="00C4292D">
            <w:pPr>
              <w:tabs>
                <w:tab w:val="left" w:pos="709"/>
              </w:tabs>
              <w:spacing w:before="60" w:after="60"/>
              <w:rPr>
                <w:rFonts w:ascii="Arial" w:hAnsi="Arial"/>
                <w:sz w:val="16"/>
                <w:szCs w:val="16"/>
                <w:lang w:val="en-AU"/>
              </w:rPr>
            </w:pPr>
            <w:r w:rsidRPr="003E76E7">
              <w:rPr>
                <w:rFonts w:ascii="Arial" w:hAnsi="Arial"/>
                <w:b/>
                <w:color w:val="000000"/>
                <w:sz w:val="16"/>
                <w:szCs w:val="16"/>
              </w:rPr>
              <w:t>Planned Performance Results</w:t>
            </w:r>
          </w:p>
        </w:tc>
      </w:tr>
      <w:tr w:rsidR="001074BE" w:rsidRPr="003E76E7" w14:paraId="6946FBC1" w14:textId="77777777" w:rsidTr="00546FD1">
        <w:tblPrEx>
          <w:shd w:val="clear" w:color="auto" w:fill="auto"/>
          <w:tblLook w:val="04A0" w:firstRow="1" w:lastRow="0" w:firstColumn="1" w:lastColumn="0" w:noHBand="0" w:noVBand="1"/>
        </w:tblPrEx>
        <w:trPr>
          <w:trHeight w:val="835"/>
        </w:trPr>
        <w:tc>
          <w:tcPr>
            <w:tcW w:w="1799" w:type="dxa"/>
            <w:tcBorders>
              <w:top w:val="single" w:sz="4" w:space="0" w:color="auto"/>
              <w:bottom w:val="single" w:sz="4" w:space="0" w:color="auto"/>
              <w:right w:val="single" w:sz="4" w:space="0" w:color="auto"/>
            </w:tcBorders>
          </w:tcPr>
          <w:p w14:paraId="6F121330" w14:textId="77777777" w:rsidR="0092056F" w:rsidRPr="003E76E7" w:rsidRDefault="0092056F" w:rsidP="00C4292D">
            <w:pPr>
              <w:tabs>
                <w:tab w:val="left" w:pos="709"/>
              </w:tabs>
              <w:spacing w:before="0" w:after="0"/>
              <w:rPr>
                <w:rFonts w:ascii="Arial" w:hAnsi="Arial"/>
                <w:color w:val="000000"/>
                <w:sz w:val="16"/>
                <w:szCs w:val="16"/>
              </w:rPr>
            </w:pPr>
            <w:r w:rsidRPr="003E76E7">
              <w:rPr>
                <w:rFonts w:ascii="Arial" w:hAnsi="Arial"/>
                <w:color w:val="000000"/>
                <w:sz w:val="16"/>
                <w:szCs w:val="16"/>
              </w:rPr>
              <w:t>Budget Year</w:t>
            </w:r>
          </w:p>
          <w:p w14:paraId="23883FF6" w14:textId="68B08B94" w:rsidR="001074BE" w:rsidRPr="003E76E7" w:rsidRDefault="0092056F" w:rsidP="00C4292D">
            <w:pPr>
              <w:tabs>
                <w:tab w:val="left" w:pos="709"/>
              </w:tabs>
              <w:spacing w:before="0" w:after="0"/>
              <w:rPr>
                <w:rFonts w:ascii="Arial" w:hAnsi="Arial"/>
                <w:color w:val="000000"/>
                <w:sz w:val="16"/>
                <w:szCs w:val="16"/>
              </w:rPr>
            </w:pPr>
            <w:r w:rsidRPr="003E76E7">
              <w:rPr>
                <w:rFonts w:ascii="Arial" w:hAnsi="Arial"/>
                <w:color w:val="000000"/>
                <w:sz w:val="16"/>
                <w:szCs w:val="16"/>
              </w:rPr>
              <w:t xml:space="preserve">2026-27 </w:t>
            </w:r>
            <w:r w:rsidR="00A0768C" w:rsidRPr="003E76E7">
              <w:rPr>
                <w:rFonts w:ascii="Arial" w:hAnsi="Arial"/>
                <w:color w:val="000000"/>
                <w:sz w:val="16"/>
                <w:szCs w:val="16"/>
                <w:vertAlign w:val="superscript"/>
              </w:rPr>
              <w:t>[</w:t>
            </w:r>
            <w:r w:rsidR="00634633" w:rsidRPr="003E76E7">
              <w:rPr>
                <w:rFonts w:ascii="Arial" w:hAnsi="Arial"/>
                <w:color w:val="000000"/>
                <w:sz w:val="16"/>
                <w:szCs w:val="16"/>
                <w:vertAlign w:val="superscript"/>
              </w:rPr>
              <w:t>c</w:t>
            </w:r>
            <w:r w:rsidRPr="003E76E7">
              <w:rPr>
                <w:rFonts w:ascii="Arial" w:hAnsi="Arial"/>
                <w:color w:val="000000"/>
                <w:sz w:val="16"/>
                <w:szCs w:val="16"/>
                <w:vertAlign w:val="superscript"/>
              </w:rPr>
              <w:t>]</w:t>
            </w:r>
          </w:p>
        </w:tc>
        <w:tc>
          <w:tcPr>
            <w:tcW w:w="3174" w:type="dxa"/>
            <w:tcBorders>
              <w:top w:val="single" w:sz="4" w:space="0" w:color="auto"/>
              <w:left w:val="single" w:sz="4" w:space="0" w:color="auto"/>
              <w:bottom w:val="single" w:sz="4" w:space="0" w:color="auto"/>
              <w:right w:val="single" w:sz="4" w:space="0" w:color="auto"/>
            </w:tcBorders>
          </w:tcPr>
          <w:p w14:paraId="3D0A7FFB" w14:textId="5B44742A" w:rsidR="001074BE" w:rsidRPr="003E76E7" w:rsidRDefault="001074BE" w:rsidP="00C4292D">
            <w:pPr>
              <w:tabs>
                <w:tab w:val="left" w:pos="709"/>
              </w:tabs>
              <w:spacing w:before="60" w:after="60"/>
              <w:rPr>
                <w:rFonts w:ascii="Arial" w:eastAsia="Calibri" w:hAnsi="Arial"/>
                <w:sz w:val="16"/>
                <w:szCs w:val="16"/>
                <w:lang w:val="en-AU" w:eastAsia="en-US"/>
              </w:rPr>
            </w:pPr>
            <w:r w:rsidRPr="003E76E7">
              <w:rPr>
                <w:rFonts w:ascii="Arial" w:hAnsi="Arial"/>
                <w:sz w:val="16"/>
                <w:szCs w:val="16"/>
                <w:lang w:val="en-AU"/>
              </w:rPr>
              <w:t>8.1</w:t>
            </w:r>
            <w:r w:rsidR="00392824" w:rsidRPr="003E76E7">
              <w:rPr>
                <w:rFonts w:ascii="Arial" w:hAnsi="Arial"/>
                <w:sz w:val="16"/>
                <w:szCs w:val="16"/>
                <w:lang w:val="en-AU"/>
              </w:rPr>
              <w:t>:</w:t>
            </w:r>
            <w:r w:rsidRPr="003E76E7">
              <w:rPr>
                <w:rFonts w:ascii="Arial" w:hAnsi="Arial"/>
                <w:sz w:val="16"/>
                <w:szCs w:val="16"/>
                <w:lang w:val="en-AU"/>
              </w:rPr>
              <w:t xml:space="preserve"> </w:t>
            </w:r>
            <w:r w:rsidRPr="003E76E7">
              <w:rPr>
                <w:rFonts w:ascii="Arial" w:eastAsia="Franklin Gothic Book" w:hAnsi="Arial"/>
                <w:bCs/>
                <w:sz w:val="16"/>
                <w:szCs w:val="16"/>
                <w:lang w:val="en-AU"/>
              </w:rPr>
              <w:t>Defence improves the regulatory performance and capability through the finalisation of export permit applications within benchmark timeframes and reduction of export permits to the United States and United Kingdom facilitated via the AUKUS license-free environment.</w:t>
            </w:r>
          </w:p>
        </w:tc>
        <w:tc>
          <w:tcPr>
            <w:tcW w:w="3379" w:type="dxa"/>
            <w:tcBorders>
              <w:top w:val="single" w:sz="4" w:space="0" w:color="auto"/>
              <w:left w:val="single" w:sz="4" w:space="0" w:color="auto"/>
              <w:bottom w:val="single" w:sz="4" w:space="0" w:color="auto"/>
              <w:right w:val="single" w:sz="4" w:space="0" w:color="auto"/>
            </w:tcBorders>
          </w:tcPr>
          <w:p w14:paraId="56DCA230" w14:textId="5EBA0F7D" w:rsidR="001074BE" w:rsidRPr="003E76E7" w:rsidRDefault="001074BE" w:rsidP="00C4292D">
            <w:pPr>
              <w:tabs>
                <w:tab w:val="left" w:pos="709"/>
              </w:tabs>
              <w:spacing w:before="60" w:after="60"/>
              <w:rPr>
                <w:rFonts w:ascii="Arial" w:hAnsi="Arial"/>
                <w:sz w:val="16"/>
                <w:szCs w:val="16"/>
                <w:lang w:val="en-AU"/>
              </w:rPr>
            </w:pPr>
            <w:r w:rsidRPr="003E76E7">
              <w:rPr>
                <w:rFonts w:ascii="Arial" w:hAnsi="Arial"/>
                <w:sz w:val="16"/>
                <w:szCs w:val="16"/>
              </w:rPr>
              <w:t>Defence will finalise the approved export permit applications within benchmark timeframes (15 days for non-complex applications; and 35 days for complex applications), and will process fewer permits each year in total to the United States, United Kingdom and Australia since the introduction of the AUKUS licence-free environment.</w:t>
            </w:r>
          </w:p>
        </w:tc>
      </w:tr>
      <w:tr w:rsidR="0092056F" w:rsidRPr="003E76E7" w14:paraId="7E7C5062" w14:textId="77777777" w:rsidTr="000E1A17">
        <w:trPr>
          <w:trHeight w:val="339"/>
        </w:trPr>
        <w:tc>
          <w:tcPr>
            <w:tcW w:w="1799" w:type="dxa"/>
            <w:tcBorders>
              <w:top w:val="single" w:sz="4" w:space="0" w:color="auto"/>
              <w:bottom w:val="single" w:sz="4" w:space="0" w:color="auto"/>
              <w:right w:val="single" w:sz="4" w:space="0" w:color="auto"/>
            </w:tcBorders>
            <w:vAlign w:val="center"/>
          </w:tcPr>
          <w:p w14:paraId="03E95D9C" w14:textId="1606C138" w:rsidR="0092056F" w:rsidRPr="003E76E7" w:rsidRDefault="0092056F" w:rsidP="00C4292D">
            <w:pPr>
              <w:tabs>
                <w:tab w:val="left" w:pos="709"/>
              </w:tabs>
              <w:spacing w:before="0" w:after="0"/>
              <w:rPr>
                <w:rFonts w:ascii="Arial" w:hAnsi="Arial"/>
                <w:color w:val="000000"/>
                <w:sz w:val="16"/>
                <w:szCs w:val="16"/>
              </w:rPr>
            </w:pPr>
            <w:r w:rsidRPr="003E76E7">
              <w:br w:type="page"/>
            </w:r>
            <w:r w:rsidRPr="003E76E7">
              <w:rPr>
                <w:rFonts w:ascii="Arial" w:hAnsi="Arial"/>
                <w:b/>
                <w:color w:val="000000"/>
                <w:sz w:val="16"/>
                <w:szCs w:val="16"/>
              </w:rPr>
              <w:t>Year</w:t>
            </w:r>
          </w:p>
        </w:tc>
        <w:tc>
          <w:tcPr>
            <w:tcW w:w="3174" w:type="dxa"/>
            <w:tcBorders>
              <w:top w:val="single" w:sz="4" w:space="0" w:color="auto"/>
              <w:left w:val="single" w:sz="4" w:space="0" w:color="auto"/>
              <w:bottom w:val="single" w:sz="4" w:space="0" w:color="auto"/>
              <w:right w:val="single" w:sz="4" w:space="0" w:color="auto"/>
            </w:tcBorders>
            <w:vAlign w:val="center"/>
          </w:tcPr>
          <w:p w14:paraId="2AB8CADE" w14:textId="01908D0C" w:rsidR="0092056F" w:rsidRPr="003E76E7" w:rsidRDefault="00AD14EC" w:rsidP="00C4292D">
            <w:pPr>
              <w:tabs>
                <w:tab w:val="left" w:pos="709"/>
              </w:tabs>
              <w:spacing w:before="60" w:after="60"/>
              <w:rPr>
                <w:rFonts w:ascii="Arial" w:hAnsi="Arial"/>
                <w:color w:val="000000"/>
                <w:sz w:val="16"/>
                <w:szCs w:val="16"/>
              </w:rPr>
            </w:pPr>
            <w:r w:rsidRPr="003E76E7">
              <w:rPr>
                <w:rFonts w:ascii="Arial" w:hAnsi="Arial"/>
                <w:b/>
                <w:color w:val="000000"/>
                <w:sz w:val="16"/>
                <w:szCs w:val="16"/>
              </w:rPr>
              <w:t>Performance Measures</w:t>
            </w:r>
          </w:p>
        </w:tc>
        <w:tc>
          <w:tcPr>
            <w:tcW w:w="3379" w:type="dxa"/>
            <w:tcBorders>
              <w:top w:val="single" w:sz="4" w:space="0" w:color="auto"/>
              <w:left w:val="single" w:sz="4" w:space="0" w:color="auto"/>
              <w:bottom w:val="single" w:sz="4" w:space="0" w:color="auto"/>
              <w:right w:val="single" w:sz="4" w:space="0" w:color="auto"/>
            </w:tcBorders>
            <w:vAlign w:val="center"/>
          </w:tcPr>
          <w:p w14:paraId="0E4B6C09" w14:textId="5BBC3A6E" w:rsidR="0092056F" w:rsidRPr="003E76E7" w:rsidRDefault="0092056F" w:rsidP="00C4292D">
            <w:pPr>
              <w:tabs>
                <w:tab w:val="left" w:pos="709"/>
              </w:tabs>
              <w:spacing w:before="60" w:after="60"/>
              <w:rPr>
                <w:rFonts w:ascii="Arial" w:hAnsi="Arial"/>
                <w:color w:val="000000"/>
                <w:sz w:val="16"/>
                <w:szCs w:val="16"/>
              </w:rPr>
            </w:pPr>
            <w:r w:rsidRPr="003E76E7">
              <w:rPr>
                <w:rFonts w:ascii="Arial" w:hAnsi="Arial"/>
                <w:b/>
                <w:color w:val="000000"/>
                <w:sz w:val="16"/>
                <w:szCs w:val="16"/>
              </w:rPr>
              <w:t>Planned Performance Results</w:t>
            </w:r>
          </w:p>
        </w:tc>
      </w:tr>
      <w:tr w:rsidR="0092056F" w:rsidRPr="003E76E7" w14:paraId="070AFB1A" w14:textId="77777777" w:rsidTr="000E1A17">
        <w:trPr>
          <w:trHeight w:val="512"/>
        </w:trPr>
        <w:tc>
          <w:tcPr>
            <w:tcW w:w="1799" w:type="dxa"/>
            <w:tcBorders>
              <w:top w:val="single" w:sz="4" w:space="0" w:color="auto"/>
              <w:bottom w:val="single" w:sz="4" w:space="0" w:color="auto"/>
              <w:right w:val="single" w:sz="4" w:space="0" w:color="auto"/>
            </w:tcBorders>
            <w:vAlign w:val="center"/>
          </w:tcPr>
          <w:p w14:paraId="13056F33" w14:textId="77777777" w:rsidR="0092056F" w:rsidRPr="003E76E7" w:rsidRDefault="0092056F" w:rsidP="00C4292D">
            <w:pPr>
              <w:tabs>
                <w:tab w:val="left" w:pos="709"/>
              </w:tabs>
              <w:spacing w:before="0" w:after="0"/>
              <w:rPr>
                <w:rFonts w:ascii="Arial" w:hAnsi="Arial"/>
                <w:color w:val="000000"/>
                <w:sz w:val="16"/>
                <w:szCs w:val="16"/>
              </w:rPr>
            </w:pPr>
            <w:r w:rsidRPr="003E76E7">
              <w:rPr>
                <w:rFonts w:ascii="Arial" w:hAnsi="Arial"/>
                <w:color w:val="000000"/>
                <w:sz w:val="16"/>
                <w:szCs w:val="16"/>
              </w:rPr>
              <w:t>Forward Estimates</w:t>
            </w:r>
          </w:p>
          <w:p w14:paraId="5287C2D4" w14:textId="2C4234D3" w:rsidR="0092056F" w:rsidRPr="003E76E7" w:rsidRDefault="0092056F" w:rsidP="00C4292D">
            <w:pPr>
              <w:tabs>
                <w:tab w:val="left" w:pos="709"/>
              </w:tabs>
              <w:spacing w:before="0" w:after="0"/>
              <w:rPr>
                <w:rFonts w:ascii="Arial" w:hAnsi="Arial"/>
                <w:b/>
                <w:color w:val="000000"/>
                <w:sz w:val="16"/>
                <w:szCs w:val="16"/>
              </w:rPr>
            </w:pPr>
            <w:r w:rsidRPr="003E76E7">
              <w:rPr>
                <w:rFonts w:ascii="Arial" w:hAnsi="Arial"/>
                <w:color w:val="000000"/>
                <w:sz w:val="16"/>
                <w:szCs w:val="16"/>
              </w:rPr>
              <w:t>2027-30</w:t>
            </w:r>
          </w:p>
        </w:tc>
        <w:tc>
          <w:tcPr>
            <w:tcW w:w="3174" w:type="dxa"/>
            <w:tcBorders>
              <w:top w:val="single" w:sz="4" w:space="0" w:color="auto"/>
              <w:left w:val="single" w:sz="4" w:space="0" w:color="auto"/>
              <w:bottom w:val="single" w:sz="4" w:space="0" w:color="auto"/>
              <w:right w:val="single" w:sz="4" w:space="0" w:color="auto"/>
            </w:tcBorders>
            <w:vAlign w:val="center"/>
          </w:tcPr>
          <w:p w14:paraId="3D4A2DE9" w14:textId="7B99AE1C" w:rsidR="0092056F" w:rsidRPr="003E76E7" w:rsidRDefault="0092056F" w:rsidP="00C4292D">
            <w:pPr>
              <w:tabs>
                <w:tab w:val="left" w:pos="709"/>
              </w:tabs>
              <w:spacing w:before="60" w:after="60"/>
              <w:rPr>
                <w:rFonts w:ascii="Arial" w:hAnsi="Arial"/>
                <w:b/>
                <w:color w:val="000000"/>
                <w:sz w:val="16"/>
                <w:szCs w:val="16"/>
              </w:rPr>
            </w:pPr>
            <w:r w:rsidRPr="003E76E7">
              <w:rPr>
                <w:rFonts w:ascii="Arial" w:hAnsi="Arial"/>
                <w:color w:val="000000"/>
                <w:sz w:val="16"/>
                <w:szCs w:val="16"/>
              </w:rPr>
              <w:t>As per 2026-27.</w:t>
            </w:r>
          </w:p>
        </w:tc>
        <w:tc>
          <w:tcPr>
            <w:tcW w:w="3379" w:type="dxa"/>
            <w:tcBorders>
              <w:top w:val="single" w:sz="4" w:space="0" w:color="auto"/>
              <w:left w:val="single" w:sz="4" w:space="0" w:color="auto"/>
              <w:bottom w:val="single" w:sz="4" w:space="0" w:color="auto"/>
              <w:right w:val="single" w:sz="4" w:space="0" w:color="auto"/>
            </w:tcBorders>
            <w:vAlign w:val="center"/>
          </w:tcPr>
          <w:p w14:paraId="61D016E3" w14:textId="51B96AD9" w:rsidR="0092056F" w:rsidRPr="003E76E7" w:rsidRDefault="0092056F" w:rsidP="00C4292D">
            <w:pPr>
              <w:tabs>
                <w:tab w:val="left" w:pos="709"/>
              </w:tabs>
              <w:spacing w:before="60" w:after="60"/>
              <w:rPr>
                <w:rFonts w:ascii="Arial" w:hAnsi="Arial"/>
                <w:b/>
                <w:color w:val="000000"/>
                <w:sz w:val="16"/>
                <w:szCs w:val="16"/>
              </w:rPr>
            </w:pPr>
            <w:r w:rsidRPr="003E76E7">
              <w:rPr>
                <w:rFonts w:ascii="Arial" w:hAnsi="Arial"/>
                <w:color w:val="000000"/>
                <w:sz w:val="16"/>
                <w:szCs w:val="16"/>
              </w:rPr>
              <w:t>As per 2026-27.</w:t>
            </w:r>
          </w:p>
        </w:tc>
      </w:tr>
      <w:tr w:rsidR="0092056F" w:rsidRPr="003E76E7" w14:paraId="513F1D2E" w14:textId="77777777" w:rsidTr="000E1A17">
        <w:trPr>
          <w:trHeight w:val="59"/>
        </w:trPr>
        <w:tc>
          <w:tcPr>
            <w:tcW w:w="8352" w:type="dxa"/>
            <w:gridSpan w:val="3"/>
            <w:tcBorders>
              <w:top w:val="single" w:sz="4" w:space="0" w:color="auto"/>
              <w:bottom w:val="single" w:sz="4" w:space="0" w:color="auto"/>
            </w:tcBorders>
          </w:tcPr>
          <w:p w14:paraId="4B4FD8DB" w14:textId="01DF3A1F" w:rsidR="0092056F" w:rsidRPr="003E76E7" w:rsidRDefault="0092056F" w:rsidP="00C4292D">
            <w:pPr>
              <w:tabs>
                <w:tab w:val="left" w:pos="709"/>
              </w:tabs>
              <w:spacing w:before="60" w:after="60"/>
              <w:rPr>
                <w:rFonts w:ascii="Arial" w:hAnsi="Arial"/>
                <w:bCs/>
                <w:iCs/>
                <w:color w:val="000000"/>
                <w:spacing w:val="-6"/>
                <w:sz w:val="16"/>
                <w:szCs w:val="16"/>
              </w:rPr>
            </w:pPr>
            <w:r w:rsidRPr="003E76E7">
              <w:rPr>
                <w:rFonts w:ascii="Arial" w:hAnsi="Arial"/>
                <w:color w:val="000000"/>
                <w:sz w:val="16"/>
                <w:szCs w:val="16"/>
              </w:rPr>
              <w:t>Material changes to Program 2.1 resulting from 2026-27 Budget Measures</w:t>
            </w:r>
            <w:r w:rsidRPr="003E76E7">
              <w:rPr>
                <w:rFonts w:ascii="Arial" w:hAnsi="Arial"/>
                <w:bCs/>
                <w:iCs/>
                <w:color w:val="000000"/>
                <w:spacing w:val="-6"/>
                <w:sz w:val="16"/>
                <w:szCs w:val="16"/>
              </w:rPr>
              <w:t>: Nil.</w:t>
            </w:r>
          </w:p>
        </w:tc>
      </w:tr>
    </w:tbl>
    <w:p w14:paraId="3A1AEB3B" w14:textId="77777777" w:rsidR="00EB376B" w:rsidRPr="003E76E7" w:rsidRDefault="00EB376B" w:rsidP="00C4292D">
      <w:pPr>
        <w:pStyle w:val="TableHeading"/>
        <w:spacing w:before="0" w:after="0"/>
        <w:rPr>
          <w:sz w:val="14"/>
          <w:szCs w:val="14"/>
        </w:rPr>
      </w:pPr>
    </w:p>
    <w:p w14:paraId="63CF5108" w14:textId="20781719" w:rsidR="00965956" w:rsidRPr="003E76E7" w:rsidRDefault="00965956" w:rsidP="00C4292D">
      <w:pPr>
        <w:pStyle w:val="TableHeading"/>
        <w:spacing w:before="0" w:after="0"/>
        <w:rPr>
          <w:sz w:val="14"/>
          <w:szCs w:val="14"/>
        </w:rPr>
      </w:pPr>
      <w:r w:rsidRPr="003E76E7">
        <w:rPr>
          <w:sz w:val="14"/>
          <w:szCs w:val="14"/>
        </w:rPr>
        <w:t>Note</w:t>
      </w:r>
      <w:r w:rsidR="000D6CE6" w:rsidRPr="003E76E7">
        <w:rPr>
          <w:sz w:val="14"/>
          <w:szCs w:val="14"/>
        </w:rPr>
        <w:t>s</w:t>
      </w:r>
    </w:p>
    <w:p w14:paraId="4730E56F" w14:textId="08C5C9DB" w:rsidR="001074BE" w:rsidRPr="003E76E7" w:rsidRDefault="001074BE" w:rsidP="00C4292D">
      <w:pPr>
        <w:pStyle w:val="TableHeading"/>
        <w:numPr>
          <w:ilvl w:val="0"/>
          <w:numId w:val="108"/>
        </w:numPr>
        <w:tabs>
          <w:tab w:val="left" w:pos="284"/>
        </w:tabs>
        <w:spacing w:before="0" w:after="0"/>
        <w:rPr>
          <w:b w:val="0"/>
          <w:i/>
          <w:sz w:val="14"/>
          <w:szCs w:val="14"/>
          <w:lang w:val="en-AU"/>
        </w:rPr>
      </w:pPr>
      <w:r w:rsidRPr="003E76E7">
        <w:rPr>
          <w:b w:val="0"/>
          <w:sz w:val="14"/>
          <w:szCs w:val="14"/>
        </w:rPr>
        <w:t xml:space="preserve">Key Activity 2 and 5 have been amended </w:t>
      </w:r>
      <w:r w:rsidRPr="003E76E7">
        <w:rPr>
          <w:b w:val="0"/>
          <w:sz w:val="14"/>
          <w:szCs w:val="14"/>
          <w:lang w:val="en-AU"/>
        </w:rPr>
        <w:t xml:space="preserve">for 2025-26, as published in the </w:t>
      </w:r>
      <w:r w:rsidRPr="003E76E7">
        <w:rPr>
          <w:b w:val="0"/>
          <w:i/>
          <w:sz w:val="14"/>
          <w:szCs w:val="14"/>
          <w:lang w:val="en-AU"/>
        </w:rPr>
        <w:t>2025-29 Defence Corporate Plan</w:t>
      </w:r>
      <w:r w:rsidR="00C23CD1" w:rsidRPr="003E76E7">
        <w:rPr>
          <w:b w:val="0"/>
          <w:i/>
          <w:sz w:val="14"/>
          <w:szCs w:val="14"/>
          <w:lang w:val="en-AU"/>
        </w:rPr>
        <w:t>.</w:t>
      </w:r>
    </w:p>
    <w:p w14:paraId="23358170" w14:textId="77777777" w:rsidR="00634633" w:rsidRPr="003E76E7" w:rsidRDefault="00634633" w:rsidP="00C4292D">
      <w:pPr>
        <w:pStyle w:val="TableHeading"/>
        <w:numPr>
          <w:ilvl w:val="0"/>
          <w:numId w:val="108"/>
        </w:numPr>
        <w:tabs>
          <w:tab w:val="left" w:pos="284"/>
        </w:tabs>
        <w:spacing w:before="0" w:after="0"/>
        <w:ind w:left="284" w:hanging="284"/>
        <w:rPr>
          <w:b w:val="0"/>
          <w:sz w:val="14"/>
          <w:szCs w:val="14"/>
          <w:lang w:val="en-AU"/>
        </w:rPr>
      </w:pPr>
      <w:r w:rsidRPr="003E76E7">
        <w:rPr>
          <w:b w:val="0"/>
          <w:sz w:val="14"/>
          <w:szCs w:val="14"/>
          <w:lang w:val="en-AU"/>
        </w:rPr>
        <w:t>The result is yet to be determined due to the completion of aligned activities having not yet been assessed to determine the performance result.</w:t>
      </w:r>
    </w:p>
    <w:p w14:paraId="6D1F7E25" w14:textId="1EEC88CB" w:rsidR="00486370" w:rsidRPr="003E76E7" w:rsidRDefault="00486370" w:rsidP="00C4292D">
      <w:pPr>
        <w:pStyle w:val="TableHeading"/>
        <w:numPr>
          <w:ilvl w:val="0"/>
          <w:numId w:val="108"/>
        </w:numPr>
        <w:tabs>
          <w:tab w:val="left" w:pos="284"/>
        </w:tabs>
        <w:spacing w:before="0" w:after="0"/>
        <w:ind w:left="284" w:hanging="284"/>
        <w:rPr>
          <w:b w:val="0"/>
          <w:sz w:val="14"/>
          <w:szCs w:val="14"/>
        </w:rPr>
      </w:pPr>
      <w:r w:rsidRPr="003E76E7">
        <w:rPr>
          <w:b w:val="0"/>
          <w:sz w:val="14"/>
          <w:szCs w:val="14"/>
        </w:rPr>
        <w:t>In accordance with Defence's Enterprise Performance Framework, Defence is undertaking materiality assessments that may result in updates to the 2026-27 performance information in the 2026-30 Defence Corporate Plan, if required</w:t>
      </w:r>
      <w:r w:rsidR="000A726A">
        <w:rPr>
          <w:b w:val="0"/>
          <w:sz w:val="14"/>
          <w:szCs w:val="14"/>
        </w:rPr>
        <w:t>.</w:t>
      </w:r>
    </w:p>
    <w:p w14:paraId="279743C2" w14:textId="66324744" w:rsidR="001074BE" w:rsidRPr="003E76E7" w:rsidRDefault="001074BE" w:rsidP="00C4292D">
      <w:pPr>
        <w:spacing w:before="0" w:after="0"/>
        <w:rPr>
          <w:b/>
          <w:sz w:val="14"/>
          <w:szCs w:val="14"/>
          <w:lang w:val="en-AU"/>
        </w:rPr>
      </w:pPr>
    </w:p>
    <w:p w14:paraId="329CB0CB" w14:textId="2EB8BF0E" w:rsidR="00BF36E5" w:rsidRPr="003E76E7" w:rsidRDefault="00BF36E5" w:rsidP="00C4292D">
      <w:pPr>
        <w:pStyle w:val="TableHeading"/>
        <w:numPr>
          <w:ilvl w:val="0"/>
          <w:numId w:val="61"/>
        </w:numPr>
        <w:spacing w:before="100"/>
        <w:ind w:left="0" w:firstLine="0"/>
        <w:outlineLvl w:val="4"/>
      </w:pPr>
      <w:r w:rsidRPr="003E76E7">
        <w:rPr>
          <w:lang w:val="en-AU"/>
        </w:rPr>
        <w:t>Cost Summary for Program 2.1 Strateg</w:t>
      </w:r>
      <w:r w:rsidR="006B70AF" w:rsidRPr="003E76E7">
        <w:rPr>
          <w:lang w:val="en-AU"/>
        </w:rPr>
        <w:t>y,</w:t>
      </w:r>
      <w:r w:rsidRPr="003E76E7">
        <w:rPr>
          <w:lang w:val="en-AU"/>
        </w:rPr>
        <w:t xml:space="preserve"> Policy and In</w:t>
      </w:r>
      <w:r w:rsidR="006B70AF" w:rsidRPr="003E76E7">
        <w:rPr>
          <w:lang w:val="en-AU"/>
        </w:rPr>
        <w:t>dustry</w:t>
      </w:r>
    </w:p>
    <w:p w14:paraId="40372CE5" w14:textId="6C8B625A" w:rsidR="00DD3E53" w:rsidRPr="003E76E7" w:rsidRDefault="004E7650" w:rsidP="00C4292D">
      <w:pPr>
        <w:spacing w:after="0"/>
      </w:pPr>
      <w:r w:rsidRPr="004E7650">
        <w:rPr>
          <w:noProof/>
          <w:lang w:val="en-AU"/>
        </w:rPr>
        <w:drawing>
          <wp:inline distT="0" distB="0" distL="0" distR="0" wp14:anchorId="0B09BD8A" wp14:editId="57D99C26">
            <wp:extent cx="5471795" cy="2855681"/>
            <wp:effectExtent l="0" t="0" r="0"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71795" cy="2855681"/>
                    </a:xfrm>
                    <a:prstGeom prst="rect">
                      <a:avLst/>
                    </a:prstGeom>
                    <a:noFill/>
                    <a:ln>
                      <a:noFill/>
                    </a:ln>
                  </pic:spPr>
                </pic:pic>
              </a:graphicData>
            </a:graphic>
          </wp:inline>
        </w:drawing>
      </w:r>
    </w:p>
    <w:p w14:paraId="5A23FB10" w14:textId="77777777" w:rsidR="00190A21" w:rsidRPr="003E76E7" w:rsidRDefault="00190A21" w:rsidP="00C4292D">
      <w:pPr>
        <w:pStyle w:val="BodyText"/>
        <w:spacing w:before="0" w:after="0"/>
        <w:rPr>
          <w:rFonts w:ascii="Arial" w:hAnsi="Arial"/>
          <w:b/>
          <w:sz w:val="14"/>
          <w:szCs w:val="14"/>
          <w:lang w:val="en-AU"/>
        </w:rPr>
      </w:pPr>
    </w:p>
    <w:p w14:paraId="74BF6254" w14:textId="2E24F050" w:rsidR="00CB045C" w:rsidRPr="003E76E7" w:rsidRDefault="006B6647" w:rsidP="00C4292D">
      <w:pPr>
        <w:pStyle w:val="BodyText"/>
        <w:spacing w:before="0" w:after="0"/>
        <w:rPr>
          <w:rFonts w:ascii="Arial" w:hAnsi="Arial"/>
          <w:b/>
          <w:sz w:val="14"/>
          <w:szCs w:val="14"/>
          <w:lang w:val="en-AU"/>
        </w:rPr>
      </w:pPr>
      <w:r w:rsidRPr="003E76E7">
        <w:rPr>
          <w:rFonts w:ascii="Arial" w:hAnsi="Arial"/>
          <w:b/>
          <w:sz w:val="14"/>
          <w:szCs w:val="14"/>
          <w:lang w:val="en-AU"/>
        </w:rPr>
        <w:t>Note</w:t>
      </w:r>
    </w:p>
    <w:p w14:paraId="7DF9FE6D" w14:textId="64A838D6" w:rsidR="00106EDB" w:rsidRPr="003E76E7" w:rsidRDefault="00A37A36" w:rsidP="00C4292D">
      <w:pPr>
        <w:pStyle w:val="BodyText"/>
        <w:numPr>
          <w:ilvl w:val="0"/>
          <w:numId w:val="126"/>
        </w:numPr>
        <w:spacing w:before="0" w:after="0"/>
        <w:ind w:left="284" w:hanging="284"/>
        <w:rPr>
          <w:rFonts w:ascii="Arial" w:hAnsi="Arial"/>
          <w:sz w:val="14"/>
          <w:szCs w:val="14"/>
        </w:rPr>
      </w:pPr>
      <w:r w:rsidRPr="003E76E7">
        <w:rPr>
          <w:rFonts w:ascii="Arial" w:hAnsi="Arial"/>
          <w:sz w:val="14"/>
          <w:szCs w:val="14"/>
          <w:lang w:val="en-AU"/>
        </w:rPr>
        <w:t>Total program funded</w:t>
      </w:r>
      <w:r w:rsidR="007E5EB9" w:rsidRPr="003E76E7">
        <w:rPr>
          <w:rFonts w:ascii="Arial" w:hAnsi="Arial"/>
          <w:sz w:val="14"/>
          <w:szCs w:val="14"/>
        </w:rPr>
        <w:t xml:space="preserve"> expenditure includes operating expenses and capital expenditure funded by appropriation and </w:t>
      </w:r>
      <w:r w:rsidR="00106EDB" w:rsidRPr="003E76E7">
        <w:rPr>
          <w:rFonts w:ascii="Arial" w:hAnsi="Arial"/>
          <w:sz w:val="14"/>
          <w:szCs w:val="14"/>
        </w:rPr>
        <w:br/>
      </w:r>
      <w:r w:rsidR="007E5EB9" w:rsidRPr="003E76E7">
        <w:rPr>
          <w:rFonts w:ascii="Arial" w:hAnsi="Arial"/>
          <w:sz w:val="14"/>
          <w:szCs w:val="14"/>
        </w:rPr>
        <w:t>own source revenue. This excludes expenses not requiring appropriation.</w:t>
      </w:r>
      <w:r w:rsidR="007E5EB9" w:rsidRPr="003E76E7">
        <w:rPr>
          <w:rFonts w:ascii="Arial" w:hAnsi="Arial"/>
          <w:sz w:val="14"/>
          <w:szCs w:val="14"/>
        </w:rPr>
        <w:tab/>
      </w:r>
      <w:r w:rsidR="007E5EB9" w:rsidRPr="003E76E7">
        <w:rPr>
          <w:rFonts w:ascii="Arial" w:hAnsi="Arial"/>
          <w:sz w:val="14"/>
          <w:szCs w:val="14"/>
        </w:rPr>
        <w:tab/>
      </w:r>
      <w:r w:rsidR="007E5EB9" w:rsidRPr="003E76E7">
        <w:rPr>
          <w:rFonts w:ascii="Arial" w:hAnsi="Arial"/>
          <w:sz w:val="14"/>
          <w:szCs w:val="14"/>
        </w:rPr>
        <w:tab/>
      </w:r>
      <w:r w:rsidR="007E5EB9" w:rsidRPr="003E76E7">
        <w:rPr>
          <w:rFonts w:ascii="Arial" w:hAnsi="Arial"/>
          <w:sz w:val="14"/>
          <w:szCs w:val="14"/>
        </w:rPr>
        <w:tab/>
      </w:r>
      <w:r w:rsidR="007E5EB9" w:rsidRPr="003E76E7">
        <w:rPr>
          <w:rFonts w:ascii="Arial" w:hAnsi="Arial"/>
          <w:sz w:val="14"/>
          <w:szCs w:val="14"/>
        </w:rPr>
        <w:tab/>
      </w:r>
    </w:p>
    <w:p w14:paraId="50D4D15B" w14:textId="77777777" w:rsidR="009218A1" w:rsidRPr="003E76E7" w:rsidRDefault="007545AC" w:rsidP="00C4292D">
      <w:pPr>
        <w:pStyle w:val="BodyText"/>
        <w:spacing w:before="0" w:after="0"/>
        <w:outlineLvl w:val="5"/>
        <w:rPr>
          <w:color w:val="FFFFFF"/>
          <w:sz w:val="2"/>
        </w:rPr>
      </w:pPr>
      <w:r w:rsidRPr="003E76E7">
        <w:rPr>
          <w:rFonts w:ascii="Arial" w:hAnsi="Arial"/>
          <w:b/>
          <w:lang w:val="en-AU"/>
        </w:rPr>
        <w:br w:type="page"/>
      </w:r>
      <w:r w:rsidR="009218A1" w:rsidRPr="003E76E7">
        <w:rPr>
          <w:color w:val="FFFFFF"/>
          <w:sz w:val="2"/>
        </w:rPr>
        <w:lastRenderedPageBreak/>
        <w:t>Program 2.2: Defence Executive Support</w:t>
      </w:r>
    </w:p>
    <w:tbl>
      <w:tblPr>
        <w:tblW w:w="4872"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1800"/>
        <w:gridCol w:w="3174"/>
        <w:gridCol w:w="3413"/>
      </w:tblGrid>
      <w:tr w:rsidR="00737EBD" w:rsidRPr="003E76E7" w14:paraId="664AF1D8" w14:textId="77777777" w:rsidTr="00A211F5">
        <w:tc>
          <w:tcPr>
            <w:tcW w:w="8387" w:type="dxa"/>
            <w:gridSpan w:val="3"/>
            <w:tcBorders>
              <w:top w:val="single" w:sz="4" w:space="0" w:color="auto"/>
              <w:bottom w:val="single" w:sz="4" w:space="0" w:color="auto"/>
            </w:tcBorders>
            <w:shd w:val="clear" w:color="auto" w:fill="CCCCCC"/>
          </w:tcPr>
          <w:p w14:paraId="0F7067CE" w14:textId="77777777" w:rsidR="00737EBD" w:rsidRPr="003E76E7" w:rsidRDefault="00737EBD" w:rsidP="00C4292D">
            <w:pPr>
              <w:pStyle w:val="Heading5"/>
              <w:spacing w:before="60" w:after="60"/>
              <w:rPr>
                <w:rFonts w:ascii="Book Antiqua" w:hAnsi="Book Antiqua"/>
                <w:bCs w:val="0"/>
                <w:iCs w:val="0"/>
                <w:szCs w:val="24"/>
              </w:rPr>
            </w:pPr>
            <w:r w:rsidRPr="003E76E7">
              <w:rPr>
                <w:rFonts w:ascii="Book Antiqua" w:hAnsi="Book Antiqua"/>
                <w:b w:val="0"/>
                <w:bCs w:val="0"/>
                <w:iCs w:val="0"/>
                <w:szCs w:val="24"/>
              </w:rPr>
              <w:br w:type="page"/>
            </w:r>
            <w:r w:rsidRPr="003E76E7">
              <w:t xml:space="preserve">Program 2.2: </w:t>
            </w:r>
            <w:r w:rsidR="003D1066" w:rsidRPr="003E76E7">
              <w:t>Defence Executive Support</w:t>
            </w:r>
            <w:r w:rsidR="0094536C" w:rsidRPr="003E76E7">
              <w:t xml:space="preserve"> (including Governance Group)</w:t>
            </w:r>
          </w:p>
        </w:tc>
      </w:tr>
      <w:tr w:rsidR="00F10E14" w:rsidRPr="003E76E7" w14:paraId="2A54376B" w14:textId="77777777" w:rsidTr="00A211F5">
        <w:trPr>
          <w:trHeight w:val="170"/>
        </w:trPr>
        <w:tc>
          <w:tcPr>
            <w:tcW w:w="8387" w:type="dxa"/>
            <w:gridSpan w:val="3"/>
            <w:tcBorders>
              <w:top w:val="single" w:sz="4" w:space="0" w:color="auto"/>
              <w:left w:val="nil"/>
              <w:bottom w:val="single" w:sz="4" w:space="0" w:color="auto"/>
              <w:right w:val="nil"/>
            </w:tcBorders>
            <w:shd w:val="clear" w:color="auto" w:fill="auto"/>
          </w:tcPr>
          <w:p w14:paraId="642CEB85" w14:textId="77777777" w:rsidR="00F10E14" w:rsidRPr="003E76E7" w:rsidRDefault="00F10E14" w:rsidP="00C4292D">
            <w:pPr>
              <w:pStyle w:val="Heading5"/>
              <w:tabs>
                <w:tab w:val="left" w:pos="1816"/>
              </w:tabs>
              <w:spacing w:before="0" w:after="0"/>
              <w:rPr>
                <w:b w:val="0"/>
                <w:bCs w:val="0"/>
                <w:iCs w:val="0"/>
                <w:sz w:val="16"/>
                <w:szCs w:val="16"/>
              </w:rPr>
            </w:pPr>
          </w:p>
        </w:tc>
      </w:tr>
      <w:tr w:rsidR="00737EBD" w:rsidRPr="003E76E7" w14:paraId="5A113B88" w14:textId="77777777" w:rsidTr="004E1F77">
        <w:tblPrEx>
          <w:shd w:val="clear" w:color="auto" w:fill="auto"/>
          <w:tblLook w:val="04A0" w:firstRow="1" w:lastRow="0" w:firstColumn="1" w:lastColumn="0" w:noHBand="0" w:noVBand="1"/>
        </w:tblPrEx>
        <w:trPr>
          <w:trHeight w:val="969"/>
          <w:tblHeader/>
        </w:trPr>
        <w:tc>
          <w:tcPr>
            <w:tcW w:w="8387" w:type="dxa"/>
            <w:gridSpan w:val="3"/>
            <w:tcBorders>
              <w:top w:val="single" w:sz="4" w:space="0" w:color="auto"/>
            </w:tcBorders>
            <w:shd w:val="clear" w:color="auto" w:fill="E6E6E6"/>
          </w:tcPr>
          <w:p w14:paraId="1644F789" w14:textId="0B5DE925" w:rsidR="00C4558B" w:rsidRPr="003E76E7" w:rsidRDefault="00737EBD" w:rsidP="00C4292D">
            <w:pPr>
              <w:tabs>
                <w:tab w:val="left" w:pos="709"/>
              </w:tabs>
              <w:spacing w:before="60" w:after="60"/>
              <w:rPr>
                <w:rFonts w:ascii="Arial" w:hAnsi="Arial"/>
                <w:b/>
                <w:sz w:val="16"/>
                <w:szCs w:val="16"/>
              </w:rPr>
            </w:pPr>
            <w:r w:rsidRPr="003E76E7">
              <w:rPr>
                <w:rFonts w:ascii="Arial" w:hAnsi="Arial"/>
                <w:b/>
                <w:sz w:val="16"/>
                <w:szCs w:val="16"/>
              </w:rPr>
              <w:t>Program 2.2 Objective</w:t>
            </w:r>
          </w:p>
          <w:p w14:paraId="2B57958E" w14:textId="77777777" w:rsidR="00737EBD" w:rsidRPr="003E76E7" w:rsidRDefault="00B260C3" w:rsidP="00C4292D">
            <w:pPr>
              <w:tabs>
                <w:tab w:val="left" w:pos="709"/>
              </w:tabs>
              <w:spacing w:before="0" w:after="0"/>
              <w:rPr>
                <w:rFonts w:ascii="Arial" w:hAnsi="Arial"/>
                <w:sz w:val="16"/>
                <w:szCs w:val="16"/>
              </w:rPr>
            </w:pPr>
            <w:r w:rsidRPr="003E76E7">
              <w:rPr>
                <w:rFonts w:ascii="Arial" w:hAnsi="Arial"/>
                <w:sz w:val="16"/>
                <w:szCs w:val="16"/>
                <w:lang w:val="en-AU"/>
              </w:rPr>
              <w:t>To integrate parts of Defence to deliver more effective and efficient outcomes, particularly in the areas of service delivery. The Associate Secretary operates the One Defence business model on behalf of the Secretary and Chief of the Defence Force.</w:t>
            </w:r>
          </w:p>
        </w:tc>
      </w:tr>
      <w:tr w:rsidR="00737EBD" w:rsidRPr="003E76E7" w14:paraId="3A747486" w14:textId="77777777" w:rsidTr="00A211F5">
        <w:tblPrEx>
          <w:shd w:val="clear" w:color="auto" w:fill="auto"/>
          <w:tblLook w:val="04A0" w:firstRow="1" w:lastRow="0" w:firstColumn="1" w:lastColumn="0" w:noHBand="0" w:noVBand="1"/>
        </w:tblPrEx>
        <w:trPr>
          <w:trHeight w:val="312"/>
        </w:trPr>
        <w:tc>
          <w:tcPr>
            <w:tcW w:w="1800" w:type="dxa"/>
            <w:tcBorders>
              <w:bottom w:val="single" w:sz="4" w:space="0" w:color="auto"/>
            </w:tcBorders>
            <w:shd w:val="clear" w:color="auto" w:fill="auto"/>
          </w:tcPr>
          <w:p w14:paraId="6225AD2A" w14:textId="51464A2C" w:rsidR="00737EBD" w:rsidRPr="003E76E7" w:rsidRDefault="00523513" w:rsidP="00C4292D">
            <w:pPr>
              <w:tabs>
                <w:tab w:val="left" w:pos="709"/>
              </w:tabs>
              <w:spacing w:before="60" w:after="60"/>
              <w:rPr>
                <w:rFonts w:ascii="Arial" w:hAnsi="Arial"/>
                <w:b/>
                <w:color w:val="000000"/>
                <w:sz w:val="16"/>
                <w:szCs w:val="16"/>
              </w:rPr>
            </w:pPr>
            <w:r w:rsidRPr="003E76E7">
              <w:rPr>
                <w:rFonts w:ascii="Arial" w:hAnsi="Arial"/>
                <w:b/>
                <w:color w:val="000000"/>
                <w:sz w:val="16"/>
                <w:szCs w:val="16"/>
              </w:rPr>
              <w:t xml:space="preserve">Key Activities </w:t>
            </w:r>
            <w:r w:rsidR="00A0768C" w:rsidRPr="003E76E7">
              <w:rPr>
                <w:rFonts w:ascii="Arial" w:hAnsi="Arial"/>
                <w:b/>
                <w:color w:val="000000"/>
                <w:sz w:val="16"/>
                <w:szCs w:val="16"/>
                <w:vertAlign w:val="superscript"/>
              </w:rPr>
              <w:t>[a]</w:t>
            </w:r>
          </w:p>
        </w:tc>
        <w:tc>
          <w:tcPr>
            <w:tcW w:w="6587" w:type="dxa"/>
            <w:gridSpan w:val="2"/>
            <w:tcBorders>
              <w:bottom w:val="single" w:sz="4" w:space="0" w:color="auto"/>
            </w:tcBorders>
          </w:tcPr>
          <w:p w14:paraId="5A711F83" w14:textId="77777777" w:rsidR="00A01828" w:rsidRPr="003E76E7" w:rsidRDefault="00A01828" w:rsidP="00C4292D">
            <w:pPr>
              <w:tabs>
                <w:tab w:val="left" w:pos="709"/>
              </w:tabs>
              <w:spacing w:before="60" w:after="60"/>
              <w:rPr>
                <w:rFonts w:ascii="Arial" w:hAnsi="Arial"/>
                <w:sz w:val="16"/>
                <w:szCs w:val="16"/>
                <w:lang w:val="en-AU"/>
              </w:rPr>
            </w:pPr>
            <w:r w:rsidRPr="003E76E7">
              <w:rPr>
                <w:rFonts w:ascii="Arial" w:hAnsi="Arial"/>
                <w:sz w:val="16"/>
                <w:szCs w:val="16"/>
                <w:lang w:val="en-AU"/>
              </w:rPr>
              <w:t>This program will be achieved through the following activities:</w:t>
            </w:r>
          </w:p>
          <w:p w14:paraId="40D2DD13" w14:textId="58CAD8E1" w:rsidR="00A01828" w:rsidRPr="003E76E7" w:rsidRDefault="00A01828" w:rsidP="00C4292D">
            <w:pPr>
              <w:tabs>
                <w:tab w:val="left" w:pos="343"/>
              </w:tabs>
              <w:spacing w:before="60" w:after="60"/>
              <w:rPr>
                <w:rFonts w:ascii="Arial" w:hAnsi="Arial"/>
                <w:sz w:val="16"/>
                <w:szCs w:val="16"/>
                <w:lang w:val="en-AU"/>
              </w:rPr>
            </w:pPr>
            <w:r w:rsidRPr="003E76E7">
              <w:rPr>
                <w:rFonts w:ascii="Arial" w:hAnsi="Arial"/>
                <w:b/>
                <w:sz w:val="16"/>
                <w:szCs w:val="16"/>
                <w:lang w:val="en-AU"/>
              </w:rPr>
              <w:t xml:space="preserve">4. </w:t>
            </w:r>
            <w:r w:rsidR="001074BE" w:rsidRPr="003E76E7">
              <w:rPr>
                <w:rFonts w:ascii="Arial" w:hAnsi="Arial"/>
                <w:b/>
                <w:sz w:val="16"/>
                <w:szCs w:val="16"/>
                <w:lang w:val="en-AU"/>
              </w:rPr>
              <w:t>Defence invests in its people through recruitment and retention, growth in skills and capabilities, improved culture, mental health and wellbeing support, and support to ADF families.</w:t>
            </w:r>
          </w:p>
          <w:p w14:paraId="7477FEBC" w14:textId="7A0C0E37" w:rsidR="00737EBD" w:rsidRPr="003E76E7" w:rsidRDefault="00A01828" w:rsidP="00C4292D">
            <w:pPr>
              <w:tabs>
                <w:tab w:val="left" w:pos="343"/>
              </w:tabs>
              <w:spacing w:before="60" w:after="60"/>
              <w:rPr>
                <w:rFonts w:ascii="Arial" w:hAnsi="Arial"/>
                <w:i/>
                <w:color w:val="000000"/>
                <w:sz w:val="16"/>
                <w:szCs w:val="16"/>
              </w:rPr>
            </w:pPr>
            <w:r w:rsidRPr="003E76E7">
              <w:rPr>
                <w:rFonts w:ascii="Arial" w:hAnsi="Arial"/>
                <w:b/>
                <w:sz w:val="16"/>
                <w:szCs w:val="16"/>
                <w:lang w:val="en-AU"/>
              </w:rPr>
              <w:t>6. Deliver future capability</w:t>
            </w:r>
            <w:r w:rsidRPr="003E76E7">
              <w:rPr>
                <w:rFonts w:ascii="Arial" w:hAnsi="Arial"/>
                <w:sz w:val="16"/>
                <w:szCs w:val="16"/>
                <w:lang w:val="en-AU"/>
              </w:rPr>
              <w:t xml:space="preserve">. </w:t>
            </w:r>
          </w:p>
        </w:tc>
      </w:tr>
      <w:tr w:rsidR="00E02180" w:rsidRPr="003E76E7" w14:paraId="7D06A090" w14:textId="77777777" w:rsidTr="00A211F5">
        <w:tblPrEx>
          <w:shd w:val="clear" w:color="auto" w:fill="auto"/>
          <w:tblLook w:val="04A0" w:firstRow="1" w:lastRow="0" w:firstColumn="1" w:lastColumn="0" w:noHBand="0" w:noVBand="1"/>
        </w:tblPrEx>
        <w:trPr>
          <w:trHeight w:val="100"/>
        </w:trPr>
        <w:tc>
          <w:tcPr>
            <w:tcW w:w="1800" w:type="dxa"/>
            <w:tcBorders>
              <w:top w:val="single" w:sz="4" w:space="0" w:color="auto"/>
              <w:bottom w:val="single" w:sz="4" w:space="0" w:color="auto"/>
              <w:right w:val="single" w:sz="4" w:space="0" w:color="auto"/>
            </w:tcBorders>
            <w:shd w:val="clear" w:color="auto" w:fill="auto"/>
          </w:tcPr>
          <w:p w14:paraId="20A706D5" w14:textId="77777777" w:rsidR="00E02180" w:rsidRPr="003E76E7" w:rsidRDefault="00E02180" w:rsidP="00C4292D">
            <w:pPr>
              <w:tabs>
                <w:tab w:val="left" w:pos="709"/>
              </w:tabs>
              <w:spacing w:before="60" w:after="60"/>
              <w:rPr>
                <w:rFonts w:ascii="Arial" w:hAnsi="Arial"/>
                <w:b/>
                <w:color w:val="000000"/>
                <w:sz w:val="16"/>
                <w:szCs w:val="16"/>
              </w:rPr>
            </w:pPr>
            <w:r w:rsidRPr="003E76E7">
              <w:rPr>
                <w:rFonts w:ascii="Arial" w:hAnsi="Arial"/>
                <w:b/>
                <w:color w:val="000000"/>
                <w:sz w:val="16"/>
                <w:szCs w:val="16"/>
              </w:rPr>
              <w:t>Year</w:t>
            </w:r>
          </w:p>
        </w:tc>
        <w:tc>
          <w:tcPr>
            <w:tcW w:w="3174" w:type="dxa"/>
            <w:tcBorders>
              <w:top w:val="single" w:sz="4" w:space="0" w:color="auto"/>
              <w:left w:val="single" w:sz="4" w:space="0" w:color="auto"/>
              <w:bottom w:val="single" w:sz="4" w:space="0" w:color="auto"/>
              <w:right w:val="single" w:sz="4" w:space="0" w:color="auto"/>
            </w:tcBorders>
          </w:tcPr>
          <w:p w14:paraId="42BDDE2A" w14:textId="31E4E042" w:rsidR="00E02180" w:rsidRPr="003E76E7" w:rsidRDefault="00AD14EC" w:rsidP="00C4292D">
            <w:pPr>
              <w:tabs>
                <w:tab w:val="left" w:pos="709"/>
              </w:tabs>
              <w:spacing w:before="60" w:after="60"/>
              <w:rPr>
                <w:rFonts w:ascii="Arial" w:hAnsi="Arial"/>
                <w:color w:val="000000"/>
              </w:rPr>
            </w:pPr>
            <w:r w:rsidRPr="003E76E7">
              <w:rPr>
                <w:rFonts w:ascii="Arial" w:hAnsi="Arial"/>
                <w:b/>
                <w:color w:val="000000"/>
                <w:sz w:val="16"/>
                <w:szCs w:val="16"/>
              </w:rPr>
              <w:t>Performance Measures</w:t>
            </w:r>
          </w:p>
        </w:tc>
        <w:tc>
          <w:tcPr>
            <w:tcW w:w="3413" w:type="dxa"/>
            <w:tcBorders>
              <w:top w:val="single" w:sz="4" w:space="0" w:color="auto"/>
              <w:left w:val="single" w:sz="4" w:space="0" w:color="auto"/>
              <w:bottom w:val="single" w:sz="4" w:space="0" w:color="auto"/>
            </w:tcBorders>
          </w:tcPr>
          <w:p w14:paraId="0900C15C" w14:textId="77777777" w:rsidR="00E02180" w:rsidRPr="003E76E7" w:rsidRDefault="00047AC0" w:rsidP="00C4292D">
            <w:pPr>
              <w:tabs>
                <w:tab w:val="left" w:pos="709"/>
              </w:tabs>
              <w:spacing w:before="60" w:after="60"/>
              <w:rPr>
                <w:rFonts w:ascii="Arial" w:hAnsi="Arial"/>
                <w:i/>
                <w:color w:val="000000"/>
                <w:sz w:val="16"/>
                <w:szCs w:val="16"/>
              </w:rPr>
            </w:pPr>
            <w:r w:rsidRPr="003E76E7">
              <w:rPr>
                <w:rFonts w:ascii="Arial" w:hAnsi="Arial"/>
                <w:b/>
                <w:color w:val="000000"/>
                <w:sz w:val="16"/>
                <w:szCs w:val="16"/>
              </w:rPr>
              <w:t>Expected Performance Results</w:t>
            </w:r>
          </w:p>
        </w:tc>
      </w:tr>
      <w:tr w:rsidR="00CE258A" w:rsidRPr="003E76E7" w14:paraId="7C7FB011" w14:textId="77777777" w:rsidTr="00A211F5">
        <w:tblPrEx>
          <w:shd w:val="clear" w:color="auto" w:fill="auto"/>
          <w:tblLook w:val="04A0" w:firstRow="1" w:lastRow="0" w:firstColumn="1" w:lastColumn="0" w:noHBand="0" w:noVBand="1"/>
        </w:tblPrEx>
        <w:trPr>
          <w:trHeight w:val="470"/>
        </w:trPr>
        <w:tc>
          <w:tcPr>
            <w:tcW w:w="1800" w:type="dxa"/>
            <w:vMerge w:val="restart"/>
            <w:tcBorders>
              <w:top w:val="single" w:sz="4" w:space="0" w:color="auto"/>
              <w:bottom w:val="single" w:sz="4" w:space="0" w:color="auto"/>
              <w:right w:val="single" w:sz="4" w:space="0" w:color="auto"/>
            </w:tcBorders>
            <w:shd w:val="clear" w:color="auto" w:fill="auto"/>
          </w:tcPr>
          <w:p w14:paraId="024AB2B8" w14:textId="77777777" w:rsidR="00CE258A" w:rsidRPr="003E76E7" w:rsidRDefault="00CE258A" w:rsidP="00C4292D">
            <w:pPr>
              <w:tabs>
                <w:tab w:val="left" w:pos="709"/>
              </w:tabs>
              <w:spacing w:before="0" w:after="0"/>
              <w:rPr>
                <w:rFonts w:ascii="Arial" w:hAnsi="Arial"/>
                <w:color w:val="000000"/>
                <w:sz w:val="16"/>
                <w:szCs w:val="16"/>
              </w:rPr>
            </w:pPr>
            <w:r w:rsidRPr="003E76E7">
              <w:rPr>
                <w:rFonts w:ascii="Arial" w:hAnsi="Arial"/>
                <w:color w:val="000000"/>
                <w:sz w:val="16"/>
                <w:szCs w:val="16"/>
              </w:rPr>
              <w:t>Current Year</w:t>
            </w:r>
          </w:p>
          <w:p w14:paraId="06B700CF" w14:textId="347C14AD" w:rsidR="00CE258A" w:rsidRPr="003E76E7" w:rsidRDefault="00CE258A" w:rsidP="00C4292D">
            <w:pPr>
              <w:tabs>
                <w:tab w:val="left" w:pos="709"/>
              </w:tabs>
              <w:spacing w:before="0" w:after="0"/>
              <w:rPr>
                <w:rFonts w:ascii="Arial" w:hAnsi="Arial"/>
                <w:color w:val="000000"/>
                <w:sz w:val="16"/>
                <w:szCs w:val="16"/>
              </w:rPr>
            </w:pPr>
            <w:r w:rsidRPr="003E76E7">
              <w:rPr>
                <w:rFonts w:ascii="Arial" w:hAnsi="Arial"/>
                <w:color w:val="000000"/>
                <w:sz w:val="16"/>
                <w:szCs w:val="16"/>
              </w:rPr>
              <w:t>202</w:t>
            </w:r>
            <w:r w:rsidR="00173ED3" w:rsidRPr="003E76E7">
              <w:rPr>
                <w:rFonts w:ascii="Arial" w:hAnsi="Arial"/>
                <w:color w:val="000000"/>
                <w:sz w:val="16"/>
                <w:szCs w:val="16"/>
              </w:rPr>
              <w:t>5</w:t>
            </w:r>
            <w:r w:rsidRPr="003E76E7">
              <w:rPr>
                <w:rFonts w:ascii="Arial" w:hAnsi="Arial"/>
                <w:color w:val="000000"/>
                <w:sz w:val="16"/>
                <w:szCs w:val="16"/>
              </w:rPr>
              <w:t>-2</w:t>
            </w:r>
            <w:r w:rsidR="00173ED3" w:rsidRPr="003E76E7">
              <w:rPr>
                <w:rFonts w:ascii="Arial" w:hAnsi="Arial"/>
                <w:color w:val="000000"/>
                <w:sz w:val="16"/>
                <w:szCs w:val="16"/>
              </w:rPr>
              <w:t>6</w:t>
            </w:r>
            <w:r w:rsidRPr="003E76E7">
              <w:rPr>
                <w:rFonts w:ascii="Arial" w:hAnsi="Arial"/>
                <w:color w:val="000000"/>
                <w:sz w:val="16"/>
                <w:szCs w:val="16"/>
              </w:rPr>
              <w:t xml:space="preserve"> </w:t>
            </w:r>
            <w:r w:rsidRPr="003E76E7">
              <w:rPr>
                <w:rFonts w:ascii="Arial" w:hAnsi="Arial"/>
                <w:color w:val="000000"/>
                <w:sz w:val="16"/>
                <w:szCs w:val="16"/>
                <w:vertAlign w:val="superscript"/>
              </w:rPr>
              <w:t>[</w:t>
            </w:r>
            <w:r w:rsidR="00A0768C" w:rsidRPr="003E76E7">
              <w:rPr>
                <w:rFonts w:ascii="Arial" w:hAnsi="Arial"/>
                <w:color w:val="000000"/>
                <w:sz w:val="16"/>
                <w:szCs w:val="16"/>
                <w:vertAlign w:val="superscript"/>
              </w:rPr>
              <w:t>b</w:t>
            </w:r>
            <w:r w:rsidRPr="003E76E7">
              <w:rPr>
                <w:rFonts w:ascii="Arial" w:hAnsi="Arial"/>
                <w:color w:val="000000"/>
                <w:sz w:val="16"/>
                <w:szCs w:val="16"/>
                <w:vertAlign w:val="superscript"/>
              </w:rPr>
              <w:t>]</w:t>
            </w:r>
          </w:p>
        </w:tc>
        <w:tc>
          <w:tcPr>
            <w:tcW w:w="3174" w:type="dxa"/>
            <w:tcBorders>
              <w:top w:val="single" w:sz="4" w:space="0" w:color="auto"/>
              <w:left w:val="single" w:sz="4" w:space="0" w:color="auto"/>
              <w:bottom w:val="single" w:sz="4" w:space="0" w:color="auto"/>
              <w:right w:val="single" w:sz="4" w:space="0" w:color="auto"/>
            </w:tcBorders>
          </w:tcPr>
          <w:p w14:paraId="35A6AF03" w14:textId="4D20EC37" w:rsidR="00CE258A" w:rsidRPr="003E76E7" w:rsidRDefault="00CE258A" w:rsidP="00C4292D">
            <w:pPr>
              <w:tabs>
                <w:tab w:val="left" w:pos="709"/>
              </w:tabs>
              <w:spacing w:before="60" w:after="60"/>
              <w:rPr>
                <w:rFonts w:ascii="Arial" w:hAnsi="Arial"/>
                <w:sz w:val="16"/>
                <w:szCs w:val="16"/>
                <w:lang w:val="en-AU"/>
              </w:rPr>
            </w:pPr>
            <w:r w:rsidRPr="003E76E7">
              <w:rPr>
                <w:rFonts w:ascii="Arial" w:hAnsi="Arial"/>
                <w:sz w:val="16"/>
                <w:szCs w:val="16"/>
                <w:lang w:val="en-AU"/>
              </w:rPr>
              <w:t>4.1: Defence recruits and retains an ADF and APS workforce to support the Defence mission.</w:t>
            </w:r>
          </w:p>
        </w:tc>
        <w:tc>
          <w:tcPr>
            <w:tcW w:w="3413" w:type="dxa"/>
            <w:tcBorders>
              <w:top w:val="single" w:sz="4" w:space="0" w:color="auto"/>
              <w:left w:val="single" w:sz="4" w:space="0" w:color="auto"/>
              <w:bottom w:val="single" w:sz="4" w:space="0" w:color="auto"/>
            </w:tcBorders>
          </w:tcPr>
          <w:p w14:paraId="6CEBD3FA" w14:textId="33363C6C" w:rsidR="001074BE" w:rsidRPr="003E76E7" w:rsidRDefault="001074BE" w:rsidP="00C4292D">
            <w:pPr>
              <w:rPr>
                <w:rFonts w:ascii="Arial" w:hAnsi="Arial"/>
                <w:sz w:val="16"/>
                <w:szCs w:val="16"/>
              </w:rPr>
            </w:pPr>
            <w:r w:rsidRPr="003E76E7">
              <w:rPr>
                <w:rFonts w:ascii="Arial" w:hAnsi="Arial"/>
                <w:sz w:val="16"/>
                <w:szCs w:val="16"/>
              </w:rPr>
              <w:t xml:space="preserve">Defence achieves the ADF and APS Budgeted Workforce Requirement as set out in the </w:t>
            </w:r>
            <w:r w:rsidRPr="003E76E7">
              <w:rPr>
                <w:rFonts w:ascii="Arial" w:hAnsi="Arial"/>
                <w:i/>
                <w:sz w:val="16"/>
                <w:szCs w:val="16"/>
              </w:rPr>
              <w:t>Portfolio Budget Statements</w:t>
            </w:r>
            <w:r w:rsidRPr="003E76E7">
              <w:rPr>
                <w:rFonts w:ascii="Arial" w:hAnsi="Arial"/>
                <w:sz w:val="16"/>
                <w:szCs w:val="16"/>
              </w:rPr>
              <w:t xml:space="preserve"> </w:t>
            </w:r>
            <w:r w:rsidR="008627F6" w:rsidRPr="003E76E7">
              <w:rPr>
                <w:rFonts w:ascii="Arial" w:hAnsi="Arial"/>
                <w:i/>
                <w:sz w:val="16"/>
                <w:szCs w:val="16"/>
              </w:rPr>
              <w:t xml:space="preserve">2025-26 </w:t>
            </w:r>
            <w:r w:rsidRPr="003E76E7">
              <w:rPr>
                <w:rFonts w:ascii="Arial" w:hAnsi="Arial"/>
                <w:sz w:val="16"/>
                <w:szCs w:val="16"/>
              </w:rPr>
              <w:t xml:space="preserve">and the net flow of the ADF and APS workforce over a 12 month period is trending positive and is positioning Defence to achieve the Budgeted Workforce Requirement over the </w:t>
            </w:r>
            <w:r w:rsidR="00A270BD" w:rsidRPr="003E76E7">
              <w:rPr>
                <w:rFonts w:ascii="Arial" w:hAnsi="Arial"/>
                <w:sz w:val="16"/>
                <w:szCs w:val="16"/>
              </w:rPr>
              <w:t>F</w:t>
            </w:r>
            <w:r w:rsidRPr="003E76E7">
              <w:rPr>
                <w:rFonts w:ascii="Arial" w:hAnsi="Arial"/>
                <w:sz w:val="16"/>
                <w:szCs w:val="16"/>
              </w:rPr>
              <w:t xml:space="preserve">orward </w:t>
            </w:r>
            <w:r w:rsidR="00A270BD" w:rsidRPr="003E76E7">
              <w:rPr>
                <w:rFonts w:ascii="Arial" w:hAnsi="Arial"/>
                <w:sz w:val="16"/>
                <w:szCs w:val="16"/>
              </w:rPr>
              <w:t>E</w:t>
            </w:r>
            <w:r w:rsidRPr="003E76E7">
              <w:rPr>
                <w:rFonts w:ascii="Arial" w:hAnsi="Arial"/>
                <w:sz w:val="16"/>
                <w:szCs w:val="16"/>
              </w:rPr>
              <w:t>stimates.</w:t>
            </w:r>
          </w:p>
          <w:p w14:paraId="281D0619" w14:textId="44BB2199" w:rsidR="00CE258A" w:rsidRPr="003E76E7" w:rsidRDefault="001074BE" w:rsidP="00C4292D">
            <w:pPr>
              <w:tabs>
                <w:tab w:val="left" w:pos="709"/>
              </w:tabs>
              <w:spacing w:before="0" w:after="60"/>
              <w:jc w:val="right"/>
              <w:rPr>
                <w:rFonts w:ascii="Arial" w:hAnsi="Arial"/>
                <w:i/>
                <w:color w:val="000000"/>
                <w:sz w:val="16"/>
                <w:szCs w:val="16"/>
              </w:rPr>
            </w:pPr>
            <w:r w:rsidRPr="003E76E7">
              <w:rPr>
                <w:rFonts w:ascii="Arial" w:hAnsi="Arial"/>
                <w:i/>
                <w:sz w:val="16"/>
                <w:szCs w:val="16"/>
              </w:rPr>
              <w:t>Expected to be partially achieved.</w:t>
            </w:r>
          </w:p>
        </w:tc>
      </w:tr>
      <w:tr w:rsidR="001074BE" w:rsidRPr="003E76E7" w14:paraId="579B073A" w14:textId="77777777" w:rsidTr="00A211F5">
        <w:tblPrEx>
          <w:shd w:val="clear" w:color="auto" w:fill="auto"/>
          <w:tblLook w:val="04A0" w:firstRow="1" w:lastRow="0" w:firstColumn="1" w:lastColumn="0" w:noHBand="0" w:noVBand="1"/>
        </w:tblPrEx>
        <w:trPr>
          <w:trHeight w:val="470"/>
        </w:trPr>
        <w:tc>
          <w:tcPr>
            <w:tcW w:w="1800" w:type="dxa"/>
            <w:vMerge/>
            <w:tcBorders>
              <w:top w:val="single" w:sz="4" w:space="0" w:color="auto"/>
              <w:bottom w:val="single" w:sz="4" w:space="0" w:color="auto"/>
              <w:right w:val="single" w:sz="4" w:space="0" w:color="auto"/>
            </w:tcBorders>
            <w:shd w:val="clear" w:color="auto" w:fill="auto"/>
          </w:tcPr>
          <w:p w14:paraId="499264DA" w14:textId="77777777" w:rsidR="001074BE" w:rsidRPr="003E76E7" w:rsidRDefault="001074BE" w:rsidP="00C4292D">
            <w:pPr>
              <w:tabs>
                <w:tab w:val="left" w:pos="709"/>
              </w:tabs>
              <w:spacing w:before="60" w:after="60"/>
              <w:rPr>
                <w:rFonts w:ascii="Arial" w:hAnsi="Arial"/>
                <w:color w:val="000000"/>
                <w:sz w:val="16"/>
                <w:szCs w:val="16"/>
              </w:rPr>
            </w:pPr>
          </w:p>
        </w:tc>
        <w:tc>
          <w:tcPr>
            <w:tcW w:w="3174" w:type="dxa"/>
            <w:tcBorders>
              <w:top w:val="single" w:sz="4" w:space="0" w:color="auto"/>
              <w:left w:val="single" w:sz="4" w:space="0" w:color="auto"/>
              <w:bottom w:val="single" w:sz="4" w:space="0" w:color="auto"/>
              <w:right w:val="single" w:sz="4" w:space="0" w:color="auto"/>
            </w:tcBorders>
          </w:tcPr>
          <w:p w14:paraId="1033CF99" w14:textId="04607073" w:rsidR="001074BE" w:rsidRPr="003E76E7" w:rsidRDefault="001074BE" w:rsidP="00C4292D">
            <w:pPr>
              <w:tabs>
                <w:tab w:val="left" w:pos="709"/>
              </w:tabs>
              <w:spacing w:before="60" w:after="60"/>
              <w:rPr>
                <w:rFonts w:ascii="Arial" w:hAnsi="Arial"/>
                <w:sz w:val="16"/>
                <w:szCs w:val="16"/>
                <w:lang w:val="en-AU"/>
              </w:rPr>
            </w:pPr>
            <w:r w:rsidRPr="003E76E7">
              <w:rPr>
                <w:rFonts w:ascii="Arial" w:hAnsi="Arial"/>
                <w:sz w:val="16"/>
                <w:szCs w:val="16"/>
                <w:lang w:val="en-AU"/>
              </w:rPr>
              <w:t>4.2: Defence grows the necessary skills and capabilities to enable the Defence mission.</w:t>
            </w:r>
          </w:p>
        </w:tc>
        <w:tc>
          <w:tcPr>
            <w:tcW w:w="3413" w:type="dxa"/>
            <w:tcBorders>
              <w:top w:val="single" w:sz="4" w:space="0" w:color="auto"/>
              <w:left w:val="single" w:sz="4" w:space="0" w:color="auto"/>
              <w:bottom w:val="single" w:sz="4" w:space="0" w:color="auto"/>
            </w:tcBorders>
          </w:tcPr>
          <w:p w14:paraId="356B4449" w14:textId="77777777" w:rsidR="001074BE" w:rsidRPr="003E76E7" w:rsidRDefault="001074BE" w:rsidP="00C4292D">
            <w:pPr>
              <w:spacing w:before="0" w:after="60"/>
              <w:rPr>
                <w:rFonts w:ascii="Arial" w:hAnsi="Arial"/>
                <w:sz w:val="16"/>
                <w:szCs w:val="16"/>
                <w:lang w:val="en-AU"/>
              </w:rPr>
            </w:pPr>
            <w:r w:rsidRPr="003E76E7">
              <w:rPr>
                <w:rFonts w:ascii="Arial" w:hAnsi="Arial"/>
                <w:sz w:val="16"/>
                <w:szCs w:val="16"/>
                <w:lang w:val="en-AU"/>
              </w:rPr>
              <w:t>The Defence workforce has the technical skills required to deliver the National Defence Strategy, as measured through achieving a full workforce against each of the ADF and APS Strategic Workforce Segments, the net flow of the ADF and APS Strategic Workforce Segments over the financial year, measured against the Budgeted Workforce Requirement, will enable Defence to achieve its future technical skill requirements, and the Australian Submarine Agency are staffed with the required ADF personnel to deliver the Nuclear-Powered Submarine Program.</w:t>
            </w:r>
          </w:p>
          <w:p w14:paraId="29D47BB8" w14:textId="7B9B52D2" w:rsidR="001074BE" w:rsidRPr="003E76E7" w:rsidRDefault="00D013CE" w:rsidP="00C4292D">
            <w:pPr>
              <w:spacing w:before="0" w:after="60"/>
              <w:jc w:val="right"/>
              <w:rPr>
                <w:rFonts w:ascii="Arial" w:hAnsi="Arial"/>
                <w:color w:val="000000"/>
                <w:sz w:val="16"/>
                <w:szCs w:val="16"/>
              </w:rPr>
            </w:pPr>
            <w:r w:rsidRPr="003E76E7">
              <w:rPr>
                <w:rFonts w:ascii="Arial" w:hAnsi="Arial"/>
                <w:i/>
                <w:sz w:val="16"/>
                <w:szCs w:val="16"/>
              </w:rPr>
              <w:t>Expected to be partially achieved</w:t>
            </w:r>
            <w:r>
              <w:rPr>
                <w:rFonts w:ascii="Arial" w:hAnsi="Arial"/>
                <w:i/>
                <w:sz w:val="16"/>
                <w:szCs w:val="16"/>
              </w:rPr>
              <w:t>.</w:t>
            </w:r>
          </w:p>
        </w:tc>
      </w:tr>
      <w:tr w:rsidR="001074BE" w:rsidRPr="003E76E7" w14:paraId="6B2DC08E" w14:textId="77777777" w:rsidTr="00A211F5">
        <w:tblPrEx>
          <w:shd w:val="clear" w:color="auto" w:fill="auto"/>
          <w:tblLook w:val="04A0" w:firstRow="1" w:lastRow="0" w:firstColumn="1" w:lastColumn="0" w:noHBand="0" w:noVBand="1"/>
        </w:tblPrEx>
        <w:trPr>
          <w:trHeight w:val="470"/>
        </w:trPr>
        <w:tc>
          <w:tcPr>
            <w:tcW w:w="1800" w:type="dxa"/>
            <w:vMerge/>
            <w:tcBorders>
              <w:top w:val="single" w:sz="4" w:space="0" w:color="auto"/>
              <w:bottom w:val="single" w:sz="4" w:space="0" w:color="auto"/>
              <w:right w:val="single" w:sz="4" w:space="0" w:color="auto"/>
            </w:tcBorders>
            <w:shd w:val="clear" w:color="auto" w:fill="auto"/>
          </w:tcPr>
          <w:p w14:paraId="71711D8D" w14:textId="77777777" w:rsidR="001074BE" w:rsidRPr="003E76E7" w:rsidRDefault="001074BE" w:rsidP="00C4292D">
            <w:pPr>
              <w:tabs>
                <w:tab w:val="left" w:pos="709"/>
              </w:tabs>
              <w:spacing w:before="60" w:after="60"/>
              <w:rPr>
                <w:rFonts w:ascii="Arial" w:hAnsi="Arial"/>
                <w:color w:val="000000"/>
                <w:sz w:val="16"/>
                <w:szCs w:val="16"/>
              </w:rPr>
            </w:pPr>
          </w:p>
        </w:tc>
        <w:tc>
          <w:tcPr>
            <w:tcW w:w="3174" w:type="dxa"/>
            <w:tcBorders>
              <w:top w:val="single" w:sz="4" w:space="0" w:color="auto"/>
              <w:left w:val="single" w:sz="4" w:space="0" w:color="auto"/>
              <w:bottom w:val="single" w:sz="4" w:space="0" w:color="auto"/>
              <w:right w:val="single" w:sz="4" w:space="0" w:color="auto"/>
            </w:tcBorders>
          </w:tcPr>
          <w:p w14:paraId="1B879021" w14:textId="0D6BAE74" w:rsidR="001074BE" w:rsidRPr="003E76E7" w:rsidRDefault="001074BE" w:rsidP="00C4292D">
            <w:pPr>
              <w:tabs>
                <w:tab w:val="left" w:pos="709"/>
              </w:tabs>
              <w:spacing w:before="60" w:after="60"/>
              <w:rPr>
                <w:rFonts w:ascii="Arial" w:hAnsi="Arial"/>
                <w:sz w:val="16"/>
                <w:szCs w:val="16"/>
                <w:lang w:val="en-AU"/>
              </w:rPr>
            </w:pPr>
            <w:r w:rsidRPr="003E76E7">
              <w:rPr>
                <w:rFonts w:ascii="Arial" w:hAnsi="Arial"/>
                <w:sz w:val="16"/>
                <w:szCs w:val="16"/>
                <w:lang w:val="en-AU"/>
              </w:rPr>
              <w:t>4.3: The Defence values and behaviours enable our people to deliver against the Defence mission.</w:t>
            </w:r>
          </w:p>
        </w:tc>
        <w:tc>
          <w:tcPr>
            <w:tcW w:w="3413" w:type="dxa"/>
            <w:tcBorders>
              <w:top w:val="single" w:sz="4" w:space="0" w:color="auto"/>
              <w:left w:val="single" w:sz="4" w:space="0" w:color="auto"/>
              <w:bottom w:val="single" w:sz="4" w:space="0" w:color="auto"/>
            </w:tcBorders>
          </w:tcPr>
          <w:p w14:paraId="43EA7816" w14:textId="70601983" w:rsidR="001074BE" w:rsidRPr="003E76E7" w:rsidRDefault="001074BE" w:rsidP="00C4292D">
            <w:pPr>
              <w:rPr>
                <w:rFonts w:ascii="Arial" w:hAnsi="Arial"/>
                <w:sz w:val="16"/>
                <w:szCs w:val="16"/>
              </w:rPr>
            </w:pPr>
            <w:r w:rsidRPr="003E76E7">
              <w:rPr>
                <w:rFonts w:ascii="Arial" w:hAnsi="Arial"/>
                <w:sz w:val="16"/>
                <w:szCs w:val="16"/>
              </w:rPr>
              <w:t xml:space="preserve">All ADF and Defence APS personnel believe appropriate action will be taken if they report an incident of unacceptable behaviour in the preceding 12 months, no ADF and Defence APS personnel have experienced unacceptable behaviour in the preceding </w:t>
            </w:r>
            <w:r w:rsidR="00486370" w:rsidRPr="003E76E7">
              <w:rPr>
                <w:rFonts w:ascii="Arial" w:hAnsi="Arial"/>
                <w:sz w:val="16"/>
                <w:szCs w:val="16"/>
              </w:rPr>
              <w:br/>
            </w:r>
            <w:r w:rsidRPr="003E76E7">
              <w:rPr>
                <w:rFonts w:ascii="Arial" w:hAnsi="Arial"/>
                <w:sz w:val="16"/>
                <w:szCs w:val="16"/>
              </w:rPr>
              <w:t>12 months, and all ADF and Defence APS personnel view that Defence values are being used in their work area.</w:t>
            </w:r>
          </w:p>
          <w:p w14:paraId="31F3A5D6" w14:textId="7750389D" w:rsidR="001074BE" w:rsidRPr="003E76E7" w:rsidRDefault="00C4447C" w:rsidP="00C4447C">
            <w:pPr>
              <w:spacing w:before="0" w:after="60"/>
              <w:jc w:val="right"/>
              <w:rPr>
                <w:rFonts w:ascii="Arial" w:hAnsi="Arial"/>
                <w:i/>
                <w:sz w:val="16"/>
                <w:szCs w:val="16"/>
                <w:lang w:val="en-AU"/>
              </w:rPr>
            </w:pPr>
            <w:r w:rsidRPr="003E76E7">
              <w:rPr>
                <w:rFonts w:ascii="Arial" w:hAnsi="Arial"/>
                <w:i/>
                <w:sz w:val="16"/>
                <w:szCs w:val="16"/>
              </w:rPr>
              <w:t>Expected to be not achieved.</w:t>
            </w:r>
          </w:p>
        </w:tc>
      </w:tr>
      <w:tr w:rsidR="001074BE" w:rsidRPr="003E76E7" w14:paraId="52A968EE" w14:textId="77777777" w:rsidTr="00A211F5">
        <w:tblPrEx>
          <w:shd w:val="clear" w:color="auto" w:fill="auto"/>
          <w:tblLook w:val="04A0" w:firstRow="1" w:lastRow="0" w:firstColumn="1" w:lastColumn="0" w:noHBand="0" w:noVBand="1"/>
        </w:tblPrEx>
        <w:trPr>
          <w:trHeight w:val="254"/>
        </w:trPr>
        <w:tc>
          <w:tcPr>
            <w:tcW w:w="1800" w:type="dxa"/>
            <w:tcBorders>
              <w:top w:val="single" w:sz="4" w:space="0" w:color="auto"/>
              <w:bottom w:val="single" w:sz="4" w:space="0" w:color="auto"/>
              <w:right w:val="single" w:sz="4" w:space="0" w:color="auto"/>
            </w:tcBorders>
            <w:shd w:val="clear" w:color="auto" w:fill="auto"/>
          </w:tcPr>
          <w:p w14:paraId="1BE5D391" w14:textId="5B565485" w:rsidR="001074BE" w:rsidRPr="003E76E7" w:rsidRDefault="001074BE" w:rsidP="00C4292D">
            <w:pPr>
              <w:pageBreakBefore/>
              <w:tabs>
                <w:tab w:val="left" w:pos="709"/>
              </w:tabs>
              <w:spacing w:before="60" w:after="60"/>
              <w:rPr>
                <w:rFonts w:ascii="Arial" w:hAnsi="Arial"/>
                <w:color w:val="000000"/>
                <w:sz w:val="16"/>
                <w:szCs w:val="16"/>
              </w:rPr>
            </w:pPr>
            <w:r w:rsidRPr="003E76E7">
              <w:rPr>
                <w:rFonts w:ascii="Arial" w:hAnsi="Arial"/>
                <w:b/>
                <w:color w:val="000000"/>
                <w:sz w:val="16"/>
                <w:szCs w:val="16"/>
              </w:rPr>
              <w:lastRenderedPageBreak/>
              <w:t>Year</w:t>
            </w:r>
          </w:p>
        </w:tc>
        <w:tc>
          <w:tcPr>
            <w:tcW w:w="3174" w:type="dxa"/>
            <w:tcBorders>
              <w:top w:val="single" w:sz="4" w:space="0" w:color="auto"/>
              <w:left w:val="single" w:sz="4" w:space="0" w:color="auto"/>
              <w:bottom w:val="single" w:sz="4" w:space="0" w:color="auto"/>
              <w:right w:val="single" w:sz="4" w:space="0" w:color="auto"/>
            </w:tcBorders>
          </w:tcPr>
          <w:p w14:paraId="5AF230F3" w14:textId="1731FC61" w:rsidR="001074BE" w:rsidRPr="003E76E7" w:rsidRDefault="00AD14EC" w:rsidP="00C4292D">
            <w:pPr>
              <w:tabs>
                <w:tab w:val="left" w:pos="709"/>
              </w:tabs>
              <w:spacing w:before="60" w:after="60"/>
              <w:rPr>
                <w:rFonts w:ascii="Arial" w:hAnsi="Arial"/>
                <w:sz w:val="16"/>
                <w:szCs w:val="16"/>
                <w:lang w:val="en-AU"/>
              </w:rPr>
            </w:pPr>
            <w:r w:rsidRPr="003E76E7">
              <w:rPr>
                <w:rFonts w:ascii="Arial" w:hAnsi="Arial"/>
                <w:b/>
                <w:color w:val="000000"/>
                <w:sz w:val="16"/>
                <w:szCs w:val="16"/>
              </w:rPr>
              <w:t>Performance Measures</w:t>
            </w:r>
          </w:p>
        </w:tc>
        <w:tc>
          <w:tcPr>
            <w:tcW w:w="3413" w:type="dxa"/>
            <w:tcBorders>
              <w:top w:val="single" w:sz="4" w:space="0" w:color="auto"/>
              <w:left w:val="single" w:sz="4" w:space="0" w:color="auto"/>
              <w:bottom w:val="single" w:sz="4" w:space="0" w:color="auto"/>
            </w:tcBorders>
          </w:tcPr>
          <w:p w14:paraId="184CBADD" w14:textId="759C47FD" w:rsidR="001074BE" w:rsidRPr="003E76E7" w:rsidRDefault="001074BE" w:rsidP="00C4292D">
            <w:pPr>
              <w:tabs>
                <w:tab w:val="left" w:pos="709"/>
              </w:tabs>
              <w:spacing w:before="60" w:after="60"/>
              <w:rPr>
                <w:rFonts w:ascii="Arial" w:hAnsi="Arial"/>
                <w:sz w:val="16"/>
                <w:szCs w:val="16"/>
                <w:lang w:val="en-AU"/>
              </w:rPr>
            </w:pPr>
            <w:r w:rsidRPr="003E76E7">
              <w:rPr>
                <w:rFonts w:ascii="Arial" w:hAnsi="Arial"/>
                <w:b/>
                <w:color w:val="000000"/>
                <w:sz w:val="16"/>
                <w:szCs w:val="16"/>
              </w:rPr>
              <w:t>Expected Performance Results</w:t>
            </w:r>
          </w:p>
        </w:tc>
      </w:tr>
      <w:tr w:rsidR="000428E7" w:rsidRPr="003E76E7" w14:paraId="41AED7F0" w14:textId="77777777" w:rsidTr="00A211F5">
        <w:tblPrEx>
          <w:shd w:val="clear" w:color="auto" w:fill="auto"/>
          <w:tblLook w:val="04A0" w:firstRow="1" w:lastRow="0" w:firstColumn="1" w:lastColumn="0" w:noHBand="0" w:noVBand="1"/>
        </w:tblPrEx>
        <w:trPr>
          <w:trHeight w:val="470"/>
        </w:trPr>
        <w:tc>
          <w:tcPr>
            <w:tcW w:w="1800" w:type="dxa"/>
            <w:vMerge w:val="restart"/>
            <w:tcBorders>
              <w:top w:val="single" w:sz="4" w:space="0" w:color="auto"/>
              <w:bottom w:val="single" w:sz="4" w:space="0" w:color="auto"/>
              <w:right w:val="single" w:sz="4" w:space="0" w:color="auto"/>
            </w:tcBorders>
            <w:shd w:val="clear" w:color="auto" w:fill="auto"/>
          </w:tcPr>
          <w:p w14:paraId="180D90C5" w14:textId="77777777" w:rsidR="000428E7" w:rsidRPr="003E76E7" w:rsidRDefault="000428E7" w:rsidP="00C4292D">
            <w:pPr>
              <w:tabs>
                <w:tab w:val="left" w:pos="709"/>
              </w:tabs>
              <w:spacing w:before="0" w:after="0"/>
              <w:rPr>
                <w:rFonts w:ascii="Arial" w:hAnsi="Arial"/>
                <w:color w:val="000000"/>
                <w:sz w:val="16"/>
                <w:szCs w:val="16"/>
              </w:rPr>
            </w:pPr>
            <w:r w:rsidRPr="003E76E7">
              <w:rPr>
                <w:rFonts w:ascii="Arial" w:hAnsi="Arial"/>
                <w:color w:val="000000"/>
                <w:sz w:val="16"/>
                <w:szCs w:val="16"/>
              </w:rPr>
              <w:t>Current Year</w:t>
            </w:r>
          </w:p>
          <w:p w14:paraId="5541022B" w14:textId="73ABCC4F" w:rsidR="000428E7" w:rsidRPr="003E76E7" w:rsidRDefault="000428E7" w:rsidP="00C4292D">
            <w:pPr>
              <w:tabs>
                <w:tab w:val="left" w:pos="709"/>
              </w:tabs>
              <w:spacing w:before="0" w:after="0"/>
              <w:rPr>
                <w:rFonts w:ascii="Arial" w:hAnsi="Arial"/>
                <w:color w:val="000000"/>
                <w:sz w:val="16"/>
                <w:szCs w:val="16"/>
              </w:rPr>
            </w:pPr>
            <w:r w:rsidRPr="003E76E7">
              <w:rPr>
                <w:rFonts w:ascii="Arial" w:hAnsi="Arial"/>
                <w:color w:val="000000"/>
                <w:sz w:val="16"/>
                <w:szCs w:val="16"/>
              </w:rPr>
              <w:t xml:space="preserve">2025-26 </w:t>
            </w:r>
            <w:r w:rsidRPr="003E76E7">
              <w:rPr>
                <w:rFonts w:ascii="Arial" w:hAnsi="Arial"/>
                <w:color w:val="000000"/>
                <w:sz w:val="16"/>
                <w:szCs w:val="16"/>
                <w:vertAlign w:val="superscript"/>
              </w:rPr>
              <w:t>[</w:t>
            </w:r>
            <w:r w:rsidR="00603D07" w:rsidRPr="003E76E7">
              <w:rPr>
                <w:rFonts w:ascii="Arial" w:hAnsi="Arial"/>
                <w:color w:val="000000"/>
                <w:sz w:val="16"/>
                <w:szCs w:val="16"/>
                <w:vertAlign w:val="superscript"/>
              </w:rPr>
              <w:t>b</w:t>
            </w:r>
            <w:r w:rsidRPr="003E76E7">
              <w:rPr>
                <w:rFonts w:ascii="Arial" w:hAnsi="Arial"/>
                <w:color w:val="000000"/>
                <w:sz w:val="16"/>
                <w:szCs w:val="16"/>
                <w:vertAlign w:val="superscript"/>
              </w:rPr>
              <w:t>]</w:t>
            </w:r>
          </w:p>
        </w:tc>
        <w:tc>
          <w:tcPr>
            <w:tcW w:w="3174" w:type="dxa"/>
            <w:tcBorders>
              <w:top w:val="single" w:sz="4" w:space="0" w:color="auto"/>
              <w:left w:val="single" w:sz="4" w:space="0" w:color="auto"/>
              <w:bottom w:val="single" w:sz="4" w:space="0" w:color="auto"/>
              <w:right w:val="single" w:sz="4" w:space="0" w:color="auto"/>
            </w:tcBorders>
          </w:tcPr>
          <w:p w14:paraId="39FD0BC1" w14:textId="20D31FFE" w:rsidR="000428E7" w:rsidRPr="003E76E7" w:rsidRDefault="000428E7" w:rsidP="00C4292D">
            <w:pPr>
              <w:tabs>
                <w:tab w:val="left" w:pos="709"/>
              </w:tabs>
              <w:spacing w:before="60" w:after="60"/>
              <w:rPr>
                <w:rFonts w:ascii="Arial" w:hAnsi="Arial"/>
                <w:sz w:val="16"/>
                <w:szCs w:val="16"/>
                <w:lang w:val="en-AU"/>
              </w:rPr>
            </w:pPr>
            <w:r w:rsidRPr="003E76E7">
              <w:rPr>
                <w:rFonts w:ascii="Arial" w:hAnsi="Arial"/>
                <w:sz w:val="16"/>
                <w:szCs w:val="16"/>
                <w:lang w:val="en-AU"/>
              </w:rPr>
              <w:t>4.4: Defence supports ADF members and their families by providing access to support services and programs having regard to lifetime wellbeing.</w:t>
            </w:r>
          </w:p>
        </w:tc>
        <w:tc>
          <w:tcPr>
            <w:tcW w:w="3413" w:type="dxa"/>
            <w:tcBorders>
              <w:top w:val="single" w:sz="4" w:space="0" w:color="auto"/>
              <w:left w:val="single" w:sz="4" w:space="0" w:color="auto"/>
              <w:bottom w:val="single" w:sz="4" w:space="0" w:color="auto"/>
            </w:tcBorders>
          </w:tcPr>
          <w:p w14:paraId="264CE000" w14:textId="2B4C2A0C" w:rsidR="000428E7" w:rsidRPr="003E76E7" w:rsidRDefault="000428E7" w:rsidP="00C4292D">
            <w:pPr>
              <w:tabs>
                <w:tab w:val="left" w:pos="709"/>
              </w:tabs>
              <w:spacing w:before="60" w:after="60"/>
              <w:rPr>
                <w:rFonts w:ascii="Arial" w:hAnsi="Arial"/>
                <w:sz w:val="16"/>
                <w:szCs w:val="16"/>
                <w:lang w:val="en-AU"/>
              </w:rPr>
            </w:pPr>
            <w:r w:rsidRPr="003E76E7">
              <w:rPr>
                <w:rFonts w:ascii="Arial" w:hAnsi="Arial"/>
                <w:sz w:val="16"/>
                <w:szCs w:val="16"/>
                <w:lang w:val="en-AU"/>
              </w:rPr>
              <w:t xml:space="preserve">At least 75 per cent of eligible full-time </w:t>
            </w:r>
            <w:r w:rsidR="00432109" w:rsidRPr="003E76E7">
              <w:rPr>
                <w:rFonts w:ascii="Arial" w:hAnsi="Arial"/>
                <w:sz w:val="16"/>
                <w:szCs w:val="16"/>
                <w:lang w:val="en-AU"/>
              </w:rPr>
              <w:br/>
            </w:r>
            <w:r w:rsidRPr="003E76E7">
              <w:rPr>
                <w:rFonts w:ascii="Arial" w:hAnsi="Arial"/>
                <w:sz w:val="16"/>
                <w:szCs w:val="16"/>
                <w:lang w:val="en-AU"/>
              </w:rPr>
              <w:t xml:space="preserve">ADF members and their families are registered with the ADF Family Health Program, 100 per cent of the support services of the Partner Assistance Employment Program, Education Assistance Scheme, and Special Accommodation for Emergencies Scheme are provided to </w:t>
            </w:r>
            <w:r w:rsidR="00432109" w:rsidRPr="003E76E7">
              <w:rPr>
                <w:rFonts w:ascii="Arial" w:hAnsi="Arial"/>
                <w:sz w:val="16"/>
                <w:szCs w:val="16"/>
                <w:lang w:val="en-AU"/>
              </w:rPr>
              <w:br/>
            </w:r>
            <w:r w:rsidRPr="003E76E7">
              <w:rPr>
                <w:rFonts w:ascii="Arial" w:hAnsi="Arial"/>
                <w:sz w:val="16"/>
                <w:szCs w:val="16"/>
                <w:lang w:val="en-AU"/>
              </w:rPr>
              <w:t xml:space="preserve">full-time ADF and their families in accordance with identified service delivery timeframes, there is an increase in the percentage of Defence suicide prevention training participants who assess that the training is practical, tailored and informed by lived experience, and 100 per cent of Defence-led, Government-agreed recommendations from the Royal Commission into Defence and Veteran Suicide Final Report are complete, or </w:t>
            </w:r>
            <w:r w:rsidR="00432109" w:rsidRPr="003E76E7">
              <w:rPr>
                <w:rFonts w:ascii="Arial" w:hAnsi="Arial"/>
                <w:sz w:val="16"/>
                <w:szCs w:val="16"/>
                <w:lang w:val="en-AU"/>
              </w:rPr>
              <w:br/>
            </w:r>
            <w:r w:rsidRPr="003E76E7">
              <w:rPr>
                <w:rFonts w:ascii="Arial" w:hAnsi="Arial"/>
                <w:sz w:val="16"/>
                <w:szCs w:val="16"/>
                <w:lang w:val="en-AU"/>
              </w:rPr>
              <w:t>on-track.</w:t>
            </w:r>
          </w:p>
          <w:p w14:paraId="3AAAB357" w14:textId="3E4075B5" w:rsidR="000428E7" w:rsidRPr="003E76E7" w:rsidRDefault="000428E7" w:rsidP="00C4292D">
            <w:pPr>
              <w:tabs>
                <w:tab w:val="left" w:pos="709"/>
              </w:tabs>
              <w:spacing w:before="60" w:after="60"/>
              <w:jc w:val="right"/>
              <w:rPr>
                <w:rFonts w:ascii="Arial" w:hAnsi="Arial"/>
                <w:i/>
                <w:sz w:val="16"/>
                <w:szCs w:val="16"/>
                <w:lang w:val="en-AU"/>
              </w:rPr>
            </w:pPr>
            <w:r w:rsidRPr="003E76E7">
              <w:rPr>
                <w:rFonts w:ascii="Arial" w:hAnsi="Arial"/>
                <w:i/>
                <w:sz w:val="16"/>
                <w:szCs w:val="16"/>
                <w:lang w:val="en-AU"/>
              </w:rPr>
              <w:t>Expected to be substantially achieved.</w:t>
            </w:r>
          </w:p>
        </w:tc>
      </w:tr>
      <w:tr w:rsidR="000428E7" w:rsidRPr="003E76E7" w14:paraId="1F31C7B6" w14:textId="77777777" w:rsidTr="00A211F5">
        <w:tblPrEx>
          <w:shd w:val="clear" w:color="auto" w:fill="auto"/>
          <w:tblLook w:val="04A0" w:firstRow="1" w:lastRow="0" w:firstColumn="1" w:lastColumn="0" w:noHBand="0" w:noVBand="1"/>
        </w:tblPrEx>
        <w:trPr>
          <w:trHeight w:val="470"/>
        </w:trPr>
        <w:tc>
          <w:tcPr>
            <w:tcW w:w="1800" w:type="dxa"/>
            <w:vMerge/>
            <w:tcBorders>
              <w:top w:val="single" w:sz="4" w:space="0" w:color="auto"/>
              <w:bottom w:val="single" w:sz="4" w:space="0" w:color="auto"/>
              <w:right w:val="single" w:sz="4" w:space="0" w:color="auto"/>
            </w:tcBorders>
            <w:shd w:val="clear" w:color="auto" w:fill="auto"/>
          </w:tcPr>
          <w:p w14:paraId="6B9EE907" w14:textId="77777777" w:rsidR="000428E7" w:rsidRPr="003E76E7" w:rsidRDefault="000428E7" w:rsidP="00C4292D">
            <w:pPr>
              <w:tabs>
                <w:tab w:val="left" w:pos="709"/>
              </w:tabs>
              <w:spacing w:before="60" w:after="60"/>
              <w:rPr>
                <w:rFonts w:ascii="Arial" w:hAnsi="Arial"/>
                <w:color w:val="000000"/>
                <w:sz w:val="16"/>
                <w:szCs w:val="16"/>
              </w:rPr>
            </w:pPr>
          </w:p>
        </w:tc>
        <w:tc>
          <w:tcPr>
            <w:tcW w:w="3174" w:type="dxa"/>
            <w:tcBorders>
              <w:top w:val="single" w:sz="4" w:space="0" w:color="auto"/>
              <w:left w:val="single" w:sz="4" w:space="0" w:color="auto"/>
              <w:bottom w:val="single" w:sz="4" w:space="0" w:color="auto"/>
              <w:right w:val="single" w:sz="4" w:space="0" w:color="auto"/>
            </w:tcBorders>
          </w:tcPr>
          <w:p w14:paraId="4A5E9F63" w14:textId="686B6101" w:rsidR="000428E7" w:rsidRPr="003E76E7" w:rsidRDefault="000428E7" w:rsidP="00C4292D">
            <w:pPr>
              <w:autoSpaceDE w:val="0"/>
              <w:autoSpaceDN w:val="0"/>
              <w:adjustRightInd w:val="0"/>
              <w:spacing w:before="60" w:after="60"/>
              <w:rPr>
                <w:rFonts w:ascii="Arial" w:hAnsi="Arial"/>
                <w:color w:val="000000"/>
                <w:sz w:val="16"/>
                <w:szCs w:val="16"/>
              </w:rPr>
            </w:pPr>
            <w:r w:rsidRPr="003E76E7">
              <w:rPr>
                <w:rFonts w:ascii="Arial" w:hAnsi="Arial"/>
                <w:sz w:val="16"/>
                <w:szCs w:val="16"/>
                <w:lang w:val="en-AU"/>
              </w:rPr>
              <w:t>6.1: Defence is delivering the right future capability at the right time within the Integrated Investment Program to ensure it is equipped to respond to future security challenges as directed by the</w:t>
            </w:r>
            <w:r w:rsidRPr="003E76E7">
              <w:rPr>
                <w:rFonts w:ascii="Arial" w:hAnsi="Arial"/>
                <w:i/>
                <w:sz w:val="16"/>
                <w:szCs w:val="16"/>
                <w:lang w:val="en-AU"/>
              </w:rPr>
              <w:t xml:space="preserve"> </w:t>
            </w:r>
            <w:r w:rsidRPr="003E76E7">
              <w:rPr>
                <w:rFonts w:ascii="Arial" w:hAnsi="Arial"/>
                <w:sz w:val="16"/>
                <w:szCs w:val="16"/>
                <w:lang w:val="en-AU"/>
              </w:rPr>
              <w:t>National Defence Strategy.</w:t>
            </w:r>
          </w:p>
        </w:tc>
        <w:tc>
          <w:tcPr>
            <w:tcW w:w="3413" w:type="dxa"/>
            <w:tcBorders>
              <w:top w:val="single" w:sz="4" w:space="0" w:color="auto"/>
              <w:left w:val="single" w:sz="4" w:space="0" w:color="auto"/>
              <w:bottom w:val="single" w:sz="4" w:space="0" w:color="auto"/>
              <w:right w:val="single" w:sz="4" w:space="0" w:color="auto"/>
            </w:tcBorders>
          </w:tcPr>
          <w:p w14:paraId="14272929" w14:textId="77777777" w:rsidR="000428E7" w:rsidRPr="003E76E7" w:rsidRDefault="000428E7" w:rsidP="00C4292D">
            <w:pPr>
              <w:tabs>
                <w:tab w:val="left" w:pos="709"/>
              </w:tabs>
              <w:spacing w:before="60" w:after="60"/>
              <w:rPr>
                <w:rFonts w:ascii="Arial" w:hAnsi="Arial"/>
                <w:sz w:val="16"/>
                <w:szCs w:val="16"/>
                <w:lang w:val="en-AU"/>
              </w:rPr>
            </w:pPr>
            <w:r w:rsidRPr="003E76E7">
              <w:rPr>
                <w:rFonts w:ascii="Arial" w:hAnsi="Arial"/>
                <w:sz w:val="16"/>
                <w:szCs w:val="16"/>
                <w:lang w:val="en-AU"/>
              </w:rPr>
              <w:t>80 per cent or more of approved Integrated Investment Program projects across all domains are on track to deliver within Government approved scope, schedule, and cost (including contingency).</w:t>
            </w:r>
          </w:p>
          <w:p w14:paraId="6DD4FE6F" w14:textId="7A7540CC" w:rsidR="000428E7" w:rsidRPr="003E76E7" w:rsidRDefault="005E7889" w:rsidP="00C4292D">
            <w:pPr>
              <w:spacing w:before="0" w:after="60"/>
              <w:jc w:val="right"/>
              <w:rPr>
                <w:rFonts w:ascii="Arial" w:hAnsi="Arial"/>
                <w:i/>
                <w:sz w:val="16"/>
                <w:szCs w:val="16"/>
              </w:rPr>
            </w:pPr>
            <w:r w:rsidRPr="003E76E7">
              <w:rPr>
                <w:rFonts w:ascii="Arial" w:hAnsi="Arial"/>
                <w:i/>
                <w:sz w:val="16"/>
                <w:szCs w:val="16"/>
                <w:lang w:val="en-AU"/>
              </w:rPr>
              <w:t>Expected to be achieved</w:t>
            </w:r>
            <w:r w:rsidR="00F306D9" w:rsidRPr="003E76E7">
              <w:rPr>
                <w:rFonts w:ascii="Arial" w:hAnsi="Arial"/>
                <w:i/>
                <w:sz w:val="16"/>
                <w:szCs w:val="16"/>
                <w:lang w:val="en-AU"/>
              </w:rPr>
              <w:t>.</w:t>
            </w:r>
          </w:p>
        </w:tc>
      </w:tr>
      <w:tr w:rsidR="000428E7" w:rsidRPr="003E76E7" w14:paraId="551D4A7F" w14:textId="77777777" w:rsidTr="004B16DA">
        <w:tblPrEx>
          <w:shd w:val="clear" w:color="auto" w:fill="auto"/>
          <w:tblLook w:val="04A0" w:firstRow="1" w:lastRow="0" w:firstColumn="1" w:lastColumn="0" w:noHBand="0" w:noVBand="1"/>
        </w:tblPrEx>
        <w:trPr>
          <w:trHeight w:val="258"/>
        </w:trPr>
        <w:tc>
          <w:tcPr>
            <w:tcW w:w="1800" w:type="dxa"/>
            <w:tcBorders>
              <w:top w:val="single" w:sz="4" w:space="0" w:color="auto"/>
              <w:bottom w:val="single" w:sz="4" w:space="0" w:color="auto"/>
              <w:right w:val="single" w:sz="4" w:space="0" w:color="auto"/>
            </w:tcBorders>
          </w:tcPr>
          <w:p w14:paraId="53C74D6F" w14:textId="280358E1" w:rsidR="000428E7" w:rsidRPr="003E76E7" w:rsidRDefault="000428E7" w:rsidP="00C4292D">
            <w:pPr>
              <w:tabs>
                <w:tab w:val="left" w:pos="709"/>
              </w:tabs>
              <w:spacing w:before="60" w:after="60"/>
              <w:rPr>
                <w:rFonts w:ascii="Arial" w:hAnsi="Arial"/>
                <w:b/>
                <w:color w:val="000000"/>
                <w:sz w:val="16"/>
                <w:szCs w:val="16"/>
              </w:rPr>
            </w:pPr>
            <w:r w:rsidRPr="003E76E7">
              <w:br w:type="page"/>
            </w:r>
            <w:r w:rsidRPr="003E76E7">
              <w:rPr>
                <w:rFonts w:ascii="Arial" w:hAnsi="Arial"/>
                <w:b/>
                <w:color w:val="000000"/>
                <w:sz w:val="16"/>
                <w:szCs w:val="16"/>
              </w:rPr>
              <w:t>Year</w:t>
            </w:r>
          </w:p>
        </w:tc>
        <w:tc>
          <w:tcPr>
            <w:tcW w:w="3174" w:type="dxa"/>
            <w:tcBorders>
              <w:top w:val="single" w:sz="4" w:space="0" w:color="auto"/>
              <w:left w:val="single" w:sz="4" w:space="0" w:color="auto"/>
              <w:bottom w:val="single" w:sz="4" w:space="0" w:color="auto"/>
              <w:right w:val="single" w:sz="4" w:space="0" w:color="auto"/>
            </w:tcBorders>
            <w:vAlign w:val="center"/>
          </w:tcPr>
          <w:p w14:paraId="1FF27DA2" w14:textId="20C9DFF2" w:rsidR="000428E7" w:rsidRPr="003E76E7" w:rsidRDefault="00AD14EC" w:rsidP="004B16DA">
            <w:pPr>
              <w:tabs>
                <w:tab w:val="left" w:pos="709"/>
                <w:tab w:val="center" w:pos="1818"/>
              </w:tabs>
              <w:spacing w:before="60" w:after="60"/>
              <w:rPr>
                <w:rFonts w:ascii="Arial" w:hAnsi="Arial"/>
                <w:b/>
                <w:color w:val="000000"/>
                <w:sz w:val="16"/>
                <w:szCs w:val="16"/>
              </w:rPr>
            </w:pPr>
            <w:r w:rsidRPr="003E76E7">
              <w:rPr>
                <w:rFonts w:ascii="Arial" w:hAnsi="Arial"/>
                <w:b/>
                <w:color w:val="000000"/>
                <w:sz w:val="16"/>
                <w:szCs w:val="16"/>
              </w:rPr>
              <w:t>Performance Measures</w:t>
            </w:r>
          </w:p>
        </w:tc>
        <w:tc>
          <w:tcPr>
            <w:tcW w:w="3413" w:type="dxa"/>
            <w:tcBorders>
              <w:top w:val="single" w:sz="4" w:space="0" w:color="auto"/>
              <w:left w:val="single" w:sz="4" w:space="0" w:color="auto"/>
              <w:bottom w:val="single" w:sz="4" w:space="0" w:color="auto"/>
            </w:tcBorders>
            <w:vAlign w:val="center"/>
          </w:tcPr>
          <w:p w14:paraId="34CA6F51" w14:textId="77777777" w:rsidR="000428E7" w:rsidRPr="003E76E7" w:rsidRDefault="000428E7" w:rsidP="004B16DA">
            <w:pPr>
              <w:tabs>
                <w:tab w:val="left" w:pos="709"/>
              </w:tabs>
              <w:spacing w:before="60" w:after="60"/>
              <w:rPr>
                <w:rFonts w:ascii="Arial" w:hAnsi="Arial"/>
                <w:b/>
                <w:color w:val="000000"/>
                <w:sz w:val="16"/>
                <w:szCs w:val="16"/>
              </w:rPr>
            </w:pPr>
            <w:r w:rsidRPr="003E76E7">
              <w:rPr>
                <w:rFonts w:ascii="Arial" w:hAnsi="Arial"/>
                <w:b/>
                <w:color w:val="000000"/>
                <w:sz w:val="16"/>
                <w:szCs w:val="16"/>
              </w:rPr>
              <w:t>Planned Performance Results</w:t>
            </w:r>
          </w:p>
        </w:tc>
      </w:tr>
      <w:tr w:rsidR="000428E7" w:rsidRPr="003E76E7" w14:paraId="3BE7142A" w14:textId="77777777" w:rsidTr="00A211F5">
        <w:tblPrEx>
          <w:shd w:val="clear" w:color="auto" w:fill="auto"/>
          <w:tblLook w:val="04A0" w:firstRow="1" w:lastRow="0" w:firstColumn="1" w:lastColumn="0" w:noHBand="0" w:noVBand="1"/>
        </w:tblPrEx>
        <w:trPr>
          <w:trHeight w:val="320"/>
        </w:trPr>
        <w:tc>
          <w:tcPr>
            <w:tcW w:w="1800" w:type="dxa"/>
            <w:vMerge w:val="restart"/>
            <w:tcBorders>
              <w:top w:val="single" w:sz="4" w:space="0" w:color="auto"/>
              <w:bottom w:val="single" w:sz="4" w:space="0" w:color="auto"/>
              <w:right w:val="single" w:sz="4" w:space="0" w:color="auto"/>
            </w:tcBorders>
          </w:tcPr>
          <w:p w14:paraId="5FBFBC55" w14:textId="19F231E0" w:rsidR="000428E7" w:rsidRPr="003E76E7" w:rsidRDefault="000428E7" w:rsidP="00C4292D">
            <w:pPr>
              <w:tabs>
                <w:tab w:val="left" w:pos="709"/>
              </w:tabs>
              <w:spacing w:before="0" w:after="0"/>
              <w:rPr>
                <w:rFonts w:ascii="Arial" w:hAnsi="Arial"/>
                <w:color w:val="000000"/>
                <w:sz w:val="16"/>
                <w:szCs w:val="16"/>
              </w:rPr>
            </w:pPr>
            <w:r w:rsidRPr="003E76E7">
              <w:rPr>
                <w:rFonts w:ascii="Arial" w:hAnsi="Arial"/>
                <w:color w:val="000000"/>
                <w:sz w:val="16"/>
                <w:szCs w:val="16"/>
              </w:rPr>
              <w:t xml:space="preserve">Budget Year </w:t>
            </w:r>
          </w:p>
          <w:p w14:paraId="59A8ECAF" w14:textId="1ADCA553" w:rsidR="000428E7" w:rsidRPr="003E76E7" w:rsidRDefault="000428E7" w:rsidP="00C4292D">
            <w:pPr>
              <w:tabs>
                <w:tab w:val="left" w:pos="709"/>
              </w:tabs>
              <w:spacing w:before="0" w:after="0"/>
              <w:rPr>
                <w:rFonts w:ascii="Arial" w:hAnsi="Arial"/>
                <w:color w:val="000000"/>
                <w:sz w:val="16"/>
                <w:szCs w:val="16"/>
              </w:rPr>
            </w:pPr>
            <w:r w:rsidRPr="003E76E7">
              <w:rPr>
                <w:rFonts w:ascii="Arial" w:hAnsi="Arial"/>
                <w:color w:val="000000"/>
                <w:sz w:val="16"/>
                <w:szCs w:val="16"/>
              </w:rPr>
              <w:t xml:space="preserve">2026-27 </w:t>
            </w:r>
            <w:r w:rsidRPr="003E76E7">
              <w:rPr>
                <w:rFonts w:ascii="Arial" w:hAnsi="Arial"/>
                <w:color w:val="000000"/>
                <w:sz w:val="16"/>
                <w:szCs w:val="16"/>
                <w:vertAlign w:val="superscript"/>
              </w:rPr>
              <w:t>[</w:t>
            </w:r>
            <w:r w:rsidR="00C4447C" w:rsidRPr="003E76E7">
              <w:rPr>
                <w:rFonts w:ascii="Arial" w:hAnsi="Arial"/>
                <w:color w:val="000000"/>
                <w:sz w:val="16"/>
                <w:szCs w:val="16"/>
                <w:vertAlign w:val="superscript"/>
              </w:rPr>
              <w:t>c</w:t>
            </w:r>
            <w:r w:rsidRPr="003E76E7">
              <w:rPr>
                <w:rFonts w:ascii="Arial" w:hAnsi="Arial"/>
                <w:color w:val="000000"/>
                <w:sz w:val="16"/>
                <w:szCs w:val="16"/>
                <w:vertAlign w:val="superscript"/>
              </w:rPr>
              <w:t>]</w:t>
            </w:r>
          </w:p>
        </w:tc>
        <w:tc>
          <w:tcPr>
            <w:tcW w:w="3174" w:type="dxa"/>
            <w:tcBorders>
              <w:top w:val="single" w:sz="4" w:space="0" w:color="auto"/>
              <w:left w:val="single" w:sz="4" w:space="0" w:color="auto"/>
              <w:bottom w:val="single" w:sz="4" w:space="0" w:color="auto"/>
              <w:right w:val="single" w:sz="4" w:space="0" w:color="auto"/>
            </w:tcBorders>
          </w:tcPr>
          <w:p w14:paraId="408CCD51" w14:textId="338DD63E" w:rsidR="000428E7" w:rsidRPr="003E76E7" w:rsidRDefault="000428E7" w:rsidP="00C4292D">
            <w:pPr>
              <w:tabs>
                <w:tab w:val="left" w:pos="709"/>
              </w:tabs>
              <w:spacing w:before="60" w:after="60"/>
              <w:rPr>
                <w:rFonts w:ascii="Arial" w:hAnsi="Arial"/>
                <w:color w:val="000000"/>
                <w:sz w:val="16"/>
                <w:szCs w:val="16"/>
              </w:rPr>
            </w:pPr>
            <w:r w:rsidRPr="003E76E7">
              <w:rPr>
                <w:rFonts w:ascii="Arial" w:hAnsi="Arial"/>
                <w:sz w:val="16"/>
                <w:szCs w:val="16"/>
                <w:lang w:val="en-AU"/>
              </w:rPr>
              <w:t>4.1: Defence recruits and retains an ADF and APS workforce to support the Defence mission.</w:t>
            </w:r>
          </w:p>
        </w:tc>
        <w:tc>
          <w:tcPr>
            <w:tcW w:w="3413" w:type="dxa"/>
            <w:tcBorders>
              <w:top w:val="single" w:sz="4" w:space="0" w:color="auto"/>
              <w:left w:val="single" w:sz="4" w:space="0" w:color="auto"/>
              <w:bottom w:val="single" w:sz="4" w:space="0" w:color="auto"/>
            </w:tcBorders>
          </w:tcPr>
          <w:p w14:paraId="74AD6ACC" w14:textId="5278D72A" w:rsidR="000428E7" w:rsidRPr="003E76E7" w:rsidRDefault="000428E7" w:rsidP="00C4292D">
            <w:pPr>
              <w:tabs>
                <w:tab w:val="left" w:pos="709"/>
              </w:tabs>
              <w:spacing w:before="60" w:after="60"/>
              <w:rPr>
                <w:rFonts w:ascii="Arial" w:hAnsi="Arial"/>
                <w:sz w:val="16"/>
                <w:szCs w:val="16"/>
                <w:lang w:val="en-AU"/>
              </w:rPr>
            </w:pPr>
            <w:r w:rsidRPr="003E76E7">
              <w:rPr>
                <w:rFonts w:ascii="Arial" w:hAnsi="Arial"/>
                <w:sz w:val="16"/>
                <w:szCs w:val="16"/>
              </w:rPr>
              <w:t xml:space="preserve">Defence achieves the ADF and APS Budgeted Workforce Requirement as set out in the Portfolio Budget Statements and the net flow of the ADF and APS workforce over a 12 month period is trending positive and is positioning Defence to achieve the Budgeted Workforce Requirement over the </w:t>
            </w:r>
            <w:r w:rsidR="00397940" w:rsidRPr="003E76E7">
              <w:rPr>
                <w:rFonts w:ascii="Arial" w:hAnsi="Arial"/>
                <w:sz w:val="16"/>
                <w:szCs w:val="16"/>
              </w:rPr>
              <w:t>F</w:t>
            </w:r>
            <w:r w:rsidRPr="003E76E7">
              <w:rPr>
                <w:rFonts w:ascii="Arial" w:hAnsi="Arial"/>
                <w:sz w:val="16"/>
                <w:szCs w:val="16"/>
              </w:rPr>
              <w:t xml:space="preserve">orward </w:t>
            </w:r>
            <w:r w:rsidR="00397940" w:rsidRPr="003E76E7">
              <w:rPr>
                <w:rFonts w:ascii="Arial" w:hAnsi="Arial"/>
                <w:sz w:val="16"/>
                <w:szCs w:val="16"/>
              </w:rPr>
              <w:t>E</w:t>
            </w:r>
            <w:r w:rsidRPr="003E76E7">
              <w:rPr>
                <w:rFonts w:ascii="Arial" w:hAnsi="Arial"/>
                <w:sz w:val="16"/>
                <w:szCs w:val="16"/>
              </w:rPr>
              <w:t>stimates.</w:t>
            </w:r>
          </w:p>
        </w:tc>
      </w:tr>
      <w:tr w:rsidR="000428E7" w:rsidRPr="003E76E7" w14:paraId="6B59BB52" w14:textId="77777777" w:rsidTr="00A211F5">
        <w:tblPrEx>
          <w:shd w:val="clear" w:color="auto" w:fill="auto"/>
          <w:tblLook w:val="04A0" w:firstRow="1" w:lastRow="0" w:firstColumn="1" w:lastColumn="0" w:noHBand="0" w:noVBand="1"/>
        </w:tblPrEx>
        <w:trPr>
          <w:trHeight w:val="320"/>
        </w:trPr>
        <w:tc>
          <w:tcPr>
            <w:tcW w:w="1800" w:type="dxa"/>
            <w:vMerge/>
            <w:tcBorders>
              <w:top w:val="single" w:sz="4" w:space="0" w:color="auto"/>
              <w:bottom w:val="single" w:sz="4" w:space="0" w:color="auto"/>
              <w:right w:val="single" w:sz="4" w:space="0" w:color="auto"/>
            </w:tcBorders>
          </w:tcPr>
          <w:p w14:paraId="65B78665" w14:textId="2CBF29BE" w:rsidR="000428E7" w:rsidRPr="003E76E7" w:rsidRDefault="000428E7" w:rsidP="00C4292D">
            <w:pPr>
              <w:tabs>
                <w:tab w:val="left" w:pos="709"/>
              </w:tabs>
              <w:spacing w:before="0" w:after="0"/>
              <w:rPr>
                <w:rFonts w:ascii="Arial" w:hAnsi="Arial"/>
                <w:color w:val="000000"/>
                <w:sz w:val="16"/>
                <w:szCs w:val="16"/>
              </w:rPr>
            </w:pPr>
          </w:p>
        </w:tc>
        <w:tc>
          <w:tcPr>
            <w:tcW w:w="3174" w:type="dxa"/>
            <w:tcBorders>
              <w:top w:val="single" w:sz="4" w:space="0" w:color="auto"/>
              <w:left w:val="single" w:sz="4" w:space="0" w:color="auto"/>
              <w:bottom w:val="single" w:sz="4" w:space="0" w:color="auto"/>
              <w:right w:val="single" w:sz="4" w:space="0" w:color="auto"/>
            </w:tcBorders>
          </w:tcPr>
          <w:p w14:paraId="4CABC20F" w14:textId="16A23DEB" w:rsidR="000428E7" w:rsidRPr="003E76E7" w:rsidRDefault="000428E7" w:rsidP="00C4292D">
            <w:pPr>
              <w:tabs>
                <w:tab w:val="left" w:pos="709"/>
              </w:tabs>
              <w:spacing w:before="60" w:after="60"/>
              <w:rPr>
                <w:rFonts w:ascii="Arial" w:hAnsi="Arial"/>
                <w:sz w:val="16"/>
                <w:szCs w:val="16"/>
                <w:lang w:val="en-AU"/>
              </w:rPr>
            </w:pPr>
            <w:r w:rsidRPr="003E76E7">
              <w:rPr>
                <w:rFonts w:ascii="Arial" w:hAnsi="Arial"/>
                <w:sz w:val="16"/>
                <w:szCs w:val="16"/>
                <w:lang w:val="en-AU"/>
              </w:rPr>
              <w:t>4.2: Defence grows the necessary skills and capabilities to enable the Defence mission.</w:t>
            </w:r>
          </w:p>
        </w:tc>
        <w:tc>
          <w:tcPr>
            <w:tcW w:w="3413" w:type="dxa"/>
            <w:tcBorders>
              <w:top w:val="single" w:sz="4" w:space="0" w:color="auto"/>
              <w:left w:val="single" w:sz="4" w:space="0" w:color="auto"/>
              <w:bottom w:val="single" w:sz="4" w:space="0" w:color="auto"/>
            </w:tcBorders>
          </w:tcPr>
          <w:p w14:paraId="74408C78" w14:textId="692E14F8" w:rsidR="000428E7" w:rsidRPr="003E76E7" w:rsidRDefault="000428E7" w:rsidP="00C4292D">
            <w:pPr>
              <w:tabs>
                <w:tab w:val="left" w:pos="709"/>
              </w:tabs>
              <w:spacing w:before="60" w:after="60"/>
              <w:rPr>
                <w:rFonts w:ascii="Arial" w:hAnsi="Arial"/>
                <w:sz w:val="16"/>
                <w:szCs w:val="16"/>
                <w:lang w:val="en-AU"/>
              </w:rPr>
            </w:pPr>
            <w:r w:rsidRPr="003E76E7">
              <w:rPr>
                <w:rFonts w:ascii="Arial" w:hAnsi="Arial"/>
                <w:sz w:val="16"/>
                <w:szCs w:val="16"/>
                <w:lang w:val="en-AU"/>
              </w:rPr>
              <w:t>The Defence workforce has the technical skills required to deliver the National Defence Strategy, as measured through achieving a full workforce against each of the ADF and APS Strategic Workforce Segments, the net flow of the ADF and APS Strategic Workforce Segments over the financial year, measured against the Budgeted Workforce Requirement, will enable Defence to achieve its future technical skill requirements, and the Australian Submarine Agency are staffed with the required ADF personnel to deliver the Nuclear-Powered Submarine Program.</w:t>
            </w:r>
          </w:p>
        </w:tc>
      </w:tr>
      <w:tr w:rsidR="000428E7" w:rsidRPr="003E76E7" w14:paraId="04D679FF" w14:textId="77777777" w:rsidTr="00A211F5">
        <w:tblPrEx>
          <w:shd w:val="clear" w:color="auto" w:fill="auto"/>
          <w:tblLook w:val="04A0" w:firstRow="1" w:lastRow="0" w:firstColumn="1" w:lastColumn="0" w:noHBand="0" w:noVBand="1"/>
        </w:tblPrEx>
        <w:trPr>
          <w:trHeight w:val="320"/>
        </w:trPr>
        <w:tc>
          <w:tcPr>
            <w:tcW w:w="1800" w:type="dxa"/>
            <w:vMerge/>
            <w:tcBorders>
              <w:top w:val="single" w:sz="4" w:space="0" w:color="auto"/>
              <w:bottom w:val="single" w:sz="4" w:space="0" w:color="auto"/>
              <w:right w:val="single" w:sz="4" w:space="0" w:color="auto"/>
            </w:tcBorders>
          </w:tcPr>
          <w:p w14:paraId="6C742FFF" w14:textId="77777777" w:rsidR="000428E7" w:rsidRPr="003E76E7" w:rsidRDefault="000428E7" w:rsidP="00C4292D">
            <w:pPr>
              <w:tabs>
                <w:tab w:val="left" w:pos="709"/>
              </w:tabs>
              <w:spacing w:before="0" w:after="0"/>
              <w:rPr>
                <w:rFonts w:ascii="Arial" w:hAnsi="Arial"/>
                <w:color w:val="000000"/>
                <w:sz w:val="16"/>
                <w:szCs w:val="16"/>
              </w:rPr>
            </w:pPr>
          </w:p>
        </w:tc>
        <w:tc>
          <w:tcPr>
            <w:tcW w:w="3174" w:type="dxa"/>
            <w:tcBorders>
              <w:top w:val="single" w:sz="4" w:space="0" w:color="auto"/>
              <w:left w:val="single" w:sz="4" w:space="0" w:color="auto"/>
              <w:bottom w:val="single" w:sz="4" w:space="0" w:color="auto"/>
              <w:right w:val="single" w:sz="4" w:space="0" w:color="auto"/>
            </w:tcBorders>
          </w:tcPr>
          <w:p w14:paraId="4062498A" w14:textId="27E75B91" w:rsidR="000428E7" w:rsidRPr="003E76E7" w:rsidRDefault="000428E7" w:rsidP="00C4292D">
            <w:pPr>
              <w:tabs>
                <w:tab w:val="left" w:pos="709"/>
              </w:tabs>
              <w:spacing w:before="60" w:after="60"/>
              <w:rPr>
                <w:rFonts w:ascii="Arial" w:hAnsi="Arial"/>
                <w:sz w:val="16"/>
                <w:szCs w:val="16"/>
                <w:lang w:val="en-AU"/>
              </w:rPr>
            </w:pPr>
            <w:r w:rsidRPr="003E76E7">
              <w:rPr>
                <w:rFonts w:ascii="Arial" w:hAnsi="Arial"/>
                <w:sz w:val="16"/>
                <w:szCs w:val="16"/>
                <w:lang w:val="en-AU"/>
              </w:rPr>
              <w:t>4.3: The Defence values and behaviours enable our people to deliver against the Defence mission.</w:t>
            </w:r>
          </w:p>
        </w:tc>
        <w:tc>
          <w:tcPr>
            <w:tcW w:w="3413" w:type="dxa"/>
            <w:tcBorders>
              <w:top w:val="single" w:sz="4" w:space="0" w:color="auto"/>
              <w:left w:val="single" w:sz="4" w:space="0" w:color="auto"/>
              <w:bottom w:val="single" w:sz="4" w:space="0" w:color="auto"/>
            </w:tcBorders>
          </w:tcPr>
          <w:p w14:paraId="15AC0F5F" w14:textId="374DA741" w:rsidR="000428E7" w:rsidRPr="003E76E7" w:rsidRDefault="000428E7" w:rsidP="00C4292D">
            <w:pPr>
              <w:tabs>
                <w:tab w:val="left" w:pos="709"/>
              </w:tabs>
              <w:spacing w:before="60" w:after="60"/>
              <w:rPr>
                <w:rFonts w:ascii="Arial" w:hAnsi="Arial"/>
                <w:sz w:val="16"/>
                <w:szCs w:val="16"/>
                <w:lang w:val="en-AU"/>
              </w:rPr>
            </w:pPr>
            <w:r w:rsidRPr="003E76E7">
              <w:rPr>
                <w:rFonts w:ascii="Arial" w:hAnsi="Arial"/>
                <w:sz w:val="16"/>
                <w:szCs w:val="16"/>
              </w:rPr>
              <w:t xml:space="preserve">All ADF and Defence APS personnel believe appropriate action will be taken if they report an incident of unacceptable behaviour in the preceding 12 months, no ADF and Defence APS personnel have experienced unacceptable behaviour in the preceding </w:t>
            </w:r>
            <w:r w:rsidR="00486370" w:rsidRPr="003E76E7">
              <w:rPr>
                <w:rFonts w:ascii="Arial" w:hAnsi="Arial"/>
                <w:sz w:val="16"/>
                <w:szCs w:val="16"/>
              </w:rPr>
              <w:br/>
            </w:r>
            <w:r w:rsidRPr="003E76E7">
              <w:rPr>
                <w:rFonts w:ascii="Arial" w:hAnsi="Arial"/>
                <w:sz w:val="16"/>
                <w:szCs w:val="16"/>
              </w:rPr>
              <w:t>12 months, and all ADF and Defence APS personnel view that Defence values are being used in their work area.</w:t>
            </w:r>
          </w:p>
        </w:tc>
      </w:tr>
    </w:tbl>
    <w:p w14:paraId="1396E1FA" w14:textId="77777777" w:rsidR="00C4558B" w:rsidRPr="003E76E7" w:rsidRDefault="00C4558B" w:rsidP="00C4292D">
      <w:r w:rsidRPr="003E76E7">
        <w:br w:type="page"/>
      </w:r>
    </w:p>
    <w:tbl>
      <w:tblPr>
        <w:tblW w:w="4852"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3174"/>
        <w:gridCol w:w="3379"/>
      </w:tblGrid>
      <w:tr w:rsidR="00C4558B" w:rsidRPr="003E76E7" w14:paraId="41C17263" w14:textId="77777777" w:rsidTr="00833470">
        <w:trPr>
          <w:trHeight w:val="320"/>
        </w:trPr>
        <w:tc>
          <w:tcPr>
            <w:tcW w:w="1799" w:type="dxa"/>
            <w:tcBorders>
              <w:top w:val="single" w:sz="4" w:space="0" w:color="auto"/>
              <w:bottom w:val="single" w:sz="4" w:space="0" w:color="auto"/>
              <w:right w:val="single" w:sz="4" w:space="0" w:color="auto"/>
            </w:tcBorders>
          </w:tcPr>
          <w:p w14:paraId="49903BA1" w14:textId="640E7727" w:rsidR="00C4558B" w:rsidRPr="003E76E7" w:rsidRDefault="00C4558B" w:rsidP="00C4292D">
            <w:pPr>
              <w:tabs>
                <w:tab w:val="left" w:pos="709"/>
              </w:tabs>
              <w:spacing w:before="60" w:after="60"/>
              <w:rPr>
                <w:rFonts w:ascii="Arial" w:hAnsi="Arial"/>
                <w:color w:val="000000"/>
                <w:sz w:val="16"/>
                <w:szCs w:val="16"/>
              </w:rPr>
            </w:pPr>
            <w:r w:rsidRPr="003E76E7">
              <w:lastRenderedPageBreak/>
              <w:br w:type="page"/>
            </w:r>
            <w:r w:rsidRPr="003E76E7">
              <w:rPr>
                <w:rFonts w:ascii="Arial" w:hAnsi="Arial"/>
                <w:b/>
                <w:color w:val="000000"/>
                <w:sz w:val="16"/>
                <w:szCs w:val="16"/>
              </w:rPr>
              <w:t>Year</w:t>
            </w:r>
          </w:p>
        </w:tc>
        <w:tc>
          <w:tcPr>
            <w:tcW w:w="3174" w:type="dxa"/>
            <w:tcBorders>
              <w:top w:val="single" w:sz="4" w:space="0" w:color="auto"/>
              <w:left w:val="single" w:sz="4" w:space="0" w:color="auto"/>
              <w:bottom w:val="single" w:sz="4" w:space="0" w:color="auto"/>
              <w:right w:val="single" w:sz="4" w:space="0" w:color="auto"/>
            </w:tcBorders>
          </w:tcPr>
          <w:p w14:paraId="3D4C64D5" w14:textId="1854238A" w:rsidR="00C4558B" w:rsidRPr="003E76E7" w:rsidRDefault="00AD14EC" w:rsidP="00C4292D">
            <w:pPr>
              <w:tabs>
                <w:tab w:val="left" w:pos="709"/>
              </w:tabs>
              <w:spacing w:before="60" w:after="60"/>
              <w:rPr>
                <w:rFonts w:ascii="Arial" w:hAnsi="Arial"/>
                <w:sz w:val="16"/>
                <w:szCs w:val="16"/>
                <w:lang w:val="en-AU"/>
              </w:rPr>
            </w:pPr>
            <w:r w:rsidRPr="003E76E7">
              <w:rPr>
                <w:rFonts w:ascii="Arial" w:hAnsi="Arial"/>
                <w:b/>
                <w:color w:val="000000"/>
                <w:sz w:val="16"/>
                <w:szCs w:val="16"/>
              </w:rPr>
              <w:t>Performance Measures</w:t>
            </w:r>
          </w:p>
        </w:tc>
        <w:tc>
          <w:tcPr>
            <w:tcW w:w="3379" w:type="dxa"/>
            <w:tcBorders>
              <w:top w:val="single" w:sz="4" w:space="0" w:color="auto"/>
              <w:left w:val="single" w:sz="4" w:space="0" w:color="auto"/>
              <w:bottom w:val="single" w:sz="4" w:space="0" w:color="auto"/>
            </w:tcBorders>
          </w:tcPr>
          <w:p w14:paraId="36C514F3" w14:textId="430ED720" w:rsidR="00C4558B" w:rsidRPr="003E76E7" w:rsidRDefault="00C4558B" w:rsidP="00C4292D">
            <w:pPr>
              <w:tabs>
                <w:tab w:val="left" w:pos="709"/>
              </w:tabs>
              <w:spacing w:before="60" w:after="60"/>
              <w:rPr>
                <w:rFonts w:ascii="Arial" w:hAnsi="Arial"/>
                <w:sz w:val="16"/>
                <w:szCs w:val="16"/>
                <w:lang w:val="en-AU"/>
              </w:rPr>
            </w:pPr>
            <w:r w:rsidRPr="003E76E7">
              <w:rPr>
                <w:rFonts w:ascii="Arial" w:hAnsi="Arial"/>
                <w:b/>
                <w:color w:val="000000"/>
                <w:sz w:val="16"/>
                <w:szCs w:val="16"/>
              </w:rPr>
              <w:t>Planned Performance Results</w:t>
            </w:r>
          </w:p>
        </w:tc>
      </w:tr>
      <w:tr w:rsidR="000428E7" w:rsidRPr="003E76E7" w14:paraId="5E31309B" w14:textId="77777777" w:rsidTr="00833470">
        <w:trPr>
          <w:trHeight w:val="320"/>
        </w:trPr>
        <w:tc>
          <w:tcPr>
            <w:tcW w:w="1799" w:type="dxa"/>
            <w:vMerge w:val="restart"/>
            <w:tcBorders>
              <w:top w:val="single" w:sz="4" w:space="0" w:color="auto"/>
              <w:bottom w:val="single" w:sz="4" w:space="0" w:color="auto"/>
              <w:right w:val="single" w:sz="4" w:space="0" w:color="auto"/>
            </w:tcBorders>
          </w:tcPr>
          <w:p w14:paraId="46C38E23" w14:textId="77777777" w:rsidR="00C4558B" w:rsidRPr="003E76E7" w:rsidRDefault="00C4558B" w:rsidP="00C4292D">
            <w:pPr>
              <w:tabs>
                <w:tab w:val="left" w:pos="709"/>
              </w:tabs>
              <w:spacing w:before="0" w:after="0"/>
              <w:rPr>
                <w:rFonts w:ascii="Arial" w:hAnsi="Arial"/>
                <w:color w:val="000000"/>
                <w:sz w:val="16"/>
                <w:szCs w:val="16"/>
              </w:rPr>
            </w:pPr>
            <w:r w:rsidRPr="003E76E7">
              <w:rPr>
                <w:rFonts w:ascii="Arial" w:hAnsi="Arial"/>
                <w:color w:val="000000"/>
                <w:sz w:val="16"/>
                <w:szCs w:val="16"/>
              </w:rPr>
              <w:t xml:space="preserve">Budget Year </w:t>
            </w:r>
          </w:p>
          <w:p w14:paraId="3312CDE1" w14:textId="5DB6EEB7" w:rsidR="000428E7" w:rsidRPr="003E76E7" w:rsidRDefault="00C4558B" w:rsidP="00C4292D">
            <w:pPr>
              <w:tabs>
                <w:tab w:val="left" w:pos="709"/>
              </w:tabs>
              <w:spacing w:before="0" w:after="0"/>
              <w:rPr>
                <w:rFonts w:ascii="Arial" w:hAnsi="Arial"/>
                <w:color w:val="000000"/>
                <w:sz w:val="16"/>
                <w:szCs w:val="16"/>
              </w:rPr>
            </w:pPr>
            <w:r w:rsidRPr="003E76E7">
              <w:rPr>
                <w:rFonts w:ascii="Arial" w:hAnsi="Arial"/>
                <w:color w:val="000000"/>
                <w:sz w:val="16"/>
                <w:szCs w:val="16"/>
              </w:rPr>
              <w:t xml:space="preserve">2026-27 </w:t>
            </w:r>
            <w:r w:rsidR="00603D07" w:rsidRPr="003E76E7">
              <w:rPr>
                <w:rFonts w:ascii="Arial" w:hAnsi="Arial"/>
                <w:color w:val="000000"/>
                <w:sz w:val="16"/>
                <w:szCs w:val="16"/>
                <w:vertAlign w:val="superscript"/>
              </w:rPr>
              <w:t>[</w:t>
            </w:r>
            <w:r w:rsidR="00C4447C" w:rsidRPr="003E76E7">
              <w:rPr>
                <w:rFonts w:ascii="Arial" w:hAnsi="Arial"/>
                <w:color w:val="000000"/>
                <w:sz w:val="16"/>
                <w:szCs w:val="16"/>
                <w:vertAlign w:val="superscript"/>
              </w:rPr>
              <w:t>c</w:t>
            </w:r>
            <w:r w:rsidRPr="003E76E7">
              <w:rPr>
                <w:rFonts w:ascii="Arial" w:hAnsi="Arial"/>
                <w:color w:val="000000"/>
                <w:sz w:val="16"/>
                <w:szCs w:val="16"/>
                <w:vertAlign w:val="superscript"/>
              </w:rPr>
              <w:t>]</w:t>
            </w:r>
          </w:p>
        </w:tc>
        <w:tc>
          <w:tcPr>
            <w:tcW w:w="3174" w:type="dxa"/>
            <w:tcBorders>
              <w:top w:val="single" w:sz="4" w:space="0" w:color="auto"/>
              <w:left w:val="single" w:sz="4" w:space="0" w:color="auto"/>
              <w:bottom w:val="single" w:sz="4" w:space="0" w:color="auto"/>
              <w:right w:val="single" w:sz="4" w:space="0" w:color="auto"/>
            </w:tcBorders>
          </w:tcPr>
          <w:p w14:paraId="73710AF3" w14:textId="1CE8D9E2" w:rsidR="000428E7" w:rsidRPr="003E76E7" w:rsidRDefault="000428E7" w:rsidP="00C4292D">
            <w:pPr>
              <w:tabs>
                <w:tab w:val="left" w:pos="709"/>
              </w:tabs>
              <w:spacing w:before="60" w:after="60"/>
              <w:rPr>
                <w:rFonts w:ascii="Arial" w:hAnsi="Arial"/>
                <w:sz w:val="16"/>
                <w:szCs w:val="16"/>
                <w:lang w:val="en-AU"/>
              </w:rPr>
            </w:pPr>
            <w:r w:rsidRPr="003E76E7">
              <w:rPr>
                <w:rFonts w:ascii="Arial" w:hAnsi="Arial"/>
                <w:sz w:val="16"/>
                <w:szCs w:val="16"/>
                <w:lang w:val="en-AU"/>
              </w:rPr>
              <w:t>4.4: Defence supports ADF members and their families by providing access to support services and programs having regard to lifetime wellbeing.</w:t>
            </w:r>
          </w:p>
        </w:tc>
        <w:tc>
          <w:tcPr>
            <w:tcW w:w="3379" w:type="dxa"/>
            <w:tcBorders>
              <w:top w:val="single" w:sz="4" w:space="0" w:color="auto"/>
              <w:left w:val="single" w:sz="4" w:space="0" w:color="auto"/>
              <w:bottom w:val="single" w:sz="4" w:space="0" w:color="auto"/>
            </w:tcBorders>
          </w:tcPr>
          <w:p w14:paraId="52BE00CA" w14:textId="1C1B719C" w:rsidR="000428E7" w:rsidRPr="003E76E7" w:rsidRDefault="00432109" w:rsidP="00C4292D">
            <w:pPr>
              <w:tabs>
                <w:tab w:val="left" w:pos="709"/>
              </w:tabs>
              <w:spacing w:before="60" w:after="60"/>
              <w:rPr>
                <w:rFonts w:ascii="Arial" w:hAnsi="Arial"/>
                <w:sz w:val="16"/>
                <w:szCs w:val="16"/>
                <w:lang w:val="en-AU"/>
              </w:rPr>
            </w:pPr>
            <w:r w:rsidRPr="003E76E7">
              <w:rPr>
                <w:rFonts w:ascii="Arial" w:hAnsi="Arial"/>
                <w:sz w:val="16"/>
                <w:szCs w:val="16"/>
                <w:lang w:val="en-AU"/>
              </w:rPr>
              <w:t xml:space="preserve">At least 75 per cent of eligible full-time </w:t>
            </w:r>
            <w:r w:rsidRPr="003E76E7">
              <w:rPr>
                <w:rFonts w:ascii="Arial" w:hAnsi="Arial"/>
                <w:sz w:val="16"/>
                <w:szCs w:val="16"/>
                <w:lang w:val="en-AU"/>
              </w:rPr>
              <w:br/>
              <w:t xml:space="preserve">ADF members and their families are registered with the ADF Family Health Program, 100 per cent of the support services of the Partner Assistance Employment Program, Education Assistance Scheme, and Special Accommodation for Emergencies Scheme are provided to full-time ADF and their families in accordance with identified service delivery timeframes, there is an increase in the percentage of Defence suicide prevention training participants who assess that the training is practical, tailored and informed by lived experience, and 100 per cent of Defence-led, Government-agreed recommendations from the Royal Commission into Defence and Veteran Suicide Final Report are complete, or </w:t>
            </w:r>
            <w:r w:rsidRPr="003E76E7">
              <w:rPr>
                <w:rFonts w:ascii="Arial" w:hAnsi="Arial"/>
                <w:sz w:val="16"/>
                <w:szCs w:val="16"/>
                <w:lang w:val="en-AU"/>
              </w:rPr>
              <w:br/>
              <w:t>on-track.</w:t>
            </w:r>
          </w:p>
        </w:tc>
      </w:tr>
      <w:tr w:rsidR="000428E7" w:rsidRPr="003E76E7" w14:paraId="2761E8D8" w14:textId="77777777" w:rsidTr="004E1F77">
        <w:trPr>
          <w:trHeight w:val="1143"/>
        </w:trPr>
        <w:tc>
          <w:tcPr>
            <w:tcW w:w="1799" w:type="dxa"/>
            <w:vMerge/>
            <w:tcBorders>
              <w:top w:val="single" w:sz="4" w:space="0" w:color="auto"/>
              <w:bottom w:val="single" w:sz="4" w:space="0" w:color="auto"/>
              <w:right w:val="single" w:sz="4" w:space="0" w:color="auto"/>
            </w:tcBorders>
          </w:tcPr>
          <w:p w14:paraId="20228161" w14:textId="77777777" w:rsidR="000428E7" w:rsidRPr="003E76E7" w:rsidRDefault="000428E7" w:rsidP="00C4292D">
            <w:pPr>
              <w:tabs>
                <w:tab w:val="left" w:pos="709"/>
              </w:tabs>
              <w:spacing w:before="60" w:after="60"/>
              <w:rPr>
                <w:rFonts w:ascii="Arial" w:hAnsi="Arial"/>
                <w:color w:val="000000"/>
                <w:sz w:val="16"/>
                <w:szCs w:val="16"/>
              </w:rPr>
            </w:pPr>
          </w:p>
        </w:tc>
        <w:tc>
          <w:tcPr>
            <w:tcW w:w="3174" w:type="dxa"/>
            <w:tcBorders>
              <w:top w:val="single" w:sz="4" w:space="0" w:color="auto"/>
              <w:left w:val="single" w:sz="4" w:space="0" w:color="auto"/>
              <w:bottom w:val="single" w:sz="4" w:space="0" w:color="auto"/>
              <w:right w:val="single" w:sz="4" w:space="0" w:color="auto"/>
            </w:tcBorders>
          </w:tcPr>
          <w:p w14:paraId="66CA1C42" w14:textId="6E80E8A5" w:rsidR="000428E7" w:rsidRPr="003E76E7" w:rsidRDefault="000428E7" w:rsidP="00C4292D">
            <w:pPr>
              <w:tabs>
                <w:tab w:val="left" w:pos="709"/>
              </w:tabs>
              <w:spacing w:before="0" w:after="0"/>
              <w:rPr>
                <w:rFonts w:ascii="Arial" w:hAnsi="Arial"/>
                <w:color w:val="000000"/>
                <w:sz w:val="16"/>
                <w:szCs w:val="16"/>
              </w:rPr>
            </w:pPr>
            <w:r w:rsidRPr="003E76E7">
              <w:rPr>
                <w:rFonts w:ascii="Arial" w:hAnsi="Arial"/>
                <w:sz w:val="16"/>
                <w:szCs w:val="16"/>
                <w:lang w:val="en-AU"/>
              </w:rPr>
              <w:t>6.1: Defence is delivering the right future capability at the right time within the Integrated Investment Program to ensure it is equipped to respond to future security challenges as directed by the National Defence Strategy.</w:t>
            </w:r>
          </w:p>
        </w:tc>
        <w:tc>
          <w:tcPr>
            <w:tcW w:w="3379" w:type="dxa"/>
            <w:tcBorders>
              <w:top w:val="single" w:sz="4" w:space="0" w:color="auto"/>
              <w:left w:val="single" w:sz="4" w:space="0" w:color="auto"/>
              <w:bottom w:val="single" w:sz="4" w:space="0" w:color="auto"/>
            </w:tcBorders>
          </w:tcPr>
          <w:p w14:paraId="72AB0EC1" w14:textId="41ADF4A5" w:rsidR="000428E7" w:rsidRPr="003E76E7" w:rsidRDefault="000428E7" w:rsidP="00C4292D">
            <w:pPr>
              <w:tabs>
                <w:tab w:val="left" w:pos="709"/>
              </w:tabs>
              <w:spacing w:before="60" w:after="60"/>
              <w:rPr>
                <w:rFonts w:ascii="Arial" w:hAnsi="Arial"/>
                <w:i/>
                <w:sz w:val="16"/>
                <w:szCs w:val="16"/>
              </w:rPr>
            </w:pPr>
            <w:r w:rsidRPr="003E76E7">
              <w:rPr>
                <w:rFonts w:ascii="Arial" w:hAnsi="Arial"/>
                <w:sz w:val="16"/>
                <w:szCs w:val="16"/>
                <w:lang w:val="en-AU"/>
              </w:rPr>
              <w:t>80 per cent or more of approved Integrated Investment Program projects across all domains are on track to deliver within Government approved scope, schedule, and cost (including contingency).</w:t>
            </w:r>
          </w:p>
        </w:tc>
      </w:tr>
      <w:tr w:rsidR="0092056F" w:rsidRPr="003E76E7" w14:paraId="77964DD4" w14:textId="77777777" w:rsidTr="000E1A17">
        <w:trPr>
          <w:trHeight w:val="309"/>
        </w:trPr>
        <w:tc>
          <w:tcPr>
            <w:tcW w:w="1799" w:type="dxa"/>
            <w:tcBorders>
              <w:top w:val="single" w:sz="4" w:space="0" w:color="auto"/>
              <w:bottom w:val="single" w:sz="4" w:space="0" w:color="auto"/>
              <w:right w:val="single" w:sz="4" w:space="0" w:color="auto"/>
            </w:tcBorders>
            <w:vAlign w:val="center"/>
          </w:tcPr>
          <w:p w14:paraId="271FD7FB" w14:textId="7E8A20F1" w:rsidR="0092056F" w:rsidRPr="003E76E7" w:rsidRDefault="0092056F" w:rsidP="00C4292D">
            <w:pPr>
              <w:tabs>
                <w:tab w:val="left" w:pos="709"/>
              </w:tabs>
              <w:spacing w:before="0" w:after="0"/>
              <w:rPr>
                <w:rFonts w:ascii="Arial" w:hAnsi="Arial"/>
                <w:color w:val="000000"/>
                <w:sz w:val="16"/>
                <w:szCs w:val="16"/>
              </w:rPr>
            </w:pPr>
            <w:r w:rsidRPr="003E76E7">
              <w:br w:type="page"/>
            </w:r>
            <w:r w:rsidRPr="003E76E7">
              <w:rPr>
                <w:rFonts w:ascii="Arial" w:hAnsi="Arial"/>
                <w:b/>
                <w:color w:val="000000"/>
                <w:sz w:val="16"/>
                <w:szCs w:val="16"/>
              </w:rPr>
              <w:t>Year</w:t>
            </w:r>
          </w:p>
        </w:tc>
        <w:tc>
          <w:tcPr>
            <w:tcW w:w="3174" w:type="dxa"/>
            <w:tcBorders>
              <w:top w:val="single" w:sz="4" w:space="0" w:color="auto"/>
              <w:left w:val="single" w:sz="4" w:space="0" w:color="auto"/>
              <w:bottom w:val="single" w:sz="4" w:space="0" w:color="auto"/>
              <w:right w:val="single" w:sz="4" w:space="0" w:color="auto"/>
            </w:tcBorders>
            <w:vAlign w:val="center"/>
          </w:tcPr>
          <w:p w14:paraId="0BAD89A2" w14:textId="7BE99E3D" w:rsidR="0092056F" w:rsidRPr="003E76E7" w:rsidRDefault="00AD14EC" w:rsidP="00C4292D">
            <w:pPr>
              <w:tabs>
                <w:tab w:val="left" w:pos="709"/>
              </w:tabs>
              <w:spacing w:before="0" w:after="0"/>
              <w:rPr>
                <w:rFonts w:ascii="Arial" w:hAnsi="Arial"/>
                <w:color w:val="000000"/>
                <w:sz w:val="16"/>
                <w:szCs w:val="16"/>
              </w:rPr>
            </w:pPr>
            <w:r w:rsidRPr="003E76E7">
              <w:rPr>
                <w:rFonts w:ascii="Arial" w:hAnsi="Arial"/>
                <w:b/>
                <w:color w:val="000000"/>
                <w:sz w:val="16"/>
                <w:szCs w:val="16"/>
              </w:rPr>
              <w:t>Performance Measures</w:t>
            </w:r>
          </w:p>
        </w:tc>
        <w:tc>
          <w:tcPr>
            <w:tcW w:w="3379" w:type="dxa"/>
            <w:tcBorders>
              <w:top w:val="single" w:sz="4" w:space="0" w:color="auto"/>
              <w:left w:val="single" w:sz="4" w:space="0" w:color="auto"/>
              <w:bottom w:val="single" w:sz="4" w:space="0" w:color="auto"/>
            </w:tcBorders>
            <w:vAlign w:val="center"/>
          </w:tcPr>
          <w:p w14:paraId="1B85D057" w14:textId="7AE980DA" w:rsidR="0092056F" w:rsidRPr="003E76E7" w:rsidRDefault="0092056F" w:rsidP="00C4292D">
            <w:pPr>
              <w:tabs>
                <w:tab w:val="left" w:pos="709"/>
              </w:tabs>
              <w:spacing w:before="0" w:after="0"/>
              <w:rPr>
                <w:rFonts w:ascii="Arial" w:hAnsi="Arial"/>
                <w:color w:val="000000"/>
                <w:sz w:val="16"/>
                <w:szCs w:val="16"/>
              </w:rPr>
            </w:pPr>
            <w:r w:rsidRPr="003E76E7">
              <w:rPr>
                <w:rFonts w:ascii="Arial" w:hAnsi="Arial"/>
                <w:b/>
                <w:color w:val="000000"/>
                <w:sz w:val="16"/>
                <w:szCs w:val="16"/>
              </w:rPr>
              <w:t>Planned Performance Results</w:t>
            </w:r>
          </w:p>
        </w:tc>
      </w:tr>
      <w:tr w:rsidR="0092056F" w:rsidRPr="003E76E7" w14:paraId="3A82CD2C" w14:textId="77777777" w:rsidTr="000E1A17">
        <w:trPr>
          <w:trHeight w:val="437"/>
        </w:trPr>
        <w:tc>
          <w:tcPr>
            <w:tcW w:w="1799" w:type="dxa"/>
            <w:tcBorders>
              <w:top w:val="single" w:sz="4" w:space="0" w:color="auto"/>
              <w:bottom w:val="single" w:sz="4" w:space="0" w:color="auto"/>
              <w:right w:val="single" w:sz="4" w:space="0" w:color="auto"/>
            </w:tcBorders>
            <w:vAlign w:val="center"/>
          </w:tcPr>
          <w:p w14:paraId="2C3944E7" w14:textId="77777777" w:rsidR="0092056F" w:rsidRPr="003E76E7" w:rsidRDefault="0092056F" w:rsidP="00C4292D">
            <w:pPr>
              <w:tabs>
                <w:tab w:val="left" w:pos="709"/>
              </w:tabs>
              <w:spacing w:before="0" w:after="0"/>
              <w:rPr>
                <w:rFonts w:ascii="Arial" w:hAnsi="Arial"/>
                <w:color w:val="000000"/>
                <w:sz w:val="16"/>
                <w:szCs w:val="16"/>
              </w:rPr>
            </w:pPr>
            <w:r w:rsidRPr="003E76E7">
              <w:rPr>
                <w:rFonts w:ascii="Arial" w:hAnsi="Arial"/>
                <w:color w:val="000000"/>
                <w:sz w:val="16"/>
                <w:szCs w:val="16"/>
              </w:rPr>
              <w:t>Forward Estimates</w:t>
            </w:r>
          </w:p>
          <w:p w14:paraId="2C150ACA" w14:textId="3B1A01A2" w:rsidR="0092056F" w:rsidRPr="003E76E7" w:rsidRDefault="0092056F" w:rsidP="00C4292D">
            <w:pPr>
              <w:tabs>
                <w:tab w:val="left" w:pos="709"/>
              </w:tabs>
              <w:spacing w:before="0" w:after="0"/>
              <w:rPr>
                <w:rFonts w:ascii="Arial" w:hAnsi="Arial"/>
                <w:b/>
                <w:color w:val="000000"/>
                <w:sz w:val="16"/>
                <w:szCs w:val="16"/>
              </w:rPr>
            </w:pPr>
            <w:r w:rsidRPr="003E76E7">
              <w:rPr>
                <w:rFonts w:ascii="Arial" w:hAnsi="Arial"/>
                <w:color w:val="000000"/>
                <w:sz w:val="16"/>
                <w:szCs w:val="16"/>
              </w:rPr>
              <w:t>2027-30</w:t>
            </w:r>
          </w:p>
        </w:tc>
        <w:tc>
          <w:tcPr>
            <w:tcW w:w="3174" w:type="dxa"/>
            <w:tcBorders>
              <w:top w:val="single" w:sz="4" w:space="0" w:color="auto"/>
              <w:left w:val="single" w:sz="4" w:space="0" w:color="auto"/>
              <w:bottom w:val="single" w:sz="4" w:space="0" w:color="auto"/>
              <w:right w:val="single" w:sz="4" w:space="0" w:color="auto"/>
            </w:tcBorders>
            <w:vAlign w:val="center"/>
          </w:tcPr>
          <w:p w14:paraId="3E4BBC0D" w14:textId="20EC66B3" w:rsidR="0092056F" w:rsidRPr="003E76E7" w:rsidRDefault="0092056F" w:rsidP="00C4292D">
            <w:pPr>
              <w:tabs>
                <w:tab w:val="left" w:pos="709"/>
              </w:tabs>
              <w:spacing w:before="0" w:after="0"/>
              <w:rPr>
                <w:rFonts w:ascii="Arial" w:hAnsi="Arial"/>
                <w:b/>
                <w:color w:val="000000"/>
                <w:sz w:val="16"/>
                <w:szCs w:val="16"/>
              </w:rPr>
            </w:pPr>
            <w:r w:rsidRPr="003E76E7">
              <w:rPr>
                <w:rFonts w:ascii="Arial" w:hAnsi="Arial"/>
                <w:color w:val="000000"/>
                <w:sz w:val="16"/>
                <w:szCs w:val="16"/>
              </w:rPr>
              <w:t>As per 2026-27.</w:t>
            </w:r>
          </w:p>
        </w:tc>
        <w:tc>
          <w:tcPr>
            <w:tcW w:w="3379" w:type="dxa"/>
            <w:tcBorders>
              <w:top w:val="single" w:sz="4" w:space="0" w:color="auto"/>
              <w:left w:val="single" w:sz="4" w:space="0" w:color="auto"/>
              <w:bottom w:val="single" w:sz="4" w:space="0" w:color="auto"/>
            </w:tcBorders>
            <w:vAlign w:val="center"/>
          </w:tcPr>
          <w:p w14:paraId="7A7A224D" w14:textId="282C9A80" w:rsidR="0092056F" w:rsidRPr="003E76E7" w:rsidRDefault="0092056F" w:rsidP="00C4292D">
            <w:pPr>
              <w:tabs>
                <w:tab w:val="left" w:pos="709"/>
              </w:tabs>
              <w:spacing w:before="0" w:after="0"/>
              <w:rPr>
                <w:rFonts w:ascii="Arial" w:hAnsi="Arial"/>
                <w:b/>
                <w:color w:val="000000"/>
                <w:sz w:val="16"/>
                <w:szCs w:val="16"/>
              </w:rPr>
            </w:pPr>
            <w:r w:rsidRPr="003E76E7">
              <w:rPr>
                <w:rFonts w:ascii="Arial" w:hAnsi="Arial"/>
                <w:color w:val="000000"/>
                <w:sz w:val="16"/>
                <w:szCs w:val="16"/>
              </w:rPr>
              <w:t>As per 2026-27.</w:t>
            </w:r>
          </w:p>
        </w:tc>
      </w:tr>
      <w:tr w:rsidR="0092056F" w:rsidRPr="003E76E7" w14:paraId="4930F0C6" w14:textId="77777777" w:rsidTr="000E1A17">
        <w:trPr>
          <w:trHeight w:val="291"/>
        </w:trPr>
        <w:tc>
          <w:tcPr>
            <w:tcW w:w="8352" w:type="dxa"/>
            <w:gridSpan w:val="3"/>
            <w:tcBorders>
              <w:top w:val="single" w:sz="4" w:space="0" w:color="auto"/>
            </w:tcBorders>
            <w:vAlign w:val="center"/>
          </w:tcPr>
          <w:p w14:paraId="4705EBB9" w14:textId="51EABBAA" w:rsidR="0092056F" w:rsidRPr="003E76E7" w:rsidRDefault="0092056F" w:rsidP="00C4292D">
            <w:pPr>
              <w:tabs>
                <w:tab w:val="left" w:pos="709"/>
              </w:tabs>
              <w:spacing w:before="60" w:after="60"/>
              <w:rPr>
                <w:rFonts w:ascii="Arial" w:eastAsia="Cambria" w:hAnsi="Arial"/>
                <w:bCs/>
                <w:iCs/>
                <w:color w:val="000000"/>
                <w:spacing w:val="-6"/>
                <w:sz w:val="16"/>
                <w:szCs w:val="16"/>
                <w:lang w:val="x-none"/>
              </w:rPr>
            </w:pPr>
            <w:r w:rsidRPr="003E76E7">
              <w:rPr>
                <w:rFonts w:ascii="Arial" w:hAnsi="Arial"/>
                <w:color w:val="000000"/>
                <w:sz w:val="16"/>
                <w:szCs w:val="16"/>
              </w:rPr>
              <w:t>Material changes to Program 2.2 resulting from 2026-27 Budget Measures:</w:t>
            </w:r>
            <w:r w:rsidRPr="003E76E7">
              <w:rPr>
                <w:rStyle w:val="BodyTextChar"/>
                <w:rFonts w:ascii="Arial" w:hAnsi="Arial"/>
                <w:bCs/>
                <w:iCs/>
                <w:color w:val="000000"/>
                <w:spacing w:val="-6"/>
                <w:sz w:val="16"/>
                <w:szCs w:val="16"/>
              </w:rPr>
              <w:t xml:space="preserve"> Nil.</w:t>
            </w:r>
          </w:p>
        </w:tc>
      </w:tr>
    </w:tbl>
    <w:p w14:paraId="108EFA2F" w14:textId="77777777" w:rsidR="00190A21" w:rsidRPr="003E76E7" w:rsidRDefault="00190A21" w:rsidP="00C4292D">
      <w:pPr>
        <w:pStyle w:val="TableHeading"/>
        <w:spacing w:before="0" w:after="0"/>
        <w:rPr>
          <w:sz w:val="14"/>
          <w:szCs w:val="14"/>
        </w:rPr>
      </w:pPr>
    </w:p>
    <w:p w14:paraId="34BFB027" w14:textId="004274FF" w:rsidR="000428E7" w:rsidRPr="003E76E7" w:rsidRDefault="000428E7" w:rsidP="00C4292D">
      <w:pPr>
        <w:pStyle w:val="TableHeading"/>
        <w:spacing w:before="0" w:after="0"/>
        <w:rPr>
          <w:sz w:val="14"/>
          <w:szCs w:val="14"/>
        </w:rPr>
      </w:pPr>
      <w:r w:rsidRPr="003E76E7">
        <w:rPr>
          <w:sz w:val="14"/>
          <w:szCs w:val="14"/>
        </w:rPr>
        <w:t>Notes</w:t>
      </w:r>
    </w:p>
    <w:p w14:paraId="38D58935" w14:textId="777E5409" w:rsidR="000428E7" w:rsidRPr="003E76E7" w:rsidRDefault="000428E7" w:rsidP="00C4292D">
      <w:pPr>
        <w:pStyle w:val="TableHeading"/>
        <w:numPr>
          <w:ilvl w:val="0"/>
          <w:numId w:val="50"/>
        </w:numPr>
        <w:tabs>
          <w:tab w:val="left" w:pos="284"/>
        </w:tabs>
        <w:spacing w:before="0" w:after="0"/>
        <w:ind w:left="284" w:hanging="284"/>
        <w:rPr>
          <w:b w:val="0"/>
          <w:sz w:val="14"/>
          <w:szCs w:val="14"/>
          <w:lang w:val="en-AU"/>
        </w:rPr>
      </w:pPr>
      <w:r w:rsidRPr="003E76E7">
        <w:rPr>
          <w:b w:val="0"/>
          <w:sz w:val="14"/>
          <w:szCs w:val="14"/>
        </w:rPr>
        <w:tab/>
      </w:r>
      <w:r w:rsidRPr="003E76E7">
        <w:rPr>
          <w:b w:val="0"/>
          <w:sz w:val="14"/>
          <w:szCs w:val="14"/>
          <w:lang w:val="en-AU"/>
        </w:rPr>
        <w:tab/>
        <w:t xml:space="preserve">Key activity 4 has been amended for 2025-26, as published in the </w:t>
      </w:r>
      <w:r w:rsidRPr="003E76E7">
        <w:rPr>
          <w:b w:val="0"/>
          <w:i/>
          <w:sz w:val="14"/>
          <w:szCs w:val="14"/>
          <w:lang w:val="en-AU"/>
        </w:rPr>
        <w:t>2025-29 Defence Corporate Plan</w:t>
      </w:r>
      <w:r w:rsidR="00C23CD1" w:rsidRPr="003E76E7">
        <w:rPr>
          <w:b w:val="0"/>
          <w:i/>
          <w:sz w:val="14"/>
          <w:szCs w:val="14"/>
          <w:lang w:val="en-AU"/>
        </w:rPr>
        <w:t>.</w:t>
      </w:r>
    </w:p>
    <w:p w14:paraId="72FD8334" w14:textId="77777777" w:rsidR="000428E7" w:rsidRPr="003E76E7" w:rsidRDefault="000428E7" w:rsidP="00C4292D">
      <w:pPr>
        <w:pStyle w:val="TableHeading"/>
        <w:numPr>
          <w:ilvl w:val="0"/>
          <w:numId w:val="50"/>
        </w:numPr>
        <w:tabs>
          <w:tab w:val="left" w:pos="284"/>
        </w:tabs>
        <w:spacing w:before="0" w:after="0"/>
        <w:ind w:left="284" w:hanging="284"/>
        <w:rPr>
          <w:b w:val="0"/>
          <w:sz w:val="14"/>
          <w:szCs w:val="14"/>
          <w:lang w:val="en-AU"/>
        </w:rPr>
      </w:pPr>
      <w:r w:rsidRPr="003E76E7">
        <w:rPr>
          <w:b w:val="0"/>
          <w:sz w:val="14"/>
          <w:szCs w:val="14"/>
          <w:lang w:val="en-AU"/>
        </w:rPr>
        <w:t xml:space="preserve">Performance Measures 4.3 and 6.1 have been amended for 2025-26, as published in the </w:t>
      </w:r>
      <w:r w:rsidRPr="003E76E7">
        <w:rPr>
          <w:b w:val="0"/>
          <w:i/>
          <w:sz w:val="14"/>
          <w:szCs w:val="14"/>
          <w:lang w:val="en-AU"/>
        </w:rPr>
        <w:t>2025-29 Defence Corporate Plan.</w:t>
      </w:r>
    </w:p>
    <w:p w14:paraId="5E030911" w14:textId="77777777" w:rsidR="005E7889" w:rsidRPr="003E76E7" w:rsidRDefault="000428E7" w:rsidP="00C4292D">
      <w:pPr>
        <w:pStyle w:val="TableHeading"/>
        <w:numPr>
          <w:ilvl w:val="0"/>
          <w:numId w:val="50"/>
        </w:numPr>
        <w:tabs>
          <w:tab w:val="left" w:pos="284"/>
        </w:tabs>
        <w:spacing w:before="0" w:after="0"/>
        <w:ind w:left="284" w:hanging="284"/>
        <w:rPr>
          <w:b w:val="0"/>
          <w:sz w:val="14"/>
          <w:szCs w:val="14"/>
        </w:rPr>
      </w:pPr>
      <w:r w:rsidRPr="003E76E7">
        <w:rPr>
          <w:b w:val="0"/>
          <w:sz w:val="14"/>
          <w:szCs w:val="14"/>
          <w:lang w:val="en-AU"/>
        </w:rPr>
        <w:t>In accordance with Defence’s Enterprise Performance Framework, Defence is undertaking materiality assessments that may result in updates to the 2026-27 performance information in the 2026-30 Defence Corporate Plan, if required.</w:t>
      </w:r>
    </w:p>
    <w:p w14:paraId="603CBBC6" w14:textId="626A02BE" w:rsidR="00367BBF" w:rsidRPr="003E76E7" w:rsidRDefault="00367BBF" w:rsidP="00C4292D">
      <w:pPr>
        <w:spacing w:before="0" w:after="0"/>
        <w:rPr>
          <w:rFonts w:ascii="Arial" w:hAnsi="Arial"/>
          <w:sz w:val="14"/>
          <w:szCs w:val="14"/>
        </w:rPr>
      </w:pPr>
    </w:p>
    <w:p w14:paraId="52CD4893" w14:textId="2981360D" w:rsidR="007545AC" w:rsidRPr="003E76E7" w:rsidRDefault="007545AC" w:rsidP="00C4292D">
      <w:pPr>
        <w:pStyle w:val="TableHeading"/>
        <w:numPr>
          <w:ilvl w:val="0"/>
          <w:numId w:val="61"/>
        </w:numPr>
        <w:spacing w:before="100"/>
        <w:ind w:left="0" w:firstLine="0"/>
        <w:outlineLvl w:val="4"/>
      </w:pPr>
      <w:r w:rsidRPr="003E76E7">
        <w:rPr>
          <w:lang w:val="en-AU"/>
        </w:rPr>
        <w:t xml:space="preserve">Cost Summary for Program 2.2 </w:t>
      </w:r>
      <w:r w:rsidR="003D1066" w:rsidRPr="003E76E7">
        <w:rPr>
          <w:lang w:val="en-AU"/>
        </w:rPr>
        <w:t>Defence Executive Support</w:t>
      </w:r>
      <w:r w:rsidR="009F0F8A" w:rsidRPr="003E76E7">
        <w:rPr>
          <w:lang w:val="en-AU"/>
        </w:rPr>
        <w:t xml:space="preserve"> </w:t>
      </w:r>
    </w:p>
    <w:p w14:paraId="286612AF" w14:textId="10EBC398" w:rsidR="00312F38" w:rsidRPr="003E76E7" w:rsidRDefault="004E7650" w:rsidP="00C4292D">
      <w:pPr>
        <w:spacing w:after="0"/>
        <w:rPr>
          <w:sz w:val="14"/>
          <w:szCs w:val="14"/>
        </w:rPr>
      </w:pPr>
      <w:r w:rsidRPr="004E7650">
        <w:rPr>
          <w:noProof/>
          <w:lang w:val="en-AU"/>
        </w:rPr>
        <w:drawing>
          <wp:inline distT="0" distB="0" distL="0" distR="0" wp14:anchorId="3EB5A1B4" wp14:editId="73E058CB">
            <wp:extent cx="5471795" cy="2876116"/>
            <wp:effectExtent l="0" t="0" r="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71795" cy="2876116"/>
                    </a:xfrm>
                    <a:prstGeom prst="rect">
                      <a:avLst/>
                    </a:prstGeom>
                    <a:noFill/>
                    <a:ln>
                      <a:noFill/>
                    </a:ln>
                  </pic:spPr>
                </pic:pic>
              </a:graphicData>
            </a:graphic>
          </wp:inline>
        </w:drawing>
      </w:r>
    </w:p>
    <w:p w14:paraId="6EE790E6" w14:textId="77777777" w:rsidR="00656D60" w:rsidRPr="003E76E7" w:rsidRDefault="00656D60" w:rsidP="00C4292D">
      <w:pPr>
        <w:spacing w:before="0" w:after="0"/>
        <w:rPr>
          <w:rFonts w:ascii="Arial" w:hAnsi="Arial"/>
          <w:sz w:val="14"/>
          <w:szCs w:val="14"/>
          <w:lang w:val="en-AU"/>
        </w:rPr>
      </w:pPr>
    </w:p>
    <w:p w14:paraId="44AEB2C7" w14:textId="77777777" w:rsidR="0076610E" w:rsidRPr="003E76E7" w:rsidRDefault="00BD74D3" w:rsidP="00C4292D">
      <w:pPr>
        <w:tabs>
          <w:tab w:val="left" w:pos="284"/>
        </w:tabs>
        <w:spacing w:before="0" w:after="0"/>
        <w:ind w:left="284" w:hanging="284"/>
        <w:rPr>
          <w:rFonts w:ascii="Arial" w:hAnsi="Arial"/>
          <w:b/>
          <w:sz w:val="14"/>
          <w:szCs w:val="14"/>
          <w:lang w:val="en-AU"/>
        </w:rPr>
      </w:pPr>
      <w:r w:rsidRPr="003E76E7">
        <w:rPr>
          <w:rFonts w:ascii="Arial" w:hAnsi="Arial"/>
          <w:b/>
          <w:sz w:val="14"/>
          <w:szCs w:val="14"/>
          <w:lang w:val="en-AU"/>
        </w:rPr>
        <w:t>Notes</w:t>
      </w:r>
    </w:p>
    <w:p w14:paraId="7E8AF021" w14:textId="2BFB20AA" w:rsidR="00363AD2" w:rsidRPr="003E76E7" w:rsidRDefault="00A37A36" w:rsidP="00C4292D">
      <w:pPr>
        <w:pStyle w:val="ListParagraph"/>
        <w:numPr>
          <w:ilvl w:val="0"/>
          <w:numId w:val="109"/>
        </w:numPr>
        <w:tabs>
          <w:tab w:val="left" w:pos="284"/>
        </w:tabs>
        <w:spacing w:before="0" w:after="0"/>
        <w:ind w:left="284" w:hanging="284"/>
        <w:rPr>
          <w:rFonts w:ascii="Arial" w:hAnsi="Arial"/>
          <w:sz w:val="14"/>
          <w:szCs w:val="14"/>
          <w:lang w:val="en-AU"/>
        </w:rPr>
      </w:pPr>
      <w:r w:rsidRPr="003E76E7">
        <w:rPr>
          <w:rFonts w:ascii="Arial" w:hAnsi="Arial"/>
          <w:sz w:val="14"/>
          <w:szCs w:val="14"/>
          <w:lang w:val="en-AU"/>
        </w:rPr>
        <w:t>Total program funded</w:t>
      </w:r>
      <w:r w:rsidR="00363AD2" w:rsidRPr="003E76E7">
        <w:rPr>
          <w:rFonts w:ascii="Arial" w:hAnsi="Arial"/>
          <w:sz w:val="14"/>
          <w:szCs w:val="14"/>
          <w:lang w:val="en-AU"/>
        </w:rPr>
        <w:t xml:space="preserve"> expenditure includes operating expenses and capital expenditure funded by appropriation and </w:t>
      </w:r>
      <w:r w:rsidR="00363AD2" w:rsidRPr="003E76E7">
        <w:rPr>
          <w:rFonts w:ascii="Arial" w:hAnsi="Arial"/>
          <w:sz w:val="14"/>
          <w:szCs w:val="14"/>
          <w:lang w:val="en-AU"/>
        </w:rPr>
        <w:br/>
        <w:t>own source revenue. This excludes expenses not requiring appropriation.</w:t>
      </w:r>
      <w:r w:rsidR="00363AD2" w:rsidRPr="003E76E7">
        <w:rPr>
          <w:rFonts w:ascii="Arial" w:hAnsi="Arial"/>
          <w:sz w:val="14"/>
          <w:szCs w:val="14"/>
          <w:lang w:val="en-AU"/>
        </w:rPr>
        <w:tab/>
      </w:r>
      <w:r w:rsidR="00363AD2" w:rsidRPr="003E76E7">
        <w:rPr>
          <w:rFonts w:ascii="Arial" w:hAnsi="Arial"/>
          <w:sz w:val="14"/>
          <w:szCs w:val="14"/>
          <w:lang w:val="en-AU"/>
        </w:rPr>
        <w:tab/>
      </w:r>
      <w:r w:rsidR="00363AD2" w:rsidRPr="003E76E7">
        <w:rPr>
          <w:rFonts w:ascii="Arial" w:hAnsi="Arial"/>
          <w:sz w:val="14"/>
          <w:szCs w:val="14"/>
          <w:lang w:val="en-AU"/>
        </w:rPr>
        <w:tab/>
      </w:r>
      <w:r w:rsidR="00363AD2" w:rsidRPr="003E76E7">
        <w:rPr>
          <w:rFonts w:ascii="Arial" w:hAnsi="Arial"/>
          <w:sz w:val="14"/>
          <w:szCs w:val="14"/>
          <w:lang w:val="en-AU"/>
        </w:rPr>
        <w:tab/>
      </w:r>
      <w:r w:rsidR="00363AD2" w:rsidRPr="003E76E7">
        <w:rPr>
          <w:rFonts w:ascii="Arial" w:hAnsi="Arial"/>
          <w:sz w:val="14"/>
          <w:szCs w:val="14"/>
          <w:lang w:val="en-AU"/>
        </w:rPr>
        <w:tab/>
      </w:r>
    </w:p>
    <w:p w14:paraId="0346ACAF" w14:textId="2C5DFB17" w:rsidR="0076610E" w:rsidRPr="003E76E7" w:rsidRDefault="00363AD2" w:rsidP="00C4292D">
      <w:pPr>
        <w:pStyle w:val="ListParagraph"/>
        <w:numPr>
          <w:ilvl w:val="0"/>
          <w:numId w:val="109"/>
        </w:numPr>
        <w:tabs>
          <w:tab w:val="left" w:pos="284"/>
        </w:tabs>
        <w:spacing w:before="0" w:after="0"/>
        <w:rPr>
          <w:rFonts w:ascii="Arial" w:hAnsi="Arial"/>
          <w:sz w:val="14"/>
          <w:szCs w:val="14"/>
          <w:lang w:val="en-AU"/>
        </w:rPr>
      </w:pPr>
      <w:r w:rsidRPr="003E76E7">
        <w:rPr>
          <w:rFonts w:ascii="Arial" w:hAnsi="Arial"/>
          <w:sz w:val="14"/>
          <w:szCs w:val="14"/>
          <w:lang w:val="en-AU"/>
        </w:rPr>
        <w:t>The change in estimates includes movement of functions and their associated budgets within Defence.</w:t>
      </w:r>
      <w:r w:rsidRPr="003E76E7">
        <w:rPr>
          <w:rFonts w:ascii="Arial" w:hAnsi="Arial"/>
          <w:sz w:val="14"/>
          <w:szCs w:val="14"/>
          <w:lang w:val="en-AU"/>
        </w:rPr>
        <w:tab/>
      </w:r>
      <w:r w:rsidRPr="003E76E7">
        <w:rPr>
          <w:rFonts w:ascii="Arial" w:hAnsi="Arial"/>
          <w:sz w:val="14"/>
          <w:szCs w:val="14"/>
          <w:lang w:val="en-AU"/>
        </w:rPr>
        <w:tab/>
      </w:r>
      <w:r w:rsidRPr="003E76E7">
        <w:rPr>
          <w:rFonts w:ascii="Arial" w:hAnsi="Arial"/>
          <w:sz w:val="14"/>
          <w:szCs w:val="14"/>
          <w:lang w:val="en-AU"/>
        </w:rPr>
        <w:tab/>
      </w:r>
      <w:r w:rsidRPr="003E76E7">
        <w:rPr>
          <w:rFonts w:ascii="Arial" w:hAnsi="Arial"/>
          <w:sz w:val="14"/>
          <w:szCs w:val="14"/>
          <w:lang w:val="en-AU"/>
        </w:rPr>
        <w:tab/>
      </w:r>
      <w:r w:rsidRPr="003E76E7">
        <w:rPr>
          <w:rFonts w:ascii="Arial" w:hAnsi="Arial"/>
          <w:sz w:val="14"/>
          <w:szCs w:val="14"/>
          <w:lang w:val="en-AU"/>
        </w:rPr>
        <w:tab/>
      </w:r>
    </w:p>
    <w:p w14:paraId="495B63A8" w14:textId="77777777" w:rsidR="009218A1" w:rsidRPr="003E76E7" w:rsidRDefault="0002483A" w:rsidP="00C4292D">
      <w:pPr>
        <w:spacing w:before="0" w:after="0"/>
        <w:outlineLvl w:val="5"/>
        <w:rPr>
          <w:color w:val="FFFFFF"/>
          <w:sz w:val="2"/>
        </w:rPr>
      </w:pPr>
      <w:r w:rsidRPr="003E76E7">
        <w:rPr>
          <w:lang w:val="en-AU"/>
        </w:rPr>
        <w:br w:type="page"/>
      </w:r>
      <w:r w:rsidR="009218A1" w:rsidRPr="003E76E7">
        <w:rPr>
          <w:color w:val="FFFFFF"/>
          <w:sz w:val="2"/>
        </w:rPr>
        <w:lastRenderedPageBreak/>
        <w:t>Program 2.3: Defence Finance</w:t>
      </w:r>
    </w:p>
    <w:tbl>
      <w:tblPr>
        <w:tblW w:w="4852"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1799"/>
        <w:gridCol w:w="3174"/>
        <w:gridCol w:w="3379"/>
      </w:tblGrid>
      <w:tr w:rsidR="00737EBD" w:rsidRPr="003E76E7" w14:paraId="090DEFF6" w14:textId="77777777" w:rsidTr="0004322A">
        <w:tc>
          <w:tcPr>
            <w:tcW w:w="8352" w:type="dxa"/>
            <w:gridSpan w:val="3"/>
            <w:tcBorders>
              <w:bottom w:val="single" w:sz="4" w:space="0" w:color="auto"/>
            </w:tcBorders>
            <w:shd w:val="clear" w:color="auto" w:fill="CCCCCC"/>
          </w:tcPr>
          <w:p w14:paraId="520AF2B5" w14:textId="77777777" w:rsidR="00737EBD" w:rsidRPr="003E76E7" w:rsidRDefault="00737EBD" w:rsidP="00C4292D">
            <w:pPr>
              <w:pStyle w:val="Heading5"/>
              <w:spacing w:before="60" w:after="60"/>
            </w:pPr>
            <w:r w:rsidRPr="003E76E7">
              <w:br w:type="page"/>
              <w:t>Program 2.3: Defence Finance</w:t>
            </w:r>
          </w:p>
        </w:tc>
      </w:tr>
      <w:tr w:rsidR="00ED420A" w:rsidRPr="003E76E7" w14:paraId="0C8DB72E" w14:textId="77777777" w:rsidTr="0004322A">
        <w:trPr>
          <w:trHeight w:val="170"/>
        </w:trPr>
        <w:tc>
          <w:tcPr>
            <w:tcW w:w="8352" w:type="dxa"/>
            <w:gridSpan w:val="3"/>
            <w:tcBorders>
              <w:left w:val="nil"/>
              <w:bottom w:val="single" w:sz="4" w:space="0" w:color="auto"/>
              <w:right w:val="nil"/>
            </w:tcBorders>
            <w:shd w:val="clear" w:color="auto" w:fill="auto"/>
          </w:tcPr>
          <w:p w14:paraId="76BB5A8C" w14:textId="77777777" w:rsidR="00ED420A" w:rsidRPr="003E76E7" w:rsidRDefault="00ED420A" w:rsidP="00C4292D">
            <w:pPr>
              <w:pStyle w:val="Heading5"/>
              <w:spacing w:before="0" w:after="0"/>
              <w:rPr>
                <w:sz w:val="16"/>
                <w:szCs w:val="16"/>
              </w:rPr>
            </w:pPr>
          </w:p>
        </w:tc>
      </w:tr>
      <w:tr w:rsidR="00737EBD" w:rsidRPr="003E76E7" w14:paraId="42213C11" w14:textId="77777777" w:rsidTr="0004322A">
        <w:tblPrEx>
          <w:shd w:val="clear" w:color="auto" w:fill="auto"/>
          <w:tblLook w:val="04A0" w:firstRow="1" w:lastRow="0" w:firstColumn="1" w:lastColumn="0" w:noHBand="0" w:noVBand="1"/>
        </w:tblPrEx>
        <w:trPr>
          <w:tblHeader/>
        </w:trPr>
        <w:tc>
          <w:tcPr>
            <w:tcW w:w="8352" w:type="dxa"/>
            <w:gridSpan w:val="3"/>
            <w:shd w:val="clear" w:color="auto" w:fill="E6E6E6"/>
          </w:tcPr>
          <w:p w14:paraId="33B91F2D" w14:textId="77777777" w:rsidR="00EE1464" w:rsidRPr="003E76E7" w:rsidRDefault="00EE1464" w:rsidP="00C4292D">
            <w:pPr>
              <w:tabs>
                <w:tab w:val="left" w:pos="709"/>
              </w:tabs>
              <w:spacing w:before="60" w:after="60"/>
              <w:rPr>
                <w:rFonts w:ascii="Arial" w:hAnsi="Arial"/>
                <w:sz w:val="16"/>
                <w:szCs w:val="16"/>
              </w:rPr>
            </w:pPr>
            <w:r w:rsidRPr="003E76E7">
              <w:rPr>
                <w:rFonts w:ascii="Arial" w:hAnsi="Arial"/>
                <w:b/>
                <w:sz w:val="16"/>
                <w:szCs w:val="16"/>
              </w:rPr>
              <w:t>Program 2.3 Objective</w:t>
            </w:r>
          </w:p>
          <w:p w14:paraId="5FEDD56A" w14:textId="77777777" w:rsidR="00737EBD" w:rsidRPr="003E76E7" w:rsidRDefault="00EE1464" w:rsidP="00C4292D">
            <w:pPr>
              <w:tabs>
                <w:tab w:val="left" w:pos="709"/>
              </w:tabs>
              <w:spacing w:before="0" w:after="60"/>
              <w:jc w:val="both"/>
              <w:rPr>
                <w:rFonts w:ascii="Arial" w:hAnsi="Arial"/>
                <w:sz w:val="16"/>
                <w:szCs w:val="16"/>
              </w:rPr>
            </w:pPr>
            <w:r w:rsidRPr="003E76E7">
              <w:rPr>
                <w:rFonts w:ascii="Arial" w:hAnsi="Arial"/>
                <w:sz w:val="16"/>
                <w:szCs w:val="16"/>
                <w:lang w:val="en-AU"/>
              </w:rPr>
              <w:t>To produce quality financial products to deliver Defence and Government-directed outcomes.</w:t>
            </w:r>
          </w:p>
        </w:tc>
      </w:tr>
      <w:tr w:rsidR="00737EBD" w:rsidRPr="003E76E7" w14:paraId="66DC63C7" w14:textId="77777777" w:rsidTr="003C0162">
        <w:tblPrEx>
          <w:shd w:val="clear" w:color="auto" w:fill="auto"/>
          <w:tblLook w:val="04A0" w:firstRow="1" w:lastRow="0" w:firstColumn="1" w:lastColumn="0" w:noHBand="0" w:noVBand="1"/>
        </w:tblPrEx>
        <w:trPr>
          <w:trHeight w:val="312"/>
        </w:trPr>
        <w:tc>
          <w:tcPr>
            <w:tcW w:w="1799" w:type="dxa"/>
            <w:tcBorders>
              <w:bottom w:val="single" w:sz="4" w:space="0" w:color="auto"/>
            </w:tcBorders>
          </w:tcPr>
          <w:p w14:paraId="100A3BFC" w14:textId="5C681D12" w:rsidR="00737EBD" w:rsidRPr="003E76E7" w:rsidRDefault="00ED5D95" w:rsidP="00C4292D">
            <w:pPr>
              <w:tabs>
                <w:tab w:val="left" w:pos="709"/>
              </w:tabs>
              <w:spacing w:before="60" w:after="60"/>
              <w:rPr>
                <w:rFonts w:ascii="Arial" w:hAnsi="Arial"/>
                <w:b/>
                <w:color w:val="000000"/>
                <w:sz w:val="16"/>
                <w:szCs w:val="16"/>
              </w:rPr>
            </w:pPr>
            <w:r w:rsidRPr="003E76E7">
              <w:rPr>
                <w:rFonts w:ascii="Arial" w:hAnsi="Arial"/>
                <w:b/>
                <w:color w:val="000000"/>
                <w:sz w:val="16"/>
                <w:szCs w:val="16"/>
              </w:rPr>
              <w:t>Key Activities</w:t>
            </w:r>
            <w:r w:rsidR="00954644" w:rsidRPr="003E76E7">
              <w:rPr>
                <w:rFonts w:ascii="Arial" w:hAnsi="Arial"/>
                <w:b/>
                <w:color w:val="000000"/>
                <w:sz w:val="16"/>
                <w:szCs w:val="16"/>
              </w:rPr>
              <w:t xml:space="preserve"> </w:t>
            </w:r>
            <w:r w:rsidR="00954644" w:rsidRPr="003E76E7">
              <w:rPr>
                <w:rFonts w:ascii="Arial" w:hAnsi="Arial"/>
                <w:b/>
                <w:color w:val="000000"/>
                <w:sz w:val="16"/>
                <w:szCs w:val="16"/>
                <w:vertAlign w:val="superscript"/>
              </w:rPr>
              <w:t>[a]</w:t>
            </w:r>
          </w:p>
        </w:tc>
        <w:tc>
          <w:tcPr>
            <w:tcW w:w="6553" w:type="dxa"/>
            <w:gridSpan w:val="2"/>
            <w:tcBorders>
              <w:bottom w:val="single" w:sz="4" w:space="0" w:color="auto"/>
            </w:tcBorders>
          </w:tcPr>
          <w:p w14:paraId="73ABE3EC" w14:textId="77777777" w:rsidR="00ED5D95" w:rsidRPr="003E76E7" w:rsidRDefault="00ED5D95" w:rsidP="00C4292D">
            <w:pPr>
              <w:tabs>
                <w:tab w:val="left" w:pos="343"/>
              </w:tabs>
              <w:spacing w:before="60" w:after="60"/>
              <w:rPr>
                <w:rFonts w:ascii="Arial" w:hAnsi="Arial"/>
                <w:bCs/>
                <w:color w:val="000000"/>
                <w:sz w:val="16"/>
                <w:szCs w:val="16"/>
                <w:lang w:val="en-AU"/>
              </w:rPr>
            </w:pPr>
            <w:r w:rsidRPr="003E76E7">
              <w:rPr>
                <w:rFonts w:ascii="Arial" w:hAnsi="Arial"/>
                <w:bCs/>
                <w:color w:val="000000"/>
                <w:sz w:val="16"/>
                <w:szCs w:val="16"/>
                <w:lang w:val="en-AU"/>
              </w:rPr>
              <w:t>This program will be achieved through the following activities:</w:t>
            </w:r>
          </w:p>
          <w:p w14:paraId="2D726703" w14:textId="77777777" w:rsidR="000428E7" w:rsidRPr="003E76E7" w:rsidRDefault="000428E7" w:rsidP="00C4292D">
            <w:pPr>
              <w:tabs>
                <w:tab w:val="left" w:pos="343"/>
              </w:tabs>
              <w:spacing w:before="60" w:after="60"/>
              <w:rPr>
                <w:rFonts w:ascii="Arial" w:hAnsi="Arial"/>
                <w:sz w:val="16"/>
                <w:szCs w:val="16"/>
                <w:lang w:val="en-AU"/>
              </w:rPr>
            </w:pPr>
            <w:r w:rsidRPr="003E76E7">
              <w:rPr>
                <w:rFonts w:ascii="Arial" w:hAnsi="Arial"/>
                <w:b/>
                <w:sz w:val="16"/>
                <w:szCs w:val="16"/>
                <w:lang w:val="en-AU"/>
              </w:rPr>
              <w:t>6. Deliver future capability</w:t>
            </w:r>
            <w:r w:rsidRPr="003E76E7">
              <w:rPr>
                <w:rFonts w:ascii="Arial" w:hAnsi="Arial"/>
                <w:sz w:val="16"/>
                <w:szCs w:val="16"/>
                <w:lang w:val="en-AU"/>
              </w:rPr>
              <w:t xml:space="preserve">. </w:t>
            </w:r>
          </w:p>
          <w:p w14:paraId="3D6500CC" w14:textId="669DD947" w:rsidR="00737EBD" w:rsidRPr="003E76E7" w:rsidRDefault="000428E7" w:rsidP="00C4292D">
            <w:pPr>
              <w:tabs>
                <w:tab w:val="left" w:pos="343"/>
              </w:tabs>
              <w:spacing w:before="60" w:after="60"/>
              <w:rPr>
                <w:rFonts w:ascii="Arial" w:hAnsi="Arial"/>
                <w:i/>
                <w:color w:val="000000"/>
                <w:sz w:val="16"/>
                <w:szCs w:val="16"/>
              </w:rPr>
            </w:pPr>
            <w:r w:rsidRPr="003E76E7">
              <w:rPr>
                <w:rFonts w:ascii="Arial" w:hAnsi="Arial"/>
                <w:b/>
                <w:sz w:val="16"/>
                <w:szCs w:val="16"/>
                <w:lang w:val="en-AU"/>
              </w:rPr>
              <w:t>7. Defence advances Australia’s interests through a strengthened sovereign defence industrial base.</w:t>
            </w:r>
          </w:p>
        </w:tc>
      </w:tr>
      <w:tr w:rsidR="00E02180" w:rsidRPr="003E76E7" w14:paraId="371B81DD" w14:textId="77777777" w:rsidTr="000E1A17">
        <w:trPr>
          <w:trHeight w:val="100"/>
        </w:trPr>
        <w:tc>
          <w:tcPr>
            <w:tcW w:w="1799" w:type="dxa"/>
            <w:tcBorders>
              <w:top w:val="single" w:sz="4" w:space="0" w:color="auto"/>
              <w:bottom w:val="single" w:sz="4" w:space="0" w:color="auto"/>
              <w:right w:val="single" w:sz="4" w:space="0" w:color="auto"/>
            </w:tcBorders>
            <w:vAlign w:val="center"/>
          </w:tcPr>
          <w:p w14:paraId="2FECC90C" w14:textId="77777777" w:rsidR="00E02180" w:rsidRPr="003E76E7" w:rsidRDefault="00E02180" w:rsidP="00C4292D">
            <w:pPr>
              <w:tabs>
                <w:tab w:val="left" w:pos="709"/>
              </w:tabs>
              <w:spacing w:before="60" w:after="60"/>
              <w:rPr>
                <w:rFonts w:ascii="Arial" w:hAnsi="Arial"/>
                <w:color w:val="000000"/>
                <w:sz w:val="16"/>
                <w:szCs w:val="16"/>
              </w:rPr>
            </w:pPr>
            <w:r w:rsidRPr="003E76E7">
              <w:rPr>
                <w:rFonts w:ascii="Arial" w:hAnsi="Arial"/>
                <w:b/>
                <w:color w:val="000000"/>
                <w:sz w:val="16"/>
                <w:szCs w:val="16"/>
              </w:rPr>
              <w:t>Year</w:t>
            </w:r>
          </w:p>
        </w:tc>
        <w:tc>
          <w:tcPr>
            <w:tcW w:w="3174" w:type="dxa"/>
            <w:tcBorders>
              <w:top w:val="single" w:sz="4" w:space="0" w:color="auto"/>
              <w:left w:val="single" w:sz="4" w:space="0" w:color="auto"/>
              <w:bottom w:val="single" w:sz="4" w:space="0" w:color="auto"/>
              <w:right w:val="single" w:sz="4" w:space="0" w:color="auto"/>
            </w:tcBorders>
            <w:vAlign w:val="center"/>
          </w:tcPr>
          <w:p w14:paraId="29E99F96" w14:textId="17F81628" w:rsidR="00E02180" w:rsidRPr="003E76E7" w:rsidRDefault="00AD14EC" w:rsidP="00C4292D">
            <w:pPr>
              <w:tabs>
                <w:tab w:val="left" w:pos="709"/>
              </w:tabs>
              <w:spacing w:before="60" w:after="60"/>
              <w:rPr>
                <w:rFonts w:ascii="Arial" w:hAnsi="Arial"/>
                <w:color w:val="000000"/>
              </w:rPr>
            </w:pPr>
            <w:r w:rsidRPr="003E76E7">
              <w:rPr>
                <w:rFonts w:ascii="Arial" w:hAnsi="Arial"/>
                <w:b/>
                <w:color w:val="000000"/>
                <w:sz w:val="16"/>
                <w:szCs w:val="16"/>
              </w:rPr>
              <w:t>Performance Measures</w:t>
            </w:r>
          </w:p>
        </w:tc>
        <w:tc>
          <w:tcPr>
            <w:tcW w:w="3379" w:type="dxa"/>
            <w:tcBorders>
              <w:top w:val="single" w:sz="4" w:space="0" w:color="auto"/>
              <w:left w:val="single" w:sz="4" w:space="0" w:color="auto"/>
              <w:bottom w:val="single" w:sz="4" w:space="0" w:color="auto"/>
            </w:tcBorders>
            <w:vAlign w:val="center"/>
          </w:tcPr>
          <w:p w14:paraId="029C0940" w14:textId="77777777" w:rsidR="00E02180" w:rsidRPr="003E76E7" w:rsidRDefault="0045486A" w:rsidP="00C4292D">
            <w:pPr>
              <w:tabs>
                <w:tab w:val="left" w:pos="709"/>
              </w:tabs>
              <w:spacing w:before="60" w:after="60"/>
              <w:rPr>
                <w:rFonts w:ascii="Arial" w:hAnsi="Arial"/>
                <w:i/>
                <w:color w:val="000000"/>
                <w:sz w:val="16"/>
                <w:szCs w:val="16"/>
              </w:rPr>
            </w:pPr>
            <w:r w:rsidRPr="003E76E7">
              <w:rPr>
                <w:rFonts w:ascii="Arial" w:hAnsi="Arial"/>
                <w:b/>
                <w:color w:val="000000"/>
                <w:sz w:val="16"/>
                <w:szCs w:val="16"/>
              </w:rPr>
              <w:t>Expected Performance Results</w:t>
            </w:r>
          </w:p>
        </w:tc>
      </w:tr>
      <w:tr w:rsidR="000428E7" w:rsidRPr="003E76E7" w14:paraId="56D09B1E" w14:textId="77777777" w:rsidTr="000E1A17">
        <w:trPr>
          <w:trHeight w:val="705"/>
        </w:trPr>
        <w:tc>
          <w:tcPr>
            <w:tcW w:w="1799" w:type="dxa"/>
            <w:vMerge w:val="restart"/>
            <w:tcBorders>
              <w:top w:val="single" w:sz="4" w:space="0" w:color="auto"/>
              <w:right w:val="single" w:sz="4" w:space="0" w:color="auto"/>
            </w:tcBorders>
          </w:tcPr>
          <w:p w14:paraId="3551DC2C" w14:textId="77777777" w:rsidR="000428E7" w:rsidRPr="003E76E7" w:rsidRDefault="000428E7" w:rsidP="00C4292D">
            <w:pPr>
              <w:tabs>
                <w:tab w:val="left" w:pos="709"/>
              </w:tabs>
              <w:spacing w:before="0" w:after="0"/>
              <w:rPr>
                <w:rFonts w:ascii="Arial" w:hAnsi="Arial"/>
                <w:color w:val="000000"/>
                <w:sz w:val="16"/>
                <w:szCs w:val="16"/>
              </w:rPr>
            </w:pPr>
            <w:r w:rsidRPr="003E76E7">
              <w:rPr>
                <w:rFonts w:ascii="Arial" w:hAnsi="Arial"/>
                <w:color w:val="000000"/>
                <w:sz w:val="16"/>
                <w:szCs w:val="16"/>
              </w:rPr>
              <w:t>Current Year</w:t>
            </w:r>
          </w:p>
          <w:p w14:paraId="20784925" w14:textId="4FBC626F" w:rsidR="000428E7" w:rsidRPr="003E76E7" w:rsidRDefault="000428E7" w:rsidP="00C4292D">
            <w:pPr>
              <w:tabs>
                <w:tab w:val="left" w:pos="709"/>
              </w:tabs>
              <w:spacing w:before="0" w:after="0"/>
              <w:rPr>
                <w:rFonts w:ascii="Arial" w:hAnsi="Arial"/>
                <w:color w:val="000000"/>
                <w:sz w:val="16"/>
                <w:szCs w:val="16"/>
              </w:rPr>
            </w:pPr>
            <w:r w:rsidRPr="003E76E7">
              <w:rPr>
                <w:rFonts w:ascii="Arial" w:hAnsi="Arial"/>
                <w:color w:val="000000"/>
                <w:sz w:val="16"/>
                <w:szCs w:val="16"/>
              </w:rPr>
              <w:t>2025-26</w:t>
            </w:r>
            <w:r w:rsidR="00954644" w:rsidRPr="003E76E7">
              <w:rPr>
                <w:rFonts w:ascii="Arial" w:hAnsi="Arial"/>
                <w:color w:val="000000"/>
                <w:sz w:val="16"/>
                <w:szCs w:val="16"/>
              </w:rPr>
              <w:t xml:space="preserve"> </w:t>
            </w:r>
            <w:r w:rsidR="00954644" w:rsidRPr="003E76E7">
              <w:rPr>
                <w:rFonts w:ascii="Arial" w:hAnsi="Arial"/>
                <w:color w:val="000000"/>
                <w:sz w:val="16"/>
                <w:szCs w:val="16"/>
                <w:vertAlign w:val="superscript"/>
              </w:rPr>
              <w:t>[b]</w:t>
            </w:r>
          </w:p>
        </w:tc>
        <w:tc>
          <w:tcPr>
            <w:tcW w:w="3174" w:type="dxa"/>
            <w:tcBorders>
              <w:top w:val="single" w:sz="4" w:space="0" w:color="auto"/>
              <w:left w:val="single" w:sz="4" w:space="0" w:color="auto"/>
              <w:bottom w:val="single" w:sz="4" w:space="0" w:color="auto"/>
              <w:right w:val="single" w:sz="4" w:space="0" w:color="auto"/>
            </w:tcBorders>
          </w:tcPr>
          <w:p w14:paraId="419ADD05" w14:textId="301BA67B" w:rsidR="000428E7" w:rsidRPr="003E76E7" w:rsidRDefault="000428E7" w:rsidP="00C4292D">
            <w:pPr>
              <w:tabs>
                <w:tab w:val="left" w:pos="709"/>
              </w:tabs>
              <w:spacing w:before="60" w:after="60"/>
              <w:rPr>
                <w:rFonts w:ascii="Arial" w:hAnsi="Arial"/>
                <w:color w:val="000000"/>
                <w:sz w:val="16"/>
                <w:szCs w:val="16"/>
              </w:rPr>
            </w:pPr>
            <w:r w:rsidRPr="003E76E7">
              <w:rPr>
                <w:rFonts w:ascii="Arial" w:hAnsi="Arial"/>
                <w:sz w:val="16"/>
                <w:szCs w:val="16"/>
                <w:lang w:val="en-AU"/>
              </w:rPr>
              <w:t>6.1: Defence is delivering the right future capability at the right time within the Integrated Investment Program to ensure it is equipped to respond to future security challenges as directed by the National Defence Strategy.</w:t>
            </w:r>
          </w:p>
        </w:tc>
        <w:tc>
          <w:tcPr>
            <w:tcW w:w="3379" w:type="dxa"/>
            <w:tcBorders>
              <w:top w:val="single" w:sz="4" w:space="0" w:color="auto"/>
              <w:left w:val="single" w:sz="4" w:space="0" w:color="auto"/>
              <w:bottom w:val="single" w:sz="4" w:space="0" w:color="auto"/>
            </w:tcBorders>
          </w:tcPr>
          <w:p w14:paraId="7B9C526E" w14:textId="77777777" w:rsidR="000428E7" w:rsidRPr="003E76E7" w:rsidRDefault="000428E7" w:rsidP="00C4292D">
            <w:pPr>
              <w:tabs>
                <w:tab w:val="left" w:pos="709"/>
              </w:tabs>
              <w:spacing w:before="60" w:after="60"/>
              <w:rPr>
                <w:rFonts w:ascii="Arial" w:hAnsi="Arial"/>
                <w:sz w:val="16"/>
                <w:szCs w:val="16"/>
                <w:lang w:val="en-AU"/>
              </w:rPr>
            </w:pPr>
            <w:r w:rsidRPr="003E76E7">
              <w:rPr>
                <w:rFonts w:ascii="Arial" w:hAnsi="Arial"/>
                <w:sz w:val="16"/>
                <w:szCs w:val="16"/>
                <w:lang w:val="en-AU"/>
              </w:rPr>
              <w:t>80 per cent or more of approved Integrated Investment Program projects across all domains are on track to deliver within Government approved scope, schedule, and cost (including contingency).</w:t>
            </w:r>
          </w:p>
          <w:p w14:paraId="2C7670C2" w14:textId="3048B15D" w:rsidR="000428E7" w:rsidRPr="003E76E7" w:rsidRDefault="00F74D23" w:rsidP="00C4292D">
            <w:pPr>
              <w:tabs>
                <w:tab w:val="left" w:pos="709"/>
              </w:tabs>
              <w:spacing w:before="60" w:after="60"/>
              <w:jc w:val="right"/>
              <w:rPr>
                <w:rFonts w:ascii="Arial" w:hAnsi="Arial"/>
                <w:i/>
                <w:sz w:val="16"/>
                <w:szCs w:val="16"/>
                <w:lang w:val="en-AU"/>
              </w:rPr>
            </w:pPr>
            <w:r w:rsidRPr="003E76E7">
              <w:rPr>
                <w:rFonts w:ascii="Arial" w:hAnsi="Arial"/>
                <w:i/>
                <w:sz w:val="16"/>
                <w:szCs w:val="16"/>
                <w:lang w:val="en-AU"/>
              </w:rPr>
              <w:t>Expected to be achieved</w:t>
            </w:r>
            <w:r w:rsidR="00C447FA" w:rsidRPr="003E76E7">
              <w:rPr>
                <w:rFonts w:ascii="Arial" w:hAnsi="Arial"/>
                <w:i/>
                <w:sz w:val="16"/>
                <w:szCs w:val="16"/>
                <w:lang w:val="en-AU"/>
              </w:rPr>
              <w:t>.</w:t>
            </w:r>
          </w:p>
        </w:tc>
      </w:tr>
      <w:tr w:rsidR="000428E7" w:rsidRPr="003E76E7" w14:paraId="38F1F991" w14:textId="77777777" w:rsidTr="000E1A17">
        <w:trPr>
          <w:trHeight w:val="705"/>
        </w:trPr>
        <w:tc>
          <w:tcPr>
            <w:tcW w:w="1799" w:type="dxa"/>
            <w:vMerge/>
            <w:tcBorders>
              <w:bottom w:val="single" w:sz="4" w:space="0" w:color="auto"/>
              <w:right w:val="single" w:sz="4" w:space="0" w:color="auto"/>
            </w:tcBorders>
          </w:tcPr>
          <w:p w14:paraId="1BDBA32B" w14:textId="77777777" w:rsidR="000428E7" w:rsidRPr="003E76E7" w:rsidRDefault="000428E7" w:rsidP="00C4292D">
            <w:pPr>
              <w:tabs>
                <w:tab w:val="left" w:pos="709"/>
              </w:tabs>
              <w:spacing w:before="60" w:after="60"/>
              <w:rPr>
                <w:rFonts w:ascii="Arial" w:hAnsi="Arial"/>
                <w:color w:val="000000"/>
                <w:sz w:val="16"/>
                <w:szCs w:val="16"/>
              </w:rPr>
            </w:pPr>
          </w:p>
        </w:tc>
        <w:tc>
          <w:tcPr>
            <w:tcW w:w="3174" w:type="dxa"/>
            <w:tcBorders>
              <w:top w:val="single" w:sz="4" w:space="0" w:color="auto"/>
              <w:left w:val="single" w:sz="4" w:space="0" w:color="auto"/>
              <w:bottom w:val="single" w:sz="4" w:space="0" w:color="auto"/>
              <w:right w:val="single" w:sz="4" w:space="0" w:color="auto"/>
            </w:tcBorders>
          </w:tcPr>
          <w:p w14:paraId="540F7738" w14:textId="6B8A72E3" w:rsidR="000428E7" w:rsidRPr="003E76E7" w:rsidRDefault="000428E7" w:rsidP="00C4292D">
            <w:pPr>
              <w:tabs>
                <w:tab w:val="left" w:pos="709"/>
              </w:tabs>
              <w:spacing w:before="60" w:after="60"/>
              <w:rPr>
                <w:rFonts w:ascii="Arial" w:hAnsi="Arial"/>
                <w:sz w:val="16"/>
                <w:szCs w:val="16"/>
                <w:lang w:val="en-AU"/>
              </w:rPr>
            </w:pPr>
            <w:r w:rsidRPr="003E76E7">
              <w:rPr>
                <w:rFonts w:ascii="Arial" w:hAnsi="Arial"/>
                <w:sz w:val="16"/>
                <w:szCs w:val="16"/>
                <w:lang w:val="en-AU"/>
              </w:rPr>
              <w:t xml:space="preserve">7.1: Defence strengthens the sovereign defence industrial base through investment and domestic manufacture. </w:t>
            </w:r>
          </w:p>
        </w:tc>
        <w:tc>
          <w:tcPr>
            <w:tcW w:w="3379" w:type="dxa"/>
            <w:tcBorders>
              <w:top w:val="single" w:sz="4" w:space="0" w:color="auto"/>
              <w:left w:val="single" w:sz="4" w:space="0" w:color="auto"/>
              <w:bottom w:val="single" w:sz="4" w:space="0" w:color="auto"/>
            </w:tcBorders>
          </w:tcPr>
          <w:p w14:paraId="7ED61B17" w14:textId="7C7C8D87" w:rsidR="00F04C47" w:rsidRPr="003E76E7" w:rsidRDefault="00F04C47" w:rsidP="00C4292D">
            <w:pPr>
              <w:spacing w:before="0" w:after="60"/>
              <w:rPr>
                <w:rFonts w:ascii="Arial" w:hAnsi="Arial"/>
                <w:color w:val="000000"/>
                <w:sz w:val="16"/>
                <w:szCs w:val="16"/>
              </w:rPr>
            </w:pPr>
            <w:r w:rsidRPr="003E76E7">
              <w:rPr>
                <w:rFonts w:ascii="Arial" w:hAnsi="Arial"/>
                <w:color w:val="000000"/>
                <w:sz w:val="16"/>
                <w:szCs w:val="16"/>
                <w:lang w:val="en-AU"/>
              </w:rPr>
              <w:t xml:space="preserve">Defence awards </w:t>
            </w:r>
            <w:r w:rsidRPr="003E76E7">
              <w:rPr>
                <w:rFonts w:ascii="Arial" w:hAnsi="Arial"/>
                <w:color w:val="000000"/>
                <w:sz w:val="16"/>
                <w:szCs w:val="16"/>
              </w:rPr>
              <w:t xml:space="preserve">95 per cent or more of the Defence Industry Development Grant Program budgeted allocation; increases </w:t>
            </w:r>
            <w:r w:rsidR="00B57F20" w:rsidRPr="003E76E7">
              <w:rPr>
                <w:rFonts w:ascii="Arial" w:hAnsi="Arial"/>
                <w:color w:val="000000"/>
                <w:sz w:val="16"/>
                <w:szCs w:val="16"/>
              </w:rPr>
              <w:br/>
            </w:r>
            <w:r w:rsidRPr="003E76E7">
              <w:rPr>
                <w:rFonts w:ascii="Arial" w:hAnsi="Arial"/>
                <w:color w:val="000000"/>
                <w:sz w:val="16"/>
                <w:szCs w:val="16"/>
              </w:rPr>
              <w:t xml:space="preserve">the number of companies exporting and value of exports; increases the direct economic contribution to the Australian economy; maintains investment in innovation, science and technology to deliver </w:t>
            </w:r>
            <w:r w:rsidR="00B57F20" w:rsidRPr="003E76E7">
              <w:rPr>
                <w:rFonts w:ascii="Arial" w:hAnsi="Arial"/>
                <w:color w:val="000000"/>
                <w:sz w:val="16"/>
                <w:szCs w:val="16"/>
              </w:rPr>
              <w:t>d</w:t>
            </w:r>
            <w:r w:rsidR="00486370" w:rsidRPr="003E76E7">
              <w:rPr>
                <w:rFonts w:ascii="Arial" w:hAnsi="Arial"/>
                <w:color w:val="000000"/>
                <w:sz w:val="16"/>
                <w:szCs w:val="16"/>
              </w:rPr>
              <w:t>efence</w:t>
            </w:r>
            <w:r w:rsidRPr="003E76E7">
              <w:rPr>
                <w:rFonts w:ascii="Arial" w:hAnsi="Arial"/>
                <w:color w:val="000000"/>
                <w:sz w:val="16"/>
                <w:szCs w:val="16"/>
              </w:rPr>
              <w:t xml:space="preserve"> priorities; commences manufacture of Guided Multiple Launch Rocket System by 31 December 2025; and meets industrial uplift milestones for the Continuous Naval Shipbuilding Program.</w:t>
            </w:r>
          </w:p>
          <w:p w14:paraId="501B0DEC" w14:textId="1F36E717" w:rsidR="000428E7" w:rsidRPr="003E76E7" w:rsidRDefault="00D013CE" w:rsidP="00D013CE">
            <w:pPr>
              <w:spacing w:after="60"/>
              <w:jc w:val="right"/>
              <w:rPr>
                <w:rFonts w:ascii="Arial" w:hAnsi="Arial"/>
                <w:i/>
                <w:color w:val="000000"/>
                <w:sz w:val="16"/>
                <w:szCs w:val="16"/>
              </w:rPr>
            </w:pPr>
            <w:r w:rsidRPr="003E76E7">
              <w:rPr>
                <w:rFonts w:ascii="Arial" w:hAnsi="Arial"/>
                <w:i/>
                <w:sz w:val="16"/>
                <w:szCs w:val="16"/>
              </w:rPr>
              <w:t>Expected to be partially achieved</w:t>
            </w:r>
            <w:r>
              <w:rPr>
                <w:rFonts w:ascii="Arial" w:hAnsi="Arial"/>
                <w:i/>
                <w:sz w:val="16"/>
                <w:szCs w:val="16"/>
              </w:rPr>
              <w:t>.</w:t>
            </w:r>
          </w:p>
        </w:tc>
      </w:tr>
      <w:tr w:rsidR="00CE258A" w:rsidRPr="003E76E7" w14:paraId="34E9CFFD" w14:textId="77777777" w:rsidTr="000E1A17">
        <w:trPr>
          <w:trHeight w:val="258"/>
        </w:trPr>
        <w:tc>
          <w:tcPr>
            <w:tcW w:w="1799" w:type="dxa"/>
            <w:tcBorders>
              <w:top w:val="single" w:sz="4" w:space="0" w:color="auto"/>
              <w:bottom w:val="single" w:sz="4" w:space="0" w:color="auto"/>
              <w:right w:val="single" w:sz="4" w:space="0" w:color="auto"/>
            </w:tcBorders>
            <w:vAlign w:val="center"/>
          </w:tcPr>
          <w:p w14:paraId="35FFF98E" w14:textId="77777777" w:rsidR="00CE258A" w:rsidRPr="003E76E7" w:rsidRDefault="00CE258A" w:rsidP="00C4292D">
            <w:pPr>
              <w:tabs>
                <w:tab w:val="left" w:pos="709"/>
              </w:tabs>
              <w:spacing w:before="60" w:after="60"/>
              <w:rPr>
                <w:rFonts w:ascii="Arial" w:hAnsi="Arial"/>
                <w:b/>
                <w:color w:val="000000"/>
                <w:sz w:val="16"/>
                <w:szCs w:val="16"/>
              </w:rPr>
            </w:pPr>
            <w:r w:rsidRPr="003E76E7">
              <w:rPr>
                <w:rFonts w:ascii="Arial" w:hAnsi="Arial"/>
                <w:b/>
                <w:color w:val="000000"/>
                <w:sz w:val="16"/>
                <w:szCs w:val="16"/>
              </w:rPr>
              <w:t>Year</w:t>
            </w:r>
          </w:p>
        </w:tc>
        <w:tc>
          <w:tcPr>
            <w:tcW w:w="3174" w:type="dxa"/>
            <w:tcBorders>
              <w:top w:val="single" w:sz="4" w:space="0" w:color="auto"/>
              <w:left w:val="single" w:sz="4" w:space="0" w:color="auto"/>
              <w:bottom w:val="single" w:sz="4" w:space="0" w:color="auto"/>
              <w:right w:val="single" w:sz="4" w:space="0" w:color="auto"/>
            </w:tcBorders>
            <w:vAlign w:val="center"/>
          </w:tcPr>
          <w:p w14:paraId="38159A2C" w14:textId="1D1419D7" w:rsidR="00CE258A" w:rsidRPr="003E76E7" w:rsidRDefault="00AD14EC" w:rsidP="00C4292D">
            <w:pPr>
              <w:tabs>
                <w:tab w:val="left" w:pos="709"/>
                <w:tab w:val="center" w:pos="1818"/>
              </w:tabs>
              <w:spacing w:before="60" w:after="60"/>
              <w:rPr>
                <w:rFonts w:ascii="Arial" w:hAnsi="Arial"/>
                <w:b/>
                <w:color w:val="000000"/>
                <w:sz w:val="16"/>
                <w:szCs w:val="16"/>
              </w:rPr>
            </w:pPr>
            <w:r w:rsidRPr="003E76E7">
              <w:rPr>
                <w:rFonts w:ascii="Arial" w:hAnsi="Arial"/>
                <w:b/>
                <w:color w:val="000000"/>
                <w:sz w:val="16"/>
                <w:szCs w:val="16"/>
              </w:rPr>
              <w:t>Performance Measures</w:t>
            </w:r>
          </w:p>
        </w:tc>
        <w:tc>
          <w:tcPr>
            <w:tcW w:w="3379" w:type="dxa"/>
            <w:tcBorders>
              <w:top w:val="single" w:sz="4" w:space="0" w:color="auto"/>
              <w:left w:val="single" w:sz="4" w:space="0" w:color="auto"/>
              <w:bottom w:val="single" w:sz="4" w:space="0" w:color="auto"/>
            </w:tcBorders>
            <w:vAlign w:val="center"/>
          </w:tcPr>
          <w:p w14:paraId="2FC85ECE" w14:textId="77777777" w:rsidR="00CE258A" w:rsidRPr="003E76E7" w:rsidRDefault="00CE258A" w:rsidP="00C4292D">
            <w:pPr>
              <w:tabs>
                <w:tab w:val="left" w:pos="709"/>
              </w:tabs>
              <w:spacing w:before="60" w:after="60"/>
              <w:rPr>
                <w:rFonts w:ascii="Arial" w:hAnsi="Arial"/>
                <w:b/>
                <w:color w:val="000000"/>
                <w:sz w:val="16"/>
                <w:szCs w:val="16"/>
              </w:rPr>
            </w:pPr>
            <w:r w:rsidRPr="003E76E7">
              <w:rPr>
                <w:rFonts w:ascii="Arial" w:hAnsi="Arial"/>
                <w:b/>
                <w:color w:val="000000"/>
                <w:sz w:val="16"/>
                <w:szCs w:val="16"/>
              </w:rPr>
              <w:t>Planned Performance Results</w:t>
            </w:r>
          </w:p>
        </w:tc>
      </w:tr>
      <w:tr w:rsidR="000428E7" w:rsidRPr="003E76E7" w14:paraId="71B0ED80" w14:textId="77777777" w:rsidTr="000E1A17">
        <w:trPr>
          <w:trHeight w:val="1163"/>
        </w:trPr>
        <w:tc>
          <w:tcPr>
            <w:tcW w:w="1799" w:type="dxa"/>
            <w:vMerge w:val="restart"/>
            <w:tcBorders>
              <w:top w:val="single" w:sz="4" w:space="0" w:color="auto"/>
              <w:right w:val="single" w:sz="4" w:space="0" w:color="auto"/>
            </w:tcBorders>
            <w:shd w:val="clear" w:color="auto" w:fill="auto"/>
          </w:tcPr>
          <w:p w14:paraId="08DCFDDF" w14:textId="77777777" w:rsidR="000428E7" w:rsidRPr="003E76E7" w:rsidRDefault="000428E7" w:rsidP="00C4292D">
            <w:pPr>
              <w:tabs>
                <w:tab w:val="left" w:pos="709"/>
              </w:tabs>
              <w:spacing w:before="0" w:after="0"/>
              <w:rPr>
                <w:rFonts w:ascii="Arial" w:hAnsi="Arial"/>
                <w:color w:val="000000"/>
                <w:sz w:val="16"/>
                <w:szCs w:val="16"/>
              </w:rPr>
            </w:pPr>
            <w:r w:rsidRPr="003E76E7">
              <w:rPr>
                <w:rFonts w:ascii="Arial" w:hAnsi="Arial"/>
                <w:color w:val="000000"/>
                <w:sz w:val="16"/>
                <w:szCs w:val="16"/>
              </w:rPr>
              <w:t>Budget Year</w:t>
            </w:r>
          </w:p>
          <w:p w14:paraId="21040923" w14:textId="272FFD10" w:rsidR="000428E7" w:rsidRPr="003E76E7" w:rsidRDefault="000428E7" w:rsidP="00C4292D">
            <w:pPr>
              <w:tabs>
                <w:tab w:val="left" w:pos="709"/>
              </w:tabs>
              <w:spacing w:before="0" w:after="0"/>
              <w:rPr>
                <w:rFonts w:ascii="Arial" w:hAnsi="Arial"/>
                <w:color w:val="000000"/>
                <w:sz w:val="16"/>
                <w:szCs w:val="16"/>
              </w:rPr>
            </w:pPr>
            <w:r w:rsidRPr="003E76E7">
              <w:rPr>
                <w:rFonts w:ascii="Arial" w:hAnsi="Arial"/>
                <w:color w:val="000000"/>
                <w:sz w:val="16"/>
                <w:szCs w:val="16"/>
              </w:rPr>
              <w:t xml:space="preserve">2026-27 </w:t>
            </w:r>
            <w:r w:rsidRPr="003E76E7">
              <w:rPr>
                <w:rFonts w:ascii="Arial" w:hAnsi="Arial"/>
                <w:color w:val="000000"/>
                <w:sz w:val="16"/>
                <w:szCs w:val="16"/>
                <w:vertAlign w:val="superscript"/>
              </w:rPr>
              <w:t>[</w:t>
            </w:r>
            <w:r w:rsidR="00954644" w:rsidRPr="003E76E7">
              <w:rPr>
                <w:rFonts w:ascii="Arial" w:hAnsi="Arial"/>
                <w:color w:val="000000"/>
                <w:sz w:val="16"/>
                <w:szCs w:val="16"/>
                <w:vertAlign w:val="superscript"/>
              </w:rPr>
              <w:t>c</w:t>
            </w:r>
            <w:r w:rsidRPr="003E76E7">
              <w:rPr>
                <w:rFonts w:ascii="Arial" w:hAnsi="Arial"/>
                <w:color w:val="000000"/>
                <w:sz w:val="16"/>
                <w:szCs w:val="16"/>
                <w:vertAlign w:val="superscript"/>
              </w:rPr>
              <w:t>]</w:t>
            </w:r>
          </w:p>
        </w:tc>
        <w:tc>
          <w:tcPr>
            <w:tcW w:w="3174" w:type="dxa"/>
            <w:tcBorders>
              <w:top w:val="single" w:sz="4" w:space="0" w:color="auto"/>
              <w:left w:val="single" w:sz="4" w:space="0" w:color="auto"/>
              <w:bottom w:val="single" w:sz="4" w:space="0" w:color="auto"/>
              <w:right w:val="single" w:sz="4" w:space="0" w:color="auto"/>
            </w:tcBorders>
            <w:shd w:val="clear" w:color="auto" w:fill="auto"/>
          </w:tcPr>
          <w:p w14:paraId="32DF553D" w14:textId="503B51DA" w:rsidR="000428E7" w:rsidRPr="003E76E7" w:rsidRDefault="000428E7" w:rsidP="00C4292D">
            <w:pPr>
              <w:tabs>
                <w:tab w:val="left" w:pos="709"/>
              </w:tabs>
              <w:spacing w:before="60" w:after="60"/>
              <w:rPr>
                <w:rFonts w:ascii="Arial" w:hAnsi="Arial"/>
                <w:color w:val="000000"/>
                <w:sz w:val="16"/>
                <w:szCs w:val="16"/>
              </w:rPr>
            </w:pPr>
            <w:r w:rsidRPr="003E76E7">
              <w:rPr>
                <w:rFonts w:ascii="Arial" w:hAnsi="Arial"/>
                <w:sz w:val="16"/>
                <w:szCs w:val="16"/>
                <w:lang w:val="en-AU"/>
              </w:rPr>
              <w:t>6.1: Defence is delivering the right future capability at the right time within the Integrated Investment Program to ensure it is equipped to respond to future security challenges as directed by the National Defence Strategy.</w:t>
            </w:r>
          </w:p>
        </w:tc>
        <w:tc>
          <w:tcPr>
            <w:tcW w:w="3379" w:type="dxa"/>
            <w:tcBorders>
              <w:top w:val="single" w:sz="4" w:space="0" w:color="auto"/>
              <w:left w:val="single" w:sz="4" w:space="0" w:color="auto"/>
              <w:bottom w:val="single" w:sz="4" w:space="0" w:color="auto"/>
            </w:tcBorders>
            <w:shd w:val="clear" w:color="auto" w:fill="auto"/>
          </w:tcPr>
          <w:p w14:paraId="3CD5D09D" w14:textId="0EBFF748" w:rsidR="000428E7" w:rsidRPr="003E76E7" w:rsidRDefault="000428E7" w:rsidP="00C4292D">
            <w:pPr>
              <w:tabs>
                <w:tab w:val="left" w:pos="709"/>
              </w:tabs>
              <w:spacing w:before="60" w:after="60"/>
              <w:rPr>
                <w:rFonts w:ascii="Arial" w:hAnsi="Arial"/>
                <w:i/>
                <w:color w:val="000000"/>
                <w:sz w:val="16"/>
                <w:szCs w:val="16"/>
              </w:rPr>
            </w:pPr>
            <w:r w:rsidRPr="003E76E7">
              <w:rPr>
                <w:rFonts w:ascii="Arial" w:hAnsi="Arial"/>
                <w:sz w:val="16"/>
                <w:szCs w:val="16"/>
                <w:lang w:val="en-AU"/>
              </w:rPr>
              <w:t>80 per cent or more of approved Integrated Investment Program projects across all domains are on track to deliver within Government approved scope, schedule, and cost (including contingency).</w:t>
            </w:r>
          </w:p>
        </w:tc>
      </w:tr>
      <w:tr w:rsidR="000428E7" w:rsidRPr="003E76E7" w14:paraId="72B3A3DB" w14:textId="77777777" w:rsidTr="000E1A17">
        <w:trPr>
          <w:trHeight w:val="740"/>
        </w:trPr>
        <w:tc>
          <w:tcPr>
            <w:tcW w:w="1799" w:type="dxa"/>
            <w:vMerge/>
            <w:tcBorders>
              <w:right w:val="single" w:sz="4" w:space="0" w:color="auto"/>
            </w:tcBorders>
            <w:shd w:val="clear" w:color="auto" w:fill="auto"/>
          </w:tcPr>
          <w:p w14:paraId="2B9438DE" w14:textId="77777777" w:rsidR="000428E7" w:rsidRPr="003E76E7" w:rsidRDefault="000428E7" w:rsidP="00C4292D">
            <w:pPr>
              <w:tabs>
                <w:tab w:val="left" w:pos="709"/>
              </w:tabs>
              <w:spacing w:before="60" w:after="60"/>
              <w:rPr>
                <w:rFonts w:ascii="Arial" w:hAnsi="Arial"/>
                <w:color w:val="000000"/>
                <w:sz w:val="16"/>
                <w:szCs w:val="16"/>
              </w:rPr>
            </w:pPr>
          </w:p>
        </w:tc>
        <w:tc>
          <w:tcPr>
            <w:tcW w:w="3174" w:type="dxa"/>
            <w:tcBorders>
              <w:top w:val="single" w:sz="4" w:space="0" w:color="auto"/>
              <w:left w:val="single" w:sz="4" w:space="0" w:color="auto"/>
              <w:bottom w:val="single" w:sz="4" w:space="0" w:color="auto"/>
              <w:right w:val="single" w:sz="4" w:space="0" w:color="auto"/>
            </w:tcBorders>
            <w:shd w:val="clear" w:color="auto" w:fill="auto"/>
          </w:tcPr>
          <w:p w14:paraId="70566FBE" w14:textId="757E4BE3" w:rsidR="000428E7" w:rsidRPr="003E76E7" w:rsidRDefault="000428E7" w:rsidP="00C4292D">
            <w:pPr>
              <w:tabs>
                <w:tab w:val="left" w:pos="709"/>
              </w:tabs>
              <w:spacing w:before="60" w:after="60"/>
              <w:rPr>
                <w:rFonts w:ascii="Arial" w:hAnsi="Arial"/>
                <w:color w:val="000000"/>
                <w:sz w:val="16"/>
                <w:szCs w:val="16"/>
              </w:rPr>
            </w:pPr>
            <w:r w:rsidRPr="003E76E7">
              <w:rPr>
                <w:rFonts w:ascii="Arial" w:hAnsi="Arial"/>
                <w:sz w:val="16"/>
                <w:szCs w:val="16"/>
                <w:lang w:val="en-AU"/>
              </w:rPr>
              <w:t xml:space="preserve">7.1: Defence strengthens the sovereign defence industrial base through investment and domestic manufacture. </w:t>
            </w:r>
          </w:p>
        </w:tc>
        <w:tc>
          <w:tcPr>
            <w:tcW w:w="3379" w:type="dxa"/>
            <w:tcBorders>
              <w:top w:val="single" w:sz="4" w:space="0" w:color="auto"/>
              <w:left w:val="single" w:sz="4" w:space="0" w:color="auto"/>
              <w:bottom w:val="single" w:sz="4" w:space="0" w:color="auto"/>
            </w:tcBorders>
            <w:shd w:val="clear" w:color="auto" w:fill="auto"/>
          </w:tcPr>
          <w:p w14:paraId="3F09B6B9" w14:textId="61B306CC" w:rsidR="000428E7" w:rsidRPr="003E76E7" w:rsidRDefault="000428E7" w:rsidP="00C4292D">
            <w:pPr>
              <w:spacing w:before="60" w:after="60"/>
              <w:rPr>
                <w:rFonts w:ascii="Arial" w:hAnsi="Arial"/>
                <w:i/>
                <w:color w:val="000000"/>
                <w:sz w:val="16"/>
                <w:szCs w:val="16"/>
              </w:rPr>
            </w:pPr>
            <w:r w:rsidRPr="003E76E7">
              <w:rPr>
                <w:rFonts w:ascii="Arial" w:hAnsi="Arial"/>
                <w:color w:val="000000"/>
                <w:sz w:val="16"/>
                <w:szCs w:val="16"/>
                <w:lang w:val="en-AU"/>
              </w:rPr>
              <w:t xml:space="preserve">Defence awards </w:t>
            </w:r>
            <w:r w:rsidRPr="003E76E7">
              <w:rPr>
                <w:rFonts w:ascii="Arial" w:hAnsi="Arial"/>
                <w:color w:val="000000"/>
                <w:sz w:val="16"/>
                <w:szCs w:val="16"/>
              </w:rPr>
              <w:t xml:space="preserve">95 per cent or more of the Defence Industry Development Grant Program budgeted allocation; increases the number of companies exporting and value of exports; increases the direct economic contribution to the Australian economy; maintains investment in innovation, science and technology to deliver </w:t>
            </w:r>
            <w:r w:rsidR="00B57F20" w:rsidRPr="003E76E7">
              <w:rPr>
                <w:rFonts w:ascii="Arial" w:hAnsi="Arial"/>
                <w:color w:val="000000"/>
                <w:sz w:val="16"/>
                <w:szCs w:val="16"/>
              </w:rPr>
              <w:t>d</w:t>
            </w:r>
            <w:r w:rsidR="00486370" w:rsidRPr="003E76E7">
              <w:rPr>
                <w:rFonts w:ascii="Arial" w:hAnsi="Arial"/>
                <w:color w:val="000000"/>
                <w:sz w:val="16"/>
                <w:szCs w:val="16"/>
              </w:rPr>
              <w:t>efence</w:t>
            </w:r>
            <w:r w:rsidRPr="003E76E7">
              <w:rPr>
                <w:rFonts w:ascii="Arial" w:hAnsi="Arial"/>
                <w:color w:val="000000"/>
                <w:sz w:val="16"/>
                <w:szCs w:val="16"/>
              </w:rPr>
              <w:t xml:space="preserve"> priorities; supports the development of the domestic manufacture of guided weapons, explosive ordnance and munitions; and meets industrial uplift milestones for the Continuous Naval Shipbuilding Program.</w:t>
            </w:r>
          </w:p>
        </w:tc>
      </w:tr>
      <w:tr w:rsidR="0092056F" w:rsidRPr="003E76E7" w14:paraId="77CB23F5" w14:textId="77777777" w:rsidTr="000E1A17">
        <w:trPr>
          <w:trHeight w:val="249"/>
        </w:trPr>
        <w:tc>
          <w:tcPr>
            <w:tcW w:w="1799" w:type="dxa"/>
            <w:tcBorders>
              <w:top w:val="single" w:sz="4" w:space="0" w:color="auto"/>
              <w:bottom w:val="single" w:sz="4" w:space="0" w:color="auto"/>
              <w:right w:val="single" w:sz="4" w:space="0" w:color="auto"/>
            </w:tcBorders>
            <w:vAlign w:val="center"/>
          </w:tcPr>
          <w:p w14:paraId="735C39BE" w14:textId="1E1CA1E3" w:rsidR="0092056F" w:rsidRPr="003E76E7" w:rsidRDefault="0092056F" w:rsidP="00C4292D">
            <w:pPr>
              <w:tabs>
                <w:tab w:val="left" w:pos="709"/>
              </w:tabs>
              <w:spacing w:before="0" w:after="0"/>
              <w:rPr>
                <w:rFonts w:ascii="Arial" w:hAnsi="Arial"/>
                <w:color w:val="000000"/>
                <w:sz w:val="16"/>
                <w:szCs w:val="16"/>
              </w:rPr>
            </w:pPr>
            <w:r w:rsidRPr="003E76E7">
              <w:rPr>
                <w:rFonts w:ascii="Arial" w:hAnsi="Arial"/>
                <w:b/>
                <w:color w:val="000000"/>
                <w:sz w:val="16"/>
                <w:szCs w:val="16"/>
              </w:rPr>
              <w:t>Year</w:t>
            </w:r>
          </w:p>
        </w:tc>
        <w:tc>
          <w:tcPr>
            <w:tcW w:w="3174" w:type="dxa"/>
            <w:tcBorders>
              <w:top w:val="single" w:sz="4" w:space="0" w:color="auto"/>
              <w:left w:val="single" w:sz="4" w:space="0" w:color="auto"/>
              <w:bottom w:val="single" w:sz="4" w:space="0" w:color="auto"/>
              <w:right w:val="single" w:sz="4" w:space="0" w:color="auto"/>
            </w:tcBorders>
            <w:shd w:val="clear" w:color="auto" w:fill="auto"/>
            <w:vAlign w:val="center"/>
          </w:tcPr>
          <w:p w14:paraId="34201726" w14:textId="7A6E79BA" w:rsidR="0092056F" w:rsidRPr="003E76E7" w:rsidRDefault="00AD14EC" w:rsidP="00C4292D">
            <w:pPr>
              <w:tabs>
                <w:tab w:val="left" w:pos="709"/>
              </w:tabs>
              <w:spacing w:before="60" w:after="60"/>
              <w:rPr>
                <w:rFonts w:ascii="Arial" w:hAnsi="Arial"/>
                <w:color w:val="000000"/>
                <w:sz w:val="16"/>
                <w:szCs w:val="16"/>
              </w:rPr>
            </w:pPr>
            <w:r w:rsidRPr="003E76E7">
              <w:rPr>
                <w:rFonts w:ascii="Arial" w:hAnsi="Arial"/>
                <w:b/>
                <w:color w:val="000000"/>
                <w:sz w:val="16"/>
                <w:szCs w:val="16"/>
              </w:rPr>
              <w:t>Performance Measures</w:t>
            </w:r>
          </w:p>
        </w:tc>
        <w:tc>
          <w:tcPr>
            <w:tcW w:w="3379" w:type="dxa"/>
            <w:tcBorders>
              <w:top w:val="single" w:sz="4" w:space="0" w:color="auto"/>
              <w:left w:val="single" w:sz="4" w:space="0" w:color="auto"/>
              <w:bottom w:val="single" w:sz="4" w:space="0" w:color="auto"/>
            </w:tcBorders>
            <w:shd w:val="clear" w:color="auto" w:fill="auto"/>
            <w:vAlign w:val="center"/>
          </w:tcPr>
          <w:p w14:paraId="4E24E0A6" w14:textId="5567DCA5" w:rsidR="0092056F" w:rsidRPr="003E76E7" w:rsidRDefault="0092056F" w:rsidP="00C4292D">
            <w:pPr>
              <w:tabs>
                <w:tab w:val="left" w:pos="709"/>
              </w:tabs>
              <w:spacing w:before="60" w:after="60"/>
              <w:rPr>
                <w:rFonts w:ascii="Arial" w:hAnsi="Arial"/>
                <w:color w:val="000000"/>
                <w:sz w:val="16"/>
                <w:szCs w:val="16"/>
              </w:rPr>
            </w:pPr>
            <w:r w:rsidRPr="003E76E7">
              <w:rPr>
                <w:rFonts w:ascii="Arial" w:hAnsi="Arial"/>
                <w:b/>
                <w:color w:val="000000"/>
                <w:sz w:val="16"/>
                <w:szCs w:val="16"/>
              </w:rPr>
              <w:t>Planned Performance Results</w:t>
            </w:r>
          </w:p>
        </w:tc>
      </w:tr>
      <w:tr w:rsidR="0092056F" w:rsidRPr="003E76E7" w14:paraId="1474B7E1" w14:textId="77777777" w:rsidTr="000E1A17">
        <w:trPr>
          <w:trHeight w:val="508"/>
        </w:trPr>
        <w:tc>
          <w:tcPr>
            <w:tcW w:w="1799" w:type="dxa"/>
            <w:tcBorders>
              <w:top w:val="single" w:sz="4" w:space="0" w:color="auto"/>
              <w:bottom w:val="single" w:sz="4" w:space="0" w:color="auto"/>
              <w:right w:val="single" w:sz="4" w:space="0" w:color="auto"/>
            </w:tcBorders>
            <w:vAlign w:val="center"/>
          </w:tcPr>
          <w:p w14:paraId="70A201CA" w14:textId="77777777" w:rsidR="0092056F" w:rsidRPr="003E76E7" w:rsidRDefault="0092056F" w:rsidP="00C4292D">
            <w:pPr>
              <w:tabs>
                <w:tab w:val="left" w:pos="709"/>
              </w:tabs>
              <w:spacing w:before="0" w:after="0"/>
              <w:rPr>
                <w:rFonts w:ascii="Arial" w:hAnsi="Arial"/>
                <w:color w:val="000000"/>
                <w:sz w:val="16"/>
                <w:szCs w:val="16"/>
              </w:rPr>
            </w:pPr>
            <w:r w:rsidRPr="003E76E7">
              <w:rPr>
                <w:rFonts w:ascii="Arial" w:hAnsi="Arial"/>
                <w:color w:val="000000"/>
                <w:sz w:val="16"/>
                <w:szCs w:val="16"/>
              </w:rPr>
              <w:t>Forward Estimates</w:t>
            </w:r>
          </w:p>
          <w:p w14:paraId="122B9EB1" w14:textId="03007D47" w:rsidR="0092056F" w:rsidRPr="003E76E7" w:rsidRDefault="0092056F" w:rsidP="00C4292D">
            <w:pPr>
              <w:tabs>
                <w:tab w:val="left" w:pos="709"/>
              </w:tabs>
              <w:spacing w:before="0" w:after="0"/>
              <w:rPr>
                <w:rFonts w:ascii="Arial" w:hAnsi="Arial"/>
                <w:b/>
                <w:color w:val="000000"/>
                <w:sz w:val="16"/>
                <w:szCs w:val="16"/>
              </w:rPr>
            </w:pPr>
            <w:r w:rsidRPr="003E76E7">
              <w:rPr>
                <w:rFonts w:ascii="Arial" w:hAnsi="Arial"/>
                <w:color w:val="000000"/>
                <w:sz w:val="16"/>
                <w:szCs w:val="16"/>
              </w:rPr>
              <w:t>2027-30</w:t>
            </w:r>
          </w:p>
        </w:tc>
        <w:tc>
          <w:tcPr>
            <w:tcW w:w="3174" w:type="dxa"/>
            <w:tcBorders>
              <w:top w:val="single" w:sz="4" w:space="0" w:color="auto"/>
              <w:left w:val="single" w:sz="4" w:space="0" w:color="auto"/>
              <w:bottom w:val="single" w:sz="4" w:space="0" w:color="auto"/>
              <w:right w:val="single" w:sz="4" w:space="0" w:color="auto"/>
            </w:tcBorders>
            <w:shd w:val="clear" w:color="auto" w:fill="auto"/>
            <w:vAlign w:val="center"/>
          </w:tcPr>
          <w:p w14:paraId="2E73ACF7" w14:textId="654CEC0B" w:rsidR="0092056F" w:rsidRPr="003E76E7" w:rsidRDefault="0092056F" w:rsidP="00C4292D">
            <w:pPr>
              <w:tabs>
                <w:tab w:val="left" w:pos="709"/>
              </w:tabs>
              <w:spacing w:before="60" w:after="60"/>
              <w:rPr>
                <w:rFonts w:ascii="Arial" w:hAnsi="Arial"/>
                <w:b/>
                <w:color w:val="000000"/>
                <w:sz w:val="16"/>
                <w:szCs w:val="16"/>
              </w:rPr>
            </w:pPr>
            <w:r w:rsidRPr="003E76E7">
              <w:rPr>
                <w:rFonts w:ascii="Arial" w:hAnsi="Arial"/>
                <w:color w:val="000000"/>
                <w:sz w:val="16"/>
                <w:szCs w:val="16"/>
              </w:rPr>
              <w:t>As per 2026-27.</w:t>
            </w:r>
          </w:p>
        </w:tc>
        <w:tc>
          <w:tcPr>
            <w:tcW w:w="3379" w:type="dxa"/>
            <w:tcBorders>
              <w:top w:val="single" w:sz="4" w:space="0" w:color="auto"/>
              <w:left w:val="single" w:sz="4" w:space="0" w:color="auto"/>
              <w:bottom w:val="single" w:sz="4" w:space="0" w:color="auto"/>
            </w:tcBorders>
            <w:shd w:val="clear" w:color="auto" w:fill="auto"/>
            <w:vAlign w:val="center"/>
          </w:tcPr>
          <w:p w14:paraId="26BF5035" w14:textId="53084ABF" w:rsidR="0092056F" w:rsidRPr="003E76E7" w:rsidRDefault="0092056F" w:rsidP="00C4292D">
            <w:pPr>
              <w:tabs>
                <w:tab w:val="left" w:pos="709"/>
              </w:tabs>
              <w:spacing w:before="60" w:after="60"/>
              <w:rPr>
                <w:rFonts w:ascii="Arial" w:hAnsi="Arial"/>
                <w:b/>
                <w:color w:val="000000"/>
                <w:sz w:val="16"/>
                <w:szCs w:val="16"/>
              </w:rPr>
            </w:pPr>
            <w:r w:rsidRPr="003E76E7">
              <w:rPr>
                <w:rFonts w:ascii="Arial" w:hAnsi="Arial"/>
                <w:color w:val="000000"/>
                <w:sz w:val="16"/>
                <w:szCs w:val="16"/>
              </w:rPr>
              <w:t>As per 2026-27.</w:t>
            </w:r>
          </w:p>
        </w:tc>
      </w:tr>
      <w:tr w:rsidR="0092056F" w:rsidRPr="003E76E7" w14:paraId="24F6E21C" w14:textId="77777777" w:rsidTr="0004322A">
        <w:tblPrEx>
          <w:shd w:val="clear" w:color="auto" w:fill="auto"/>
          <w:tblLook w:val="04A0" w:firstRow="1" w:lastRow="0" w:firstColumn="1" w:lastColumn="0" w:noHBand="0" w:noVBand="1"/>
        </w:tblPrEx>
        <w:trPr>
          <w:trHeight w:val="291"/>
        </w:trPr>
        <w:tc>
          <w:tcPr>
            <w:tcW w:w="8352" w:type="dxa"/>
            <w:gridSpan w:val="3"/>
            <w:tcBorders>
              <w:top w:val="single" w:sz="4" w:space="0" w:color="auto"/>
            </w:tcBorders>
          </w:tcPr>
          <w:p w14:paraId="5CBEF62C" w14:textId="1A937CF6" w:rsidR="0092056F" w:rsidRPr="003E76E7" w:rsidRDefault="0092056F" w:rsidP="00C4292D">
            <w:pPr>
              <w:tabs>
                <w:tab w:val="left" w:pos="709"/>
              </w:tabs>
              <w:spacing w:before="60" w:after="60"/>
              <w:rPr>
                <w:rFonts w:ascii="Arial" w:eastAsia="Cambria" w:hAnsi="Arial"/>
                <w:bCs/>
                <w:iCs/>
                <w:color w:val="000000"/>
                <w:spacing w:val="-6"/>
                <w:sz w:val="16"/>
                <w:szCs w:val="16"/>
                <w:lang w:val="x-none"/>
              </w:rPr>
            </w:pPr>
            <w:r w:rsidRPr="003E76E7">
              <w:rPr>
                <w:rFonts w:ascii="Arial" w:hAnsi="Arial"/>
                <w:color w:val="000000"/>
                <w:sz w:val="16"/>
                <w:szCs w:val="16"/>
              </w:rPr>
              <w:t>Material changes to Program 2.3 resulting from 2026-27 Budget Measures:</w:t>
            </w:r>
            <w:r w:rsidRPr="003E76E7">
              <w:rPr>
                <w:rStyle w:val="BodyTextChar"/>
                <w:rFonts w:ascii="Arial" w:hAnsi="Arial"/>
                <w:bCs/>
                <w:iCs/>
                <w:color w:val="000000"/>
                <w:spacing w:val="-6"/>
                <w:sz w:val="16"/>
                <w:szCs w:val="16"/>
              </w:rPr>
              <w:t xml:space="preserve"> Nil.</w:t>
            </w:r>
          </w:p>
        </w:tc>
      </w:tr>
    </w:tbl>
    <w:p w14:paraId="2E4D03C5" w14:textId="77777777" w:rsidR="00737EBD" w:rsidRPr="003E76E7" w:rsidRDefault="00737EBD" w:rsidP="00C4292D">
      <w:pPr>
        <w:spacing w:before="0" w:after="0"/>
        <w:rPr>
          <w:rFonts w:ascii="Arial" w:hAnsi="Arial"/>
          <w:sz w:val="14"/>
          <w:szCs w:val="16"/>
        </w:rPr>
      </w:pPr>
    </w:p>
    <w:p w14:paraId="029713D0" w14:textId="7857E510" w:rsidR="000428E7" w:rsidRPr="003E76E7" w:rsidRDefault="000428E7" w:rsidP="00C4292D">
      <w:pPr>
        <w:pStyle w:val="TableHeading"/>
        <w:spacing w:before="0" w:after="0"/>
        <w:rPr>
          <w:sz w:val="14"/>
          <w:szCs w:val="14"/>
          <w:lang w:val="en-AU"/>
        </w:rPr>
      </w:pPr>
      <w:r w:rsidRPr="003E76E7">
        <w:rPr>
          <w:sz w:val="14"/>
          <w:szCs w:val="14"/>
          <w:lang w:val="en-AU"/>
        </w:rPr>
        <w:t>Note</w:t>
      </w:r>
      <w:r w:rsidR="00BC1946" w:rsidRPr="003E76E7">
        <w:rPr>
          <w:sz w:val="14"/>
          <w:szCs w:val="14"/>
          <w:lang w:val="en-AU"/>
        </w:rPr>
        <w:t>s</w:t>
      </w:r>
    </w:p>
    <w:p w14:paraId="78DFBE64" w14:textId="77777777" w:rsidR="000428E7" w:rsidRPr="003E76E7" w:rsidRDefault="000428E7" w:rsidP="00C4292D">
      <w:pPr>
        <w:pStyle w:val="TableHeading"/>
        <w:numPr>
          <w:ilvl w:val="0"/>
          <w:numId w:val="43"/>
        </w:numPr>
        <w:tabs>
          <w:tab w:val="left" w:pos="284"/>
        </w:tabs>
        <w:spacing w:before="0" w:after="0"/>
        <w:ind w:left="284" w:hanging="283"/>
        <w:rPr>
          <w:b w:val="0"/>
          <w:sz w:val="14"/>
          <w:szCs w:val="14"/>
        </w:rPr>
      </w:pPr>
      <w:r w:rsidRPr="003E76E7">
        <w:rPr>
          <w:b w:val="0"/>
          <w:sz w:val="14"/>
          <w:szCs w:val="14"/>
        </w:rPr>
        <w:t xml:space="preserve">Key activity 7 has been amended for 2025-26, as published in the </w:t>
      </w:r>
      <w:r w:rsidRPr="003E76E7">
        <w:rPr>
          <w:b w:val="0"/>
          <w:i/>
          <w:sz w:val="14"/>
          <w:szCs w:val="14"/>
        </w:rPr>
        <w:t>2025-29 Defence Corporate Plan.</w:t>
      </w:r>
    </w:p>
    <w:p w14:paraId="3A980C80" w14:textId="358C0B56" w:rsidR="000428E7" w:rsidRPr="003E76E7" w:rsidRDefault="000428E7" w:rsidP="00C4292D">
      <w:pPr>
        <w:pStyle w:val="TableHeading"/>
        <w:numPr>
          <w:ilvl w:val="0"/>
          <w:numId w:val="43"/>
        </w:numPr>
        <w:tabs>
          <w:tab w:val="left" w:pos="284"/>
        </w:tabs>
        <w:spacing w:before="0" w:after="0"/>
        <w:ind w:left="284" w:hanging="283"/>
        <w:rPr>
          <w:b w:val="0"/>
          <w:i/>
          <w:sz w:val="14"/>
          <w:szCs w:val="14"/>
        </w:rPr>
      </w:pPr>
      <w:r w:rsidRPr="003E76E7">
        <w:rPr>
          <w:b w:val="0"/>
          <w:sz w:val="14"/>
          <w:szCs w:val="14"/>
        </w:rPr>
        <w:t>Performance Measures 6.1 and 7</w:t>
      </w:r>
      <w:r w:rsidR="00E447C0">
        <w:rPr>
          <w:b w:val="0"/>
          <w:sz w:val="14"/>
          <w:szCs w:val="14"/>
        </w:rPr>
        <w:t>.</w:t>
      </w:r>
      <w:r w:rsidRPr="003E76E7">
        <w:rPr>
          <w:b w:val="0"/>
          <w:sz w:val="14"/>
          <w:szCs w:val="14"/>
        </w:rPr>
        <w:t xml:space="preserve">1 have been amended for 2025-26, as published in the </w:t>
      </w:r>
      <w:r w:rsidRPr="003E76E7">
        <w:rPr>
          <w:b w:val="0"/>
          <w:i/>
          <w:sz w:val="14"/>
          <w:szCs w:val="14"/>
        </w:rPr>
        <w:t xml:space="preserve">2025-29 Defence Corporate Plan. </w:t>
      </w:r>
    </w:p>
    <w:p w14:paraId="762452F4" w14:textId="758E6B88" w:rsidR="00367BBF" w:rsidRPr="003E76E7" w:rsidRDefault="000428E7" w:rsidP="00C4292D">
      <w:pPr>
        <w:pStyle w:val="TableHeading"/>
        <w:numPr>
          <w:ilvl w:val="0"/>
          <w:numId w:val="43"/>
        </w:numPr>
        <w:tabs>
          <w:tab w:val="left" w:pos="284"/>
        </w:tabs>
        <w:spacing w:before="0" w:after="0"/>
        <w:ind w:left="284" w:hanging="283"/>
        <w:rPr>
          <w:b w:val="0"/>
          <w:sz w:val="14"/>
          <w:szCs w:val="14"/>
          <w:lang w:val="en-AU"/>
        </w:rPr>
      </w:pPr>
      <w:r w:rsidRPr="003E76E7">
        <w:rPr>
          <w:b w:val="0"/>
          <w:sz w:val="14"/>
          <w:szCs w:val="14"/>
          <w:lang w:val="en-AU"/>
        </w:rPr>
        <w:t xml:space="preserve">In accordance with Defence’s Enterprise Performance Framework, Defence is undertaking materiality assessments that may result in updates to the 2026-27 performance information in the 2026-30 Defence Corporate Plan, if required. </w:t>
      </w:r>
    </w:p>
    <w:p w14:paraId="02A45646" w14:textId="60A91BE0" w:rsidR="000428E7" w:rsidRPr="003E76E7" w:rsidRDefault="00367BBF" w:rsidP="00C4292D">
      <w:pPr>
        <w:spacing w:before="0" w:after="0"/>
        <w:rPr>
          <w:b/>
          <w:sz w:val="14"/>
          <w:szCs w:val="14"/>
          <w:lang w:val="en-AU"/>
        </w:rPr>
      </w:pPr>
      <w:r w:rsidRPr="003E76E7">
        <w:rPr>
          <w:b/>
          <w:sz w:val="14"/>
          <w:szCs w:val="14"/>
          <w:lang w:val="en-AU"/>
        </w:rPr>
        <w:br w:type="page"/>
      </w:r>
    </w:p>
    <w:p w14:paraId="189F24FF" w14:textId="45F67454" w:rsidR="00BF36E5" w:rsidRPr="003E76E7" w:rsidRDefault="00BF36E5" w:rsidP="00C4292D">
      <w:pPr>
        <w:pStyle w:val="TableHeading"/>
        <w:numPr>
          <w:ilvl w:val="0"/>
          <w:numId w:val="61"/>
        </w:numPr>
        <w:spacing w:before="100"/>
        <w:ind w:left="0" w:firstLine="0"/>
        <w:outlineLvl w:val="4"/>
      </w:pPr>
      <w:r w:rsidRPr="003E76E7">
        <w:rPr>
          <w:lang w:val="en-AU"/>
        </w:rPr>
        <w:lastRenderedPageBreak/>
        <w:t xml:space="preserve">Cost Summary for Program 2.3 </w:t>
      </w:r>
      <w:r w:rsidR="009C2E7E" w:rsidRPr="003E76E7">
        <w:rPr>
          <w:lang w:val="en-AU"/>
        </w:rPr>
        <w:t xml:space="preserve">Defence </w:t>
      </w:r>
      <w:r w:rsidRPr="003E76E7">
        <w:rPr>
          <w:lang w:val="en-AU"/>
        </w:rPr>
        <w:t>Fi</w:t>
      </w:r>
      <w:r w:rsidR="00965956" w:rsidRPr="003E76E7">
        <w:rPr>
          <w:lang w:val="en-AU"/>
        </w:rPr>
        <w:t>nance</w:t>
      </w:r>
      <w:r w:rsidR="00BD74D3" w:rsidRPr="003E76E7">
        <w:rPr>
          <w:lang w:val="en-AU"/>
        </w:rPr>
        <w:t xml:space="preserve"> </w:t>
      </w:r>
      <w:r w:rsidR="00BD74D3" w:rsidRPr="003E76E7">
        <w:rPr>
          <w:vertAlign w:val="superscript"/>
          <w:lang w:val="en-AU"/>
        </w:rPr>
        <w:t>[a]</w:t>
      </w:r>
      <w:r w:rsidR="00CE75A7" w:rsidRPr="003E76E7">
        <w:rPr>
          <w:rFonts w:ascii="Arial Bold" w:hAnsi="Arial Bold"/>
          <w:vertAlign w:val="superscript"/>
        </w:rPr>
        <w:t xml:space="preserve"> </w:t>
      </w:r>
    </w:p>
    <w:p w14:paraId="3D2EE98A" w14:textId="593CD1BD" w:rsidR="00656D60" w:rsidRPr="003E76E7" w:rsidRDefault="004E7650" w:rsidP="00C4292D">
      <w:pPr>
        <w:spacing w:after="0"/>
        <w:rPr>
          <w:rFonts w:ascii="Arial" w:hAnsi="Arial"/>
          <w:sz w:val="14"/>
          <w:szCs w:val="14"/>
          <w:lang w:val="en-AU"/>
        </w:rPr>
      </w:pPr>
      <w:r w:rsidRPr="004E7650">
        <w:rPr>
          <w:noProof/>
          <w:lang w:val="en-AU"/>
        </w:rPr>
        <w:drawing>
          <wp:inline distT="0" distB="0" distL="0" distR="0" wp14:anchorId="41125F50" wp14:editId="7437B7EE">
            <wp:extent cx="5471795" cy="2835246"/>
            <wp:effectExtent l="0" t="0" r="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71795" cy="2835246"/>
                    </a:xfrm>
                    <a:prstGeom prst="rect">
                      <a:avLst/>
                    </a:prstGeom>
                    <a:noFill/>
                    <a:ln>
                      <a:noFill/>
                    </a:ln>
                  </pic:spPr>
                </pic:pic>
              </a:graphicData>
            </a:graphic>
          </wp:inline>
        </w:drawing>
      </w:r>
    </w:p>
    <w:p w14:paraId="62731777" w14:textId="77777777" w:rsidR="00190A21" w:rsidRPr="003E76E7" w:rsidRDefault="00190A21" w:rsidP="00C4292D">
      <w:pPr>
        <w:spacing w:before="0" w:after="0"/>
        <w:rPr>
          <w:rFonts w:ascii="Arial" w:hAnsi="Arial"/>
          <w:b/>
          <w:sz w:val="14"/>
          <w:szCs w:val="14"/>
          <w:lang w:val="en-AU"/>
        </w:rPr>
      </w:pPr>
    </w:p>
    <w:p w14:paraId="4BC227F4" w14:textId="4E3BAD45" w:rsidR="00344B37" w:rsidRPr="003E76E7" w:rsidRDefault="00BD74D3" w:rsidP="00C4292D">
      <w:pPr>
        <w:spacing w:before="0" w:after="0"/>
        <w:rPr>
          <w:rFonts w:ascii="Arial" w:hAnsi="Arial"/>
          <w:b/>
          <w:sz w:val="14"/>
          <w:szCs w:val="14"/>
          <w:lang w:val="en-AU"/>
        </w:rPr>
      </w:pPr>
      <w:r w:rsidRPr="003E76E7">
        <w:rPr>
          <w:rFonts w:ascii="Arial" w:hAnsi="Arial"/>
          <w:b/>
          <w:sz w:val="14"/>
          <w:szCs w:val="14"/>
          <w:lang w:val="en-AU"/>
        </w:rPr>
        <w:t>Notes</w:t>
      </w:r>
    </w:p>
    <w:p w14:paraId="70731EB9" w14:textId="13E0A2AD" w:rsidR="00875954" w:rsidRPr="003E76E7" w:rsidRDefault="00875954" w:rsidP="00C4292D">
      <w:pPr>
        <w:pStyle w:val="ListParagraph"/>
        <w:numPr>
          <w:ilvl w:val="0"/>
          <w:numId w:val="110"/>
        </w:numPr>
        <w:spacing w:before="0" w:after="0"/>
        <w:ind w:left="284" w:hanging="284"/>
        <w:rPr>
          <w:rFonts w:ascii="Arial" w:hAnsi="Arial"/>
          <w:sz w:val="14"/>
          <w:szCs w:val="14"/>
          <w:lang w:val="en-AU"/>
        </w:rPr>
      </w:pPr>
      <w:r w:rsidRPr="003E76E7">
        <w:rPr>
          <w:rFonts w:ascii="Arial" w:hAnsi="Arial"/>
          <w:sz w:val="14"/>
          <w:szCs w:val="14"/>
          <w:lang w:val="en-AU"/>
        </w:rPr>
        <w:t>The Defence Finance Program includes budget adjustments applied at the whole of Defence level, and not otherwise applied to other programs.</w:t>
      </w:r>
    </w:p>
    <w:p w14:paraId="0B6EA482" w14:textId="0A47655C" w:rsidR="00875954" w:rsidRPr="003E76E7" w:rsidRDefault="00875954" w:rsidP="00C4292D">
      <w:pPr>
        <w:pStyle w:val="ListParagraph"/>
        <w:numPr>
          <w:ilvl w:val="0"/>
          <w:numId w:val="110"/>
        </w:numPr>
        <w:spacing w:before="0" w:after="0"/>
        <w:ind w:left="284" w:hanging="284"/>
        <w:rPr>
          <w:rFonts w:ascii="Arial" w:hAnsi="Arial"/>
          <w:sz w:val="14"/>
          <w:szCs w:val="14"/>
          <w:lang w:val="en-AU"/>
        </w:rPr>
      </w:pPr>
      <w:r w:rsidRPr="003E76E7">
        <w:rPr>
          <w:rFonts w:ascii="Arial" w:hAnsi="Arial"/>
          <w:sz w:val="14"/>
          <w:szCs w:val="14"/>
          <w:lang w:val="en-AU"/>
        </w:rPr>
        <w:t xml:space="preserve">Employee </w:t>
      </w:r>
      <w:r w:rsidR="007C6DAA">
        <w:rPr>
          <w:rFonts w:ascii="Arial" w:hAnsi="Arial"/>
          <w:sz w:val="14"/>
          <w:szCs w:val="14"/>
          <w:lang w:val="en-AU"/>
        </w:rPr>
        <w:t>b</w:t>
      </w:r>
      <w:r w:rsidRPr="003E76E7">
        <w:rPr>
          <w:rFonts w:ascii="Arial" w:hAnsi="Arial"/>
          <w:sz w:val="14"/>
          <w:szCs w:val="14"/>
          <w:lang w:val="en-AU"/>
        </w:rPr>
        <w:t>udget for whole of Defence Full Time Equivalent (FTE) is held in this Program from time to time for future prioritisation.</w:t>
      </w:r>
      <w:r w:rsidRPr="003E76E7">
        <w:rPr>
          <w:rFonts w:ascii="Arial" w:hAnsi="Arial"/>
          <w:sz w:val="14"/>
          <w:szCs w:val="14"/>
          <w:lang w:val="en-AU"/>
        </w:rPr>
        <w:tab/>
      </w:r>
      <w:r w:rsidRPr="003E76E7">
        <w:rPr>
          <w:rFonts w:ascii="Arial" w:hAnsi="Arial"/>
          <w:sz w:val="14"/>
          <w:szCs w:val="14"/>
          <w:lang w:val="en-AU"/>
        </w:rPr>
        <w:tab/>
      </w:r>
      <w:r w:rsidRPr="003E76E7">
        <w:rPr>
          <w:rFonts w:ascii="Arial" w:hAnsi="Arial"/>
          <w:sz w:val="14"/>
          <w:szCs w:val="14"/>
          <w:lang w:val="en-AU"/>
        </w:rPr>
        <w:tab/>
      </w:r>
      <w:r w:rsidRPr="003E76E7">
        <w:rPr>
          <w:rFonts w:ascii="Arial" w:hAnsi="Arial"/>
          <w:sz w:val="14"/>
          <w:szCs w:val="14"/>
          <w:lang w:val="en-AU"/>
        </w:rPr>
        <w:tab/>
      </w:r>
      <w:r w:rsidRPr="003E76E7">
        <w:rPr>
          <w:rFonts w:ascii="Arial" w:hAnsi="Arial"/>
          <w:sz w:val="14"/>
          <w:szCs w:val="14"/>
          <w:lang w:val="en-AU"/>
        </w:rPr>
        <w:tab/>
      </w:r>
    </w:p>
    <w:p w14:paraId="728386CA" w14:textId="7764A3CB" w:rsidR="00CD66E1" w:rsidRPr="003E76E7" w:rsidRDefault="00A37A36" w:rsidP="00C4292D">
      <w:pPr>
        <w:pStyle w:val="ListParagraph"/>
        <w:numPr>
          <w:ilvl w:val="0"/>
          <w:numId w:val="110"/>
        </w:numPr>
        <w:spacing w:before="0" w:after="0"/>
        <w:ind w:left="284" w:hanging="284"/>
        <w:rPr>
          <w:rFonts w:ascii="Arial" w:hAnsi="Arial"/>
          <w:sz w:val="14"/>
          <w:szCs w:val="14"/>
          <w:lang w:val="en-AU"/>
        </w:rPr>
      </w:pPr>
      <w:r w:rsidRPr="003E76E7">
        <w:rPr>
          <w:rFonts w:ascii="Arial" w:hAnsi="Arial"/>
          <w:sz w:val="14"/>
          <w:szCs w:val="14"/>
          <w:lang w:val="en-AU"/>
        </w:rPr>
        <w:t>Total program funded</w:t>
      </w:r>
      <w:r w:rsidR="00875954" w:rsidRPr="003E76E7">
        <w:rPr>
          <w:rFonts w:ascii="Arial" w:hAnsi="Arial"/>
          <w:sz w:val="14"/>
          <w:szCs w:val="14"/>
          <w:lang w:val="en-AU"/>
        </w:rPr>
        <w:t xml:space="preserve"> expenditure includes operating expenses and capital expenditure funded by appropriation and </w:t>
      </w:r>
      <w:r w:rsidR="00397940" w:rsidRPr="003E76E7">
        <w:rPr>
          <w:rFonts w:ascii="Arial" w:hAnsi="Arial"/>
          <w:sz w:val="14"/>
          <w:szCs w:val="14"/>
          <w:lang w:val="en-AU"/>
        </w:rPr>
        <w:br/>
      </w:r>
      <w:r w:rsidR="00875954" w:rsidRPr="003E76E7">
        <w:rPr>
          <w:rFonts w:ascii="Arial" w:hAnsi="Arial"/>
          <w:sz w:val="14"/>
          <w:szCs w:val="14"/>
          <w:lang w:val="en-AU"/>
        </w:rPr>
        <w:t>own source revenue. This excludes expenses not requiring appropriation.</w:t>
      </w:r>
      <w:r w:rsidR="00875954" w:rsidRPr="003E76E7">
        <w:rPr>
          <w:rFonts w:ascii="Arial" w:hAnsi="Arial"/>
          <w:sz w:val="14"/>
          <w:szCs w:val="14"/>
          <w:lang w:val="en-AU"/>
        </w:rPr>
        <w:tab/>
      </w:r>
      <w:r w:rsidR="00875954" w:rsidRPr="003E76E7">
        <w:rPr>
          <w:rFonts w:ascii="Arial" w:hAnsi="Arial"/>
          <w:sz w:val="14"/>
          <w:szCs w:val="14"/>
          <w:lang w:val="en-AU"/>
        </w:rPr>
        <w:tab/>
      </w:r>
      <w:r w:rsidR="00875954" w:rsidRPr="003E76E7">
        <w:rPr>
          <w:rFonts w:ascii="Arial" w:hAnsi="Arial"/>
          <w:sz w:val="14"/>
          <w:szCs w:val="14"/>
          <w:lang w:val="en-AU"/>
        </w:rPr>
        <w:tab/>
      </w:r>
      <w:r w:rsidR="00875954" w:rsidRPr="003E76E7">
        <w:rPr>
          <w:rFonts w:ascii="Arial" w:hAnsi="Arial"/>
          <w:sz w:val="14"/>
          <w:szCs w:val="14"/>
          <w:lang w:val="en-AU"/>
        </w:rPr>
        <w:tab/>
      </w:r>
      <w:r w:rsidR="00875954" w:rsidRPr="003E76E7">
        <w:rPr>
          <w:rFonts w:ascii="Arial" w:hAnsi="Arial"/>
          <w:sz w:val="14"/>
          <w:szCs w:val="14"/>
          <w:lang w:val="en-AU"/>
        </w:rPr>
        <w:tab/>
      </w:r>
    </w:p>
    <w:p w14:paraId="3AD6FAB4" w14:textId="77777777" w:rsidR="003867A7" w:rsidRPr="003E76E7" w:rsidRDefault="000D0E2C" w:rsidP="00C4292D">
      <w:pPr>
        <w:spacing w:before="0" w:after="0"/>
        <w:ind w:left="284" w:hanging="284"/>
        <w:rPr>
          <w:rFonts w:ascii="Arial" w:hAnsi="Arial"/>
          <w:sz w:val="14"/>
          <w:szCs w:val="14"/>
          <w:lang w:val="en-AU"/>
        </w:rPr>
      </w:pPr>
      <w:r w:rsidRPr="003E76E7">
        <w:rPr>
          <w:rFonts w:ascii="Arial" w:hAnsi="Arial"/>
          <w:sz w:val="14"/>
          <w:szCs w:val="14"/>
          <w:lang w:val="en-AU"/>
        </w:rPr>
        <w:tab/>
      </w:r>
      <w:r w:rsidRPr="003E76E7">
        <w:rPr>
          <w:rFonts w:ascii="Arial" w:hAnsi="Arial"/>
          <w:sz w:val="14"/>
          <w:szCs w:val="14"/>
          <w:lang w:val="en-AU"/>
        </w:rPr>
        <w:tab/>
      </w:r>
      <w:r w:rsidRPr="003E76E7">
        <w:rPr>
          <w:rFonts w:ascii="Arial" w:hAnsi="Arial"/>
          <w:sz w:val="14"/>
          <w:szCs w:val="14"/>
          <w:lang w:val="en-AU"/>
        </w:rPr>
        <w:tab/>
      </w:r>
      <w:r w:rsidRPr="003E76E7">
        <w:rPr>
          <w:rFonts w:ascii="Arial" w:hAnsi="Arial"/>
          <w:sz w:val="14"/>
          <w:szCs w:val="14"/>
          <w:lang w:val="en-AU"/>
        </w:rPr>
        <w:tab/>
      </w:r>
      <w:r w:rsidRPr="003E76E7">
        <w:rPr>
          <w:rFonts w:ascii="Arial" w:hAnsi="Arial"/>
          <w:sz w:val="14"/>
          <w:szCs w:val="14"/>
          <w:lang w:val="en-AU"/>
        </w:rPr>
        <w:tab/>
      </w:r>
    </w:p>
    <w:p w14:paraId="645CA707" w14:textId="77777777" w:rsidR="00E074E1" w:rsidRPr="003E76E7" w:rsidRDefault="0002483A" w:rsidP="00C4292D">
      <w:pPr>
        <w:spacing w:before="0" w:after="0"/>
        <w:outlineLvl w:val="5"/>
        <w:rPr>
          <w:color w:val="FFFFFF"/>
          <w:sz w:val="2"/>
        </w:rPr>
      </w:pPr>
      <w:r w:rsidRPr="003E76E7">
        <w:rPr>
          <w:lang w:val="en-AU"/>
        </w:rPr>
        <w:br w:type="page"/>
      </w:r>
      <w:r w:rsidR="00E074E1" w:rsidRPr="003E76E7">
        <w:rPr>
          <w:color w:val="FFFFFF"/>
          <w:sz w:val="2"/>
        </w:rPr>
        <w:lastRenderedPageBreak/>
        <w:t>Program 2.4: Joint Capabilities</w:t>
      </w:r>
    </w:p>
    <w:tbl>
      <w:tblPr>
        <w:tblW w:w="4892" w:type="pct"/>
        <w:tblInd w:w="113" w:type="dxa"/>
        <w:tblBorders>
          <w:top w:val="single" w:sz="4" w:space="0" w:color="auto"/>
          <w:left w:val="single" w:sz="4" w:space="0" w:color="auto"/>
          <w:bottom w:val="double" w:sz="4" w:space="0" w:color="auto"/>
          <w:right w:val="single" w:sz="4" w:space="0" w:color="auto"/>
          <w:insideH w:val="double" w:sz="4" w:space="0" w:color="auto"/>
          <w:insideV w:val="single" w:sz="4" w:space="0" w:color="auto"/>
        </w:tblBorders>
        <w:shd w:val="clear" w:color="auto" w:fill="CCCCCC"/>
        <w:tblLook w:val="01E0" w:firstRow="1" w:lastRow="1" w:firstColumn="1" w:lastColumn="1" w:noHBand="0" w:noVBand="0"/>
      </w:tblPr>
      <w:tblGrid>
        <w:gridCol w:w="1800"/>
        <w:gridCol w:w="3174"/>
        <w:gridCol w:w="3447"/>
      </w:tblGrid>
      <w:tr w:rsidR="0002000E" w:rsidRPr="003E76E7" w14:paraId="4D2DC493" w14:textId="77777777" w:rsidTr="000E1A17">
        <w:tc>
          <w:tcPr>
            <w:tcW w:w="8421" w:type="dxa"/>
            <w:gridSpan w:val="3"/>
            <w:tcBorders>
              <w:top w:val="single" w:sz="4" w:space="0" w:color="auto"/>
              <w:bottom w:val="single" w:sz="4" w:space="0" w:color="auto"/>
            </w:tcBorders>
            <w:shd w:val="clear" w:color="auto" w:fill="CCCCCC"/>
          </w:tcPr>
          <w:p w14:paraId="51809700" w14:textId="77777777" w:rsidR="0002000E" w:rsidRPr="003E76E7" w:rsidRDefault="0002000E" w:rsidP="00C4292D">
            <w:pPr>
              <w:pStyle w:val="Heading5"/>
            </w:pPr>
            <w:r w:rsidRPr="003E76E7">
              <w:br w:type="page"/>
            </w:r>
            <w:r w:rsidRPr="003E76E7">
              <w:br w:type="page"/>
              <w:t>Program 2.4: Joint Capabilities</w:t>
            </w:r>
          </w:p>
        </w:tc>
      </w:tr>
      <w:tr w:rsidR="0002000E" w:rsidRPr="003E76E7" w14:paraId="426621B9" w14:textId="77777777" w:rsidTr="000E1A17">
        <w:trPr>
          <w:trHeight w:val="170"/>
        </w:trPr>
        <w:tc>
          <w:tcPr>
            <w:tcW w:w="8421" w:type="dxa"/>
            <w:gridSpan w:val="3"/>
            <w:tcBorders>
              <w:top w:val="single" w:sz="4" w:space="0" w:color="auto"/>
              <w:left w:val="nil"/>
              <w:bottom w:val="single" w:sz="4" w:space="0" w:color="auto"/>
              <w:right w:val="nil"/>
            </w:tcBorders>
            <w:shd w:val="clear" w:color="auto" w:fill="auto"/>
          </w:tcPr>
          <w:p w14:paraId="6FDB129E" w14:textId="77777777" w:rsidR="0002000E" w:rsidRPr="003E76E7" w:rsidRDefault="0002000E" w:rsidP="00C4292D">
            <w:pPr>
              <w:pStyle w:val="Heading5"/>
              <w:spacing w:before="0" w:after="0"/>
              <w:rPr>
                <w:sz w:val="16"/>
                <w:szCs w:val="16"/>
              </w:rPr>
            </w:pPr>
          </w:p>
        </w:tc>
      </w:tr>
      <w:tr w:rsidR="0002000E" w:rsidRPr="003E76E7" w14:paraId="34C5904B" w14:textId="77777777" w:rsidTr="000E1A17">
        <w:tblPrEx>
          <w:shd w:val="clear" w:color="auto" w:fill="auto"/>
          <w:tblLook w:val="04A0" w:firstRow="1" w:lastRow="0" w:firstColumn="1" w:lastColumn="0" w:noHBand="0" w:noVBand="1"/>
        </w:tblPrEx>
        <w:trPr>
          <w:trHeight w:val="857"/>
          <w:tblHeader/>
        </w:trPr>
        <w:tc>
          <w:tcPr>
            <w:tcW w:w="8421" w:type="dxa"/>
            <w:gridSpan w:val="3"/>
            <w:tcBorders>
              <w:top w:val="single" w:sz="4" w:space="0" w:color="auto"/>
              <w:bottom w:val="single" w:sz="4" w:space="0" w:color="auto"/>
            </w:tcBorders>
            <w:shd w:val="clear" w:color="auto" w:fill="E6E6E6"/>
          </w:tcPr>
          <w:p w14:paraId="63288674" w14:textId="77777777" w:rsidR="0002000E" w:rsidRPr="003E76E7" w:rsidRDefault="0002000E" w:rsidP="00C4292D">
            <w:pPr>
              <w:tabs>
                <w:tab w:val="left" w:pos="709"/>
              </w:tabs>
              <w:spacing w:before="60" w:after="60"/>
              <w:rPr>
                <w:rFonts w:ascii="Arial" w:hAnsi="Arial"/>
                <w:b/>
                <w:sz w:val="16"/>
                <w:szCs w:val="16"/>
              </w:rPr>
            </w:pPr>
            <w:r w:rsidRPr="003E76E7">
              <w:rPr>
                <w:rFonts w:ascii="Arial" w:hAnsi="Arial"/>
                <w:b/>
                <w:sz w:val="16"/>
                <w:szCs w:val="16"/>
              </w:rPr>
              <w:t xml:space="preserve">Program 2.4 </w:t>
            </w:r>
            <w:r w:rsidR="00ED5D95" w:rsidRPr="003E76E7">
              <w:rPr>
                <w:rFonts w:ascii="Arial" w:hAnsi="Arial"/>
                <w:b/>
                <w:sz w:val="16"/>
                <w:szCs w:val="16"/>
              </w:rPr>
              <w:t>Objective</w:t>
            </w:r>
          </w:p>
          <w:p w14:paraId="24BAFE96" w14:textId="30015B14" w:rsidR="0002000E" w:rsidRPr="003E76E7" w:rsidRDefault="00AA658E" w:rsidP="00C4292D">
            <w:pPr>
              <w:tabs>
                <w:tab w:val="left" w:pos="709"/>
              </w:tabs>
              <w:spacing w:before="0" w:after="60"/>
              <w:rPr>
                <w:rFonts w:ascii="Arial" w:hAnsi="Arial"/>
                <w:sz w:val="16"/>
                <w:szCs w:val="16"/>
              </w:rPr>
            </w:pPr>
            <w:r w:rsidRPr="003E76E7">
              <w:rPr>
                <w:rFonts w:ascii="Arial" w:hAnsi="Arial"/>
                <w:sz w:val="16"/>
                <w:szCs w:val="16"/>
                <w:lang w:eastAsia="en-US"/>
              </w:rPr>
              <w:t>To provide space, cyber and logistics capabilities; that contribute to the Australian Defence Force's capacity to defend Australia, contribute to regional security, support Australia's global interests, shape the strategic environment and protect national interests.</w:t>
            </w:r>
          </w:p>
        </w:tc>
      </w:tr>
      <w:tr w:rsidR="0002000E" w:rsidRPr="003E76E7" w14:paraId="5DD095D9" w14:textId="77777777" w:rsidTr="000E1A17">
        <w:tblPrEx>
          <w:shd w:val="clear" w:color="auto" w:fill="auto"/>
          <w:tblLook w:val="04A0" w:firstRow="1" w:lastRow="0" w:firstColumn="1" w:lastColumn="0" w:noHBand="0" w:noVBand="1"/>
        </w:tblPrEx>
        <w:trPr>
          <w:trHeight w:val="886"/>
        </w:trPr>
        <w:tc>
          <w:tcPr>
            <w:tcW w:w="1800" w:type="dxa"/>
            <w:tcBorders>
              <w:top w:val="single" w:sz="4" w:space="0" w:color="auto"/>
              <w:bottom w:val="single" w:sz="4" w:space="0" w:color="auto"/>
            </w:tcBorders>
          </w:tcPr>
          <w:p w14:paraId="1A3D51E2" w14:textId="43290971" w:rsidR="0002000E" w:rsidRPr="003E76E7" w:rsidRDefault="0002000E" w:rsidP="00C4292D">
            <w:pPr>
              <w:tabs>
                <w:tab w:val="left" w:pos="709"/>
              </w:tabs>
              <w:spacing w:before="60" w:after="60"/>
              <w:rPr>
                <w:rFonts w:ascii="Arial" w:hAnsi="Arial"/>
                <w:b/>
                <w:color w:val="000000"/>
                <w:sz w:val="16"/>
                <w:szCs w:val="16"/>
              </w:rPr>
            </w:pPr>
            <w:r w:rsidRPr="003E76E7">
              <w:rPr>
                <w:rFonts w:ascii="Arial" w:hAnsi="Arial"/>
                <w:b/>
                <w:color w:val="000000"/>
                <w:sz w:val="16"/>
                <w:szCs w:val="16"/>
              </w:rPr>
              <w:t>Key Activities</w:t>
            </w:r>
            <w:r w:rsidR="00954644" w:rsidRPr="003E76E7">
              <w:rPr>
                <w:rFonts w:ascii="Arial" w:hAnsi="Arial"/>
                <w:b/>
                <w:color w:val="000000"/>
                <w:sz w:val="16"/>
                <w:szCs w:val="16"/>
              </w:rPr>
              <w:t xml:space="preserve"> </w:t>
            </w:r>
            <w:r w:rsidR="00954644" w:rsidRPr="003E76E7">
              <w:rPr>
                <w:rFonts w:ascii="Arial" w:hAnsi="Arial"/>
                <w:b/>
                <w:color w:val="000000"/>
                <w:sz w:val="16"/>
                <w:szCs w:val="16"/>
                <w:vertAlign w:val="superscript"/>
              </w:rPr>
              <w:t>[a]</w:t>
            </w:r>
          </w:p>
        </w:tc>
        <w:tc>
          <w:tcPr>
            <w:tcW w:w="6621" w:type="dxa"/>
            <w:gridSpan w:val="2"/>
            <w:tcBorders>
              <w:top w:val="single" w:sz="4" w:space="0" w:color="auto"/>
              <w:bottom w:val="single" w:sz="4" w:space="0" w:color="auto"/>
            </w:tcBorders>
          </w:tcPr>
          <w:p w14:paraId="3D7B0D44" w14:textId="77777777" w:rsidR="00ED5D95" w:rsidRPr="003E76E7" w:rsidRDefault="00ED5D95" w:rsidP="00C4292D">
            <w:pPr>
              <w:tabs>
                <w:tab w:val="left" w:pos="343"/>
              </w:tabs>
              <w:spacing w:before="60" w:after="60"/>
              <w:rPr>
                <w:rFonts w:ascii="Arial" w:hAnsi="Arial"/>
                <w:bCs/>
                <w:color w:val="000000"/>
                <w:sz w:val="16"/>
                <w:szCs w:val="16"/>
                <w:lang w:val="en-AU"/>
              </w:rPr>
            </w:pPr>
            <w:r w:rsidRPr="003E76E7">
              <w:rPr>
                <w:rFonts w:ascii="Arial" w:hAnsi="Arial"/>
                <w:bCs/>
                <w:color w:val="000000"/>
                <w:sz w:val="16"/>
                <w:szCs w:val="16"/>
                <w:lang w:val="en-AU"/>
              </w:rPr>
              <w:t>This program will be achieved through the following activities:</w:t>
            </w:r>
          </w:p>
          <w:p w14:paraId="36A0785E" w14:textId="770C0BE0" w:rsidR="000428E7" w:rsidRPr="003E76E7" w:rsidRDefault="000428E7" w:rsidP="00C4292D">
            <w:pPr>
              <w:tabs>
                <w:tab w:val="left" w:pos="343"/>
              </w:tabs>
              <w:spacing w:before="60" w:after="60"/>
              <w:rPr>
                <w:rFonts w:ascii="Arial" w:hAnsi="Arial"/>
                <w:bCs/>
                <w:color w:val="000000"/>
                <w:sz w:val="16"/>
                <w:szCs w:val="16"/>
                <w:lang w:val="en-AU"/>
              </w:rPr>
            </w:pPr>
            <w:r w:rsidRPr="003E76E7">
              <w:rPr>
                <w:rFonts w:ascii="Arial" w:hAnsi="Arial"/>
                <w:b/>
                <w:sz w:val="16"/>
                <w:szCs w:val="16"/>
                <w:lang w:val="en-AU"/>
              </w:rPr>
              <w:t>1. Conduct domestic and international operations and exercises to defend Australia and its national interests</w:t>
            </w:r>
            <w:r w:rsidRPr="003E76E7">
              <w:rPr>
                <w:rFonts w:ascii="Arial" w:hAnsi="Arial"/>
                <w:color w:val="000000"/>
                <w:sz w:val="16"/>
                <w:szCs w:val="16"/>
                <w:lang w:val="en-AU"/>
              </w:rPr>
              <w:t>.</w:t>
            </w:r>
          </w:p>
          <w:p w14:paraId="6AE13C3B" w14:textId="75D7FA36" w:rsidR="0002000E" w:rsidRPr="003E76E7" w:rsidRDefault="000428E7" w:rsidP="00C4292D">
            <w:pPr>
              <w:tabs>
                <w:tab w:val="left" w:pos="343"/>
              </w:tabs>
              <w:spacing w:before="60" w:after="60"/>
              <w:rPr>
                <w:rFonts w:ascii="Arial" w:hAnsi="Arial"/>
                <w:bCs/>
                <w:color w:val="000000"/>
                <w:sz w:val="16"/>
                <w:szCs w:val="16"/>
              </w:rPr>
            </w:pPr>
            <w:r w:rsidRPr="003E76E7">
              <w:rPr>
                <w:rFonts w:ascii="Arial" w:hAnsi="Arial"/>
                <w:b/>
                <w:sz w:val="16"/>
                <w:szCs w:val="16"/>
                <w:lang w:val="en-AU"/>
              </w:rPr>
              <w:t>6. Deliver future capability</w:t>
            </w:r>
            <w:r w:rsidRPr="003E76E7">
              <w:rPr>
                <w:rFonts w:ascii="Arial" w:hAnsi="Arial"/>
                <w:sz w:val="16"/>
                <w:szCs w:val="16"/>
                <w:lang w:val="en-AU"/>
              </w:rPr>
              <w:t>.</w:t>
            </w:r>
          </w:p>
        </w:tc>
      </w:tr>
      <w:tr w:rsidR="0002000E" w:rsidRPr="003E76E7" w14:paraId="77120014" w14:textId="77777777" w:rsidTr="003C0162">
        <w:tblPrEx>
          <w:shd w:val="clear" w:color="auto" w:fill="auto"/>
          <w:tblLook w:val="04A0" w:firstRow="1" w:lastRow="0" w:firstColumn="1" w:lastColumn="0" w:noHBand="0" w:noVBand="1"/>
        </w:tblPrEx>
        <w:trPr>
          <w:trHeight w:val="100"/>
        </w:trPr>
        <w:tc>
          <w:tcPr>
            <w:tcW w:w="1800" w:type="dxa"/>
            <w:tcBorders>
              <w:top w:val="single" w:sz="4" w:space="0" w:color="auto"/>
              <w:bottom w:val="single" w:sz="4" w:space="0" w:color="auto"/>
            </w:tcBorders>
          </w:tcPr>
          <w:p w14:paraId="26118DC2" w14:textId="77777777" w:rsidR="0002000E" w:rsidRPr="003E76E7" w:rsidRDefault="0002000E" w:rsidP="00C4292D">
            <w:pPr>
              <w:tabs>
                <w:tab w:val="left" w:pos="709"/>
              </w:tabs>
              <w:spacing w:before="60" w:after="60"/>
              <w:rPr>
                <w:rFonts w:ascii="Arial" w:hAnsi="Arial"/>
                <w:color w:val="000000"/>
                <w:sz w:val="16"/>
                <w:szCs w:val="16"/>
              </w:rPr>
            </w:pPr>
            <w:r w:rsidRPr="003E76E7">
              <w:rPr>
                <w:rFonts w:ascii="Arial" w:hAnsi="Arial"/>
                <w:b/>
                <w:color w:val="000000"/>
                <w:sz w:val="16"/>
                <w:szCs w:val="16"/>
              </w:rPr>
              <w:t>Year</w:t>
            </w:r>
          </w:p>
        </w:tc>
        <w:tc>
          <w:tcPr>
            <w:tcW w:w="3174" w:type="dxa"/>
            <w:tcBorders>
              <w:top w:val="single" w:sz="4" w:space="0" w:color="auto"/>
              <w:bottom w:val="single" w:sz="4" w:space="0" w:color="auto"/>
            </w:tcBorders>
          </w:tcPr>
          <w:p w14:paraId="0A7822D9" w14:textId="24309201" w:rsidR="0002000E" w:rsidRPr="003E76E7" w:rsidRDefault="00AD14EC" w:rsidP="00C4292D">
            <w:pPr>
              <w:tabs>
                <w:tab w:val="left" w:pos="709"/>
              </w:tabs>
              <w:spacing w:before="60" w:after="60"/>
              <w:rPr>
                <w:rFonts w:ascii="Arial" w:hAnsi="Arial"/>
                <w:color w:val="000000"/>
              </w:rPr>
            </w:pPr>
            <w:r w:rsidRPr="003E76E7">
              <w:rPr>
                <w:rFonts w:ascii="Arial" w:hAnsi="Arial"/>
                <w:b/>
                <w:color w:val="000000"/>
                <w:sz w:val="16"/>
                <w:szCs w:val="16"/>
              </w:rPr>
              <w:t>Performance Measures</w:t>
            </w:r>
          </w:p>
        </w:tc>
        <w:tc>
          <w:tcPr>
            <w:tcW w:w="3447" w:type="dxa"/>
            <w:tcBorders>
              <w:top w:val="single" w:sz="4" w:space="0" w:color="auto"/>
              <w:bottom w:val="single" w:sz="4" w:space="0" w:color="auto"/>
            </w:tcBorders>
          </w:tcPr>
          <w:p w14:paraId="3DDD8A5E" w14:textId="77777777" w:rsidR="0002000E" w:rsidRPr="003E76E7" w:rsidRDefault="0002000E" w:rsidP="00C4292D">
            <w:pPr>
              <w:tabs>
                <w:tab w:val="left" w:pos="709"/>
              </w:tabs>
              <w:spacing w:before="60" w:after="60"/>
              <w:rPr>
                <w:rFonts w:ascii="Arial" w:hAnsi="Arial"/>
                <w:i/>
                <w:color w:val="000000"/>
                <w:sz w:val="16"/>
                <w:szCs w:val="16"/>
              </w:rPr>
            </w:pPr>
            <w:r w:rsidRPr="003E76E7">
              <w:rPr>
                <w:rFonts w:ascii="Arial" w:hAnsi="Arial"/>
                <w:b/>
                <w:color w:val="000000"/>
                <w:sz w:val="16"/>
                <w:szCs w:val="16"/>
              </w:rPr>
              <w:t>Expected Performance Results</w:t>
            </w:r>
          </w:p>
        </w:tc>
      </w:tr>
      <w:tr w:rsidR="000428E7" w:rsidRPr="003E76E7" w14:paraId="6A3C8C71" w14:textId="77777777" w:rsidTr="000E1A17">
        <w:tblPrEx>
          <w:shd w:val="clear" w:color="auto" w:fill="auto"/>
          <w:tblLook w:val="04A0" w:firstRow="1" w:lastRow="0" w:firstColumn="1" w:lastColumn="0" w:noHBand="0" w:noVBand="1"/>
        </w:tblPrEx>
        <w:trPr>
          <w:trHeight w:val="282"/>
        </w:trPr>
        <w:tc>
          <w:tcPr>
            <w:tcW w:w="1800" w:type="dxa"/>
            <w:vMerge w:val="restart"/>
            <w:tcBorders>
              <w:top w:val="single" w:sz="4" w:space="0" w:color="auto"/>
            </w:tcBorders>
          </w:tcPr>
          <w:p w14:paraId="0899E77F" w14:textId="77777777" w:rsidR="000428E7" w:rsidRPr="003E76E7" w:rsidRDefault="000428E7" w:rsidP="00C4292D">
            <w:pPr>
              <w:tabs>
                <w:tab w:val="left" w:pos="709"/>
              </w:tabs>
              <w:spacing w:before="0" w:after="0"/>
              <w:rPr>
                <w:rFonts w:ascii="Arial" w:hAnsi="Arial"/>
                <w:color w:val="000000"/>
                <w:sz w:val="16"/>
                <w:szCs w:val="16"/>
              </w:rPr>
            </w:pPr>
            <w:r w:rsidRPr="003E76E7">
              <w:rPr>
                <w:rFonts w:ascii="Arial" w:hAnsi="Arial"/>
                <w:color w:val="000000"/>
                <w:sz w:val="16"/>
                <w:szCs w:val="16"/>
              </w:rPr>
              <w:t>Current Year</w:t>
            </w:r>
          </w:p>
          <w:p w14:paraId="135299BA" w14:textId="765DED21" w:rsidR="000428E7" w:rsidRPr="003E76E7" w:rsidRDefault="000428E7" w:rsidP="00C4292D">
            <w:pPr>
              <w:tabs>
                <w:tab w:val="left" w:pos="709"/>
              </w:tabs>
              <w:spacing w:before="0" w:after="0"/>
              <w:rPr>
                <w:rFonts w:ascii="Arial" w:hAnsi="Arial"/>
                <w:color w:val="000000"/>
                <w:sz w:val="16"/>
                <w:szCs w:val="16"/>
              </w:rPr>
            </w:pPr>
            <w:r w:rsidRPr="003E76E7">
              <w:rPr>
                <w:rFonts w:ascii="Arial" w:hAnsi="Arial"/>
                <w:color w:val="000000"/>
                <w:sz w:val="16"/>
                <w:szCs w:val="16"/>
              </w:rPr>
              <w:t xml:space="preserve">2025-26 </w:t>
            </w:r>
            <w:r w:rsidRPr="003E76E7">
              <w:rPr>
                <w:rFonts w:ascii="Arial" w:hAnsi="Arial"/>
                <w:color w:val="000000"/>
                <w:sz w:val="16"/>
                <w:szCs w:val="16"/>
                <w:vertAlign w:val="superscript"/>
              </w:rPr>
              <w:t>[</w:t>
            </w:r>
            <w:r w:rsidR="00954644" w:rsidRPr="003E76E7">
              <w:rPr>
                <w:rFonts w:ascii="Arial" w:hAnsi="Arial"/>
                <w:color w:val="000000"/>
                <w:sz w:val="16"/>
                <w:szCs w:val="16"/>
                <w:vertAlign w:val="superscript"/>
              </w:rPr>
              <w:t>b</w:t>
            </w:r>
            <w:r w:rsidRPr="003E76E7">
              <w:rPr>
                <w:rFonts w:ascii="Arial" w:hAnsi="Arial"/>
                <w:color w:val="000000"/>
                <w:sz w:val="16"/>
                <w:szCs w:val="16"/>
                <w:vertAlign w:val="superscript"/>
              </w:rPr>
              <w:t>]</w:t>
            </w:r>
          </w:p>
        </w:tc>
        <w:tc>
          <w:tcPr>
            <w:tcW w:w="3174" w:type="dxa"/>
            <w:tcBorders>
              <w:top w:val="single" w:sz="4" w:space="0" w:color="auto"/>
              <w:bottom w:val="single" w:sz="4" w:space="0" w:color="auto"/>
            </w:tcBorders>
          </w:tcPr>
          <w:p w14:paraId="62E03CF3" w14:textId="79A6EAA4" w:rsidR="000428E7" w:rsidRPr="003E76E7" w:rsidRDefault="000428E7" w:rsidP="00C4292D">
            <w:pPr>
              <w:tabs>
                <w:tab w:val="left" w:pos="709"/>
              </w:tabs>
              <w:spacing w:before="60" w:after="60"/>
              <w:rPr>
                <w:rFonts w:ascii="Arial" w:hAnsi="Arial"/>
                <w:color w:val="000000"/>
                <w:sz w:val="16"/>
                <w:szCs w:val="16"/>
              </w:rPr>
            </w:pPr>
            <w:r w:rsidRPr="003E76E7">
              <w:rPr>
                <w:rFonts w:ascii="Arial" w:hAnsi="Arial"/>
                <w:sz w:val="16"/>
                <w:szCs w:val="16"/>
                <w:lang w:val="en-AU"/>
              </w:rPr>
              <w:t>1.1: Defence conducts operations as directed by Government to achieve Defence’s mission.</w:t>
            </w:r>
          </w:p>
        </w:tc>
        <w:tc>
          <w:tcPr>
            <w:tcW w:w="3447" w:type="dxa"/>
            <w:tcBorders>
              <w:top w:val="single" w:sz="4" w:space="0" w:color="auto"/>
              <w:bottom w:val="single" w:sz="4" w:space="0" w:color="auto"/>
            </w:tcBorders>
          </w:tcPr>
          <w:p w14:paraId="6B523900" w14:textId="77777777" w:rsidR="000428E7" w:rsidRPr="003E76E7" w:rsidRDefault="000428E7" w:rsidP="00C4292D">
            <w:pPr>
              <w:tabs>
                <w:tab w:val="left" w:pos="709"/>
              </w:tabs>
              <w:spacing w:before="0" w:after="0"/>
              <w:rPr>
                <w:rFonts w:ascii="Arial" w:hAnsi="Arial"/>
                <w:sz w:val="16"/>
                <w:szCs w:val="16"/>
                <w:lang w:val="en-AU"/>
              </w:rPr>
            </w:pPr>
            <w:r w:rsidRPr="003E76E7">
              <w:rPr>
                <w:rFonts w:ascii="Arial" w:hAnsi="Arial"/>
                <w:sz w:val="16"/>
                <w:szCs w:val="16"/>
                <w:lang w:val="en-AU"/>
              </w:rPr>
              <w:t>100 per cent of operations conducted or being conducted as directed by Government.</w:t>
            </w:r>
          </w:p>
          <w:p w14:paraId="0DE6CC69" w14:textId="2BCD9227" w:rsidR="000428E7" w:rsidRPr="003E76E7" w:rsidRDefault="00F04C47" w:rsidP="00C4292D">
            <w:pPr>
              <w:tabs>
                <w:tab w:val="left" w:pos="709"/>
              </w:tabs>
              <w:spacing w:after="0"/>
              <w:jc w:val="right"/>
              <w:rPr>
                <w:rFonts w:ascii="Arial" w:hAnsi="Arial"/>
                <w:i/>
                <w:color w:val="000000"/>
                <w:sz w:val="16"/>
                <w:szCs w:val="16"/>
              </w:rPr>
            </w:pPr>
            <w:r w:rsidRPr="003E76E7">
              <w:rPr>
                <w:rFonts w:ascii="Arial" w:hAnsi="Arial"/>
                <w:i/>
                <w:sz w:val="16"/>
                <w:szCs w:val="16"/>
                <w:lang w:val="en-AU"/>
              </w:rPr>
              <w:t>Expected to be achieved</w:t>
            </w:r>
            <w:r w:rsidR="00C447FA" w:rsidRPr="003E76E7">
              <w:rPr>
                <w:rFonts w:ascii="Arial" w:hAnsi="Arial"/>
                <w:i/>
                <w:sz w:val="16"/>
                <w:szCs w:val="16"/>
                <w:lang w:val="en-AU"/>
              </w:rPr>
              <w:t>.</w:t>
            </w:r>
          </w:p>
        </w:tc>
      </w:tr>
      <w:tr w:rsidR="000428E7" w:rsidRPr="003E76E7" w14:paraId="0F6BBB0C" w14:textId="77777777" w:rsidTr="000E1A17">
        <w:tblPrEx>
          <w:shd w:val="clear" w:color="auto" w:fill="auto"/>
          <w:tblLook w:val="04A0" w:firstRow="1" w:lastRow="0" w:firstColumn="1" w:lastColumn="0" w:noHBand="0" w:noVBand="1"/>
        </w:tblPrEx>
        <w:trPr>
          <w:trHeight w:val="282"/>
        </w:trPr>
        <w:tc>
          <w:tcPr>
            <w:tcW w:w="1800" w:type="dxa"/>
            <w:vMerge/>
            <w:tcBorders>
              <w:top w:val="double" w:sz="4" w:space="0" w:color="auto"/>
            </w:tcBorders>
          </w:tcPr>
          <w:p w14:paraId="2FE4C303" w14:textId="77777777" w:rsidR="000428E7" w:rsidRPr="003E76E7" w:rsidRDefault="000428E7" w:rsidP="00C4292D">
            <w:pPr>
              <w:tabs>
                <w:tab w:val="left" w:pos="709"/>
              </w:tabs>
              <w:spacing w:before="60" w:after="60"/>
              <w:rPr>
                <w:rFonts w:ascii="Arial" w:hAnsi="Arial"/>
                <w:color w:val="000000"/>
                <w:sz w:val="16"/>
                <w:szCs w:val="16"/>
              </w:rPr>
            </w:pPr>
          </w:p>
        </w:tc>
        <w:tc>
          <w:tcPr>
            <w:tcW w:w="3174" w:type="dxa"/>
            <w:tcBorders>
              <w:top w:val="single" w:sz="4" w:space="0" w:color="auto"/>
              <w:bottom w:val="single" w:sz="4" w:space="0" w:color="auto"/>
            </w:tcBorders>
          </w:tcPr>
          <w:p w14:paraId="761A1C82" w14:textId="2E090296" w:rsidR="000428E7" w:rsidRPr="003E76E7" w:rsidRDefault="000428E7" w:rsidP="00C4292D">
            <w:pPr>
              <w:tabs>
                <w:tab w:val="left" w:pos="709"/>
              </w:tabs>
              <w:spacing w:before="60" w:after="60"/>
              <w:rPr>
                <w:rFonts w:ascii="Arial" w:hAnsi="Arial"/>
                <w:color w:val="000000"/>
                <w:sz w:val="16"/>
                <w:szCs w:val="16"/>
              </w:rPr>
            </w:pPr>
            <w:r w:rsidRPr="003E76E7">
              <w:rPr>
                <w:rFonts w:ascii="Arial" w:hAnsi="Arial"/>
                <w:sz w:val="16"/>
                <w:szCs w:val="16"/>
                <w:lang w:val="en-AU"/>
              </w:rPr>
              <w:t>1.2: Defence maintains ready forces through the conduct of exercises.</w:t>
            </w:r>
          </w:p>
        </w:tc>
        <w:tc>
          <w:tcPr>
            <w:tcW w:w="3447" w:type="dxa"/>
            <w:tcBorders>
              <w:top w:val="single" w:sz="4" w:space="0" w:color="auto"/>
              <w:bottom w:val="single" w:sz="4" w:space="0" w:color="auto"/>
            </w:tcBorders>
          </w:tcPr>
          <w:p w14:paraId="33E43ABA" w14:textId="77777777" w:rsidR="000428E7" w:rsidRPr="003E76E7" w:rsidRDefault="000428E7" w:rsidP="00C4292D">
            <w:pPr>
              <w:spacing w:before="60" w:after="60"/>
              <w:rPr>
                <w:rFonts w:ascii="Arial" w:hAnsi="Arial"/>
                <w:color w:val="000000"/>
                <w:sz w:val="16"/>
                <w:szCs w:val="16"/>
                <w:lang w:val="en-AU"/>
              </w:rPr>
            </w:pPr>
            <w:r w:rsidRPr="003E76E7">
              <w:rPr>
                <w:rFonts w:ascii="Arial" w:hAnsi="Arial"/>
                <w:color w:val="000000"/>
                <w:sz w:val="16"/>
                <w:szCs w:val="16"/>
                <w:lang w:val="en-AU"/>
              </w:rPr>
              <w:t>100 per cent of exercises conducted achieve planned objectives.</w:t>
            </w:r>
          </w:p>
          <w:p w14:paraId="2C3885A4" w14:textId="086CAAB4" w:rsidR="000428E7" w:rsidRPr="003E76E7" w:rsidRDefault="00F04C47" w:rsidP="00C4292D">
            <w:pPr>
              <w:spacing w:before="60" w:after="60"/>
              <w:jc w:val="right"/>
              <w:rPr>
                <w:rFonts w:ascii="Arial" w:hAnsi="Arial"/>
                <w:i/>
                <w:color w:val="000000"/>
                <w:sz w:val="16"/>
                <w:szCs w:val="16"/>
              </w:rPr>
            </w:pPr>
            <w:r w:rsidRPr="003E76E7">
              <w:rPr>
                <w:rFonts w:ascii="Arial" w:hAnsi="Arial"/>
                <w:i/>
                <w:sz w:val="16"/>
                <w:szCs w:val="16"/>
                <w:lang w:val="en-AU"/>
              </w:rPr>
              <w:t>Expected to be substantially achieved</w:t>
            </w:r>
            <w:r w:rsidR="00C447FA" w:rsidRPr="003E76E7">
              <w:rPr>
                <w:rFonts w:ascii="Arial" w:hAnsi="Arial"/>
                <w:i/>
                <w:sz w:val="16"/>
                <w:szCs w:val="16"/>
                <w:lang w:val="en-AU"/>
              </w:rPr>
              <w:t>.</w:t>
            </w:r>
          </w:p>
        </w:tc>
      </w:tr>
      <w:tr w:rsidR="000428E7" w:rsidRPr="003E76E7" w14:paraId="20856AC7" w14:textId="77777777" w:rsidTr="000E1A17">
        <w:tblPrEx>
          <w:shd w:val="clear" w:color="auto" w:fill="auto"/>
          <w:tblLook w:val="04A0" w:firstRow="1" w:lastRow="0" w:firstColumn="1" w:lastColumn="0" w:noHBand="0" w:noVBand="1"/>
        </w:tblPrEx>
        <w:trPr>
          <w:trHeight w:val="282"/>
        </w:trPr>
        <w:tc>
          <w:tcPr>
            <w:tcW w:w="1800" w:type="dxa"/>
            <w:vMerge/>
            <w:tcBorders>
              <w:top w:val="double" w:sz="4" w:space="0" w:color="auto"/>
            </w:tcBorders>
          </w:tcPr>
          <w:p w14:paraId="087164B5" w14:textId="77777777" w:rsidR="000428E7" w:rsidRPr="003E76E7" w:rsidRDefault="000428E7" w:rsidP="00C4292D">
            <w:pPr>
              <w:tabs>
                <w:tab w:val="left" w:pos="709"/>
              </w:tabs>
              <w:spacing w:before="60" w:after="60"/>
              <w:rPr>
                <w:rFonts w:ascii="Arial" w:hAnsi="Arial"/>
                <w:color w:val="000000"/>
                <w:sz w:val="16"/>
                <w:szCs w:val="16"/>
              </w:rPr>
            </w:pPr>
          </w:p>
        </w:tc>
        <w:tc>
          <w:tcPr>
            <w:tcW w:w="3174" w:type="dxa"/>
            <w:tcBorders>
              <w:top w:val="single" w:sz="4" w:space="0" w:color="auto"/>
              <w:bottom w:val="single" w:sz="4" w:space="0" w:color="auto"/>
            </w:tcBorders>
          </w:tcPr>
          <w:p w14:paraId="01311F85" w14:textId="2CC2BECF" w:rsidR="000428E7" w:rsidRPr="003E76E7" w:rsidRDefault="000428E7" w:rsidP="00C4292D">
            <w:pPr>
              <w:tabs>
                <w:tab w:val="left" w:pos="709"/>
              </w:tabs>
              <w:spacing w:before="60" w:after="60"/>
              <w:rPr>
                <w:rFonts w:ascii="Arial" w:hAnsi="Arial"/>
                <w:sz w:val="16"/>
                <w:szCs w:val="16"/>
                <w:lang w:val="en-AU"/>
              </w:rPr>
            </w:pPr>
            <w:r w:rsidRPr="003E76E7">
              <w:rPr>
                <w:rFonts w:ascii="Arial" w:hAnsi="Arial"/>
                <w:sz w:val="16"/>
                <w:szCs w:val="16"/>
                <w:lang w:val="en-AU"/>
              </w:rPr>
              <w:t>1.3</w:t>
            </w:r>
            <w:r w:rsidR="0092056F" w:rsidRPr="003E76E7">
              <w:rPr>
                <w:rFonts w:ascii="Arial" w:hAnsi="Arial"/>
                <w:sz w:val="16"/>
                <w:szCs w:val="16"/>
                <w:lang w:val="en-AU"/>
              </w:rPr>
              <w:t>:</w:t>
            </w:r>
            <w:r w:rsidRPr="003E76E7">
              <w:rPr>
                <w:rFonts w:ascii="Arial" w:hAnsi="Arial"/>
                <w:sz w:val="16"/>
                <w:szCs w:val="16"/>
                <w:lang w:val="en-AU"/>
              </w:rPr>
              <w:t xml:space="preserve"> Defence assists with domestic crisis and emergency response as directed by Government. </w:t>
            </w:r>
          </w:p>
        </w:tc>
        <w:tc>
          <w:tcPr>
            <w:tcW w:w="3447" w:type="dxa"/>
            <w:tcBorders>
              <w:top w:val="single" w:sz="4" w:space="0" w:color="auto"/>
              <w:bottom w:val="single" w:sz="4" w:space="0" w:color="auto"/>
            </w:tcBorders>
          </w:tcPr>
          <w:p w14:paraId="458028C4" w14:textId="77777777" w:rsidR="000428E7" w:rsidRPr="003E76E7" w:rsidRDefault="000428E7" w:rsidP="00C4292D">
            <w:pPr>
              <w:spacing w:before="60" w:after="60"/>
              <w:rPr>
                <w:rFonts w:ascii="Arial" w:hAnsi="Arial"/>
                <w:color w:val="000000"/>
                <w:sz w:val="16"/>
                <w:szCs w:val="16"/>
                <w:lang w:val="en-AU"/>
              </w:rPr>
            </w:pPr>
            <w:r w:rsidRPr="003E76E7">
              <w:rPr>
                <w:rFonts w:ascii="Arial" w:hAnsi="Arial"/>
                <w:color w:val="000000"/>
                <w:sz w:val="16"/>
                <w:szCs w:val="16"/>
                <w:lang w:val="en-AU"/>
              </w:rPr>
              <w:t xml:space="preserve">Defence responds to 100 per cent of requests for assistance as directed by Government. </w:t>
            </w:r>
          </w:p>
          <w:p w14:paraId="5492D86B" w14:textId="60A8BDE5" w:rsidR="000428E7" w:rsidRPr="003E76E7" w:rsidRDefault="000428E7" w:rsidP="00C4292D">
            <w:pPr>
              <w:spacing w:before="60" w:after="60"/>
              <w:jc w:val="right"/>
              <w:rPr>
                <w:rFonts w:ascii="Arial" w:hAnsi="Arial"/>
                <w:color w:val="000000"/>
                <w:sz w:val="16"/>
                <w:szCs w:val="16"/>
                <w:lang w:val="en-AU"/>
              </w:rPr>
            </w:pPr>
            <w:r w:rsidRPr="003E76E7">
              <w:rPr>
                <w:rFonts w:ascii="Arial" w:hAnsi="Arial"/>
                <w:i/>
                <w:sz w:val="16"/>
                <w:szCs w:val="16"/>
                <w:lang w:val="en-AU"/>
              </w:rPr>
              <w:t xml:space="preserve">Expected to be achieved. </w:t>
            </w:r>
          </w:p>
        </w:tc>
      </w:tr>
      <w:tr w:rsidR="000428E7" w:rsidRPr="003E76E7" w14:paraId="21B20F47" w14:textId="77777777" w:rsidTr="000E1A17">
        <w:tblPrEx>
          <w:shd w:val="clear" w:color="auto" w:fill="auto"/>
          <w:tblLook w:val="04A0" w:firstRow="1" w:lastRow="0" w:firstColumn="1" w:lastColumn="0" w:noHBand="0" w:noVBand="1"/>
        </w:tblPrEx>
        <w:trPr>
          <w:trHeight w:val="282"/>
        </w:trPr>
        <w:tc>
          <w:tcPr>
            <w:tcW w:w="1800" w:type="dxa"/>
            <w:vMerge/>
            <w:tcBorders>
              <w:top w:val="double" w:sz="4" w:space="0" w:color="auto"/>
              <w:bottom w:val="single" w:sz="4" w:space="0" w:color="auto"/>
            </w:tcBorders>
          </w:tcPr>
          <w:p w14:paraId="32F3865D" w14:textId="77777777" w:rsidR="000428E7" w:rsidRPr="003E76E7" w:rsidRDefault="000428E7" w:rsidP="00C4292D">
            <w:pPr>
              <w:tabs>
                <w:tab w:val="left" w:pos="709"/>
              </w:tabs>
              <w:spacing w:before="60" w:after="60"/>
              <w:rPr>
                <w:rFonts w:ascii="Arial" w:hAnsi="Arial"/>
                <w:color w:val="000000"/>
                <w:sz w:val="16"/>
                <w:szCs w:val="16"/>
              </w:rPr>
            </w:pPr>
          </w:p>
        </w:tc>
        <w:tc>
          <w:tcPr>
            <w:tcW w:w="3174" w:type="dxa"/>
            <w:tcBorders>
              <w:top w:val="single" w:sz="4" w:space="0" w:color="auto"/>
              <w:bottom w:val="single" w:sz="4" w:space="0" w:color="auto"/>
            </w:tcBorders>
          </w:tcPr>
          <w:p w14:paraId="437670CE" w14:textId="4F7ADBDA" w:rsidR="000428E7" w:rsidRPr="003E76E7" w:rsidRDefault="000428E7" w:rsidP="00C4292D">
            <w:pPr>
              <w:tabs>
                <w:tab w:val="left" w:pos="709"/>
              </w:tabs>
              <w:spacing w:before="60" w:after="60"/>
              <w:rPr>
                <w:rFonts w:ascii="Arial" w:hAnsi="Arial"/>
                <w:color w:val="000000"/>
                <w:sz w:val="16"/>
                <w:szCs w:val="16"/>
              </w:rPr>
            </w:pPr>
            <w:r w:rsidRPr="003E76E7">
              <w:rPr>
                <w:rFonts w:ascii="Arial" w:hAnsi="Arial"/>
                <w:sz w:val="16"/>
                <w:szCs w:val="16"/>
                <w:lang w:val="en-AU"/>
              </w:rPr>
              <w:t>6.1: Defence is delivering the right future capability at the right time within the Integrated Investment Program to ensure it is equipped to respond to future security challenges as directed by the National Defence Strategy.</w:t>
            </w:r>
          </w:p>
        </w:tc>
        <w:tc>
          <w:tcPr>
            <w:tcW w:w="3447" w:type="dxa"/>
            <w:tcBorders>
              <w:top w:val="single" w:sz="4" w:space="0" w:color="auto"/>
              <w:bottom w:val="single" w:sz="4" w:space="0" w:color="auto"/>
            </w:tcBorders>
          </w:tcPr>
          <w:p w14:paraId="4F666A03" w14:textId="77777777" w:rsidR="000428E7" w:rsidRPr="003E76E7" w:rsidRDefault="000428E7" w:rsidP="00C4292D">
            <w:pPr>
              <w:tabs>
                <w:tab w:val="left" w:pos="709"/>
              </w:tabs>
              <w:spacing w:before="60" w:after="60"/>
              <w:rPr>
                <w:rFonts w:ascii="Arial" w:hAnsi="Arial"/>
                <w:sz w:val="16"/>
                <w:szCs w:val="16"/>
                <w:lang w:val="en-AU"/>
              </w:rPr>
            </w:pPr>
            <w:r w:rsidRPr="003E76E7">
              <w:rPr>
                <w:rFonts w:ascii="Arial" w:hAnsi="Arial"/>
                <w:sz w:val="16"/>
                <w:szCs w:val="16"/>
                <w:lang w:val="en-AU"/>
              </w:rPr>
              <w:t>80 per cent or more of approved Integrated Investment Program projects across all domains are on track to deliver within Government approved scope, schedule, and cost (including contingency).</w:t>
            </w:r>
          </w:p>
          <w:p w14:paraId="7181F572" w14:textId="4BDD6846" w:rsidR="000428E7" w:rsidRPr="003E76E7" w:rsidRDefault="00F04C47" w:rsidP="00C4292D">
            <w:pPr>
              <w:spacing w:before="60" w:after="60"/>
              <w:jc w:val="right"/>
              <w:rPr>
                <w:rFonts w:ascii="Arial" w:hAnsi="Arial"/>
                <w:i/>
                <w:color w:val="000000"/>
                <w:sz w:val="16"/>
                <w:szCs w:val="16"/>
              </w:rPr>
            </w:pPr>
            <w:r w:rsidRPr="003E76E7">
              <w:rPr>
                <w:rFonts w:ascii="Arial" w:hAnsi="Arial"/>
                <w:i/>
                <w:sz w:val="16"/>
                <w:szCs w:val="16"/>
                <w:lang w:val="en-AU"/>
              </w:rPr>
              <w:t>Expected to be achieved</w:t>
            </w:r>
            <w:r w:rsidR="00C447FA" w:rsidRPr="003E76E7">
              <w:rPr>
                <w:rFonts w:ascii="Arial" w:hAnsi="Arial"/>
                <w:i/>
                <w:sz w:val="16"/>
                <w:szCs w:val="16"/>
                <w:lang w:val="en-AU"/>
              </w:rPr>
              <w:t>.</w:t>
            </w:r>
          </w:p>
        </w:tc>
      </w:tr>
      <w:tr w:rsidR="000428E7" w:rsidRPr="003E76E7" w14:paraId="364C35BB" w14:textId="77777777" w:rsidTr="003C0162">
        <w:tblPrEx>
          <w:shd w:val="clear" w:color="auto" w:fill="auto"/>
          <w:tblLook w:val="04A0" w:firstRow="1" w:lastRow="0" w:firstColumn="1" w:lastColumn="0" w:noHBand="0" w:noVBand="1"/>
        </w:tblPrEx>
        <w:trPr>
          <w:trHeight w:val="258"/>
        </w:trPr>
        <w:tc>
          <w:tcPr>
            <w:tcW w:w="1800" w:type="dxa"/>
            <w:tcBorders>
              <w:top w:val="single" w:sz="4" w:space="0" w:color="auto"/>
              <w:bottom w:val="single" w:sz="4" w:space="0" w:color="auto"/>
            </w:tcBorders>
          </w:tcPr>
          <w:p w14:paraId="4700C9D2" w14:textId="77777777" w:rsidR="000428E7" w:rsidRPr="003E76E7" w:rsidRDefault="000428E7" w:rsidP="00C4292D">
            <w:pPr>
              <w:tabs>
                <w:tab w:val="left" w:pos="709"/>
              </w:tabs>
              <w:spacing w:before="60" w:after="60"/>
              <w:rPr>
                <w:rFonts w:ascii="Arial" w:hAnsi="Arial"/>
                <w:b/>
                <w:color w:val="000000"/>
                <w:sz w:val="16"/>
                <w:szCs w:val="16"/>
              </w:rPr>
            </w:pPr>
            <w:r w:rsidRPr="003E76E7">
              <w:rPr>
                <w:rFonts w:ascii="Arial" w:hAnsi="Arial"/>
                <w:b/>
                <w:color w:val="000000"/>
                <w:sz w:val="16"/>
                <w:szCs w:val="16"/>
              </w:rPr>
              <w:t>Year</w:t>
            </w:r>
          </w:p>
        </w:tc>
        <w:tc>
          <w:tcPr>
            <w:tcW w:w="3174" w:type="dxa"/>
            <w:tcBorders>
              <w:top w:val="single" w:sz="4" w:space="0" w:color="auto"/>
              <w:bottom w:val="single" w:sz="4" w:space="0" w:color="auto"/>
            </w:tcBorders>
          </w:tcPr>
          <w:p w14:paraId="044B4B85" w14:textId="0C5EF0BF" w:rsidR="000428E7" w:rsidRPr="003E76E7" w:rsidRDefault="00AD14EC" w:rsidP="00C4292D">
            <w:pPr>
              <w:tabs>
                <w:tab w:val="left" w:pos="709"/>
                <w:tab w:val="center" w:pos="1818"/>
              </w:tabs>
              <w:spacing w:before="60" w:after="60"/>
              <w:rPr>
                <w:rFonts w:ascii="Arial" w:hAnsi="Arial"/>
                <w:b/>
                <w:color w:val="000000"/>
                <w:sz w:val="16"/>
                <w:szCs w:val="16"/>
              </w:rPr>
            </w:pPr>
            <w:r w:rsidRPr="003E76E7">
              <w:rPr>
                <w:rFonts w:ascii="Arial" w:hAnsi="Arial"/>
                <w:b/>
                <w:color w:val="000000"/>
                <w:sz w:val="16"/>
                <w:szCs w:val="16"/>
              </w:rPr>
              <w:t>Performance Measures</w:t>
            </w:r>
          </w:p>
        </w:tc>
        <w:tc>
          <w:tcPr>
            <w:tcW w:w="3447" w:type="dxa"/>
            <w:tcBorders>
              <w:top w:val="single" w:sz="4" w:space="0" w:color="auto"/>
              <w:bottom w:val="single" w:sz="4" w:space="0" w:color="auto"/>
            </w:tcBorders>
          </w:tcPr>
          <w:p w14:paraId="579CD2B4" w14:textId="77777777" w:rsidR="000428E7" w:rsidRPr="003E76E7" w:rsidRDefault="000428E7" w:rsidP="00C4292D">
            <w:pPr>
              <w:tabs>
                <w:tab w:val="left" w:pos="709"/>
              </w:tabs>
              <w:spacing w:before="60" w:after="60"/>
              <w:rPr>
                <w:rFonts w:ascii="Arial" w:hAnsi="Arial"/>
                <w:b/>
                <w:color w:val="000000"/>
                <w:sz w:val="16"/>
                <w:szCs w:val="16"/>
              </w:rPr>
            </w:pPr>
            <w:r w:rsidRPr="003E76E7">
              <w:rPr>
                <w:rFonts w:ascii="Arial" w:hAnsi="Arial"/>
                <w:b/>
                <w:color w:val="000000"/>
                <w:sz w:val="16"/>
                <w:szCs w:val="16"/>
              </w:rPr>
              <w:t>Planned Performance Results</w:t>
            </w:r>
          </w:p>
        </w:tc>
      </w:tr>
      <w:tr w:rsidR="00C4558B" w:rsidRPr="003E76E7" w14:paraId="5B06AEFA" w14:textId="77777777" w:rsidTr="000E1A17">
        <w:tblPrEx>
          <w:shd w:val="clear" w:color="auto" w:fill="auto"/>
          <w:tblLook w:val="04A0" w:firstRow="1" w:lastRow="0" w:firstColumn="1" w:lastColumn="0" w:noHBand="0" w:noVBand="1"/>
        </w:tblPrEx>
        <w:trPr>
          <w:trHeight w:val="204"/>
        </w:trPr>
        <w:tc>
          <w:tcPr>
            <w:tcW w:w="1800" w:type="dxa"/>
            <w:vMerge w:val="restart"/>
            <w:tcBorders>
              <w:top w:val="single" w:sz="4" w:space="0" w:color="auto"/>
            </w:tcBorders>
            <w:shd w:val="clear" w:color="auto" w:fill="auto"/>
          </w:tcPr>
          <w:p w14:paraId="24B627D1" w14:textId="5A6AC4C5" w:rsidR="00C4558B" w:rsidRPr="003E76E7" w:rsidRDefault="00C4558B" w:rsidP="00C4292D">
            <w:pPr>
              <w:tabs>
                <w:tab w:val="left" w:pos="709"/>
              </w:tabs>
              <w:spacing w:before="0" w:after="0"/>
              <w:rPr>
                <w:rFonts w:ascii="Arial" w:hAnsi="Arial"/>
                <w:color w:val="000000"/>
                <w:sz w:val="16"/>
                <w:szCs w:val="16"/>
              </w:rPr>
            </w:pPr>
            <w:r w:rsidRPr="003E76E7">
              <w:rPr>
                <w:rFonts w:ascii="Arial" w:hAnsi="Arial"/>
                <w:color w:val="000000"/>
                <w:sz w:val="16"/>
                <w:szCs w:val="16"/>
              </w:rPr>
              <w:t xml:space="preserve">Budget Year </w:t>
            </w:r>
          </w:p>
          <w:p w14:paraId="7B225171" w14:textId="31467647" w:rsidR="00C4558B" w:rsidRPr="003E76E7" w:rsidRDefault="00C4558B" w:rsidP="00C4292D">
            <w:pPr>
              <w:tabs>
                <w:tab w:val="left" w:pos="709"/>
              </w:tabs>
              <w:spacing w:before="0" w:after="0"/>
              <w:rPr>
                <w:rFonts w:ascii="Arial" w:hAnsi="Arial"/>
                <w:color w:val="000000"/>
                <w:sz w:val="16"/>
                <w:szCs w:val="16"/>
              </w:rPr>
            </w:pPr>
            <w:r w:rsidRPr="003E76E7">
              <w:rPr>
                <w:rFonts w:ascii="Arial" w:hAnsi="Arial"/>
                <w:color w:val="000000"/>
                <w:sz w:val="16"/>
                <w:szCs w:val="16"/>
              </w:rPr>
              <w:t>2026-27</w:t>
            </w:r>
            <w:r w:rsidR="0092056F" w:rsidRPr="003E76E7">
              <w:rPr>
                <w:rFonts w:ascii="Arial" w:hAnsi="Arial"/>
                <w:color w:val="000000"/>
                <w:sz w:val="16"/>
                <w:szCs w:val="16"/>
              </w:rPr>
              <w:t xml:space="preserve"> </w:t>
            </w:r>
            <w:r w:rsidRPr="003E76E7">
              <w:rPr>
                <w:rFonts w:ascii="Arial" w:hAnsi="Arial"/>
                <w:color w:val="000000"/>
                <w:sz w:val="16"/>
                <w:szCs w:val="16"/>
                <w:vertAlign w:val="superscript"/>
              </w:rPr>
              <w:t>[</w:t>
            </w:r>
            <w:r w:rsidR="00954644" w:rsidRPr="003E76E7">
              <w:rPr>
                <w:rFonts w:ascii="Arial" w:hAnsi="Arial"/>
                <w:color w:val="000000"/>
                <w:sz w:val="16"/>
                <w:szCs w:val="16"/>
                <w:vertAlign w:val="superscript"/>
              </w:rPr>
              <w:t>c</w:t>
            </w:r>
            <w:r w:rsidRPr="003E76E7">
              <w:rPr>
                <w:rFonts w:ascii="Arial" w:hAnsi="Arial"/>
                <w:color w:val="000000"/>
                <w:sz w:val="16"/>
                <w:szCs w:val="16"/>
                <w:vertAlign w:val="superscript"/>
              </w:rPr>
              <w:t>]</w:t>
            </w:r>
          </w:p>
        </w:tc>
        <w:tc>
          <w:tcPr>
            <w:tcW w:w="3174" w:type="dxa"/>
            <w:tcBorders>
              <w:top w:val="single" w:sz="4" w:space="0" w:color="auto"/>
              <w:bottom w:val="single" w:sz="4" w:space="0" w:color="auto"/>
            </w:tcBorders>
          </w:tcPr>
          <w:p w14:paraId="6E9B580E" w14:textId="13C8FC91" w:rsidR="00C4558B" w:rsidRPr="003E76E7" w:rsidRDefault="00C4558B" w:rsidP="00C4292D">
            <w:pPr>
              <w:tabs>
                <w:tab w:val="left" w:pos="709"/>
              </w:tabs>
              <w:spacing w:before="60" w:after="60"/>
              <w:rPr>
                <w:rFonts w:ascii="Arial" w:hAnsi="Arial"/>
                <w:color w:val="000000"/>
                <w:sz w:val="16"/>
                <w:szCs w:val="16"/>
              </w:rPr>
            </w:pPr>
            <w:r w:rsidRPr="003E76E7">
              <w:rPr>
                <w:rFonts w:ascii="Arial" w:hAnsi="Arial"/>
                <w:sz w:val="16"/>
                <w:szCs w:val="16"/>
                <w:lang w:val="en-AU"/>
              </w:rPr>
              <w:t>1.1: Defence conducts operations as directed by Government to achieve Defence’s mission.</w:t>
            </w:r>
          </w:p>
        </w:tc>
        <w:tc>
          <w:tcPr>
            <w:tcW w:w="3447" w:type="dxa"/>
            <w:tcBorders>
              <w:top w:val="single" w:sz="4" w:space="0" w:color="auto"/>
              <w:bottom w:val="single" w:sz="4" w:space="0" w:color="auto"/>
            </w:tcBorders>
          </w:tcPr>
          <w:p w14:paraId="588E029A" w14:textId="208DF31C" w:rsidR="00C4558B" w:rsidRPr="003E76E7" w:rsidRDefault="00C4558B" w:rsidP="00C4292D">
            <w:pPr>
              <w:tabs>
                <w:tab w:val="left" w:pos="709"/>
              </w:tabs>
              <w:spacing w:before="60" w:after="60"/>
              <w:rPr>
                <w:rFonts w:ascii="Arial" w:hAnsi="Arial"/>
                <w:i/>
                <w:color w:val="000000"/>
                <w:sz w:val="16"/>
                <w:szCs w:val="16"/>
              </w:rPr>
            </w:pPr>
            <w:r w:rsidRPr="003E76E7">
              <w:rPr>
                <w:rFonts w:ascii="Arial" w:hAnsi="Arial"/>
                <w:sz w:val="16"/>
                <w:szCs w:val="16"/>
                <w:lang w:val="en-AU"/>
              </w:rPr>
              <w:t>100 per cent of operations conducted or being conducted as directed by Government.</w:t>
            </w:r>
          </w:p>
        </w:tc>
      </w:tr>
      <w:tr w:rsidR="00C4558B" w:rsidRPr="003E76E7" w14:paraId="5035EC38" w14:textId="77777777" w:rsidTr="000E1A17">
        <w:tblPrEx>
          <w:shd w:val="clear" w:color="auto" w:fill="auto"/>
          <w:tblLook w:val="04A0" w:firstRow="1" w:lastRow="0" w:firstColumn="1" w:lastColumn="0" w:noHBand="0" w:noVBand="1"/>
        </w:tblPrEx>
        <w:trPr>
          <w:trHeight w:val="204"/>
        </w:trPr>
        <w:tc>
          <w:tcPr>
            <w:tcW w:w="1800" w:type="dxa"/>
            <w:vMerge/>
            <w:shd w:val="clear" w:color="auto" w:fill="auto"/>
          </w:tcPr>
          <w:p w14:paraId="2A738F47" w14:textId="77777777" w:rsidR="00C4558B" w:rsidRPr="003E76E7" w:rsidRDefault="00C4558B" w:rsidP="00C4292D">
            <w:pPr>
              <w:tabs>
                <w:tab w:val="left" w:pos="709"/>
              </w:tabs>
              <w:spacing w:before="60" w:after="60"/>
              <w:rPr>
                <w:rFonts w:ascii="Arial" w:hAnsi="Arial"/>
                <w:color w:val="000000"/>
                <w:sz w:val="16"/>
                <w:szCs w:val="16"/>
              </w:rPr>
            </w:pPr>
          </w:p>
        </w:tc>
        <w:tc>
          <w:tcPr>
            <w:tcW w:w="3174" w:type="dxa"/>
            <w:tcBorders>
              <w:top w:val="single" w:sz="4" w:space="0" w:color="auto"/>
              <w:bottom w:val="single" w:sz="4" w:space="0" w:color="auto"/>
            </w:tcBorders>
          </w:tcPr>
          <w:p w14:paraId="2E4C6432" w14:textId="00B44800" w:rsidR="00C4558B" w:rsidRPr="003E76E7" w:rsidRDefault="00C4558B" w:rsidP="00C4292D">
            <w:pPr>
              <w:tabs>
                <w:tab w:val="left" w:pos="709"/>
              </w:tabs>
              <w:spacing w:before="60" w:after="60"/>
              <w:rPr>
                <w:rFonts w:ascii="Arial" w:hAnsi="Arial"/>
                <w:color w:val="000000"/>
                <w:sz w:val="16"/>
                <w:szCs w:val="16"/>
              </w:rPr>
            </w:pPr>
            <w:r w:rsidRPr="003E76E7">
              <w:rPr>
                <w:rFonts w:ascii="Arial" w:hAnsi="Arial"/>
                <w:sz w:val="16"/>
                <w:szCs w:val="16"/>
                <w:lang w:val="en-AU"/>
              </w:rPr>
              <w:t>1.2: Defence maintains ready forces through the conduct of exercises.</w:t>
            </w:r>
          </w:p>
        </w:tc>
        <w:tc>
          <w:tcPr>
            <w:tcW w:w="3447" w:type="dxa"/>
            <w:tcBorders>
              <w:top w:val="single" w:sz="4" w:space="0" w:color="auto"/>
              <w:bottom w:val="single" w:sz="4" w:space="0" w:color="auto"/>
            </w:tcBorders>
          </w:tcPr>
          <w:p w14:paraId="43AC9DFE" w14:textId="1F3ADEC6" w:rsidR="00C4558B" w:rsidRPr="003E76E7" w:rsidRDefault="00C4558B" w:rsidP="00C4292D">
            <w:pPr>
              <w:spacing w:before="60" w:after="60"/>
              <w:rPr>
                <w:rFonts w:ascii="Arial" w:hAnsi="Arial"/>
                <w:i/>
                <w:color w:val="000000"/>
                <w:sz w:val="16"/>
                <w:szCs w:val="16"/>
              </w:rPr>
            </w:pPr>
            <w:r w:rsidRPr="003E76E7">
              <w:rPr>
                <w:rFonts w:ascii="Arial" w:hAnsi="Arial"/>
                <w:color w:val="000000"/>
                <w:sz w:val="16"/>
                <w:szCs w:val="16"/>
                <w:lang w:val="en-AU"/>
              </w:rPr>
              <w:t>100 per cent of exercises conducted achieve planned objectives.</w:t>
            </w:r>
          </w:p>
        </w:tc>
      </w:tr>
      <w:tr w:rsidR="00C4558B" w:rsidRPr="003E76E7" w14:paraId="19830E6E" w14:textId="77777777" w:rsidTr="000E1A17">
        <w:tblPrEx>
          <w:shd w:val="clear" w:color="auto" w:fill="auto"/>
          <w:tblLook w:val="04A0" w:firstRow="1" w:lastRow="0" w:firstColumn="1" w:lastColumn="0" w:noHBand="0" w:noVBand="1"/>
        </w:tblPrEx>
        <w:trPr>
          <w:trHeight w:val="204"/>
        </w:trPr>
        <w:tc>
          <w:tcPr>
            <w:tcW w:w="1800" w:type="dxa"/>
            <w:vMerge/>
            <w:shd w:val="clear" w:color="auto" w:fill="auto"/>
          </w:tcPr>
          <w:p w14:paraId="3FB3FD1B" w14:textId="77777777" w:rsidR="00C4558B" w:rsidRPr="003E76E7" w:rsidRDefault="00C4558B" w:rsidP="00C4292D">
            <w:pPr>
              <w:tabs>
                <w:tab w:val="left" w:pos="709"/>
              </w:tabs>
              <w:spacing w:before="60" w:after="60"/>
              <w:rPr>
                <w:rFonts w:ascii="Arial" w:hAnsi="Arial"/>
                <w:color w:val="000000"/>
                <w:sz w:val="16"/>
                <w:szCs w:val="16"/>
              </w:rPr>
            </w:pPr>
          </w:p>
        </w:tc>
        <w:tc>
          <w:tcPr>
            <w:tcW w:w="3174" w:type="dxa"/>
            <w:tcBorders>
              <w:top w:val="single" w:sz="4" w:space="0" w:color="auto"/>
              <w:bottom w:val="single" w:sz="4" w:space="0" w:color="auto"/>
            </w:tcBorders>
          </w:tcPr>
          <w:p w14:paraId="7701C9B3" w14:textId="70BBD4C9" w:rsidR="00C4558B" w:rsidRPr="003E76E7" w:rsidRDefault="00C4558B" w:rsidP="00C4292D">
            <w:pPr>
              <w:tabs>
                <w:tab w:val="left" w:pos="709"/>
              </w:tabs>
              <w:spacing w:before="60" w:after="60"/>
              <w:rPr>
                <w:rFonts w:ascii="Arial" w:hAnsi="Arial"/>
                <w:color w:val="000000"/>
                <w:sz w:val="16"/>
                <w:szCs w:val="16"/>
              </w:rPr>
            </w:pPr>
            <w:r w:rsidRPr="003E76E7">
              <w:rPr>
                <w:rFonts w:ascii="Arial" w:hAnsi="Arial"/>
                <w:sz w:val="16"/>
                <w:szCs w:val="16"/>
                <w:lang w:val="en-AU"/>
              </w:rPr>
              <w:t>1.3</w:t>
            </w:r>
            <w:r w:rsidR="0092056F" w:rsidRPr="003E76E7">
              <w:rPr>
                <w:rFonts w:ascii="Arial" w:hAnsi="Arial"/>
                <w:sz w:val="16"/>
                <w:szCs w:val="16"/>
                <w:lang w:val="en-AU"/>
              </w:rPr>
              <w:t>:</w:t>
            </w:r>
            <w:r w:rsidRPr="003E76E7">
              <w:rPr>
                <w:rFonts w:ascii="Arial" w:hAnsi="Arial"/>
                <w:sz w:val="16"/>
                <w:szCs w:val="16"/>
                <w:lang w:val="en-AU"/>
              </w:rPr>
              <w:t xml:space="preserve"> Defence assists with domestic crisis and emergency response as directed by Government. </w:t>
            </w:r>
          </w:p>
        </w:tc>
        <w:tc>
          <w:tcPr>
            <w:tcW w:w="3447" w:type="dxa"/>
            <w:tcBorders>
              <w:top w:val="single" w:sz="4" w:space="0" w:color="auto"/>
              <w:bottom w:val="single" w:sz="4" w:space="0" w:color="auto"/>
            </w:tcBorders>
          </w:tcPr>
          <w:p w14:paraId="1AA3D084" w14:textId="6534305A" w:rsidR="00C4558B" w:rsidRPr="003E76E7" w:rsidRDefault="00C4558B" w:rsidP="00C4292D">
            <w:pPr>
              <w:spacing w:before="60" w:after="60"/>
              <w:rPr>
                <w:rFonts w:ascii="Arial" w:hAnsi="Arial"/>
                <w:i/>
                <w:color w:val="000000"/>
                <w:sz w:val="16"/>
                <w:szCs w:val="16"/>
              </w:rPr>
            </w:pPr>
            <w:r w:rsidRPr="003E76E7">
              <w:rPr>
                <w:rFonts w:ascii="Arial" w:hAnsi="Arial"/>
                <w:color w:val="000000"/>
                <w:sz w:val="16"/>
                <w:szCs w:val="16"/>
                <w:lang w:val="en-AU"/>
              </w:rPr>
              <w:t xml:space="preserve">Defence responds to 100 per cent of requests for assistance as directed by Government. </w:t>
            </w:r>
          </w:p>
        </w:tc>
      </w:tr>
      <w:tr w:rsidR="00C4558B" w:rsidRPr="003E76E7" w14:paraId="1F35F4B1" w14:textId="77777777" w:rsidTr="000E1A17">
        <w:tblPrEx>
          <w:shd w:val="clear" w:color="auto" w:fill="auto"/>
          <w:tblLook w:val="04A0" w:firstRow="1" w:lastRow="0" w:firstColumn="1" w:lastColumn="0" w:noHBand="0" w:noVBand="1"/>
        </w:tblPrEx>
        <w:trPr>
          <w:trHeight w:val="204"/>
        </w:trPr>
        <w:tc>
          <w:tcPr>
            <w:tcW w:w="1800" w:type="dxa"/>
            <w:vMerge/>
            <w:tcBorders>
              <w:bottom w:val="single" w:sz="4" w:space="0" w:color="auto"/>
            </w:tcBorders>
            <w:shd w:val="clear" w:color="auto" w:fill="auto"/>
          </w:tcPr>
          <w:p w14:paraId="74DC0FF1" w14:textId="77777777" w:rsidR="00C4558B" w:rsidRPr="003E76E7" w:rsidRDefault="00C4558B" w:rsidP="00C4292D">
            <w:pPr>
              <w:tabs>
                <w:tab w:val="left" w:pos="709"/>
              </w:tabs>
              <w:spacing w:before="60" w:after="60"/>
              <w:rPr>
                <w:rFonts w:ascii="Arial" w:hAnsi="Arial"/>
                <w:color w:val="000000"/>
                <w:sz w:val="16"/>
                <w:szCs w:val="16"/>
              </w:rPr>
            </w:pPr>
          </w:p>
        </w:tc>
        <w:tc>
          <w:tcPr>
            <w:tcW w:w="3174" w:type="dxa"/>
            <w:tcBorders>
              <w:top w:val="single" w:sz="4" w:space="0" w:color="auto"/>
              <w:bottom w:val="single" w:sz="4" w:space="0" w:color="auto"/>
            </w:tcBorders>
          </w:tcPr>
          <w:p w14:paraId="395C81FE" w14:textId="1C5A7A14" w:rsidR="00C4558B" w:rsidRPr="003E76E7" w:rsidRDefault="00C4558B" w:rsidP="00C4292D">
            <w:pPr>
              <w:tabs>
                <w:tab w:val="left" w:pos="709"/>
              </w:tabs>
              <w:spacing w:before="60" w:after="60"/>
              <w:rPr>
                <w:rFonts w:ascii="Arial" w:hAnsi="Arial"/>
                <w:sz w:val="16"/>
                <w:szCs w:val="16"/>
                <w:lang w:val="en-AU"/>
              </w:rPr>
            </w:pPr>
            <w:r w:rsidRPr="003E76E7">
              <w:rPr>
                <w:rFonts w:ascii="Arial" w:hAnsi="Arial"/>
                <w:sz w:val="16"/>
                <w:szCs w:val="16"/>
                <w:lang w:val="en-AU"/>
              </w:rPr>
              <w:t>6.1: Defence is delivering the right future capability at the right time within the Integrated Investment Program to ensure it is equipped to respond to future security challenges as directed by the National Defence Strategy.</w:t>
            </w:r>
          </w:p>
        </w:tc>
        <w:tc>
          <w:tcPr>
            <w:tcW w:w="3447" w:type="dxa"/>
            <w:tcBorders>
              <w:top w:val="single" w:sz="4" w:space="0" w:color="auto"/>
              <w:bottom w:val="single" w:sz="4" w:space="0" w:color="auto"/>
            </w:tcBorders>
          </w:tcPr>
          <w:p w14:paraId="2CF3C76A" w14:textId="560A2170" w:rsidR="00C4558B" w:rsidRPr="003E76E7" w:rsidRDefault="00C4558B" w:rsidP="00C4292D">
            <w:pPr>
              <w:spacing w:before="60" w:after="60"/>
              <w:rPr>
                <w:rFonts w:ascii="Arial" w:hAnsi="Arial"/>
                <w:color w:val="000000"/>
                <w:sz w:val="16"/>
                <w:szCs w:val="16"/>
                <w:lang w:val="en-AU"/>
              </w:rPr>
            </w:pPr>
            <w:r w:rsidRPr="003E76E7">
              <w:rPr>
                <w:rFonts w:ascii="Arial" w:hAnsi="Arial"/>
                <w:sz w:val="16"/>
                <w:szCs w:val="16"/>
                <w:lang w:val="en-AU"/>
              </w:rPr>
              <w:t>80 per cent or more of approved Integrated Investment Program projects across all domains are on track to deliver within Government approved scope, schedule, and cost (including contingency).</w:t>
            </w:r>
          </w:p>
        </w:tc>
      </w:tr>
      <w:tr w:rsidR="00C4558B" w:rsidRPr="003E76E7" w14:paraId="26C1C52D" w14:textId="77777777" w:rsidTr="000E1A17">
        <w:tblPrEx>
          <w:shd w:val="clear" w:color="auto" w:fill="auto"/>
          <w:tblLook w:val="04A0" w:firstRow="1" w:lastRow="0" w:firstColumn="1" w:lastColumn="0" w:noHBand="0" w:noVBand="1"/>
        </w:tblPrEx>
        <w:trPr>
          <w:trHeight w:val="204"/>
        </w:trPr>
        <w:tc>
          <w:tcPr>
            <w:tcW w:w="1800" w:type="dxa"/>
            <w:tcBorders>
              <w:top w:val="single" w:sz="4" w:space="0" w:color="auto"/>
              <w:bottom w:val="single" w:sz="4" w:space="0" w:color="auto"/>
            </w:tcBorders>
            <w:shd w:val="clear" w:color="auto" w:fill="auto"/>
          </w:tcPr>
          <w:p w14:paraId="6DE6FF8E" w14:textId="0C23DFE6" w:rsidR="00C4558B" w:rsidRPr="003E76E7" w:rsidRDefault="00C4558B" w:rsidP="00C4292D">
            <w:pPr>
              <w:tabs>
                <w:tab w:val="left" w:pos="709"/>
              </w:tabs>
              <w:spacing w:before="60" w:after="60"/>
              <w:rPr>
                <w:rFonts w:ascii="Arial" w:hAnsi="Arial"/>
                <w:color w:val="000000"/>
                <w:sz w:val="16"/>
                <w:szCs w:val="16"/>
              </w:rPr>
            </w:pPr>
            <w:r w:rsidRPr="003E76E7">
              <w:rPr>
                <w:rFonts w:ascii="Arial" w:hAnsi="Arial"/>
                <w:b/>
                <w:color w:val="000000"/>
                <w:sz w:val="16"/>
                <w:szCs w:val="16"/>
              </w:rPr>
              <w:t>Year</w:t>
            </w:r>
          </w:p>
        </w:tc>
        <w:tc>
          <w:tcPr>
            <w:tcW w:w="3174" w:type="dxa"/>
            <w:tcBorders>
              <w:top w:val="single" w:sz="4" w:space="0" w:color="auto"/>
              <w:bottom w:val="single" w:sz="4" w:space="0" w:color="auto"/>
            </w:tcBorders>
          </w:tcPr>
          <w:p w14:paraId="51E6E2C5" w14:textId="416793AD" w:rsidR="00C4558B" w:rsidRPr="003E76E7" w:rsidRDefault="00AD14EC" w:rsidP="00C4292D">
            <w:pPr>
              <w:tabs>
                <w:tab w:val="left" w:pos="709"/>
              </w:tabs>
              <w:spacing w:before="60" w:after="60"/>
              <w:rPr>
                <w:rFonts w:ascii="Arial" w:hAnsi="Arial"/>
                <w:sz w:val="16"/>
                <w:szCs w:val="16"/>
                <w:lang w:val="en-AU"/>
              </w:rPr>
            </w:pPr>
            <w:r w:rsidRPr="003E76E7">
              <w:rPr>
                <w:rFonts w:ascii="Arial" w:hAnsi="Arial"/>
                <w:b/>
                <w:color w:val="000000"/>
                <w:sz w:val="16"/>
                <w:szCs w:val="16"/>
              </w:rPr>
              <w:t>Performance Measures</w:t>
            </w:r>
          </w:p>
        </w:tc>
        <w:tc>
          <w:tcPr>
            <w:tcW w:w="3447" w:type="dxa"/>
            <w:tcBorders>
              <w:top w:val="single" w:sz="4" w:space="0" w:color="auto"/>
              <w:bottom w:val="single" w:sz="4" w:space="0" w:color="auto"/>
            </w:tcBorders>
          </w:tcPr>
          <w:p w14:paraId="219686E5" w14:textId="61962C9C" w:rsidR="00C4558B" w:rsidRPr="003E76E7" w:rsidRDefault="00C4558B" w:rsidP="00C4292D">
            <w:pPr>
              <w:spacing w:before="60" w:after="60"/>
              <w:rPr>
                <w:rFonts w:ascii="Arial" w:hAnsi="Arial"/>
                <w:sz w:val="16"/>
                <w:szCs w:val="16"/>
                <w:lang w:val="en-AU"/>
              </w:rPr>
            </w:pPr>
            <w:r w:rsidRPr="003E76E7">
              <w:rPr>
                <w:rFonts w:ascii="Arial" w:hAnsi="Arial"/>
                <w:b/>
                <w:color w:val="000000"/>
                <w:sz w:val="16"/>
                <w:szCs w:val="16"/>
              </w:rPr>
              <w:t>Planned Performance Results</w:t>
            </w:r>
          </w:p>
        </w:tc>
      </w:tr>
      <w:tr w:rsidR="00C4558B" w:rsidRPr="003E76E7" w14:paraId="4B69C572" w14:textId="77777777" w:rsidTr="000E1A17">
        <w:tblPrEx>
          <w:shd w:val="clear" w:color="auto" w:fill="auto"/>
          <w:tblLook w:val="04A0" w:firstRow="1" w:lastRow="0" w:firstColumn="1" w:lastColumn="0" w:noHBand="0" w:noVBand="1"/>
        </w:tblPrEx>
        <w:trPr>
          <w:trHeight w:val="475"/>
        </w:trPr>
        <w:tc>
          <w:tcPr>
            <w:tcW w:w="1800" w:type="dxa"/>
            <w:tcBorders>
              <w:top w:val="single" w:sz="4" w:space="0" w:color="auto"/>
              <w:bottom w:val="single" w:sz="4" w:space="0" w:color="auto"/>
            </w:tcBorders>
            <w:shd w:val="clear" w:color="auto" w:fill="auto"/>
            <w:vAlign w:val="center"/>
          </w:tcPr>
          <w:p w14:paraId="331CC77C" w14:textId="77777777" w:rsidR="00C4558B" w:rsidRPr="003E76E7" w:rsidRDefault="00C4558B" w:rsidP="00C4292D">
            <w:pPr>
              <w:tabs>
                <w:tab w:val="left" w:pos="709"/>
              </w:tabs>
              <w:spacing w:before="0" w:after="0"/>
              <w:rPr>
                <w:rFonts w:ascii="Arial" w:hAnsi="Arial"/>
                <w:color w:val="000000"/>
                <w:sz w:val="16"/>
                <w:szCs w:val="16"/>
              </w:rPr>
            </w:pPr>
            <w:r w:rsidRPr="003E76E7">
              <w:rPr>
                <w:rFonts w:ascii="Arial" w:hAnsi="Arial"/>
                <w:color w:val="000000"/>
                <w:sz w:val="16"/>
                <w:szCs w:val="16"/>
              </w:rPr>
              <w:t>Forward Estimates</w:t>
            </w:r>
          </w:p>
          <w:p w14:paraId="72B61BD9" w14:textId="721DBDEE" w:rsidR="00C4558B" w:rsidRPr="003E76E7" w:rsidRDefault="00C4558B" w:rsidP="00C4292D">
            <w:pPr>
              <w:tabs>
                <w:tab w:val="left" w:pos="709"/>
              </w:tabs>
              <w:spacing w:before="0" w:after="0"/>
              <w:rPr>
                <w:rFonts w:ascii="Arial" w:hAnsi="Arial"/>
                <w:color w:val="000000"/>
                <w:sz w:val="16"/>
                <w:szCs w:val="16"/>
              </w:rPr>
            </w:pPr>
            <w:r w:rsidRPr="003E76E7">
              <w:rPr>
                <w:rFonts w:ascii="Arial" w:hAnsi="Arial"/>
                <w:color w:val="000000"/>
                <w:sz w:val="16"/>
                <w:szCs w:val="16"/>
              </w:rPr>
              <w:t>2027-30</w:t>
            </w:r>
          </w:p>
        </w:tc>
        <w:tc>
          <w:tcPr>
            <w:tcW w:w="3174" w:type="dxa"/>
            <w:tcBorders>
              <w:top w:val="single" w:sz="4" w:space="0" w:color="auto"/>
              <w:bottom w:val="single" w:sz="4" w:space="0" w:color="auto"/>
            </w:tcBorders>
            <w:vAlign w:val="center"/>
          </w:tcPr>
          <w:p w14:paraId="4F573F21" w14:textId="7A0C4426" w:rsidR="00C4558B" w:rsidRPr="003E76E7" w:rsidRDefault="00C4558B" w:rsidP="00C4292D">
            <w:pPr>
              <w:tabs>
                <w:tab w:val="left" w:pos="709"/>
              </w:tabs>
              <w:spacing w:before="60" w:after="60"/>
              <w:rPr>
                <w:rFonts w:ascii="Arial" w:hAnsi="Arial"/>
                <w:sz w:val="16"/>
                <w:szCs w:val="16"/>
                <w:lang w:val="en-AU"/>
              </w:rPr>
            </w:pPr>
            <w:r w:rsidRPr="003E76E7">
              <w:rPr>
                <w:rFonts w:ascii="Arial" w:hAnsi="Arial"/>
                <w:color w:val="000000"/>
                <w:sz w:val="16"/>
                <w:szCs w:val="16"/>
              </w:rPr>
              <w:t>As per 2026-27.</w:t>
            </w:r>
          </w:p>
        </w:tc>
        <w:tc>
          <w:tcPr>
            <w:tcW w:w="3447" w:type="dxa"/>
            <w:tcBorders>
              <w:top w:val="single" w:sz="4" w:space="0" w:color="auto"/>
              <w:bottom w:val="single" w:sz="4" w:space="0" w:color="auto"/>
            </w:tcBorders>
            <w:vAlign w:val="center"/>
          </w:tcPr>
          <w:p w14:paraId="611DB306" w14:textId="439F6D33" w:rsidR="00C4558B" w:rsidRPr="003E76E7" w:rsidRDefault="00C4558B" w:rsidP="00C4292D">
            <w:pPr>
              <w:spacing w:before="60" w:after="60"/>
              <w:rPr>
                <w:rFonts w:ascii="Arial" w:hAnsi="Arial"/>
                <w:sz w:val="16"/>
                <w:szCs w:val="16"/>
                <w:lang w:val="en-AU"/>
              </w:rPr>
            </w:pPr>
            <w:r w:rsidRPr="003E76E7">
              <w:rPr>
                <w:rFonts w:ascii="Arial" w:hAnsi="Arial"/>
                <w:color w:val="000000"/>
                <w:sz w:val="16"/>
                <w:szCs w:val="16"/>
              </w:rPr>
              <w:t>As per 2026-27.</w:t>
            </w:r>
          </w:p>
        </w:tc>
      </w:tr>
      <w:tr w:rsidR="00C4558B" w:rsidRPr="003E76E7" w14:paraId="10B12209" w14:textId="77777777" w:rsidTr="00A46C55">
        <w:tblPrEx>
          <w:shd w:val="clear" w:color="auto" w:fill="auto"/>
          <w:tblLook w:val="04A0" w:firstRow="1" w:lastRow="0" w:firstColumn="1" w:lastColumn="0" w:noHBand="0" w:noVBand="1"/>
        </w:tblPrEx>
        <w:trPr>
          <w:trHeight w:val="204"/>
        </w:trPr>
        <w:tc>
          <w:tcPr>
            <w:tcW w:w="8421" w:type="dxa"/>
            <w:gridSpan w:val="3"/>
            <w:tcBorders>
              <w:top w:val="single" w:sz="4" w:space="0" w:color="auto"/>
              <w:bottom w:val="single" w:sz="4" w:space="0" w:color="auto"/>
            </w:tcBorders>
            <w:shd w:val="clear" w:color="auto" w:fill="auto"/>
          </w:tcPr>
          <w:p w14:paraId="72967270" w14:textId="1A5D9530" w:rsidR="00C4558B" w:rsidRPr="003E76E7" w:rsidRDefault="00C4558B" w:rsidP="00C4292D">
            <w:pPr>
              <w:spacing w:before="60" w:after="60"/>
              <w:rPr>
                <w:rFonts w:ascii="Arial" w:hAnsi="Arial"/>
                <w:sz w:val="16"/>
                <w:szCs w:val="16"/>
                <w:lang w:val="en-AU"/>
              </w:rPr>
            </w:pPr>
            <w:r w:rsidRPr="003E76E7">
              <w:rPr>
                <w:rFonts w:ascii="Arial" w:hAnsi="Arial"/>
                <w:color w:val="000000"/>
                <w:sz w:val="16"/>
                <w:szCs w:val="16"/>
              </w:rPr>
              <w:t>Material changes to Program 2.4 resulting from 2026-27 Budget Measures:</w:t>
            </w:r>
            <w:r w:rsidRPr="003E76E7">
              <w:rPr>
                <w:rStyle w:val="BodyTextChar"/>
                <w:rFonts w:ascii="Arial" w:hAnsi="Arial"/>
                <w:bCs/>
                <w:iCs/>
                <w:color w:val="000000"/>
                <w:spacing w:val="-6"/>
                <w:sz w:val="16"/>
                <w:szCs w:val="16"/>
              </w:rPr>
              <w:t xml:space="preserve"> Nil.</w:t>
            </w:r>
          </w:p>
        </w:tc>
      </w:tr>
    </w:tbl>
    <w:p w14:paraId="24DBAC85" w14:textId="77777777" w:rsidR="0002000E" w:rsidRPr="003E76E7" w:rsidRDefault="0002000E" w:rsidP="00C4292D">
      <w:pPr>
        <w:pStyle w:val="TableHeading"/>
        <w:spacing w:before="0" w:after="0"/>
        <w:rPr>
          <w:sz w:val="14"/>
          <w:szCs w:val="16"/>
        </w:rPr>
      </w:pPr>
    </w:p>
    <w:p w14:paraId="1C693251" w14:textId="77777777" w:rsidR="00215442" w:rsidRPr="003E76E7" w:rsidRDefault="00215442" w:rsidP="00C4292D">
      <w:pPr>
        <w:pStyle w:val="TableHeading"/>
        <w:spacing w:before="0" w:after="0"/>
        <w:rPr>
          <w:sz w:val="14"/>
          <w:szCs w:val="14"/>
          <w:lang w:val="en-AU"/>
        </w:rPr>
      </w:pPr>
      <w:r w:rsidRPr="003E76E7">
        <w:rPr>
          <w:sz w:val="14"/>
          <w:szCs w:val="14"/>
          <w:lang w:val="en-AU"/>
        </w:rPr>
        <w:t>Notes</w:t>
      </w:r>
    </w:p>
    <w:p w14:paraId="0ABC01E1" w14:textId="77777777" w:rsidR="00215442" w:rsidRPr="003E76E7" w:rsidRDefault="00215442" w:rsidP="00C4292D">
      <w:pPr>
        <w:pStyle w:val="TableHeading"/>
        <w:numPr>
          <w:ilvl w:val="0"/>
          <w:numId w:val="36"/>
        </w:numPr>
        <w:tabs>
          <w:tab w:val="left" w:pos="0"/>
          <w:tab w:val="left" w:pos="284"/>
        </w:tabs>
        <w:spacing w:before="0" w:after="0"/>
        <w:ind w:left="284" w:hanging="284"/>
        <w:rPr>
          <w:b w:val="0"/>
          <w:sz w:val="14"/>
          <w:szCs w:val="14"/>
          <w:lang w:val="en-AU"/>
        </w:rPr>
      </w:pPr>
      <w:r w:rsidRPr="003E76E7">
        <w:rPr>
          <w:b w:val="0"/>
          <w:sz w:val="14"/>
          <w:szCs w:val="14"/>
          <w:lang w:val="en-AU"/>
        </w:rPr>
        <w:t xml:space="preserve">Key activity 1 has been amended for 2025-26, as published in the </w:t>
      </w:r>
      <w:r w:rsidRPr="003E76E7">
        <w:rPr>
          <w:b w:val="0"/>
          <w:i/>
          <w:sz w:val="14"/>
          <w:szCs w:val="14"/>
          <w:lang w:val="en-AU"/>
        </w:rPr>
        <w:t>2025-29 Defence Corporate Plan.</w:t>
      </w:r>
    </w:p>
    <w:p w14:paraId="69A0CDE8" w14:textId="22B004A6" w:rsidR="00215442" w:rsidRPr="003E76E7" w:rsidRDefault="00215442" w:rsidP="00C4292D">
      <w:pPr>
        <w:pStyle w:val="TableHeading"/>
        <w:numPr>
          <w:ilvl w:val="0"/>
          <w:numId w:val="36"/>
        </w:numPr>
        <w:tabs>
          <w:tab w:val="left" w:pos="0"/>
          <w:tab w:val="left" w:pos="284"/>
        </w:tabs>
        <w:spacing w:before="0" w:after="0"/>
        <w:ind w:left="284" w:hanging="284"/>
        <w:rPr>
          <w:b w:val="0"/>
          <w:sz w:val="14"/>
          <w:szCs w:val="14"/>
          <w:lang w:val="en-AU"/>
        </w:rPr>
      </w:pPr>
      <w:r w:rsidRPr="003E76E7">
        <w:rPr>
          <w:b w:val="0"/>
          <w:sz w:val="14"/>
          <w:szCs w:val="14"/>
          <w:lang w:val="en-AU"/>
        </w:rPr>
        <w:tab/>
        <w:t xml:space="preserve">Performance Measures 1.1, 1.2 and 6.1 have been amended and 1.3 is new for 2025-26, as published in </w:t>
      </w:r>
      <w:r w:rsidRPr="003E76E7">
        <w:rPr>
          <w:b w:val="0"/>
          <w:i/>
          <w:sz w:val="14"/>
          <w:szCs w:val="14"/>
          <w:lang w:val="en-AU"/>
        </w:rPr>
        <w:t xml:space="preserve">2025-29 Defence </w:t>
      </w:r>
      <w:r w:rsidR="00190A21" w:rsidRPr="003E76E7">
        <w:rPr>
          <w:b w:val="0"/>
          <w:i/>
          <w:sz w:val="14"/>
          <w:szCs w:val="14"/>
          <w:lang w:val="en-AU"/>
        </w:rPr>
        <w:br/>
      </w:r>
      <w:r w:rsidRPr="003E76E7">
        <w:rPr>
          <w:b w:val="0"/>
          <w:i/>
          <w:sz w:val="14"/>
          <w:szCs w:val="14"/>
          <w:lang w:val="en-AU"/>
        </w:rPr>
        <w:t>Corporate Plan.</w:t>
      </w:r>
    </w:p>
    <w:p w14:paraId="274CFF4D" w14:textId="2A7BF7C3" w:rsidR="009737EB" w:rsidRPr="003E76E7" w:rsidRDefault="00215442" w:rsidP="00C4292D">
      <w:pPr>
        <w:pStyle w:val="TableHeading"/>
        <w:numPr>
          <w:ilvl w:val="0"/>
          <w:numId w:val="36"/>
        </w:numPr>
        <w:tabs>
          <w:tab w:val="left" w:pos="0"/>
          <w:tab w:val="left" w:pos="284"/>
        </w:tabs>
        <w:spacing w:before="0" w:after="0"/>
        <w:ind w:left="284" w:hanging="284"/>
        <w:rPr>
          <w:b w:val="0"/>
          <w:lang w:val="en-AU"/>
        </w:rPr>
      </w:pPr>
      <w:r w:rsidRPr="003E76E7">
        <w:rPr>
          <w:b w:val="0"/>
          <w:sz w:val="14"/>
          <w:szCs w:val="14"/>
          <w:lang w:val="en-AU"/>
        </w:rPr>
        <w:t>In accordance with Defence’s Enterprise Performance Framework, Defence is undertaking materiality assessments that may result in updates to the 2026-27 performance information in the 2026-30 Defence Corporate Plan, if required.</w:t>
      </w:r>
    </w:p>
    <w:p w14:paraId="7AC432C0" w14:textId="025D4C6D" w:rsidR="005C0D6D" w:rsidRPr="003E76E7" w:rsidRDefault="00BD74D3" w:rsidP="00C4292D">
      <w:pPr>
        <w:pStyle w:val="TableHeading"/>
        <w:numPr>
          <w:ilvl w:val="0"/>
          <w:numId w:val="61"/>
        </w:numPr>
        <w:spacing w:before="100"/>
        <w:ind w:left="0" w:firstLine="0"/>
        <w:outlineLvl w:val="4"/>
        <w:rPr>
          <w:lang w:val="en-AU"/>
        </w:rPr>
      </w:pPr>
      <w:r w:rsidRPr="003E76E7">
        <w:rPr>
          <w:b w:val="0"/>
          <w:sz w:val="14"/>
          <w:szCs w:val="14"/>
          <w:lang w:val="en-AU"/>
        </w:rPr>
        <w:br w:type="page"/>
      </w:r>
      <w:r w:rsidR="00F91904" w:rsidRPr="003E76E7">
        <w:rPr>
          <w:lang w:val="en-AU"/>
        </w:rPr>
        <w:lastRenderedPageBreak/>
        <w:t>Cost Summary for Program 2.4 Joint Capabilities</w:t>
      </w:r>
    </w:p>
    <w:p w14:paraId="53DBD79A" w14:textId="0BB9669B" w:rsidR="00656D60" w:rsidRPr="003E76E7" w:rsidRDefault="004E7650" w:rsidP="00C4292D">
      <w:pPr>
        <w:pStyle w:val="BodyText"/>
        <w:spacing w:after="0"/>
        <w:rPr>
          <w:lang w:val="en-AU"/>
        </w:rPr>
      </w:pPr>
      <w:r w:rsidRPr="004E7650">
        <w:rPr>
          <w:noProof/>
          <w:lang w:val="en-AU"/>
        </w:rPr>
        <w:drawing>
          <wp:inline distT="0" distB="0" distL="0" distR="0" wp14:anchorId="661B2E4C" wp14:editId="5540A000">
            <wp:extent cx="5471795" cy="2835246"/>
            <wp:effectExtent l="0" t="0" r="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71795" cy="2835246"/>
                    </a:xfrm>
                    <a:prstGeom prst="rect">
                      <a:avLst/>
                    </a:prstGeom>
                    <a:noFill/>
                    <a:ln>
                      <a:noFill/>
                    </a:ln>
                  </pic:spPr>
                </pic:pic>
              </a:graphicData>
            </a:graphic>
          </wp:inline>
        </w:drawing>
      </w:r>
    </w:p>
    <w:p w14:paraId="6D72B8D6" w14:textId="77777777" w:rsidR="00597CD8" w:rsidRPr="003E76E7" w:rsidRDefault="00597CD8" w:rsidP="00C4292D">
      <w:pPr>
        <w:tabs>
          <w:tab w:val="left" w:pos="284"/>
        </w:tabs>
        <w:spacing w:before="0" w:after="0"/>
        <w:ind w:left="284" w:hanging="284"/>
        <w:rPr>
          <w:rFonts w:ascii="Arial" w:hAnsi="Arial"/>
          <w:b/>
          <w:sz w:val="14"/>
          <w:szCs w:val="14"/>
          <w:lang w:val="en-AU"/>
        </w:rPr>
      </w:pPr>
    </w:p>
    <w:p w14:paraId="33EAFF7F" w14:textId="129B5E06" w:rsidR="00344B37" w:rsidRPr="003E76E7" w:rsidRDefault="00BD74D3" w:rsidP="00C4292D">
      <w:pPr>
        <w:tabs>
          <w:tab w:val="left" w:pos="284"/>
        </w:tabs>
        <w:spacing w:before="0" w:after="0"/>
        <w:ind w:left="284" w:hanging="284"/>
        <w:rPr>
          <w:rFonts w:ascii="Arial" w:hAnsi="Arial"/>
          <w:b/>
          <w:sz w:val="14"/>
          <w:szCs w:val="14"/>
          <w:lang w:val="en-AU"/>
        </w:rPr>
      </w:pPr>
      <w:r w:rsidRPr="003E76E7">
        <w:rPr>
          <w:rFonts w:ascii="Arial" w:hAnsi="Arial"/>
          <w:b/>
          <w:sz w:val="14"/>
          <w:szCs w:val="14"/>
          <w:lang w:val="en-AU"/>
        </w:rPr>
        <w:t>Notes</w:t>
      </w:r>
    </w:p>
    <w:p w14:paraId="332C0B36" w14:textId="12E67972" w:rsidR="006C19A8" w:rsidRPr="003E76E7" w:rsidRDefault="00A37A36" w:rsidP="00C4292D">
      <w:pPr>
        <w:pStyle w:val="ListParagraph"/>
        <w:numPr>
          <w:ilvl w:val="0"/>
          <w:numId w:val="111"/>
        </w:numPr>
        <w:tabs>
          <w:tab w:val="left" w:pos="284"/>
        </w:tabs>
        <w:spacing w:before="0" w:after="0"/>
        <w:ind w:left="284" w:hanging="284"/>
        <w:rPr>
          <w:rFonts w:ascii="Arial" w:hAnsi="Arial"/>
          <w:sz w:val="14"/>
          <w:szCs w:val="14"/>
          <w:lang w:val="en-AU"/>
        </w:rPr>
      </w:pPr>
      <w:r w:rsidRPr="003E76E7">
        <w:rPr>
          <w:rFonts w:ascii="Arial" w:hAnsi="Arial"/>
          <w:sz w:val="14"/>
          <w:szCs w:val="14"/>
          <w:lang w:val="en-AU"/>
        </w:rPr>
        <w:t>Total program funded</w:t>
      </w:r>
      <w:r w:rsidR="006C19A8" w:rsidRPr="003E76E7">
        <w:rPr>
          <w:rFonts w:ascii="Arial" w:hAnsi="Arial"/>
          <w:sz w:val="14"/>
          <w:szCs w:val="14"/>
          <w:lang w:val="en-AU"/>
        </w:rPr>
        <w:t xml:space="preserve"> expenditure includes operating expenses and capital expenditure funded by appropriation and </w:t>
      </w:r>
      <w:r w:rsidR="006C19A8" w:rsidRPr="003E76E7">
        <w:rPr>
          <w:rFonts w:ascii="Arial" w:hAnsi="Arial"/>
          <w:sz w:val="14"/>
          <w:szCs w:val="14"/>
          <w:lang w:val="en-AU"/>
        </w:rPr>
        <w:br/>
        <w:t>own source revenue. This excludes expenses not requiring appropriation.</w:t>
      </w:r>
      <w:r w:rsidR="006C19A8" w:rsidRPr="003E76E7">
        <w:rPr>
          <w:rFonts w:ascii="Arial" w:hAnsi="Arial"/>
          <w:sz w:val="14"/>
          <w:szCs w:val="14"/>
          <w:lang w:val="en-AU"/>
        </w:rPr>
        <w:tab/>
      </w:r>
      <w:r w:rsidR="006C19A8" w:rsidRPr="003E76E7">
        <w:rPr>
          <w:rFonts w:ascii="Arial" w:hAnsi="Arial"/>
          <w:sz w:val="14"/>
          <w:szCs w:val="14"/>
          <w:lang w:val="en-AU"/>
        </w:rPr>
        <w:tab/>
      </w:r>
      <w:r w:rsidR="006C19A8" w:rsidRPr="003E76E7">
        <w:rPr>
          <w:rFonts w:ascii="Arial" w:hAnsi="Arial"/>
          <w:sz w:val="14"/>
          <w:szCs w:val="14"/>
          <w:lang w:val="en-AU"/>
        </w:rPr>
        <w:tab/>
      </w:r>
      <w:r w:rsidR="006C19A8" w:rsidRPr="003E76E7">
        <w:rPr>
          <w:rFonts w:ascii="Arial" w:hAnsi="Arial"/>
          <w:sz w:val="14"/>
          <w:szCs w:val="14"/>
          <w:lang w:val="en-AU"/>
        </w:rPr>
        <w:tab/>
      </w:r>
      <w:r w:rsidR="006C19A8" w:rsidRPr="003E76E7">
        <w:rPr>
          <w:rFonts w:ascii="Arial" w:hAnsi="Arial"/>
          <w:sz w:val="14"/>
          <w:szCs w:val="14"/>
          <w:lang w:val="en-AU"/>
        </w:rPr>
        <w:tab/>
      </w:r>
    </w:p>
    <w:p w14:paraId="595868BA" w14:textId="0D486F89" w:rsidR="00CD66E1" w:rsidRPr="003E76E7" w:rsidRDefault="006C19A8" w:rsidP="00C4292D">
      <w:pPr>
        <w:pStyle w:val="ListParagraph"/>
        <w:numPr>
          <w:ilvl w:val="0"/>
          <w:numId w:val="111"/>
        </w:numPr>
        <w:tabs>
          <w:tab w:val="left" w:pos="284"/>
        </w:tabs>
        <w:spacing w:before="0" w:after="0"/>
        <w:ind w:left="284" w:hanging="284"/>
        <w:rPr>
          <w:rFonts w:ascii="Arial" w:hAnsi="Arial"/>
          <w:sz w:val="14"/>
          <w:szCs w:val="14"/>
          <w:lang w:val="en-AU"/>
        </w:rPr>
      </w:pPr>
      <w:r w:rsidRPr="003E76E7">
        <w:rPr>
          <w:rFonts w:ascii="Arial" w:hAnsi="Arial"/>
          <w:sz w:val="14"/>
          <w:szCs w:val="14"/>
          <w:lang w:val="en-AU"/>
        </w:rPr>
        <w:t>The change in estimates includes movement of functions and their associated budgets within Defence.</w:t>
      </w:r>
      <w:r w:rsidRPr="003E76E7">
        <w:rPr>
          <w:rFonts w:ascii="Arial" w:hAnsi="Arial"/>
          <w:sz w:val="14"/>
          <w:szCs w:val="14"/>
          <w:lang w:val="en-AU"/>
        </w:rPr>
        <w:tab/>
      </w:r>
      <w:r w:rsidRPr="003E76E7">
        <w:rPr>
          <w:rFonts w:ascii="Arial" w:hAnsi="Arial"/>
          <w:sz w:val="14"/>
          <w:szCs w:val="14"/>
          <w:lang w:val="en-AU"/>
        </w:rPr>
        <w:tab/>
      </w:r>
      <w:r w:rsidRPr="003E76E7">
        <w:rPr>
          <w:rFonts w:ascii="Arial" w:hAnsi="Arial"/>
          <w:sz w:val="14"/>
          <w:szCs w:val="14"/>
          <w:lang w:val="en-AU"/>
        </w:rPr>
        <w:tab/>
      </w:r>
      <w:r w:rsidRPr="003E76E7">
        <w:rPr>
          <w:rFonts w:ascii="Arial" w:hAnsi="Arial"/>
          <w:sz w:val="14"/>
          <w:szCs w:val="14"/>
          <w:lang w:val="en-AU"/>
        </w:rPr>
        <w:tab/>
      </w:r>
      <w:r w:rsidRPr="003E76E7">
        <w:rPr>
          <w:rFonts w:ascii="Arial" w:hAnsi="Arial"/>
          <w:sz w:val="14"/>
          <w:szCs w:val="14"/>
          <w:lang w:val="en-AU"/>
        </w:rPr>
        <w:tab/>
      </w:r>
    </w:p>
    <w:p w14:paraId="2FB68D40" w14:textId="77777777" w:rsidR="00BD74D3" w:rsidRPr="003E76E7" w:rsidRDefault="00BD74D3" w:rsidP="00C4292D">
      <w:pPr>
        <w:tabs>
          <w:tab w:val="left" w:pos="284"/>
        </w:tabs>
        <w:spacing w:before="0" w:after="0"/>
        <w:ind w:left="284" w:hanging="284"/>
        <w:rPr>
          <w:rFonts w:ascii="Arial" w:hAnsi="Arial"/>
          <w:sz w:val="14"/>
          <w:szCs w:val="14"/>
          <w:lang w:val="en-AU"/>
        </w:rPr>
      </w:pPr>
    </w:p>
    <w:p w14:paraId="09559663" w14:textId="77777777" w:rsidR="00C52D6B" w:rsidRPr="003E76E7" w:rsidRDefault="00A00060" w:rsidP="00C4292D">
      <w:pPr>
        <w:spacing w:before="0" w:after="0"/>
        <w:outlineLvl w:val="5"/>
        <w:rPr>
          <w:color w:val="FFFFFF"/>
          <w:sz w:val="2"/>
        </w:rPr>
      </w:pPr>
      <w:r w:rsidRPr="003E76E7">
        <w:rPr>
          <w:lang w:val="en-AU"/>
        </w:rPr>
        <w:br w:type="page"/>
      </w:r>
      <w:r w:rsidR="00C52D6B" w:rsidRPr="003E76E7">
        <w:rPr>
          <w:color w:val="FFFFFF"/>
          <w:sz w:val="2"/>
        </w:rPr>
        <w:lastRenderedPageBreak/>
        <w:t>Program 2.5: Navy Capabilities</w:t>
      </w:r>
    </w:p>
    <w:tbl>
      <w:tblPr>
        <w:tblW w:w="4852" w:type="pct"/>
        <w:tblInd w:w="113" w:type="dxa"/>
        <w:tblBorders>
          <w:top w:val="single" w:sz="4" w:space="0" w:color="auto"/>
          <w:left w:val="single" w:sz="4" w:space="0" w:color="auto"/>
          <w:bottom w:val="dotted" w:sz="4" w:space="0" w:color="auto"/>
          <w:right w:val="single" w:sz="4" w:space="0" w:color="auto"/>
          <w:insideH w:val="dotted" w:sz="4" w:space="0" w:color="auto"/>
          <w:insideV w:val="single" w:sz="4" w:space="0" w:color="auto"/>
        </w:tblBorders>
        <w:shd w:val="clear" w:color="auto" w:fill="C0C0C0"/>
        <w:tblLook w:val="01E0" w:firstRow="1" w:lastRow="1" w:firstColumn="1" w:lastColumn="1" w:noHBand="0" w:noVBand="0"/>
      </w:tblPr>
      <w:tblGrid>
        <w:gridCol w:w="1799"/>
        <w:gridCol w:w="3174"/>
        <w:gridCol w:w="3379"/>
      </w:tblGrid>
      <w:tr w:rsidR="0002000E" w:rsidRPr="003E76E7" w14:paraId="787C4AAF" w14:textId="77777777" w:rsidTr="000E1A17">
        <w:tc>
          <w:tcPr>
            <w:tcW w:w="8352" w:type="dxa"/>
            <w:gridSpan w:val="3"/>
            <w:tcBorders>
              <w:top w:val="single" w:sz="4" w:space="0" w:color="auto"/>
              <w:bottom w:val="single" w:sz="4" w:space="0" w:color="auto"/>
            </w:tcBorders>
            <w:shd w:val="clear" w:color="auto" w:fill="CCCCCC"/>
          </w:tcPr>
          <w:p w14:paraId="3377080B" w14:textId="77777777" w:rsidR="0002000E" w:rsidRPr="003E76E7" w:rsidRDefault="0002000E" w:rsidP="00C4292D">
            <w:pPr>
              <w:pStyle w:val="Heading5"/>
              <w:spacing w:before="60" w:after="60"/>
            </w:pPr>
            <w:r w:rsidRPr="003E76E7">
              <w:t>Program 2.5: Navy Capabilities</w:t>
            </w:r>
          </w:p>
        </w:tc>
      </w:tr>
      <w:tr w:rsidR="0002000E" w:rsidRPr="003E76E7" w14:paraId="5DD62A81" w14:textId="77777777" w:rsidTr="000E1A17">
        <w:trPr>
          <w:trHeight w:val="170"/>
        </w:trPr>
        <w:tc>
          <w:tcPr>
            <w:tcW w:w="8352" w:type="dxa"/>
            <w:gridSpan w:val="3"/>
            <w:tcBorders>
              <w:top w:val="single" w:sz="4" w:space="0" w:color="auto"/>
              <w:left w:val="nil"/>
              <w:bottom w:val="single" w:sz="4" w:space="0" w:color="auto"/>
              <w:right w:val="nil"/>
            </w:tcBorders>
            <w:shd w:val="clear" w:color="auto" w:fill="auto"/>
          </w:tcPr>
          <w:p w14:paraId="534A20B9" w14:textId="6A90384C" w:rsidR="0002000E" w:rsidRPr="003E76E7" w:rsidRDefault="0002000E" w:rsidP="00C4292D">
            <w:pPr>
              <w:pStyle w:val="Heading5"/>
              <w:tabs>
                <w:tab w:val="left" w:pos="1816"/>
              </w:tabs>
              <w:spacing w:before="0" w:after="0"/>
              <w:rPr>
                <w:sz w:val="16"/>
                <w:szCs w:val="16"/>
              </w:rPr>
            </w:pPr>
          </w:p>
        </w:tc>
      </w:tr>
      <w:tr w:rsidR="0002000E" w:rsidRPr="003E76E7" w14:paraId="2E25E3CC" w14:textId="77777777" w:rsidTr="000E1A17">
        <w:tblPrEx>
          <w:shd w:val="clear" w:color="auto" w:fill="auto"/>
          <w:tblLook w:val="04A0" w:firstRow="1" w:lastRow="0" w:firstColumn="1" w:lastColumn="0" w:noHBand="0" w:noVBand="1"/>
        </w:tblPrEx>
        <w:trPr>
          <w:tblHeader/>
        </w:trPr>
        <w:tc>
          <w:tcPr>
            <w:tcW w:w="8352" w:type="dxa"/>
            <w:gridSpan w:val="3"/>
            <w:tcBorders>
              <w:top w:val="single" w:sz="4" w:space="0" w:color="auto"/>
              <w:bottom w:val="single" w:sz="4" w:space="0" w:color="auto"/>
            </w:tcBorders>
            <w:shd w:val="clear" w:color="auto" w:fill="E6E6E6"/>
          </w:tcPr>
          <w:p w14:paraId="7C2973C5" w14:textId="77777777" w:rsidR="0002000E" w:rsidRPr="003E76E7" w:rsidRDefault="0002000E" w:rsidP="00C4292D">
            <w:pPr>
              <w:tabs>
                <w:tab w:val="left" w:pos="709"/>
              </w:tabs>
              <w:spacing w:before="60" w:after="60"/>
              <w:rPr>
                <w:rFonts w:ascii="Arial" w:hAnsi="Arial"/>
                <w:b/>
                <w:sz w:val="16"/>
                <w:szCs w:val="16"/>
              </w:rPr>
            </w:pPr>
            <w:r w:rsidRPr="003E76E7">
              <w:rPr>
                <w:rFonts w:ascii="Arial" w:hAnsi="Arial"/>
                <w:b/>
                <w:sz w:val="16"/>
                <w:szCs w:val="16"/>
              </w:rPr>
              <w:t>Program 2.5 Objective</w:t>
            </w:r>
          </w:p>
          <w:p w14:paraId="5D4B55C2" w14:textId="77777777" w:rsidR="0002000E" w:rsidRPr="003E76E7" w:rsidRDefault="0002000E" w:rsidP="00C4292D">
            <w:pPr>
              <w:tabs>
                <w:tab w:val="left" w:pos="709"/>
              </w:tabs>
              <w:spacing w:before="0" w:after="60"/>
              <w:rPr>
                <w:rFonts w:ascii="Arial" w:hAnsi="Arial"/>
                <w:sz w:val="16"/>
                <w:szCs w:val="16"/>
              </w:rPr>
            </w:pPr>
            <w:r w:rsidRPr="003E76E7">
              <w:rPr>
                <w:rFonts w:ascii="Arial" w:hAnsi="Arial"/>
                <w:sz w:val="16"/>
                <w:szCs w:val="16"/>
                <w:lang w:val="en-AU"/>
              </w:rPr>
              <w:t>To provide maritime capabilities that contribute to the Australian Defence Force’s capacity to defend Australia, contribute to regional security, support Australia’s global interests, shape the strategic environment and protect national interests.</w:t>
            </w:r>
          </w:p>
        </w:tc>
      </w:tr>
      <w:tr w:rsidR="00E96419" w:rsidRPr="003E76E7" w14:paraId="494ECD96" w14:textId="77777777" w:rsidTr="000E1A17">
        <w:tblPrEx>
          <w:shd w:val="clear" w:color="auto" w:fill="auto"/>
          <w:tblLook w:val="04A0" w:firstRow="1" w:lastRow="0" w:firstColumn="1" w:lastColumn="0" w:noHBand="0" w:noVBand="1"/>
        </w:tblPrEx>
        <w:trPr>
          <w:trHeight w:val="966"/>
        </w:trPr>
        <w:tc>
          <w:tcPr>
            <w:tcW w:w="1799" w:type="dxa"/>
            <w:tcBorders>
              <w:top w:val="single" w:sz="4" w:space="0" w:color="auto"/>
              <w:bottom w:val="single" w:sz="4" w:space="0" w:color="auto"/>
            </w:tcBorders>
          </w:tcPr>
          <w:p w14:paraId="7EA0C74C" w14:textId="016BBABD" w:rsidR="00E96419" w:rsidRPr="003E76E7" w:rsidRDefault="00E96419" w:rsidP="00C4292D">
            <w:pPr>
              <w:tabs>
                <w:tab w:val="left" w:pos="709"/>
              </w:tabs>
              <w:spacing w:before="60" w:after="60"/>
              <w:rPr>
                <w:rFonts w:ascii="Arial" w:hAnsi="Arial"/>
                <w:b/>
                <w:color w:val="000000"/>
                <w:sz w:val="16"/>
                <w:szCs w:val="16"/>
              </w:rPr>
            </w:pPr>
            <w:r w:rsidRPr="003E76E7">
              <w:rPr>
                <w:rFonts w:ascii="Arial" w:hAnsi="Arial"/>
                <w:b/>
                <w:color w:val="000000"/>
                <w:sz w:val="16"/>
                <w:szCs w:val="16"/>
              </w:rPr>
              <w:t>Key Activities</w:t>
            </w:r>
            <w:r w:rsidR="00954644" w:rsidRPr="003E76E7">
              <w:rPr>
                <w:rFonts w:ascii="Arial" w:hAnsi="Arial"/>
                <w:b/>
                <w:color w:val="000000"/>
                <w:sz w:val="16"/>
                <w:szCs w:val="16"/>
              </w:rPr>
              <w:t xml:space="preserve"> </w:t>
            </w:r>
            <w:r w:rsidR="00954644" w:rsidRPr="003E76E7">
              <w:rPr>
                <w:rFonts w:ascii="Arial" w:hAnsi="Arial"/>
                <w:b/>
                <w:color w:val="000000"/>
                <w:sz w:val="16"/>
                <w:szCs w:val="16"/>
                <w:vertAlign w:val="superscript"/>
              </w:rPr>
              <w:t>[a]</w:t>
            </w:r>
          </w:p>
        </w:tc>
        <w:tc>
          <w:tcPr>
            <w:tcW w:w="6553" w:type="dxa"/>
            <w:gridSpan w:val="2"/>
            <w:tcBorders>
              <w:top w:val="single" w:sz="4" w:space="0" w:color="auto"/>
              <w:bottom w:val="single" w:sz="4" w:space="0" w:color="auto"/>
            </w:tcBorders>
          </w:tcPr>
          <w:p w14:paraId="790AA5AB" w14:textId="77777777" w:rsidR="00E96419" w:rsidRPr="003E76E7" w:rsidRDefault="00E96419" w:rsidP="00C4292D">
            <w:pPr>
              <w:tabs>
                <w:tab w:val="left" w:pos="343"/>
              </w:tabs>
              <w:spacing w:before="60" w:after="60"/>
              <w:rPr>
                <w:rFonts w:ascii="Arial" w:hAnsi="Arial"/>
                <w:bCs/>
                <w:color w:val="000000"/>
                <w:sz w:val="16"/>
                <w:szCs w:val="16"/>
                <w:lang w:val="en-AU"/>
              </w:rPr>
            </w:pPr>
            <w:r w:rsidRPr="003E76E7">
              <w:rPr>
                <w:rFonts w:ascii="Arial" w:hAnsi="Arial"/>
                <w:bCs/>
                <w:color w:val="000000"/>
                <w:sz w:val="16"/>
                <w:szCs w:val="16"/>
                <w:lang w:val="en-AU"/>
              </w:rPr>
              <w:t>This program will be achieved through the following activities:</w:t>
            </w:r>
          </w:p>
          <w:p w14:paraId="543190B6" w14:textId="77777777" w:rsidR="00215442" w:rsidRPr="003E76E7" w:rsidRDefault="00215442" w:rsidP="00C4292D">
            <w:pPr>
              <w:tabs>
                <w:tab w:val="left" w:pos="343"/>
              </w:tabs>
              <w:spacing w:before="60" w:after="60"/>
              <w:rPr>
                <w:rFonts w:ascii="Arial" w:hAnsi="Arial"/>
                <w:b/>
                <w:sz w:val="16"/>
                <w:szCs w:val="16"/>
                <w:lang w:val="en-AU"/>
              </w:rPr>
            </w:pPr>
            <w:r w:rsidRPr="003E76E7">
              <w:rPr>
                <w:rFonts w:ascii="Arial" w:hAnsi="Arial"/>
                <w:b/>
                <w:sz w:val="16"/>
                <w:szCs w:val="16"/>
                <w:lang w:val="en-AU"/>
              </w:rPr>
              <w:t xml:space="preserve">1. Conduct domestic and international operations and exercises to defend Australia and its national interests. </w:t>
            </w:r>
          </w:p>
          <w:p w14:paraId="3D5036B0" w14:textId="70DCCFED" w:rsidR="00E96419" w:rsidRPr="003E76E7" w:rsidRDefault="00215442" w:rsidP="00C4292D">
            <w:pPr>
              <w:autoSpaceDE w:val="0"/>
              <w:autoSpaceDN w:val="0"/>
              <w:adjustRightInd w:val="0"/>
              <w:spacing w:before="60" w:after="60"/>
              <w:rPr>
                <w:rFonts w:ascii="ArialMT" w:hAnsi="ArialMT" w:cs="ArialMT"/>
                <w:sz w:val="16"/>
                <w:szCs w:val="16"/>
                <w:lang w:val="en-AU"/>
              </w:rPr>
            </w:pPr>
            <w:r w:rsidRPr="003E76E7">
              <w:rPr>
                <w:rFonts w:ascii="Arial" w:hAnsi="Arial"/>
                <w:b/>
                <w:sz w:val="16"/>
                <w:szCs w:val="16"/>
                <w:lang w:val="en-AU"/>
              </w:rPr>
              <w:t>6. Deliver future capability.</w:t>
            </w:r>
            <w:r w:rsidRPr="003E76E7">
              <w:rPr>
                <w:rFonts w:ascii="Arial" w:hAnsi="Arial"/>
                <w:sz w:val="16"/>
                <w:szCs w:val="16"/>
                <w:lang w:val="en-AU"/>
              </w:rPr>
              <w:t xml:space="preserve"> </w:t>
            </w:r>
          </w:p>
        </w:tc>
      </w:tr>
      <w:tr w:rsidR="0002000E" w:rsidRPr="003E76E7" w14:paraId="3173FEDA" w14:textId="77777777" w:rsidTr="000E1A17">
        <w:tblPrEx>
          <w:shd w:val="clear" w:color="auto" w:fill="auto"/>
          <w:tblLook w:val="04A0" w:firstRow="1" w:lastRow="0" w:firstColumn="1" w:lastColumn="0" w:noHBand="0" w:noVBand="1"/>
        </w:tblPrEx>
        <w:trPr>
          <w:trHeight w:val="100"/>
        </w:trPr>
        <w:tc>
          <w:tcPr>
            <w:tcW w:w="1799" w:type="dxa"/>
            <w:tcBorders>
              <w:top w:val="single" w:sz="4" w:space="0" w:color="auto"/>
              <w:bottom w:val="single" w:sz="4" w:space="0" w:color="auto"/>
            </w:tcBorders>
          </w:tcPr>
          <w:p w14:paraId="6F31D08D" w14:textId="77777777" w:rsidR="0002000E" w:rsidRPr="003E76E7" w:rsidRDefault="0002000E" w:rsidP="00C4292D">
            <w:pPr>
              <w:tabs>
                <w:tab w:val="left" w:pos="709"/>
              </w:tabs>
              <w:spacing w:before="60" w:after="60"/>
              <w:rPr>
                <w:rFonts w:ascii="Arial" w:hAnsi="Arial"/>
                <w:color w:val="000000"/>
                <w:sz w:val="16"/>
                <w:szCs w:val="16"/>
              </w:rPr>
            </w:pPr>
            <w:r w:rsidRPr="003E76E7">
              <w:rPr>
                <w:rFonts w:ascii="Arial" w:hAnsi="Arial"/>
                <w:b/>
                <w:color w:val="000000"/>
                <w:sz w:val="16"/>
                <w:szCs w:val="16"/>
              </w:rPr>
              <w:t>Year</w:t>
            </w:r>
          </w:p>
        </w:tc>
        <w:tc>
          <w:tcPr>
            <w:tcW w:w="3174" w:type="dxa"/>
            <w:tcBorders>
              <w:top w:val="single" w:sz="4" w:space="0" w:color="auto"/>
              <w:bottom w:val="single" w:sz="4" w:space="0" w:color="auto"/>
            </w:tcBorders>
          </w:tcPr>
          <w:p w14:paraId="651AA1FD" w14:textId="62219A00" w:rsidR="0002000E" w:rsidRPr="003E76E7" w:rsidRDefault="00AD14EC" w:rsidP="00C4292D">
            <w:pPr>
              <w:tabs>
                <w:tab w:val="left" w:pos="709"/>
              </w:tabs>
              <w:spacing w:before="60" w:after="60"/>
              <w:rPr>
                <w:rFonts w:ascii="Arial" w:hAnsi="Arial"/>
                <w:color w:val="000000"/>
              </w:rPr>
            </w:pPr>
            <w:r w:rsidRPr="003E76E7">
              <w:rPr>
                <w:rFonts w:ascii="Arial" w:hAnsi="Arial"/>
                <w:b/>
                <w:color w:val="000000"/>
                <w:sz w:val="16"/>
                <w:szCs w:val="16"/>
              </w:rPr>
              <w:t>Performance Measures</w:t>
            </w:r>
          </w:p>
        </w:tc>
        <w:tc>
          <w:tcPr>
            <w:tcW w:w="3379" w:type="dxa"/>
            <w:tcBorders>
              <w:top w:val="single" w:sz="4" w:space="0" w:color="auto"/>
              <w:bottom w:val="single" w:sz="4" w:space="0" w:color="auto"/>
            </w:tcBorders>
          </w:tcPr>
          <w:p w14:paraId="49C54EFC" w14:textId="77777777" w:rsidR="0002000E" w:rsidRPr="003E76E7" w:rsidRDefault="0002000E" w:rsidP="00C4292D">
            <w:pPr>
              <w:tabs>
                <w:tab w:val="left" w:pos="709"/>
              </w:tabs>
              <w:spacing w:before="40" w:after="40"/>
              <w:rPr>
                <w:rFonts w:ascii="Arial" w:hAnsi="Arial"/>
                <w:i/>
                <w:color w:val="000000"/>
                <w:sz w:val="16"/>
                <w:szCs w:val="16"/>
              </w:rPr>
            </w:pPr>
            <w:r w:rsidRPr="003E76E7">
              <w:rPr>
                <w:rFonts w:ascii="Arial" w:hAnsi="Arial"/>
                <w:b/>
                <w:color w:val="000000"/>
                <w:sz w:val="16"/>
                <w:szCs w:val="16"/>
              </w:rPr>
              <w:t>Expected Performance Results</w:t>
            </w:r>
          </w:p>
        </w:tc>
      </w:tr>
      <w:tr w:rsidR="00215442" w:rsidRPr="003E76E7" w14:paraId="1BBC148D" w14:textId="77777777" w:rsidTr="000E1A17">
        <w:tblPrEx>
          <w:shd w:val="clear" w:color="auto" w:fill="auto"/>
          <w:tblLook w:val="04A0" w:firstRow="1" w:lastRow="0" w:firstColumn="1" w:lastColumn="0" w:noHBand="0" w:noVBand="1"/>
        </w:tblPrEx>
        <w:trPr>
          <w:trHeight w:val="470"/>
        </w:trPr>
        <w:tc>
          <w:tcPr>
            <w:tcW w:w="1799" w:type="dxa"/>
            <w:vMerge w:val="restart"/>
            <w:tcBorders>
              <w:top w:val="single" w:sz="4" w:space="0" w:color="auto"/>
              <w:bottom w:val="single" w:sz="4" w:space="0" w:color="auto"/>
            </w:tcBorders>
          </w:tcPr>
          <w:p w14:paraId="4A04BAD9" w14:textId="77777777" w:rsidR="00215442" w:rsidRPr="003E76E7" w:rsidRDefault="00215442" w:rsidP="00C4292D">
            <w:pPr>
              <w:tabs>
                <w:tab w:val="left" w:pos="709"/>
              </w:tabs>
              <w:spacing w:before="0" w:after="0"/>
              <w:rPr>
                <w:rFonts w:ascii="Arial" w:hAnsi="Arial"/>
                <w:color w:val="000000"/>
                <w:sz w:val="16"/>
                <w:szCs w:val="16"/>
              </w:rPr>
            </w:pPr>
            <w:r w:rsidRPr="003E76E7">
              <w:rPr>
                <w:rFonts w:ascii="Arial" w:hAnsi="Arial"/>
                <w:color w:val="000000"/>
                <w:sz w:val="16"/>
                <w:szCs w:val="16"/>
              </w:rPr>
              <w:t>Current Year</w:t>
            </w:r>
          </w:p>
          <w:p w14:paraId="328105E0" w14:textId="3E1DE936" w:rsidR="00215442" w:rsidRPr="003E76E7" w:rsidRDefault="00215442" w:rsidP="00C4292D">
            <w:pPr>
              <w:tabs>
                <w:tab w:val="left" w:pos="709"/>
              </w:tabs>
              <w:spacing w:before="0" w:after="0"/>
              <w:rPr>
                <w:rFonts w:ascii="Arial" w:hAnsi="Arial"/>
                <w:color w:val="000000"/>
                <w:sz w:val="16"/>
                <w:szCs w:val="16"/>
              </w:rPr>
            </w:pPr>
            <w:r w:rsidRPr="003E76E7">
              <w:rPr>
                <w:rFonts w:ascii="Arial" w:hAnsi="Arial"/>
                <w:color w:val="000000"/>
                <w:sz w:val="16"/>
                <w:szCs w:val="16"/>
              </w:rPr>
              <w:t xml:space="preserve">2025-26 </w:t>
            </w:r>
            <w:r w:rsidRPr="003E76E7">
              <w:rPr>
                <w:rFonts w:ascii="Arial" w:hAnsi="Arial"/>
                <w:color w:val="000000"/>
                <w:sz w:val="16"/>
                <w:szCs w:val="16"/>
                <w:vertAlign w:val="superscript"/>
              </w:rPr>
              <w:t>[</w:t>
            </w:r>
            <w:r w:rsidR="00954644" w:rsidRPr="003E76E7">
              <w:rPr>
                <w:rFonts w:ascii="Arial" w:hAnsi="Arial"/>
                <w:color w:val="000000"/>
                <w:sz w:val="16"/>
                <w:szCs w:val="16"/>
                <w:vertAlign w:val="superscript"/>
              </w:rPr>
              <w:t>b</w:t>
            </w:r>
            <w:r w:rsidRPr="003E76E7">
              <w:rPr>
                <w:rFonts w:ascii="Arial" w:hAnsi="Arial"/>
                <w:color w:val="000000"/>
                <w:sz w:val="16"/>
                <w:szCs w:val="16"/>
                <w:vertAlign w:val="superscript"/>
              </w:rPr>
              <w:t>]</w:t>
            </w:r>
          </w:p>
        </w:tc>
        <w:tc>
          <w:tcPr>
            <w:tcW w:w="3174" w:type="dxa"/>
            <w:tcBorders>
              <w:top w:val="single" w:sz="4" w:space="0" w:color="auto"/>
              <w:bottom w:val="single" w:sz="4" w:space="0" w:color="auto"/>
            </w:tcBorders>
          </w:tcPr>
          <w:p w14:paraId="1ACB438F" w14:textId="4942D20B" w:rsidR="00215442" w:rsidRPr="003E76E7" w:rsidRDefault="00215442" w:rsidP="00C4292D">
            <w:pPr>
              <w:tabs>
                <w:tab w:val="left" w:pos="709"/>
              </w:tabs>
              <w:spacing w:before="60" w:after="60"/>
              <w:rPr>
                <w:rFonts w:ascii="Arial" w:hAnsi="Arial"/>
                <w:color w:val="000000"/>
                <w:sz w:val="16"/>
                <w:szCs w:val="16"/>
              </w:rPr>
            </w:pPr>
            <w:r w:rsidRPr="003E76E7">
              <w:rPr>
                <w:rFonts w:ascii="Arial" w:hAnsi="Arial"/>
                <w:sz w:val="16"/>
                <w:szCs w:val="16"/>
                <w:lang w:val="en-AU"/>
              </w:rPr>
              <w:t>1.1: Defence conducts operations as directed by Government to achieve Defence’s mission.</w:t>
            </w:r>
          </w:p>
        </w:tc>
        <w:tc>
          <w:tcPr>
            <w:tcW w:w="3379" w:type="dxa"/>
            <w:tcBorders>
              <w:top w:val="single" w:sz="4" w:space="0" w:color="auto"/>
              <w:bottom w:val="single" w:sz="4" w:space="0" w:color="auto"/>
            </w:tcBorders>
          </w:tcPr>
          <w:p w14:paraId="1226A70A" w14:textId="77777777" w:rsidR="00215442" w:rsidRPr="003E76E7" w:rsidRDefault="00215442" w:rsidP="00C4292D">
            <w:pPr>
              <w:tabs>
                <w:tab w:val="left" w:pos="709"/>
              </w:tabs>
              <w:spacing w:before="0" w:after="0"/>
              <w:rPr>
                <w:rFonts w:ascii="Arial" w:hAnsi="Arial"/>
                <w:sz w:val="16"/>
                <w:szCs w:val="16"/>
                <w:lang w:val="en-AU"/>
              </w:rPr>
            </w:pPr>
            <w:r w:rsidRPr="003E76E7">
              <w:rPr>
                <w:rFonts w:ascii="Arial" w:hAnsi="Arial"/>
                <w:sz w:val="16"/>
                <w:szCs w:val="16"/>
                <w:lang w:val="en-AU"/>
              </w:rPr>
              <w:t>100 per cent of operations conducted or being conducted as directed by Government.</w:t>
            </w:r>
          </w:p>
          <w:p w14:paraId="21D8F858" w14:textId="417A24CF" w:rsidR="00215442" w:rsidRPr="003E76E7" w:rsidRDefault="00F04C47" w:rsidP="00C4292D">
            <w:pPr>
              <w:tabs>
                <w:tab w:val="left" w:pos="709"/>
              </w:tabs>
              <w:spacing w:before="60" w:after="60"/>
              <w:jc w:val="right"/>
              <w:rPr>
                <w:rFonts w:ascii="Arial" w:hAnsi="Arial"/>
                <w:i/>
                <w:color w:val="000000"/>
                <w:sz w:val="16"/>
                <w:szCs w:val="16"/>
              </w:rPr>
            </w:pPr>
            <w:r w:rsidRPr="003E76E7">
              <w:rPr>
                <w:rFonts w:ascii="Arial" w:hAnsi="Arial"/>
                <w:i/>
                <w:sz w:val="16"/>
                <w:szCs w:val="16"/>
                <w:lang w:val="en-AU"/>
              </w:rPr>
              <w:t>Expected to be achieved</w:t>
            </w:r>
            <w:r w:rsidR="006C20E6" w:rsidRPr="003E76E7">
              <w:rPr>
                <w:rFonts w:ascii="Arial" w:hAnsi="Arial"/>
                <w:i/>
                <w:sz w:val="16"/>
                <w:szCs w:val="16"/>
                <w:lang w:val="en-AU"/>
              </w:rPr>
              <w:t>.</w:t>
            </w:r>
          </w:p>
        </w:tc>
      </w:tr>
      <w:tr w:rsidR="00215442" w:rsidRPr="003E76E7" w14:paraId="7A7EE665" w14:textId="77777777" w:rsidTr="000E1A17">
        <w:tblPrEx>
          <w:shd w:val="clear" w:color="auto" w:fill="auto"/>
          <w:tblLook w:val="04A0" w:firstRow="1" w:lastRow="0" w:firstColumn="1" w:lastColumn="0" w:noHBand="0" w:noVBand="1"/>
        </w:tblPrEx>
        <w:trPr>
          <w:trHeight w:val="644"/>
        </w:trPr>
        <w:tc>
          <w:tcPr>
            <w:tcW w:w="1799" w:type="dxa"/>
            <w:vMerge/>
            <w:tcBorders>
              <w:top w:val="dotted" w:sz="4" w:space="0" w:color="auto"/>
              <w:bottom w:val="single" w:sz="4" w:space="0" w:color="auto"/>
            </w:tcBorders>
          </w:tcPr>
          <w:p w14:paraId="196D21C4" w14:textId="77777777" w:rsidR="00215442" w:rsidRPr="003E76E7" w:rsidRDefault="00215442" w:rsidP="00C4292D">
            <w:pPr>
              <w:tabs>
                <w:tab w:val="left" w:pos="709"/>
              </w:tabs>
              <w:spacing w:before="60" w:after="60"/>
              <w:rPr>
                <w:rFonts w:ascii="Arial" w:hAnsi="Arial"/>
                <w:color w:val="000000"/>
                <w:sz w:val="16"/>
                <w:szCs w:val="16"/>
              </w:rPr>
            </w:pPr>
          </w:p>
        </w:tc>
        <w:tc>
          <w:tcPr>
            <w:tcW w:w="3174" w:type="dxa"/>
            <w:tcBorders>
              <w:top w:val="single" w:sz="4" w:space="0" w:color="auto"/>
              <w:bottom w:val="single" w:sz="4" w:space="0" w:color="auto"/>
            </w:tcBorders>
          </w:tcPr>
          <w:p w14:paraId="0AB52D0E" w14:textId="7EE7955E" w:rsidR="00215442" w:rsidRPr="003E76E7" w:rsidRDefault="00215442" w:rsidP="00C4292D">
            <w:pPr>
              <w:tabs>
                <w:tab w:val="left" w:pos="709"/>
              </w:tabs>
              <w:spacing w:before="60" w:after="60"/>
              <w:rPr>
                <w:rFonts w:ascii="Arial" w:hAnsi="Arial"/>
                <w:color w:val="000000"/>
                <w:sz w:val="16"/>
                <w:szCs w:val="16"/>
              </w:rPr>
            </w:pPr>
            <w:r w:rsidRPr="003E76E7">
              <w:rPr>
                <w:rFonts w:ascii="Arial" w:hAnsi="Arial"/>
                <w:sz w:val="16"/>
                <w:szCs w:val="16"/>
                <w:lang w:val="en-AU"/>
              </w:rPr>
              <w:t>1.2: Defence maintains ready forces through the conduct of exercises.</w:t>
            </w:r>
          </w:p>
        </w:tc>
        <w:tc>
          <w:tcPr>
            <w:tcW w:w="3379" w:type="dxa"/>
            <w:tcBorders>
              <w:top w:val="single" w:sz="4" w:space="0" w:color="auto"/>
              <w:bottom w:val="single" w:sz="4" w:space="0" w:color="auto"/>
            </w:tcBorders>
          </w:tcPr>
          <w:p w14:paraId="7FF20F7F" w14:textId="77777777" w:rsidR="00215442" w:rsidRPr="003E76E7" w:rsidRDefault="00215442" w:rsidP="00C4292D">
            <w:pPr>
              <w:spacing w:before="60" w:after="60"/>
              <w:rPr>
                <w:rFonts w:ascii="Arial" w:hAnsi="Arial"/>
                <w:color w:val="000000"/>
                <w:sz w:val="16"/>
                <w:szCs w:val="16"/>
                <w:lang w:val="en-AU"/>
              </w:rPr>
            </w:pPr>
            <w:r w:rsidRPr="003E76E7">
              <w:rPr>
                <w:rFonts w:ascii="Arial" w:hAnsi="Arial"/>
                <w:color w:val="000000"/>
                <w:sz w:val="16"/>
                <w:szCs w:val="16"/>
                <w:lang w:val="en-AU"/>
              </w:rPr>
              <w:t>100 per cent of exercises conducted achieve planned objectives.</w:t>
            </w:r>
          </w:p>
          <w:p w14:paraId="213B497C" w14:textId="05E2FFA1" w:rsidR="00215442" w:rsidRPr="003E76E7" w:rsidRDefault="00F04C47" w:rsidP="00C4292D">
            <w:pPr>
              <w:autoSpaceDE w:val="0"/>
              <w:autoSpaceDN w:val="0"/>
              <w:adjustRightInd w:val="0"/>
              <w:spacing w:before="0" w:after="60"/>
              <w:jc w:val="right"/>
              <w:rPr>
                <w:rFonts w:ascii="Arial" w:hAnsi="Arial"/>
                <w:sz w:val="16"/>
                <w:szCs w:val="16"/>
                <w:lang w:val="en-AU"/>
              </w:rPr>
            </w:pPr>
            <w:r w:rsidRPr="003E76E7">
              <w:rPr>
                <w:rFonts w:ascii="Arial" w:hAnsi="Arial"/>
                <w:i/>
                <w:sz w:val="16"/>
                <w:szCs w:val="16"/>
                <w:lang w:val="en-AU"/>
              </w:rPr>
              <w:t>Expected to be substantially achieved</w:t>
            </w:r>
            <w:r w:rsidR="006C20E6" w:rsidRPr="003E76E7">
              <w:rPr>
                <w:rFonts w:ascii="Arial" w:hAnsi="Arial"/>
                <w:i/>
                <w:sz w:val="16"/>
                <w:szCs w:val="16"/>
                <w:lang w:val="en-AU"/>
              </w:rPr>
              <w:t>.</w:t>
            </w:r>
          </w:p>
        </w:tc>
      </w:tr>
      <w:tr w:rsidR="00215442" w:rsidRPr="003E76E7" w14:paraId="3337D51D" w14:textId="77777777" w:rsidTr="000E1A17">
        <w:tblPrEx>
          <w:shd w:val="clear" w:color="auto" w:fill="auto"/>
          <w:tblLook w:val="04A0" w:firstRow="1" w:lastRow="0" w:firstColumn="1" w:lastColumn="0" w:noHBand="0" w:noVBand="1"/>
        </w:tblPrEx>
        <w:trPr>
          <w:trHeight w:val="612"/>
        </w:trPr>
        <w:tc>
          <w:tcPr>
            <w:tcW w:w="1799" w:type="dxa"/>
            <w:vMerge/>
            <w:tcBorders>
              <w:top w:val="dotted" w:sz="4" w:space="0" w:color="auto"/>
              <w:bottom w:val="single" w:sz="4" w:space="0" w:color="auto"/>
            </w:tcBorders>
          </w:tcPr>
          <w:p w14:paraId="10F618A0" w14:textId="77777777" w:rsidR="00215442" w:rsidRPr="003E76E7" w:rsidRDefault="00215442" w:rsidP="00C4292D">
            <w:pPr>
              <w:tabs>
                <w:tab w:val="left" w:pos="709"/>
              </w:tabs>
              <w:spacing w:before="60" w:after="60"/>
              <w:rPr>
                <w:rFonts w:ascii="Arial" w:hAnsi="Arial"/>
                <w:color w:val="000000"/>
                <w:sz w:val="16"/>
                <w:szCs w:val="16"/>
              </w:rPr>
            </w:pPr>
          </w:p>
        </w:tc>
        <w:tc>
          <w:tcPr>
            <w:tcW w:w="3174" w:type="dxa"/>
            <w:tcBorders>
              <w:top w:val="single" w:sz="4" w:space="0" w:color="auto"/>
              <w:bottom w:val="single" w:sz="4" w:space="0" w:color="auto"/>
            </w:tcBorders>
          </w:tcPr>
          <w:p w14:paraId="4C1B5BC9" w14:textId="57838172" w:rsidR="00215442" w:rsidRPr="003E76E7" w:rsidRDefault="00215442" w:rsidP="00C4292D">
            <w:pPr>
              <w:tabs>
                <w:tab w:val="left" w:pos="709"/>
              </w:tabs>
              <w:spacing w:before="60" w:after="60"/>
              <w:rPr>
                <w:rFonts w:ascii="Arial" w:hAnsi="Arial"/>
                <w:sz w:val="16"/>
                <w:szCs w:val="16"/>
                <w:lang w:val="en-AU"/>
              </w:rPr>
            </w:pPr>
            <w:r w:rsidRPr="003E76E7">
              <w:rPr>
                <w:rFonts w:ascii="Arial" w:hAnsi="Arial"/>
                <w:sz w:val="16"/>
                <w:szCs w:val="16"/>
                <w:lang w:val="en-AU"/>
              </w:rPr>
              <w:t>1.3</w:t>
            </w:r>
            <w:r w:rsidR="0092056F" w:rsidRPr="003E76E7">
              <w:rPr>
                <w:rFonts w:ascii="Arial" w:hAnsi="Arial"/>
                <w:sz w:val="16"/>
                <w:szCs w:val="16"/>
                <w:lang w:val="en-AU"/>
              </w:rPr>
              <w:t>:</w:t>
            </w:r>
            <w:r w:rsidRPr="003E76E7">
              <w:rPr>
                <w:rFonts w:ascii="Arial" w:hAnsi="Arial"/>
                <w:sz w:val="16"/>
                <w:szCs w:val="16"/>
                <w:lang w:val="en-AU"/>
              </w:rPr>
              <w:t xml:space="preserve"> Defence assists with domestic crisis and emergency response as directed by Government. </w:t>
            </w:r>
          </w:p>
        </w:tc>
        <w:tc>
          <w:tcPr>
            <w:tcW w:w="3379" w:type="dxa"/>
            <w:tcBorders>
              <w:top w:val="single" w:sz="4" w:space="0" w:color="auto"/>
              <w:bottom w:val="single" w:sz="4" w:space="0" w:color="auto"/>
            </w:tcBorders>
          </w:tcPr>
          <w:p w14:paraId="213A23A6" w14:textId="77777777" w:rsidR="00215442" w:rsidRPr="003E76E7" w:rsidRDefault="00215442" w:rsidP="00C4292D">
            <w:pPr>
              <w:spacing w:before="60" w:after="60"/>
              <w:rPr>
                <w:rFonts w:ascii="Arial" w:hAnsi="Arial"/>
                <w:color w:val="000000"/>
                <w:sz w:val="16"/>
                <w:szCs w:val="16"/>
                <w:lang w:val="en-AU"/>
              </w:rPr>
            </w:pPr>
            <w:r w:rsidRPr="003E76E7">
              <w:rPr>
                <w:rFonts w:ascii="Arial" w:hAnsi="Arial"/>
                <w:color w:val="000000"/>
                <w:sz w:val="16"/>
                <w:szCs w:val="16"/>
                <w:lang w:val="en-AU"/>
              </w:rPr>
              <w:t xml:space="preserve">Defence responds to 100 per cent of requests for assistance as directed by Government. </w:t>
            </w:r>
          </w:p>
          <w:p w14:paraId="509D078F" w14:textId="4E76671A" w:rsidR="00215442" w:rsidRPr="003E76E7" w:rsidRDefault="00215442" w:rsidP="00C4292D">
            <w:pPr>
              <w:autoSpaceDE w:val="0"/>
              <w:autoSpaceDN w:val="0"/>
              <w:adjustRightInd w:val="0"/>
              <w:spacing w:before="0" w:after="60"/>
              <w:jc w:val="right"/>
              <w:rPr>
                <w:rFonts w:ascii="Arial" w:hAnsi="Arial"/>
                <w:sz w:val="16"/>
                <w:szCs w:val="16"/>
                <w:lang w:val="en-AU"/>
              </w:rPr>
            </w:pPr>
            <w:r w:rsidRPr="003E76E7">
              <w:rPr>
                <w:rFonts w:ascii="Arial" w:hAnsi="Arial"/>
                <w:i/>
                <w:sz w:val="16"/>
                <w:szCs w:val="16"/>
                <w:lang w:val="en-AU"/>
              </w:rPr>
              <w:t xml:space="preserve">Expected to be achieved. </w:t>
            </w:r>
          </w:p>
        </w:tc>
      </w:tr>
      <w:tr w:rsidR="00215442" w:rsidRPr="003E76E7" w14:paraId="7440714A" w14:textId="77777777" w:rsidTr="000E1A17">
        <w:tblPrEx>
          <w:shd w:val="clear" w:color="auto" w:fill="auto"/>
          <w:tblLook w:val="04A0" w:firstRow="1" w:lastRow="0" w:firstColumn="1" w:lastColumn="0" w:noHBand="0" w:noVBand="1"/>
        </w:tblPrEx>
        <w:trPr>
          <w:trHeight w:val="470"/>
        </w:trPr>
        <w:tc>
          <w:tcPr>
            <w:tcW w:w="1799" w:type="dxa"/>
            <w:vMerge/>
            <w:tcBorders>
              <w:top w:val="dotted" w:sz="4" w:space="0" w:color="auto"/>
              <w:bottom w:val="single" w:sz="4" w:space="0" w:color="auto"/>
            </w:tcBorders>
          </w:tcPr>
          <w:p w14:paraId="7159B46A" w14:textId="77777777" w:rsidR="00215442" w:rsidRPr="003E76E7" w:rsidRDefault="00215442" w:rsidP="00C4292D">
            <w:pPr>
              <w:tabs>
                <w:tab w:val="left" w:pos="709"/>
              </w:tabs>
              <w:spacing w:before="60" w:after="60"/>
              <w:rPr>
                <w:rFonts w:ascii="Arial" w:hAnsi="Arial"/>
                <w:color w:val="000000"/>
                <w:sz w:val="16"/>
                <w:szCs w:val="16"/>
              </w:rPr>
            </w:pPr>
          </w:p>
        </w:tc>
        <w:tc>
          <w:tcPr>
            <w:tcW w:w="3174" w:type="dxa"/>
            <w:tcBorders>
              <w:top w:val="single" w:sz="4" w:space="0" w:color="auto"/>
              <w:bottom w:val="single" w:sz="4" w:space="0" w:color="auto"/>
            </w:tcBorders>
          </w:tcPr>
          <w:p w14:paraId="196B2CF0" w14:textId="4F174DAC" w:rsidR="00215442" w:rsidRPr="003E76E7" w:rsidRDefault="00215442" w:rsidP="00C4292D">
            <w:pPr>
              <w:tabs>
                <w:tab w:val="left" w:pos="709"/>
              </w:tabs>
              <w:spacing w:before="60" w:after="60"/>
              <w:rPr>
                <w:rFonts w:ascii="Arial" w:hAnsi="Arial"/>
                <w:color w:val="000000"/>
                <w:sz w:val="16"/>
                <w:szCs w:val="16"/>
              </w:rPr>
            </w:pPr>
            <w:r w:rsidRPr="003E76E7">
              <w:rPr>
                <w:rFonts w:ascii="Arial" w:hAnsi="Arial"/>
                <w:sz w:val="16"/>
                <w:szCs w:val="16"/>
                <w:lang w:val="en-AU"/>
              </w:rPr>
              <w:t>6.1: Defence is delivering the right future capability at the right time within the Integrated Investment Program to ensure it is equipped to respond to future security challenges as directed by the National Defence Strategy.</w:t>
            </w:r>
          </w:p>
        </w:tc>
        <w:tc>
          <w:tcPr>
            <w:tcW w:w="3379" w:type="dxa"/>
            <w:tcBorders>
              <w:top w:val="single" w:sz="4" w:space="0" w:color="auto"/>
              <w:bottom w:val="single" w:sz="4" w:space="0" w:color="auto"/>
            </w:tcBorders>
          </w:tcPr>
          <w:p w14:paraId="398F9A8F" w14:textId="77777777" w:rsidR="00215442" w:rsidRPr="003E76E7" w:rsidRDefault="00215442" w:rsidP="00C4292D">
            <w:pPr>
              <w:tabs>
                <w:tab w:val="left" w:pos="709"/>
              </w:tabs>
              <w:spacing w:before="60" w:after="60"/>
              <w:rPr>
                <w:rFonts w:ascii="Arial" w:hAnsi="Arial"/>
                <w:sz w:val="16"/>
                <w:szCs w:val="16"/>
                <w:lang w:val="en-AU"/>
              </w:rPr>
            </w:pPr>
            <w:r w:rsidRPr="003E76E7">
              <w:rPr>
                <w:rFonts w:ascii="Arial" w:hAnsi="Arial"/>
                <w:sz w:val="16"/>
                <w:szCs w:val="16"/>
                <w:lang w:val="en-AU"/>
              </w:rPr>
              <w:t>80 per cent or more of approved Integrated Investment Program projects across all domains are on track to deliver within Government approved scope, schedule, and cost (including contingency).</w:t>
            </w:r>
          </w:p>
          <w:p w14:paraId="1F720542" w14:textId="70758293" w:rsidR="00215442" w:rsidRPr="003E76E7" w:rsidRDefault="00F04C47" w:rsidP="00C4292D">
            <w:pPr>
              <w:tabs>
                <w:tab w:val="left" w:pos="709"/>
              </w:tabs>
              <w:spacing w:before="60" w:after="60"/>
              <w:jc w:val="right"/>
              <w:rPr>
                <w:rFonts w:ascii="Arial" w:hAnsi="Arial"/>
                <w:i/>
                <w:color w:val="000000"/>
                <w:sz w:val="16"/>
                <w:szCs w:val="16"/>
              </w:rPr>
            </w:pPr>
            <w:r w:rsidRPr="003E76E7">
              <w:rPr>
                <w:rFonts w:ascii="Arial" w:hAnsi="Arial"/>
                <w:i/>
                <w:sz w:val="16"/>
                <w:szCs w:val="16"/>
                <w:lang w:val="en-AU"/>
              </w:rPr>
              <w:t>Expected to be achieved</w:t>
            </w:r>
            <w:r w:rsidR="006C20E6" w:rsidRPr="003E76E7">
              <w:rPr>
                <w:rFonts w:ascii="Arial" w:hAnsi="Arial"/>
                <w:i/>
                <w:sz w:val="16"/>
                <w:szCs w:val="16"/>
                <w:lang w:val="en-AU"/>
              </w:rPr>
              <w:t>.</w:t>
            </w:r>
          </w:p>
        </w:tc>
      </w:tr>
      <w:tr w:rsidR="00BC0C36" w:rsidRPr="003E76E7" w14:paraId="299386F2" w14:textId="77777777" w:rsidTr="000E1A17">
        <w:tblPrEx>
          <w:shd w:val="clear" w:color="auto" w:fill="auto"/>
          <w:tblLook w:val="04A0" w:firstRow="1" w:lastRow="0" w:firstColumn="1" w:lastColumn="0" w:noHBand="0" w:noVBand="1"/>
        </w:tblPrEx>
        <w:trPr>
          <w:trHeight w:val="258"/>
        </w:trPr>
        <w:tc>
          <w:tcPr>
            <w:tcW w:w="1799" w:type="dxa"/>
            <w:tcBorders>
              <w:top w:val="single" w:sz="4" w:space="0" w:color="auto"/>
              <w:bottom w:val="single" w:sz="4" w:space="0" w:color="auto"/>
            </w:tcBorders>
          </w:tcPr>
          <w:p w14:paraId="67472C8D" w14:textId="77777777" w:rsidR="00BC0C36" w:rsidRPr="003E76E7" w:rsidRDefault="00BC0C36" w:rsidP="00C4292D">
            <w:pPr>
              <w:tabs>
                <w:tab w:val="left" w:pos="709"/>
              </w:tabs>
              <w:spacing w:before="60" w:after="60"/>
              <w:rPr>
                <w:rFonts w:ascii="Arial" w:hAnsi="Arial"/>
                <w:b/>
                <w:color w:val="000000"/>
                <w:sz w:val="16"/>
                <w:szCs w:val="16"/>
              </w:rPr>
            </w:pPr>
            <w:r w:rsidRPr="003E76E7">
              <w:rPr>
                <w:rFonts w:ascii="Arial" w:hAnsi="Arial"/>
                <w:b/>
                <w:color w:val="000000"/>
                <w:sz w:val="16"/>
                <w:szCs w:val="16"/>
              </w:rPr>
              <w:t>Year</w:t>
            </w:r>
          </w:p>
        </w:tc>
        <w:tc>
          <w:tcPr>
            <w:tcW w:w="3174" w:type="dxa"/>
            <w:tcBorders>
              <w:top w:val="single" w:sz="4" w:space="0" w:color="auto"/>
              <w:bottom w:val="single" w:sz="4" w:space="0" w:color="auto"/>
            </w:tcBorders>
          </w:tcPr>
          <w:p w14:paraId="3085030D" w14:textId="1C889616" w:rsidR="00BC0C36" w:rsidRPr="003E76E7" w:rsidRDefault="00AD14EC" w:rsidP="00C4292D">
            <w:pPr>
              <w:tabs>
                <w:tab w:val="left" w:pos="709"/>
                <w:tab w:val="center" w:pos="1818"/>
              </w:tabs>
              <w:spacing w:before="60" w:after="60"/>
              <w:rPr>
                <w:rFonts w:ascii="Arial" w:hAnsi="Arial"/>
                <w:b/>
                <w:color w:val="000000"/>
                <w:sz w:val="16"/>
                <w:szCs w:val="16"/>
              </w:rPr>
            </w:pPr>
            <w:r w:rsidRPr="003E76E7">
              <w:rPr>
                <w:rFonts w:ascii="Arial" w:hAnsi="Arial"/>
                <w:b/>
                <w:color w:val="000000"/>
                <w:sz w:val="16"/>
                <w:szCs w:val="16"/>
              </w:rPr>
              <w:t>Performance Measures</w:t>
            </w:r>
          </w:p>
        </w:tc>
        <w:tc>
          <w:tcPr>
            <w:tcW w:w="3379" w:type="dxa"/>
            <w:tcBorders>
              <w:top w:val="single" w:sz="4" w:space="0" w:color="auto"/>
              <w:bottom w:val="single" w:sz="4" w:space="0" w:color="auto"/>
            </w:tcBorders>
          </w:tcPr>
          <w:p w14:paraId="79D2DDCA" w14:textId="77777777" w:rsidR="00BC0C36" w:rsidRPr="003E76E7" w:rsidRDefault="00BC0C36" w:rsidP="00C4292D">
            <w:pPr>
              <w:tabs>
                <w:tab w:val="left" w:pos="709"/>
              </w:tabs>
              <w:spacing w:before="60" w:after="60"/>
              <w:rPr>
                <w:rFonts w:ascii="Arial" w:hAnsi="Arial"/>
                <w:b/>
                <w:color w:val="000000"/>
                <w:sz w:val="16"/>
                <w:szCs w:val="16"/>
              </w:rPr>
            </w:pPr>
            <w:r w:rsidRPr="003E76E7">
              <w:rPr>
                <w:rFonts w:ascii="Arial" w:hAnsi="Arial"/>
                <w:b/>
                <w:color w:val="000000"/>
                <w:sz w:val="16"/>
                <w:szCs w:val="16"/>
              </w:rPr>
              <w:t>Planned Performance Results</w:t>
            </w:r>
          </w:p>
        </w:tc>
      </w:tr>
      <w:tr w:rsidR="00C4558B" w:rsidRPr="003E76E7" w14:paraId="65834CC8" w14:textId="77777777" w:rsidTr="000E1A17">
        <w:tblPrEx>
          <w:shd w:val="clear" w:color="auto" w:fill="auto"/>
          <w:tblLook w:val="04A0" w:firstRow="1" w:lastRow="0" w:firstColumn="1" w:lastColumn="0" w:noHBand="0" w:noVBand="1"/>
        </w:tblPrEx>
        <w:trPr>
          <w:trHeight w:val="380"/>
        </w:trPr>
        <w:tc>
          <w:tcPr>
            <w:tcW w:w="1799" w:type="dxa"/>
            <w:vMerge w:val="restart"/>
            <w:tcBorders>
              <w:top w:val="single" w:sz="4" w:space="0" w:color="auto"/>
              <w:bottom w:val="single" w:sz="4" w:space="0" w:color="auto"/>
            </w:tcBorders>
          </w:tcPr>
          <w:p w14:paraId="1BACAF6F" w14:textId="77777777" w:rsidR="00C4558B" w:rsidRPr="003E76E7" w:rsidRDefault="00C4558B" w:rsidP="00C4292D">
            <w:pPr>
              <w:tabs>
                <w:tab w:val="left" w:pos="709"/>
              </w:tabs>
              <w:spacing w:before="0" w:after="0"/>
              <w:rPr>
                <w:rFonts w:ascii="Arial" w:hAnsi="Arial"/>
                <w:color w:val="000000"/>
                <w:sz w:val="16"/>
                <w:szCs w:val="16"/>
              </w:rPr>
            </w:pPr>
            <w:r w:rsidRPr="003E76E7">
              <w:rPr>
                <w:rFonts w:ascii="Arial" w:hAnsi="Arial"/>
                <w:color w:val="000000"/>
                <w:sz w:val="16"/>
                <w:szCs w:val="16"/>
              </w:rPr>
              <w:t xml:space="preserve">Budget Year </w:t>
            </w:r>
          </w:p>
          <w:p w14:paraId="4AD2EDAC" w14:textId="3EF278D3" w:rsidR="00C4558B" w:rsidRPr="003E76E7" w:rsidRDefault="00C4558B" w:rsidP="00C4292D">
            <w:pPr>
              <w:tabs>
                <w:tab w:val="left" w:pos="709"/>
              </w:tabs>
              <w:spacing w:before="0" w:after="0"/>
              <w:rPr>
                <w:rFonts w:ascii="Arial" w:hAnsi="Arial"/>
                <w:color w:val="000000"/>
                <w:sz w:val="16"/>
                <w:szCs w:val="16"/>
              </w:rPr>
            </w:pPr>
            <w:r w:rsidRPr="003E76E7">
              <w:rPr>
                <w:rFonts w:ascii="Arial" w:hAnsi="Arial"/>
                <w:color w:val="000000"/>
                <w:sz w:val="16"/>
                <w:szCs w:val="16"/>
              </w:rPr>
              <w:t xml:space="preserve">2026-27 </w:t>
            </w:r>
            <w:r w:rsidRPr="003E76E7">
              <w:rPr>
                <w:rFonts w:ascii="Arial" w:hAnsi="Arial"/>
                <w:color w:val="000000"/>
                <w:sz w:val="16"/>
                <w:szCs w:val="16"/>
                <w:vertAlign w:val="superscript"/>
              </w:rPr>
              <w:t>[</w:t>
            </w:r>
            <w:r w:rsidR="00954644" w:rsidRPr="003E76E7">
              <w:rPr>
                <w:rFonts w:ascii="Arial" w:hAnsi="Arial"/>
                <w:color w:val="000000"/>
                <w:sz w:val="16"/>
                <w:szCs w:val="16"/>
                <w:vertAlign w:val="superscript"/>
              </w:rPr>
              <w:t>c</w:t>
            </w:r>
            <w:r w:rsidRPr="003E76E7">
              <w:rPr>
                <w:rFonts w:ascii="Arial" w:hAnsi="Arial"/>
                <w:color w:val="000000"/>
                <w:sz w:val="16"/>
                <w:szCs w:val="16"/>
                <w:vertAlign w:val="superscript"/>
              </w:rPr>
              <w:t>]</w:t>
            </w:r>
          </w:p>
        </w:tc>
        <w:tc>
          <w:tcPr>
            <w:tcW w:w="3174" w:type="dxa"/>
            <w:tcBorders>
              <w:top w:val="single" w:sz="4" w:space="0" w:color="auto"/>
              <w:bottom w:val="single" w:sz="4" w:space="0" w:color="auto"/>
            </w:tcBorders>
          </w:tcPr>
          <w:p w14:paraId="18F4A9BE" w14:textId="78F8DCBD" w:rsidR="00C4558B" w:rsidRPr="003E76E7" w:rsidRDefault="00C4558B" w:rsidP="00C4292D">
            <w:pPr>
              <w:tabs>
                <w:tab w:val="left" w:pos="709"/>
              </w:tabs>
              <w:spacing w:before="60" w:after="60"/>
              <w:rPr>
                <w:rFonts w:ascii="Arial" w:hAnsi="Arial"/>
                <w:color w:val="000000"/>
                <w:sz w:val="16"/>
                <w:szCs w:val="16"/>
              </w:rPr>
            </w:pPr>
            <w:r w:rsidRPr="003E76E7">
              <w:rPr>
                <w:rFonts w:ascii="Arial" w:hAnsi="Arial"/>
                <w:sz w:val="16"/>
                <w:szCs w:val="16"/>
                <w:lang w:val="en-AU"/>
              </w:rPr>
              <w:t>1.1: Defence conducts operations as directed by Government to achieve Defence’s mission.</w:t>
            </w:r>
          </w:p>
        </w:tc>
        <w:tc>
          <w:tcPr>
            <w:tcW w:w="3379" w:type="dxa"/>
            <w:tcBorders>
              <w:top w:val="single" w:sz="4" w:space="0" w:color="auto"/>
              <w:bottom w:val="single" w:sz="4" w:space="0" w:color="auto"/>
            </w:tcBorders>
          </w:tcPr>
          <w:p w14:paraId="7D2091B8" w14:textId="7E3935A5" w:rsidR="00C4558B" w:rsidRPr="003E76E7" w:rsidRDefault="00C4558B" w:rsidP="00C4292D">
            <w:pPr>
              <w:tabs>
                <w:tab w:val="left" w:pos="709"/>
              </w:tabs>
              <w:spacing w:before="60" w:after="60"/>
              <w:rPr>
                <w:rFonts w:ascii="Arial" w:hAnsi="Arial"/>
                <w:i/>
                <w:color w:val="000000"/>
                <w:sz w:val="16"/>
                <w:szCs w:val="16"/>
              </w:rPr>
            </w:pPr>
            <w:r w:rsidRPr="003E76E7">
              <w:rPr>
                <w:rFonts w:ascii="Arial" w:hAnsi="Arial"/>
                <w:sz w:val="16"/>
                <w:szCs w:val="16"/>
                <w:lang w:val="en-AU"/>
              </w:rPr>
              <w:t>100 per cent of operations conducted or being conducted as directed by Government.</w:t>
            </w:r>
          </w:p>
        </w:tc>
      </w:tr>
      <w:tr w:rsidR="00C4558B" w:rsidRPr="003E76E7" w14:paraId="60DBC16D" w14:textId="77777777" w:rsidTr="000E1A17">
        <w:tblPrEx>
          <w:shd w:val="clear" w:color="auto" w:fill="auto"/>
          <w:tblLook w:val="04A0" w:firstRow="1" w:lastRow="0" w:firstColumn="1" w:lastColumn="0" w:noHBand="0" w:noVBand="1"/>
        </w:tblPrEx>
        <w:trPr>
          <w:trHeight w:val="380"/>
        </w:trPr>
        <w:tc>
          <w:tcPr>
            <w:tcW w:w="1799" w:type="dxa"/>
            <w:vMerge/>
            <w:tcBorders>
              <w:top w:val="single" w:sz="4" w:space="0" w:color="auto"/>
              <w:bottom w:val="single" w:sz="4" w:space="0" w:color="auto"/>
            </w:tcBorders>
          </w:tcPr>
          <w:p w14:paraId="7925881E" w14:textId="77777777" w:rsidR="00C4558B" w:rsidRPr="003E76E7" w:rsidRDefault="00C4558B" w:rsidP="00C4292D">
            <w:pPr>
              <w:tabs>
                <w:tab w:val="left" w:pos="709"/>
              </w:tabs>
              <w:spacing w:before="60" w:after="0"/>
              <w:rPr>
                <w:rFonts w:ascii="Arial" w:hAnsi="Arial"/>
                <w:color w:val="000000"/>
                <w:sz w:val="16"/>
                <w:szCs w:val="16"/>
              </w:rPr>
            </w:pPr>
          </w:p>
        </w:tc>
        <w:tc>
          <w:tcPr>
            <w:tcW w:w="3174" w:type="dxa"/>
            <w:tcBorders>
              <w:top w:val="single" w:sz="4" w:space="0" w:color="auto"/>
              <w:bottom w:val="single" w:sz="4" w:space="0" w:color="auto"/>
            </w:tcBorders>
          </w:tcPr>
          <w:p w14:paraId="2FE3E395" w14:textId="73CBE5DC" w:rsidR="00C4558B" w:rsidRPr="003E76E7" w:rsidRDefault="00C4558B" w:rsidP="00C4292D">
            <w:pPr>
              <w:tabs>
                <w:tab w:val="left" w:pos="709"/>
              </w:tabs>
              <w:spacing w:before="60" w:after="60"/>
              <w:rPr>
                <w:rFonts w:ascii="Arial" w:hAnsi="Arial"/>
                <w:color w:val="000000"/>
                <w:sz w:val="16"/>
                <w:szCs w:val="16"/>
              </w:rPr>
            </w:pPr>
            <w:r w:rsidRPr="003E76E7">
              <w:rPr>
                <w:rFonts w:ascii="Arial" w:hAnsi="Arial"/>
                <w:sz w:val="16"/>
                <w:szCs w:val="16"/>
                <w:lang w:val="en-AU"/>
              </w:rPr>
              <w:t>1.2: Defence maintains ready forces through the conduct of exercises.</w:t>
            </w:r>
          </w:p>
        </w:tc>
        <w:tc>
          <w:tcPr>
            <w:tcW w:w="3379" w:type="dxa"/>
            <w:tcBorders>
              <w:top w:val="single" w:sz="4" w:space="0" w:color="auto"/>
              <w:bottom w:val="single" w:sz="4" w:space="0" w:color="auto"/>
            </w:tcBorders>
          </w:tcPr>
          <w:p w14:paraId="549E8832" w14:textId="703E30EA" w:rsidR="00C4558B" w:rsidRPr="003E76E7" w:rsidRDefault="00C4558B" w:rsidP="00C4292D">
            <w:pPr>
              <w:tabs>
                <w:tab w:val="left" w:pos="709"/>
              </w:tabs>
              <w:spacing w:before="60" w:after="60"/>
              <w:rPr>
                <w:rFonts w:ascii="Arial" w:hAnsi="Arial"/>
                <w:sz w:val="16"/>
                <w:szCs w:val="16"/>
                <w:lang w:val="en-AU"/>
              </w:rPr>
            </w:pPr>
            <w:r w:rsidRPr="003E76E7">
              <w:rPr>
                <w:rFonts w:ascii="Arial" w:hAnsi="Arial"/>
                <w:color w:val="000000"/>
                <w:sz w:val="16"/>
                <w:szCs w:val="16"/>
                <w:lang w:val="en-AU"/>
              </w:rPr>
              <w:t>100 per cent of exercises conducted achieve planned objectives.</w:t>
            </w:r>
          </w:p>
        </w:tc>
      </w:tr>
      <w:tr w:rsidR="00C4558B" w:rsidRPr="003E76E7" w14:paraId="348C7287" w14:textId="77777777" w:rsidTr="00A211F5">
        <w:trPr>
          <w:trHeight w:val="468"/>
        </w:trPr>
        <w:tc>
          <w:tcPr>
            <w:tcW w:w="1799" w:type="dxa"/>
            <w:vMerge/>
            <w:tcBorders>
              <w:top w:val="single" w:sz="4" w:space="0" w:color="auto"/>
              <w:bottom w:val="single" w:sz="4" w:space="0" w:color="auto"/>
            </w:tcBorders>
          </w:tcPr>
          <w:p w14:paraId="69985593" w14:textId="77777777" w:rsidR="00C4558B" w:rsidRPr="003E76E7" w:rsidRDefault="00C4558B" w:rsidP="00C4292D">
            <w:pPr>
              <w:tabs>
                <w:tab w:val="left" w:pos="709"/>
              </w:tabs>
              <w:spacing w:before="60" w:after="60"/>
              <w:rPr>
                <w:rFonts w:ascii="Arial" w:hAnsi="Arial"/>
                <w:color w:val="000000"/>
                <w:sz w:val="16"/>
                <w:szCs w:val="16"/>
              </w:rPr>
            </w:pPr>
          </w:p>
        </w:tc>
        <w:tc>
          <w:tcPr>
            <w:tcW w:w="3174" w:type="dxa"/>
            <w:tcBorders>
              <w:top w:val="single" w:sz="4" w:space="0" w:color="auto"/>
              <w:bottom w:val="single" w:sz="4" w:space="0" w:color="auto"/>
            </w:tcBorders>
          </w:tcPr>
          <w:p w14:paraId="1417E696" w14:textId="33842B88" w:rsidR="00C4558B" w:rsidRPr="003E76E7" w:rsidRDefault="00C4558B" w:rsidP="00C4292D">
            <w:pPr>
              <w:tabs>
                <w:tab w:val="left" w:pos="709"/>
              </w:tabs>
              <w:spacing w:before="60" w:after="60"/>
              <w:rPr>
                <w:rFonts w:ascii="Arial" w:hAnsi="Arial"/>
                <w:color w:val="000000"/>
                <w:sz w:val="16"/>
                <w:szCs w:val="16"/>
              </w:rPr>
            </w:pPr>
            <w:r w:rsidRPr="003E76E7">
              <w:rPr>
                <w:rFonts w:ascii="Arial" w:hAnsi="Arial"/>
                <w:sz w:val="16"/>
                <w:szCs w:val="16"/>
                <w:lang w:val="en-AU"/>
              </w:rPr>
              <w:t>1.3</w:t>
            </w:r>
            <w:r w:rsidR="0092056F" w:rsidRPr="003E76E7">
              <w:rPr>
                <w:rFonts w:ascii="Arial" w:hAnsi="Arial"/>
                <w:sz w:val="16"/>
                <w:szCs w:val="16"/>
                <w:lang w:val="en-AU"/>
              </w:rPr>
              <w:t>:</w:t>
            </w:r>
            <w:r w:rsidRPr="003E76E7">
              <w:rPr>
                <w:rFonts w:ascii="Arial" w:hAnsi="Arial"/>
                <w:sz w:val="16"/>
                <w:szCs w:val="16"/>
                <w:lang w:val="en-AU"/>
              </w:rPr>
              <w:t xml:space="preserve"> Defence assists with domestic crisis and emergency response as directed by Government. </w:t>
            </w:r>
          </w:p>
        </w:tc>
        <w:tc>
          <w:tcPr>
            <w:tcW w:w="3379" w:type="dxa"/>
            <w:tcBorders>
              <w:top w:val="single" w:sz="4" w:space="0" w:color="auto"/>
              <w:bottom w:val="single" w:sz="4" w:space="0" w:color="auto"/>
            </w:tcBorders>
          </w:tcPr>
          <w:p w14:paraId="73F5B778" w14:textId="767D5B92" w:rsidR="00C4558B" w:rsidRPr="003E76E7" w:rsidRDefault="00C4558B" w:rsidP="00C4292D">
            <w:pPr>
              <w:tabs>
                <w:tab w:val="left" w:pos="709"/>
              </w:tabs>
              <w:spacing w:before="60" w:after="60"/>
              <w:rPr>
                <w:rFonts w:ascii="Arial" w:hAnsi="Arial"/>
                <w:color w:val="000000"/>
                <w:sz w:val="16"/>
                <w:szCs w:val="16"/>
              </w:rPr>
            </w:pPr>
            <w:r w:rsidRPr="003E76E7">
              <w:rPr>
                <w:rFonts w:ascii="Arial" w:hAnsi="Arial"/>
                <w:color w:val="000000"/>
                <w:sz w:val="16"/>
                <w:szCs w:val="16"/>
                <w:lang w:val="en-AU"/>
              </w:rPr>
              <w:t xml:space="preserve">Defence responds to 100 per cent of requests for assistance as directed by Government. </w:t>
            </w:r>
          </w:p>
        </w:tc>
      </w:tr>
      <w:tr w:rsidR="00C4558B" w:rsidRPr="003E76E7" w14:paraId="262F3931" w14:textId="77777777" w:rsidTr="000E1A17">
        <w:tblPrEx>
          <w:shd w:val="clear" w:color="auto" w:fill="auto"/>
          <w:tblLook w:val="04A0" w:firstRow="1" w:lastRow="0" w:firstColumn="1" w:lastColumn="0" w:noHBand="0" w:noVBand="1"/>
        </w:tblPrEx>
        <w:trPr>
          <w:trHeight w:val="783"/>
        </w:trPr>
        <w:tc>
          <w:tcPr>
            <w:tcW w:w="1799" w:type="dxa"/>
            <w:vMerge/>
            <w:tcBorders>
              <w:top w:val="single" w:sz="4" w:space="0" w:color="auto"/>
              <w:bottom w:val="single" w:sz="4" w:space="0" w:color="auto"/>
            </w:tcBorders>
          </w:tcPr>
          <w:p w14:paraId="45A0546F" w14:textId="77777777" w:rsidR="00C4558B" w:rsidRPr="003E76E7" w:rsidRDefault="00C4558B" w:rsidP="00C4292D">
            <w:pPr>
              <w:tabs>
                <w:tab w:val="left" w:pos="709"/>
              </w:tabs>
              <w:spacing w:before="60" w:after="60"/>
              <w:rPr>
                <w:rFonts w:ascii="Arial" w:hAnsi="Arial"/>
                <w:color w:val="000000"/>
                <w:sz w:val="16"/>
                <w:szCs w:val="16"/>
              </w:rPr>
            </w:pPr>
          </w:p>
        </w:tc>
        <w:tc>
          <w:tcPr>
            <w:tcW w:w="3174" w:type="dxa"/>
            <w:tcBorders>
              <w:top w:val="single" w:sz="4" w:space="0" w:color="auto"/>
              <w:bottom w:val="single" w:sz="4" w:space="0" w:color="auto"/>
            </w:tcBorders>
          </w:tcPr>
          <w:p w14:paraId="32D3F706" w14:textId="422EE813" w:rsidR="00C4558B" w:rsidRPr="003E76E7" w:rsidRDefault="00C4558B" w:rsidP="00C4292D">
            <w:pPr>
              <w:tabs>
                <w:tab w:val="left" w:pos="709"/>
              </w:tabs>
              <w:spacing w:before="60" w:after="60"/>
              <w:rPr>
                <w:rFonts w:ascii="Arial" w:hAnsi="Arial"/>
                <w:color w:val="000000"/>
                <w:sz w:val="16"/>
                <w:szCs w:val="16"/>
              </w:rPr>
            </w:pPr>
            <w:r w:rsidRPr="003E76E7">
              <w:rPr>
                <w:rFonts w:ascii="Arial" w:hAnsi="Arial"/>
                <w:sz w:val="16"/>
                <w:szCs w:val="16"/>
                <w:lang w:val="en-AU"/>
              </w:rPr>
              <w:t>6.1: Defence is delivering the right future capability at the right time within the Integrated Investment Program to ensure it is equipped to respond to future security challenges as directed by the National Defence Strategy.</w:t>
            </w:r>
          </w:p>
        </w:tc>
        <w:tc>
          <w:tcPr>
            <w:tcW w:w="3379" w:type="dxa"/>
            <w:tcBorders>
              <w:top w:val="single" w:sz="4" w:space="0" w:color="auto"/>
              <w:bottom w:val="single" w:sz="4" w:space="0" w:color="auto"/>
            </w:tcBorders>
          </w:tcPr>
          <w:p w14:paraId="08B86CB6" w14:textId="1C89FA72" w:rsidR="00C4558B" w:rsidRPr="003E76E7" w:rsidRDefault="00C4558B" w:rsidP="00C4292D">
            <w:pPr>
              <w:tabs>
                <w:tab w:val="left" w:pos="709"/>
              </w:tabs>
              <w:spacing w:before="60" w:after="60"/>
              <w:rPr>
                <w:rFonts w:ascii="Arial" w:hAnsi="Arial"/>
                <w:color w:val="000000"/>
                <w:sz w:val="16"/>
                <w:szCs w:val="16"/>
              </w:rPr>
            </w:pPr>
            <w:r w:rsidRPr="003E76E7">
              <w:rPr>
                <w:rFonts w:ascii="Arial" w:hAnsi="Arial"/>
                <w:sz w:val="16"/>
                <w:szCs w:val="16"/>
                <w:lang w:val="en-AU"/>
              </w:rPr>
              <w:t>80 per cent or more of approved Integrated Investment Program projects across all domains are on track to deliver within Government approved scope, schedule, and cost (including contingency).</w:t>
            </w:r>
          </w:p>
        </w:tc>
      </w:tr>
      <w:tr w:rsidR="00C4558B" w:rsidRPr="003E76E7" w14:paraId="670A6A83" w14:textId="77777777" w:rsidTr="000E1A17">
        <w:tblPrEx>
          <w:shd w:val="clear" w:color="auto" w:fill="auto"/>
          <w:tblLook w:val="04A0" w:firstRow="1" w:lastRow="0" w:firstColumn="1" w:lastColumn="0" w:noHBand="0" w:noVBand="1"/>
        </w:tblPrEx>
        <w:trPr>
          <w:trHeight w:val="60"/>
        </w:trPr>
        <w:tc>
          <w:tcPr>
            <w:tcW w:w="1799" w:type="dxa"/>
            <w:tcBorders>
              <w:top w:val="single" w:sz="4" w:space="0" w:color="auto"/>
              <w:bottom w:val="single" w:sz="4" w:space="0" w:color="auto"/>
            </w:tcBorders>
          </w:tcPr>
          <w:p w14:paraId="7EC50E05" w14:textId="3E217F87" w:rsidR="00C4558B" w:rsidRPr="003E76E7" w:rsidRDefault="00C4558B" w:rsidP="00C4292D">
            <w:pPr>
              <w:tabs>
                <w:tab w:val="left" w:pos="709"/>
              </w:tabs>
              <w:spacing w:before="60" w:after="60"/>
              <w:rPr>
                <w:rFonts w:ascii="Arial" w:hAnsi="Arial"/>
                <w:color w:val="000000"/>
                <w:sz w:val="16"/>
                <w:szCs w:val="16"/>
              </w:rPr>
            </w:pPr>
            <w:r w:rsidRPr="003E76E7">
              <w:rPr>
                <w:rFonts w:ascii="Arial" w:hAnsi="Arial"/>
                <w:b/>
                <w:color w:val="000000"/>
                <w:sz w:val="16"/>
                <w:szCs w:val="16"/>
              </w:rPr>
              <w:t>Year</w:t>
            </w:r>
          </w:p>
        </w:tc>
        <w:tc>
          <w:tcPr>
            <w:tcW w:w="3174" w:type="dxa"/>
            <w:tcBorders>
              <w:top w:val="single" w:sz="4" w:space="0" w:color="auto"/>
              <w:bottom w:val="single" w:sz="4" w:space="0" w:color="auto"/>
            </w:tcBorders>
          </w:tcPr>
          <w:p w14:paraId="68B7C229" w14:textId="32D2B52E" w:rsidR="00C4558B" w:rsidRPr="003E76E7" w:rsidRDefault="00AD14EC" w:rsidP="00C4292D">
            <w:pPr>
              <w:tabs>
                <w:tab w:val="left" w:pos="709"/>
              </w:tabs>
              <w:spacing w:before="60" w:after="60"/>
              <w:rPr>
                <w:rFonts w:ascii="Arial" w:hAnsi="Arial"/>
                <w:sz w:val="16"/>
                <w:szCs w:val="16"/>
                <w:lang w:val="en-AU"/>
              </w:rPr>
            </w:pPr>
            <w:r w:rsidRPr="003E76E7">
              <w:rPr>
                <w:rFonts w:ascii="Arial" w:hAnsi="Arial"/>
                <w:b/>
                <w:color w:val="000000"/>
                <w:sz w:val="16"/>
                <w:szCs w:val="16"/>
              </w:rPr>
              <w:t>Performance Measures</w:t>
            </w:r>
          </w:p>
        </w:tc>
        <w:tc>
          <w:tcPr>
            <w:tcW w:w="3379" w:type="dxa"/>
            <w:tcBorders>
              <w:top w:val="single" w:sz="4" w:space="0" w:color="auto"/>
              <w:bottom w:val="single" w:sz="4" w:space="0" w:color="auto"/>
            </w:tcBorders>
          </w:tcPr>
          <w:p w14:paraId="6CA091E8" w14:textId="21F5D964" w:rsidR="00C4558B" w:rsidRPr="003E76E7" w:rsidRDefault="00C4558B" w:rsidP="00C4292D">
            <w:pPr>
              <w:tabs>
                <w:tab w:val="left" w:pos="709"/>
              </w:tabs>
              <w:spacing w:before="60" w:after="60"/>
              <w:rPr>
                <w:rFonts w:ascii="Arial" w:hAnsi="Arial"/>
                <w:sz w:val="16"/>
                <w:szCs w:val="16"/>
                <w:lang w:val="en-AU"/>
              </w:rPr>
            </w:pPr>
            <w:r w:rsidRPr="003E76E7">
              <w:rPr>
                <w:rFonts w:ascii="Arial" w:hAnsi="Arial"/>
                <w:b/>
                <w:color w:val="000000"/>
                <w:sz w:val="16"/>
                <w:szCs w:val="16"/>
              </w:rPr>
              <w:t>Planned Performance Results</w:t>
            </w:r>
          </w:p>
        </w:tc>
      </w:tr>
      <w:tr w:rsidR="00C4558B" w:rsidRPr="003E76E7" w14:paraId="1F2E3C19" w14:textId="77777777" w:rsidTr="000E1A17">
        <w:tblPrEx>
          <w:shd w:val="clear" w:color="auto" w:fill="auto"/>
          <w:tblLook w:val="04A0" w:firstRow="1" w:lastRow="0" w:firstColumn="1" w:lastColumn="0" w:noHBand="0" w:noVBand="1"/>
        </w:tblPrEx>
        <w:trPr>
          <w:trHeight w:val="447"/>
        </w:trPr>
        <w:tc>
          <w:tcPr>
            <w:tcW w:w="1799" w:type="dxa"/>
            <w:tcBorders>
              <w:top w:val="single" w:sz="4" w:space="0" w:color="auto"/>
              <w:bottom w:val="single" w:sz="4" w:space="0" w:color="auto"/>
            </w:tcBorders>
            <w:vAlign w:val="center"/>
          </w:tcPr>
          <w:p w14:paraId="76383EA8" w14:textId="77777777" w:rsidR="00C4558B" w:rsidRPr="003E76E7" w:rsidRDefault="00C4558B" w:rsidP="00C4292D">
            <w:pPr>
              <w:tabs>
                <w:tab w:val="left" w:pos="709"/>
              </w:tabs>
              <w:spacing w:before="0" w:after="0"/>
              <w:rPr>
                <w:rFonts w:ascii="Arial" w:hAnsi="Arial"/>
                <w:color w:val="000000"/>
                <w:sz w:val="16"/>
                <w:szCs w:val="16"/>
              </w:rPr>
            </w:pPr>
            <w:r w:rsidRPr="003E76E7">
              <w:rPr>
                <w:rFonts w:ascii="Arial" w:hAnsi="Arial"/>
                <w:color w:val="000000"/>
                <w:sz w:val="16"/>
                <w:szCs w:val="16"/>
              </w:rPr>
              <w:t>Forward Estimates</w:t>
            </w:r>
          </w:p>
          <w:p w14:paraId="15A51FE6" w14:textId="66C8BB19" w:rsidR="00C4558B" w:rsidRPr="003E76E7" w:rsidRDefault="00C4558B" w:rsidP="00C4292D">
            <w:pPr>
              <w:tabs>
                <w:tab w:val="left" w:pos="709"/>
              </w:tabs>
              <w:spacing w:before="0" w:after="0"/>
              <w:rPr>
                <w:rFonts w:ascii="Arial" w:hAnsi="Arial"/>
                <w:color w:val="000000"/>
                <w:sz w:val="16"/>
                <w:szCs w:val="16"/>
              </w:rPr>
            </w:pPr>
            <w:r w:rsidRPr="003E76E7">
              <w:rPr>
                <w:rFonts w:ascii="Arial" w:hAnsi="Arial"/>
                <w:color w:val="000000"/>
                <w:sz w:val="16"/>
                <w:szCs w:val="16"/>
              </w:rPr>
              <w:t>2027-30</w:t>
            </w:r>
          </w:p>
        </w:tc>
        <w:tc>
          <w:tcPr>
            <w:tcW w:w="3174" w:type="dxa"/>
            <w:tcBorders>
              <w:top w:val="single" w:sz="4" w:space="0" w:color="auto"/>
              <w:bottom w:val="single" w:sz="4" w:space="0" w:color="auto"/>
            </w:tcBorders>
            <w:vAlign w:val="center"/>
          </w:tcPr>
          <w:p w14:paraId="7AC57B24" w14:textId="3DBEA8E4" w:rsidR="00C4558B" w:rsidRPr="003E76E7" w:rsidRDefault="00C4558B" w:rsidP="00C4292D">
            <w:pPr>
              <w:tabs>
                <w:tab w:val="left" w:pos="709"/>
              </w:tabs>
              <w:spacing w:before="60" w:after="60"/>
              <w:rPr>
                <w:rFonts w:ascii="Arial" w:hAnsi="Arial"/>
                <w:sz w:val="16"/>
                <w:szCs w:val="16"/>
                <w:lang w:val="en-AU"/>
              </w:rPr>
            </w:pPr>
            <w:r w:rsidRPr="003E76E7">
              <w:rPr>
                <w:rFonts w:ascii="Arial" w:hAnsi="Arial"/>
                <w:color w:val="000000"/>
                <w:sz w:val="16"/>
                <w:szCs w:val="16"/>
              </w:rPr>
              <w:t>As per 2026-27.</w:t>
            </w:r>
          </w:p>
        </w:tc>
        <w:tc>
          <w:tcPr>
            <w:tcW w:w="3379" w:type="dxa"/>
            <w:tcBorders>
              <w:top w:val="single" w:sz="4" w:space="0" w:color="auto"/>
              <w:bottom w:val="single" w:sz="4" w:space="0" w:color="auto"/>
            </w:tcBorders>
            <w:vAlign w:val="center"/>
          </w:tcPr>
          <w:p w14:paraId="051203F3" w14:textId="56620180" w:rsidR="00C4558B" w:rsidRPr="003E76E7" w:rsidRDefault="00C4558B" w:rsidP="00C4292D">
            <w:pPr>
              <w:tabs>
                <w:tab w:val="left" w:pos="709"/>
              </w:tabs>
              <w:spacing w:before="60" w:after="60"/>
              <w:rPr>
                <w:rFonts w:ascii="Arial" w:hAnsi="Arial"/>
                <w:sz w:val="16"/>
                <w:szCs w:val="16"/>
                <w:lang w:val="en-AU"/>
              </w:rPr>
            </w:pPr>
            <w:r w:rsidRPr="003E76E7">
              <w:rPr>
                <w:rFonts w:ascii="Arial" w:hAnsi="Arial"/>
                <w:color w:val="000000"/>
                <w:sz w:val="16"/>
                <w:szCs w:val="16"/>
              </w:rPr>
              <w:t>As per 2026-27.</w:t>
            </w:r>
          </w:p>
        </w:tc>
      </w:tr>
      <w:tr w:rsidR="00C4558B" w:rsidRPr="003E76E7" w14:paraId="4679796D" w14:textId="77777777" w:rsidTr="000E1A17">
        <w:tblPrEx>
          <w:shd w:val="clear" w:color="auto" w:fill="auto"/>
          <w:tblLook w:val="04A0" w:firstRow="1" w:lastRow="0" w:firstColumn="1" w:lastColumn="0" w:noHBand="0" w:noVBand="1"/>
        </w:tblPrEx>
        <w:trPr>
          <w:trHeight w:val="161"/>
        </w:trPr>
        <w:tc>
          <w:tcPr>
            <w:tcW w:w="8352" w:type="dxa"/>
            <w:gridSpan w:val="3"/>
            <w:tcBorders>
              <w:top w:val="single" w:sz="4" w:space="0" w:color="auto"/>
              <w:bottom w:val="single" w:sz="4" w:space="0" w:color="auto"/>
            </w:tcBorders>
          </w:tcPr>
          <w:p w14:paraId="5594BF3D" w14:textId="0843ADE1" w:rsidR="00C4558B" w:rsidRPr="003E76E7" w:rsidRDefault="00C4558B" w:rsidP="00C4292D">
            <w:pPr>
              <w:tabs>
                <w:tab w:val="left" w:pos="709"/>
              </w:tabs>
              <w:spacing w:before="60" w:after="60"/>
              <w:rPr>
                <w:rFonts w:ascii="Arial" w:hAnsi="Arial"/>
                <w:sz w:val="16"/>
                <w:szCs w:val="16"/>
                <w:lang w:val="en-AU"/>
              </w:rPr>
            </w:pPr>
            <w:r w:rsidRPr="003E76E7">
              <w:rPr>
                <w:rFonts w:ascii="Arial" w:hAnsi="Arial"/>
                <w:color w:val="000000"/>
                <w:sz w:val="16"/>
                <w:szCs w:val="16"/>
              </w:rPr>
              <w:t>Material changes to Program 2.5 resulting from 2026-27 Budget Measures: Nil.</w:t>
            </w:r>
          </w:p>
        </w:tc>
      </w:tr>
    </w:tbl>
    <w:p w14:paraId="66BFA66E" w14:textId="77777777" w:rsidR="0002000E" w:rsidRPr="003E76E7" w:rsidRDefault="0002000E" w:rsidP="00C4292D">
      <w:pPr>
        <w:pStyle w:val="TableHeading"/>
        <w:spacing w:before="0" w:after="0"/>
        <w:ind w:left="170" w:hanging="170"/>
        <w:rPr>
          <w:sz w:val="14"/>
          <w:szCs w:val="16"/>
        </w:rPr>
      </w:pPr>
    </w:p>
    <w:p w14:paraId="01DB2746" w14:textId="77777777" w:rsidR="00215442" w:rsidRPr="003E76E7" w:rsidRDefault="00215442" w:rsidP="00C4292D">
      <w:pPr>
        <w:pStyle w:val="TableHeading"/>
        <w:spacing w:before="0" w:after="0"/>
        <w:rPr>
          <w:sz w:val="14"/>
          <w:szCs w:val="14"/>
          <w:lang w:val="en-AU"/>
        </w:rPr>
      </w:pPr>
      <w:r w:rsidRPr="003E76E7">
        <w:rPr>
          <w:sz w:val="14"/>
          <w:szCs w:val="14"/>
          <w:lang w:val="en-AU"/>
        </w:rPr>
        <w:t>Notes</w:t>
      </w:r>
    </w:p>
    <w:p w14:paraId="4F7E504A" w14:textId="6D677EE0" w:rsidR="00215442" w:rsidRPr="003E76E7" w:rsidRDefault="00215442" w:rsidP="00C4292D">
      <w:pPr>
        <w:pStyle w:val="TableHeading"/>
        <w:numPr>
          <w:ilvl w:val="0"/>
          <w:numId w:val="37"/>
        </w:numPr>
        <w:tabs>
          <w:tab w:val="left" w:pos="284"/>
        </w:tabs>
        <w:spacing w:before="0" w:after="0"/>
        <w:ind w:left="284" w:hanging="284"/>
        <w:rPr>
          <w:b w:val="0"/>
          <w:i/>
          <w:sz w:val="14"/>
          <w:szCs w:val="14"/>
          <w:lang w:val="en-AU"/>
        </w:rPr>
      </w:pPr>
      <w:r w:rsidRPr="003E76E7">
        <w:rPr>
          <w:b w:val="0"/>
          <w:sz w:val="14"/>
          <w:szCs w:val="14"/>
          <w:lang w:val="en-AU"/>
        </w:rPr>
        <w:t xml:space="preserve">Key activity 1 has been amended for 2025-26, as published in the </w:t>
      </w:r>
      <w:r w:rsidRPr="003E76E7">
        <w:rPr>
          <w:b w:val="0"/>
          <w:i/>
          <w:sz w:val="14"/>
          <w:szCs w:val="14"/>
          <w:lang w:val="en-AU"/>
        </w:rPr>
        <w:t>2025-29 Defence Corporate Plan</w:t>
      </w:r>
      <w:r w:rsidR="00C23CD1" w:rsidRPr="003E76E7">
        <w:rPr>
          <w:b w:val="0"/>
          <w:i/>
          <w:sz w:val="14"/>
          <w:szCs w:val="14"/>
          <w:lang w:val="en-AU"/>
        </w:rPr>
        <w:t>.</w:t>
      </w:r>
    </w:p>
    <w:p w14:paraId="3BDB1900" w14:textId="068C8F13" w:rsidR="00215442" w:rsidRPr="003E76E7" w:rsidRDefault="00215442" w:rsidP="00C4292D">
      <w:pPr>
        <w:pStyle w:val="TableHeading"/>
        <w:numPr>
          <w:ilvl w:val="0"/>
          <w:numId w:val="37"/>
        </w:numPr>
        <w:tabs>
          <w:tab w:val="left" w:pos="284"/>
        </w:tabs>
        <w:spacing w:before="0" w:after="0"/>
        <w:ind w:left="284" w:hanging="284"/>
        <w:rPr>
          <w:b w:val="0"/>
          <w:sz w:val="14"/>
          <w:szCs w:val="14"/>
          <w:lang w:val="en-AU"/>
        </w:rPr>
      </w:pPr>
      <w:r w:rsidRPr="003E76E7">
        <w:rPr>
          <w:b w:val="0"/>
          <w:sz w:val="14"/>
          <w:szCs w:val="14"/>
          <w:lang w:val="en-AU"/>
        </w:rPr>
        <w:tab/>
        <w:t xml:space="preserve">Performance Measures 1.1, 1.2 and 6.1 have been amended and 1.3 is new for 2025-26, as published in </w:t>
      </w:r>
      <w:r w:rsidRPr="003E76E7">
        <w:rPr>
          <w:b w:val="0"/>
          <w:i/>
          <w:sz w:val="14"/>
          <w:szCs w:val="14"/>
          <w:lang w:val="en-AU"/>
        </w:rPr>
        <w:t xml:space="preserve">2025-29 Defence </w:t>
      </w:r>
      <w:r w:rsidR="00B57F20" w:rsidRPr="003E76E7">
        <w:rPr>
          <w:b w:val="0"/>
          <w:i/>
          <w:sz w:val="14"/>
          <w:szCs w:val="14"/>
          <w:lang w:val="en-AU"/>
        </w:rPr>
        <w:br/>
      </w:r>
      <w:r w:rsidRPr="003E76E7">
        <w:rPr>
          <w:b w:val="0"/>
          <w:i/>
          <w:sz w:val="14"/>
          <w:szCs w:val="14"/>
          <w:lang w:val="en-AU"/>
        </w:rPr>
        <w:t>Corporate Plan.</w:t>
      </w:r>
    </w:p>
    <w:p w14:paraId="5F5AF7FB" w14:textId="77777777" w:rsidR="00215442" w:rsidRPr="003E76E7" w:rsidRDefault="00215442" w:rsidP="00C4292D">
      <w:pPr>
        <w:pStyle w:val="TableHeading"/>
        <w:numPr>
          <w:ilvl w:val="0"/>
          <w:numId w:val="37"/>
        </w:numPr>
        <w:tabs>
          <w:tab w:val="left" w:pos="284"/>
        </w:tabs>
        <w:spacing w:before="0" w:after="0"/>
        <w:ind w:left="284" w:hanging="284"/>
        <w:rPr>
          <w:b w:val="0"/>
          <w:sz w:val="14"/>
          <w:szCs w:val="14"/>
          <w:lang w:val="en-AU"/>
        </w:rPr>
      </w:pPr>
      <w:r w:rsidRPr="003E76E7">
        <w:rPr>
          <w:b w:val="0"/>
          <w:sz w:val="14"/>
          <w:szCs w:val="14"/>
          <w:lang w:val="en-AU"/>
        </w:rPr>
        <w:t xml:space="preserve">In accordance with Defence’s Enterprise Performance Framework, Defence is undertaking materiality assessments that may result in updates to the 2026-27 performance information in the 2026-30 Defence Corporate Plan, if required. </w:t>
      </w:r>
    </w:p>
    <w:p w14:paraId="5FCEB998" w14:textId="5BBA132E" w:rsidR="00AE70CA" w:rsidRPr="003E76E7" w:rsidRDefault="00AE70CA" w:rsidP="00C4292D">
      <w:pPr>
        <w:pStyle w:val="TableHeading"/>
        <w:tabs>
          <w:tab w:val="left" w:pos="284"/>
          <w:tab w:val="left" w:pos="851"/>
        </w:tabs>
        <w:spacing w:before="0" w:after="60"/>
        <w:ind w:left="284"/>
        <w:rPr>
          <w:b w:val="0"/>
          <w:sz w:val="14"/>
          <w:szCs w:val="14"/>
          <w:lang w:val="en-AU"/>
        </w:rPr>
      </w:pPr>
    </w:p>
    <w:p w14:paraId="56741BD4" w14:textId="77777777" w:rsidR="00B32A01" w:rsidRPr="003E76E7" w:rsidRDefault="00B32A01" w:rsidP="00C4292D">
      <w:pPr>
        <w:rPr>
          <w:lang w:val="en-AU"/>
        </w:rPr>
      </w:pPr>
    </w:p>
    <w:p w14:paraId="66B72A33" w14:textId="7D218EC2" w:rsidR="00B32A01" w:rsidRPr="003E76E7" w:rsidRDefault="00B32A01" w:rsidP="00C4292D">
      <w:pPr>
        <w:spacing w:before="0" w:after="0"/>
        <w:rPr>
          <w:rFonts w:ascii="Arial" w:hAnsi="Arial"/>
          <w:b/>
          <w:lang w:val="en-AU"/>
        </w:rPr>
      </w:pPr>
    </w:p>
    <w:p w14:paraId="18B2E13A" w14:textId="5D8C3416" w:rsidR="003D5485" w:rsidRPr="003E76E7" w:rsidRDefault="003D5485" w:rsidP="00C4292D">
      <w:pPr>
        <w:pStyle w:val="TableHeading"/>
        <w:numPr>
          <w:ilvl w:val="0"/>
          <w:numId w:val="61"/>
        </w:numPr>
        <w:spacing w:before="100"/>
        <w:ind w:left="0" w:firstLine="0"/>
        <w:outlineLvl w:val="4"/>
        <w:rPr>
          <w:lang w:val="en-AU"/>
        </w:rPr>
      </w:pPr>
      <w:r w:rsidRPr="003E76E7">
        <w:rPr>
          <w:lang w:val="en-AU"/>
        </w:rPr>
        <w:lastRenderedPageBreak/>
        <w:t>Cost Summary for Program 2.5</w:t>
      </w:r>
      <w:r w:rsidR="00965956" w:rsidRPr="003E76E7">
        <w:rPr>
          <w:lang w:val="en-AU"/>
        </w:rPr>
        <w:t xml:space="preserve"> Navy Capabilities</w:t>
      </w:r>
    </w:p>
    <w:p w14:paraId="21771BDB" w14:textId="414C1ADA" w:rsidR="00DD3E53" w:rsidRPr="003E76E7" w:rsidRDefault="004E7650" w:rsidP="00C4292D">
      <w:pPr>
        <w:tabs>
          <w:tab w:val="left" w:pos="473"/>
        </w:tabs>
        <w:spacing w:after="0"/>
      </w:pPr>
      <w:r w:rsidRPr="004E7650">
        <w:rPr>
          <w:noProof/>
          <w:lang w:val="en-AU"/>
        </w:rPr>
        <w:drawing>
          <wp:inline distT="0" distB="0" distL="0" distR="0" wp14:anchorId="5121EF6C" wp14:editId="14E004F9">
            <wp:extent cx="5471795" cy="2835246"/>
            <wp:effectExtent l="0" t="0" r="0" b="381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71795" cy="2835246"/>
                    </a:xfrm>
                    <a:prstGeom prst="rect">
                      <a:avLst/>
                    </a:prstGeom>
                    <a:noFill/>
                    <a:ln>
                      <a:noFill/>
                    </a:ln>
                  </pic:spPr>
                </pic:pic>
              </a:graphicData>
            </a:graphic>
          </wp:inline>
        </w:drawing>
      </w:r>
    </w:p>
    <w:p w14:paraId="21104940" w14:textId="77777777" w:rsidR="00190A21" w:rsidRPr="003E76E7" w:rsidRDefault="00190A21" w:rsidP="00C4292D">
      <w:pPr>
        <w:spacing w:before="0" w:after="0"/>
        <w:rPr>
          <w:rFonts w:ascii="Arial" w:hAnsi="Arial"/>
          <w:b/>
          <w:sz w:val="14"/>
          <w:szCs w:val="14"/>
        </w:rPr>
      </w:pPr>
    </w:p>
    <w:p w14:paraId="16AED01C" w14:textId="7DC2464F" w:rsidR="00BD74D3" w:rsidRPr="003E76E7" w:rsidRDefault="00BD74D3" w:rsidP="00C4292D">
      <w:pPr>
        <w:spacing w:before="0" w:after="0"/>
        <w:rPr>
          <w:rFonts w:ascii="Arial" w:hAnsi="Arial"/>
          <w:b/>
          <w:sz w:val="14"/>
          <w:szCs w:val="14"/>
        </w:rPr>
      </w:pPr>
      <w:r w:rsidRPr="003E76E7">
        <w:rPr>
          <w:rFonts w:ascii="Arial" w:hAnsi="Arial"/>
          <w:b/>
          <w:sz w:val="14"/>
          <w:szCs w:val="14"/>
        </w:rPr>
        <w:t>Notes</w:t>
      </w:r>
    </w:p>
    <w:p w14:paraId="547BBEDC" w14:textId="06F3888D" w:rsidR="00301820" w:rsidRPr="003E76E7" w:rsidRDefault="00301820" w:rsidP="00C4292D">
      <w:pPr>
        <w:pStyle w:val="ListParagraph"/>
        <w:numPr>
          <w:ilvl w:val="0"/>
          <w:numId w:val="112"/>
        </w:numPr>
        <w:spacing w:before="0" w:after="0"/>
        <w:ind w:left="284" w:hanging="284"/>
        <w:rPr>
          <w:rFonts w:ascii="Arial" w:hAnsi="Arial"/>
          <w:sz w:val="14"/>
          <w:szCs w:val="14"/>
        </w:rPr>
      </w:pPr>
      <w:r w:rsidRPr="003E76E7">
        <w:rPr>
          <w:rFonts w:ascii="Arial" w:hAnsi="Arial"/>
          <w:sz w:val="14"/>
          <w:szCs w:val="14"/>
        </w:rPr>
        <w:t xml:space="preserve">Purchase of inventory and inventory consumption are predominately budgeted in military programs (2.5 Navy Capabilities, </w:t>
      </w:r>
      <w:r w:rsidR="00397940" w:rsidRPr="003E76E7">
        <w:rPr>
          <w:rFonts w:ascii="Arial" w:hAnsi="Arial"/>
          <w:sz w:val="14"/>
          <w:szCs w:val="14"/>
        </w:rPr>
        <w:br/>
      </w:r>
      <w:r w:rsidRPr="003E76E7">
        <w:rPr>
          <w:rFonts w:ascii="Arial" w:hAnsi="Arial"/>
          <w:sz w:val="14"/>
          <w:szCs w:val="14"/>
        </w:rPr>
        <w:t>2.6 Army Capabilities and 2.7 Air Force Capabilities), however, actual purchase and consumption of inventory may occur under different programs.</w:t>
      </w:r>
      <w:r w:rsidRPr="003E76E7">
        <w:rPr>
          <w:rFonts w:ascii="Arial" w:hAnsi="Arial"/>
          <w:sz w:val="14"/>
          <w:szCs w:val="14"/>
        </w:rPr>
        <w:tab/>
      </w:r>
      <w:r w:rsidRPr="003E76E7">
        <w:rPr>
          <w:rFonts w:ascii="Arial" w:hAnsi="Arial"/>
          <w:sz w:val="14"/>
          <w:szCs w:val="14"/>
        </w:rPr>
        <w:tab/>
      </w:r>
      <w:r w:rsidRPr="003E76E7">
        <w:rPr>
          <w:rFonts w:ascii="Arial" w:hAnsi="Arial"/>
          <w:sz w:val="14"/>
          <w:szCs w:val="14"/>
        </w:rPr>
        <w:tab/>
      </w:r>
      <w:r w:rsidRPr="003E76E7">
        <w:rPr>
          <w:rFonts w:ascii="Arial" w:hAnsi="Arial"/>
          <w:sz w:val="14"/>
          <w:szCs w:val="14"/>
        </w:rPr>
        <w:tab/>
      </w:r>
      <w:r w:rsidRPr="003E76E7">
        <w:rPr>
          <w:rFonts w:ascii="Arial" w:hAnsi="Arial"/>
          <w:sz w:val="14"/>
          <w:szCs w:val="14"/>
        </w:rPr>
        <w:tab/>
      </w:r>
    </w:p>
    <w:p w14:paraId="2A55F2D0" w14:textId="2559ACBF" w:rsidR="00301820" w:rsidRPr="003E76E7" w:rsidRDefault="00A37A36" w:rsidP="00C4292D">
      <w:pPr>
        <w:pStyle w:val="ListParagraph"/>
        <w:numPr>
          <w:ilvl w:val="0"/>
          <w:numId w:val="112"/>
        </w:numPr>
        <w:spacing w:before="0" w:after="0"/>
        <w:ind w:left="284" w:hanging="284"/>
        <w:rPr>
          <w:rFonts w:ascii="Arial" w:hAnsi="Arial"/>
          <w:sz w:val="14"/>
          <w:szCs w:val="14"/>
        </w:rPr>
      </w:pPr>
      <w:r w:rsidRPr="003E76E7">
        <w:rPr>
          <w:rFonts w:ascii="Arial" w:hAnsi="Arial"/>
          <w:sz w:val="14"/>
          <w:szCs w:val="14"/>
        </w:rPr>
        <w:t>Total program funded</w:t>
      </w:r>
      <w:r w:rsidR="00301820" w:rsidRPr="003E76E7">
        <w:rPr>
          <w:rFonts w:ascii="Arial" w:hAnsi="Arial"/>
          <w:sz w:val="14"/>
          <w:szCs w:val="14"/>
        </w:rPr>
        <w:t xml:space="preserve"> expenditure includes operating expenses and capital expenditure funded by appropriation and </w:t>
      </w:r>
      <w:r w:rsidR="00301820" w:rsidRPr="003E76E7">
        <w:rPr>
          <w:rFonts w:ascii="Arial" w:hAnsi="Arial"/>
          <w:sz w:val="14"/>
          <w:szCs w:val="14"/>
        </w:rPr>
        <w:br/>
        <w:t>own source revenue. This excludes expenses not requiring appropriation.</w:t>
      </w:r>
      <w:r w:rsidR="00301820" w:rsidRPr="003E76E7">
        <w:rPr>
          <w:rFonts w:ascii="Arial" w:hAnsi="Arial"/>
          <w:sz w:val="14"/>
          <w:szCs w:val="14"/>
        </w:rPr>
        <w:tab/>
      </w:r>
      <w:r w:rsidR="00301820" w:rsidRPr="003E76E7">
        <w:rPr>
          <w:rFonts w:ascii="Arial" w:hAnsi="Arial"/>
          <w:sz w:val="14"/>
          <w:szCs w:val="14"/>
        </w:rPr>
        <w:tab/>
      </w:r>
      <w:r w:rsidR="00301820" w:rsidRPr="003E76E7">
        <w:rPr>
          <w:rFonts w:ascii="Arial" w:hAnsi="Arial"/>
          <w:sz w:val="14"/>
          <w:szCs w:val="14"/>
        </w:rPr>
        <w:tab/>
      </w:r>
      <w:r w:rsidR="00301820" w:rsidRPr="003E76E7">
        <w:rPr>
          <w:rFonts w:ascii="Arial" w:hAnsi="Arial"/>
          <w:sz w:val="14"/>
          <w:szCs w:val="14"/>
        </w:rPr>
        <w:tab/>
      </w:r>
      <w:r w:rsidR="00301820" w:rsidRPr="003E76E7">
        <w:rPr>
          <w:rFonts w:ascii="Arial" w:hAnsi="Arial"/>
          <w:sz w:val="14"/>
          <w:szCs w:val="14"/>
        </w:rPr>
        <w:tab/>
      </w:r>
    </w:p>
    <w:p w14:paraId="036A83DA" w14:textId="20546A3D" w:rsidR="000B621C" w:rsidRPr="003E76E7" w:rsidRDefault="00301820" w:rsidP="00C4292D">
      <w:pPr>
        <w:pStyle w:val="ListParagraph"/>
        <w:numPr>
          <w:ilvl w:val="0"/>
          <w:numId w:val="112"/>
        </w:numPr>
        <w:spacing w:before="0" w:after="0"/>
        <w:ind w:left="284" w:hanging="284"/>
        <w:rPr>
          <w:rFonts w:ascii="Arial" w:hAnsi="Arial"/>
          <w:sz w:val="14"/>
          <w:szCs w:val="14"/>
        </w:rPr>
      </w:pPr>
      <w:r w:rsidRPr="003E76E7">
        <w:rPr>
          <w:rFonts w:ascii="Arial" w:hAnsi="Arial"/>
          <w:sz w:val="14"/>
          <w:szCs w:val="14"/>
        </w:rPr>
        <w:t>The change in estimates includes movement of functions and their associated budgets within Defence.</w:t>
      </w:r>
      <w:r w:rsidRPr="003E76E7">
        <w:rPr>
          <w:rFonts w:ascii="Arial" w:hAnsi="Arial"/>
          <w:sz w:val="14"/>
          <w:szCs w:val="14"/>
        </w:rPr>
        <w:tab/>
      </w:r>
      <w:r w:rsidRPr="003E76E7">
        <w:rPr>
          <w:rFonts w:ascii="Arial" w:hAnsi="Arial"/>
          <w:sz w:val="14"/>
          <w:szCs w:val="14"/>
        </w:rPr>
        <w:tab/>
      </w:r>
      <w:r w:rsidRPr="003E76E7">
        <w:rPr>
          <w:rFonts w:ascii="Arial" w:hAnsi="Arial"/>
          <w:sz w:val="14"/>
          <w:szCs w:val="14"/>
        </w:rPr>
        <w:tab/>
      </w:r>
      <w:r w:rsidRPr="003E76E7">
        <w:rPr>
          <w:rFonts w:ascii="Arial" w:hAnsi="Arial"/>
          <w:sz w:val="14"/>
          <w:szCs w:val="14"/>
        </w:rPr>
        <w:tab/>
      </w:r>
      <w:r w:rsidRPr="003E76E7">
        <w:rPr>
          <w:rFonts w:ascii="Arial" w:hAnsi="Arial"/>
          <w:sz w:val="14"/>
          <w:szCs w:val="14"/>
        </w:rPr>
        <w:tab/>
      </w:r>
    </w:p>
    <w:p w14:paraId="4B727400" w14:textId="47CA30C9" w:rsidR="00FE1CA5" w:rsidRPr="003E76E7" w:rsidRDefault="00FE1CA5" w:rsidP="00C4292D">
      <w:pPr>
        <w:spacing w:before="0" w:after="0"/>
        <w:ind w:left="284" w:hanging="284"/>
        <w:rPr>
          <w:rFonts w:ascii="Arial" w:hAnsi="Arial"/>
          <w:sz w:val="14"/>
          <w:szCs w:val="14"/>
        </w:rPr>
      </w:pPr>
    </w:p>
    <w:p w14:paraId="00D8F5D3" w14:textId="32CEAA3E" w:rsidR="005403E1" w:rsidRPr="003E76E7" w:rsidRDefault="005403E1" w:rsidP="00C4292D">
      <w:pPr>
        <w:pStyle w:val="TableHeading"/>
        <w:numPr>
          <w:ilvl w:val="0"/>
          <w:numId w:val="61"/>
        </w:numPr>
        <w:spacing w:before="100"/>
        <w:ind w:left="0" w:firstLine="0"/>
        <w:outlineLvl w:val="4"/>
        <w:rPr>
          <w:vertAlign w:val="superscript"/>
          <w:lang w:val="en-AU"/>
        </w:rPr>
      </w:pPr>
      <w:r w:rsidRPr="003E76E7">
        <w:rPr>
          <w:lang w:val="en-AU"/>
        </w:rPr>
        <w:t>Navy Deliverables (Unit Availability Days)</w:t>
      </w:r>
      <w:r w:rsidRPr="003E76E7">
        <w:rPr>
          <w:vertAlign w:val="superscript"/>
          <w:lang w:val="en-AU"/>
        </w:rPr>
        <w:t xml:space="preserve"> </w:t>
      </w:r>
      <w:r w:rsidR="00857E44" w:rsidRPr="003E76E7">
        <w:rPr>
          <w:vertAlign w:val="superscript"/>
          <w:lang w:val="en-AU"/>
        </w:rPr>
        <w:t>[a]</w:t>
      </w:r>
    </w:p>
    <w:p w14:paraId="3D65E6F6" w14:textId="77777777" w:rsidR="00597CD8" w:rsidRPr="003E76E7" w:rsidRDefault="00597CD8" w:rsidP="00C4292D">
      <w:pPr>
        <w:spacing w:before="0" w:after="0"/>
        <w:rPr>
          <w:sz w:val="4"/>
          <w:lang w:val="en-AU"/>
        </w:rPr>
      </w:pPr>
    </w:p>
    <w:tbl>
      <w:tblPr>
        <w:tblW w:w="485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
        <w:gridCol w:w="2621"/>
        <w:gridCol w:w="1048"/>
        <w:gridCol w:w="1048"/>
        <w:gridCol w:w="1048"/>
        <w:gridCol w:w="1048"/>
        <w:gridCol w:w="1048"/>
      </w:tblGrid>
      <w:tr w:rsidR="005403E1" w:rsidRPr="003E76E7" w14:paraId="1F53008B" w14:textId="77777777" w:rsidTr="000E1A17">
        <w:tc>
          <w:tcPr>
            <w:tcW w:w="3109" w:type="dxa"/>
            <w:gridSpan w:val="2"/>
            <w:tcBorders>
              <w:top w:val="single" w:sz="4" w:space="0" w:color="auto"/>
              <w:left w:val="single" w:sz="4" w:space="0" w:color="auto"/>
              <w:bottom w:val="single" w:sz="4" w:space="0" w:color="auto"/>
              <w:right w:val="single" w:sz="4" w:space="0" w:color="auto"/>
            </w:tcBorders>
            <w:shd w:val="clear" w:color="auto" w:fill="auto"/>
          </w:tcPr>
          <w:p w14:paraId="1E5B609E" w14:textId="77777777" w:rsidR="005403E1" w:rsidRPr="003E76E7" w:rsidRDefault="005403E1" w:rsidP="00C4292D">
            <w:pPr>
              <w:pStyle w:val="TableTextHeadingLeft"/>
              <w:rPr>
                <w:sz w:val="16"/>
                <w:szCs w:val="16"/>
              </w:rPr>
            </w:pPr>
            <w:r w:rsidRPr="003E76E7">
              <w:rPr>
                <w:sz w:val="16"/>
                <w:szCs w:val="16"/>
              </w:rPr>
              <w:t>Deliverables</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bottom"/>
          </w:tcPr>
          <w:p w14:paraId="32965362" w14:textId="2896F983" w:rsidR="005403E1" w:rsidRPr="003E76E7" w:rsidRDefault="005403E1" w:rsidP="00C4292D">
            <w:pPr>
              <w:pStyle w:val="TableTextHeadingRight"/>
              <w:rPr>
                <w:sz w:val="16"/>
                <w:szCs w:val="16"/>
              </w:rPr>
            </w:pPr>
            <w:r w:rsidRPr="003E76E7">
              <w:rPr>
                <w:sz w:val="16"/>
                <w:szCs w:val="16"/>
              </w:rPr>
              <w:t>202</w:t>
            </w:r>
            <w:r w:rsidR="00173ED3" w:rsidRPr="003E76E7">
              <w:rPr>
                <w:sz w:val="16"/>
                <w:szCs w:val="16"/>
              </w:rPr>
              <w:t>5</w:t>
            </w:r>
            <w:r w:rsidRPr="003E76E7">
              <w:rPr>
                <w:sz w:val="16"/>
                <w:szCs w:val="16"/>
              </w:rPr>
              <w:t>-2</w:t>
            </w:r>
            <w:r w:rsidR="00173ED3" w:rsidRPr="003E76E7">
              <w:rPr>
                <w:sz w:val="16"/>
                <w:szCs w:val="16"/>
              </w:rPr>
              <w:t>6</w:t>
            </w:r>
            <w:r w:rsidR="00742B5A" w:rsidRPr="003E76E7">
              <w:rPr>
                <w:sz w:val="16"/>
                <w:szCs w:val="16"/>
              </w:rPr>
              <w:t xml:space="preserve"> </w:t>
            </w:r>
            <w:r w:rsidR="00EC2836" w:rsidRPr="003E76E7">
              <w:rPr>
                <w:sz w:val="16"/>
                <w:szCs w:val="16"/>
              </w:rPr>
              <w:t xml:space="preserve">Estimated </w:t>
            </w:r>
            <w:r w:rsidR="00742B5A" w:rsidRPr="003E76E7">
              <w:rPr>
                <w:sz w:val="16"/>
                <w:szCs w:val="16"/>
              </w:rPr>
              <w:t>Actual</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bottom"/>
          </w:tcPr>
          <w:p w14:paraId="4C09AE9B" w14:textId="51F25C2E" w:rsidR="005403E1" w:rsidRPr="003E76E7" w:rsidRDefault="005403E1" w:rsidP="00C4292D">
            <w:pPr>
              <w:pStyle w:val="TableTextHeadingRight"/>
              <w:rPr>
                <w:sz w:val="16"/>
                <w:szCs w:val="16"/>
              </w:rPr>
            </w:pPr>
            <w:r w:rsidRPr="003E76E7">
              <w:rPr>
                <w:sz w:val="16"/>
                <w:szCs w:val="16"/>
              </w:rPr>
              <w:t>202</w:t>
            </w:r>
            <w:r w:rsidR="00173ED3" w:rsidRPr="003E76E7">
              <w:rPr>
                <w:sz w:val="16"/>
                <w:szCs w:val="16"/>
              </w:rPr>
              <w:t>6</w:t>
            </w:r>
            <w:r w:rsidRPr="003E76E7">
              <w:rPr>
                <w:sz w:val="16"/>
                <w:szCs w:val="16"/>
              </w:rPr>
              <w:t>-2</w:t>
            </w:r>
            <w:r w:rsidR="00173ED3" w:rsidRPr="003E76E7">
              <w:rPr>
                <w:sz w:val="16"/>
                <w:szCs w:val="16"/>
              </w:rPr>
              <w:t>7</w:t>
            </w:r>
            <w:r w:rsidRPr="003E76E7">
              <w:rPr>
                <w:sz w:val="16"/>
                <w:szCs w:val="16"/>
              </w:rPr>
              <w:t xml:space="preserve"> Budget Estimate</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bottom"/>
          </w:tcPr>
          <w:p w14:paraId="2A7C43E5" w14:textId="0DA3302A" w:rsidR="005403E1" w:rsidRPr="003E76E7" w:rsidRDefault="005403E1" w:rsidP="00C4292D">
            <w:pPr>
              <w:pStyle w:val="TableTextHeadingRight"/>
              <w:rPr>
                <w:sz w:val="16"/>
                <w:szCs w:val="16"/>
              </w:rPr>
            </w:pPr>
            <w:r w:rsidRPr="003E76E7">
              <w:rPr>
                <w:sz w:val="16"/>
                <w:szCs w:val="16"/>
              </w:rPr>
              <w:t>202</w:t>
            </w:r>
            <w:r w:rsidR="00173ED3" w:rsidRPr="003E76E7">
              <w:rPr>
                <w:sz w:val="16"/>
                <w:szCs w:val="16"/>
              </w:rPr>
              <w:t>7</w:t>
            </w:r>
            <w:r w:rsidRPr="003E76E7">
              <w:rPr>
                <w:sz w:val="16"/>
                <w:szCs w:val="16"/>
              </w:rPr>
              <w:t>-2</w:t>
            </w:r>
            <w:r w:rsidR="00173ED3" w:rsidRPr="003E76E7">
              <w:rPr>
                <w:sz w:val="16"/>
                <w:szCs w:val="16"/>
              </w:rPr>
              <w:t>8</w:t>
            </w:r>
            <w:r w:rsidRPr="003E76E7">
              <w:rPr>
                <w:sz w:val="16"/>
                <w:szCs w:val="16"/>
              </w:rPr>
              <w:t xml:space="preserve"> Forward </w:t>
            </w:r>
            <w:r w:rsidR="00DA55C6" w:rsidRPr="003E76E7">
              <w:rPr>
                <w:sz w:val="16"/>
                <w:szCs w:val="16"/>
              </w:rPr>
              <w:t>Estimate</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bottom"/>
          </w:tcPr>
          <w:p w14:paraId="7C45603C" w14:textId="1639C95F" w:rsidR="005403E1" w:rsidRPr="003E76E7" w:rsidRDefault="005403E1" w:rsidP="00C4292D">
            <w:pPr>
              <w:pStyle w:val="TableTextHeadingRight"/>
              <w:rPr>
                <w:sz w:val="16"/>
                <w:szCs w:val="16"/>
              </w:rPr>
            </w:pPr>
            <w:r w:rsidRPr="003E76E7">
              <w:rPr>
                <w:sz w:val="16"/>
                <w:szCs w:val="16"/>
              </w:rPr>
              <w:t>202</w:t>
            </w:r>
            <w:r w:rsidR="00173ED3" w:rsidRPr="003E76E7">
              <w:rPr>
                <w:sz w:val="16"/>
                <w:szCs w:val="16"/>
              </w:rPr>
              <w:t>8</w:t>
            </w:r>
            <w:r w:rsidRPr="003E76E7">
              <w:rPr>
                <w:sz w:val="16"/>
                <w:szCs w:val="16"/>
              </w:rPr>
              <w:t>-2</w:t>
            </w:r>
            <w:r w:rsidR="00173ED3" w:rsidRPr="003E76E7">
              <w:rPr>
                <w:sz w:val="16"/>
                <w:szCs w:val="16"/>
              </w:rPr>
              <w:t>9</w:t>
            </w:r>
            <w:r w:rsidRPr="003E76E7">
              <w:rPr>
                <w:sz w:val="16"/>
                <w:szCs w:val="16"/>
              </w:rPr>
              <w:t xml:space="preserve"> Forward</w:t>
            </w:r>
            <w:r w:rsidR="00DA55C6" w:rsidRPr="003E76E7">
              <w:rPr>
                <w:sz w:val="16"/>
                <w:szCs w:val="16"/>
              </w:rPr>
              <w:t xml:space="preserve"> Estimate</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bottom"/>
          </w:tcPr>
          <w:p w14:paraId="0C89D8E8" w14:textId="53621CF2" w:rsidR="005403E1" w:rsidRPr="003E76E7" w:rsidRDefault="005403E1" w:rsidP="00C4292D">
            <w:pPr>
              <w:pStyle w:val="TableTextHeadingRight"/>
              <w:rPr>
                <w:sz w:val="16"/>
                <w:szCs w:val="16"/>
              </w:rPr>
            </w:pPr>
            <w:r w:rsidRPr="003E76E7">
              <w:rPr>
                <w:sz w:val="16"/>
                <w:szCs w:val="16"/>
              </w:rPr>
              <w:t>202</w:t>
            </w:r>
            <w:r w:rsidR="00173ED3" w:rsidRPr="003E76E7">
              <w:rPr>
                <w:sz w:val="16"/>
                <w:szCs w:val="16"/>
              </w:rPr>
              <w:t>9</w:t>
            </w:r>
            <w:r w:rsidRPr="003E76E7">
              <w:rPr>
                <w:sz w:val="16"/>
                <w:szCs w:val="16"/>
              </w:rPr>
              <w:t>-</w:t>
            </w:r>
            <w:r w:rsidR="00173ED3" w:rsidRPr="003E76E7">
              <w:rPr>
                <w:sz w:val="16"/>
                <w:szCs w:val="16"/>
              </w:rPr>
              <w:t>30</w:t>
            </w:r>
            <w:r w:rsidRPr="003E76E7">
              <w:rPr>
                <w:sz w:val="16"/>
                <w:szCs w:val="16"/>
              </w:rPr>
              <w:t xml:space="preserve"> Forward</w:t>
            </w:r>
            <w:r w:rsidR="00DA55C6" w:rsidRPr="003E76E7">
              <w:rPr>
                <w:sz w:val="16"/>
                <w:szCs w:val="16"/>
              </w:rPr>
              <w:t xml:space="preserve"> Estimate</w:t>
            </w:r>
          </w:p>
        </w:tc>
      </w:tr>
      <w:tr w:rsidR="00F26DEA" w:rsidRPr="003E76E7" w14:paraId="453A5025" w14:textId="77777777" w:rsidTr="000E1A17">
        <w:tc>
          <w:tcPr>
            <w:tcW w:w="488" w:type="dxa"/>
            <w:tcBorders>
              <w:top w:val="single" w:sz="4" w:space="0" w:color="auto"/>
              <w:left w:val="single" w:sz="4" w:space="0" w:color="auto"/>
              <w:bottom w:val="single" w:sz="4" w:space="0" w:color="auto"/>
              <w:right w:val="single" w:sz="4" w:space="0" w:color="auto"/>
            </w:tcBorders>
            <w:shd w:val="clear" w:color="auto" w:fill="auto"/>
            <w:vAlign w:val="center"/>
          </w:tcPr>
          <w:p w14:paraId="4E489A2E" w14:textId="2E5170CB" w:rsidR="00F26DEA" w:rsidRPr="003E76E7" w:rsidRDefault="00F26DEA" w:rsidP="00C4292D">
            <w:pPr>
              <w:pStyle w:val="TableTextLeft0"/>
              <w:jc w:val="right"/>
              <w:rPr>
                <w:sz w:val="16"/>
                <w:szCs w:val="16"/>
                <w:lang w:val="en-AU"/>
              </w:rPr>
            </w:pPr>
            <w:r w:rsidRPr="003E76E7">
              <w:rPr>
                <w:sz w:val="16"/>
                <w:szCs w:val="16"/>
              </w:rPr>
              <w:t>16</w:t>
            </w:r>
          </w:p>
        </w:tc>
        <w:tc>
          <w:tcPr>
            <w:tcW w:w="2621" w:type="dxa"/>
            <w:tcBorders>
              <w:top w:val="single" w:sz="4" w:space="0" w:color="auto"/>
              <w:left w:val="single" w:sz="4" w:space="0" w:color="auto"/>
              <w:bottom w:val="single" w:sz="4" w:space="0" w:color="auto"/>
              <w:right w:val="single" w:sz="4" w:space="0" w:color="auto"/>
            </w:tcBorders>
            <w:shd w:val="clear" w:color="auto" w:fill="auto"/>
            <w:vAlign w:val="center"/>
          </w:tcPr>
          <w:p w14:paraId="524FADB4" w14:textId="74416715" w:rsidR="00F26DEA" w:rsidRPr="003E76E7" w:rsidRDefault="00F26DEA" w:rsidP="00C4292D">
            <w:pPr>
              <w:pStyle w:val="TableTextLeft0"/>
              <w:rPr>
                <w:sz w:val="16"/>
                <w:szCs w:val="16"/>
                <w:lang w:val="en-AU"/>
              </w:rPr>
            </w:pPr>
            <w:r w:rsidRPr="003E76E7">
              <w:rPr>
                <w:sz w:val="16"/>
                <w:szCs w:val="16"/>
              </w:rPr>
              <w:t xml:space="preserve">Major Combatants </w:t>
            </w:r>
            <w:r w:rsidRPr="003E76E7">
              <w:rPr>
                <w:sz w:val="16"/>
                <w:szCs w:val="16"/>
                <w:vertAlign w:val="superscript"/>
              </w:rPr>
              <w:t>[b]</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center"/>
          </w:tcPr>
          <w:p w14:paraId="55C7A7CF" w14:textId="0C1C8E83" w:rsidR="00F26DEA" w:rsidRPr="003E76E7" w:rsidRDefault="00F26DEA" w:rsidP="00C4292D">
            <w:pPr>
              <w:spacing w:before="40" w:after="40"/>
              <w:jc w:val="right"/>
              <w:rPr>
                <w:rFonts w:ascii="Arial" w:hAnsi="Arial"/>
                <w:color w:val="FF0000"/>
                <w:sz w:val="16"/>
                <w:szCs w:val="16"/>
              </w:rPr>
            </w:pPr>
            <w:r w:rsidRPr="003E76E7">
              <w:rPr>
                <w:rFonts w:ascii="Arial" w:hAnsi="Arial"/>
                <w:sz w:val="16"/>
                <w:szCs w:val="16"/>
              </w:rPr>
              <w:t>2,626</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center"/>
          </w:tcPr>
          <w:p w14:paraId="677D8CBC" w14:textId="3E93F10F" w:rsidR="00F26DEA" w:rsidRPr="003E76E7" w:rsidRDefault="00F26DEA" w:rsidP="00C4292D">
            <w:pPr>
              <w:spacing w:before="40" w:after="40"/>
              <w:jc w:val="right"/>
              <w:rPr>
                <w:rFonts w:ascii="Arial" w:hAnsi="Arial"/>
                <w:sz w:val="16"/>
                <w:szCs w:val="16"/>
              </w:rPr>
            </w:pPr>
            <w:r w:rsidRPr="003E76E7">
              <w:rPr>
                <w:rFonts w:ascii="Arial" w:hAnsi="Arial"/>
                <w:sz w:val="16"/>
                <w:szCs w:val="16"/>
              </w:rPr>
              <w:t>2,987</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center"/>
          </w:tcPr>
          <w:p w14:paraId="568CEEA6" w14:textId="4C93B280" w:rsidR="00F26DEA" w:rsidRPr="003E76E7" w:rsidRDefault="00F26DEA" w:rsidP="00C4292D">
            <w:pPr>
              <w:spacing w:before="40" w:after="40"/>
              <w:jc w:val="right"/>
              <w:rPr>
                <w:rFonts w:ascii="Arial" w:hAnsi="Arial"/>
                <w:sz w:val="16"/>
                <w:szCs w:val="16"/>
              </w:rPr>
            </w:pPr>
            <w:r w:rsidRPr="003E76E7">
              <w:rPr>
                <w:rFonts w:ascii="Arial" w:hAnsi="Arial"/>
                <w:sz w:val="16"/>
                <w:szCs w:val="16"/>
              </w:rPr>
              <w:t>2,849</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center"/>
          </w:tcPr>
          <w:p w14:paraId="77AC34C9" w14:textId="5933C179" w:rsidR="00F26DEA" w:rsidRPr="003E76E7" w:rsidRDefault="00F26DEA" w:rsidP="00C4292D">
            <w:pPr>
              <w:spacing w:before="40" w:after="40"/>
              <w:jc w:val="right"/>
              <w:rPr>
                <w:rFonts w:ascii="Arial" w:hAnsi="Arial"/>
                <w:sz w:val="16"/>
                <w:szCs w:val="16"/>
              </w:rPr>
            </w:pPr>
            <w:r w:rsidRPr="003E76E7">
              <w:rPr>
                <w:rFonts w:ascii="Arial" w:hAnsi="Arial"/>
                <w:sz w:val="16"/>
                <w:szCs w:val="16"/>
              </w:rPr>
              <w:t>3,359</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center"/>
          </w:tcPr>
          <w:p w14:paraId="24720519" w14:textId="475A8B80" w:rsidR="00F26DEA" w:rsidRPr="003E76E7" w:rsidRDefault="00F26DEA" w:rsidP="00C4292D">
            <w:pPr>
              <w:spacing w:before="40" w:after="40"/>
              <w:jc w:val="right"/>
              <w:rPr>
                <w:rFonts w:ascii="Arial" w:hAnsi="Arial"/>
                <w:sz w:val="16"/>
                <w:szCs w:val="16"/>
              </w:rPr>
            </w:pPr>
            <w:r w:rsidRPr="003E76E7">
              <w:rPr>
                <w:rFonts w:ascii="Arial" w:hAnsi="Arial"/>
                <w:sz w:val="16"/>
                <w:szCs w:val="16"/>
              </w:rPr>
              <w:t>3,299</w:t>
            </w:r>
          </w:p>
        </w:tc>
      </w:tr>
      <w:tr w:rsidR="00F26DEA" w:rsidRPr="003E76E7" w14:paraId="6B609743" w14:textId="77777777" w:rsidTr="000E1A17">
        <w:tc>
          <w:tcPr>
            <w:tcW w:w="488" w:type="dxa"/>
            <w:tcBorders>
              <w:top w:val="single" w:sz="4" w:space="0" w:color="auto"/>
              <w:left w:val="single" w:sz="4" w:space="0" w:color="auto"/>
              <w:bottom w:val="single" w:sz="4" w:space="0" w:color="auto"/>
              <w:right w:val="single" w:sz="4" w:space="0" w:color="auto"/>
            </w:tcBorders>
            <w:shd w:val="clear" w:color="auto" w:fill="auto"/>
            <w:vAlign w:val="center"/>
          </w:tcPr>
          <w:p w14:paraId="692180E4" w14:textId="05E96D31" w:rsidR="00F26DEA" w:rsidRPr="003E76E7" w:rsidRDefault="00F26DEA" w:rsidP="00C4292D">
            <w:pPr>
              <w:pStyle w:val="TableTextLeft0"/>
              <w:jc w:val="right"/>
              <w:rPr>
                <w:sz w:val="16"/>
                <w:szCs w:val="16"/>
                <w:lang w:val="en-AU"/>
              </w:rPr>
            </w:pPr>
            <w:r w:rsidRPr="003E76E7">
              <w:rPr>
                <w:sz w:val="16"/>
                <w:szCs w:val="16"/>
              </w:rPr>
              <w:t>1</w:t>
            </w:r>
            <w:r w:rsidR="004717A3" w:rsidRPr="003E76E7">
              <w:rPr>
                <w:sz w:val="16"/>
                <w:szCs w:val="16"/>
              </w:rPr>
              <w:t>4</w:t>
            </w:r>
          </w:p>
        </w:tc>
        <w:tc>
          <w:tcPr>
            <w:tcW w:w="2621" w:type="dxa"/>
            <w:tcBorders>
              <w:top w:val="single" w:sz="4" w:space="0" w:color="auto"/>
              <w:left w:val="single" w:sz="4" w:space="0" w:color="auto"/>
              <w:bottom w:val="single" w:sz="4" w:space="0" w:color="auto"/>
              <w:right w:val="single" w:sz="4" w:space="0" w:color="auto"/>
            </w:tcBorders>
            <w:shd w:val="clear" w:color="auto" w:fill="auto"/>
            <w:vAlign w:val="center"/>
          </w:tcPr>
          <w:p w14:paraId="455AA8C8" w14:textId="236FF843" w:rsidR="00F26DEA" w:rsidRPr="003E76E7" w:rsidRDefault="00F26DEA" w:rsidP="00C4292D">
            <w:pPr>
              <w:pStyle w:val="TableTextLeft0"/>
              <w:rPr>
                <w:sz w:val="16"/>
                <w:szCs w:val="16"/>
                <w:lang w:val="en-AU"/>
              </w:rPr>
            </w:pPr>
            <w:r w:rsidRPr="003E76E7">
              <w:rPr>
                <w:sz w:val="16"/>
                <w:szCs w:val="16"/>
              </w:rPr>
              <w:t xml:space="preserve">Minor Combatants </w:t>
            </w:r>
            <w:r w:rsidRPr="003E76E7">
              <w:rPr>
                <w:sz w:val="16"/>
                <w:szCs w:val="16"/>
                <w:vertAlign w:val="superscript"/>
              </w:rPr>
              <w:t>[c]</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center"/>
          </w:tcPr>
          <w:p w14:paraId="4209E775" w14:textId="1993D944" w:rsidR="00F26DEA" w:rsidRPr="003E76E7" w:rsidRDefault="00F26DEA" w:rsidP="00C4292D">
            <w:pPr>
              <w:spacing w:before="40" w:after="40"/>
              <w:jc w:val="right"/>
              <w:rPr>
                <w:rFonts w:ascii="Arial" w:hAnsi="Arial"/>
                <w:color w:val="FF0000"/>
                <w:sz w:val="16"/>
                <w:szCs w:val="16"/>
              </w:rPr>
            </w:pPr>
            <w:r w:rsidRPr="003E76E7">
              <w:rPr>
                <w:rFonts w:ascii="Arial" w:hAnsi="Arial"/>
                <w:sz w:val="16"/>
                <w:szCs w:val="16"/>
              </w:rPr>
              <w:t>3,536</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center"/>
          </w:tcPr>
          <w:p w14:paraId="11015570" w14:textId="5802BEA6" w:rsidR="00F26DEA" w:rsidRPr="003E76E7" w:rsidRDefault="00F26DEA" w:rsidP="00C4292D">
            <w:pPr>
              <w:spacing w:before="40" w:after="40"/>
              <w:jc w:val="right"/>
              <w:rPr>
                <w:rFonts w:ascii="Arial" w:hAnsi="Arial"/>
                <w:sz w:val="16"/>
                <w:szCs w:val="16"/>
              </w:rPr>
            </w:pPr>
            <w:r w:rsidRPr="003E76E7">
              <w:rPr>
                <w:rFonts w:ascii="Arial" w:hAnsi="Arial"/>
                <w:sz w:val="16"/>
                <w:szCs w:val="16"/>
              </w:rPr>
              <w:t>2,911</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center"/>
          </w:tcPr>
          <w:p w14:paraId="7B376CAC" w14:textId="7C58C1F0" w:rsidR="00F26DEA" w:rsidRPr="003E76E7" w:rsidRDefault="00F26DEA" w:rsidP="00C4292D">
            <w:pPr>
              <w:spacing w:before="40" w:after="40"/>
              <w:jc w:val="right"/>
              <w:rPr>
                <w:rFonts w:ascii="Arial" w:hAnsi="Arial"/>
                <w:sz w:val="16"/>
                <w:szCs w:val="16"/>
              </w:rPr>
            </w:pPr>
            <w:r w:rsidRPr="003E76E7">
              <w:rPr>
                <w:rFonts w:ascii="Arial" w:hAnsi="Arial"/>
                <w:sz w:val="16"/>
                <w:szCs w:val="16"/>
              </w:rPr>
              <w:t>3,186</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center"/>
          </w:tcPr>
          <w:p w14:paraId="1850EB29" w14:textId="74151A02" w:rsidR="00F26DEA" w:rsidRPr="003E76E7" w:rsidRDefault="00F26DEA" w:rsidP="00C4292D">
            <w:pPr>
              <w:spacing w:before="40" w:after="40"/>
              <w:jc w:val="right"/>
              <w:rPr>
                <w:rFonts w:ascii="Arial" w:hAnsi="Arial"/>
                <w:sz w:val="16"/>
                <w:szCs w:val="16"/>
              </w:rPr>
            </w:pPr>
            <w:r w:rsidRPr="003E76E7">
              <w:rPr>
                <w:rFonts w:ascii="Arial" w:hAnsi="Arial"/>
                <w:sz w:val="16"/>
                <w:szCs w:val="16"/>
              </w:rPr>
              <w:t>2,828</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center"/>
          </w:tcPr>
          <w:p w14:paraId="735A544A" w14:textId="344A2997" w:rsidR="00F26DEA" w:rsidRPr="003E76E7" w:rsidRDefault="00F26DEA" w:rsidP="00C4292D">
            <w:pPr>
              <w:spacing w:before="40" w:after="40"/>
              <w:jc w:val="right"/>
              <w:rPr>
                <w:rFonts w:ascii="Arial" w:hAnsi="Arial"/>
                <w:sz w:val="16"/>
                <w:szCs w:val="16"/>
              </w:rPr>
            </w:pPr>
            <w:r w:rsidRPr="003E76E7">
              <w:rPr>
                <w:rFonts w:ascii="Arial" w:hAnsi="Arial"/>
                <w:sz w:val="16"/>
                <w:szCs w:val="16"/>
              </w:rPr>
              <w:t>2,828</w:t>
            </w:r>
          </w:p>
        </w:tc>
      </w:tr>
      <w:tr w:rsidR="00F26DEA" w:rsidRPr="003E76E7" w14:paraId="764618A1" w14:textId="77777777" w:rsidTr="000E1A17">
        <w:tc>
          <w:tcPr>
            <w:tcW w:w="488" w:type="dxa"/>
            <w:tcBorders>
              <w:top w:val="single" w:sz="4" w:space="0" w:color="auto"/>
              <w:left w:val="single" w:sz="4" w:space="0" w:color="auto"/>
              <w:bottom w:val="single" w:sz="4" w:space="0" w:color="auto"/>
              <w:right w:val="single" w:sz="4" w:space="0" w:color="auto"/>
            </w:tcBorders>
            <w:shd w:val="clear" w:color="auto" w:fill="auto"/>
            <w:vAlign w:val="center"/>
          </w:tcPr>
          <w:p w14:paraId="7397D342" w14:textId="6893A873" w:rsidR="00F26DEA" w:rsidRPr="003E76E7" w:rsidRDefault="00F26DEA" w:rsidP="00C4292D">
            <w:pPr>
              <w:pStyle w:val="TableTextLeft0"/>
              <w:jc w:val="right"/>
              <w:rPr>
                <w:sz w:val="16"/>
                <w:szCs w:val="16"/>
                <w:lang w:val="en-AU"/>
              </w:rPr>
            </w:pPr>
            <w:r w:rsidRPr="003E76E7">
              <w:rPr>
                <w:sz w:val="16"/>
                <w:szCs w:val="16"/>
              </w:rPr>
              <w:t>5</w:t>
            </w:r>
          </w:p>
        </w:tc>
        <w:tc>
          <w:tcPr>
            <w:tcW w:w="2621" w:type="dxa"/>
            <w:tcBorders>
              <w:top w:val="single" w:sz="4" w:space="0" w:color="auto"/>
              <w:left w:val="single" w:sz="4" w:space="0" w:color="auto"/>
              <w:bottom w:val="single" w:sz="4" w:space="0" w:color="auto"/>
              <w:right w:val="single" w:sz="4" w:space="0" w:color="auto"/>
            </w:tcBorders>
            <w:shd w:val="clear" w:color="auto" w:fill="auto"/>
            <w:vAlign w:val="center"/>
          </w:tcPr>
          <w:p w14:paraId="229076CD" w14:textId="64DBF469" w:rsidR="00F26DEA" w:rsidRPr="003E76E7" w:rsidRDefault="00F26DEA" w:rsidP="00C4292D">
            <w:pPr>
              <w:pStyle w:val="TableTextLeft0"/>
              <w:rPr>
                <w:sz w:val="16"/>
                <w:szCs w:val="16"/>
                <w:lang w:val="en-AU"/>
              </w:rPr>
            </w:pPr>
            <w:r w:rsidRPr="003E76E7">
              <w:rPr>
                <w:sz w:val="16"/>
                <w:szCs w:val="16"/>
              </w:rPr>
              <w:t xml:space="preserve">Amphibious and Afloat Support </w:t>
            </w:r>
            <w:r w:rsidRPr="003E76E7">
              <w:rPr>
                <w:sz w:val="16"/>
                <w:szCs w:val="16"/>
                <w:vertAlign w:val="superscript"/>
              </w:rPr>
              <w:t>[d]</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center"/>
          </w:tcPr>
          <w:p w14:paraId="1B2A58A3" w14:textId="653C534F" w:rsidR="00F26DEA" w:rsidRPr="003E76E7" w:rsidRDefault="00F26DEA" w:rsidP="00C4292D">
            <w:pPr>
              <w:spacing w:before="40" w:after="40"/>
              <w:jc w:val="right"/>
              <w:rPr>
                <w:rFonts w:ascii="Arial" w:hAnsi="Arial"/>
                <w:color w:val="FF0000"/>
                <w:sz w:val="16"/>
                <w:szCs w:val="16"/>
              </w:rPr>
            </w:pPr>
            <w:r w:rsidRPr="003E76E7">
              <w:rPr>
                <w:rFonts w:ascii="Arial" w:hAnsi="Arial"/>
                <w:sz w:val="16"/>
                <w:szCs w:val="16"/>
              </w:rPr>
              <w:t>1,009</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center"/>
          </w:tcPr>
          <w:p w14:paraId="4297279A" w14:textId="5654DE81" w:rsidR="00F26DEA" w:rsidRPr="003E76E7" w:rsidRDefault="00F26DEA" w:rsidP="00C4292D">
            <w:pPr>
              <w:spacing w:before="40" w:after="40"/>
              <w:jc w:val="right"/>
              <w:rPr>
                <w:rFonts w:ascii="Arial" w:hAnsi="Arial"/>
                <w:sz w:val="16"/>
                <w:szCs w:val="16"/>
              </w:rPr>
            </w:pPr>
            <w:r w:rsidRPr="003E76E7">
              <w:rPr>
                <w:rFonts w:ascii="Arial" w:hAnsi="Arial"/>
                <w:sz w:val="16"/>
                <w:szCs w:val="16"/>
              </w:rPr>
              <w:t>1,305</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center"/>
          </w:tcPr>
          <w:p w14:paraId="3BD7163D" w14:textId="10E8EEC8" w:rsidR="00F26DEA" w:rsidRPr="003E76E7" w:rsidRDefault="00F26DEA" w:rsidP="00C4292D">
            <w:pPr>
              <w:spacing w:before="40" w:after="40"/>
              <w:jc w:val="right"/>
              <w:rPr>
                <w:rFonts w:ascii="Arial" w:hAnsi="Arial"/>
                <w:sz w:val="16"/>
                <w:szCs w:val="16"/>
              </w:rPr>
            </w:pPr>
            <w:r w:rsidRPr="003E76E7">
              <w:rPr>
                <w:rFonts w:ascii="Arial" w:hAnsi="Arial"/>
                <w:sz w:val="16"/>
                <w:szCs w:val="16"/>
              </w:rPr>
              <w:t>1,274</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center"/>
          </w:tcPr>
          <w:p w14:paraId="457CED17" w14:textId="531D220E" w:rsidR="00F26DEA" w:rsidRPr="003E76E7" w:rsidRDefault="00F26DEA" w:rsidP="00C4292D">
            <w:pPr>
              <w:spacing w:before="40" w:after="40"/>
              <w:jc w:val="right"/>
              <w:rPr>
                <w:rFonts w:ascii="Arial" w:hAnsi="Arial"/>
                <w:sz w:val="16"/>
                <w:szCs w:val="16"/>
              </w:rPr>
            </w:pPr>
            <w:r w:rsidRPr="003E76E7">
              <w:rPr>
                <w:rFonts w:ascii="Arial" w:hAnsi="Arial"/>
                <w:sz w:val="16"/>
                <w:szCs w:val="16"/>
              </w:rPr>
              <w:t>1,240</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center"/>
          </w:tcPr>
          <w:p w14:paraId="64A05768" w14:textId="75A92E72" w:rsidR="00F26DEA" w:rsidRPr="003E76E7" w:rsidRDefault="00F26DEA" w:rsidP="00C4292D">
            <w:pPr>
              <w:spacing w:before="40" w:after="40"/>
              <w:jc w:val="right"/>
              <w:rPr>
                <w:rFonts w:ascii="Arial" w:hAnsi="Arial"/>
                <w:sz w:val="16"/>
                <w:szCs w:val="16"/>
              </w:rPr>
            </w:pPr>
            <w:r w:rsidRPr="003E76E7">
              <w:rPr>
                <w:rFonts w:ascii="Arial" w:hAnsi="Arial"/>
                <w:sz w:val="16"/>
                <w:szCs w:val="16"/>
              </w:rPr>
              <w:t>1,240</w:t>
            </w:r>
          </w:p>
        </w:tc>
      </w:tr>
      <w:tr w:rsidR="00F26DEA" w:rsidRPr="003E76E7" w14:paraId="7498A13E" w14:textId="77777777" w:rsidTr="000E1A17">
        <w:tc>
          <w:tcPr>
            <w:tcW w:w="488" w:type="dxa"/>
            <w:tcBorders>
              <w:top w:val="single" w:sz="4" w:space="0" w:color="auto"/>
              <w:left w:val="single" w:sz="4" w:space="0" w:color="auto"/>
              <w:bottom w:val="single" w:sz="4" w:space="0" w:color="auto"/>
              <w:right w:val="single" w:sz="4" w:space="0" w:color="auto"/>
            </w:tcBorders>
            <w:shd w:val="clear" w:color="auto" w:fill="auto"/>
            <w:vAlign w:val="center"/>
          </w:tcPr>
          <w:p w14:paraId="7A2BCF3F" w14:textId="1FB06428" w:rsidR="00F26DEA" w:rsidRPr="003E76E7" w:rsidRDefault="00F26DEA" w:rsidP="00C4292D">
            <w:pPr>
              <w:pStyle w:val="TableTextLeft0"/>
              <w:jc w:val="right"/>
              <w:rPr>
                <w:sz w:val="16"/>
                <w:szCs w:val="16"/>
                <w:lang w:val="en-AU"/>
              </w:rPr>
            </w:pPr>
            <w:r w:rsidRPr="003E76E7">
              <w:rPr>
                <w:sz w:val="16"/>
                <w:szCs w:val="16"/>
              </w:rPr>
              <w:t>11</w:t>
            </w:r>
          </w:p>
        </w:tc>
        <w:tc>
          <w:tcPr>
            <w:tcW w:w="2621" w:type="dxa"/>
            <w:tcBorders>
              <w:top w:val="single" w:sz="4" w:space="0" w:color="auto"/>
              <w:left w:val="single" w:sz="4" w:space="0" w:color="auto"/>
              <w:bottom w:val="single" w:sz="4" w:space="0" w:color="auto"/>
              <w:right w:val="single" w:sz="4" w:space="0" w:color="auto"/>
            </w:tcBorders>
            <w:shd w:val="clear" w:color="auto" w:fill="auto"/>
            <w:vAlign w:val="center"/>
          </w:tcPr>
          <w:p w14:paraId="7DBAA057" w14:textId="6F23260F" w:rsidR="00F26DEA" w:rsidRPr="003E76E7" w:rsidRDefault="00F26DEA" w:rsidP="00C4292D">
            <w:pPr>
              <w:pStyle w:val="TableTextLeft0"/>
              <w:rPr>
                <w:sz w:val="16"/>
                <w:szCs w:val="16"/>
                <w:lang w:val="en-AU"/>
              </w:rPr>
            </w:pPr>
            <w:r w:rsidRPr="003E76E7">
              <w:rPr>
                <w:sz w:val="16"/>
                <w:szCs w:val="16"/>
              </w:rPr>
              <w:t xml:space="preserve">Maritime Teams </w:t>
            </w:r>
            <w:r w:rsidRPr="003E76E7">
              <w:rPr>
                <w:sz w:val="16"/>
                <w:szCs w:val="16"/>
                <w:vertAlign w:val="superscript"/>
              </w:rPr>
              <w:t>[e]</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center"/>
          </w:tcPr>
          <w:p w14:paraId="7BA61E91" w14:textId="32780316" w:rsidR="00F26DEA" w:rsidRPr="003E76E7" w:rsidRDefault="00F26DEA" w:rsidP="00C4292D">
            <w:pPr>
              <w:spacing w:before="40" w:after="40"/>
              <w:jc w:val="right"/>
              <w:rPr>
                <w:rFonts w:ascii="Arial" w:hAnsi="Arial"/>
                <w:color w:val="FF0000"/>
                <w:sz w:val="16"/>
                <w:szCs w:val="16"/>
              </w:rPr>
            </w:pPr>
            <w:r w:rsidRPr="003E76E7">
              <w:rPr>
                <w:rFonts w:ascii="Arial" w:hAnsi="Arial"/>
                <w:sz w:val="16"/>
                <w:szCs w:val="16"/>
              </w:rPr>
              <w:t>3,285</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center"/>
          </w:tcPr>
          <w:p w14:paraId="2EEF8F59" w14:textId="411B43BA" w:rsidR="00F26DEA" w:rsidRPr="003E76E7" w:rsidRDefault="00F26DEA" w:rsidP="00C4292D">
            <w:pPr>
              <w:spacing w:before="40" w:after="40"/>
              <w:jc w:val="right"/>
              <w:rPr>
                <w:rFonts w:ascii="Arial" w:hAnsi="Arial"/>
                <w:sz w:val="16"/>
                <w:szCs w:val="16"/>
              </w:rPr>
            </w:pPr>
            <w:r w:rsidRPr="003E76E7">
              <w:rPr>
                <w:rFonts w:ascii="Arial" w:hAnsi="Arial"/>
                <w:sz w:val="16"/>
                <w:szCs w:val="16"/>
              </w:rPr>
              <w:t>3,468</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center"/>
          </w:tcPr>
          <w:p w14:paraId="375B07C0" w14:textId="4E01FD27" w:rsidR="00F26DEA" w:rsidRPr="003E76E7" w:rsidRDefault="00F26DEA" w:rsidP="00C4292D">
            <w:pPr>
              <w:spacing w:before="40" w:after="40"/>
              <w:jc w:val="right"/>
              <w:rPr>
                <w:rFonts w:ascii="Arial" w:hAnsi="Arial"/>
                <w:sz w:val="16"/>
                <w:szCs w:val="16"/>
              </w:rPr>
            </w:pPr>
            <w:r w:rsidRPr="003E76E7">
              <w:rPr>
                <w:rFonts w:ascii="Arial" w:hAnsi="Arial"/>
                <w:sz w:val="16"/>
                <w:szCs w:val="16"/>
              </w:rPr>
              <w:t>3,662</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center"/>
          </w:tcPr>
          <w:p w14:paraId="3A450FFD" w14:textId="3D599F0E" w:rsidR="00F26DEA" w:rsidRPr="003E76E7" w:rsidRDefault="00F26DEA" w:rsidP="00C4292D">
            <w:pPr>
              <w:spacing w:before="40" w:after="40"/>
              <w:jc w:val="right"/>
              <w:rPr>
                <w:rFonts w:ascii="Arial" w:hAnsi="Arial"/>
                <w:sz w:val="16"/>
                <w:szCs w:val="16"/>
              </w:rPr>
            </w:pPr>
            <w:r w:rsidRPr="003E76E7">
              <w:rPr>
                <w:rFonts w:ascii="Arial" w:hAnsi="Arial"/>
                <w:sz w:val="16"/>
                <w:szCs w:val="16"/>
              </w:rPr>
              <w:t>3,498</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center"/>
          </w:tcPr>
          <w:p w14:paraId="06834271" w14:textId="1745280D" w:rsidR="00F26DEA" w:rsidRPr="003E76E7" w:rsidRDefault="00F26DEA" w:rsidP="00C4292D">
            <w:pPr>
              <w:spacing w:before="40" w:after="40"/>
              <w:jc w:val="right"/>
              <w:rPr>
                <w:rFonts w:ascii="Arial" w:hAnsi="Arial"/>
                <w:sz w:val="16"/>
                <w:szCs w:val="16"/>
              </w:rPr>
            </w:pPr>
            <w:r w:rsidRPr="003E76E7">
              <w:rPr>
                <w:rFonts w:ascii="Arial" w:hAnsi="Arial"/>
                <w:sz w:val="16"/>
                <w:szCs w:val="16"/>
              </w:rPr>
              <w:t>3,659</w:t>
            </w:r>
          </w:p>
        </w:tc>
      </w:tr>
      <w:tr w:rsidR="00F26DEA" w:rsidRPr="003E76E7" w14:paraId="4743BAF2" w14:textId="77777777" w:rsidTr="000E1A17">
        <w:tc>
          <w:tcPr>
            <w:tcW w:w="488" w:type="dxa"/>
            <w:tcBorders>
              <w:top w:val="single" w:sz="4" w:space="0" w:color="auto"/>
              <w:left w:val="single" w:sz="4" w:space="0" w:color="auto"/>
              <w:bottom w:val="single" w:sz="4" w:space="0" w:color="auto"/>
              <w:right w:val="single" w:sz="4" w:space="0" w:color="auto"/>
            </w:tcBorders>
            <w:shd w:val="clear" w:color="auto" w:fill="auto"/>
            <w:vAlign w:val="center"/>
          </w:tcPr>
          <w:p w14:paraId="1E6ED092" w14:textId="3237A66A" w:rsidR="00F26DEA" w:rsidRPr="003E76E7" w:rsidRDefault="00F26DEA" w:rsidP="00C4292D">
            <w:pPr>
              <w:pStyle w:val="TableTextLeft0"/>
              <w:jc w:val="right"/>
              <w:rPr>
                <w:sz w:val="16"/>
                <w:szCs w:val="16"/>
                <w:lang w:val="en-AU"/>
              </w:rPr>
            </w:pPr>
            <w:r w:rsidRPr="003E76E7">
              <w:rPr>
                <w:sz w:val="16"/>
                <w:szCs w:val="16"/>
              </w:rPr>
              <w:t>2</w:t>
            </w:r>
          </w:p>
        </w:tc>
        <w:tc>
          <w:tcPr>
            <w:tcW w:w="2621" w:type="dxa"/>
            <w:tcBorders>
              <w:top w:val="single" w:sz="4" w:space="0" w:color="auto"/>
              <w:left w:val="single" w:sz="4" w:space="0" w:color="auto"/>
              <w:bottom w:val="single" w:sz="4" w:space="0" w:color="auto"/>
              <w:right w:val="single" w:sz="4" w:space="0" w:color="auto"/>
            </w:tcBorders>
            <w:shd w:val="clear" w:color="auto" w:fill="auto"/>
            <w:vAlign w:val="center"/>
          </w:tcPr>
          <w:p w14:paraId="1C442D0F" w14:textId="16C5BD97" w:rsidR="00F26DEA" w:rsidRPr="003E76E7" w:rsidRDefault="00F26DEA" w:rsidP="00C4292D">
            <w:pPr>
              <w:pStyle w:val="TableTextLeft0"/>
              <w:rPr>
                <w:sz w:val="16"/>
                <w:szCs w:val="16"/>
                <w:lang w:val="en-AU"/>
              </w:rPr>
            </w:pPr>
            <w:r w:rsidRPr="003E76E7">
              <w:rPr>
                <w:sz w:val="16"/>
                <w:szCs w:val="16"/>
              </w:rPr>
              <w:t xml:space="preserve">Hydrographic Force </w:t>
            </w:r>
            <w:r w:rsidRPr="003E76E7">
              <w:rPr>
                <w:sz w:val="16"/>
                <w:szCs w:val="16"/>
                <w:vertAlign w:val="superscript"/>
              </w:rPr>
              <w:t>[f]</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center"/>
          </w:tcPr>
          <w:p w14:paraId="7E815EE1" w14:textId="3B071742" w:rsidR="00F26DEA" w:rsidRPr="003E76E7" w:rsidRDefault="00F26DEA" w:rsidP="00C4292D">
            <w:pPr>
              <w:spacing w:before="40" w:after="40"/>
              <w:jc w:val="right"/>
              <w:rPr>
                <w:rFonts w:ascii="Arial" w:hAnsi="Arial"/>
                <w:color w:val="FF0000"/>
                <w:sz w:val="16"/>
                <w:szCs w:val="16"/>
              </w:rPr>
            </w:pPr>
            <w:r w:rsidRPr="003E76E7">
              <w:rPr>
                <w:rFonts w:ascii="Arial" w:hAnsi="Arial"/>
                <w:sz w:val="16"/>
                <w:szCs w:val="16"/>
              </w:rPr>
              <w:t>670</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center"/>
          </w:tcPr>
          <w:p w14:paraId="4421D40D" w14:textId="1A140ACE" w:rsidR="00F26DEA" w:rsidRPr="003E76E7" w:rsidRDefault="00F26DEA" w:rsidP="00C4292D">
            <w:pPr>
              <w:spacing w:before="40" w:after="40"/>
              <w:jc w:val="right"/>
              <w:rPr>
                <w:rFonts w:ascii="Arial" w:hAnsi="Arial"/>
                <w:sz w:val="16"/>
                <w:szCs w:val="16"/>
              </w:rPr>
            </w:pPr>
            <w:r w:rsidRPr="003E76E7">
              <w:rPr>
                <w:rFonts w:ascii="Arial" w:hAnsi="Arial"/>
                <w:sz w:val="16"/>
                <w:szCs w:val="16"/>
              </w:rPr>
              <w:t>657</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center"/>
          </w:tcPr>
          <w:p w14:paraId="60D0C95E" w14:textId="0DEF53C9" w:rsidR="00F26DEA" w:rsidRPr="003E76E7" w:rsidRDefault="00F26DEA" w:rsidP="00C4292D">
            <w:pPr>
              <w:spacing w:before="40" w:after="40"/>
              <w:jc w:val="right"/>
              <w:rPr>
                <w:rFonts w:ascii="Arial" w:hAnsi="Arial"/>
                <w:sz w:val="16"/>
                <w:szCs w:val="16"/>
              </w:rPr>
            </w:pPr>
            <w:r w:rsidRPr="003E76E7">
              <w:rPr>
                <w:rFonts w:ascii="Arial" w:hAnsi="Arial"/>
                <w:sz w:val="16"/>
                <w:szCs w:val="16"/>
              </w:rPr>
              <w:t>483</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center"/>
          </w:tcPr>
          <w:p w14:paraId="44CA0266" w14:textId="316DFC6B" w:rsidR="00F26DEA" w:rsidRPr="003E76E7" w:rsidRDefault="00F26DEA" w:rsidP="00C4292D">
            <w:pPr>
              <w:spacing w:before="40" w:after="40"/>
              <w:jc w:val="right"/>
              <w:rPr>
                <w:rFonts w:ascii="Arial" w:hAnsi="Arial"/>
                <w:sz w:val="16"/>
                <w:szCs w:val="16"/>
              </w:rPr>
            </w:pPr>
            <w:r w:rsidRPr="003E76E7">
              <w:rPr>
                <w:rFonts w:ascii="Arial" w:hAnsi="Arial"/>
                <w:sz w:val="16"/>
                <w:szCs w:val="16"/>
              </w:rPr>
              <w:t>365</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center"/>
          </w:tcPr>
          <w:p w14:paraId="14CAE870" w14:textId="18355A8B" w:rsidR="00F26DEA" w:rsidRPr="003E76E7" w:rsidRDefault="00F26DEA" w:rsidP="00C4292D">
            <w:pPr>
              <w:spacing w:before="40" w:after="40"/>
              <w:jc w:val="right"/>
              <w:rPr>
                <w:rFonts w:ascii="Arial" w:hAnsi="Arial"/>
                <w:sz w:val="16"/>
                <w:szCs w:val="16"/>
              </w:rPr>
            </w:pPr>
            <w:r w:rsidRPr="003E76E7">
              <w:rPr>
                <w:rFonts w:ascii="Arial" w:hAnsi="Arial"/>
                <w:sz w:val="16"/>
                <w:szCs w:val="16"/>
              </w:rPr>
              <w:t>365</w:t>
            </w:r>
          </w:p>
        </w:tc>
      </w:tr>
    </w:tbl>
    <w:p w14:paraId="0C67C0D7" w14:textId="77777777" w:rsidR="005403E1" w:rsidRPr="003E76E7" w:rsidRDefault="005403E1" w:rsidP="00C4292D">
      <w:pPr>
        <w:pStyle w:val="NotesHeading"/>
        <w:spacing w:before="0" w:after="0"/>
        <w:rPr>
          <w:sz w:val="14"/>
          <w:szCs w:val="14"/>
        </w:rPr>
      </w:pPr>
    </w:p>
    <w:p w14:paraId="035DB34E" w14:textId="77777777" w:rsidR="005403E1" w:rsidRPr="003E76E7" w:rsidRDefault="005403E1" w:rsidP="00C4292D">
      <w:pPr>
        <w:pStyle w:val="NotesHeading"/>
        <w:spacing w:before="0" w:after="0"/>
        <w:rPr>
          <w:sz w:val="14"/>
          <w:szCs w:val="14"/>
        </w:rPr>
      </w:pPr>
      <w:r w:rsidRPr="003E76E7">
        <w:rPr>
          <w:sz w:val="14"/>
          <w:szCs w:val="14"/>
        </w:rPr>
        <w:t>Notes</w:t>
      </w:r>
    </w:p>
    <w:p w14:paraId="2A78A692" w14:textId="7500EC89" w:rsidR="00F26DEA" w:rsidRPr="003E76E7" w:rsidRDefault="00F26DEA" w:rsidP="00C4292D">
      <w:pPr>
        <w:numPr>
          <w:ilvl w:val="0"/>
          <w:numId w:val="75"/>
        </w:numPr>
        <w:tabs>
          <w:tab w:val="num" w:pos="0"/>
          <w:tab w:val="num" w:pos="284"/>
        </w:tabs>
        <w:spacing w:before="0" w:after="0"/>
        <w:ind w:left="284" w:hanging="284"/>
        <w:rPr>
          <w:rFonts w:ascii="Arial" w:hAnsi="Arial"/>
          <w:sz w:val="14"/>
          <w:szCs w:val="14"/>
        </w:rPr>
      </w:pPr>
      <w:r w:rsidRPr="003E76E7">
        <w:rPr>
          <w:rFonts w:ascii="Arial" w:hAnsi="Arial"/>
          <w:sz w:val="14"/>
          <w:szCs w:val="14"/>
        </w:rPr>
        <w:t xml:space="preserve">A Unit Availability Day (UAD) is a day when a unit is </w:t>
      </w:r>
      <w:r w:rsidR="00CA5BB7" w:rsidRPr="003E76E7">
        <w:rPr>
          <w:rFonts w:ascii="Arial" w:hAnsi="Arial"/>
          <w:sz w:val="14"/>
          <w:szCs w:val="14"/>
        </w:rPr>
        <w:t>materie</w:t>
      </w:r>
      <w:r w:rsidRPr="003E76E7">
        <w:rPr>
          <w:rFonts w:ascii="Arial" w:hAnsi="Arial"/>
          <w:sz w:val="14"/>
          <w:szCs w:val="14"/>
        </w:rPr>
        <w:t xml:space="preserve">lly ready and its personnel state and level of competence enables the unit to safely perform tasks in the unit’s normal operating environment, immediately. </w:t>
      </w:r>
    </w:p>
    <w:p w14:paraId="719AE941" w14:textId="77777777" w:rsidR="00F26DEA" w:rsidRPr="003E76E7" w:rsidRDefault="00F26DEA" w:rsidP="00C4292D">
      <w:pPr>
        <w:numPr>
          <w:ilvl w:val="0"/>
          <w:numId w:val="75"/>
        </w:numPr>
        <w:tabs>
          <w:tab w:val="num" w:pos="0"/>
          <w:tab w:val="num" w:pos="284"/>
        </w:tabs>
        <w:spacing w:before="0" w:after="0"/>
        <w:ind w:left="284" w:hanging="284"/>
        <w:rPr>
          <w:rFonts w:ascii="Arial" w:hAnsi="Arial"/>
          <w:sz w:val="14"/>
          <w:szCs w:val="14"/>
        </w:rPr>
      </w:pPr>
      <w:r w:rsidRPr="003E76E7">
        <w:rPr>
          <w:rFonts w:ascii="Arial" w:hAnsi="Arial"/>
          <w:sz w:val="14"/>
          <w:szCs w:val="14"/>
        </w:rPr>
        <w:t xml:space="preserve">Major Combatants comprises seven </w:t>
      </w:r>
      <w:r w:rsidRPr="003E76E7">
        <w:rPr>
          <w:rFonts w:ascii="Arial" w:hAnsi="Arial"/>
          <w:i/>
          <w:sz w:val="14"/>
          <w:szCs w:val="14"/>
        </w:rPr>
        <w:t>Anzac</w:t>
      </w:r>
      <w:r w:rsidRPr="003E76E7">
        <w:rPr>
          <w:rFonts w:ascii="Arial" w:hAnsi="Arial"/>
          <w:sz w:val="14"/>
          <w:szCs w:val="14"/>
        </w:rPr>
        <w:t xml:space="preserve"> class frigates, three </w:t>
      </w:r>
      <w:r w:rsidRPr="003E76E7">
        <w:rPr>
          <w:rFonts w:ascii="Arial" w:hAnsi="Arial"/>
          <w:i/>
          <w:sz w:val="14"/>
          <w:szCs w:val="14"/>
        </w:rPr>
        <w:t>Hobart</w:t>
      </w:r>
      <w:r w:rsidRPr="003E76E7">
        <w:rPr>
          <w:rFonts w:ascii="Arial" w:hAnsi="Arial"/>
          <w:sz w:val="14"/>
          <w:szCs w:val="14"/>
        </w:rPr>
        <w:t xml:space="preserve"> class destroyers and six </w:t>
      </w:r>
      <w:r w:rsidRPr="003E76E7">
        <w:rPr>
          <w:rFonts w:ascii="Arial" w:hAnsi="Arial"/>
          <w:i/>
          <w:sz w:val="14"/>
          <w:szCs w:val="14"/>
        </w:rPr>
        <w:t>Collins</w:t>
      </w:r>
      <w:r w:rsidRPr="003E76E7">
        <w:rPr>
          <w:rFonts w:ascii="Arial" w:hAnsi="Arial"/>
          <w:sz w:val="14"/>
          <w:szCs w:val="14"/>
        </w:rPr>
        <w:t xml:space="preserve"> class submarines.</w:t>
      </w:r>
    </w:p>
    <w:p w14:paraId="5EF367FC" w14:textId="07B49D80" w:rsidR="00F26DEA" w:rsidRPr="003E76E7" w:rsidRDefault="00F26DEA" w:rsidP="00C4292D">
      <w:pPr>
        <w:numPr>
          <w:ilvl w:val="0"/>
          <w:numId w:val="75"/>
        </w:numPr>
        <w:tabs>
          <w:tab w:val="num" w:pos="0"/>
          <w:tab w:val="num" w:pos="284"/>
        </w:tabs>
        <w:spacing w:before="0" w:after="0"/>
        <w:ind w:left="284" w:hanging="284"/>
        <w:rPr>
          <w:rFonts w:ascii="Arial" w:hAnsi="Arial"/>
          <w:sz w:val="14"/>
          <w:szCs w:val="14"/>
        </w:rPr>
      </w:pPr>
      <w:r w:rsidRPr="003E76E7">
        <w:rPr>
          <w:rFonts w:ascii="Arial" w:hAnsi="Arial"/>
          <w:sz w:val="14"/>
          <w:szCs w:val="14"/>
        </w:rPr>
        <w:t xml:space="preserve">Minor Combatants comprises ten </w:t>
      </w:r>
      <w:r w:rsidRPr="003E76E7">
        <w:rPr>
          <w:rFonts w:ascii="Arial" w:hAnsi="Arial"/>
          <w:i/>
          <w:sz w:val="14"/>
          <w:szCs w:val="14"/>
        </w:rPr>
        <w:t xml:space="preserve">Cape </w:t>
      </w:r>
      <w:r w:rsidRPr="003E76E7">
        <w:rPr>
          <w:rFonts w:ascii="Arial" w:hAnsi="Arial"/>
          <w:sz w:val="14"/>
          <w:szCs w:val="14"/>
        </w:rPr>
        <w:t xml:space="preserve">class patrol boats, two </w:t>
      </w:r>
      <w:r w:rsidRPr="003E76E7">
        <w:rPr>
          <w:rFonts w:ascii="Arial" w:hAnsi="Arial"/>
          <w:i/>
          <w:sz w:val="14"/>
          <w:szCs w:val="14"/>
        </w:rPr>
        <w:t>Huon</w:t>
      </w:r>
      <w:r w:rsidRPr="003E76E7">
        <w:rPr>
          <w:rFonts w:ascii="Arial" w:hAnsi="Arial"/>
          <w:sz w:val="14"/>
          <w:szCs w:val="14"/>
        </w:rPr>
        <w:t xml:space="preserve"> class coastal minehunters and two </w:t>
      </w:r>
      <w:r w:rsidRPr="003E76E7">
        <w:rPr>
          <w:rFonts w:ascii="Arial" w:hAnsi="Arial"/>
          <w:i/>
          <w:sz w:val="14"/>
          <w:szCs w:val="14"/>
        </w:rPr>
        <w:t>Arafura</w:t>
      </w:r>
      <w:r w:rsidRPr="003E76E7">
        <w:rPr>
          <w:rFonts w:ascii="Arial" w:hAnsi="Arial"/>
          <w:sz w:val="14"/>
          <w:szCs w:val="14"/>
        </w:rPr>
        <w:t xml:space="preserve"> Offshore </w:t>
      </w:r>
      <w:r w:rsidRPr="003E76E7">
        <w:rPr>
          <w:rFonts w:ascii="Arial" w:hAnsi="Arial"/>
          <w:sz w:val="14"/>
          <w:szCs w:val="14"/>
        </w:rPr>
        <w:br/>
        <w:t>Patrol Vessels.</w:t>
      </w:r>
    </w:p>
    <w:p w14:paraId="3AE914AD" w14:textId="085502E0" w:rsidR="00F26DEA" w:rsidRPr="003E76E7" w:rsidRDefault="00F26DEA" w:rsidP="00C4292D">
      <w:pPr>
        <w:numPr>
          <w:ilvl w:val="0"/>
          <w:numId w:val="75"/>
        </w:numPr>
        <w:tabs>
          <w:tab w:val="num" w:pos="0"/>
          <w:tab w:val="num" w:pos="284"/>
        </w:tabs>
        <w:spacing w:before="0" w:after="0"/>
        <w:ind w:left="284" w:hanging="284"/>
        <w:rPr>
          <w:rFonts w:ascii="Arial" w:hAnsi="Arial"/>
          <w:sz w:val="14"/>
          <w:szCs w:val="14"/>
        </w:rPr>
      </w:pPr>
      <w:r w:rsidRPr="003E76E7">
        <w:rPr>
          <w:rFonts w:ascii="Arial" w:hAnsi="Arial"/>
          <w:sz w:val="14"/>
          <w:szCs w:val="14"/>
        </w:rPr>
        <w:t xml:space="preserve">Amphibious and Afloat Support comprises two </w:t>
      </w:r>
      <w:r w:rsidRPr="003E76E7">
        <w:rPr>
          <w:rFonts w:ascii="Arial" w:hAnsi="Arial"/>
          <w:i/>
          <w:sz w:val="14"/>
          <w:szCs w:val="14"/>
        </w:rPr>
        <w:t>Supply</w:t>
      </w:r>
      <w:r w:rsidRPr="003E76E7">
        <w:rPr>
          <w:rFonts w:ascii="Arial" w:hAnsi="Arial"/>
          <w:sz w:val="14"/>
          <w:szCs w:val="14"/>
        </w:rPr>
        <w:t xml:space="preserve"> class replenishment ships, two </w:t>
      </w:r>
      <w:r w:rsidRPr="003E76E7">
        <w:rPr>
          <w:rFonts w:ascii="Arial" w:hAnsi="Arial"/>
          <w:i/>
          <w:sz w:val="14"/>
          <w:szCs w:val="14"/>
        </w:rPr>
        <w:t>Canberra</w:t>
      </w:r>
      <w:r w:rsidRPr="003E76E7">
        <w:rPr>
          <w:rFonts w:ascii="Arial" w:hAnsi="Arial"/>
          <w:sz w:val="14"/>
          <w:szCs w:val="14"/>
        </w:rPr>
        <w:t xml:space="preserve"> class amphibious ships and </w:t>
      </w:r>
      <w:r w:rsidRPr="003E76E7">
        <w:rPr>
          <w:rFonts w:ascii="Arial" w:hAnsi="Arial"/>
          <w:sz w:val="14"/>
          <w:szCs w:val="14"/>
        </w:rPr>
        <w:br/>
        <w:t xml:space="preserve">HMAS </w:t>
      </w:r>
      <w:r w:rsidRPr="003E76E7">
        <w:rPr>
          <w:rFonts w:ascii="Arial" w:hAnsi="Arial"/>
          <w:i/>
          <w:sz w:val="14"/>
          <w:szCs w:val="14"/>
        </w:rPr>
        <w:t>Choules</w:t>
      </w:r>
      <w:r w:rsidRPr="003E76E7">
        <w:rPr>
          <w:rFonts w:ascii="Arial" w:hAnsi="Arial"/>
          <w:sz w:val="14"/>
          <w:szCs w:val="14"/>
        </w:rPr>
        <w:t>.</w:t>
      </w:r>
    </w:p>
    <w:p w14:paraId="1ACAFA6E" w14:textId="405C0273" w:rsidR="00F26DEA" w:rsidRPr="003E76E7" w:rsidRDefault="00F26DEA" w:rsidP="00C4292D">
      <w:pPr>
        <w:numPr>
          <w:ilvl w:val="0"/>
          <w:numId w:val="75"/>
        </w:numPr>
        <w:tabs>
          <w:tab w:val="num" w:pos="0"/>
          <w:tab w:val="num" w:pos="284"/>
        </w:tabs>
        <w:spacing w:before="0" w:after="0"/>
        <w:ind w:left="284" w:hanging="284"/>
        <w:rPr>
          <w:sz w:val="14"/>
          <w:szCs w:val="14"/>
        </w:rPr>
      </w:pPr>
      <w:r w:rsidRPr="003E76E7">
        <w:rPr>
          <w:rFonts w:ascii="Arial" w:hAnsi="Arial"/>
          <w:sz w:val="14"/>
          <w:szCs w:val="14"/>
        </w:rPr>
        <w:t>Maritime Teams comprises two Clearance Diving teams, one Australian Mine Warfare Team, four Deployable Meteorological and Oceanographic Teams, one Deployable Geospatial Support Team, one Deployable Multibeam Survey Team and two Deployable Shallow Water Survey Teams.</w:t>
      </w:r>
    </w:p>
    <w:p w14:paraId="77F60FAC" w14:textId="77777777" w:rsidR="00F26DEA" w:rsidRPr="003E76E7" w:rsidRDefault="00F26DEA" w:rsidP="00C4292D">
      <w:pPr>
        <w:numPr>
          <w:ilvl w:val="0"/>
          <w:numId w:val="75"/>
        </w:numPr>
        <w:tabs>
          <w:tab w:val="num" w:pos="0"/>
          <w:tab w:val="num" w:pos="284"/>
        </w:tabs>
        <w:spacing w:before="0" w:after="0"/>
        <w:ind w:left="284" w:hanging="284"/>
        <w:rPr>
          <w:sz w:val="14"/>
          <w:szCs w:val="14"/>
        </w:rPr>
      </w:pPr>
      <w:r w:rsidRPr="003E76E7">
        <w:rPr>
          <w:rFonts w:ascii="Arial" w:hAnsi="Arial"/>
          <w:sz w:val="14"/>
          <w:szCs w:val="14"/>
        </w:rPr>
        <w:t xml:space="preserve">Hydrographic Force comprises one </w:t>
      </w:r>
      <w:r w:rsidRPr="003E76E7">
        <w:rPr>
          <w:rFonts w:ascii="Arial" w:hAnsi="Arial"/>
          <w:i/>
          <w:sz w:val="14"/>
          <w:szCs w:val="14"/>
        </w:rPr>
        <w:t>Leeuwin</w:t>
      </w:r>
      <w:r w:rsidRPr="003E76E7">
        <w:rPr>
          <w:rFonts w:ascii="Arial" w:hAnsi="Arial"/>
          <w:sz w:val="14"/>
          <w:szCs w:val="14"/>
        </w:rPr>
        <w:t xml:space="preserve"> class hydrographic ship and the Naval Air Station Weather and Oceanographic Centre.</w:t>
      </w:r>
    </w:p>
    <w:p w14:paraId="66B2DEA6" w14:textId="77777777" w:rsidR="00657314" w:rsidRPr="003E76E7" w:rsidRDefault="00657314" w:rsidP="00C4292D">
      <w:pPr>
        <w:pStyle w:val="NotesHeading"/>
        <w:spacing w:before="0" w:after="0"/>
        <w:rPr>
          <w:sz w:val="14"/>
          <w:szCs w:val="14"/>
        </w:rPr>
      </w:pPr>
    </w:p>
    <w:p w14:paraId="7714859B" w14:textId="6F9FF4DD" w:rsidR="005403E1" w:rsidRPr="003E76E7" w:rsidRDefault="005403E1" w:rsidP="00C4292D">
      <w:pPr>
        <w:pStyle w:val="TableHeading"/>
        <w:numPr>
          <w:ilvl w:val="0"/>
          <w:numId w:val="61"/>
        </w:numPr>
        <w:spacing w:before="100"/>
        <w:ind w:left="0" w:firstLine="0"/>
        <w:outlineLvl w:val="4"/>
        <w:rPr>
          <w:lang w:val="en-AU"/>
        </w:rPr>
      </w:pPr>
      <w:r w:rsidRPr="003E76E7">
        <w:rPr>
          <w:lang w:val="en-AU"/>
        </w:rPr>
        <w:t>Navy Deliverables (Flying Hours)</w:t>
      </w:r>
    </w:p>
    <w:p w14:paraId="6681A9E9" w14:textId="77777777" w:rsidR="00597CD8" w:rsidRPr="003E76E7" w:rsidRDefault="00597CD8" w:rsidP="00C4292D">
      <w:pPr>
        <w:spacing w:before="0" w:after="0"/>
        <w:rPr>
          <w:sz w:val="4"/>
          <w:lang w:val="en-AU"/>
        </w:rPr>
      </w:pPr>
    </w:p>
    <w:tbl>
      <w:tblPr>
        <w:tblW w:w="485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
        <w:gridCol w:w="2295"/>
        <w:gridCol w:w="1125"/>
        <w:gridCol w:w="1125"/>
        <w:gridCol w:w="1125"/>
        <w:gridCol w:w="1125"/>
        <w:gridCol w:w="1126"/>
      </w:tblGrid>
      <w:tr w:rsidR="00657314" w:rsidRPr="003E76E7" w14:paraId="1559A5FA" w14:textId="77777777" w:rsidTr="000E1A17">
        <w:trPr>
          <w:trHeight w:val="633"/>
        </w:trPr>
        <w:tc>
          <w:tcPr>
            <w:tcW w:w="2723" w:type="dxa"/>
            <w:gridSpan w:val="2"/>
            <w:shd w:val="clear" w:color="auto" w:fill="auto"/>
          </w:tcPr>
          <w:p w14:paraId="69567C73" w14:textId="77777777" w:rsidR="00657314" w:rsidRPr="003E76E7" w:rsidRDefault="00657314" w:rsidP="00C4292D">
            <w:pPr>
              <w:pStyle w:val="TableTextHeadingLeft"/>
              <w:rPr>
                <w:sz w:val="16"/>
                <w:szCs w:val="16"/>
              </w:rPr>
            </w:pPr>
            <w:r w:rsidRPr="003E76E7">
              <w:rPr>
                <w:sz w:val="16"/>
                <w:szCs w:val="16"/>
              </w:rPr>
              <w:t xml:space="preserve">Deliverables </w:t>
            </w:r>
          </w:p>
        </w:tc>
        <w:tc>
          <w:tcPr>
            <w:tcW w:w="1125" w:type="dxa"/>
            <w:shd w:val="clear" w:color="auto" w:fill="auto"/>
            <w:vAlign w:val="bottom"/>
          </w:tcPr>
          <w:p w14:paraId="35F12C68" w14:textId="67369D17" w:rsidR="00657314" w:rsidRPr="003E76E7" w:rsidRDefault="00657314" w:rsidP="00C4292D">
            <w:pPr>
              <w:pStyle w:val="TableTextHeadingRight"/>
              <w:rPr>
                <w:sz w:val="16"/>
                <w:szCs w:val="16"/>
              </w:rPr>
            </w:pPr>
            <w:r w:rsidRPr="003E76E7">
              <w:rPr>
                <w:sz w:val="16"/>
                <w:szCs w:val="16"/>
              </w:rPr>
              <w:t>202</w:t>
            </w:r>
            <w:r w:rsidR="00173ED3" w:rsidRPr="003E76E7">
              <w:rPr>
                <w:sz w:val="16"/>
                <w:szCs w:val="16"/>
              </w:rPr>
              <w:t>5</w:t>
            </w:r>
            <w:r w:rsidRPr="003E76E7">
              <w:rPr>
                <w:sz w:val="16"/>
                <w:szCs w:val="16"/>
              </w:rPr>
              <w:t>-2</w:t>
            </w:r>
            <w:r w:rsidR="00173ED3" w:rsidRPr="003E76E7">
              <w:rPr>
                <w:sz w:val="16"/>
                <w:szCs w:val="16"/>
              </w:rPr>
              <w:t>6</w:t>
            </w:r>
            <w:r w:rsidRPr="003E76E7">
              <w:rPr>
                <w:sz w:val="16"/>
                <w:szCs w:val="16"/>
              </w:rPr>
              <w:t xml:space="preserve"> </w:t>
            </w:r>
            <w:r w:rsidR="00EC2836" w:rsidRPr="003E76E7">
              <w:rPr>
                <w:sz w:val="16"/>
                <w:szCs w:val="16"/>
              </w:rPr>
              <w:t xml:space="preserve">Estimated </w:t>
            </w:r>
            <w:r w:rsidRPr="003E76E7">
              <w:rPr>
                <w:sz w:val="16"/>
                <w:szCs w:val="16"/>
              </w:rPr>
              <w:t>Actual</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14:paraId="00416974" w14:textId="2E5CFC3E" w:rsidR="00657314" w:rsidRPr="003E76E7" w:rsidRDefault="00657314" w:rsidP="00C4292D">
            <w:pPr>
              <w:pStyle w:val="TableTextHeadingRight"/>
              <w:rPr>
                <w:sz w:val="16"/>
                <w:szCs w:val="16"/>
              </w:rPr>
            </w:pPr>
            <w:r w:rsidRPr="003E76E7">
              <w:rPr>
                <w:sz w:val="16"/>
                <w:szCs w:val="16"/>
              </w:rPr>
              <w:t>202</w:t>
            </w:r>
            <w:r w:rsidR="00173ED3" w:rsidRPr="003E76E7">
              <w:rPr>
                <w:sz w:val="16"/>
                <w:szCs w:val="16"/>
              </w:rPr>
              <w:t>6</w:t>
            </w:r>
            <w:r w:rsidRPr="003E76E7">
              <w:rPr>
                <w:sz w:val="16"/>
                <w:szCs w:val="16"/>
              </w:rPr>
              <w:t>-2</w:t>
            </w:r>
            <w:r w:rsidR="00173ED3" w:rsidRPr="003E76E7">
              <w:rPr>
                <w:sz w:val="16"/>
                <w:szCs w:val="16"/>
              </w:rPr>
              <w:t>7</w:t>
            </w:r>
            <w:r w:rsidRPr="003E76E7">
              <w:rPr>
                <w:sz w:val="16"/>
                <w:szCs w:val="16"/>
              </w:rPr>
              <w:t xml:space="preserve"> Budget Estimate</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14:paraId="6877282F" w14:textId="5A92170A" w:rsidR="00657314" w:rsidRPr="003E76E7" w:rsidRDefault="00657314" w:rsidP="00C4292D">
            <w:pPr>
              <w:pStyle w:val="TableTextHeadingRight"/>
              <w:rPr>
                <w:sz w:val="16"/>
                <w:szCs w:val="16"/>
              </w:rPr>
            </w:pPr>
            <w:r w:rsidRPr="003E76E7">
              <w:rPr>
                <w:sz w:val="16"/>
                <w:szCs w:val="16"/>
              </w:rPr>
              <w:t>202</w:t>
            </w:r>
            <w:r w:rsidR="00173ED3" w:rsidRPr="003E76E7">
              <w:rPr>
                <w:sz w:val="16"/>
                <w:szCs w:val="16"/>
              </w:rPr>
              <w:t>7</w:t>
            </w:r>
            <w:r w:rsidRPr="003E76E7">
              <w:rPr>
                <w:sz w:val="16"/>
                <w:szCs w:val="16"/>
              </w:rPr>
              <w:t>-2</w:t>
            </w:r>
            <w:r w:rsidR="00173ED3" w:rsidRPr="003E76E7">
              <w:rPr>
                <w:sz w:val="16"/>
                <w:szCs w:val="16"/>
              </w:rPr>
              <w:t>8</w:t>
            </w:r>
            <w:r w:rsidRPr="003E76E7">
              <w:rPr>
                <w:sz w:val="16"/>
                <w:szCs w:val="16"/>
              </w:rPr>
              <w:t xml:space="preserve"> Forward Estimate</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14:paraId="3E4D70E3" w14:textId="2325BE02" w:rsidR="00657314" w:rsidRPr="003E76E7" w:rsidRDefault="00657314" w:rsidP="00C4292D">
            <w:pPr>
              <w:pStyle w:val="TableTextHeadingRight"/>
              <w:rPr>
                <w:sz w:val="16"/>
                <w:szCs w:val="16"/>
              </w:rPr>
            </w:pPr>
            <w:r w:rsidRPr="003E76E7">
              <w:rPr>
                <w:sz w:val="16"/>
                <w:szCs w:val="16"/>
              </w:rPr>
              <w:t>202</w:t>
            </w:r>
            <w:r w:rsidR="00173ED3" w:rsidRPr="003E76E7">
              <w:rPr>
                <w:sz w:val="16"/>
                <w:szCs w:val="16"/>
              </w:rPr>
              <w:t>8</w:t>
            </w:r>
            <w:r w:rsidRPr="003E76E7">
              <w:rPr>
                <w:sz w:val="16"/>
                <w:szCs w:val="16"/>
              </w:rPr>
              <w:t>-2</w:t>
            </w:r>
            <w:r w:rsidR="00173ED3" w:rsidRPr="003E76E7">
              <w:rPr>
                <w:sz w:val="16"/>
                <w:szCs w:val="16"/>
              </w:rPr>
              <w:t>9</w:t>
            </w:r>
            <w:r w:rsidRPr="003E76E7">
              <w:rPr>
                <w:sz w:val="16"/>
                <w:szCs w:val="16"/>
              </w:rPr>
              <w:t xml:space="preserve"> Forward Estimate</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14:paraId="3BF08636" w14:textId="633D032F" w:rsidR="00657314" w:rsidRPr="003E76E7" w:rsidRDefault="00657314" w:rsidP="00C4292D">
            <w:pPr>
              <w:pStyle w:val="TableTextHeadingRight"/>
              <w:rPr>
                <w:sz w:val="16"/>
                <w:szCs w:val="16"/>
              </w:rPr>
            </w:pPr>
            <w:r w:rsidRPr="003E76E7">
              <w:rPr>
                <w:sz w:val="16"/>
                <w:szCs w:val="16"/>
              </w:rPr>
              <w:t>202</w:t>
            </w:r>
            <w:r w:rsidR="00173ED3" w:rsidRPr="003E76E7">
              <w:rPr>
                <w:sz w:val="16"/>
                <w:szCs w:val="16"/>
              </w:rPr>
              <w:t>9</w:t>
            </w:r>
            <w:r w:rsidRPr="003E76E7">
              <w:rPr>
                <w:sz w:val="16"/>
                <w:szCs w:val="16"/>
              </w:rPr>
              <w:t>-</w:t>
            </w:r>
            <w:r w:rsidR="00173ED3" w:rsidRPr="003E76E7">
              <w:rPr>
                <w:sz w:val="16"/>
                <w:szCs w:val="16"/>
              </w:rPr>
              <w:t>30</w:t>
            </w:r>
            <w:r w:rsidRPr="003E76E7">
              <w:rPr>
                <w:sz w:val="16"/>
                <w:szCs w:val="16"/>
              </w:rPr>
              <w:t xml:space="preserve"> Forward Estimate</w:t>
            </w:r>
          </w:p>
        </w:tc>
      </w:tr>
      <w:tr w:rsidR="00F26DEA" w:rsidRPr="003E76E7" w14:paraId="3F5F8891" w14:textId="77777777" w:rsidTr="000E1A17">
        <w:trPr>
          <w:trHeight w:val="290"/>
        </w:trPr>
        <w:tc>
          <w:tcPr>
            <w:tcW w:w="428" w:type="dxa"/>
            <w:shd w:val="clear" w:color="auto" w:fill="auto"/>
            <w:vAlign w:val="center"/>
          </w:tcPr>
          <w:p w14:paraId="2B4131ED" w14:textId="1130572C" w:rsidR="00F26DEA" w:rsidRPr="003E76E7" w:rsidRDefault="00F26DEA" w:rsidP="00C4292D">
            <w:pPr>
              <w:pStyle w:val="TabletextLeft"/>
              <w:jc w:val="right"/>
              <w:rPr>
                <w:rFonts w:cs="Arial"/>
                <w:sz w:val="16"/>
                <w:szCs w:val="16"/>
              </w:rPr>
            </w:pPr>
            <w:r w:rsidRPr="003E76E7">
              <w:rPr>
                <w:sz w:val="16"/>
                <w:szCs w:val="16"/>
              </w:rPr>
              <w:t>23</w:t>
            </w:r>
          </w:p>
        </w:tc>
        <w:tc>
          <w:tcPr>
            <w:tcW w:w="2295" w:type="dxa"/>
            <w:shd w:val="clear" w:color="auto" w:fill="auto"/>
            <w:vAlign w:val="center"/>
          </w:tcPr>
          <w:p w14:paraId="7F251D39" w14:textId="25617663" w:rsidR="00F26DEA" w:rsidRPr="003E76E7" w:rsidRDefault="00F26DEA" w:rsidP="00C4292D">
            <w:pPr>
              <w:pStyle w:val="TabletextLeft"/>
              <w:rPr>
                <w:rFonts w:cs="Arial"/>
                <w:sz w:val="16"/>
                <w:szCs w:val="16"/>
              </w:rPr>
            </w:pPr>
            <w:r w:rsidRPr="003E76E7">
              <w:rPr>
                <w:sz w:val="16"/>
                <w:szCs w:val="16"/>
              </w:rPr>
              <w:t>MH-60R</w:t>
            </w:r>
          </w:p>
        </w:tc>
        <w:tc>
          <w:tcPr>
            <w:tcW w:w="1125" w:type="dxa"/>
            <w:shd w:val="clear" w:color="auto" w:fill="auto"/>
            <w:vAlign w:val="center"/>
          </w:tcPr>
          <w:p w14:paraId="4DDF0287" w14:textId="114BA47F" w:rsidR="00F26DEA" w:rsidRPr="003E76E7" w:rsidRDefault="00F26DEA" w:rsidP="00C4292D">
            <w:pPr>
              <w:pStyle w:val="TableTextRight"/>
              <w:rPr>
                <w:sz w:val="16"/>
                <w:szCs w:val="16"/>
              </w:rPr>
            </w:pPr>
            <w:r w:rsidRPr="003E76E7">
              <w:rPr>
                <w:sz w:val="16"/>
                <w:szCs w:val="16"/>
              </w:rPr>
              <w:t>6,450</w:t>
            </w:r>
          </w:p>
        </w:tc>
        <w:tc>
          <w:tcPr>
            <w:tcW w:w="1125" w:type="dxa"/>
            <w:shd w:val="clear" w:color="auto" w:fill="auto"/>
            <w:vAlign w:val="center"/>
          </w:tcPr>
          <w:p w14:paraId="7F70C164" w14:textId="4D3F97CD" w:rsidR="00F26DEA" w:rsidRPr="003E76E7" w:rsidRDefault="00F26DEA" w:rsidP="00C4292D">
            <w:pPr>
              <w:spacing w:before="40" w:after="40"/>
              <w:jc w:val="right"/>
              <w:rPr>
                <w:rFonts w:ascii="Arial" w:hAnsi="Arial"/>
                <w:sz w:val="16"/>
                <w:szCs w:val="16"/>
              </w:rPr>
            </w:pPr>
            <w:r w:rsidRPr="003E76E7">
              <w:rPr>
                <w:rFonts w:ascii="Arial" w:hAnsi="Arial"/>
                <w:sz w:val="16"/>
                <w:szCs w:val="16"/>
              </w:rPr>
              <w:t>6,</w:t>
            </w:r>
            <w:r w:rsidR="00A11424" w:rsidRPr="003E76E7">
              <w:rPr>
                <w:rFonts w:ascii="Arial" w:hAnsi="Arial"/>
                <w:sz w:val="16"/>
                <w:szCs w:val="16"/>
              </w:rPr>
              <w:t>7</w:t>
            </w:r>
            <w:r w:rsidRPr="003E76E7">
              <w:rPr>
                <w:rFonts w:ascii="Arial" w:hAnsi="Arial"/>
                <w:sz w:val="16"/>
                <w:szCs w:val="16"/>
              </w:rPr>
              <w:t>50</w:t>
            </w:r>
          </w:p>
        </w:tc>
        <w:tc>
          <w:tcPr>
            <w:tcW w:w="1125" w:type="dxa"/>
            <w:shd w:val="clear" w:color="auto" w:fill="auto"/>
            <w:vAlign w:val="center"/>
          </w:tcPr>
          <w:p w14:paraId="23B81D0E" w14:textId="74BCA201" w:rsidR="00F26DEA" w:rsidRPr="003E76E7" w:rsidRDefault="00F26DEA" w:rsidP="00C4292D">
            <w:pPr>
              <w:spacing w:before="40" w:after="40"/>
              <w:jc w:val="right"/>
              <w:rPr>
                <w:rFonts w:ascii="Arial" w:hAnsi="Arial"/>
                <w:sz w:val="16"/>
                <w:szCs w:val="16"/>
              </w:rPr>
            </w:pPr>
            <w:r w:rsidRPr="003E76E7">
              <w:rPr>
                <w:rFonts w:ascii="Arial" w:hAnsi="Arial"/>
                <w:sz w:val="16"/>
                <w:szCs w:val="16"/>
              </w:rPr>
              <w:t>7,200</w:t>
            </w:r>
          </w:p>
        </w:tc>
        <w:tc>
          <w:tcPr>
            <w:tcW w:w="1125" w:type="dxa"/>
            <w:shd w:val="clear" w:color="auto" w:fill="auto"/>
            <w:vAlign w:val="center"/>
          </w:tcPr>
          <w:p w14:paraId="693F6226" w14:textId="039FFDF2" w:rsidR="00F26DEA" w:rsidRPr="003E76E7" w:rsidRDefault="00F26DEA" w:rsidP="00C4292D">
            <w:pPr>
              <w:spacing w:before="40" w:after="40"/>
              <w:jc w:val="right"/>
              <w:rPr>
                <w:rFonts w:ascii="Arial" w:hAnsi="Arial"/>
                <w:sz w:val="16"/>
                <w:szCs w:val="16"/>
              </w:rPr>
            </w:pPr>
            <w:r w:rsidRPr="003E76E7">
              <w:rPr>
                <w:rFonts w:ascii="Arial" w:hAnsi="Arial"/>
                <w:sz w:val="16"/>
                <w:szCs w:val="16"/>
              </w:rPr>
              <w:t>7,200</w:t>
            </w:r>
          </w:p>
        </w:tc>
        <w:tc>
          <w:tcPr>
            <w:tcW w:w="1126" w:type="dxa"/>
            <w:shd w:val="clear" w:color="auto" w:fill="auto"/>
            <w:vAlign w:val="center"/>
          </w:tcPr>
          <w:p w14:paraId="3FA53142" w14:textId="6B9328F2" w:rsidR="00F26DEA" w:rsidRPr="003E76E7" w:rsidRDefault="00F26DEA" w:rsidP="00C4292D">
            <w:pPr>
              <w:pStyle w:val="TableTextRight"/>
              <w:rPr>
                <w:sz w:val="16"/>
                <w:szCs w:val="16"/>
              </w:rPr>
            </w:pPr>
            <w:r w:rsidRPr="003E76E7">
              <w:rPr>
                <w:sz w:val="16"/>
                <w:szCs w:val="16"/>
              </w:rPr>
              <w:t>8,800</w:t>
            </w:r>
          </w:p>
        </w:tc>
      </w:tr>
    </w:tbl>
    <w:p w14:paraId="61F57D41" w14:textId="77777777" w:rsidR="00312F38" w:rsidRPr="003E76E7" w:rsidRDefault="00312F38" w:rsidP="00C4292D">
      <w:pPr>
        <w:rPr>
          <w:rFonts w:ascii="Arial" w:hAnsi="Arial"/>
          <w:b/>
          <w:lang w:val="en-AU"/>
        </w:rPr>
      </w:pPr>
    </w:p>
    <w:p w14:paraId="21D31D4D" w14:textId="77777777" w:rsidR="00312F38" w:rsidRPr="003E76E7" w:rsidRDefault="00312F38" w:rsidP="00C4292D">
      <w:pPr>
        <w:rPr>
          <w:b/>
          <w:lang w:val="en-AU"/>
        </w:rPr>
        <w:sectPr w:rsidR="00312F38" w:rsidRPr="003E76E7" w:rsidSect="00C30BE6">
          <w:pgSz w:w="11906" w:h="16838" w:code="9"/>
          <w:pgMar w:top="1560" w:right="1361" w:bottom="1701" w:left="1928" w:header="720" w:footer="720" w:gutter="0"/>
          <w:cols w:space="720"/>
        </w:sectPr>
      </w:pPr>
    </w:p>
    <w:p w14:paraId="3B17E206" w14:textId="77777777" w:rsidR="0019134A" w:rsidRPr="003E76E7" w:rsidRDefault="0019134A" w:rsidP="00C4292D">
      <w:pPr>
        <w:spacing w:before="0" w:after="0"/>
        <w:outlineLvl w:val="5"/>
        <w:rPr>
          <w:color w:val="FFFFFF"/>
          <w:sz w:val="2"/>
        </w:rPr>
      </w:pPr>
      <w:r w:rsidRPr="003E76E7">
        <w:rPr>
          <w:color w:val="FFFFFF"/>
          <w:sz w:val="2"/>
        </w:rPr>
        <w:lastRenderedPageBreak/>
        <w:t>Program 2.6: Army Capabilities</w:t>
      </w:r>
    </w:p>
    <w:tbl>
      <w:tblPr>
        <w:tblW w:w="4852"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1821"/>
        <w:gridCol w:w="3143"/>
        <w:gridCol w:w="3334"/>
      </w:tblGrid>
      <w:tr w:rsidR="0002000E" w:rsidRPr="003E76E7" w14:paraId="1D077BEF" w14:textId="77777777" w:rsidTr="0068311E">
        <w:tc>
          <w:tcPr>
            <w:tcW w:w="7610" w:type="dxa"/>
            <w:gridSpan w:val="3"/>
            <w:tcBorders>
              <w:bottom w:val="single" w:sz="4" w:space="0" w:color="auto"/>
            </w:tcBorders>
            <w:shd w:val="clear" w:color="auto" w:fill="CCCCCC"/>
          </w:tcPr>
          <w:p w14:paraId="1E46CBDC" w14:textId="0CB8328E" w:rsidR="0002000E" w:rsidRPr="003E76E7" w:rsidRDefault="0002000E" w:rsidP="00C4292D">
            <w:pPr>
              <w:pStyle w:val="Heading5"/>
              <w:spacing w:before="60" w:after="60"/>
            </w:pPr>
            <w:r w:rsidRPr="003E76E7">
              <w:rPr>
                <w:lang w:val="en-AU"/>
              </w:rPr>
              <w:br w:type="page"/>
            </w:r>
            <w:r w:rsidRPr="003E76E7">
              <w:t>Program 2.6</w:t>
            </w:r>
            <w:r w:rsidR="00994944" w:rsidRPr="003E76E7">
              <w:t>:</w:t>
            </w:r>
            <w:r w:rsidRPr="003E76E7">
              <w:t xml:space="preserve"> Army Capabilities</w:t>
            </w:r>
          </w:p>
        </w:tc>
      </w:tr>
      <w:tr w:rsidR="0002000E" w:rsidRPr="003E76E7" w14:paraId="46AB2F60" w14:textId="77777777" w:rsidTr="0068311E">
        <w:tc>
          <w:tcPr>
            <w:tcW w:w="7610" w:type="dxa"/>
            <w:gridSpan w:val="3"/>
            <w:tcBorders>
              <w:left w:val="nil"/>
              <w:right w:val="nil"/>
            </w:tcBorders>
            <w:shd w:val="clear" w:color="auto" w:fill="auto"/>
          </w:tcPr>
          <w:p w14:paraId="432A3E77" w14:textId="77777777" w:rsidR="0002000E" w:rsidRPr="003E76E7" w:rsidRDefault="0002000E" w:rsidP="00C4292D">
            <w:pPr>
              <w:pStyle w:val="Heading5"/>
              <w:spacing w:before="0" w:after="0"/>
              <w:rPr>
                <w:sz w:val="16"/>
                <w:szCs w:val="16"/>
                <w:lang w:val="en-AU"/>
              </w:rPr>
            </w:pPr>
          </w:p>
        </w:tc>
      </w:tr>
      <w:tr w:rsidR="0002000E" w:rsidRPr="003E76E7" w14:paraId="1429858B" w14:textId="77777777" w:rsidTr="0068311E">
        <w:tblPrEx>
          <w:shd w:val="clear" w:color="auto" w:fill="auto"/>
          <w:tblLook w:val="04A0" w:firstRow="1" w:lastRow="0" w:firstColumn="1" w:lastColumn="0" w:noHBand="0" w:noVBand="1"/>
        </w:tblPrEx>
        <w:trPr>
          <w:tblHeader/>
        </w:trPr>
        <w:tc>
          <w:tcPr>
            <w:tcW w:w="7610" w:type="dxa"/>
            <w:gridSpan w:val="3"/>
            <w:shd w:val="clear" w:color="auto" w:fill="E6E6E6"/>
          </w:tcPr>
          <w:p w14:paraId="30454F0A" w14:textId="3E25D1BF" w:rsidR="0002000E" w:rsidRPr="003E76E7" w:rsidRDefault="0002000E" w:rsidP="00C4292D">
            <w:pPr>
              <w:tabs>
                <w:tab w:val="left" w:pos="709"/>
              </w:tabs>
              <w:spacing w:before="60" w:after="60"/>
              <w:rPr>
                <w:rFonts w:ascii="Arial" w:hAnsi="Arial"/>
                <w:b/>
                <w:sz w:val="16"/>
                <w:szCs w:val="16"/>
              </w:rPr>
            </w:pPr>
            <w:r w:rsidRPr="003E76E7">
              <w:rPr>
                <w:rFonts w:ascii="Arial" w:hAnsi="Arial"/>
                <w:b/>
                <w:sz w:val="16"/>
                <w:szCs w:val="16"/>
              </w:rPr>
              <w:t>Program 2.6 Objective</w:t>
            </w:r>
          </w:p>
          <w:p w14:paraId="6DF61250" w14:textId="77777777" w:rsidR="0002000E" w:rsidRPr="003E76E7" w:rsidRDefault="0002000E" w:rsidP="00C4292D">
            <w:pPr>
              <w:tabs>
                <w:tab w:val="left" w:pos="709"/>
              </w:tabs>
              <w:spacing w:before="0" w:after="60"/>
              <w:rPr>
                <w:rFonts w:ascii="Arial" w:hAnsi="Arial"/>
                <w:sz w:val="16"/>
                <w:szCs w:val="16"/>
              </w:rPr>
            </w:pPr>
            <w:r w:rsidRPr="003E76E7">
              <w:rPr>
                <w:rFonts w:ascii="Arial" w:hAnsi="Arial"/>
                <w:sz w:val="16"/>
                <w:szCs w:val="16"/>
                <w:lang w:val="en-AU"/>
              </w:rPr>
              <w:t>To prepare land forces, including special operations forces, which contribute to the Australian Defence Force’s capacity to defend Australia, contribute to regional security, support Australia’s global interests, shape the strategic environment, and protect national interests.</w:t>
            </w:r>
          </w:p>
        </w:tc>
      </w:tr>
      <w:tr w:rsidR="00E96419" w:rsidRPr="003E76E7" w14:paraId="3A2C1C1C" w14:textId="77777777" w:rsidTr="0068311E">
        <w:tblPrEx>
          <w:shd w:val="clear" w:color="auto" w:fill="auto"/>
          <w:tblLook w:val="04A0" w:firstRow="1" w:lastRow="0" w:firstColumn="1" w:lastColumn="0" w:noHBand="0" w:noVBand="1"/>
        </w:tblPrEx>
        <w:trPr>
          <w:trHeight w:val="312"/>
        </w:trPr>
        <w:tc>
          <w:tcPr>
            <w:tcW w:w="1670" w:type="dxa"/>
            <w:tcBorders>
              <w:bottom w:val="single" w:sz="4" w:space="0" w:color="auto"/>
            </w:tcBorders>
          </w:tcPr>
          <w:p w14:paraId="17F4F05A" w14:textId="1A4973FF" w:rsidR="00E96419" w:rsidRPr="003E76E7" w:rsidRDefault="00E96419" w:rsidP="00C4292D">
            <w:pPr>
              <w:tabs>
                <w:tab w:val="left" w:pos="709"/>
              </w:tabs>
              <w:spacing w:before="60" w:after="60"/>
              <w:rPr>
                <w:rFonts w:ascii="Arial" w:hAnsi="Arial"/>
                <w:b/>
                <w:color w:val="000000"/>
                <w:sz w:val="16"/>
                <w:szCs w:val="16"/>
              </w:rPr>
            </w:pPr>
            <w:r w:rsidRPr="003E76E7">
              <w:rPr>
                <w:rFonts w:ascii="Arial" w:hAnsi="Arial"/>
                <w:b/>
                <w:color w:val="000000"/>
                <w:sz w:val="16"/>
                <w:szCs w:val="16"/>
              </w:rPr>
              <w:t>Key Activities</w:t>
            </w:r>
            <w:r w:rsidR="00954644" w:rsidRPr="003E76E7">
              <w:rPr>
                <w:rFonts w:ascii="Arial" w:hAnsi="Arial"/>
                <w:b/>
                <w:color w:val="000000"/>
                <w:sz w:val="16"/>
                <w:szCs w:val="16"/>
              </w:rPr>
              <w:t xml:space="preserve"> </w:t>
            </w:r>
            <w:r w:rsidR="00954644" w:rsidRPr="003E76E7">
              <w:rPr>
                <w:rFonts w:ascii="Arial" w:hAnsi="Arial"/>
                <w:b/>
                <w:color w:val="000000"/>
                <w:sz w:val="16"/>
                <w:szCs w:val="16"/>
                <w:vertAlign w:val="superscript"/>
              </w:rPr>
              <w:t>[a]</w:t>
            </w:r>
          </w:p>
        </w:tc>
        <w:tc>
          <w:tcPr>
            <w:tcW w:w="5940" w:type="dxa"/>
            <w:gridSpan w:val="2"/>
            <w:tcBorders>
              <w:bottom w:val="single" w:sz="4" w:space="0" w:color="auto"/>
            </w:tcBorders>
          </w:tcPr>
          <w:p w14:paraId="2AB571C8" w14:textId="77777777" w:rsidR="00E96419" w:rsidRPr="003E76E7" w:rsidRDefault="00E96419" w:rsidP="00C4292D">
            <w:pPr>
              <w:tabs>
                <w:tab w:val="left" w:pos="343"/>
              </w:tabs>
              <w:spacing w:before="60" w:after="60"/>
              <w:rPr>
                <w:rFonts w:ascii="Arial" w:hAnsi="Arial"/>
                <w:bCs/>
                <w:color w:val="000000"/>
                <w:sz w:val="16"/>
                <w:szCs w:val="16"/>
                <w:lang w:val="en-AU"/>
              </w:rPr>
            </w:pPr>
            <w:r w:rsidRPr="003E76E7">
              <w:rPr>
                <w:rFonts w:ascii="Arial" w:hAnsi="Arial"/>
                <w:bCs/>
                <w:color w:val="000000"/>
                <w:sz w:val="16"/>
                <w:szCs w:val="16"/>
                <w:lang w:val="en-AU"/>
              </w:rPr>
              <w:t>This program will be achieved through the following activities:</w:t>
            </w:r>
          </w:p>
          <w:p w14:paraId="6B40C7D3" w14:textId="77777777" w:rsidR="007851E2" w:rsidRPr="003E76E7" w:rsidRDefault="007851E2" w:rsidP="00C4292D">
            <w:pPr>
              <w:tabs>
                <w:tab w:val="left" w:pos="343"/>
              </w:tabs>
              <w:spacing w:before="60" w:after="60"/>
              <w:rPr>
                <w:rFonts w:ascii="Arial" w:hAnsi="Arial"/>
                <w:b/>
                <w:sz w:val="16"/>
                <w:szCs w:val="16"/>
                <w:lang w:val="en-AU"/>
              </w:rPr>
            </w:pPr>
            <w:r w:rsidRPr="003E76E7">
              <w:rPr>
                <w:rFonts w:ascii="Arial" w:hAnsi="Arial"/>
                <w:b/>
                <w:sz w:val="16"/>
                <w:szCs w:val="16"/>
                <w:lang w:val="en-AU"/>
              </w:rPr>
              <w:t xml:space="preserve">1. Conduct domestic and international operations and exercises to defend Australia and its national interests. </w:t>
            </w:r>
          </w:p>
          <w:p w14:paraId="1DB4BFBB" w14:textId="27078856" w:rsidR="00E96419" w:rsidRPr="003E76E7" w:rsidRDefault="007851E2" w:rsidP="00C4292D">
            <w:pPr>
              <w:autoSpaceDE w:val="0"/>
              <w:autoSpaceDN w:val="0"/>
              <w:adjustRightInd w:val="0"/>
              <w:spacing w:before="60" w:after="60"/>
              <w:rPr>
                <w:rFonts w:ascii="Arial" w:hAnsi="Arial"/>
                <w:i/>
                <w:color w:val="000000"/>
                <w:sz w:val="16"/>
                <w:szCs w:val="16"/>
              </w:rPr>
            </w:pPr>
            <w:r w:rsidRPr="003E76E7">
              <w:rPr>
                <w:rFonts w:ascii="Arial" w:hAnsi="Arial"/>
                <w:b/>
                <w:sz w:val="16"/>
                <w:szCs w:val="16"/>
                <w:lang w:val="en-AU"/>
              </w:rPr>
              <w:t>6. Deliver future capability.</w:t>
            </w:r>
            <w:r w:rsidRPr="003E76E7">
              <w:rPr>
                <w:rFonts w:ascii="Arial" w:hAnsi="Arial"/>
                <w:sz w:val="16"/>
                <w:szCs w:val="16"/>
                <w:lang w:val="en-AU"/>
              </w:rPr>
              <w:t xml:space="preserve"> </w:t>
            </w:r>
          </w:p>
        </w:tc>
      </w:tr>
      <w:tr w:rsidR="0002000E" w:rsidRPr="003E76E7" w14:paraId="5CE261F1" w14:textId="77777777" w:rsidTr="0068311E">
        <w:tblPrEx>
          <w:shd w:val="clear" w:color="auto" w:fill="auto"/>
          <w:tblLook w:val="04A0" w:firstRow="1" w:lastRow="0" w:firstColumn="1" w:lastColumn="0" w:noHBand="0" w:noVBand="1"/>
        </w:tblPrEx>
        <w:trPr>
          <w:trHeight w:val="100"/>
        </w:trPr>
        <w:tc>
          <w:tcPr>
            <w:tcW w:w="1670" w:type="dxa"/>
            <w:tcBorders>
              <w:top w:val="single" w:sz="4" w:space="0" w:color="auto"/>
              <w:bottom w:val="single" w:sz="4" w:space="0" w:color="auto"/>
              <w:right w:val="single" w:sz="4" w:space="0" w:color="auto"/>
            </w:tcBorders>
          </w:tcPr>
          <w:p w14:paraId="493F3A55" w14:textId="77777777" w:rsidR="0002000E" w:rsidRPr="003E76E7" w:rsidRDefault="0002000E" w:rsidP="00C4292D">
            <w:pPr>
              <w:tabs>
                <w:tab w:val="left" w:pos="709"/>
              </w:tabs>
              <w:spacing w:before="60" w:after="60"/>
              <w:rPr>
                <w:rFonts w:ascii="Arial" w:hAnsi="Arial"/>
                <w:color w:val="000000"/>
                <w:sz w:val="16"/>
                <w:szCs w:val="16"/>
              </w:rPr>
            </w:pPr>
            <w:r w:rsidRPr="003E76E7">
              <w:rPr>
                <w:rFonts w:ascii="Arial" w:hAnsi="Arial"/>
                <w:b/>
                <w:color w:val="000000"/>
                <w:sz w:val="16"/>
                <w:szCs w:val="16"/>
              </w:rPr>
              <w:t>Year</w:t>
            </w:r>
          </w:p>
        </w:tc>
        <w:tc>
          <w:tcPr>
            <w:tcW w:w="2882" w:type="dxa"/>
            <w:tcBorders>
              <w:top w:val="single" w:sz="4" w:space="0" w:color="auto"/>
              <w:left w:val="single" w:sz="4" w:space="0" w:color="auto"/>
              <w:bottom w:val="single" w:sz="4" w:space="0" w:color="auto"/>
              <w:right w:val="single" w:sz="4" w:space="0" w:color="auto"/>
            </w:tcBorders>
          </w:tcPr>
          <w:p w14:paraId="19ADB8C1" w14:textId="670612F2" w:rsidR="0002000E" w:rsidRPr="003E76E7" w:rsidRDefault="00AD14EC" w:rsidP="00C4292D">
            <w:pPr>
              <w:tabs>
                <w:tab w:val="left" w:pos="709"/>
              </w:tabs>
              <w:spacing w:before="60" w:after="60"/>
              <w:rPr>
                <w:rFonts w:ascii="Arial" w:hAnsi="Arial"/>
                <w:color w:val="000000"/>
              </w:rPr>
            </w:pPr>
            <w:r w:rsidRPr="003E76E7">
              <w:rPr>
                <w:rFonts w:ascii="Arial" w:hAnsi="Arial"/>
                <w:b/>
                <w:color w:val="000000"/>
                <w:sz w:val="16"/>
                <w:szCs w:val="16"/>
              </w:rPr>
              <w:t>Performance Measures</w:t>
            </w:r>
          </w:p>
        </w:tc>
        <w:tc>
          <w:tcPr>
            <w:tcW w:w="3058" w:type="dxa"/>
            <w:tcBorders>
              <w:top w:val="single" w:sz="4" w:space="0" w:color="auto"/>
              <w:left w:val="single" w:sz="4" w:space="0" w:color="auto"/>
              <w:bottom w:val="single" w:sz="4" w:space="0" w:color="auto"/>
            </w:tcBorders>
          </w:tcPr>
          <w:p w14:paraId="389590D7" w14:textId="77777777" w:rsidR="0002000E" w:rsidRPr="003E76E7" w:rsidRDefault="0002000E" w:rsidP="00C4292D">
            <w:pPr>
              <w:tabs>
                <w:tab w:val="left" w:pos="709"/>
              </w:tabs>
              <w:spacing w:before="60" w:after="60"/>
              <w:rPr>
                <w:rFonts w:ascii="Arial" w:hAnsi="Arial"/>
                <w:i/>
                <w:color w:val="000000"/>
                <w:sz w:val="16"/>
                <w:szCs w:val="16"/>
              </w:rPr>
            </w:pPr>
            <w:r w:rsidRPr="003E76E7">
              <w:rPr>
                <w:rFonts w:ascii="Arial" w:hAnsi="Arial"/>
                <w:b/>
                <w:color w:val="000000"/>
                <w:sz w:val="16"/>
                <w:szCs w:val="16"/>
              </w:rPr>
              <w:t>Expected Performance Results</w:t>
            </w:r>
          </w:p>
        </w:tc>
      </w:tr>
      <w:tr w:rsidR="007851E2" w:rsidRPr="003E76E7" w14:paraId="6B898927" w14:textId="77777777" w:rsidTr="000E1A17">
        <w:trPr>
          <w:trHeight w:val="470"/>
        </w:trPr>
        <w:tc>
          <w:tcPr>
            <w:tcW w:w="1670" w:type="dxa"/>
            <w:vMerge w:val="restart"/>
            <w:tcBorders>
              <w:top w:val="single" w:sz="4" w:space="0" w:color="auto"/>
              <w:right w:val="single" w:sz="4" w:space="0" w:color="auto"/>
            </w:tcBorders>
          </w:tcPr>
          <w:p w14:paraId="73D45295" w14:textId="77777777" w:rsidR="007851E2" w:rsidRPr="003E76E7" w:rsidRDefault="007851E2" w:rsidP="00C4292D">
            <w:pPr>
              <w:tabs>
                <w:tab w:val="left" w:pos="709"/>
              </w:tabs>
              <w:spacing w:before="0" w:after="0"/>
              <w:rPr>
                <w:rFonts w:ascii="Arial" w:hAnsi="Arial"/>
                <w:color w:val="000000"/>
                <w:sz w:val="16"/>
                <w:szCs w:val="16"/>
              </w:rPr>
            </w:pPr>
            <w:r w:rsidRPr="003E76E7">
              <w:rPr>
                <w:rFonts w:ascii="Arial" w:hAnsi="Arial"/>
                <w:color w:val="000000"/>
                <w:sz w:val="16"/>
                <w:szCs w:val="16"/>
              </w:rPr>
              <w:t>Current Year</w:t>
            </w:r>
          </w:p>
          <w:p w14:paraId="33711DE2" w14:textId="6F11C798" w:rsidR="007851E2" w:rsidRPr="003E76E7" w:rsidRDefault="007851E2" w:rsidP="00C4292D">
            <w:pPr>
              <w:tabs>
                <w:tab w:val="left" w:pos="709"/>
              </w:tabs>
              <w:spacing w:before="0" w:after="0"/>
              <w:rPr>
                <w:rFonts w:ascii="Arial" w:hAnsi="Arial"/>
                <w:color w:val="000000"/>
                <w:sz w:val="16"/>
                <w:szCs w:val="16"/>
              </w:rPr>
            </w:pPr>
            <w:r w:rsidRPr="003E76E7">
              <w:rPr>
                <w:rFonts w:ascii="Arial" w:hAnsi="Arial"/>
                <w:color w:val="000000"/>
                <w:sz w:val="16"/>
                <w:szCs w:val="16"/>
              </w:rPr>
              <w:t xml:space="preserve">2025-26 </w:t>
            </w:r>
            <w:r w:rsidRPr="003E76E7">
              <w:rPr>
                <w:rFonts w:ascii="Arial" w:hAnsi="Arial"/>
                <w:color w:val="000000"/>
                <w:sz w:val="16"/>
                <w:szCs w:val="16"/>
                <w:vertAlign w:val="superscript"/>
              </w:rPr>
              <w:t>[</w:t>
            </w:r>
            <w:r w:rsidR="00954644" w:rsidRPr="003E76E7">
              <w:rPr>
                <w:rFonts w:ascii="Arial" w:hAnsi="Arial"/>
                <w:color w:val="000000"/>
                <w:sz w:val="16"/>
                <w:szCs w:val="16"/>
                <w:vertAlign w:val="superscript"/>
              </w:rPr>
              <w:t>b</w:t>
            </w:r>
            <w:r w:rsidRPr="003E76E7">
              <w:rPr>
                <w:rFonts w:ascii="Arial" w:hAnsi="Arial"/>
                <w:color w:val="000000"/>
                <w:sz w:val="16"/>
                <w:szCs w:val="16"/>
                <w:vertAlign w:val="superscript"/>
              </w:rPr>
              <w:t>]</w:t>
            </w:r>
          </w:p>
        </w:tc>
        <w:tc>
          <w:tcPr>
            <w:tcW w:w="2882" w:type="dxa"/>
            <w:tcBorders>
              <w:top w:val="single" w:sz="4" w:space="0" w:color="auto"/>
              <w:left w:val="single" w:sz="4" w:space="0" w:color="auto"/>
              <w:bottom w:val="single" w:sz="4" w:space="0" w:color="auto"/>
              <w:right w:val="single" w:sz="4" w:space="0" w:color="auto"/>
            </w:tcBorders>
          </w:tcPr>
          <w:p w14:paraId="15943568" w14:textId="2649E4C8" w:rsidR="007851E2" w:rsidRPr="003E76E7" w:rsidRDefault="007851E2" w:rsidP="00C4292D">
            <w:pPr>
              <w:tabs>
                <w:tab w:val="left" w:pos="709"/>
              </w:tabs>
              <w:spacing w:before="60" w:after="60"/>
              <w:rPr>
                <w:rFonts w:ascii="Arial" w:hAnsi="Arial"/>
                <w:color w:val="000000"/>
                <w:sz w:val="16"/>
                <w:szCs w:val="16"/>
              </w:rPr>
            </w:pPr>
            <w:r w:rsidRPr="003E76E7">
              <w:rPr>
                <w:rFonts w:ascii="Arial" w:hAnsi="Arial"/>
                <w:sz w:val="16"/>
                <w:szCs w:val="16"/>
                <w:lang w:val="en-AU"/>
              </w:rPr>
              <w:t>1.1: Defence conducts operations as directed by Government to achieve Defence’s mission.</w:t>
            </w:r>
          </w:p>
        </w:tc>
        <w:tc>
          <w:tcPr>
            <w:tcW w:w="3058" w:type="dxa"/>
            <w:tcBorders>
              <w:top w:val="single" w:sz="4" w:space="0" w:color="auto"/>
              <w:left w:val="single" w:sz="4" w:space="0" w:color="auto"/>
              <w:bottom w:val="single" w:sz="4" w:space="0" w:color="auto"/>
            </w:tcBorders>
          </w:tcPr>
          <w:p w14:paraId="491C2F56" w14:textId="77777777" w:rsidR="007851E2" w:rsidRPr="003E76E7" w:rsidRDefault="007851E2" w:rsidP="00C4292D">
            <w:pPr>
              <w:tabs>
                <w:tab w:val="left" w:pos="709"/>
              </w:tabs>
              <w:spacing w:before="0" w:after="0"/>
              <w:rPr>
                <w:rFonts w:ascii="Arial" w:hAnsi="Arial"/>
                <w:sz w:val="16"/>
                <w:szCs w:val="16"/>
                <w:lang w:val="en-AU"/>
              </w:rPr>
            </w:pPr>
            <w:r w:rsidRPr="003E76E7">
              <w:rPr>
                <w:rFonts w:ascii="Arial" w:hAnsi="Arial"/>
                <w:sz w:val="16"/>
                <w:szCs w:val="16"/>
                <w:lang w:val="en-AU"/>
              </w:rPr>
              <w:t>100 per cent of operations conducted or being conducted as directed by Government.</w:t>
            </w:r>
          </w:p>
          <w:p w14:paraId="0DA0C3F0" w14:textId="1BAF72DC" w:rsidR="007851E2" w:rsidRPr="003E76E7" w:rsidRDefault="00F04C47" w:rsidP="00C4292D">
            <w:pPr>
              <w:tabs>
                <w:tab w:val="left" w:pos="709"/>
              </w:tabs>
              <w:spacing w:before="60" w:after="60"/>
              <w:jc w:val="right"/>
              <w:rPr>
                <w:rFonts w:ascii="Arial" w:hAnsi="Arial"/>
                <w:i/>
                <w:color w:val="000000"/>
                <w:sz w:val="16"/>
                <w:szCs w:val="16"/>
              </w:rPr>
            </w:pPr>
            <w:r w:rsidRPr="003E76E7">
              <w:rPr>
                <w:rFonts w:ascii="Arial" w:hAnsi="Arial"/>
                <w:i/>
                <w:sz w:val="16"/>
                <w:szCs w:val="16"/>
                <w:lang w:val="en-AU"/>
              </w:rPr>
              <w:t>Expected to be achieved</w:t>
            </w:r>
            <w:r w:rsidR="00682081" w:rsidRPr="003E76E7">
              <w:rPr>
                <w:rFonts w:ascii="Arial" w:hAnsi="Arial"/>
                <w:i/>
                <w:sz w:val="16"/>
                <w:szCs w:val="16"/>
                <w:lang w:val="en-AU"/>
              </w:rPr>
              <w:t>.</w:t>
            </w:r>
          </w:p>
        </w:tc>
      </w:tr>
      <w:tr w:rsidR="007851E2" w:rsidRPr="003E76E7" w14:paraId="00FE5A42" w14:textId="77777777" w:rsidTr="000E1A17">
        <w:trPr>
          <w:trHeight w:val="470"/>
        </w:trPr>
        <w:tc>
          <w:tcPr>
            <w:tcW w:w="1670" w:type="dxa"/>
            <w:vMerge/>
            <w:tcBorders>
              <w:right w:val="single" w:sz="4" w:space="0" w:color="auto"/>
            </w:tcBorders>
          </w:tcPr>
          <w:p w14:paraId="165F9B80" w14:textId="77777777" w:rsidR="007851E2" w:rsidRPr="003E76E7" w:rsidRDefault="007851E2" w:rsidP="00C4292D">
            <w:pPr>
              <w:tabs>
                <w:tab w:val="left" w:pos="709"/>
              </w:tabs>
              <w:spacing w:before="60" w:after="60"/>
              <w:rPr>
                <w:rFonts w:ascii="Arial" w:hAnsi="Arial"/>
                <w:color w:val="000000"/>
                <w:sz w:val="16"/>
                <w:szCs w:val="16"/>
              </w:rPr>
            </w:pPr>
          </w:p>
        </w:tc>
        <w:tc>
          <w:tcPr>
            <w:tcW w:w="2882" w:type="dxa"/>
            <w:tcBorders>
              <w:top w:val="single" w:sz="4" w:space="0" w:color="auto"/>
              <w:left w:val="single" w:sz="4" w:space="0" w:color="auto"/>
              <w:bottom w:val="single" w:sz="4" w:space="0" w:color="auto"/>
              <w:right w:val="single" w:sz="4" w:space="0" w:color="auto"/>
            </w:tcBorders>
          </w:tcPr>
          <w:p w14:paraId="6CDD3A90" w14:textId="6135AEEB" w:rsidR="007851E2" w:rsidRPr="003E76E7" w:rsidRDefault="007851E2" w:rsidP="00C4292D">
            <w:pPr>
              <w:tabs>
                <w:tab w:val="left" w:pos="709"/>
              </w:tabs>
              <w:spacing w:before="60" w:after="60"/>
              <w:rPr>
                <w:rFonts w:ascii="Arial" w:hAnsi="Arial"/>
                <w:color w:val="000000"/>
                <w:sz w:val="16"/>
                <w:szCs w:val="16"/>
              </w:rPr>
            </w:pPr>
            <w:r w:rsidRPr="003E76E7">
              <w:rPr>
                <w:rFonts w:ascii="Arial" w:hAnsi="Arial"/>
                <w:sz w:val="16"/>
                <w:szCs w:val="16"/>
                <w:lang w:val="en-AU"/>
              </w:rPr>
              <w:t>1.2: Defence maintains ready forces through the conduct of exercises.</w:t>
            </w:r>
          </w:p>
        </w:tc>
        <w:tc>
          <w:tcPr>
            <w:tcW w:w="3058" w:type="dxa"/>
            <w:tcBorders>
              <w:top w:val="single" w:sz="4" w:space="0" w:color="auto"/>
              <w:left w:val="single" w:sz="4" w:space="0" w:color="auto"/>
              <w:bottom w:val="single" w:sz="4" w:space="0" w:color="auto"/>
            </w:tcBorders>
          </w:tcPr>
          <w:p w14:paraId="692BD579" w14:textId="77777777" w:rsidR="007851E2" w:rsidRPr="003E76E7" w:rsidRDefault="007851E2" w:rsidP="00C4292D">
            <w:pPr>
              <w:spacing w:before="60" w:after="60"/>
              <w:rPr>
                <w:rFonts w:ascii="Arial" w:hAnsi="Arial"/>
                <w:color w:val="000000"/>
                <w:sz w:val="16"/>
                <w:szCs w:val="16"/>
                <w:lang w:val="en-AU"/>
              </w:rPr>
            </w:pPr>
            <w:r w:rsidRPr="003E76E7">
              <w:rPr>
                <w:rFonts w:ascii="Arial" w:hAnsi="Arial"/>
                <w:color w:val="000000"/>
                <w:sz w:val="16"/>
                <w:szCs w:val="16"/>
                <w:lang w:val="en-AU"/>
              </w:rPr>
              <w:t>100 per cent of exercises conducted achieve planned objectives.</w:t>
            </w:r>
          </w:p>
          <w:p w14:paraId="2C638552" w14:textId="34D61E2A" w:rsidR="007851E2" w:rsidRPr="003E76E7" w:rsidRDefault="00F04C47" w:rsidP="00C4292D">
            <w:pPr>
              <w:tabs>
                <w:tab w:val="left" w:pos="709"/>
              </w:tabs>
              <w:spacing w:before="60" w:after="60"/>
              <w:jc w:val="right"/>
              <w:rPr>
                <w:rFonts w:ascii="Arial" w:hAnsi="Arial"/>
                <w:sz w:val="16"/>
                <w:szCs w:val="16"/>
                <w:lang w:val="en-AU"/>
              </w:rPr>
            </w:pPr>
            <w:r w:rsidRPr="003E76E7">
              <w:rPr>
                <w:rFonts w:ascii="Arial" w:hAnsi="Arial"/>
                <w:i/>
                <w:sz w:val="16"/>
                <w:szCs w:val="16"/>
                <w:lang w:val="en-AU"/>
              </w:rPr>
              <w:t>Expected to be substantially achieved</w:t>
            </w:r>
            <w:r w:rsidR="00682081" w:rsidRPr="003E76E7">
              <w:rPr>
                <w:rFonts w:ascii="Arial" w:hAnsi="Arial"/>
                <w:i/>
                <w:sz w:val="16"/>
                <w:szCs w:val="16"/>
                <w:lang w:val="en-AU"/>
              </w:rPr>
              <w:t>.</w:t>
            </w:r>
          </w:p>
        </w:tc>
      </w:tr>
      <w:tr w:rsidR="007851E2" w:rsidRPr="003E76E7" w14:paraId="2E1BFCAF" w14:textId="77777777" w:rsidTr="000E1A17">
        <w:trPr>
          <w:trHeight w:val="470"/>
        </w:trPr>
        <w:tc>
          <w:tcPr>
            <w:tcW w:w="1670" w:type="dxa"/>
            <w:vMerge/>
            <w:tcBorders>
              <w:right w:val="single" w:sz="4" w:space="0" w:color="auto"/>
            </w:tcBorders>
          </w:tcPr>
          <w:p w14:paraId="3F507AEA" w14:textId="77777777" w:rsidR="007851E2" w:rsidRPr="003E76E7" w:rsidRDefault="007851E2" w:rsidP="00C4292D">
            <w:pPr>
              <w:tabs>
                <w:tab w:val="left" w:pos="709"/>
              </w:tabs>
              <w:spacing w:before="60" w:after="60"/>
              <w:rPr>
                <w:rFonts w:ascii="Arial" w:hAnsi="Arial"/>
                <w:color w:val="000000"/>
                <w:sz w:val="16"/>
                <w:szCs w:val="16"/>
              </w:rPr>
            </w:pPr>
          </w:p>
        </w:tc>
        <w:tc>
          <w:tcPr>
            <w:tcW w:w="2882" w:type="dxa"/>
            <w:tcBorders>
              <w:top w:val="single" w:sz="4" w:space="0" w:color="auto"/>
              <w:left w:val="single" w:sz="4" w:space="0" w:color="auto"/>
              <w:bottom w:val="single" w:sz="4" w:space="0" w:color="auto"/>
              <w:right w:val="single" w:sz="4" w:space="0" w:color="auto"/>
            </w:tcBorders>
          </w:tcPr>
          <w:p w14:paraId="0D88295E" w14:textId="1585A439" w:rsidR="007851E2" w:rsidRPr="003E76E7" w:rsidRDefault="007851E2" w:rsidP="00C4292D">
            <w:pPr>
              <w:tabs>
                <w:tab w:val="left" w:pos="709"/>
              </w:tabs>
              <w:spacing w:before="60" w:after="60"/>
              <w:rPr>
                <w:rFonts w:ascii="Arial" w:hAnsi="Arial"/>
                <w:sz w:val="16"/>
                <w:szCs w:val="16"/>
                <w:lang w:val="en-AU"/>
              </w:rPr>
            </w:pPr>
            <w:r w:rsidRPr="003E76E7">
              <w:rPr>
                <w:rFonts w:ascii="Arial" w:hAnsi="Arial"/>
                <w:sz w:val="16"/>
                <w:szCs w:val="16"/>
                <w:lang w:val="en-AU"/>
              </w:rPr>
              <w:t>1.3</w:t>
            </w:r>
            <w:r w:rsidR="0092056F" w:rsidRPr="003E76E7">
              <w:rPr>
                <w:rFonts w:ascii="Arial" w:hAnsi="Arial"/>
                <w:sz w:val="16"/>
                <w:szCs w:val="16"/>
                <w:lang w:val="en-AU"/>
              </w:rPr>
              <w:t>:</w:t>
            </w:r>
            <w:r w:rsidRPr="003E76E7">
              <w:rPr>
                <w:rFonts w:ascii="Arial" w:hAnsi="Arial"/>
                <w:sz w:val="16"/>
                <w:szCs w:val="16"/>
                <w:lang w:val="en-AU"/>
              </w:rPr>
              <w:t xml:space="preserve"> Defence assists with domestic crisis and emergency response as directed by Government. </w:t>
            </w:r>
          </w:p>
        </w:tc>
        <w:tc>
          <w:tcPr>
            <w:tcW w:w="3058" w:type="dxa"/>
            <w:tcBorders>
              <w:top w:val="single" w:sz="4" w:space="0" w:color="auto"/>
              <w:left w:val="single" w:sz="4" w:space="0" w:color="auto"/>
              <w:bottom w:val="single" w:sz="4" w:space="0" w:color="auto"/>
            </w:tcBorders>
          </w:tcPr>
          <w:p w14:paraId="65CBF948" w14:textId="77777777" w:rsidR="007851E2" w:rsidRPr="003E76E7" w:rsidRDefault="007851E2" w:rsidP="00C4292D">
            <w:pPr>
              <w:spacing w:before="60" w:after="60"/>
              <w:rPr>
                <w:rFonts w:ascii="Arial" w:hAnsi="Arial"/>
                <w:color w:val="000000"/>
                <w:sz w:val="16"/>
                <w:szCs w:val="16"/>
                <w:lang w:val="en-AU"/>
              </w:rPr>
            </w:pPr>
            <w:r w:rsidRPr="003E76E7">
              <w:rPr>
                <w:rFonts w:ascii="Arial" w:hAnsi="Arial"/>
                <w:color w:val="000000"/>
                <w:sz w:val="16"/>
                <w:szCs w:val="16"/>
                <w:lang w:val="en-AU"/>
              </w:rPr>
              <w:t xml:space="preserve">Defence responds to 100 per cent of requests for assistance as directed by Government. </w:t>
            </w:r>
          </w:p>
          <w:p w14:paraId="3BA7C421" w14:textId="5D273312" w:rsidR="007851E2" w:rsidRPr="003E76E7" w:rsidRDefault="007851E2" w:rsidP="00C4292D">
            <w:pPr>
              <w:tabs>
                <w:tab w:val="left" w:pos="709"/>
              </w:tabs>
              <w:spacing w:before="60" w:after="60"/>
              <w:jc w:val="right"/>
              <w:rPr>
                <w:rFonts w:ascii="Arial" w:hAnsi="Arial"/>
                <w:sz w:val="16"/>
                <w:szCs w:val="16"/>
                <w:lang w:val="en-AU"/>
              </w:rPr>
            </w:pPr>
            <w:r w:rsidRPr="003E76E7">
              <w:rPr>
                <w:rFonts w:ascii="Arial" w:hAnsi="Arial"/>
                <w:i/>
                <w:sz w:val="16"/>
                <w:szCs w:val="16"/>
                <w:lang w:val="en-AU"/>
              </w:rPr>
              <w:t xml:space="preserve">Expected to be achieved. </w:t>
            </w:r>
          </w:p>
        </w:tc>
      </w:tr>
      <w:tr w:rsidR="007851E2" w:rsidRPr="003E76E7" w14:paraId="287B8B44" w14:textId="77777777" w:rsidTr="000E1A17">
        <w:trPr>
          <w:trHeight w:val="470"/>
        </w:trPr>
        <w:tc>
          <w:tcPr>
            <w:tcW w:w="1670" w:type="dxa"/>
            <w:vMerge/>
            <w:tcBorders>
              <w:bottom w:val="single" w:sz="4" w:space="0" w:color="auto"/>
              <w:right w:val="single" w:sz="4" w:space="0" w:color="auto"/>
            </w:tcBorders>
          </w:tcPr>
          <w:p w14:paraId="38D943AF" w14:textId="77777777" w:rsidR="007851E2" w:rsidRPr="003E76E7" w:rsidRDefault="007851E2" w:rsidP="00C4292D">
            <w:pPr>
              <w:tabs>
                <w:tab w:val="left" w:pos="709"/>
              </w:tabs>
              <w:spacing w:before="60" w:after="60"/>
              <w:rPr>
                <w:rFonts w:ascii="Arial" w:hAnsi="Arial"/>
                <w:color w:val="000000"/>
                <w:sz w:val="16"/>
                <w:szCs w:val="16"/>
              </w:rPr>
            </w:pPr>
          </w:p>
        </w:tc>
        <w:tc>
          <w:tcPr>
            <w:tcW w:w="2882" w:type="dxa"/>
            <w:tcBorders>
              <w:top w:val="single" w:sz="4" w:space="0" w:color="auto"/>
              <w:left w:val="single" w:sz="4" w:space="0" w:color="auto"/>
              <w:bottom w:val="single" w:sz="4" w:space="0" w:color="auto"/>
              <w:right w:val="single" w:sz="4" w:space="0" w:color="auto"/>
            </w:tcBorders>
          </w:tcPr>
          <w:p w14:paraId="020662C7" w14:textId="3D9BB1E4" w:rsidR="007851E2" w:rsidRPr="003E76E7" w:rsidRDefault="007851E2" w:rsidP="00C4292D">
            <w:pPr>
              <w:tabs>
                <w:tab w:val="left" w:pos="709"/>
              </w:tabs>
              <w:spacing w:before="60" w:after="60"/>
              <w:rPr>
                <w:rFonts w:ascii="Arial" w:hAnsi="Arial"/>
                <w:color w:val="000000"/>
                <w:sz w:val="16"/>
                <w:szCs w:val="16"/>
              </w:rPr>
            </w:pPr>
            <w:r w:rsidRPr="003E76E7">
              <w:rPr>
                <w:rFonts w:ascii="Arial" w:hAnsi="Arial"/>
                <w:sz w:val="16"/>
                <w:szCs w:val="16"/>
                <w:lang w:val="en-AU"/>
              </w:rPr>
              <w:t>6.1: Defence is delivering the right future capability at the right time within the Integrated Investment Program to ensure it is equipped to respond to future security challenges as directed by the National Defence Strategy.</w:t>
            </w:r>
          </w:p>
        </w:tc>
        <w:tc>
          <w:tcPr>
            <w:tcW w:w="3058" w:type="dxa"/>
            <w:tcBorders>
              <w:top w:val="single" w:sz="4" w:space="0" w:color="auto"/>
              <w:left w:val="single" w:sz="4" w:space="0" w:color="auto"/>
              <w:bottom w:val="single" w:sz="4" w:space="0" w:color="auto"/>
            </w:tcBorders>
          </w:tcPr>
          <w:p w14:paraId="0D37BA18" w14:textId="77777777" w:rsidR="007851E2" w:rsidRPr="003E76E7" w:rsidRDefault="007851E2" w:rsidP="00C4292D">
            <w:pPr>
              <w:tabs>
                <w:tab w:val="left" w:pos="709"/>
              </w:tabs>
              <w:spacing w:before="60" w:after="60"/>
              <w:rPr>
                <w:rFonts w:ascii="Arial" w:hAnsi="Arial"/>
                <w:sz w:val="16"/>
                <w:szCs w:val="16"/>
                <w:lang w:val="en-AU"/>
              </w:rPr>
            </w:pPr>
            <w:r w:rsidRPr="003E76E7">
              <w:rPr>
                <w:rFonts w:ascii="Arial" w:hAnsi="Arial"/>
                <w:sz w:val="16"/>
                <w:szCs w:val="16"/>
                <w:lang w:val="en-AU"/>
              </w:rPr>
              <w:t>80 per cent or more of approved Integrated Investment Program projects across all domains are on track to deliver within Government approved scope, schedule, and cost (including contingency).</w:t>
            </w:r>
          </w:p>
          <w:p w14:paraId="322DF778" w14:textId="15500C99" w:rsidR="007851E2" w:rsidRPr="003E76E7" w:rsidRDefault="00F04C47" w:rsidP="00C4292D">
            <w:pPr>
              <w:tabs>
                <w:tab w:val="left" w:pos="709"/>
              </w:tabs>
              <w:spacing w:before="60" w:after="60"/>
              <w:jc w:val="right"/>
              <w:rPr>
                <w:rFonts w:ascii="Arial" w:hAnsi="Arial"/>
                <w:i/>
                <w:sz w:val="16"/>
                <w:szCs w:val="16"/>
              </w:rPr>
            </w:pPr>
            <w:r w:rsidRPr="003E76E7">
              <w:rPr>
                <w:rFonts w:ascii="Arial" w:hAnsi="Arial"/>
                <w:i/>
                <w:sz w:val="16"/>
                <w:szCs w:val="16"/>
                <w:lang w:val="en-AU"/>
              </w:rPr>
              <w:t>Expected to be achieved</w:t>
            </w:r>
            <w:r w:rsidR="00682081" w:rsidRPr="003E76E7">
              <w:rPr>
                <w:rFonts w:ascii="Arial" w:hAnsi="Arial"/>
                <w:i/>
                <w:sz w:val="16"/>
                <w:szCs w:val="16"/>
                <w:lang w:val="en-AU"/>
              </w:rPr>
              <w:t>.</w:t>
            </w:r>
          </w:p>
        </w:tc>
      </w:tr>
      <w:tr w:rsidR="0068311E" w:rsidRPr="003E76E7" w14:paraId="4857D5DC" w14:textId="77777777" w:rsidTr="0068311E">
        <w:tblPrEx>
          <w:shd w:val="clear" w:color="auto" w:fill="auto"/>
          <w:tblLook w:val="04A0" w:firstRow="1" w:lastRow="0" w:firstColumn="1" w:lastColumn="0" w:noHBand="0" w:noVBand="1"/>
        </w:tblPrEx>
        <w:trPr>
          <w:trHeight w:val="258"/>
        </w:trPr>
        <w:tc>
          <w:tcPr>
            <w:tcW w:w="1670" w:type="dxa"/>
            <w:tcBorders>
              <w:top w:val="single" w:sz="4" w:space="0" w:color="auto"/>
              <w:bottom w:val="single" w:sz="4" w:space="0" w:color="auto"/>
              <w:right w:val="single" w:sz="4" w:space="0" w:color="auto"/>
            </w:tcBorders>
          </w:tcPr>
          <w:p w14:paraId="269A6CEC" w14:textId="77777777" w:rsidR="0068311E" w:rsidRPr="003E76E7" w:rsidRDefault="0068311E" w:rsidP="00C4292D">
            <w:pPr>
              <w:tabs>
                <w:tab w:val="left" w:pos="709"/>
              </w:tabs>
              <w:spacing w:before="60" w:after="60"/>
              <w:rPr>
                <w:rFonts w:ascii="Arial" w:hAnsi="Arial"/>
                <w:b/>
                <w:color w:val="000000"/>
                <w:sz w:val="16"/>
                <w:szCs w:val="16"/>
              </w:rPr>
            </w:pPr>
            <w:r w:rsidRPr="003E76E7">
              <w:rPr>
                <w:rFonts w:ascii="Arial" w:hAnsi="Arial"/>
                <w:b/>
                <w:color w:val="000000"/>
                <w:sz w:val="16"/>
                <w:szCs w:val="16"/>
              </w:rPr>
              <w:t>Year</w:t>
            </w:r>
          </w:p>
        </w:tc>
        <w:tc>
          <w:tcPr>
            <w:tcW w:w="2882" w:type="dxa"/>
            <w:tcBorders>
              <w:top w:val="single" w:sz="4" w:space="0" w:color="auto"/>
              <w:left w:val="single" w:sz="4" w:space="0" w:color="auto"/>
              <w:bottom w:val="single" w:sz="4" w:space="0" w:color="auto"/>
              <w:right w:val="single" w:sz="4" w:space="0" w:color="auto"/>
            </w:tcBorders>
          </w:tcPr>
          <w:p w14:paraId="0D515C93" w14:textId="182311D3" w:rsidR="0068311E" w:rsidRPr="003E76E7" w:rsidRDefault="00AD14EC" w:rsidP="00C4292D">
            <w:pPr>
              <w:tabs>
                <w:tab w:val="left" w:pos="709"/>
                <w:tab w:val="center" w:pos="1818"/>
              </w:tabs>
              <w:spacing w:before="60" w:after="60"/>
              <w:rPr>
                <w:rFonts w:ascii="Arial" w:hAnsi="Arial"/>
                <w:b/>
                <w:color w:val="000000"/>
                <w:sz w:val="16"/>
                <w:szCs w:val="16"/>
              </w:rPr>
            </w:pPr>
            <w:r w:rsidRPr="003E76E7">
              <w:rPr>
                <w:rFonts w:ascii="Arial" w:hAnsi="Arial"/>
                <w:b/>
                <w:color w:val="000000"/>
                <w:sz w:val="16"/>
                <w:szCs w:val="16"/>
              </w:rPr>
              <w:t>Performance Measures</w:t>
            </w:r>
          </w:p>
        </w:tc>
        <w:tc>
          <w:tcPr>
            <w:tcW w:w="3058" w:type="dxa"/>
            <w:tcBorders>
              <w:top w:val="single" w:sz="4" w:space="0" w:color="auto"/>
              <w:left w:val="single" w:sz="4" w:space="0" w:color="auto"/>
              <w:bottom w:val="single" w:sz="4" w:space="0" w:color="auto"/>
            </w:tcBorders>
          </w:tcPr>
          <w:p w14:paraId="055927C8" w14:textId="77777777" w:rsidR="0068311E" w:rsidRPr="003E76E7" w:rsidRDefault="0068311E" w:rsidP="00C4292D">
            <w:pPr>
              <w:tabs>
                <w:tab w:val="left" w:pos="709"/>
              </w:tabs>
              <w:spacing w:before="60" w:after="60"/>
              <w:rPr>
                <w:rFonts w:ascii="Arial" w:hAnsi="Arial"/>
                <w:b/>
                <w:color w:val="000000"/>
                <w:sz w:val="16"/>
                <w:szCs w:val="16"/>
              </w:rPr>
            </w:pPr>
            <w:r w:rsidRPr="003E76E7">
              <w:rPr>
                <w:rFonts w:ascii="Arial" w:hAnsi="Arial"/>
                <w:b/>
                <w:color w:val="000000"/>
                <w:sz w:val="16"/>
                <w:szCs w:val="16"/>
              </w:rPr>
              <w:t>Planned Performance Results</w:t>
            </w:r>
          </w:p>
        </w:tc>
      </w:tr>
      <w:tr w:rsidR="000E395A" w:rsidRPr="003E76E7" w14:paraId="64FCA612" w14:textId="77777777" w:rsidTr="00A46C55">
        <w:tblPrEx>
          <w:shd w:val="clear" w:color="auto" w:fill="auto"/>
          <w:tblLook w:val="04A0" w:firstRow="1" w:lastRow="0" w:firstColumn="1" w:lastColumn="0" w:noHBand="0" w:noVBand="1"/>
        </w:tblPrEx>
        <w:trPr>
          <w:trHeight w:val="320"/>
        </w:trPr>
        <w:tc>
          <w:tcPr>
            <w:tcW w:w="1670" w:type="dxa"/>
            <w:vMerge w:val="restart"/>
            <w:tcBorders>
              <w:top w:val="single" w:sz="4" w:space="0" w:color="auto"/>
              <w:right w:val="single" w:sz="4" w:space="0" w:color="auto"/>
            </w:tcBorders>
          </w:tcPr>
          <w:p w14:paraId="6CB42738" w14:textId="77777777" w:rsidR="000E395A" w:rsidRPr="003E76E7" w:rsidRDefault="000E395A" w:rsidP="00C4292D">
            <w:pPr>
              <w:tabs>
                <w:tab w:val="left" w:pos="709"/>
              </w:tabs>
              <w:spacing w:before="0" w:after="0"/>
              <w:rPr>
                <w:rFonts w:ascii="Arial" w:hAnsi="Arial"/>
                <w:color w:val="000000"/>
                <w:sz w:val="16"/>
                <w:szCs w:val="16"/>
              </w:rPr>
            </w:pPr>
            <w:r w:rsidRPr="003E76E7">
              <w:rPr>
                <w:rFonts w:ascii="Arial" w:hAnsi="Arial"/>
                <w:color w:val="000000"/>
                <w:sz w:val="16"/>
                <w:szCs w:val="16"/>
              </w:rPr>
              <w:t>Budget Year</w:t>
            </w:r>
          </w:p>
          <w:p w14:paraId="5651886D" w14:textId="146F8C05" w:rsidR="000E395A" w:rsidRPr="003E76E7" w:rsidRDefault="000E395A" w:rsidP="00C4292D">
            <w:pPr>
              <w:tabs>
                <w:tab w:val="left" w:pos="709"/>
              </w:tabs>
              <w:spacing w:before="0" w:after="0"/>
              <w:rPr>
                <w:rFonts w:ascii="Arial" w:hAnsi="Arial"/>
                <w:color w:val="000000"/>
                <w:sz w:val="16"/>
                <w:szCs w:val="16"/>
              </w:rPr>
            </w:pPr>
            <w:r w:rsidRPr="003E76E7">
              <w:rPr>
                <w:rFonts w:ascii="Arial" w:hAnsi="Arial"/>
                <w:color w:val="000000"/>
                <w:sz w:val="16"/>
                <w:szCs w:val="16"/>
              </w:rPr>
              <w:t xml:space="preserve">2026-27 </w:t>
            </w:r>
            <w:r w:rsidRPr="003E76E7">
              <w:rPr>
                <w:rFonts w:ascii="Arial" w:hAnsi="Arial"/>
                <w:color w:val="000000"/>
                <w:sz w:val="16"/>
                <w:szCs w:val="16"/>
                <w:vertAlign w:val="superscript"/>
              </w:rPr>
              <w:t>[</w:t>
            </w:r>
            <w:r w:rsidR="00954644" w:rsidRPr="003E76E7">
              <w:rPr>
                <w:rFonts w:ascii="Arial" w:hAnsi="Arial"/>
                <w:color w:val="000000"/>
                <w:sz w:val="16"/>
                <w:szCs w:val="16"/>
                <w:vertAlign w:val="superscript"/>
              </w:rPr>
              <w:t>c</w:t>
            </w:r>
            <w:r w:rsidRPr="003E76E7">
              <w:rPr>
                <w:rFonts w:ascii="Arial" w:hAnsi="Arial"/>
                <w:color w:val="000000"/>
                <w:sz w:val="16"/>
                <w:szCs w:val="16"/>
                <w:vertAlign w:val="superscript"/>
              </w:rPr>
              <w:t>]</w:t>
            </w:r>
          </w:p>
        </w:tc>
        <w:tc>
          <w:tcPr>
            <w:tcW w:w="2882" w:type="dxa"/>
            <w:tcBorders>
              <w:top w:val="single" w:sz="4" w:space="0" w:color="auto"/>
              <w:left w:val="single" w:sz="4" w:space="0" w:color="auto"/>
              <w:bottom w:val="single" w:sz="4" w:space="0" w:color="auto"/>
              <w:right w:val="single" w:sz="4" w:space="0" w:color="auto"/>
            </w:tcBorders>
          </w:tcPr>
          <w:p w14:paraId="10EBABD2" w14:textId="5BA047A4" w:rsidR="000E395A" w:rsidRPr="003E76E7" w:rsidRDefault="000E395A" w:rsidP="00C4292D">
            <w:pPr>
              <w:tabs>
                <w:tab w:val="left" w:pos="709"/>
              </w:tabs>
              <w:spacing w:before="60" w:after="60"/>
              <w:rPr>
                <w:rFonts w:ascii="Arial" w:hAnsi="Arial"/>
                <w:color w:val="000000"/>
                <w:sz w:val="16"/>
                <w:szCs w:val="16"/>
              </w:rPr>
            </w:pPr>
            <w:r w:rsidRPr="003E76E7">
              <w:rPr>
                <w:rFonts w:ascii="Arial" w:hAnsi="Arial"/>
                <w:sz w:val="16"/>
                <w:szCs w:val="16"/>
                <w:lang w:val="en-AU"/>
              </w:rPr>
              <w:t>1.1: Defence conducts operations as directed by Government to achieve Defence’s mission.</w:t>
            </w:r>
          </w:p>
        </w:tc>
        <w:tc>
          <w:tcPr>
            <w:tcW w:w="3058" w:type="dxa"/>
            <w:tcBorders>
              <w:top w:val="single" w:sz="4" w:space="0" w:color="auto"/>
              <w:left w:val="single" w:sz="4" w:space="0" w:color="auto"/>
              <w:bottom w:val="single" w:sz="4" w:space="0" w:color="auto"/>
            </w:tcBorders>
          </w:tcPr>
          <w:p w14:paraId="3C2B522F" w14:textId="2EE93F3D" w:rsidR="000E395A" w:rsidRPr="003E76E7" w:rsidRDefault="000E395A" w:rsidP="00C4292D">
            <w:pPr>
              <w:tabs>
                <w:tab w:val="left" w:pos="709"/>
              </w:tabs>
              <w:spacing w:before="60" w:after="60"/>
              <w:rPr>
                <w:rFonts w:ascii="Arial" w:hAnsi="Arial"/>
                <w:i/>
                <w:color w:val="000000"/>
                <w:sz w:val="16"/>
                <w:szCs w:val="16"/>
              </w:rPr>
            </w:pPr>
            <w:r w:rsidRPr="003E76E7">
              <w:rPr>
                <w:rFonts w:ascii="Arial" w:hAnsi="Arial"/>
                <w:sz w:val="16"/>
                <w:szCs w:val="16"/>
                <w:lang w:val="en-AU"/>
              </w:rPr>
              <w:t>100 per cent of operations conducted or being conducted as directed by Government.</w:t>
            </w:r>
          </w:p>
        </w:tc>
      </w:tr>
      <w:tr w:rsidR="000E395A" w:rsidRPr="003E76E7" w14:paraId="711BFC58" w14:textId="77777777" w:rsidTr="00A46C55">
        <w:tblPrEx>
          <w:shd w:val="clear" w:color="auto" w:fill="auto"/>
          <w:tblLook w:val="04A0" w:firstRow="1" w:lastRow="0" w:firstColumn="1" w:lastColumn="0" w:noHBand="0" w:noVBand="1"/>
        </w:tblPrEx>
        <w:trPr>
          <w:trHeight w:val="320"/>
        </w:trPr>
        <w:tc>
          <w:tcPr>
            <w:tcW w:w="1670" w:type="dxa"/>
            <w:vMerge/>
            <w:tcBorders>
              <w:right w:val="single" w:sz="4" w:space="0" w:color="auto"/>
            </w:tcBorders>
          </w:tcPr>
          <w:p w14:paraId="4B7BE7F1" w14:textId="77777777" w:rsidR="000E395A" w:rsidRPr="003E76E7" w:rsidRDefault="000E395A" w:rsidP="00C4292D">
            <w:pPr>
              <w:tabs>
                <w:tab w:val="left" w:pos="709"/>
              </w:tabs>
              <w:spacing w:before="60" w:after="60"/>
              <w:rPr>
                <w:rFonts w:ascii="Arial" w:hAnsi="Arial"/>
                <w:color w:val="000000"/>
                <w:sz w:val="16"/>
                <w:szCs w:val="16"/>
              </w:rPr>
            </w:pPr>
          </w:p>
        </w:tc>
        <w:tc>
          <w:tcPr>
            <w:tcW w:w="2882" w:type="dxa"/>
            <w:tcBorders>
              <w:top w:val="single" w:sz="4" w:space="0" w:color="auto"/>
              <w:left w:val="single" w:sz="4" w:space="0" w:color="auto"/>
              <w:bottom w:val="single" w:sz="4" w:space="0" w:color="auto"/>
              <w:right w:val="single" w:sz="4" w:space="0" w:color="auto"/>
            </w:tcBorders>
          </w:tcPr>
          <w:p w14:paraId="6B7DD580" w14:textId="452BC6C6" w:rsidR="000E395A" w:rsidRPr="003E76E7" w:rsidRDefault="000E395A" w:rsidP="00C4292D">
            <w:pPr>
              <w:tabs>
                <w:tab w:val="left" w:pos="709"/>
              </w:tabs>
              <w:spacing w:before="60" w:after="60"/>
              <w:rPr>
                <w:rFonts w:ascii="Arial" w:hAnsi="Arial"/>
                <w:color w:val="000000"/>
                <w:sz w:val="16"/>
                <w:szCs w:val="16"/>
              </w:rPr>
            </w:pPr>
            <w:r w:rsidRPr="003E76E7">
              <w:rPr>
                <w:rFonts w:ascii="Arial" w:hAnsi="Arial"/>
                <w:sz w:val="16"/>
                <w:szCs w:val="16"/>
                <w:lang w:val="en-AU"/>
              </w:rPr>
              <w:t>1.2: Defence maintains ready forces through the conduct of exercises.</w:t>
            </w:r>
          </w:p>
        </w:tc>
        <w:tc>
          <w:tcPr>
            <w:tcW w:w="3058" w:type="dxa"/>
            <w:tcBorders>
              <w:top w:val="single" w:sz="4" w:space="0" w:color="auto"/>
              <w:left w:val="single" w:sz="4" w:space="0" w:color="auto"/>
              <w:bottom w:val="single" w:sz="4" w:space="0" w:color="auto"/>
            </w:tcBorders>
          </w:tcPr>
          <w:p w14:paraId="55747E3E" w14:textId="3B757BF0" w:rsidR="000E395A" w:rsidRPr="003E76E7" w:rsidRDefault="000E395A" w:rsidP="00C4292D">
            <w:pPr>
              <w:tabs>
                <w:tab w:val="left" w:pos="709"/>
              </w:tabs>
              <w:spacing w:before="60" w:after="60"/>
              <w:rPr>
                <w:rFonts w:ascii="Arial" w:hAnsi="Arial"/>
                <w:color w:val="000000"/>
                <w:sz w:val="16"/>
                <w:szCs w:val="16"/>
              </w:rPr>
            </w:pPr>
            <w:r w:rsidRPr="003E76E7">
              <w:rPr>
                <w:rFonts w:ascii="Arial" w:hAnsi="Arial"/>
                <w:color w:val="000000"/>
                <w:sz w:val="16"/>
                <w:szCs w:val="16"/>
                <w:lang w:val="en-AU"/>
              </w:rPr>
              <w:t>100 per cent of exercises conducted achieve planned objectives.</w:t>
            </w:r>
          </w:p>
        </w:tc>
      </w:tr>
      <w:tr w:rsidR="000E395A" w:rsidRPr="003E76E7" w14:paraId="78E0CBF6" w14:textId="77777777" w:rsidTr="00A46C55">
        <w:tblPrEx>
          <w:shd w:val="clear" w:color="auto" w:fill="auto"/>
          <w:tblLook w:val="04A0" w:firstRow="1" w:lastRow="0" w:firstColumn="1" w:lastColumn="0" w:noHBand="0" w:noVBand="1"/>
        </w:tblPrEx>
        <w:trPr>
          <w:trHeight w:val="642"/>
        </w:trPr>
        <w:tc>
          <w:tcPr>
            <w:tcW w:w="1670" w:type="dxa"/>
            <w:vMerge/>
            <w:tcBorders>
              <w:right w:val="single" w:sz="4" w:space="0" w:color="auto"/>
            </w:tcBorders>
          </w:tcPr>
          <w:p w14:paraId="59ACA46B" w14:textId="77777777" w:rsidR="000E395A" w:rsidRPr="003E76E7" w:rsidRDefault="000E395A" w:rsidP="00C4292D">
            <w:pPr>
              <w:tabs>
                <w:tab w:val="left" w:pos="709"/>
              </w:tabs>
              <w:spacing w:before="60" w:after="60"/>
              <w:rPr>
                <w:rFonts w:ascii="Arial" w:hAnsi="Arial"/>
                <w:color w:val="000000"/>
                <w:sz w:val="16"/>
                <w:szCs w:val="16"/>
              </w:rPr>
            </w:pPr>
          </w:p>
        </w:tc>
        <w:tc>
          <w:tcPr>
            <w:tcW w:w="2882" w:type="dxa"/>
            <w:tcBorders>
              <w:top w:val="single" w:sz="4" w:space="0" w:color="auto"/>
              <w:left w:val="single" w:sz="4" w:space="0" w:color="auto"/>
              <w:bottom w:val="single" w:sz="4" w:space="0" w:color="auto"/>
              <w:right w:val="single" w:sz="4" w:space="0" w:color="auto"/>
            </w:tcBorders>
          </w:tcPr>
          <w:p w14:paraId="4F2C7ECD" w14:textId="63A823A8" w:rsidR="000E395A" w:rsidRPr="003E76E7" w:rsidRDefault="000E395A" w:rsidP="00C4292D">
            <w:pPr>
              <w:tabs>
                <w:tab w:val="left" w:pos="709"/>
              </w:tabs>
              <w:spacing w:before="60" w:after="60"/>
              <w:rPr>
                <w:rFonts w:ascii="Arial" w:hAnsi="Arial"/>
                <w:color w:val="000000"/>
                <w:sz w:val="16"/>
                <w:szCs w:val="16"/>
              </w:rPr>
            </w:pPr>
            <w:r w:rsidRPr="003E76E7">
              <w:rPr>
                <w:rFonts w:ascii="Arial" w:hAnsi="Arial"/>
                <w:sz w:val="16"/>
                <w:szCs w:val="16"/>
                <w:lang w:val="en-AU"/>
              </w:rPr>
              <w:t>1.3</w:t>
            </w:r>
            <w:r w:rsidR="0092056F" w:rsidRPr="003E76E7">
              <w:rPr>
                <w:rFonts w:ascii="Arial" w:hAnsi="Arial"/>
                <w:sz w:val="16"/>
                <w:szCs w:val="16"/>
                <w:lang w:val="en-AU"/>
              </w:rPr>
              <w:t>:</w:t>
            </w:r>
            <w:r w:rsidRPr="003E76E7">
              <w:rPr>
                <w:rFonts w:ascii="Arial" w:hAnsi="Arial"/>
                <w:sz w:val="16"/>
                <w:szCs w:val="16"/>
                <w:lang w:val="en-AU"/>
              </w:rPr>
              <w:t xml:space="preserve"> Defence assists with domestic crisis and emergency response as directed by Government. </w:t>
            </w:r>
          </w:p>
        </w:tc>
        <w:tc>
          <w:tcPr>
            <w:tcW w:w="3058" w:type="dxa"/>
            <w:tcBorders>
              <w:top w:val="single" w:sz="4" w:space="0" w:color="auto"/>
              <w:left w:val="single" w:sz="4" w:space="0" w:color="auto"/>
              <w:bottom w:val="single" w:sz="4" w:space="0" w:color="auto"/>
            </w:tcBorders>
          </w:tcPr>
          <w:p w14:paraId="790967D2" w14:textId="687AF9A1" w:rsidR="000E395A" w:rsidRPr="003E76E7" w:rsidRDefault="000E395A" w:rsidP="00C4292D">
            <w:pPr>
              <w:tabs>
                <w:tab w:val="left" w:pos="709"/>
              </w:tabs>
              <w:spacing w:before="60" w:after="60"/>
              <w:rPr>
                <w:rFonts w:ascii="Arial" w:hAnsi="Arial"/>
                <w:sz w:val="16"/>
                <w:szCs w:val="16"/>
              </w:rPr>
            </w:pPr>
            <w:r w:rsidRPr="003E76E7">
              <w:rPr>
                <w:rFonts w:ascii="Arial" w:hAnsi="Arial"/>
                <w:color w:val="000000"/>
                <w:sz w:val="16"/>
                <w:szCs w:val="16"/>
                <w:lang w:val="en-AU"/>
              </w:rPr>
              <w:t xml:space="preserve">Defence responds to 100 per cent of requests for assistance as directed by Government. </w:t>
            </w:r>
          </w:p>
        </w:tc>
      </w:tr>
      <w:tr w:rsidR="000E395A" w:rsidRPr="003E76E7" w14:paraId="4D18E4A5" w14:textId="77777777" w:rsidTr="00A46C55">
        <w:tblPrEx>
          <w:shd w:val="clear" w:color="auto" w:fill="auto"/>
          <w:tblLook w:val="04A0" w:firstRow="1" w:lastRow="0" w:firstColumn="1" w:lastColumn="0" w:noHBand="0" w:noVBand="1"/>
        </w:tblPrEx>
        <w:trPr>
          <w:trHeight w:val="642"/>
        </w:trPr>
        <w:tc>
          <w:tcPr>
            <w:tcW w:w="1670" w:type="dxa"/>
            <w:vMerge/>
            <w:tcBorders>
              <w:bottom w:val="single" w:sz="4" w:space="0" w:color="auto"/>
              <w:right w:val="single" w:sz="4" w:space="0" w:color="auto"/>
            </w:tcBorders>
          </w:tcPr>
          <w:p w14:paraId="21C3B727" w14:textId="77777777" w:rsidR="000E395A" w:rsidRPr="003E76E7" w:rsidRDefault="000E395A" w:rsidP="00C4292D">
            <w:pPr>
              <w:tabs>
                <w:tab w:val="left" w:pos="709"/>
              </w:tabs>
              <w:spacing w:before="60" w:after="60"/>
              <w:rPr>
                <w:rFonts w:ascii="Arial" w:hAnsi="Arial"/>
                <w:color w:val="000000"/>
                <w:sz w:val="16"/>
                <w:szCs w:val="16"/>
              </w:rPr>
            </w:pPr>
          </w:p>
        </w:tc>
        <w:tc>
          <w:tcPr>
            <w:tcW w:w="2882" w:type="dxa"/>
            <w:tcBorders>
              <w:top w:val="single" w:sz="4" w:space="0" w:color="auto"/>
              <w:left w:val="single" w:sz="4" w:space="0" w:color="auto"/>
              <w:bottom w:val="single" w:sz="4" w:space="0" w:color="auto"/>
              <w:right w:val="single" w:sz="4" w:space="0" w:color="auto"/>
            </w:tcBorders>
          </w:tcPr>
          <w:p w14:paraId="6C5617BA" w14:textId="50C78C8C" w:rsidR="000E395A" w:rsidRPr="003E76E7" w:rsidRDefault="000E395A" w:rsidP="00C4292D">
            <w:pPr>
              <w:tabs>
                <w:tab w:val="left" w:pos="709"/>
              </w:tabs>
              <w:spacing w:before="60" w:after="60"/>
              <w:rPr>
                <w:rFonts w:ascii="Arial" w:hAnsi="Arial"/>
                <w:color w:val="000000"/>
                <w:sz w:val="16"/>
                <w:szCs w:val="16"/>
              </w:rPr>
            </w:pPr>
            <w:r w:rsidRPr="003E76E7">
              <w:rPr>
                <w:rFonts w:ascii="Arial" w:hAnsi="Arial"/>
                <w:sz w:val="16"/>
                <w:szCs w:val="16"/>
                <w:lang w:val="en-AU"/>
              </w:rPr>
              <w:t>6.1: Defence is delivering the right future capability at the right time within the Integrated Investment Program to ensure it is equipped to respond to future security challenges as directed by the National Defence Strategy.</w:t>
            </w:r>
          </w:p>
        </w:tc>
        <w:tc>
          <w:tcPr>
            <w:tcW w:w="3058" w:type="dxa"/>
            <w:tcBorders>
              <w:top w:val="single" w:sz="4" w:space="0" w:color="auto"/>
              <w:left w:val="single" w:sz="4" w:space="0" w:color="auto"/>
              <w:bottom w:val="single" w:sz="4" w:space="0" w:color="auto"/>
            </w:tcBorders>
          </w:tcPr>
          <w:p w14:paraId="3DD91C21" w14:textId="1267C8C1" w:rsidR="000E395A" w:rsidRPr="003E76E7" w:rsidRDefault="000E395A" w:rsidP="00C4292D">
            <w:pPr>
              <w:tabs>
                <w:tab w:val="left" w:pos="709"/>
              </w:tabs>
              <w:spacing w:before="60" w:after="60"/>
              <w:rPr>
                <w:rFonts w:ascii="Arial" w:hAnsi="Arial"/>
                <w:sz w:val="16"/>
                <w:szCs w:val="16"/>
              </w:rPr>
            </w:pPr>
            <w:r w:rsidRPr="003E76E7">
              <w:rPr>
                <w:rFonts w:ascii="Arial" w:hAnsi="Arial"/>
                <w:sz w:val="16"/>
                <w:szCs w:val="16"/>
                <w:lang w:val="en-AU"/>
              </w:rPr>
              <w:t>80 per cent or more of approved Integrated Investment Program projects across all domains are on track to deliver within Government approved scope, schedule, and cost (including contingency).</w:t>
            </w:r>
          </w:p>
        </w:tc>
      </w:tr>
      <w:tr w:rsidR="000E395A" w:rsidRPr="003E76E7" w14:paraId="185B8BDC" w14:textId="77777777" w:rsidTr="000E1A17">
        <w:trPr>
          <w:trHeight w:val="104"/>
        </w:trPr>
        <w:tc>
          <w:tcPr>
            <w:tcW w:w="1670" w:type="dxa"/>
            <w:tcBorders>
              <w:bottom w:val="single" w:sz="4" w:space="0" w:color="auto"/>
              <w:right w:val="single" w:sz="4" w:space="0" w:color="auto"/>
            </w:tcBorders>
            <w:vAlign w:val="center"/>
          </w:tcPr>
          <w:p w14:paraId="7B03DE02" w14:textId="46E4D77F" w:rsidR="000E395A" w:rsidRPr="003E76E7" w:rsidRDefault="000E395A" w:rsidP="00C4292D">
            <w:pPr>
              <w:tabs>
                <w:tab w:val="left" w:pos="709"/>
              </w:tabs>
              <w:spacing w:before="60" w:after="60"/>
              <w:rPr>
                <w:rFonts w:ascii="Arial" w:hAnsi="Arial"/>
                <w:color w:val="000000"/>
                <w:sz w:val="16"/>
                <w:szCs w:val="16"/>
              </w:rPr>
            </w:pPr>
            <w:r w:rsidRPr="003E76E7">
              <w:rPr>
                <w:rFonts w:ascii="Arial" w:hAnsi="Arial"/>
                <w:b/>
                <w:color w:val="000000"/>
                <w:sz w:val="16"/>
                <w:szCs w:val="16"/>
              </w:rPr>
              <w:t>Year</w:t>
            </w:r>
          </w:p>
        </w:tc>
        <w:tc>
          <w:tcPr>
            <w:tcW w:w="2882" w:type="dxa"/>
            <w:tcBorders>
              <w:top w:val="single" w:sz="4" w:space="0" w:color="auto"/>
              <w:left w:val="single" w:sz="4" w:space="0" w:color="auto"/>
              <w:bottom w:val="single" w:sz="4" w:space="0" w:color="auto"/>
              <w:right w:val="single" w:sz="4" w:space="0" w:color="auto"/>
            </w:tcBorders>
            <w:vAlign w:val="center"/>
          </w:tcPr>
          <w:p w14:paraId="5E68EA89" w14:textId="5F529D50" w:rsidR="000E395A" w:rsidRPr="003E76E7" w:rsidRDefault="00AD14EC" w:rsidP="00C4292D">
            <w:pPr>
              <w:tabs>
                <w:tab w:val="left" w:pos="709"/>
              </w:tabs>
              <w:spacing w:before="60" w:after="60"/>
              <w:rPr>
                <w:rFonts w:ascii="Arial" w:hAnsi="Arial"/>
                <w:sz w:val="16"/>
                <w:szCs w:val="16"/>
                <w:lang w:val="en-AU"/>
              </w:rPr>
            </w:pPr>
            <w:r w:rsidRPr="003E76E7">
              <w:rPr>
                <w:rFonts w:ascii="Arial" w:hAnsi="Arial"/>
                <w:b/>
                <w:color w:val="000000"/>
                <w:sz w:val="16"/>
                <w:szCs w:val="16"/>
              </w:rPr>
              <w:t>Performance Measures</w:t>
            </w:r>
          </w:p>
        </w:tc>
        <w:tc>
          <w:tcPr>
            <w:tcW w:w="3058" w:type="dxa"/>
            <w:tcBorders>
              <w:top w:val="single" w:sz="4" w:space="0" w:color="auto"/>
              <w:left w:val="single" w:sz="4" w:space="0" w:color="auto"/>
              <w:bottom w:val="single" w:sz="4" w:space="0" w:color="auto"/>
            </w:tcBorders>
            <w:vAlign w:val="center"/>
          </w:tcPr>
          <w:p w14:paraId="79FA74B0" w14:textId="35F3DBBC" w:rsidR="000E395A" w:rsidRPr="003E76E7" w:rsidRDefault="000E395A" w:rsidP="00C4292D">
            <w:pPr>
              <w:tabs>
                <w:tab w:val="left" w:pos="709"/>
              </w:tabs>
              <w:spacing w:before="60" w:after="60"/>
              <w:rPr>
                <w:rFonts w:ascii="Arial" w:hAnsi="Arial"/>
                <w:sz w:val="16"/>
                <w:szCs w:val="16"/>
                <w:lang w:val="en-AU"/>
              </w:rPr>
            </w:pPr>
            <w:r w:rsidRPr="003E76E7">
              <w:rPr>
                <w:rFonts w:ascii="Arial" w:hAnsi="Arial"/>
                <w:b/>
                <w:color w:val="000000"/>
                <w:sz w:val="16"/>
                <w:szCs w:val="16"/>
              </w:rPr>
              <w:t>Planned Performance Results</w:t>
            </w:r>
          </w:p>
        </w:tc>
      </w:tr>
      <w:tr w:rsidR="000E395A" w:rsidRPr="003E76E7" w14:paraId="16BA6991" w14:textId="77777777" w:rsidTr="000E1A17">
        <w:trPr>
          <w:trHeight w:val="521"/>
        </w:trPr>
        <w:tc>
          <w:tcPr>
            <w:tcW w:w="1670" w:type="dxa"/>
            <w:tcBorders>
              <w:bottom w:val="single" w:sz="4" w:space="0" w:color="auto"/>
              <w:right w:val="single" w:sz="4" w:space="0" w:color="auto"/>
            </w:tcBorders>
            <w:vAlign w:val="center"/>
          </w:tcPr>
          <w:p w14:paraId="6AD3383B" w14:textId="77777777" w:rsidR="000E395A" w:rsidRPr="003E76E7" w:rsidRDefault="000E395A" w:rsidP="00C4292D">
            <w:pPr>
              <w:tabs>
                <w:tab w:val="left" w:pos="709"/>
              </w:tabs>
              <w:spacing w:before="0" w:after="0"/>
              <w:rPr>
                <w:rFonts w:ascii="Arial" w:hAnsi="Arial"/>
                <w:color w:val="000000"/>
                <w:sz w:val="16"/>
                <w:szCs w:val="16"/>
              </w:rPr>
            </w:pPr>
            <w:r w:rsidRPr="003E76E7">
              <w:rPr>
                <w:rFonts w:ascii="Arial" w:hAnsi="Arial"/>
                <w:color w:val="000000"/>
                <w:sz w:val="16"/>
                <w:szCs w:val="16"/>
              </w:rPr>
              <w:t>Forward Estimates</w:t>
            </w:r>
          </w:p>
          <w:p w14:paraId="41E19519" w14:textId="4421211A" w:rsidR="000E395A" w:rsidRPr="003E76E7" w:rsidRDefault="000E395A" w:rsidP="00C4292D">
            <w:pPr>
              <w:tabs>
                <w:tab w:val="left" w:pos="709"/>
              </w:tabs>
              <w:spacing w:before="0" w:after="0"/>
              <w:rPr>
                <w:rFonts w:ascii="Arial" w:hAnsi="Arial"/>
                <w:b/>
                <w:color w:val="000000"/>
                <w:sz w:val="16"/>
                <w:szCs w:val="16"/>
              </w:rPr>
            </w:pPr>
            <w:r w:rsidRPr="003E76E7">
              <w:rPr>
                <w:rFonts w:ascii="Arial" w:hAnsi="Arial"/>
                <w:color w:val="000000"/>
                <w:sz w:val="16"/>
                <w:szCs w:val="16"/>
              </w:rPr>
              <w:t>2027-30</w:t>
            </w:r>
          </w:p>
        </w:tc>
        <w:tc>
          <w:tcPr>
            <w:tcW w:w="2882" w:type="dxa"/>
            <w:tcBorders>
              <w:top w:val="single" w:sz="4" w:space="0" w:color="auto"/>
              <w:left w:val="single" w:sz="4" w:space="0" w:color="auto"/>
              <w:bottom w:val="single" w:sz="4" w:space="0" w:color="auto"/>
              <w:right w:val="single" w:sz="4" w:space="0" w:color="auto"/>
            </w:tcBorders>
            <w:vAlign w:val="center"/>
          </w:tcPr>
          <w:p w14:paraId="0621BC66" w14:textId="45FFAB0D" w:rsidR="000E395A" w:rsidRPr="003E76E7" w:rsidRDefault="000E395A" w:rsidP="00C4292D">
            <w:pPr>
              <w:tabs>
                <w:tab w:val="left" w:pos="709"/>
              </w:tabs>
              <w:spacing w:before="60" w:after="60"/>
              <w:rPr>
                <w:rFonts w:ascii="Arial" w:hAnsi="Arial"/>
                <w:b/>
                <w:color w:val="000000"/>
                <w:sz w:val="16"/>
                <w:szCs w:val="16"/>
              </w:rPr>
            </w:pPr>
            <w:r w:rsidRPr="003E76E7">
              <w:rPr>
                <w:rFonts w:ascii="Arial" w:hAnsi="Arial"/>
                <w:color w:val="000000"/>
                <w:sz w:val="16"/>
                <w:szCs w:val="16"/>
              </w:rPr>
              <w:t>As per 2026-27.</w:t>
            </w:r>
          </w:p>
        </w:tc>
        <w:tc>
          <w:tcPr>
            <w:tcW w:w="3058" w:type="dxa"/>
            <w:tcBorders>
              <w:top w:val="single" w:sz="4" w:space="0" w:color="auto"/>
              <w:left w:val="single" w:sz="4" w:space="0" w:color="auto"/>
              <w:bottom w:val="single" w:sz="4" w:space="0" w:color="auto"/>
            </w:tcBorders>
            <w:vAlign w:val="center"/>
          </w:tcPr>
          <w:p w14:paraId="57454023" w14:textId="7C51EBEF" w:rsidR="000E395A" w:rsidRPr="003E76E7" w:rsidRDefault="000E395A" w:rsidP="00C4292D">
            <w:pPr>
              <w:tabs>
                <w:tab w:val="left" w:pos="709"/>
              </w:tabs>
              <w:spacing w:before="60" w:after="60"/>
              <w:rPr>
                <w:rFonts w:ascii="Arial" w:hAnsi="Arial"/>
                <w:b/>
                <w:color w:val="000000"/>
                <w:sz w:val="16"/>
                <w:szCs w:val="16"/>
              </w:rPr>
            </w:pPr>
            <w:r w:rsidRPr="003E76E7">
              <w:rPr>
                <w:rFonts w:ascii="Arial" w:hAnsi="Arial"/>
                <w:color w:val="000000"/>
                <w:sz w:val="16"/>
                <w:szCs w:val="16"/>
              </w:rPr>
              <w:t>As per 2026-27.</w:t>
            </w:r>
          </w:p>
        </w:tc>
      </w:tr>
      <w:tr w:rsidR="000E395A" w:rsidRPr="003E76E7" w14:paraId="38B857B4" w14:textId="77777777" w:rsidTr="000E1A17">
        <w:trPr>
          <w:trHeight w:val="132"/>
        </w:trPr>
        <w:tc>
          <w:tcPr>
            <w:tcW w:w="7610" w:type="dxa"/>
            <w:gridSpan w:val="3"/>
            <w:tcBorders>
              <w:bottom w:val="single" w:sz="4" w:space="0" w:color="auto"/>
            </w:tcBorders>
          </w:tcPr>
          <w:p w14:paraId="685FA7E1" w14:textId="21556645" w:rsidR="000E395A" w:rsidRPr="003E76E7" w:rsidRDefault="000E395A" w:rsidP="00C4292D">
            <w:pPr>
              <w:tabs>
                <w:tab w:val="left" w:pos="709"/>
              </w:tabs>
              <w:spacing w:before="60" w:after="60"/>
              <w:rPr>
                <w:rFonts w:ascii="Arial" w:hAnsi="Arial"/>
                <w:color w:val="000000"/>
                <w:sz w:val="16"/>
                <w:szCs w:val="16"/>
              </w:rPr>
            </w:pPr>
            <w:r w:rsidRPr="003E76E7">
              <w:rPr>
                <w:rFonts w:ascii="Arial" w:hAnsi="Arial"/>
                <w:color w:val="000000"/>
                <w:sz w:val="16"/>
                <w:szCs w:val="16"/>
              </w:rPr>
              <w:t>Material changes to Program 2.6 resulting from 2026-27 Budget Measures:</w:t>
            </w:r>
            <w:r w:rsidRPr="003E76E7">
              <w:rPr>
                <w:rStyle w:val="BodyTextChar"/>
                <w:rFonts w:ascii="Arial" w:hAnsi="Arial"/>
                <w:bCs/>
                <w:iCs/>
                <w:color w:val="000000"/>
                <w:spacing w:val="-6"/>
                <w:sz w:val="16"/>
                <w:szCs w:val="16"/>
              </w:rPr>
              <w:t xml:space="preserve"> Nil.</w:t>
            </w:r>
          </w:p>
        </w:tc>
      </w:tr>
    </w:tbl>
    <w:p w14:paraId="1F2ED144" w14:textId="77777777" w:rsidR="0002000E" w:rsidRPr="003E76E7" w:rsidRDefault="0002000E" w:rsidP="00C4292D">
      <w:pPr>
        <w:pStyle w:val="TableHeading"/>
        <w:spacing w:before="0" w:after="0"/>
        <w:rPr>
          <w:sz w:val="14"/>
          <w:szCs w:val="16"/>
          <w:lang w:val="en-AU"/>
        </w:rPr>
      </w:pPr>
    </w:p>
    <w:p w14:paraId="24F52C30" w14:textId="77777777" w:rsidR="000E395A" w:rsidRPr="003E76E7" w:rsidRDefault="0002000E" w:rsidP="00C4292D">
      <w:pPr>
        <w:pStyle w:val="TableHeading"/>
        <w:spacing w:before="0" w:after="0"/>
        <w:rPr>
          <w:b w:val="0"/>
          <w:sz w:val="14"/>
          <w:szCs w:val="14"/>
          <w:lang w:val="en-AU"/>
        </w:rPr>
      </w:pPr>
      <w:r w:rsidRPr="003E76E7">
        <w:rPr>
          <w:sz w:val="14"/>
          <w:szCs w:val="14"/>
          <w:lang w:val="en-AU"/>
        </w:rPr>
        <w:t>Note</w:t>
      </w:r>
      <w:r w:rsidR="00AF08A6" w:rsidRPr="003E76E7">
        <w:rPr>
          <w:sz w:val="14"/>
          <w:szCs w:val="14"/>
          <w:lang w:val="en-AU"/>
        </w:rPr>
        <w:t>s</w:t>
      </w:r>
      <w:r w:rsidR="007851E2" w:rsidRPr="003E76E7">
        <w:rPr>
          <w:b w:val="0"/>
          <w:sz w:val="14"/>
          <w:szCs w:val="14"/>
          <w:lang w:val="en-AU"/>
        </w:rPr>
        <w:t xml:space="preserve"> </w:t>
      </w:r>
      <w:r w:rsidR="007851E2" w:rsidRPr="003E76E7">
        <w:rPr>
          <w:b w:val="0"/>
          <w:sz w:val="14"/>
          <w:szCs w:val="14"/>
          <w:lang w:val="en-AU"/>
        </w:rPr>
        <w:tab/>
      </w:r>
    </w:p>
    <w:p w14:paraId="75968018" w14:textId="4828DFFA" w:rsidR="007851E2" w:rsidRPr="003E76E7" w:rsidRDefault="007851E2" w:rsidP="00C4292D">
      <w:pPr>
        <w:pStyle w:val="TableHeading"/>
        <w:numPr>
          <w:ilvl w:val="0"/>
          <w:numId w:val="85"/>
        </w:numPr>
        <w:tabs>
          <w:tab w:val="left" w:pos="0"/>
          <w:tab w:val="left" w:pos="284"/>
        </w:tabs>
        <w:spacing w:before="0" w:after="0"/>
        <w:rPr>
          <w:b w:val="0"/>
          <w:sz w:val="14"/>
          <w:szCs w:val="14"/>
          <w:lang w:val="en-AU"/>
        </w:rPr>
      </w:pPr>
      <w:r w:rsidRPr="003E76E7">
        <w:rPr>
          <w:b w:val="0"/>
          <w:sz w:val="14"/>
          <w:szCs w:val="14"/>
          <w:lang w:val="en-AU"/>
        </w:rPr>
        <w:t xml:space="preserve">Key activity 1 has been amended for 2025-26, as published in the </w:t>
      </w:r>
      <w:r w:rsidRPr="003E76E7">
        <w:rPr>
          <w:b w:val="0"/>
          <w:i/>
          <w:sz w:val="14"/>
          <w:szCs w:val="14"/>
          <w:lang w:val="en-AU"/>
        </w:rPr>
        <w:t>2025-29 Defence Corporate Plan</w:t>
      </w:r>
      <w:r w:rsidR="00C23CD1" w:rsidRPr="003E76E7">
        <w:rPr>
          <w:b w:val="0"/>
          <w:i/>
          <w:sz w:val="14"/>
          <w:szCs w:val="14"/>
          <w:lang w:val="en-AU"/>
        </w:rPr>
        <w:t>.</w:t>
      </w:r>
    </w:p>
    <w:p w14:paraId="29BD1E78" w14:textId="1714CBD3" w:rsidR="007851E2" w:rsidRPr="003E76E7" w:rsidRDefault="007851E2" w:rsidP="00C4292D">
      <w:pPr>
        <w:pStyle w:val="TableHeading"/>
        <w:numPr>
          <w:ilvl w:val="0"/>
          <w:numId w:val="85"/>
        </w:numPr>
        <w:tabs>
          <w:tab w:val="left" w:pos="0"/>
          <w:tab w:val="left" w:pos="284"/>
        </w:tabs>
        <w:spacing w:before="0" w:after="0"/>
        <w:ind w:left="284" w:hanging="284"/>
        <w:rPr>
          <w:b w:val="0"/>
          <w:sz w:val="14"/>
          <w:szCs w:val="14"/>
          <w:lang w:val="en-AU"/>
        </w:rPr>
      </w:pPr>
      <w:r w:rsidRPr="003E76E7">
        <w:rPr>
          <w:b w:val="0"/>
          <w:sz w:val="14"/>
          <w:szCs w:val="14"/>
          <w:lang w:val="en-AU"/>
        </w:rPr>
        <w:tab/>
        <w:t>Performance Measures 1.1, 1.2 and 6.1 have been amended and 1.3 is new for 2025-26, as published in</w:t>
      </w:r>
      <w:r w:rsidRPr="003E76E7">
        <w:rPr>
          <w:b w:val="0"/>
          <w:i/>
          <w:sz w:val="14"/>
          <w:szCs w:val="14"/>
          <w:lang w:val="en-AU"/>
        </w:rPr>
        <w:t xml:space="preserve"> 2025-29 Defence </w:t>
      </w:r>
      <w:r w:rsidR="00190A21" w:rsidRPr="003E76E7">
        <w:rPr>
          <w:b w:val="0"/>
          <w:i/>
          <w:sz w:val="14"/>
          <w:szCs w:val="14"/>
          <w:lang w:val="en-AU"/>
        </w:rPr>
        <w:br/>
      </w:r>
      <w:r w:rsidRPr="003E76E7">
        <w:rPr>
          <w:b w:val="0"/>
          <w:i/>
          <w:sz w:val="14"/>
          <w:szCs w:val="14"/>
          <w:lang w:val="en-AU"/>
        </w:rPr>
        <w:t>Corporate Plan.</w:t>
      </w:r>
    </w:p>
    <w:p w14:paraId="57469DE9" w14:textId="088501EF" w:rsidR="000E395A" w:rsidRPr="003E76E7" w:rsidRDefault="007851E2" w:rsidP="00C4292D">
      <w:pPr>
        <w:pStyle w:val="TableHeading"/>
        <w:numPr>
          <w:ilvl w:val="0"/>
          <w:numId w:val="85"/>
        </w:numPr>
        <w:tabs>
          <w:tab w:val="left" w:pos="0"/>
          <w:tab w:val="left" w:pos="284"/>
        </w:tabs>
        <w:spacing w:before="0" w:after="0"/>
        <w:ind w:left="284" w:hanging="284"/>
        <w:rPr>
          <w:b w:val="0"/>
          <w:sz w:val="14"/>
          <w:szCs w:val="14"/>
          <w:lang w:val="en-AU"/>
        </w:rPr>
      </w:pPr>
      <w:r w:rsidRPr="003E76E7">
        <w:rPr>
          <w:b w:val="0"/>
          <w:sz w:val="14"/>
          <w:szCs w:val="14"/>
          <w:lang w:val="en-AU"/>
        </w:rPr>
        <w:t xml:space="preserve">In accordance with Defence’s Enterprise Performance Framework, Defence is undertaking materiality assessments that may result </w:t>
      </w:r>
      <w:r w:rsidR="00190A21" w:rsidRPr="003E76E7">
        <w:rPr>
          <w:b w:val="0"/>
          <w:sz w:val="14"/>
          <w:szCs w:val="14"/>
          <w:lang w:val="en-AU"/>
        </w:rPr>
        <w:br/>
      </w:r>
      <w:r w:rsidRPr="003E76E7">
        <w:rPr>
          <w:b w:val="0"/>
          <w:sz w:val="14"/>
          <w:szCs w:val="14"/>
          <w:lang w:val="en-AU"/>
        </w:rPr>
        <w:t xml:space="preserve">in updates to the 2026-27 performance information in the 2026-30 Defence Corporate Plan, if required. </w:t>
      </w:r>
    </w:p>
    <w:p w14:paraId="7E432006" w14:textId="77777777" w:rsidR="000E395A" w:rsidRPr="003E76E7" w:rsidRDefault="000E395A" w:rsidP="00C4292D">
      <w:pPr>
        <w:spacing w:before="0" w:after="0"/>
        <w:rPr>
          <w:rFonts w:ascii="Arial" w:hAnsi="Arial"/>
          <w:sz w:val="14"/>
          <w:szCs w:val="14"/>
          <w:lang w:val="en-AU"/>
        </w:rPr>
      </w:pPr>
      <w:r w:rsidRPr="003E76E7">
        <w:rPr>
          <w:b/>
          <w:sz w:val="14"/>
          <w:szCs w:val="14"/>
          <w:lang w:val="en-AU"/>
        </w:rPr>
        <w:br w:type="page"/>
      </w:r>
    </w:p>
    <w:p w14:paraId="11128B4A" w14:textId="7ADCB2E5" w:rsidR="003D5485" w:rsidRPr="003E76E7" w:rsidRDefault="003D5485" w:rsidP="00C4292D">
      <w:pPr>
        <w:pStyle w:val="TableHeading"/>
        <w:numPr>
          <w:ilvl w:val="0"/>
          <w:numId w:val="61"/>
        </w:numPr>
        <w:spacing w:before="100"/>
        <w:ind w:left="0" w:firstLine="0"/>
        <w:outlineLvl w:val="4"/>
        <w:rPr>
          <w:lang w:val="en-AU"/>
        </w:rPr>
      </w:pPr>
      <w:r w:rsidRPr="003E76E7">
        <w:rPr>
          <w:lang w:val="en-AU"/>
        </w:rPr>
        <w:lastRenderedPageBreak/>
        <w:t>Cost Summary for Program 2.6</w:t>
      </w:r>
      <w:r w:rsidR="00965956" w:rsidRPr="003E76E7">
        <w:rPr>
          <w:lang w:val="en-AU"/>
        </w:rPr>
        <w:t xml:space="preserve"> Army Capabilities</w:t>
      </w:r>
    </w:p>
    <w:p w14:paraId="4A9DE0ED" w14:textId="23BC563D" w:rsidR="00BB4F1A" w:rsidRPr="003E76E7" w:rsidRDefault="004F5402" w:rsidP="00C4292D">
      <w:pPr>
        <w:spacing w:after="0"/>
        <w:rPr>
          <w:rFonts w:ascii="Arial" w:hAnsi="Arial"/>
          <w:sz w:val="14"/>
          <w:szCs w:val="14"/>
        </w:rPr>
      </w:pPr>
      <w:r w:rsidRPr="004F5402">
        <w:rPr>
          <w:noProof/>
          <w:lang w:val="en-AU"/>
        </w:rPr>
        <w:drawing>
          <wp:inline distT="0" distB="0" distL="0" distR="0" wp14:anchorId="38692F2B" wp14:editId="6A510658">
            <wp:extent cx="5436235" cy="2816821"/>
            <wp:effectExtent l="0" t="0" r="0" b="317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36235" cy="2816821"/>
                    </a:xfrm>
                    <a:prstGeom prst="rect">
                      <a:avLst/>
                    </a:prstGeom>
                    <a:noFill/>
                    <a:ln>
                      <a:noFill/>
                    </a:ln>
                  </pic:spPr>
                </pic:pic>
              </a:graphicData>
            </a:graphic>
          </wp:inline>
        </w:drawing>
      </w:r>
    </w:p>
    <w:p w14:paraId="75F00C87" w14:textId="77777777" w:rsidR="00190A21" w:rsidRPr="003E76E7" w:rsidRDefault="00190A21" w:rsidP="00C4292D">
      <w:pPr>
        <w:tabs>
          <w:tab w:val="left" w:pos="284"/>
        </w:tabs>
        <w:spacing w:before="0" w:after="0"/>
        <w:ind w:left="284" w:hanging="284"/>
        <w:rPr>
          <w:rFonts w:ascii="Arial" w:hAnsi="Arial"/>
          <w:b/>
          <w:sz w:val="14"/>
          <w:szCs w:val="14"/>
        </w:rPr>
      </w:pPr>
    </w:p>
    <w:p w14:paraId="25CAC1C3" w14:textId="6B6AA95C" w:rsidR="00D352DC" w:rsidRPr="003E76E7" w:rsidRDefault="00D352DC" w:rsidP="00C4292D">
      <w:pPr>
        <w:tabs>
          <w:tab w:val="left" w:pos="284"/>
        </w:tabs>
        <w:spacing w:before="0" w:after="0"/>
        <w:ind w:left="284" w:hanging="284"/>
        <w:rPr>
          <w:rFonts w:ascii="Arial" w:hAnsi="Arial"/>
          <w:b/>
          <w:sz w:val="14"/>
          <w:szCs w:val="14"/>
        </w:rPr>
      </w:pPr>
      <w:r w:rsidRPr="003E76E7">
        <w:rPr>
          <w:rFonts w:ascii="Arial" w:hAnsi="Arial"/>
          <w:b/>
          <w:sz w:val="14"/>
          <w:szCs w:val="14"/>
        </w:rPr>
        <w:t>Notes</w:t>
      </w:r>
    </w:p>
    <w:p w14:paraId="64A1C117" w14:textId="348C167F" w:rsidR="009C52FA" w:rsidRPr="003E76E7" w:rsidRDefault="009C52FA" w:rsidP="00C4292D">
      <w:pPr>
        <w:pStyle w:val="ListParagraph"/>
        <w:numPr>
          <w:ilvl w:val="0"/>
          <w:numId w:val="113"/>
        </w:numPr>
        <w:tabs>
          <w:tab w:val="left" w:pos="284"/>
        </w:tabs>
        <w:spacing w:before="0" w:after="0"/>
        <w:ind w:left="284" w:hanging="284"/>
        <w:rPr>
          <w:rFonts w:ascii="Arial" w:hAnsi="Arial"/>
          <w:sz w:val="14"/>
          <w:szCs w:val="14"/>
        </w:rPr>
      </w:pPr>
      <w:r w:rsidRPr="003E76E7">
        <w:rPr>
          <w:rFonts w:ascii="Arial" w:hAnsi="Arial"/>
          <w:sz w:val="14"/>
          <w:szCs w:val="14"/>
        </w:rPr>
        <w:t xml:space="preserve">Purchase of inventory and inventory consumption are predominately budgeted in military programs (2.5 Navy Capabilities, </w:t>
      </w:r>
      <w:r w:rsidR="00397940" w:rsidRPr="003E76E7">
        <w:rPr>
          <w:rFonts w:ascii="Arial" w:hAnsi="Arial"/>
          <w:sz w:val="14"/>
          <w:szCs w:val="14"/>
        </w:rPr>
        <w:br/>
      </w:r>
      <w:r w:rsidRPr="003E76E7">
        <w:rPr>
          <w:rFonts w:ascii="Arial" w:hAnsi="Arial"/>
          <w:sz w:val="14"/>
          <w:szCs w:val="14"/>
        </w:rPr>
        <w:t>2.6 Army Capabilities and 2.7 Air Force Capabilities), however, actual purchase and consumption of inventory may occur under different programs.</w:t>
      </w:r>
      <w:r w:rsidRPr="003E76E7">
        <w:rPr>
          <w:rFonts w:ascii="Arial" w:hAnsi="Arial"/>
          <w:sz w:val="14"/>
          <w:szCs w:val="14"/>
        </w:rPr>
        <w:tab/>
      </w:r>
      <w:r w:rsidRPr="003E76E7">
        <w:rPr>
          <w:rFonts w:ascii="Arial" w:hAnsi="Arial"/>
          <w:sz w:val="14"/>
          <w:szCs w:val="14"/>
        </w:rPr>
        <w:tab/>
      </w:r>
      <w:r w:rsidRPr="003E76E7">
        <w:rPr>
          <w:rFonts w:ascii="Arial" w:hAnsi="Arial"/>
          <w:sz w:val="14"/>
          <w:szCs w:val="14"/>
        </w:rPr>
        <w:tab/>
      </w:r>
      <w:r w:rsidRPr="003E76E7">
        <w:rPr>
          <w:rFonts w:ascii="Arial" w:hAnsi="Arial"/>
          <w:sz w:val="14"/>
          <w:szCs w:val="14"/>
        </w:rPr>
        <w:tab/>
      </w:r>
      <w:r w:rsidRPr="003E76E7">
        <w:rPr>
          <w:rFonts w:ascii="Arial" w:hAnsi="Arial"/>
          <w:sz w:val="14"/>
          <w:szCs w:val="14"/>
        </w:rPr>
        <w:tab/>
      </w:r>
    </w:p>
    <w:p w14:paraId="2C798A2A" w14:textId="76C685B2" w:rsidR="009C52FA" w:rsidRPr="003E76E7" w:rsidRDefault="00A37A36" w:rsidP="00C4292D">
      <w:pPr>
        <w:pStyle w:val="ListParagraph"/>
        <w:numPr>
          <w:ilvl w:val="0"/>
          <w:numId w:val="113"/>
        </w:numPr>
        <w:tabs>
          <w:tab w:val="left" w:pos="284"/>
        </w:tabs>
        <w:spacing w:before="0" w:after="0"/>
        <w:ind w:left="284" w:hanging="284"/>
        <w:rPr>
          <w:rFonts w:ascii="Arial" w:hAnsi="Arial"/>
          <w:sz w:val="14"/>
          <w:szCs w:val="14"/>
        </w:rPr>
      </w:pPr>
      <w:r w:rsidRPr="003E76E7">
        <w:rPr>
          <w:rFonts w:ascii="Arial" w:hAnsi="Arial"/>
          <w:sz w:val="14"/>
          <w:szCs w:val="14"/>
        </w:rPr>
        <w:t>Total program funded</w:t>
      </w:r>
      <w:r w:rsidR="009C52FA" w:rsidRPr="003E76E7">
        <w:rPr>
          <w:rFonts w:ascii="Arial" w:hAnsi="Arial"/>
          <w:sz w:val="14"/>
          <w:szCs w:val="14"/>
        </w:rPr>
        <w:t xml:space="preserve"> expenditure includes operating expenses and capital expenditure funded by appropriation and </w:t>
      </w:r>
      <w:r w:rsidR="009C52FA" w:rsidRPr="003E76E7">
        <w:rPr>
          <w:rFonts w:ascii="Arial" w:hAnsi="Arial"/>
          <w:sz w:val="14"/>
          <w:szCs w:val="14"/>
        </w:rPr>
        <w:br/>
        <w:t>own source revenue. This excludes expenses not requiring appropriation.</w:t>
      </w:r>
      <w:r w:rsidR="009C52FA" w:rsidRPr="003E76E7">
        <w:rPr>
          <w:rFonts w:ascii="Arial" w:hAnsi="Arial"/>
          <w:sz w:val="14"/>
          <w:szCs w:val="14"/>
        </w:rPr>
        <w:tab/>
      </w:r>
      <w:r w:rsidR="009C52FA" w:rsidRPr="003E76E7">
        <w:rPr>
          <w:rFonts w:ascii="Arial" w:hAnsi="Arial"/>
          <w:sz w:val="14"/>
          <w:szCs w:val="14"/>
        </w:rPr>
        <w:tab/>
      </w:r>
      <w:r w:rsidR="009C52FA" w:rsidRPr="003E76E7">
        <w:rPr>
          <w:rFonts w:ascii="Arial" w:hAnsi="Arial"/>
          <w:sz w:val="14"/>
          <w:szCs w:val="14"/>
        </w:rPr>
        <w:tab/>
      </w:r>
      <w:r w:rsidR="009C52FA" w:rsidRPr="003E76E7">
        <w:rPr>
          <w:rFonts w:ascii="Arial" w:hAnsi="Arial"/>
          <w:sz w:val="14"/>
          <w:szCs w:val="14"/>
        </w:rPr>
        <w:tab/>
      </w:r>
      <w:r w:rsidR="009C52FA" w:rsidRPr="003E76E7">
        <w:rPr>
          <w:rFonts w:ascii="Arial" w:hAnsi="Arial"/>
          <w:sz w:val="14"/>
          <w:szCs w:val="14"/>
        </w:rPr>
        <w:tab/>
      </w:r>
    </w:p>
    <w:p w14:paraId="260E254D" w14:textId="77777777" w:rsidR="00190A21" w:rsidRPr="003E76E7" w:rsidRDefault="009C52FA" w:rsidP="00C4292D">
      <w:pPr>
        <w:pStyle w:val="ListParagraph"/>
        <w:numPr>
          <w:ilvl w:val="0"/>
          <w:numId w:val="113"/>
        </w:numPr>
        <w:tabs>
          <w:tab w:val="left" w:pos="284"/>
        </w:tabs>
        <w:spacing w:before="0" w:after="0"/>
        <w:ind w:left="284" w:hanging="284"/>
        <w:rPr>
          <w:rFonts w:ascii="Arial" w:hAnsi="Arial"/>
          <w:sz w:val="14"/>
          <w:szCs w:val="14"/>
        </w:rPr>
      </w:pPr>
      <w:r w:rsidRPr="003E76E7">
        <w:rPr>
          <w:rFonts w:ascii="Arial" w:hAnsi="Arial"/>
          <w:sz w:val="14"/>
          <w:szCs w:val="14"/>
        </w:rPr>
        <w:t>The change in estimates includes movement of functions and their associated budgets within Defence.</w:t>
      </w:r>
      <w:r w:rsidRPr="003E76E7">
        <w:rPr>
          <w:rFonts w:ascii="Arial" w:hAnsi="Arial"/>
          <w:sz w:val="14"/>
          <w:szCs w:val="14"/>
        </w:rPr>
        <w:tab/>
      </w:r>
      <w:r w:rsidRPr="003E76E7">
        <w:rPr>
          <w:rFonts w:ascii="Arial" w:hAnsi="Arial"/>
          <w:sz w:val="14"/>
          <w:szCs w:val="14"/>
        </w:rPr>
        <w:tab/>
      </w:r>
      <w:r w:rsidRPr="003E76E7">
        <w:rPr>
          <w:rFonts w:ascii="Arial" w:hAnsi="Arial"/>
          <w:sz w:val="14"/>
          <w:szCs w:val="14"/>
        </w:rPr>
        <w:tab/>
      </w:r>
      <w:r w:rsidRPr="003E76E7">
        <w:rPr>
          <w:rFonts w:ascii="Arial" w:hAnsi="Arial"/>
          <w:sz w:val="14"/>
          <w:szCs w:val="14"/>
        </w:rPr>
        <w:tab/>
      </w:r>
      <w:r w:rsidRPr="003E76E7">
        <w:rPr>
          <w:rFonts w:ascii="Arial" w:hAnsi="Arial"/>
          <w:sz w:val="14"/>
          <w:szCs w:val="14"/>
        </w:rPr>
        <w:tab/>
      </w:r>
      <w:r w:rsidRPr="003E76E7" w:rsidDel="009C52FA">
        <w:rPr>
          <w:rFonts w:ascii="Arial" w:hAnsi="Arial"/>
          <w:sz w:val="14"/>
          <w:szCs w:val="14"/>
        </w:rPr>
        <w:t xml:space="preserve"> </w:t>
      </w:r>
    </w:p>
    <w:p w14:paraId="6E780B43" w14:textId="6B4736CC" w:rsidR="00CD66E1" w:rsidRPr="003E76E7" w:rsidRDefault="00190A21" w:rsidP="00C4292D">
      <w:pPr>
        <w:tabs>
          <w:tab w:val="left" w:pos="284"/>
        </w:tabs>
        <w:spacing w:before="0" w:after="0"/>
        <w:rPr>
          <w:rFonts w:ascii="Arial" w:hAnsi="Arial"/>
          <w:sz w:val="14"/>
          <w:szCs w:val="14"/>
        </w:rPr>
      </w:pPr>
      <w:r w:rsidRPr="003E76E7">
        <w:rPr>
          <w:rFonts w:ascii="Arial" w:hAnsi="Arial"/>
          <w:sz w:val="14"/>
          <w:szCs w:val="14"/>
        </w:rPr>
        <w:tab/>
      </w:r>
      <w:r w:rsidRPr="003E76E7">
        <w:rPr>
          <w:rFonts w:ascii="Arial" w:hAnsi="Arial"/>
          <w:sz w:val="14"/>
          <w:szCs w:val="14"/>
        </w:rPr>
        <w:tab/>
      </w:r>
    </w:p>
    <w:p w14:paraId="154FD775" w14:textId="6547481A" w:rsidR="005403E1" w:rsidRPr="003E76E7" w:rsidRDefault="005403E1" w:rsidP="00C4292D">
      <w:pPr>
        <w:pStyle w:val="TableHeading"/>
        <w:numPr>
          <w:ilvl w:val="0"/>
          <w:numId w:val="61"/>
        </w:numPr>
        <w:spacing w:before="100"/>
        <w:ind w:left="0" w:firstLine="0"/>
        <w:outlineLvl w:val="4"/>
        <w:rPr>
          <w:lang w:val="en-AU"/>
        </w:rPr>
      </w:pPr>
      <w:r w:rsidRPr="003E76E7">
        <w:rPr>
          <w:lang w:val="en-AU"/>
        </w:rPr>
        <w:t>Army Deliverables (Flying Hours)</w:t>
      </w:r>
    </w:p>
    <w:p w14:paraId="7FDE7EC6" w14:textId="77777777" w:rsidR="00597CD8" w:rsidRPr="003E76E7" w:rsidRDefault="00597CD8" w:rsidP="00C4292D">
      <w:pPr>
        <w:spacing w:before="0" w:after="0"/>
        <w:rPr>
          <w:sz w:val="2"/>
          <w:lang w:val="en-AU"/>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8"/>
        <w:gridCol w:w="2568"/>
        <w:gridCol w:w="1073"/>
        <w:gridCol w:w="1073"/>
        <w:gridCol w:w="1073"/>
        <w:gridCol w:w="1073"/>
        <w:gridCol w:w="1073"/>
      </w:tblGrid>
      <w:tr w:rsidR="001E4E1B" w:rsidRPr="003E76E7" w14:paraId="1FAE6D58" w14:textId="77777777" w:rsidTr="000E1A17">
        <w:tc>
          <w:tcPr>
            <w:tcW w:w="2922" w:type="dxa"/>
            <w:gridSpan w:val="2"/>
            <w:shd w:val="clear" w:color="auto" w:fill="auto"/>
          </w:tcPr>
          <w:p w14:paraId="1931EDEA" w14:textId="77777777" w:rsidR="001E4E1B" w:rsidRPr="003E76E7" w:rsidRDefault="001E4E1B" w:rsidP="00C4292D">
            <w:pPr>
              <w:pStyle w:val="TableTextHeadingLeft"/>
              <w:rPr>
                <w:sz w:val="16"/>
                <w:szCs w:val="16"/>
              </w:rPr>
            </w:pPr>
            <w:r w:rsidRPr="003E76E7">
              <w:rPr>
                <w:sz w:val="16"/>
                <w:szCs w:val="16"/>
              </w:rPr>
              <w:t>Deliverables</w:t>
            </w:r>
          </w:p>
        </w:tc>
        <w:tc>
          <w:tcPr>
            <w:tcW w:w="984" w:type="dxa"/>
            <w:shd w:val="clear" w:color="auto" w:fill="auto"/>
            <w:vAlign w:val="bottom"/>
          </w:tcPr>
          <w:p w14:paraId="2B80ED12" w14:textId="77777777" w:rsidR="001E4E1B" w:rsidRPr="003E76E7" w:rsidRDefault="001E4E1B" w:rsidP="00C4292D">
            <w:pPr>
              <w:pStyle w:val="TableTextHeadingRight"/>
              <w:rPr>
                <w:sz w:val="16"/>
                <w:szCs w:val="16"/>
              </w:rPr>
            </w:pPr>
            <w:r w:rsidRPr="003E76E7">
              <w:rPr>
                <w:sz w:val="16"/>
                <w:szCs w:val="16"/>
              </w:rPr>
              <w:t>2025-26 Estimated Actual</w:t>
            </w:r>
          </w:p>
        </w:tc>
        <w:tc>
          <w:tcPr>
            <w:tcW w:w="984" w:type="dxa"/>
            <w:shd w:val="clear" w:color="auto" w:fill="auto"/>
            <w:vAlign w:val="bottom"/>
          </w:tcPr>
          <w:p w14:paraId="0C1394D3" w14:textId="77777777" w:rsidR="001E4E1B" w:rsidRPr="003E76E7" w:rsidRDefault="001E4E1B" w:rsidP="00C4292D">
            <w:pPr>
              <w:pStyle w:val="TableTextHeadingRight"/>
              <w:rPr>
                <w:sz w:val="16"/>
                <w:szCs w:val="16"/>
              </w:rPr>
            </w:pPr>
            <w:r w:rsidRPr="003E76E7">
              <w:rPr>
                <w:sz w:val="16"/>
                <w:szCs w:val="16"/>
              </w:rPr>
              <w:t>2026-27 Budget Estimate</w:t>
            </w:r>
          </w:p>
        </w:tc>
        <w:tc>
          <w:tcPr>
            <w:tcW w:w="984" w:type="dxa"/>
            <w:shd w:val="clear" w:color="auto" w:fill="auto"/>
            <w:vAlign w:val="bottom"/>
          </w:tcPr>
          <w:p w14:paraId="6641087D" w14:textId="77777777" w:rsidR="001E4E1B" w:rsidRPr="003E76E7" w:rsidRDefault="001E4E1B" w:rsidP="00C4292D">
            <w:pPr>
              <w:pStyle w:val="TableTextHeadingRight"/>
              <w:rPr>
                <w:sz w:val="16"/>
                <w:szCs w:val="16"/>
              </w:rPr>
            </w:pPr>
            <w:r w:rsidRPr="003E76E7">
              <w:rPr>
                <w:sz w:val="16"/>
                <w:szCs w:val="16"/>
              </w:rPr>
              <w:t>2027-28 Forward Estimate</w:t>
            </w:r>
          </w:p>
        </w:tc>
        <w:tc>
          <w:tcPr>
            <w:tcW w:w="984" w:type="dxa"/>
            <w:shd w:val="clear" w:color="auto" w:fill="auto"/>
            <w:vAlign w:val="bottom"/>
          </w:tcPr>
          <w:p w14:paraId="67EF9932" w14:textId="77777777" w:rsidR="001E4E1B" w:rsidRPr="003E76E7" w:rsidRDefault="001E4E1B" w:rsidP="00C4292D">
            <w:pPr>
              <w:pStyle w:val="TableTextHeadingRight"/>
              <w:rPr>
                <w:sz w:val="16"/>
                <w:szCs w:val="16"/>
              </w:rPr>
            </w:pPr>
            <w:r w:rsidRPr="003E76E7">
              <w:rPr>
                <w:sz w:val="16"/>
                <w:szCs w:val="16"/>
              </w:rPr>
              <w:t>2028-29 Forward Estimate</w:t>
            </w:r>
          </w:p>
        </w:tc>
        <w:tc>
          <w:tcPr>
            <w:tcW w:w="984" w:type="dxa"/>
            <w:shd w:val="clear" w:color="auto" w:fill="auto"/>
            <w:vAlign w:val="bottom"/>
          </w:tcPr>
          <w:p w14:paraId="6DD501AE" w14:textId="77777777" w:rsidR="001E4E1B" w:rsidRPr="003E76E7" w:rsidRDefault="001E4E1B" w:rsidP="00C4292D">
            <w:pPr>
              <w:pStyle w:val="TableTextHeadingRight"/>
              <w:rPr>
                <w:sz w:val="16"/>
                <w:szCs w:val="16"/>
              </w:rPr>
            </w:pPr>
            <w:r w:rsidRPr="003E76E7">
              <w:rPr>
                <w:sz w:val="16"/>
                <w:szCs w:val="16"/>
              </w:rPr>
              <w:t>2029-30 Forward Estimate</w:t>
            </w:r>
          </w:p>
        </w:tc>
      </w:tr>
      <w:tr w:rsidR="001E4E1B" w:rsidRPr="003E76E7" w14:paraId="19D22AAF" w14:textId="77777777" w:rsidTr="000E1A17">
        <w:tc>
          <w:tcPr>
            <w:tcW w:w="567" w:type="dxa"/>
            <w:shd w:val="clear" w:color="auto" w:fill="auto"/>
            <w:vAlign w:val="center"/>
          </w:tcPr>
          <w:p w14:paraId="01A589A3" w14:textId="77777777" w:rsidR="001E4E1B" w:rsidRPr="003E76E7" w:rsidRDefault="001E4E1B" w:rsidP="00C4292D">
            <w:pPr>
              <w:pStyle w:val="TabletextLeft"/>
              <w:jc w:val="right"/>
              <w:rPr>
                <w:rFonts w:cs="Arial"/>
                <w:sz w:val="16"/>
                <w:szCs w:val="16"/>
              </w:rPr>
            </w:pPr>
            <w:r w:rsidRPr="003E76E7">
              <w:rPr>
                <w:rFonts w:cs="Arial"/>
                <w:sz w:val="16"/>
                <w:szCs w:val="16"/>
              </w:rPr>
              <w:t>14</w:t>
            </w:r>
          </w:p>
        </w:tc>
        <w:tc>
          <w:tcPr>
            <w:tcW w:w="2355" w:type="dxa"/>
            <w:shd w:val="clear" w:color="auto" w:fill="auto"/>
            <w:vAlign w:val="center"/>
          </w:tcPr>
          <w:p w14:paraId="469DDC53" w14:textId="77777777" w:rsidR="001E4E1B" w:rsidRPr="003E76E7" w:rsidRDefault="001E4E1B" w:rsidP="00C4292D">
            <w:pPr>
              <w:pStyle w:val="TabletextLeft"/>
              <w:rPr>
                <w:rFonts w:cs="Arial"/>
                <w:sz w:val="16"/>
                <w:szCs w:val="16"/>
              </w:rPr>
            </w:pPr>
            <w:r w:rsidRPr="003E76E7">
              <w:rPr>
                <w:rFonts w:cs="Arial"/>
                <w:sz w:val="16"/>
                <w:szCs w:val="16"/>
                <w:lang w:eastAsia="en-US"/>
              </w:rPr>
              <w:t>CH-47F Chinook</w:t>
            </w:r>
          </w:p>
        </w:tc>
        <w:tc>
          <w:tcPr>
            <w:tcW w:w="984" w:type="dxa"/>
            <w:shd w:val="clear" w:color="auto" w:fill="auto"/>
            <w:vAlign w:val="center"/>
          </w:tcPr>
          <w:p w14:paraId="311A3924" w14:textId="77777777" w:rsidR="001E4E1B" w:rsidRPr="003E76E7" w:rsidRDefault="001E4E1B" w:rsidP="00C4292D">
            <w:pPr>
              <w:pStyle w:val="TableParagraph"/>
              <w:kinsoku w:val="0"/>
              <w:overflowPunct w:val="0"/>
              <w:spacing w:before="39" w:line="166" w:lineRule="exact"/>
              <w:ind w:right="69"/>
              <w:jc w:val="right"/>
              <w:rPr>
                <w:rFonts w:eastAsiaTheme="minorEastAsia"/>
                <w:strike/>
                <w:spacing w:val="-4"/>
                <w:w w:val="105"/>
                <w:sz w:val="16"/>
                <w:szCs w:val="16"/>
              </w:rPr>
            </w:pPr>
            <w:r w:rsidRPr="003E76E7">
              <w:rPr>
                <w:sz w:val="16"/>
                <w:szCs w:val="16"/>
              </w:rPr>
              <w:t>2,500</w:t>
            </w:r>
          </w:p>
        </w:tc>
        <w:tc>
          <w:tcPr>
            <w:tcW w:w="984" w:type="dxa"/>
            <w:shd w:val="clear" w:color="auto" w:fill="auto"/>
            <w:vAlign w:val="center"/>
          </w:tcPr>
          <w:p w14:paraId="560EE8FA" w14:textId="77777777" w:rsidR="001E4E1B" w:rsidRPr="003E76E7" w:rsidRDefault="001E4E1B" w:rsidP="00C4292D">
            <w:pPr>
              <w:pStyle w:val="TableParagraph"/>
              <w:kinsoku w:val="0"/>
              <w:overflowPunct w:val="0"/>
              <w:spacing w:before="39" w:line="166" w:lineRule="exact"/>
              <w:ind w:right="69"/>
              <w:jc w:val="right"/>
              <w:rPr>
                <w:spacing w:val="-4"/>
                <w:w w:val="105"/>
                <w:sz w:val="16"/>
                <w:szCs w:val="16"/>
              </w:rPr>
            </w:pPr>
            <w:r w:rsidRPr="003E76E7">
              <w:rPr>
                <w:sz w:val="16"/>
                <w:szCs w:val="16"/>
              </w:rPr>
              <w:t>3,000</w:t>
            </w:r>
          </w:p>
        </w:tc>
        <w:tc>
          <w:tcPr>
            <w:tcW w:w="984" w:type="dxa"/>
            <w:shd w:val="clear" w:color="auto" w:fill="auto"/>
            <w:vAlign w:val="center"/>
          </w:tcPr>
          <w:p w14:paraId="150CA2ED" w14:textId="77777777" w:rsidR="001E4E1B" w:rsidRPr="003E76E7" w:rsidRDefault="001E4E1B" w:rsidP="00C4292D">
            <w:pPr>
              <w:pStyle w:val="TableParagraph"/>
              <w:kinsoku w:val="0"/>
              <w:overflowPunct w:val="0"/>
              <w:spacing w:before="39" w:line="166" w:lineRule="exact"/>
              <w:ind w:right="69"/>
              <w:jc w:val="right"/>
              <w:rPr>
                <w:spacing w:val="-2"/>
                <w:sz w:val="15"/>
                <w:szCs w:val="15"/>
              </w:rPr>
            </w:pPr>
            <w:r w:rsidRPr="003E76E7">
              <w:rPr>
                <w:sz w:val="16"/>
                <w:szCs w:val="16"/>
              </w:rPr>
              <w:t>3,000</w:t>
            </w:r>
          </w:p>
        </w:tc>
        <w:tc>
          <w:tcPr>
            <w:tcW w:w="984" w:type="dxa"/>
            <w:shd w:val="clear" w:color="auto" w:fill="auto"/>
            <w:vAlign w:val="center"/>
          </w:tcPr>
          <w:p w14:paraId="20D32B5A" w14:textId="77777777" w:rsidR="001E4E1B" w:rsidRPr="003E76E7" w:rsidRDefault="001E4E1B" w:rsidP="00C4292D">
            <w:pPr>
              <w:pStyle w:val="TableParagraph"/>
              <w:kinsoku w:val="0"/>
              <w:overflowPunct w:val="0"/>
              <w:spacing w:before="39" w:line="166" w:lineRule="exact"/>
              <w:ind w:right="69"/>
              <w:jc w:val="right"/>
              <w:rPr>
                <w:spacing w:val="-2"/>
                <w:sz w:val="15"/>
                <w:szCs w:val="15"/>
              </w:rPr>
            </w:pPr>
            <w:r w:rsidRPr="003E76E7">
              <w:rPr>
                <w:sz w:val="16"/>
                <w:szCs w:val="16"/>
              </w:rPr>
              <w:t>3,000</w:t>
            </w:r>
          </w:p>
        </w:tc>
        <w:tc>
          <w:tcPr>
            <w:tcW w:w="984" w:type="dxa"/>
            <w:shd w:val="clear" w:color="auto" w:fill="auto"/>
            <w:vAlign w:val="center"/>
          </w:tcPr>
          <w:p w14:paraId="6032D996" w14:textId="77777777" w:rsidR="001E4E1B" w:rsidRPr="003E76E7" w:rsidRDefault="001E4E1B" w:rsidP="00C4292D">
            <w:pPr>
              <w:pStyle w:val="TableParagraph"/>
              <w:kinsoku w:val="0"/>
              <w:overflowPunct w:val="0"/>
              <w:spacing w:before="39" w:line="166" w:lineRule="exact"/>
              <w:ind w:right="69"/>
              <w:jc w:val="right"/>
              <w:rPr>
                <w:sz w:val="16"/>
                <w:szCs w:val="16"/>
              </w:rPr>
            </w:pPr>
            <w:r w:rsidRPr="003E76E7">
              <w:rPr>
                <w:sz w:val="16"/>
                <w:szCs w:val="16"/>
              </w:rPr>
              <w:t>3,000</w:t>
            </w:r>
          </w:p>
        </w:tc>
      </w:tr>
      <w:tr w:rsidR="001E4E1B" w:rsidRPr="003E76E7" w14:paraId="5E2BA33E" w14:textId="77777777" w:rsidTr="000E1A17">
        <w:tc>
          <w:tcPr>
            <w:tcW w:w="567" w:type="dxa"/>
            <w:shd w:val="clear" w:color="auto" w:fill="auto"/>
            <w:vAlign w:val="center"/>
          </w:tcPr>
          <w:p w14:paraId="2EBC3139" w14:textId="77777777" w:rsidR="001E4E1B" w:rsidRPr="003E76E7" w:rsidRDefault="001E4E1B" w:rsidP="00C4292D">
            <w:pPr>
              <w:pStyle w:val="TabletextLeft"/>
              <w:jc w:val="right"/>
              <w:rPr>
                <w:rFonts w:cs="Arial"/>
                <w:sz w:val="16"/>
                <w:szCs w:val="16"/>
              </w:rPr>
            </w:pPr>
            <w:r w:rsidRPr="003E76E7">
              <w:rPr>
                <w:rFonts w:cs="Arial"/>
                <w:sz w:val="16"/>
                <w:szCs w:val="16"/>
              </w:rPr>
              <w:t>22</w:t>
            </w:r>
          </w:p>
        </w:tc>
        <w:tc>
          <w:tcPr>
            <w:tcW w:w="2355" w:type="dxa"/>
            <w:shd w:val="clear" w:color="auto" w:fill="auto"/>
            <w:vAlign w:val="center"/>
          </w:tcPr>
          <w:p w14:paraId="04B933A6" w14:textId="77777777" w:rsidR="001E4E1B" w:rsidRPr="003E76E7" w:rsidRDefault="001E4E1B" w:rsidP="00C4292D">
            <w:pPr>
              <w:pStyle w:val="TabletextLeft"/>
              <w:rPr>
                <w:rFonts w:cs="Arial"/>
                <w:sz w:val="16"/>
                <w:szCs w:val="16"/>
              </w:rPr>
            </w:pPr>
            <w:r w:rsidRPr="003E76E7">
              <w:rPr>
                <w:rFonts w:cs="Arial"/>
                <w:sz w:val="16"/>
                <w:szCs w:val="16"/>
                <w:lang w:eastAsia="en-US"/>
              </w:rPr>
              <w:t xml:space="preserve">ARH Tiger </w:t>
            </w:r>
            <w:r w:rsidRPr="003E76E7">
              <w:rPr>
                <w:rFonts w:cs="Arial"/>
                <w:sz w:val="16"/>
                <w:szCs w:val="16"/>
                <w:vertAlign w:val="superscript"/>
                <w:lang w:eastAsia="en-US"/>
              </w:rPr>
              <w:t>[a]</w:t>
            </w:r>
          </w:p>
        </w:tc>
        <w:tc>
          <w:tcPr>
            <w:tcW w:w="984" w:type="dxa"/>
            <w:shd w:val="clear" w:color="auto" w:fill="auto"/>
            <w:vAlign w:val="center"/>
          </w:tcPr>
          <w:p w14:paraId="4FFF15E9" w14:textId="77777777" w:rsidR="001E4E1B" w:rsidRPr="003E76E7" w:rsidRDefault="001E4E1B" w:rsidP="00C4292D">
            <w:pPr>
              <w:pStyle w:val="TableParagraph"/>
              <w:kinsoku w:val="0"/>
              <w:overflowPunct w:val="0"/>
              <w:spacing w:before="39" w:line="166" w:lineRule="exact"/>
              <w:ind w:right="69"/>
              <w:jc w:val="right"/>
              <w:rPr>
                <w:strike/>
                <w:sz w:val="16"/>
                <w:szCs w:val="16"/>
              </w:rPr>
            </w:pPr>
            <w:r w:rsidRPr="003E76E7">
              <w:rPr>
                <w:sz w:val="16"/>
                <w:szCs w:val="16"/>
              </w:rPr>
              <w:t>1,236</w:t>
            </w:r>
          </w:p>
        </w:tc>
        <w:tc>
          <w:tcPr>
            <w:tcW w:w="984" w:type="dxa"/>
            <w:shd w:val="clear" w:color="auto" w:fill="auto"/>
            <w:vAlign w:val="center"/>
          </w:tcPr>
          <w:p w14:paraId="07F864BD" w14:textId="77777777" w:rsidR="001E4E1B" w:rsidRPr="003E76E7" w:rsidRDefault="001E4E1B" w:rsidP="00C4292D">
            <w:pPr>
              <w:pStyle w:val="TableParagraph"/>
              <w:kinsoku w:val="0"/>
              <w:overflowPunct w:val="0"/>
              <w:spacing w:before="39" w:line="166" w:lineRule="exact"/>
              <w:ind w:right="69"/>
              <w:jc w:val="right"/>
              <w:rPr>
                <w:rFonts w:eastAsiaTheme="minorEastAsia"/>
                <w:spacing w:val="-4"/>
                <w:w w:val="105"/>
                <w:sz w:val="16"/>
                <w:szCs w:val="16"/>
              </w:rPr>
            </w:pPr>
            <w:r w:rsidRPr="003E76E7">
              <w:rPr>
                <w:sz w:val="16"/>
                <w:szCs w:val="16"/>
              </w:rPr>
              <w:t>450</w:t>
            </w:r>
          </w:p>
        </w:tc>
        <w:tc>
          <w:tcPr>
            <w:tcW w:w="984" w:type="dxa"/>
            <w:shd w:val="clear" w:color="auto" w:fill="auto"/>
            <w:vAlign w:val="center"/>
          </w:tcPr>
          <w:p w14:paraId="5F3D5903" w14:textId="77777777" w:rsidR="001E4E1B" w:rsidRPr="003E76E7" w:rsidRDefault="001E4E1B" w:rsidP="00C4292D">
            <w:pPr>
              <w:pStyle w:val="TableParagraph"/>
              <w:kinsoku w:val="0"/>
              <w:overflowPunct w:val="0"/>
              <w:spacing w:before="39" w:line="166" w:lineRule="exact"/>
              <w:ind w:right="69"/>
              <w:jc w:val="right"/>
              <w:rPr>
                <w:strike/>
                <w:sz w:val="16"/>
                <w:szCs w:val="16"/>
              </w:rPr>
            </w:pPr>
            <w:r w:rsidRPr="003E76E7">
              <w:rPr>
                <w:sz w:val="16"/>
                <w:szCs w:val="16"/>
              </w:rPr>
              <w:t>-</w:t>
            </w:r>
          </w:p>
        </w:tc>
        <w:tc>
          <w:tcPr>
            <w:tcW w:w="984" w:type="dxa"/>
            <w:shd w:val="clear" w:color="auto" w:fill="auto"/>
            <w:vAlign w:val="center"/>
          </w:tcPr>
          <w:p w14:paraId="4F8CA453" w14:textId="77777777" w:rsidR="001E4E1B" w:rsidRPr="003E76E7" w:rsidRDefault="001E4E1B" w:rsidP="00C4292D">
            <w:pPr>
              <w:pStyle w:val="TableParagraph"/>
              <w:kinsoku w:val="0"/>
              <w:overflowPunct w:val="0"/>
              <w:spacing w:before="39" w:line="166" w:lineRule="exact"/>
              <w:ind w:right="69"/>
              <w:jc w:val="right"/>
              <w:rPr>
                <w:rFonts w:eastAsiaTheme="minorEastAsia"/>
                <w:spacing w:val="-4"/>
                <w:w w:val="105"/>
                <w:sz w:val="16"/>
                <w:szCs w:val="16"/>
              </w:rPr>
            </w:pPr>
            <w:r w:rsidRPr="003E76E7">
              <w:rPr>
                <w:sz w:val="16"/>
                <w:szCs w:val="16"/>
              </w:rPr>
              <w:t>-</w:t>
            </w:r>
          </w:p>
        </w:tc>
        <w:tc>
          <w:tcPr>
            <w:tcW w:w="984" w:type="dxa"/>
            <w:shd w:val="clear" w:color="auto" w:fill="auto"/>
            <w:vAlign w:val="center"/>
          </w:tcPr>
          <w:p w14:paraId="6188F4FE" w14:textId="77777777" w:rsidR="001E4E1B" w:rsidRPr="003E76E7" w:rsidRDefault="001E4E1B" w:rsidP="00C4292D">
            <w:pPr>
              <w:pStyle w:val="TableParagraph"/>
              <w:kinsoku w:val="0"/>
              <w:overflowPunct w:val="0"/>
              <w:spacing w:before="39" w:line="166" w:lineRule="exact"/>
              <w:ind w:right="69"/>
              <w:jc w:val="right"/>
              <w:rPr>
                <w:spacing w:val="-10"/>
                <w:w w:val="95"/>
                <w:sz w:val="22"/>
                <w:szCs w:val="22"/>
              </w:rPr>
            </w:pPr>
            <w:r w:rsidRPr="003E76E7">
              <w:rPr>
                <w:sz w:val="16"/>
                <w:szCs w:val="16"/>
              </w:rPr>
              <w:t>-</w:t>
            </w:r>
          </w:p>
        </w:tc>
      </w:tr>
      <w:tr w:rsidR="001E4E1B" w:rsidRPr="003E76E7" w14:paraId="21FDE695" w14:textId="77777777" w:rsidTr="000E1A17">
        <w:tc>
          <w:tcPr>
            <w:tcW w:w="567" w:type="dxa"/>
            <w:shd w:val="clear" w:color="auto" w:fill="auto"/>
          </w:tcPr>
          <w:p w14:paraId="4B225BBD" w14:textId="77777777" w:rsidR="001E4E1B" w:rsidRPr="003E76E7" w:rsidRDefault="001E4E1B" w:rsidP="00C4292D">
            <w:pPr>
              <w:pStyle w:val="TabletextLeft"/>
              <w:jc w:val="right"/>
              <w:rPr>
                <w:rFonts w:cs="Arial"/>
                <w:sz w:val="16"/>
                <w:szCs w:val="16"/>
              </w:rPr>
            </w:pPr>
            <w:r w:rsidRPr="003E76E7">
              <w:rPr>
                <w:rFonts w:cs="Arial"/>
                <w:sz w:val="16"/>
                <w:szCs w:val="16"/>
              </w:rPr>
              <w:t>29</w:t>
            </w:r>
          </w:p>
        </w:tc>
        <w:tc>
          <w:tcPr>
            <w:tcW w:w="2355" w:type="dxa"/>
            <w:shd w:val="clear" w:color="auto" w:fill="auto"/>
          </w:tcPr>
          <w:p w14:paraId="00262FD1" w14:textId="77777777" w:rsidR="001E4E1B" w:rsidRPr="003E76E7" w:rsidRDefault="001E4E1B" w:rsidP="00C4292D">
            <w:pPr>
              <w:pStyle w:val="TabletextLeft"/>
              <w:rPr>
                <w:rFonts w:cs="Arial"/>
                <w:sz w:val="16"/>
                <w:szCs w:val="16"/>
              </w:rPr>
            </w:pPr>
            <w:r w:rsidRPr="003E76E7">
              <w:rPr>
                <w:rFonts w:cs="Arial"/>
                <w:sz w:val="16"/>
                <w:szCs w:val="16"/>
                <w:lang w:eastAsia="en-US"/>
              </w:rPr>
              <w:t xml:space="preserve">AH-64E Apache </w:t>
            </w:r>
            <w:r w:rsidRPr="003E76E7">
              <w:rPr>
                <w:rFonts w:cs="Arial"/>
                <w:sz w:val="16"/>
                <w:szCs w:val="16"/>
                <w:vertAlign w:val="superscript"/>
                <w:lang w:eastAsia="en-US"/>
              </w:rPr>
              <w:t>[b]</w:t>
            </w:r>
          </w:p>
        </w:tc>
        <w:tc>
          <w:tcPr>
            <w:tcW w:w="984" w:type="dxa"/>
            <w:shd w:val="clear" w:color="auto" w:fill="auto"/>
            <w:vAlign w:val="center"/>
          </w:tcPr>
          <w:p w14:paraId="54050359" w14:textId="77777777" w:rsidR="001E4E1B" w:rsidRPr="003E76E7" w:rsidRDefault="001E4E1B" w:rsidP="00C4292D">
            <w:pPr>
              <w:pStyle w:val="TableParagraph"/>
              <w:kinsoku w:val="0"/>
              <w:overflowPunct w:val="0"/>
              <w:spacing w:before="39" w:line="166" w:lineRule="exact"/>
              <w:ind w:right="69"/>
              <w:jc w:val="right"/>
              <w:rPr>
                <w:strike/>
                <w:sz w:val="16"/>
                <w:szCs w:val="16"/>
              </w:rPr>
            </w:pPr>
            <w:r w:rsidRPr="003E76E7">
              <w:rPr>
                <w:sz w:val="16"/>
                <w:szCs w:val="16"/>
              </w:rPr>
              <w:t>540</w:t>
            </w:r>
          </w:p>
        </w:tc>
        <w:tc>
          <w:tcPr>
            <w:tcW w:w="984" w:type="dxa"/>
            <w:shd w:val="clear" w:color="auto" w:fill="auto"/>
            <w:vAlign w:val="center"/>
          </w:tcPr>
          <w:p w14:paraId="5F5E3D6E" w14:textId="77777777" w:rsidR="001E4E1B" w:rsidRPr="003E76E7" w:rsidRDefault="001E4E1B" w:rsidP="00C4292D">
            <w:pPr>
              <w:pStyle w:val="TableParagraph"/>
              <w:kinsoku w:val="0"/>
              <w:overflowPunct w:val="0"/>
              <w:spacing w:before="39" w:line="166" w:lineRule="exact"/>
              <w:ind w:right="69"/>
              <w:jc w:val="right"/>
              <w:rPr>
                <w:rFonts w:eastAsiaTheme="minorEastAsia"/>
                <w:spacing w:val="-4"/>
                <w:w w:val="105"/>
                <w:sz w:val="16"/>
                <w:szCs w:val="16"/>
              </w:rPr>
            </w:pPr>
            <w:r w:rsidRPr="003E76E7">
              <w:rPr>
                <w:sz w:val="16"/>
                <w:szCs w:val="16"/>
              </w:rPr>
              <w:t>2,200</w:t>
            </w:r>
          </w:p>
        </w:tc>
        <w:tc>
          <w:tcPr>
            <w:tcW w:w="984" w:type="dxa"/>
            <w:shd w:val="clear" w:color="auto" w:fill="auto"/>
            <w:vAlign w:val="center"/>
          </w:tcPr>
          <w:p w14:paraId="3D6793DB" w14:textId="77777777" w:rsidR="001E4E1B" w:rsidRPr="003E76E7" w:rsidRDefault="001E4E1B" w:rsidP="00C4292D">
            <w:pPr>
              <w:pStyle w:val="TableParagraph"/>
              <w:kinsoku w:val="0"/>
              <w:overflowPunct w:val="0"/>
              <w:spacing w:before="39" w:line="166" w:lineRule="exact"/>
              <w:ind w:right="69"/>
              <w:jc w:val="right"/>
              <w:rPr>
                <w:rFonts w:eastAsiaTheme="minorEastAsia"/>
                <w:spacing w:val="-4"/>
                <w:w w:val="105"/>
                <w:sz w:val="16"/>
                <w:szCs w:val="16"/>
              </w:rPr>
            </w:pPr>
            <w:r w:rsidRPr="003E76E7">
              <w:rPr>
                <w:sz w:val="16"/>
                <w:szCs w:val="16"/>
              </w:rPr>
              <w:t>3,700</w:t>
            </w:r>
          </w:p>
        </w:tc>
        <w:tc>
          <w:tcPr>
            <w:tcW w:w="984" w:type="dxa"/>
            <w:shd w:val="clear" w:color="auto" w:fill="auto"/>
            <w:vAlign w:val="center"/>
          </w:tcPr>
          <w:p w14:paraId="49A00BCE" w14:textId="77777777" w:rsidR="001E4E1B" w:rsidRPr="003E76E7" w:rsidRDefault="001E4E1B" w:rsidP="00C4292D">
            <w:pPr>
              <w:pStyle w:val="TableParagraph"/>
              <w:kinsoku w:val="0"/>
              <w:overflowPunct w:val="0"/>
              <w:spacing w:before="39" w:line="166" w:lineRule="exact"/>
              <w:ind w:right="69"/>
              <w:jc w:val="right"/>
              <w:rPr>
                <w:rFonts w:eastAsiaTheme="minorEastAsia"/>
                <w:spacing w:val="-4"/>
                <w:w w:val="105"/>
                <w:sz w:val="16"/>
                <w:szCs w:val="16"/>
              </w:rPr>
            </w:pPr>
            <w:r w:rsidRPr="003E76E7">
              <w:rPr>
                <w:sz w:val="16"/>
                <w:szCs w:val="16"/>
              </w:rPr>
              <w:t>5,800</w:t>
            </w:r>
          </w:p>
        </w:tc>
        <w:tc>
          <w:tcPr>
            <w:tcW w:w="984" w:type="dxa"/>
            <w:shd w:val="clear" w:color="auto" w:fill="auto"/>
            <w:vAlign w:val="center"/>
          </w:tcPr>
          <w:p w14:paraId="1BF1B01C" w14:textId="77777777" w:rsidR="001E4E1B" w:rsidRPr="003E76E7" w:rsidRDefault="001E4E1B" w:rsidP="00C4292D">
            <w:pPr>
              <w:pStyle w:val="TableParagraph"/>
              <w:kinsoku w:val="0"/>
              <w:overflowPunct w:val="0"/>
              <w:spacing w:before="39" w:line="166" w:lineRule="exact"/>
              <w:ind w:right="69"/>
              <w:jc w:val="right"/>
              <w:rPr>
                <w:spacing w:val="-4"/>
                <w:w w:val="105"/>
                <w:sz w:val="15"/>
                <w:szCs w:val="15"/>
              </w:rPr>
            </w:pPr>
            <w:r w:rsidRPr="003E76E7">
              <w:rPr>
                <w:sz w:val="16"/>
                <w:szCs w:val="16"/>
              </w:rPr>
              <w:t>5,800</w:t>
            </w:r>
          </w:p>
        </w:tc>
      </w:tr>
      <w:tr w:rsidR="001E4E1B" w:rsidRPr="003E76E7" w14:paraId="477992A7" w14:textId="77777777" w:rsidTr="000E1A17">
        <w:tc>
          <w:tcPr>
            <w:tcW w:w="567" w:type="dxa"/>
            <w:shd w:val="clear" w:color="auto" w:fill="auto"/>
          </w:tcPr>
          <w:p w14:paraId="2483B5C0" w14:textId="77777777" w:rsidR="001E4E1B" w:rsidRPr="003E76E7" w:rsidRDefault="001E4E1B" w:rsidP="00C4292D">
            <w:pPr>
              <w:pStyle w:val="TabletextLeft"/>
              <w:jc w:val="right"/>
              <w:rPr>
                <w:rFonts w:cs="Arial"/>
                <w:sz w:val="16"/>
                <w:szCs w:val="16"/>
                <w:lang w:eastAsia="en-US"/>
              </w:rPr>
            </w:pPr>
            <w:r w:rsidRPr="003E76E7">
              <w:rPr>
                <w:rFonts w:cs="Arial"/>
                <w:sz w:val="16"/>
                <w:szCs w:val="16"/>
              </w:rPr>
              <w:t>40</w:t>
            </w:r>
          </w:p>
        </w:tc>
        <w:tc>
          <w:tcPr>
            <w:tcW w:w="2355" w:type="dxa"/>
            <w:shd w:val="clear" w:color="auto" w:fill="auto"/>
          </w:tcPr>
          <w:p w14:paraId="6BE0557F" w14:textId="77777777" w:rsidR="001E4E1B" w:rsidRPr="003E76E7" w:rsidRDefault="001E4E1B" w:rsidP="00C4292D">
            <w:pPr>
              <w:pStyle w:val="TabletextLeft"/>
              <w:rPr>
                <w:rFonts w:cs="Arial"/>
                <w:sz w:val="16"/>
                <w:szCs w:val="16"/>
                <w:lang w:eastAsia="en-US"/>
              </w:rPr>
            </w:pPr>
            <w:r w:rsidRPr="003E76E7">
              <w:rPr>
                <w:sz w:val="16"/>
                <w:szCs w:val="16"/>
                <w:lang w:eastAsia="en-US"/>
              </w:rPr>
              <w:t xml:space="preserve">UH-60M Black Hawk </w:t>
            </w:r>
            <w:r w:rsidRPr="003E76E7">
              <w:rPr>
                <w:sz w:val="16"/>
                <w:szCs w:val="16"/>
                <w:vertAlign w:val="superscript"/>
                <w:lang w:eastAsia="en-US"/>
              </w:rPr>
              <w:t>[c]</w:t>
            </w:r>
          </w:p>
        </w:tc>
        <w:tc>
          <w:tcPr>
            <w:tcW w:w="984" w:type="dxa"/>
            <w:shd w:val="clear" w:color="auto" w:fill="auto"/>
            <w:vAlign w:val="center"/>
          </w:tcPr>
          <w:p w14:paraId="183CE5AC" w14:textId="77777777" w:rsidR="001E4E1B" w:rsidRPr="003E76E7" w:rsidRDefault="001E4E1B" w:rsidP="00C4292D">
            <w:pPr>
              <w:pStyle w:val="TableParagraph"/>
              <w:kinsoku w:val="0"/>
              <w:overflowPunct w:val="0"/>
              <w:spacing w:before="39" w:line="166" w:lineRule="exact"/>
              <w:ind w:right="69"/>
              <w:jc w:val="right"/>
              <w:rPr>
                <w:strike/>
                <w:sz w:val="16"/>
                <w:szCs w:val="16"/>
              </w:rPr>
            </w:pPr>
            <w:r w:rsidRPr="003E76E7">
              <w:rPr>
                <w:sz w:val="16"/>
                <w:szCs w:val="16"/>
              </w:rPr>
              <w:t>3,930</w:t>
            </w:r>
          </w:p>
        </w:tc>
        <w:tc>
          <w:tcPr>
            <w:tcW w:w="984" w:type="dxa"/>
            <w:shd w:val="clear" w:color="auto" w:fill="auto"/>
            <w:vAlign w:val="center"/>
          </w:tcPr>
          <w:p w14:paraId="7343A6C3" w14:textId="77777777" w:rsidR="001E4E1B" w:rsidRPr="003E76E7" w:rsidRDefault="001E4E1B" w:rsidP="00C4292D">
            <w:pPr>
              <w:pStyle w:val="TableParagraph"/>
              <w:kinsoku w:val="0"/>
              <w:overflowPunct w:val="0"/>
              <w:spacing w:before="39" w:line="166" w:lineRule="exact"/>
              <w:ind w:right="69"/>
              <w:jc w:val="right"/>
              <w:rPr>
                <w:rFonts w:eastAsiaTheme="minorEastAsia"/>
                <w:spacing w:val="-4"/>
                <w:w w:val="105"/>
                <w:sz w:val="16"/>
                <w:szCs w:val="16"/>
              </w:rPr>
            </w:pPr>
            <w:r w:rsidRPr="003E76E7">
              <w:rPr>
                <w:sz w:val="16"/>
                <w:szCs w:val="16"/>
              </w:rPr>
              <w:t>4,000</w:t>
            </w:r>
          </w:p>
        </w:tc>
        <w:tc>
          <w:tcPr>
            <w:tcW w:w="984" w:type="dxa"/>
            <w:shd w:val="clear" w:color="auto" w:fill="auto"/>
            <w:vAlign w:val="center"/>
          </w:tcPr>
          <w:p w14:paraId="05617849" w14:textId="77777777" w:rsidR="001E4E1B" w:rsidRPr="003E76E7" w:rsidRDefault="001E4E1B" w:rsidP="00C4292D">
            <w:pPr>
              <w:pStyle w:val="TableParagraph"/>
              <w:kinsoku w:val="0"/>
              <w:overflowPunct w:val="0"/>
              <w:spacing w:before="39" w:line="166" w:lineRule="exact"/>
              <w:ind w:right="69"/>
              <w:jc w:val="right"/>
              <w:rPr>
                <w:rFonts w:eastAsiaTheme="minorEastAsia"/>
                <w:spacing w:val="-4"/>
                <w:w w:val="105"/>
                <w:sz w:val="16"/>
                <w:szCs w:val="16"/>
              </w:rPr>
            </w:pPr>
            <w:r w:rsidRPr="003E76E7">
              <w:rPr>
                <w:sz w:val="16"/>
                <w:szCs w:val="16"/>
              </w:rPr>
              <w:t>4,900</w:t>
            </w:r>
          </w:p>
        </w:tc>
        <w:tc>
          <w:tcPr>
            <w:tcW w:w="984" w:type="dxa"/>
            <w:shd w:val="clear" w:color="auto" w:fill="auto"/>
            <w:vAlign w:val="center"/>
          </w:tcPr>
          <w:p w14:paraId="07503C4C" w14:textId="77777777" w:rsidR="001E4E1B" w:rsidRPr="003E76E7" w:rsidRDefault="001E4E1B" w:rsidP="00C4292D">
            <w:pPr>
              <w:pStyle w:val="TableParagraph"/>
              <w:kinsoku w:val="0"/>
              <w:overflowPunct w:val="0"/>
              <w:spacing w:before="39" w:line="166" w:lineRule="exact"/>
              <w:ind w:right="69"/>
              <w:jc w:val="right"/>
              <w:rPr>
                <w:rFonts w:eastAsiaTheme="minorEastAsia"/>
                <w:spacing w:val="-4"/>
                <w:w w:val="105"/>
                <w:sz w:val="16"/>
                <w:szCs w:val="16"/>
              </w:rPr>
            </w:pPr>
            <w:r w:rsidRPr="003E76E7">
              <w:rPr>
                <w:sz w:val="16"/>
                <w:szCs w:val="16"/>
              </w:rPr>
              <w:t>6,900</w:t>
            </w:r>
          </w:p>
        </w:tc>
        <w:tc>
          <w:tcPr>
            <w:tcW w:w="984" w:type="dxa"/>
            <w:shd w:val="clear" w:color="auto" w:fill="auto"/>
            <w:vAlign w:val="center"/>
          </w:tcPr>
          <w:p w14:paraId="2C25F6CB" w14:textId="77777777" w:rsidR="001E4E1B" w:rsidRPr="003E76E7" w:rsidRDefault="001E4E1B" w:rsidP="00C4292D">
            <w:pPr>
              <w:pStyle w:val="TableParagraph"/>
              <w:kinsoku w:val="0"/>
              <w:overflowPunct w:val="0"/>
              <w:spacing w:before="39" w:line="166" w:lineRule="exact"/>
              <w:ind w:right="69"/>
              <w:jc w:val="right"/>
              <w:rPr>
                <w:rFonts w:eastAsiaTheme="minorEastAsia"/>
                <w:spacing w:val="-4"/>
                <w:w w:val="105"/>
                <w:sz w:val="16"/>
                <w:szCs w:val="16"/>
              </w:rPr>
            </w:pPr>
            <w:r w:rsidRPr="003E76E7">
              <w:rPr>
                <w:sz w:val="16"/>
                <w:szCs w:val="16"/>
              </w:rPr>
              <w:t>7,500</w:t>
            </w:r>
          </w:p>
        </w:tc>
      </w:tr>
      <w:tr w:rsidR="001E4E1B" w:rsidRPr="003E76E7" w14:paraId="0AB45774" w14:textId="77777777" w:rsidTr="000E1A17">
        <w:tc>
          <w:tcPr>
            <w:tcW w:w="567" w:type="dxa"/>
            <w:shd w:val="clear" w:color="auto" w:fill="auto"/>
          </w:tcPr>
          <w:p w14:paraId="1DFBE065" w14:textId="77777777" w:rsidR="001E4E1B" w:rsidRPr="003E76E7" w:rsidRDefault="001E4E1B" w:rsidP="00C4292D">
            <w:pPr>
              <w:pStyle w:val="TabletextLeft"/>
              <w:jc w:val="right"/>
              <w:rPr>
                <w:rFonts w:cs="Arial"/>
                <w:sz w:val="16"/>
                <w:szCs w:val="16"/>
                <w:lang w:eastAsia="en-US"/>
              </w:rPr>
            </w:pPr>
            <w:r w:rsidRPr="003E76E7">
              <w:rPr>
                <w:rFonts w:cs="Arial"/>
                <w:sz w:val="16"/>
                <w:szCs w:val="16"/>
                <w:lang w:eastAsia="en-US"/>
              </w:rPr>
              <w:t>6</w:t>
            </w:r>
          </w:p>
        </w:tc>
        <w:tc>
          <w:tcPr>
            <w:tcW w:w="2355" w:type="dxa"/>
            <w:shd w:val="clear" w:color="auto" w:fill="auto"/>
          </w:tcPr>
          <w:p w14:paraId="62DC405B" w14:textId="77777777" w:rsidR="001E4E1B" w:rsidRPr="003E76E7" w:rsidRDefault="001E4E1B" w:rsidP="00C4292D">
            <w:pPr>
              <w:pStyle w:val="TabletextLeft"/>
              <w:rPr>
                <w:rFonts w:cs="Arial"/>
                <w:sz w:val="16"/>
                <w:szCs w:val="16"/>
                <w:lang w:eastAsia="en-US"/>
              </w:rPr>
            </w:pPr>
            <w:r w:rsidRPr="003E76E7">
              <w:rPr>
                <w:sz w:val="16"/>
                <w:szCs w:val="16"/>
                <w:lang w:eastAsia="en-US"/>
              </w:rPr>
              <w:t>Integrator - TUAS</w:t>
            </w:r>
            <w:r w:rsidRPr="003E76E7">
              <w:rPr>
                <w:sz w:val="16"/>
                <w:szCs w:val="16"/>
                <w:vertAlign w:val="superscript"/>
                <w:lang w:eastAsia="en-US"/>
              </w:rPr>
              <w:t xml:space="preserve"> [d]</w:t>
            </w:r>
          </w:p>
        </w:tc>
        <w:tc>
          <w:tcPr>
            <w:tcW w:w="984" w:type="dxa"/>
            <w:shd w:val="clear" w:color="auto" w:fill="auto"/>
            <w:vAlign w:val="center"/>
          </w:tcPr>
          <w:p w14:paraId="369DCFB5" w14:textId="77777777" w:rsidR="001E4E1B" w:rsidRPr="003E76E7" w:rsidRDefault="001E4E1B" w:rsidP="00C4292D">
            <w:pPr>
              <w:pStyle w:val="TableParagraph"/>
              <w:kinsoku w:val="0"/>
              <w:overflowPunct w:val="0"/>
              <w:spacing w:before="39" w:line="166" w:lineRule="exact"/>
              <w:ind w:right="69"/>
              <w:jc w:val="right"/>
              <w:rPr>
                <w:rFonts w:eastAsiaTheme="minorEastAsia"/>
                <w:spacing w:val="-4"/>
                <w:w w:val="105"/>
                <w:sz w:val="16"/>
                <w:szCs w:val="16"/>
              </w:rPr>
            </w:pPr>
            <w:r w:rsidRPr="003E76E7">
              <w:rPr>
                <w:sz w:val="16"/>
                <w:szCs w:val="16"/>
              </w:rPr>
              <w:t>1,250</w:t>
            </w:r>
          </w:p>
        </w:tc>
        <w:tc>
          <w:tcPr>
            <w:tcW w:w="984" w:type="dxa"/>
            <w:shd w:val="clear" w:color="auto" w:fill="auto"/>
            <w:vAlign w:val="center"/>
          </w:tcPr>
          <w:p w14:paraId="5F3614C4" w14:textId="77777777" w:rsidR="001E4E1B" w:rsidRPr="003E76E7" w:rsidRDefault="001E4E1B" w:rsidP="00C4292D">
            <w:pPr>
              <w:pStyle w:val="TableParagraph"/>
              <w:kinsoku w:val="0"/>
              <w:overflowPunct w:val="0"/>
              <w:spacing w:before="39" w:line="166" w:lineRule="exact"/>
              <w:ind w:right="69"/>
              <w:jc w:val="right"/>
              <w:rPr>
                <w:rFonts w:eastAsiaTheme="minorEastAsia"/>
                <w:spacing w:val="-4"/>
                <w:w w:val="105"/>
                <w:sz w:val="16"/>
                <w:szCs w:val="16"/>
              </w:rPr>
            </w:pPr>
            <w:r w:rsidRPr="003E76E7">
              <w:rPr>
                <w:sz w:val="16"/>
                <w:szCs w:val="16"/>
              </w:rPr>
              <w:t>1,750</w:t>
            </w:r>
          </w:p>
        </w:tc>
        <w:tc>
          <w:tcPr>
            <w:tcW w:w="984" w:type="dxa"/>
            <w:shd w:val="clear" w:color="auto" w:fill="auto"/>
            <w:vAlign w:val="center"/>
          </w:tcPr>
          <w:p w14:paraId="38C77E04" w14:textId="77777777" w:rsidR="001E4E1B" w:rsidRPr="003E76E7" w:rsidRDefault="001E4E1B" w:rsidP="00C4292D">
            <w:pPr>
              <w:pStyle w:val="TableParagraph"/>
              <w:kinsoku w:val="0"/>
              <w:overflowPunct w:val="0"/>
              <w:spacing w:before="39" w:line="166" w:lineRule="exact"/>
              <w:ind w:right="69"/>
              <w:jc w:val="right"/>
              <w:rPr>
                <w:rFonts w:eastAsiaTheme="minorEastAsia"/>
                <w:spacing w:val="-4"/>
                <w:w w:val="105"/>
                <w:sz w:val="16"/>
                <w:szCs w:val="16"/>
              </w:rPr>
            </w:pPr>
            <w:r w:rsidRPr="003E76E7">
              <w:rPr>
                <w:sz w:val="16"/>
                <w:szCs w:val="16"/>
              </w:rPr>
              <w:t>2,000</w:t>
            </w:r>
          </w:p>
        </w:tc>
        <w:tc>
          <w:tcPr>
            <w:tcW w:w="984" w:type="dxa"/>
            <w:shd w:val="clear" w:color="auto" w:fill="auto"/>
            <w:vAlign w:val="center"/>
          </w:tcPr>
          <w:p w14:paraId="583A3EFC" w14:textId="77777777" w:rsidR="001E4E1B" w:rsidRPr="003E76E7" w:rsidRDefault="001E4E1B" w:rsidP="00C4292D">
            <w:pPr>
              <w:pStyle w:val="TableParagraph"/>
              <w:kinsoku w:val="0"/>
              <w:overflowPunct w:val="0"/>
              <w:spacing w:before="39" w:line="166" w:lineRule="exact"/>
              <w:ind w:right="69"/>
              <w:jc w:val="right"/>
              <w:rPr>
                <w:rFonts w:eastAsiaTheme="minorEastAsia"/>
                <w:spacing w:val="-4"/>
                <w:w w:val="105"/>
                <w:sz w:val="16"/>
                <w:szCs w:val="16"/>
              </w:rPr>
            </w:pPr>
            <w:r w:rsidRPr="003E76E7">
              <w:rPr>
                <w:sz w:val="16"/>
                <w:szCs w:val="16"/>
              </w:rPr>
              <w:t>2,000</w:t>
            </w:r>
          </w:p>
        </w:tc>
        <w:tc>
          <w:tcPr>
            <w:tcW w:w="984" w:type="dxa"/>
            <w:shd w:val="clear" w:color="auto" w:fill="auto"/>
            <w:vAlign w:val="center"/>
          </w:tcPr>
          <w:p w14:paraId="4D8F3A17" w14:textId="77777777" w:rsidR="001E4E1B" w:rsidRPr="003E76E7" w:rsidRDefault="001E4E1B" w:rsidP="00C4292D">
            <w:pPr>
              <w:pStyle w:val="TableParagraph"/>
              <w:kinsoku w:val="0"/>
              <w:overflowPunct w:val="0"/>
              <w:spacing w:before="39" w:line="166" w:lineRule="exact"/>
              <w:ind w:right="69"/>
              <w:jc w:val="right"/>
              <w:rPr>
                <w:sz w:val="16"/>
                <w:szCs w:val="16"/>
              </w:rPr>
            </w:pPr>
            <w:r w:rsidRPr="003E76E7">
              <w:rPr>
                <w:sz w:val="16"/>
                <w:szCs w:val="16"/>
              </w:rPr>
              <w:t>2,000</w:t>
            </w:r>
          </w:p>
        </w:tc>
      </w:tr>
      <w:tr w:rsidR="001E4E1B" w:rsidRPr="003E76E7" w14:paraId="15B047F0" w14:textId="77777777" w:rsidTr="000E1A17">
        <w:tc>
          <w:tcPr>
            <w:tcW w:w="567" w:type="dxa"/>
            <w:shd w:val="clear" w:color="auto" w:fill="auto"/>
            <w:vAlign w:val="center"/>
          </w:tcPr>
          <w:p w14:paraId="438BC17A" w14:textId="77777777" w:rsidR="001E4E1B" w:rsidRPr="003E76E7" w:rsidRDefault="001E4E1B" w:rsidP="00C4292D">
            <w:pPr>
              <w:pStyle w:val="TabletextLeft"/>
              <w:jc w:val="right"/>
              <w:rPr>
                <w:sz w:val="16"/>
                <w:szCs w:val="16"/>
              </w:rPr>
            </w:pPr>
            <w:r w:rsidRPr="003E76E7">
              <w:rPr>
                <w:rFonts w:cs="Arial"/>
                <w:sz w:val="16"/>
                <w:szCs w:val="16"/>
                <w:lang w:eastAsia="en-US"/>
              </w:rPr>
              <w:t>5</w:t>
            </w:r>
          </w:p>
        </w:tc>
        <w:tc>
          <w:tcPr>
            <w:tcW w:w="2355" w:type="dxa"/>
            <w:shd w:val="clear" w:color="auto" w:fill="auto"/>
            <w:vAlign w:val="center"/>
          </w:tcPr>
          <w:p w14:paraId="638A31F8" w14:textId="77777777" w:rsidR="001E4E1B" w:rsidRPr="003E76E7" w:rsidRDefault="001E4E1B" w:rsidP="00C4292D">
            <w:pPr>
              <w:pStyle w:val="TabletextLeft"/>
              <w:rPr>
                <w:sz w:val="16"/>
                <w:szCs w:val="16"/>
                <w:lang w:eastAsia="en-US"/>
              </w:rPr>
            </w:pPr>
            <w:r w:rsidRPr="003E76E7">
              <w:rPr>
                <w:sz w:val="16"/>
                <w:szCs w:val="16"/>
                <w:lang w:eastAsia="en-US"/>
              </w:rPr>
              <w:t xml:space="preserve">H135 </w:t>
            </w:r>
            <w:r w:rsidRPr="003E76E7">
              <w:rPr>
                <w:sz w:val="16"/>
                <w:szCs w:val="16"/>
                <w:vertAlign w:val="superscript"/>
                <w:lang w:eastAsia="en-US"/>
              </w:rPr>
              <w:t>[e] [f]</w:t>
            </w:r>
          </w:p>
        </w:tc>
        <w:tc>
          <w:tcPr>
            <w:tcW w:w="984" w:type="dxa"/>
            <w:shd w:val="clear" w:color="auto" w:fill="auto"/>
            <w:vAlign w:val="center"/>
          </w:tcPr>
          <w:p w14:paraId="47ABF054" w14:textId="1E27D76B" w:rsidR="001E4E1B" w:rsidRPr="003E76E7" w:rsidRDefault="001E4E1B" w:rsidP="00C4292D">
            <w:pPr>
              <w:pStyle w:val="TableParagraph"/>
              <w:kinsoku w:val="0"/>
              <w:overflowPunct w:val="0"/>
              <w:spacing w:before="39" w:line="166" w:lineRule="exact"/>
              <w:ind w:right="69"/>
              <w:jc w:val="right"/>
              <w:rPr>
                <w:strike/>
                <w:sz w:val="16"/>
                <w:szCs w:val="16"/>
                <w:vertAlign w:val="superscript"/>
                <w:lang w:eastAsia="en-US"/>
              </w:rPr>
            </w:pPr>
            <w:r w:rsidRPr="003E76E7">
              <w:rPr>
                <w:sz w:val="16"/>
                <w:szCs w:val="16"/>
                <w:lang w:eastAsia="en-US"/>
              </w:rPr>
              <w:t>1,900</w:t>
            </w:r>
          </w:p>
        </w:tc>
        <w:tc>
          <w:tcPr>
            <w:tcW w:w="984" w:type="dxa"/>
            <w:shd w:val="clear" w:color="auto" w:fill="auto"/>
            <w:vAlign w:val="center"/>
          </w:tcPr>
          <w:p w14:paraId="2A2F9C4F" w14:textId="77777777" w:rsidR="001E4E1B" w:rsidRPr="003E76E7" w:rsidRDefault="001E4E1B" w:rsidP="00C4292D">
            <w:pPr>
              <w:pStyle w:val="TableParagraph"/>
              <w:kinsoku w:val="0"/>
              <w:overflowPunct w:val="0"/>
              <w:spacing w:before="39" w:line="166" w:lineRule="exact"/>
              <w:ind w:right="69"/>
              <w:jc w:val="right"/>
              <w:rPr>
                <w:rFonts w:eastAsiaTheme="minorEastAsia"/>
                <w:spacing w:val="-4"/>
                <w:w w:val="105"/>
                <w:sz w:val="16"/>
                <w:szCs w:val="16"/>
              </w:rPr>
            </w:pPr>
            <w:r w:rsidRPr="003E76E7">
              <w:rPr>
                <w:sz w:val="16"/>
                <w:szCs w:val="16"/>
              </w:rPr>
              <w:t>3,000</w:t>
            </w:r>
          </w:p>
        </w:tc>
        <w:tc>
          <w:tcPr>
            <w:tcW w:w="984" w:type="dxa"/>
            <w:shd w:val="clear" w:color="auto" w:fill="auto"/>
            <w:vAlign w:val="center"/>
          </w:tcPr>
          <w:p w14:paraId="7F8C5BB6" w14:textId="77777777" w:rsidR="001E4E1B" w:rsidRPr="003E76E7" w:rsidRDefault="001E4E1B" w:rsidP="00C4292D">
            <w:pPr>
              <w:pStyle w:val="TableParagraph"/>
              <w:kinsoku w:val="0"/>
              <w:overflowPunct w:val="0"/>
              <w:spacing w:before="39" w:line="166" w:lineRule="exact"/>
              <w:ind w:right="69"/>
              <w:jc w:val="right"/>
              <w:rPr>
                <w:rFonts w:eastAsiaTheme="minorEastAsia"/>
                <w:spacing w:val="-4"/>
                <w:w w:val="105"/>
                <w:sz w:val="16"/>
                <w:szCs w:val="16"/>
              </w:rPr>
            </w:pPr>
            <w:r w:rsidRPr="003E76E7">
              <w:rPr>
                <w:sz w:val="16"/>
                <w:szCs w:val="16"/>
              </w:rPr>
              <w:t>3,000</w:t>
            </w:r>
          </w:p>
        </w:tc>
        <w:tc>
          <w:tcPr>
            <w:tcW w:w="984" w:type="dxa"/>
            <w:shd w:val="clear" w:color="auto" w:fill="auto"/>
            <w:vAlign w:val="center"/>
          </w:tcPr>
          <w:p w14:paraId="46A74D3A" w14:textId="77777777" w:rsidR="001E4E1B" w:rsidRPr="003E76E7" w:rsidRDefault="001E4E1B" w:rsidP="00C4292D">
            <w:pPr>
              <w:pStyle w:val="TableParagraph"/>
              <w:kinsoku w:val="0"/>
              <w:overflowPunct w:val="0"/>
              <w:spacing w:before="39" w:line="166" w:lineRule="exact"/>
              <w:ind w:right="69"/>
              <w:jc w:val="right"/>
              <w:rPr>
                <w:strike/>
                <w:sz w:val="16"/>
                <w:szCs w:val="16"/>
              </w:rPr>
            </w:pPr>
            <w:r w:rsidRPr="003E76E7">
              <w:rPr>
                <w:sz w:val="16"/>
                <w:szCs w:val="16"/>
              </w:rPr>
              <w:t>3,000</w:t>
            </w:r>
          </w:p>
        </w:tc>
        <w:tc>
          <w:tcPr>
            <w:tcW w:w="984" w:type="dxa"/>
            <w:shd w:val="clear" w:color="auto" w:fill="auto"/>
            <w:vAlign w:val="center"/>
          </w:tcPr>
          <w:p w14:paraId="1B4A8A81" w14:textId="77777777" w:rsidR="001E4E1B" w:rsidRPr="003E76E7" w:rsidRDefault="001E4E1B" w:rsidP="00C4292D">
            <w:pPr>
              <w:pStyle w:val="TableParagraph"/>
              <w:kinsoku w:val="0"/>
              <w:overflowPunct w:val="0"/>
              <w:spacing w:before="39" w:line="166" w:lineRule="exact"/>
              <w:ind w:right="69"/>
              <w:jc w:val="right"/>
              <w:rPr>
                <w:sz w:val="16"/>
                <w:szCs w:val="16"/>
              </w:rPr>
            </w:pPr>
            <w:r w:rsidRPr="003E76E7">
              <w:rPr>
                <w:sz w:val="16"/>
                <w:szCs w:val="16"/>
              </w:rPr>
              <w:t>3,000</w:t>
            </w:r>
          </w:p>
        </w:tc>
      </w:tr>
    </w:tbl>
    <w:p w14:paraId="0D6C36A1" w14:textId="77777777" w:rsidR="005403E1" w:rsidRPr="003E76E7" w:rsidRDefault="005403E1" w:rsidP="00C4292D">
      <w:pPr>
        <w:pStyle w:val="NotesHeading"/>
        <w:spacing w:before="0" w:after="0"/>
        <w:rPr>
          <w:sz w:val="14"/>
          <w:szCs w:val="16"/>
        </w:rPr>
      </w:pPr>
    </w:p>
    <w:p w14:paraId="205E0438" w14:textId="77777777" w:rsidR="001E4E1B" w:rsidRPr="003E76E7" w:rsidRDefault="001E4E1B" w:rsidP="00C4292D">
      <w:pPr>
        <w:pStyle w:val="NotesHeading"/>
        <w:spacing w:before="0" w:after="0"/>
        <w:rPr>
          <w:sz w:val="14"/>
          <w:szCs w:val="14"/>
        </w:rPr>
      </w:pPr>
      <w:r w:rsidRPr="003E76E7">
        <w:rPr>
          <w:sz w:val="14"/>
          <w:szCs w:val="14"/>
        </w:rPr>
        <w:t>Notes</w:t>
      </w:r>
    </w:p>
    <w:p w14:paraId="51D4903D" w14:textId="40DFE0BF" w:rsidR="001E4E1B" w:rsidRPr="003E76E7" w:rsidRDefault="001E4E1B" w:rsidP="00C4292D">
      <w:pPr>
        <w:numPr>
          <w:ilvl w:val="0"/>
          <w:numId w:val="59"/>
        </w:numPr>
        <w:tabs>
          <w:tab w:val="clear" w:pos="453"/>
          <w:tab w:val="num" w:pos="284"/>
        </w:tabs>
        <w:spacing w:before="0" w:after="20"/>
        <w:ind w:left="284" w:hanging="284"/>
        <w:rPr>
          <w:rFonts w:ascii="Arial" w:hAnsi="Arial"/>
          <w:sz w:val="14"/>
          <w:szCs w:val="14"/>
        </w:rPr>
      </w:pPr>
      <w:r w:rsidRPr="003E76E7">
        <w:rPr>
          <w:rFonts w:ascii="Arial" w:hAnsi="Arial"/>
          <w:sz w:val="14"/>
          <w:szCs w:val="14"/>
        </w:rPr>
        <w:t xml:space="preserve">Reducing ARH Tiger </w:t>
      </w:r>
      <w:r w:rsidR="00CD2579" w:rsidRPr="003E76E7">
        <w:rPr>
          <w:rFonts w:ascii="Arial" w:hAnsi="Arial"/>
          <w:sz w:val="14"/>
          <w:szCs w:val="14"/>
        </w:rPr>
        <w:t>flying hours</w:t>
      </w:r>
      <w:r w:rsidR="000A726A">
        <w:rPr>
          <w:rFonts w:ascii="Arial" w:hAnsi="Arial"/>
          <w:sz w:val="14"/>
          <w:szCs w:val="14"/>
        </w:rPr>
        <w:t xml:space="preserve"> </w:t>
      </w:r>
      <w:r w:rsidRPr="003E76E7">
        <w:rPr>
          <w:rFonts w:ascii="Arial" w:hAnsi="Arial"/>
          <w:sz w:val="14"/>
          <w:szCs w:val="14"/>
        </w:rPr>
        <w:t>reflects transition of the capability to the replacement Boeing AH-64E Apache.</w:t>
      </w:r>
    </w:p>
    <w:p w14:paraId="62AE6154" w14:textId="77777777" w:rsidR="001E4E1B" w:rsidRPr="003E76E7" w:rsidRDefault="001E4E1B" w:rsidP="00C4292D">
      <w:pPr>
        <w:numPr>
          <w:ilvl w:val="0"/>
          <w:numId w:val="59"/>
        </w:numPr>
        <w:tabs>
          <w:tab w:val="clear" w:pos="453"/>
          <w:tab w:val="num" w:pos="284"/>
        </w:tabs>
        <w:spacing w:before="0" w:after="20"/>
        <w:ind w:left="284" w:hanging="284"/>
        <w:rPr>
          <w:rFonts w:ascii="Arial" w:hAnsi="Arial"/>
          <w:sz w:val="14"/>
          <w:szCs w:val="14"/>
        </w:rPr>
      </w:pPr>
      <w:r w:rsidRPr="003E76E7">
        <w:rPr>
          <w:rFonts w:ascii="Arial" w:hAnsi="Arial"/>
          <w:sz w:val="14"/>
          <w:szCs w:val="14"/>
        </w:rPr>
        <w:t xml:space="preserve">AH-64E Apache Forward Estimates reflect the fleet's planned introduction into service in accordance with the capability realisation plan, as it replaces ARH Tiger. Aircraft deliveries will progressively increase to a fleet of 29. </w:t>
      </w:r>
    </w:p>
    <w:p w14:paraId="56D8C64E" w14:textId="77777777" w:rsidR="001E4E1B" w:rsidRPr="003E76E7" w:rsidRDefault="001E4E1B" w:rsidP="00C4292D">
      <w:pPr>
        <w:numPr>
          <w:ilvl w:val="0"/>
          <w:numId w:val="59"/>
        </w:numPr>
        <w:tabs>
          <w:tab w:val="clear" w:pos="453"/>
          <w:tab w:val="num" w:pos="284"/>
        </w:tabs>
        <w:spacing w:before="0" w:after="20"/>
        <w:ind w:left="284" w:hanging="284"/>
        <w:rPr>
          <w:rFonts w:ascii="Arial" w:hAnsi="Arial"/>
          <w:sz w:val="14"/>
          <w:szCs w:val="14"/>
        </w:rPr>
      </w:pPr>
      <w:r w:rsidRPr="003E76E7">
        <w:rPr>
          <w:rFonts w:ascii="Arial" w:hAnsi="Arial"/>
          <w:sz w:val="14"/>
          <w:szCs w:val="14"/>
        </w:rPr>
        <w:t>UH-60M Black Hawk Forward Estimates reflect the fleet's planned introduction into service in accordance with the capability realisation plan. Aircraft deliveries commenced in Quarter 2, 2023 and will progressively increase to a fleet of 40. The UH-60M has replaced the MRH90 Taipan.</w:t>
      </w:r>
    </w:p>
    <w:p w14:paraId="553C82AA" w14:textId="252969B0" w:rsidR="001E4E1B" w:rsidRPr="003E76E7" w:rsidRDefault="001E4E1B" w:rsidP="00C4292D">
      <w:pPr>
        <w:numPr>
          <w:ilvl w:val="0"/>
          <w:numId w:val="59"/>
        </w:numPr>
        <w:tabs>
          <w:tab w:val="clear" w:pos="453"/>
          <w:tab w:val="num" w:pos="284"/>
        </w:tabs>
        <w:spacing w:before="0" w:after="20"/>
        <w:ind w:left="284" w:hanging="284"/>
        <w:rPr>
          <w:rFonts w:ascii="Arial" w:hAnsi="Arial"/>
          <w:sz w:val="14"/>
          <w:szCs w:val="14"/>
        </w:rPr>
      </w:pPr>
      <w:r w:rsidRPr="003E76E7">
        <w:rPr>
          <w:rFonts w:ascii="Arial" w:hAnsi="Arial"/>
          <w:sz w:val="14"/>
          <w:szCs w:val="14"/>
        </w:rPr>
        <w:t>Integrator Tactical Unmanned Aircraft System (TUAS) Forward Estimates reflect the fleet's planned</w:t>
      </w:r>
      <w:r w:rsidR="000A726A">
        <w:rPr>
          <w:rFonts w:ascii="Arial" w:hAnsi="Arial"/>
          <w:sz w:val="14"/>
          <w:szCs w:val="14"/>
        </w:rPr>
        <w:t xml:space="preserve"> i</w:t>
      </w:r>
      <w:r w:rsidRPr="003E76E7">
        <w:rPr>
          <w:rFonts w:ascii="Arial" w:hAnsi="Arial"/>
          <w:sz w:val="14"/>
          <w:szCs w:val="14"/>
        </w:rPr>
        <w:t>ntroduction into service. The Budget Estimate has been revised to reflect updated milestones for introduction into service, and are in accordance with the capability realisation plan. The Integrator has replaced the Shadow 200 TUAS.</w:t>
      </w:r>
    </w:p>
    <w:p w14:paraId="0D6D95EB" w14:textId="77777777" w:rsidR="001E4E1B" w:rsidRPr="003E76E7" w:rsidRDefault="001E4E1B" w:rsidP="00C4292D">
      <w:pPr>
        <w:numPr>
          <w:ilvl w:val="0"/>
          <w:numId w:val="59"/>
        </w:numPr>
        <w:tabs>
          <w:tab w:val="clear" w:pos="453"/>
          <w:tab w:val="num" w:pos="284"/>
        </w:tabs>
        <w:spacing w:before="0" w:after="20"/>
        <w:ind w:left="284" w:hanging="284"/>
        <w:rPr>
          <w:rFonts w:ascii="Arial" w:hAnsi="Arial"/>
          <w:sz w:val="14"/>
          <w:szCs w:val="14"/>
        </w:rPr>
      </w:pPr>
      <w:r w:rsidRPr="003E76E7">
        <w:rPr>
          <w:rFonts w:ascii="Arial" w:hAnsi="Arial"/>
          <w:sz w:val="14"/>
          <w:szCs w:val="14"/>
        </w:rPr>
        <w:t>The H135 estimate has increased for 2025-26 due to a maturing support system, and the commencement of an Army Aviation tactical pilot training course.</w:t>
      </w:r>
    </w:p>
    <w:p w14:paraId="6C0721D8" w14:textId="49C92BA4" w:rsidR="00A55307" w:rsidRPr="003E76E7" w:rsidRDefault="00A55307" w:rsidP="00C4292D">
      <w:pPr>
        <w:numPr>
          <w:ilvl w:val="0"/>
          <w:numId w:val="59"/>
        </w:numPr>
        <w:tabs>
          <w:tab w:val="clear" w:pos="453"/>
          <w:tab w:val="num" w:pos="284"/>
        </w:tabs>
        <w:spacing w:before="0" w:after="20"/>
        <w:ind w:left="284" w:hanging="284"/>
        <w:rPr>
          <w:rFonts w:ascii="Arial" w:hAnsi="Arial"/>
          <w:sz w:val="14"/>
          <w:szCs w:val="14"/>
        </w:rPr>
      </w:pPr>
      <w:r w:rsidRPr="003E76E7">
        <w:rPr>
          <w:rFonts w:ascii="Arial" w:hAnsi="Arial"/>
          <w:sz w:val="14"/>
          <w:szCs w:val="14"/>
        </w:rPr>
        <w:t xml:space="preserve">H135 </w:t>
      </w:r>
      <w:r w:rsidR="00CD2579" w:rsidRPr="003E76E7">
        <w:rPr>
          <w:rFonts w:ascii="Arial" w:hAnsi="Arial"/>
          <w:sz w:val="14"/>
          <w:szCs w:val="14"/>
        </w:rPr>
        <w:t xml:space="preserve">flying </w:t>
      </w:r>
      <w:r w:rsidRPr="003E76E7">
        <w:rPr>
          <w:rFonts w:ascii="Arial" w:hAnsi="Arial"/>
          <w:sz w:val="14"/>
          <w:szCs w:val="14"/>
        </w:rPr>
        <w:t>hours for 2028-29 and 2029-30 will be dependent on Defence requirements.</w:t>
      </w:r>
    </w:p>
    <w:p w14:paraId="126112DE" w14:textId="39FB77FC" w:rsidR="0019134A" w:rsidRPr="003E76E7" w:rsidRDefault="00A00060" w:rsidP="00C4292D">
      <w:pPr>
        <w:tabs>
          <w:tab w:val="left" w:pos="142"/>
        </w:tabs>
        <w:spacing w:before="0" w:after="0"/>
        <w:outlineLvl w:val="5"/>
        <w:rPr>
          <w:color w:val="FFFFFF"/>
          <w:sz w:val="2"/>
        </w:rPr>
      </w:pPr>
      <w:r w:rsidRPr="003E76E7">
        <w:rPr>
          <w:lang w:val="en-AU"/>
        </w:rPr>
        <w:br w:type="page"/>
      </w:r>
      <w:r w:rsidR="0019134A" w:rsidRPr="003E76E7">
        <w:rPr>
          <w:color w:val="FFFFFF"/>
          <w:sz w:val="2"/>
        </w:rPr>
        <w:lastRenderedPageBreak/>
        <w:t>Program 2.7: Air Force Capabilities</w:t>
      </w:r>
    </w:p>
    <w:tbl>
      <w:tblPr>
        <w:tblW w:w="4852"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1821"/>
        <w:gridCol w:w="3143"/>
        <w:gridCol w:w="3334"/>
      </w:tblGrid>
      <w:tr w:rsidR="00FF0FC2" w:rsidRPr="003E76E7" w14:paraId="57FE2A4A" w14:textId="77777777" w:rsidTr="0068311E">
        <w:tc>
          <w:tcPr>
            <w:tcW w:w="7610" w:type="dxa"/>
            <w:gridSpan w:val="3"/>
            <w:tcBorders>
              <w:top w:val="single" w:sz="4" w:space="0" w:color="auto"/>
              <w:bottom w:val="single" w:sz="4" w:space="0" w:color="auto"/>
            </w:tcBorders>
            <w:shd w:val="clear" w:color="auto" w:fill="CCCCCC"/>
          </w:tcPr>
          <w:p w14:paraId="311D9C33" w14:textId="77777777" w:rsidR="00FF0FC2" w:rsidRPr="003E76E7" w:rsidRDefault="00FF0FC2" w:rsidP="00C4292D">
            <w:pPr>
              <w:pStyle w:val="Heading5"/>
              <w:spacing w:before="60" w:after="60"/>
            </w:pPr>
            <w:r w:rsidRPr="003E76E7">
              <w:br w:type="page"/>
              <w:t>Program 2.7: Air Force Capabilities</w:t>
            </w:r>
          </w:p>
        </w:tc>
      </w:tr>
      <w:tr w:rsidR="00FF0FC2" w:rsidRPr="003E76E7" w14:paraId="1586CCCA" w14:textId="77777777" w:rsidTr="000E1A17">
        <w:tc>
          <w:tcPr>
            <w:tcW w:w="7610" w:type="dxa"/>
            <w:gridSpan w:val="3"/>
            <w:tcBorders>
              <w:left w:val="nil"/>
              <w:bottom w:val="single" w:sz="4" w:space="0" w:color="auto"/>
              <w:right w:val="nil"/>
            </w:tcBorders>
            <w:shd w:val="clear" w:color="auto" w:fill="auto"/>
          </w:tcPr>
          <w:p w14:paraId="4CA949F3" w14:textId="77777777" w:rsidR="00FF0FC2" w:rsidRPr="003E76E7" w:rsidRDefault="00FF0FC2" w:rsidP="00C4292D">
            <w:pPr>
              <w:pStyle w:val="Heading5"/>
              <w:spacing w:before="0" w:after="0"/>
              <w:rPr>
                <w:sz w:val="16"/>
                <w:szCs w:val="16"/>
              </w:rPr>
            </w:pPr>
          </w:p>
        </w:tc>
      </w:tr>
      <w:tr w:rsidR="00FF0FC2" w:rsidRPr="003E76E7" w14:paraId="5C43F345" w14:textId="77777777" w:rsidTr="0068311E">
        <w:tblPrEx>
          <w:shd w:val="clear" w:color="auto" w:fill="auto"/>
          <w:tblLook w:val="04A0" w:firstRow="1" w:lastRow="0" w:firstColumn="1" w:lastColumn="0" w:noHBand="0" w:noVBand="1"/>
        </w:tblPrEx>
        <w:trPr>
          <w:trHeight w:val="692"/>
          <w:tblHeader/>
        </w:trPr>
        <w:tc>
          <w:tcPr>
            <w:tcW w:w="7610" w:type="dxa"/>
            <w:gridSpan w:val="3"/>
            <w:shd w:val="clear" w:color="auto" w:fill="E6E6E6"/>
          </w:tcPr>
          <w:p w14:paraId="6F6B2F3B" w14:textId="77777777" w:rsidR="00FF0FC2" w:rsidRPr="003E76E7" w:rsidRDefault="00FF0FC2" w:rsidP="00C4292D">
            <w:pPr>
              <w:tabs>
                <w:tab w:val="left" w:pos="709"/>
              </w:tabs>
              <w:spacing w:before="60" w:after="60"/>
              <w:rPr>
                <w:rFonts w:ascii="Arial" w:hAnsi="Arial"/>
                <w:b/>
                <w:sz w:val="16"/>
                <w:szCs w:val="16"/>
              </w:rPr>
            </w:pPr>
            <w:r w:rsidRPr="003E76E7">
              <w:rPr>
                <w:rFonts w:ascii="Arial" w:hAnsi="Arial"/>
                <w:b/>
                <w:sz w:val="16"/>
                <w:szCs w:val="16"/>
              </w:rPr>
              <w:t>Program 2.7 Objective</w:t>
            </w:r>
          </w:p>
          <w:p w14:paraId="7DFFE011" w14:textId="77777777" w:rsidR="00FF0FC2" w:rsidRPr="003E76E7" w:rsidRDefault="00FF0FC2" w:rsidP="00C4292D">
            <w:pPr>
              <w:tabs>
                <w:tab w:val="left" w:pos="709"/>
              </w:tabs>
              <w:spacing w:before="0" w:after="60"/>
              <w:rPr>
                <w:rFonts w:ascii="Arial" w:hAnsi="Arial"/>
                <w:sz w:val="16"/>
                <w:szCs w:val="16"/>
              </w:rPr>
            </w:pPr>
            <w:r w:rsidRPr="003E76E7">
              <w:rPr>
                <w:rFonts w:ascii="Arial" w:hAnsi="Arial"/>
                <w:sz w:val="16"/>
                <w:szCs w:val="16"/>
                <w:lang w:val="en-AU"/>
              </w:rPr>
              <w:t>To provide air power capabilities that contribute to the Australian Defence Force’s capacity to defend Australia, contribute to regional security, support Australia’s global interests, shape the strategic environment and protect national interests.</w:t>
            </w:r>
          </w:p>
        </w:tc>
      </w:tr>
      <w:tr w:rsidR="00FF0FC2" w:rsidRPr="003E76E7" w14:paraId="0023E992" w14:textId="77777777" w:rsidTr="0068311E">
        <w:tblPrEx>
          <w:shd w:val="clear" w:color="auto" w:fill="auto"/>
          <w:tblLook w:val="04A0" w:firstRow="1" w:lastRow="0" w:firstColumn="1" w:lastColumn="0" w:noHBand="0" w:noVBand="1"/>
        </w:tblPrEx>
        <w:trPr>
          <w:trHeight w:val="312"/>
        </w:trPr>
        <w:tc>
          <w:tcPr>
            <w:tcW w:w="1670" w:type="dxa"/>
            <w:tcBorders>
              <w:bottom w:val="single" w:sz="4" w:space="0" w:color="auto"/>
            </w:tcBorders>
          </w:tcPr>
          <w:p w14:paraId="35D88B17" w14:textId="5C867AFE" w:rsidR="00FF0FC2" w:rsidRPr="003E76E7" w:rsidRDefault="004A16A7" w:rsidP="00C4292D">
            <w:pPr>
              <w:tabs>
                <w:tab w:val="left" w:pos="709"/>
              </w:tabs>
              <w:spacing w:before="60" w:after="60"/>
              <w:rPr>
                <w:rFonts w:ascii="Arial" w:hAnsi="Arial"/>
                <w:b/>
                <w:color w:val="000000"/>
                <w:sz w:val="16"/>
                <w:szCs w:val="16"/>
              </w:rPr>
            </w:pPr>
            <w:r w:rsidRPr="003E76E7">
              <w:rPr>
                <w:rFonts w:ascii="Arial" w:hAnsi="Arial"/>
                <w:b/>
                <w:color w:val="000000"/>
                <w:sz w:val="16"/>
                <w:szCs w:val="16"/>
              </w:rPr>
              <w:t>Key Activities</w:t>
            </w:r>
            <w:r w:rsidR="00954644" w:rsidRPr="003E76E7">
              <w:rPr>
                <w:rFonts w:ascii="Arial" w:hAnsi="Arial"/>
                <w:b/>
                <w:color w:val="000000"/>
                <w:sz w:val="16"/>
                <w:szCs w:val="16"/>
              </w:rPr>
              <w:t xml:space="preserve"> </w:t>
            </w:r>
            <w:r w:rsidR="00954644" w:rsidRPr="003E76E7">
              <w:rPr>
                <w:rFonts w:ascii="Arial" w:hAnsi="Arial"/>
                <w:b/>
                <w:color w:val="000000"/>
                <w:sz w:val="16"/>
                <w:szCs w:val="16"/>
                <w:vertAlign w:val="superscript"/>
              </w:rPr>
              <w:t>[a]</w:t>
            </w:r>
          </w:p>
        </w:tc>
        <w:tc>
          <w:tcPr>
            <w:tcW w:w="5940" w:type="dxa"/>
            <w:gridSpan w:val="2"/>
            <w:tcBorders>
              <w:bottom w:val="single" w:sz="4" w:space="0" w:color="auto"/>
            </w:tcBorders>
          </w:tcPr>
          <w:p w14:paraId="4F5CAFD8" w14:textId="77777777" w:rsidR="00FF0FC2" w:rsidRPr="003E76E7" w:rsidRDefault="00FF0FC2" w:rsidP="00C4292D">
            <w:pPr>
              <w:tabs>
                <w:tab w:val="left" w:pos="343"/>
              </w:tabs>
              <w:spacing w:before="60" w:after="60"/>
              <w:rPr>
                <w:rFonts w:ascii="Arial" w:hAnsi="Arial"/>
                <w:bCs/>
                <w:color w:val="000000"/>
                <w:sz w:val="16"/>
                <w:szCs w:val="16"/>
                <w:lang w:val="en-AU"/>
              </w:rPr>
            </w:pPr>
            <w:r w:rsidRPr="003E76E7">
              <w:rPr>
                <w:rFonts w:ascii="Arial" w:hAnsi="Arial"/>
                <w:bCs/>
                <w:color w:val="000000"/>
                <w:sz w:val="16"/>
                <w:szCs w:val="16"/>
                <w:lang w:val="en-AU"/>
              </w:rPr>
              <w:t>This program will be achieved through the following activities:</w:t>
            </w:r>
          </w:p>
          <w:p w14:paraId="4EDF2853" w14:textId="77777777" w:rsidR="00E909B5" w:rsidRPr="003E76E7" w:rsidRDefault="00E909B5" w:rsidP="00C4292D">
            <w:pPr>
              <w:tabs>
                <w:tab w:val="left" w:pos="343"/>
              </w:tabs>
              <w:spacing w:before="60" w:after="60"/>
              <w:rPr>
                <w:rFonts w:ascii="Arial" w:hAnsi="Arial"/>
                <w:color w:val="000000"/>
                <w:sz w:val="16"/>
                <w:szCs w:val="16"/>
                <w:lang w:val="en-AU"/>
              </w:rPr>
            </w:pPr>
            <w:r w:rsidRPr="003E76E7">
              <w:rPr>
                <w:rFonts w:ascii="Arial" w:hAnsi="Arial"/>
                <w:b/>
                <w:sz w:val="16"/>
                <w:szCs w:val="16"/>
                <w:lang w:val="en-AU"/>
              </w:rPr>
              <w:t xml:space="preserve">1. Conduct domestic and international operations and exercises to defend Australia and its national interests. </w:t>
            </w:r>
          </w:p>
          <w:p w14:paraId="019D070B" w14:textId="6325621E" w:rsidR="00FF0FC2" w:rsidRPr="003E76E7" w:rsidRDefault="00E909B5" w:rsidP="00C4292D">
            <w:pPr>
              <w:autoSpaceDE w:val="0"/>
              <w:autoSpaceDN w:val="0"/>
              <w:adjustRightInd w:val="0"/>
              <w:spacing w:before="60" w:after="60"/>
              <w:rPr>
                <w:rFonts w:ascii="Arial" w:hAnsi="Arial"/>
                <w:i/>
                <w:color w:val="000000"/>
                <w:sz w:val="16"/>
                <w:szCs w:val="16"/>
              </w:rPr>
            </w:pPr>
            <w:r w:rsidRPr="003E76E7">
              <w:rPr>
                <w:rFonts w:ascii="Arial" w:hAnsi="Arial"/>
                <w:b/>
                <w:sz w:val="16"/>
                <w:szCs w:val="16"/>
                <w:lang w:val="en-AU"/>
              </w:rPr>
              <w:t>6. Deliver future capability</w:t>
            </w:r>
            <w:r w:rsidRPr="003E76E7">
              <w:rPr>
                <w:rFonts w:ascii="Arial" w:hAnsi="Arial"/>
                <w:sz w:val="16"/>
                <w:szCs w:val="16"/>
                <w:lang w:val="en-AU"/>
              </w:rPr>
              <w:t xml:space="preserve">. </w:t>
            </w:r>
          </w:p>
        </w:tc>
      </w:tr>
      <w:tr w:rsidR="00FF0FC2" w:rsidRPr="003E76E7" w14:paraId="311C6A84" w14:textId="77777777" w:rsidTr="0068311E">
        <w:tblPrEx>
          <w:shd w:val="clear" w:color="auto" w:fill="auto"/>
          <w:tblLook w:val="04A0" w:firstRow="1" w:lastRow="0" w:firstColumn="1" w:lastColumn="0" w:noHBand="0" w:noVBand="1"/>
        </w:tblPrEx>
        <w:trPr>
          <w:trHeight w:val="100"/>
        </w:trPr>
        <w:tc>
          <w:tcPr>
            <w:tcW w:w="1670" w:type="dxa"/>
            <w:tcBorders>
              <w:top w:val="single" w:sz="4" w:space="0" w:color="auto"/>
              <w:bottom w:val="single" w:sz="4" w:space="0" w:color="auto"/>
              <w:right w:val="single" w:sz="4" w:space="0" w:color="auto"/>
            </w:tcBorders>
          </w:tcPr>
          <w:p w14:paraId="7CC43ED5" w14:textId="77777777" w:rsidR="00FF0FC2" w:rsidRPr="003E76E7" w:rsidRDefault="00FF0FC2" w:rsidP="00C4292D">
            <w:pPr>
              <w:tabs>
                <w:tab w:val="left" w:pos="709"/>
              </w:tabs>
              <w:spacing w:before="60" w:after="60"/>
              <w:rPr>
                <w:rFonts w:ascii="Arial" w:hAnsi="Arial"/>
                <w:color w:val="000000"/>
                <w:sz w:val="16"/>
                <w:szCs w:val="16"/>
              </w:rPr>
            </w:pPr>
            <w:r w:rsidRPr="003E76E7">
              <w:rPr>
                <w:rFonts w:ascii="Arial" w:hAnsi="Arial"/>
                <w:b/>
                <w:color w:val="000000"/>
                <w:sz w:val="16"/>
                <w:szCs w:val="16"/>
              </w:rPr>
              <w:t>Year</w:t>
            </w:r>
          </w:p>
        </w:tc>
        <w:tc>
          <w:tcPr>
            <w:tcW w:w="2882" w:type="dxa"/>
            <w:tcBorders>
              <w:top w:val="single" w:sz="4" w:space="0" w:color="auto"/>
              <w:left w:val="single" w:sz="4" w:space="0" w:color="auto"/>
              <w:bottom w:val="single" w:sz="4" w:space="0" w:color="auto"/>
              <w:right w:val="single" w:sz="4" w:space="0" w:color="auto"/>
            </w:tcBorders>
          </w:tcPr>
          <w:p w14:paraId="0FAB70F2" w14:textId="2C32131C" w:rsidR="00FF0FC2" w:rsidRPr="003E76E7" w:rsidRDefault="00AD14EC" w:rsidP="00C4292D">
            <w:pPr>
              <w:tabs>
                <w:tab w:val="left" w:pos="709"/>
              </w:tabs>
              <w:spacing w:before="60" w:after="60"/>
              <w:rPr>
                <w:rFonts w:ascii="Arial" w:hAnsi="Arial"/>
                <w:color w:val="000000"/>
              </w:rPr>
            </w:pPr>
            <w:r w:rsidRPr="003E76E7">
              <w:rPr>
                <w:rFonts w:ascii="Arial" w:hAnsi="Arial"/>
                <w:b/>
                <w:color w:val="000000"/>
                <w:sz w:val="16"/>
                <w:szCs w:val="16"/>
              </w:rPr>
              <w:t>Performance Measures</w:t>
            </w:r>
          </w:p>
        </w:tc>
        <w:tc>
          <w:tcPr>
            <w:tcW w:w="3058" w:type="dxa"/>
            <w:tcBorders>
              <w:top w:val="single" w:sz="4" w:space="0" w:color="auto"/>
              <w:left w:val="single" w:sz="4" w:space="0" w:color="auto"/>
              <w:bottom w:val="single" w:sz="4" w:space="0" w:color="auto"/>
            </w:tcBorders>
          </w:tcPr>
          <w:p w14:paraId="3F18AFC8" w14:textId="77777777" w:rsidR="00FF0FC2" w:rsidRPr="003E76E7" w:rsidRDefault="00FF0FC2" w:rsidP="00C4292D">
            <w:pPr>
              <w:tabs>
                <w:tab w:val="left" w:pos="709"/>
              </w:tabs>
              <w:spacing w:before="60" w:after="60"/>
              <w:rPr>
                <w:rFonts w:ascii="Arial" w:hAnsi="Arial"/>
                <w:i/>
                <w:color w:val="000000"/>
                <w:sz w:val="16"/>
                <w:szCs w:val="16"/>
              </w:rPr>
            </w:pPr>
            <w:r w:rsidRPr="003E76E7">
              <w:rPr>
                <w:rFonts w:ascii="Arial" w:hAnsi="Arial"/>
                <w:b/>
                <w:color w:val="000000"/>
                <w:sz w:val="16"/>
                <w:szCs w:val="16"/>
              </w:rPr>
              <w:t>Expected Performance Results</w:t>
            </w:r>
          </w:p>
        </w:tc>
      </w:tr>
      <w:tr w:rsidR="00E909B5" w:rsidRPr="003E76E7" w14:paraId="1DC2B5C3" w14:textId="77777777" w:rsidTr="000E1A17">
        <w:trPr>
          <w:trHeight w:val="470"/>
        </w:trPr>
        <w:tc>
          <w:tcPr>
            <w:tcW w:w="1670" w:type="dxa"/>
            <w:vMerge w:val="restart"/>
            <w:tcBorders>
              <w:top w:val="single" w:sz="4" w:space="0" w:color="auto"/>
              <w:bottom w:val="single" w:sz="4" w:space="0" w:color="auto"/>
              <w:right w:val="single" w:sz="4" w:space="0" w:color="auto"/>
            </w:tcBorders>
          </w:tcPr>
          <w:p w14:paraId="2A2F2225" w14:textId="77777777" w:rsidR="00E909B5" w:rsidRPr="003E76E7" w:rsidRDefault="00E909B5" w:rsidP="00C4292D">
            <w:pPr>
              <w:tabs>
                <w:tab w:val="left" w:pos="709"/>
              </w:tabs>
              <w:spacing w:before="0" w:after="0"/>
              <w:rPr>
                <w:rFonts w:ascii="Arial" w:hAnsi="Arial"/>
                <w:color w:val="000000"/>
                <w:sz w:val="16"/>
                <w:szCs w:val="16"/>
              </w:rPr>
            </w:pPr>
            <w:r w:rsidRPr="003E76E7">
              <w:rPr>
                <w:rFonts w:ascii="Arial" w:hAnsi="Arial"/>
                <w:color w:val="000000"/>
                <w:sz w:val="16"/>
                <w:szCs w:val="16"/>
              </w:rPr>
              <w:t>Current Year</w:t>
            </w:r>
          </w:p>
          <w:p w14:paraId="6D3DB743" w14:textId="1813D677" w:rsidR="00E909B5" w:rsidRPr="003E76E7" w:rsidRDefault="00E909B5" w:rsidP="00C4292D">
            <w:pPr>
              <w:tabs>
                <w:tab w:val="left" w:pos="709"/>
              </w:tabs>
              <w:spacing w:before="0" w:after="0"/>
              <w:rPr>
                <w:rFonts w:ascii="Arial" w:hAnsi="Arial"/>
                <w:color w:val="000000"/>
                <w:sz w:val="16"/>
                <w:szCs w:val="16"/>
              </w:rPr>
            </w:pPr>
            <w:r w:rsidRPr="003E76E7">
              <w:rPr>
                <w:rFonts w:ascii="Arial" w:hAnsi="Arial"/>
                <w:color w:val="000000"/>
                <w:sz w:val="16"/>
                <w:szCs w:val="16"/>
              </w:rPr>
              <w:t xml:space="preserve">2025-26 </w:t>
            </w:r>
            <w:r w:rsidRPr="003E76E7">
              <w:rPr>
                <w:rFonts w:ascii="Arial" w:hAnsi="Arial"/>
                <w:color w:val="000000"/>
                <w:sz w:val="16"/>
                <w:szCs w:val="16"/>
                <w:vertAlign w:val="superscript"/>
              </w:rPr>
              <w:t>[</w:t>
            </w:r>
            <w:r w:rsidR="00954644" w:rsidRPr="003E76E7">
              <w:rPr>
                <w:rFonts w:ascii="Arial" w:hAnsi="Arial"/>
                <w:color w:val="000000"/>
                <w:sz w:val="16"/>
                <w:szCs w:val="16"/>
                <w:vertAlign w:val="superscript"/>
              </w:rPr>
              <w:t>b</w:t>
            </w:r>
            <w:r w:rsidRPr="003E76E7">
              <w:rPr>
                <w:rFonts w:ascii="Arial" w:hAnsi="Arial"/>
                <w:color w:val="000000"/>
                <w:sz w:val="16"/>
                <w:szCs w:val="16"/>
                <w:vertAlign w:val="superscript"/>
              </w:rPr>
              <w:t>]</w:t>
            </w:r>
          </w:p>
        </w:tc>
        <w:tc>
          <w:tcPr>
            <w:tcW w:w="2882" w:type="dxa"/>
            <w:tcBorders>
              <w:top w:val="single" w:sz="4" w:space="0" w:color="auto"/>
              <w:left w:val="single" w:sz="4" w:space="0" w:color="auto"/>
              <w:bottom w:val="single" w:sz="4" w:space="0" w:color="auto"/>
              <w:right w:val="single" w:sz="4" w:space="0" w:color="auto"/>
            </w:tcBorders>
          </w:tcPr>
          <w:p w14:paraId="73AC6CAA" w14:textId="2AD535FC" w:rsidR="00E909B5" w:rsidRPr="003E76E7" w:rsidRDefault="00E909B5" w:rsidP="00C4292D">
            <w:pPr>
              <w:tabs>
                <w:tab w:val="left" w:pos="709"/>
              </w:tabs>
              <w:spacing w:before="60" w:after="60"/>
              <w:rPr>
                <w:rFonts w:ascii="Arial" w:hAnsi="Arial"/>
                <w:color w:val="000000"/>
                <w:sz w:val="16"/>
                <w:szCs w:val="16"/>
              </w:rPr>
            </w:pPr>
            <w:r w:rsidRPr="003E76E7">
              <w:rPr>
                <w:rFonts w:ascii="Arial" w:hAnsi="Arial"/>
                <w:sz w:val="16"/>
                <w:szCs w:val="16"/>
                <w:lang w:val="en-AU"/>
              </w:rPr>
              <w:t>1.1: Defence conducts operations as directed by Government to achieve Defence’s mission.</w:t>
            </w:r>
          </w:p>
        </w:tc>
        <w:tc>
          <w:tcPr>
            <w:tcW w:w="3058" w:type="dxa"/>
            <w:tcBorders>
              <w:top w:val="single" w:sz="4" w:space="0" w:color="auto"/>
              <w:left w:val="single" w:sz="4" w:space="0" w:color="auto"/>
              <w:bottom w:val="single" w:sz="4" w:space="0" w:color="auto"/>
            </w:tcBorders>
          </w:tcPr>
          <w:p w14:paraId="1C6F0388" w14:textId="77777777" w:rsidR="00E909B5" w:rsidRPr="003E76E7" w:rsidRDefault="00E909B5" w:rsidP="00C4292D">
            <w:pPr>
              <w:tabs>
                <w:tab w:val="left" w:pos="709"/>
              </w:tabs>
              <w:spacing w:before="0" w:after="0"/>
              <w:rPr>
                <w:rFonts w:ascii="Arial" w:hAnsi="Arial"/>
                <w:sz w:val="16"/>
                <w:szCs w:val="16"/>
                <w:lang w:val="en-AU"/>
              </w:rPr>
            </w:pPr>
            <w:r w:rsidRPr="003E76E7">
              <w:rPr>
                <w:rFonts w:ascii="Arial" w:hAnsi="Arial"/>
                <w:sz w:val="16"/>
                <w:szCs w:val="16"/>
                <w:lang w:val="en-AU"/>
              </w:rPr>
              <w:t>100 per cent of operations conducted or being conducted as directed by Government.</w:t>
            </w:r>
          </w:p>
          <w:p w14:paraId="5D479241" w14:textId="797FEAAD" w:rsidR="00E909B5" w:rsidRPr="003E76E7" w:rsidRDefault="00F04C47" w:rsidP="00C4292D">
            <w:pPr>
              <w:tabs>
                <w:tab w:val="left" w:pos="709"/>
              </w:tabs>
              <w:spacing w:before="60" w:after="60"/>
              <w:jc w:val="right"/>
              <w:rPr>
                <w:rFonts w:ascii="Arial" w:hAnsi="Arial"/>
                <w:i/>
                <w:color w:val="000000"/>
                <w:sz w:val="16"/>
                <w:szCs w:val="16"/>
              </w:rPr>
            </w:pPr>
            <w:r w:rsidRPr="003E76E7">
              <w:rPr>
                <w:rFonts w:ascii="Arial" w:hAnsi="Arial"/>
                <w:i/>
                <w:sz w:val="16"/>
                <w:szCs w:val="16"/>
                <w:lang w:val="en-AU"/>
              </w:rPr>
              <w:t>Expected to be achieved</w:t>
            </w:r>
            <w:r w:rsidR="00682081" w:rsidRPr="003E76E7">
              <w:rPr>
                <w:rFonts w:ascii="Arial" w:hAnsi="Arial"/>
                <w:i/>
                <w:sz w:val="16"/>
                <w:szCs w:val="16"/>
                <w:lang w:val="en-AU"/>
              </w:rPr>
              <w:t>.</w:t>
            </w:r>
          </w:p>
        </w:tc>
      </w:tr>
      <w:tr w:rsidR="00E909B5" w:rsidRPr="003E76E7" w14:paraId="2E357131" w14:textId="77777777" w:rsidTr="000E1A17">
        <w:trPr>
          <w:trHeight w:val="470"/>
        </w:trPr>
        <w:tc>
          <w:tcPr>
            <w:tcW w:w="1670" w:type="dxa"/>
            <w:vMerge/>
            <w:tcBorders>
              <w:top w:val="single" w:sz="4" w:space="0" w:color="auto"/>
              <w:bottom w:val="single" w:sz="4" w:space="0" w:color="auto"/>
              <w:right w:val="single" w:sz="4" w:space="0" w:color="auto"/>
            </w:tcBorders>
          </w:tcPr>
          <w:p w14:paraId="51C3ADC4" w14:textId="77777777" w:rsidR="00E909B5" w:rsidRPr="003E76E7" w:rsidRDefault="00E909B5" w:rsidP="00C4292D">
            <w:pPr>
              <w:tabs>
                <w:tab w:val="left" w:pos="709"/>
              </w:tabs>
              <w:spacing w:before="60" w:after="60"/>
              <w:rPr>
                <w:rFonts w:ascii="Arial" w:hAnsi="Arial"/>
                <w:color w:val="000000"/>
                <w:sz w:val="16"/>
                <w:szCs w:val="16"/>
              </w:rPr>
            </w:pPr>
          </w:p>
        </w:tc>
        <w:tc>
          <w:tcPr>
            <w:tcW w:w="2882" w:type="dxa"/>
            <w:tcBorders>
              <w:top w:val="single" w:sz="4" w:space="0" w:color="auto"/>
              <w:left w:val="single" w:sz="4" w:space="0" w:color="auto"/>
              <w:bottom w:val="single" w:sz="4" w:space="0" w:color="auto"/>
              <w:right w:val="single" w:sz="4" w:space="0" w:color="auto"/>
            </w:tcBorders>
          </w:tcPr>
          <w:p w14:paraId="5AEE0D52" w14:textId="117A2E7D" w:rsidR="00E909B5" w:rsidRPr="003E76E7" w:rsidRDefault="00E909B5" w:rsidP="00C4292D">
            <w:pPr>
              <w:tabs>
                <w:tab w:val="left" w:pos="709"/>
              </w:tabs>
              <w:spacing w:before="60" w:after="60"/>
              <w:rPr>
                <w:rFonts w:ascii="Arial" w:hAnsi="Arial"/>
                <w:color w:val="000000"/>
                <w:sz w:val="16"/>
                <w:szCs w:val="16"/>
              </w:rPr>
            </w:pPr>
            <w:r w:rsidRPr="003E76E7">
              <w:rPr>
                <w:rFonts w:ascii="Arial" w:hAnsi="Arial"/>
                <w:sz w:val="16"/>
                <w:szCs w:val="16"/>
                <w:lang w:val="en-AU"/>
              </w:rPr>
              <w:t>1.2: Defence maintains ready forces through the conduct of exercises.</w:t>
            </w:r>
          </w:p>
        </w:tc>
        <w:tc>
          <w:tcPr>
            <w:tcW w:w="3058" w:type="dxa"/>
            <w:tcBorders>
              <w:top w:val="single" w:sz="4" w:space="0" w:color="auto"/>
              <w:left w:val="single" w:sz="4" w:space="0" w:color="auto"/>
              <w:bottom w:val="single" w:sz="4" w:space="0" w:color="auto"/>
            </w:tcBorders>
          </w:tcPr>
          <w:p w14:paraId="13B2DE26" w14:textId="77777777" w:rsidR="00E909B5" w:rsidRPr="003E76E7" w:rsidRDefault="00E909B5" w:rsidP="00C4292D">
            <w:pPr>
              <w:spacing w:before="60" w:after="60"/>
              <w:rPr>
                <w:rFonts w:ascii="Arial" w:hAnsi="Arial"/>
                <w:color w:val="000000"/>
                <w:sz w:val="16"/>
                <w:szCs w:val="16"/>
                <w:lang w:val="en-AU"/>
              </w:rPr>
            </w:pPr>
            <w:r w:rsidRPr="003E76E7">
              <w:rPr>
                <w:rFonts w:ascii="Arial" w:hAnsi="Arial"/>
                <w:color w:val="000000"/>
                <w:sz w:val="16"/>
                <w:szCs w:val="16"/>
                <w:lang w:val="en-AU"/>
              </w:rPr>
              <w:t>100 per cent of exercises conducted achieve planned objectives.</w:t>
            </w:r>
          </w:p>
          <w:p w14:paraId="07F3C767" w14:textId="3B5AE1A3" w:rsidR="00E909B5" w:rsidRPr="003E76E7" w:rsidRDefault="00F04C47" w:rsidP="00C4292D">
            <w:pPr>
              <w:tabs>
                <w:tab w:val="left" w:pos="709"/>
              </w:tabs>
              <w:spacing w:before="60" w:after="60"/>
              <w:jc w:val="right"/>
              <w:rPr>
                <w:rFonts w:ascii="Arial" w:hAnsi="Arial"/>
                <w:color w:val="000000"/>
                <w:sz w:val="16"/>
                <w:szCs w:val="16"/>
              </w:rPr>
            </w:pPr>
            <w:r w:rsidRPr="003E76E7">
              <w:rPr>
                <w:rFonts w:ascii="Arial" w:hAnsi="Arial"/>
                <w:i/>
                <w:sz w:val="16"/>
                <w:szCs w:val="16"/>
                <w:lang w:val="en-AU"/>
              </w:rPr>
              <w:t>Expected to be substantially achieved</w:t>
            </w:r>
            <w:r w:rsidR="00682081" w:rsidRPr="003E76E7">
              <w:rPr>
                <w:rFonts w:ascii="Arial" w:hAnsi="Arial"/>
                <w:i/>
                <w:sz w:val="16"/>
                <w:szCs w:val="16"/>
                <w:lang w:val="en-AU"/>
              </w:rPr>
              <w:t>.</w:t>
            </w:r>
          </w:p>
        </w:tc>
      </w:tr>
      <w:tr w:rsidR="00E909B5" w:rsidRPr="003E76E7" w14:paraId="0A117C68" w14:textId="77777777" w:rsidTr="000E1A17">
        <w:trPr>
          <w:trHeight w:val="470"/>
        </w:trPr>
        <w:tc>
          <w:tcPr>
            <w:tcW w:w="1670" w:type="dxa"/>
            <w:vMerge/>
            <w:tcBorders>
              <w:top w:val="single" w:sz="4" w:space="0" w:color="auto"/>
              <w:bottom w:val="single" w:sz="4" w:space="0" w:color="auto"/>
              <w:right w:val="single" w:sz="4" w:space="0" w:color="auto"/>
            </w:tcBorders>
          </w:tcPr>
          <w:p w14:paraId="7BA891D1" w14:textId="77777777" w:rsidR="00E909B5" w:rsidRPr="003E76E7" w:rsidRDefault="00E909B5" w:rsidP="00C4292D">
            <w:pPr>
              <w:tabs>
                <w:tab w:val="left" w:pos="709"/>
              </w:tabs>
              <w:spacing w:before="60" w:after="60"/>
              <w:rPr>
                <w:rFonts w:ascii="Arial" w:hAnsi="Arial"/>
                <w:color w:val="000000"/>
                <w:sz w:val="16"/>
                <w:szCs w:val="16"/>
              </w:rPr>
            </w:pPr>
          </w:p>
        </w:tc>
        <w:tc>
          <w:tcPr>
            <w:tcW w:w="2882" w:type="dxa"/>
            <w:tcBorders>
              <w:top w:val="single" w:sz="4" w:space="0" w:color="auto"/>
              <w:left w:val="single" w:sz="4" w:space="0" w:color="auto"/>
              <w:bottom w:val="single" w:sz="4" w:space="0" w:color="auto"/>
              <w:right w:val="single" w:sz="4" w:space="0" w:color="auto"/>
            </w:tcBorders>
          </w:tcPr>
          <w:p w14:paraId="0CEEFDEF" w14:textId="6597C21D" w:rsidR="00E909B5" w:rsidRPr="003E76E7" w:rsidRDefault="00E909B5" w:rsidP="00C4292D">
            <w:pPr>
              <w:tabs>
                <w:tab w:val="left" w:pos="709"/>
              </w:tabs>
              <w:spacing w:before="60" w:after="60"/>
              <w:rPr>
                <w:rFonts w:ascii="Arial" w:hAnsi="Arial"/>
                <w:sz w:val="16"/>
                <w:szCs w:val="16"/>
                <w:lang w:val="en-AU"/>
              </w:rPr>
            </w:pPr>
            <w:r w:rsidRPr="003E76E7">
              <w:rPr>
                <w:rFonts w:ascii="Arial" w:hAnsi="Arial"/>
                <w:sz w:val="16"/>
                <w:szCs w:val="16"/>
                <w:lang w:val="en-AU"/>
              </w:rPr>
              <w:t>1.3</w:t>
            </w:r>
            <w:r w:rsidR="00C23CD1" w:rsidRPr="003E76E7">
              <w:rPr>
                <w:rFonts w:ascii="Arial" w:hAnsi="Arial"/>
                <w:sz w:val="16"/>
                <w:szCs w:val="16"/>
                <w:lang w:val="en-AU"/>
              </w:rPr>
              <w:t>:</w:t>
            </w:r>
            <w:r w:rsidRPr="003E76E7">
              <w:rPr>
                <w:rFonts w:ascii="Arial" w:hAnsi="Arial"/>
                <w:sz w:val="16"/>
                <w:szCs w:val="16"/>
                <w:lang w:val="en-AU"/>
              </w:rPr>
              <w:t xml:space="preserve"> Defence assists with domestic crisis and emergency response as directed by Government. </w:t>
            </w:r>
          </w:p>
        </w:tc>
        <w:tc>
          <w:tcPr>
            <w:tcW w:w="3058" w:type="dxa"/>
            <w:tcBorders>
              <w:top w:val="single" w:sz="4" w:space="0" w:color="auto"/>
              <w:left w:val="single" w:sz="4" w:space="0" w:color="auto"/>
              <w:bottom w:val="single" w:sz="4" w:space="0" w:color="auto"/>
            </w:tcBorders>
          </w:tcPr>
          <w:p w14:paraId="7B9A0018" w14:textId="77777777" w:rsidR="00E909B5" w:rsidRPr="003E76E7" w:rsidRDefault="00E909B5" w:rsidP="00C4292D">
            <w:pPr>
              <w:spacing w:before="60" w:after="60"/>
              <w:rPr>
                <w:rFonts w:ascii="Arial" w:hAnsi="Arial"/>
                <w:color w:val="000000"/>
                <w:sz w:val="16"/>
                <w:szCs w:val="16"/>
                <w:lang w:val="en-AU"/>
              </w:rPr>
            </w:pPr>
            <w:r w:rsidRPr="003E76E7">
              <w:rPr>
                <w:rFonts w:ascii="Arial" w:hAnsi="Arial"/>
                <w:color w:val="000000"/>
                <w:sz w:val="16"/>
                <w:szCs w:val="16"/>
                <w:lang w:val="en-AU"/>
              </w:rPr>
              <w:t xml:space="preserve">Defence responds to 100 per cent of requests for assistance as directed by Government. </w:t>
            </w:r>
          </w:p>
          <w:p w14:paraId="479068CE" w14:textId="5E02836A" w:rsidR="00E909B5" w:rsidRPr="003E76E7" w:rsidRDefault="00E909B5" w:rsidP="00C4292D">
            <w:pPr>
              <w:tabs>
                <w:tab w:val="left" w:pos="709"/>
              </w:tabs>
              <w:spacing w:before="60" w:after="60"/>
              <w:jc w:val="right"/>
              <w:rPr>
                <w:rFonts w:ascii="Arial" w:hAnsi="Arial"/>
                <w:sz w:val="16"/>
                <w:szCs w:val="16"/>
                <w:lang w:val="en-AU"/>
              </w:rPr>
            </w:pPr>
            <w:r w:rsidRPr="003E76E7">
              <w:rPr>
                <w:rFonts w:ascii="Arial" w:hAnsi="Arial"/>
                <w:i/>
                <w:sz w:val="16"/>
                <w:szCs w:val="16"/>
                <w:lang w:val="en-AU"/>
              </w:rPr>
              <w:t xml:space="preserve">Expected to be achieved. </w:t>
            </w:r>
          </w:p>
        </w:tc>
      </w:tr>
      <w:tr w:rsidR="00E909B5" w:rsidRPr="003E76E7" w14:paraId="29C05DE5" w14:textId="77777777" w:rsidTr="000E1A17">
        <w:trPr>
          <w:trHeight w:val="470"/>
        </w:trPr>
        <w:tc>
          <w:tcPr>
            <w:tcW w:w="1670" w:type="dxa"/>
            <w:vMerge/>
            <w:tcBorders>
              <w:top w:val="single" w:sz="4" w:space="0" w:color="auto"/>
              <w:bottom w:val="single" w:sz="4" w:space="0" w:color="auto"/>
              <w:right w:val="single" w:sz="4" w:space="0" w:color="auto"/>
            </w:tcBorders>
          </w:tcPr>
          <w:p w14:paraId="5344362C" w14:textId="77777777" w:rsidR="00E909B5" w:rsidRPr="003E76E7" w:rsidRDefault="00E909B5" w:rsidP="00C4292D">
            <w:pPr>
              <w:tabs>
                <w:tab w:val="left" w:pos="709"/>
              </w:tabs>
              <w:spacing w:before="60" w:after="60"/>
              <w:rPr>
                <w:rFonts w:ascii="Arial" w:hAnsi="Arial"/>
                <w:color w:val="000000"/>
                <w:sz w:val="16"/>
                <w:szCs w:val="16"/>
              </w:rPr>
            </w:pPr>
          </w:p>
        </w:tc>
        <w:tc>
          <w:tcPr>
            <w:tcW w:w="2882" w:type="dxa"/>
            <w:tcBorders>
              <w:top w:val="single" w:sz="4" w:space="0" w:color="auto"/>
              <w:left w:val="single" w:sz="4" w:space="0" w:color="auto"/>
              <w:bottom w:val="single" w:sz="4" w:space="0" w:color="auto"/>
              <w:right w:val="single" w:sz="4" w:space="0" w:color="auto"/>
            </w:tcBorders>
          </w:tcPr>
          <w:p w14:paraId="7ADF19DC" w14:textId="4C5588AE" w:rsidR="00E909B5" w:rsidRPr="003E76E7" w:rsidRDefault="00E909B5" w:rsidP="00C4292D">
            <w:pPr>
              <w:tabs>
                <w:tab w:val="left" w:pos="709"/>
              </w:tabs>
              <w:spacing w:before="60" w:after="60"/>
              <w:rPr>
                <w:rFonts w:ascii="Arial" w:hAnsi="Arial"/>
                <w:color w:val="000000"/>
                <w:sz w:val="16"/>
                <w:szCs w:val="16"/>
              </w:rPr>
            </w:pPr>
            <w:r w:rsidRPr="003E76E7">
              <w:rPr>
                <w:rFonts w:ascii="Arial" w:hAnsi="Arial"/>
                <w:sz w:val="16"/>
                <w:szCs w:val="16"/>
                <w:lang w:val="en-AU"/>
              </w:rPr>
              <w:t>6.1: Defence is delivering the right future capability at the right time within the Integrated Investment Program to ensure it is equipped to respond to future security challenges as directed by the National Defence Strategy.</w:t>
            </w:r>
          </w:p>
        </w:tc>
        <w:tc>
          <w:tcPr>
            <w:tcW w:w="3058" w:type="dxa"/>
            <w:tcBorders>
              <w:top w:val="single" w:sz="4" w:space="0" w:color="auto"/>
              <w:left w:val="single" w:sz="4" w:space="0" w:color="auto"/>
              <w:bottom w:val="single" w:sz="4" w:space="0" w:color="auto"/>
            </w:tcBorders>
          </w:tcPr>
          <w:p w14:paraId="78C4AFFB" w14:textId="77777777" w:rsidR="00E909B5" w:rsidRPr="003E76E7" w:rsidRDefault="00E909B5" w:rsidP="00C4292D">
            <w:pPr>
              <w:tabs>
                <w:tab w:val="left" w:pos="709"/>
              </w:tabs>
              <w:spacing w:before="60" w:after="60"/>
              <w:rPr>
                <w:rFonts w:ascii="Arial" w:hAnsi="Arial"/>
                <w:sz w:val="16"/>
                <w:szCs w:val="16"/>
                <w:lang w:val="en-AU"/>
              </w:rPr>
            </w:pPr>
            <w:r w:rsidRPr="003E76E7">
              <w:rPr>
                <w:rFonts w:ascii="Arial" w:hAnsi="Arial"/>
                <w:sz w:val="16"/>
                <w:szCs w:val="16"/>
                <w:lang w:val="en-AU"/>
              </w:rPr>
              <w:t>80 per cent or more of approved Integrated Investment Program projects across all domains are on track to deliver within Government approved scope, schedule, and cost (including contingency).</w:t>
            </w:r>
          </w:p>
          <w:p w14:paraId="23EF2DE5" w14:textId="288F0E8C" w:rsidR="00E909B5" w:rsidRPr="003E76E7" w:rsidRDefault="00F04C47" w:rsidP="00C4292D">
            <w:pPr>
              <w:tabs>
                <w:tab w:val="left" w:pos="709"/>
              </w:tabs>
              <w:spacing w:before="60" w:after="60"/>
              <w:jc w:val="right"/>
              <w:rPr>
                <w:rFonts w:ascii="Arial" w:hAnsi="Arial"/>
                <w:i/>
                <w:sz w:val="16"/>
                <w:szCs w:val="16"/>
              </w:rPr>
            </w:pPr>
            <w:r w:rsidRPr="003E76E7">
              <w:rPr>
                <w:rFonts w:ascii="Arial" w:hAnsi="Arial"/>
                <w:i/>
                <w:sz w:val="16"/>
                <w:szCs w:val="16"/>
                <w:lang w:val="en-AU"/>
              </w:rPr>
              <w:t>Expected to be achieved</w:t>
            </w:r>
            <w:r w:rsidR="00682081" w:rsidRPr="003E76E7">
              <w:rPr>
                <w:rFonts w:ascii="Arial" w:hAnsi="Arial"/>
                <w:i/>
                <w:sz w:val="16"/>
                <w:szCs w:val="16"/>
                <w:lang w:val="en-AU"/>
              </w:rPr>
              <w:t>.</w:t>
            </w:r>
          </w:p>
        </w:tc>
      </w:tr>
      <w:tr w:rsidR="0068311E" w:rsidRPr="003E76E7" w14:paraId="42D31A69" w14:textId="77777777" w:rsidTr="0068311E">
        <w:tblPrEx>
          <w:shd w:val="clear" w:color="auto" w:fill="auto"/>
          <w:tblLook w:val="04A0" w:firstRow="1" w:lastRow="0" w:firstColumn="1" w:lastColumn="0" w:noHBand="0" w:noVBand="1"/>
        </w:tblPrEx>
        <w:trPr>
          <w:trHeight w:val="258"/>
        </w:trPr>
        <w:tc>
          <w:tcPr>
            <w:tcW w:w="1670" w:type="dxa"/>
            <w:tcBorders>
              <w:top w:val="single" w:sz="4" w:space="0" w:color="auto"/>
              <w:bottom w:val="single" w:sz="4" w:space="0" w:color="auto"/>
              <w:right w:val="single" w:sz="4" w:space="0" w:color="auto"/>
            </w:tcBorders>
          </w:tcPr>
          <w:p w14:paraId="53DEDA67" w14:textId="77777777" w:rsidR="0068311E" w:rsidRPr="003E76E7" w:rsidRDefault="0068311E" w:rsidP="00C4292D">
            <w:pPr>
              <w:tabs>
                <w:tab w:val="left" w:pos="709"/>
              </w:tabs>
              <w:spacing w:before="60" w:after="60"/>
              <w:rPr>
                <w:rFonts w:ascii="Arial" w:hAnsi="Arial"/>
                <w:b/>
                <w:color w:val="000000"/>
                <w:sz w:val="16"/>
                <w:szCs w:val="16"/>
              </w:rPr>
            </w:pPr>
            <w:r w:rsidRPr="003E76E7">
              <w:rPr>
                <w:rFonts w:ascii="Arial" w:hAnsi="Arial"/>
                <w:b/>
                <w:color w:val="000000"/>
                <w:sz w:val="16"/>
                <w:szCs w:val="16"/>
              </w:rPr>
              <w:t>Year</w:t>
            </w:r>
          </w:p>
        </w:tc>
        <w:tc>
          <w:tcPr>
            <w:tcW w:w="2882" w:type="dxa"/>
            <w:tcBorders>
              <w:top w:val="single" w:sz="4" w:space="0" w:color="auto"/>
              <w:left w:val="single" w:sz="4" w:space="0" w:color="auto"/>
              <w:bottom w:val="single" w:sz="4" w:space="0" w:color="auto"/>
              <w:right w:val="single" w:sz="4" w:space="0" w:color="auto"/>
            </w:tcBorders>
          </w:tcPr>
          <w:p w14:paraId="276D94CF" w14:textId="4C175D09" w:rsidR="0068311E" w:rsidRPr="003E76E7" w:rsidRDefault="00AD14EC" w:rsidP="00C4292D">
            <w:pPr>
              <w:tabs>
                <w:tab w:val="left" w:pos="709"/>
                <w:tab w:val="center" w:pos="1818"/>
              </w:tabs>
              <w:spacing w:before="60" w:after="60"/>
              <w:rPr>
                <w:rFonts w:ascii="Arial" w:hAnsi="Arial"/>
                <w:b/>
                <w:color w:val="000000"/>
                <w:sz w:val="16"/>
                <w:szCs w:val="16"/>
              </w:rPr>
            </w:pPr>
            <w:r w:rsidRPr="003E76E7">
              <w:rPr>
                <w:rFonts w:ascii="Arial" w:hAnsi="Arial"/>
                <w:b/>
                <w:color w:val="000000"/>
                <w:sz w:val="16"/>
                <w:szCs w:val="16"/>
              </w:rPr>
              <w:t>Performance Measures</w:t>
            </w:r>
          </w:p>
        </w:tc>
        <w:tc>
          <w:tcPr>
            <w:tcW w:w="3058" w:type="dxa"/>
            <w:tcBorders>
              <w:top w:val="single" w:sz="4" w:space="0" w:color="auto"/>
              <w:left w:val="single" w:sz="4" w:space="0" w:color="auto"/>
              <w:bottom w:val="single" w:sz="4" w:space="0" w:color="auto"/>
            </w:tcBorders>
          </w:tcPr>
          <w:p w14:paraId="31F2988D" w14:textId="77777777" w:rsidR="0068311E" w:rsidRPr="003E76E7" w:rsidRDefault="0068311E" w:rsidP="00C4292D">
            <w:pPr>
              <w:tabs>
                <w:tab w:val="left" w:pos="709"/>
              </w:tabs>
              <w:spacing w:before="60" w:after="60"/>
              <w:rPr>
                <w:rFonts w:ascii="Arial" w:hAnsi="Arial"/>
                <w:b/>
                <w:color w:val="000000"/>
                <w:sz w:val="16"/>
                <w:szCs w:val="16"/>
              </w:rPr>
            </w:pPr>
            <w:r w:rsidRPr="003E76E7">
              <w:rPr>
                <w:rFonts w:ascii="Arial" w:hAnsi="Arial"/>
                <w:b/>
                <w:color w:val="000000"/>
                <w:sz w:val="16"/>
                <w:szCs w:val="16"/>
              </w:rPr>
              <w:t>Planned Performance Results</w:t>
            </w:r>
          </w:p>
        </w:tc>
      </w:tr>
      <w:tr w:rsidR="000E395A" w:rsidRPr="003E76E7" w14:paraId="0DD8DE79" w14:textId="77777777" w:rsidTr="00A46C55">
        <w:tblPrEx>
          <w:shd w:val="clear" w:color="auto" w:fill="auto"/>
          <w:tblLook w:val="04A0" w:firstRow="1" w:lastRow="0" w:firstColumn="1" w:lastColumn="0" w:noHBand="0" w:noVBand="1"/>
        </w:tblPrEx>
        <w:trPr>
          <w:trHeight w:val="320"/>
        </w:trPr>
        <w:tc>
          <w:tcPr>
            <w:tcW w:w="1670" w:type="dxa"/>
            <w:vMerge w:val="restart"/>
            <w:tcBorders>
              <w:top w:val="single" w:sz="4" w:space="0" w:color="auto"/>
              <w:right w:val="single" w:sz="4" w:space="0" w:color="auto"/>
            </w:tcBorders>
          </w:tcPr>
          <w:p w14:paraId="37A90909" w14:textId="77777777" w:rsidR="000E395A" w:rsidRPr="003E76E7" w:rsidRDefault="000E395A" w:rsidP="00C4292D">
            <w:pPr>
              <w:tabs>
                <w:tab w:val="left" w:pos="709"/>
              </w:tabs>
              <w:spacing w:before="0" w:after="0"/>
              <w:rPr>
                <w:rFonts w:ascii="Arial" w:hAnsi="Arial"/>
                <w:color w:val="000000"/>
                <w:sz w:val="16"/>
                <w:szCs w:val="16"/>
              </w:rPr>
            </w:pPr>
            <w:r w:rsidRPr="003E76E7">
              <w:rPr>
                <w:rFonts w:ascii="Arial" w:hAnsi="Arial"/>
                <w:color w:val="000000"/>
                <w:sz w:val="16"/>
                <w:szCs w:val="16"/>
              </w:rPr>
              <w:t>Budget Year</w:t>
            </w:r>
          </w:p>
          <w:p w14:paraId="6ACC5E68" w14:textId="3758F8E3" w:rsidR="000E395A" w:rsidRPr="003E76E7" w:rsidRDefault="000E395A" w:rsidP="00C4292D">
            <w:pPr>
              <w:tabs>
                <w:tab w:val="left" w:pos="709"/>
              </w:tabs>
              <w:spacing w:before="0" w:after="0"/>
              <w:rPr>
                <w:rFonts w:ascii="Arial" w:hAnsi="Arial"/>
                <w:color w:val="000000"/>
                <w:sz w:val="16"/>
                <w:szCs w:val="16"/>
              </w:rPr>
            </w:pPr>
            <w:r w:rsidRPr="003E76E7">
              <w:rPr>
                <w:rFonts w:ascii="Arial" w:hAnsi="Arial"/>
                <w:color w:val="000000"/>
                <w:sz w:val="16"/>
                <w:szCs w:val="16"/>
              </w:rPr>
              <w:t xml:space="preserve">2026-27 </w:t>
            </w:r>
            <w:r w:rsidRPr="003E76E7">
              <w:rPr>
                <w:rFonts w:ascii="Arial" w:hAnsi="Arial"/>
                <w:color w:val="000000"/>
                <w:sz w:val="16"/>
                <w:szCs w:val="16"/>
                <w:vertAlign w:val="superscript"/>
              </w:rPr>
              <w:t>[</w:t>
            </w:r>
            <w:r w:rsidR="00954644" w:rsidRPr="003E76E7">
              <w:rPr>
                <w:rFonts w:ascii="Arial" w:hAnsi="Arial"/>
                <w:color w:val="000000"/>
                <w:sz w:val="16"/>
                <w:szCs w:val="16"/>
                <w:vertAlign w:val="superscript"/>
              </w:rPr>
              <w:t>c</w:t>
            </w:r>
            <w:r w:rsidRPr="003E76E7">
              <w:rPr>
                <w:rFonts w:ascii="Arial" w:hAnsi="Arial"/>
                <w:color w:val="000000"/>
                <w:sz w:val="16"/>
                <w:szCs w:val="16"/>
                <w:vertAlign w:val="superscript"/>
              </w:rPr>
              <w:t>]</w:t>
            </w:r>
          </w:p>
        </w:tc>
        <w:tc>
          <w:tcPr>
            <w:tcW w:w="2882" w:type="dxa"/>
            <w:tcBorders>
              <w:top w:val="single" w:sz="4" w:space="0" w:color="auto"/>
              <w:left w:val="single" w:sz="4" w:space="0" w:color="auto"/>
              <w:bottom w:val="single" w:sz="4" w:space="0" w:color="auto"/>
              <w:right w:val="single" w:sz="4" w:space="0" w:color="auto"/>
            </w:tcBorders>
          </w:tcPr>
          <w:p w14:paraId="3D4EA834" w14:textId="04736AEB" w:rsidR="000E395A" w:rsidRPr="003E76E7" w:rsidRDefault="000E395A" w:rsidP="00C4292D">
            <w:pPr>
              <w:tabs>
                <w:tab w:val="left" w:pos="709"/>
              </w:tabs>
              <w:spacing w:before="60" w:after="60"/>
              <w:rPr>
                <w:rFonts w:ascii="Arial" w:hAnsi="Arial"/>
                <w:color w:val="000000"/>
                <w:sz w:val="16"/>
                <w:szCs w:val="16"/>
              </w:rPr>
            </w:pPr>
            <w:r w:rsidRPr="003E76E7">
              <w:rPr>
                <w:rFonts w:ascii="Arial" w:hAnsi="Arial"/>
                <w:sz w:val="16"/>
                <w:szCs w:val="16"/>
                <w:lang w:val="en-AU"/>
              </w:rPr>
              <w:t>1.1: Defence conducts operations as directed by Government to achieve Defence’s mission.</w:t>
            </w:r>
          </w:p>
        </w:tc>
        <w:tc>
          <w:tcPr>
            <w:tcW w:w="3058" w:type="dxa"/>
            <w:tcBorders>
              <w:top w:val="single" w:sz="4" w:space="0" w:color="auto"/>
              <w:left w:val="single" w:sz="4" w:space="0" w:color="auto"/>
              <w:bottom w:val="single" w:sz="4" w:space="0" w:color="auto"/>
            </w:tcBorders>
          </w:tcPr>
          <w:p w14:paraId="0D97A670" w14:textId="5AD97995" w:rsidR="000E395A" w:rsidRPr="003E76E7" w:rsidRDefault="000E395A" w:rsidP="00C4292D">
            <w:pPr>
              <w:tabs>
                <w:tab w:val="left" w:pos="709"/>
              </w:tabs>
              <w:spacing w:before="60" w:after="60"/>
              <w:rPr>
                <w:rFonts w:ascii="Arial" w:hAnsi="Arial"/>
                <w:i/>
                <w:color w:val="000000"/>
                <w:sz w:val="16"/>
                <w:szCs w:val="16"/>
              </w:rPr>
            </w:pPr>
            <w:r w:rsidRPr="003E76E7">
              <w:rPr>
                <w:rFonts w:ascii="Arial" w:hAnsi="Arial"/>
                <w:sz w:val="16"/>
                <w:szCs w:val="16"/>
                <w:lang w:val="en-AU"/>
              </w:rPr>
              <w:t>100 per cent of operations conducted or being conducted as directed by Government.</w:t>
            </w:r>
          </w:p>
        </w:tc>
      </w:tr>
      <w:tr w:rsidR="000E395A" w:rsidRPr="003E76E7" w14:paraId="762C3DFB" w14:textId="77777777" w:rsidTr="00A46C55">
        <w:tblPrEx>
          <w:shd w:val="clear" w:color="auto" w:fill="auto"/>
          <w:tblLook w:val="04A0" w:firstRow="1" w:lastRow="0" w:firstColumn="1" w:lastColumn="0" w:noHBand="0" w:noVBand="1"/>
        </w:tblPrEx>
        <w:trPr>
          <w:trHeight w:val="320"/>
        </w:trPr>
        <w:tc>
          <w:tcPr>
            <w:tcW w:w="1670" w:type="dxa"/>
            <w:vMerge/>
            <w:tcBorders>
              <w:right w:val="single" w:sz="4" w:space="0" w:color="auto"/>
            </w:tcBorders>
          </w:tcPr>
          <w:p w14:paraId="53DB7BE2" w14:textId="77777777" w:rsidR="000E395A" w:rsidRPr="003E76E7" w:rsidRDefault="000E395A" w:rsidP="00C4292D">
            <w:pPr>
              <w:tabs>
                <w:tab w:val="left" w:pos="709"/>
              </w:tabs>
              <w:spacing w:before="60" w:after="60"/>
              <w:rPr>
                <w:rFonts w:ascii="Arial" w:hAnsi="Arial"/>
                <w:color w:val="000000"/>
                <w:sz w:val="16"/>
                <w:szCs w:val="16"/>
              </w:rPr>
            </w:pPr>
          </w:p>
        </w:tc>
        <w:tc>
          <w:tcPr>
            <w:tcW w:w="2882" w:type="dxa"/>
            <w:tcBorders>
              <w:top w:val="single" w:sz="4" w:space="0" w:color="auto"/>
              <w:left w:val="single" w:sz="4" w:space="0" w:color="auto"/>
              <w:bottom w:val="single" w:sz="4" w:space="0" w:color="auto"/>
              <w:right w:val="single" w:sz="4" w:space="0" w:color="auto"/>
            </w:tcBorders>
          </w:tcPr>
          <w:p w14:paraId="262C6239" w14:textId="641A3C84" w:rsidR="000E395A" w:rsidRPr="003E76E7" w:rsidRDefault="000E395A" w:rsidP="00C4292D">
            <w:pPr>
              <w:tabs>
                <w:tab w:val="left" w:pos="709"/>
              </w:tabs>
              <w:spacing w:before="60" w:after="60"/>
              <w:rPr>
                <w:rFonts w:ascii="Arial" w:hAnsi="Arial"/>
                <w:color w:val="000000"/>
                <w:sz w:val="16"/>
                <w:szCs w:val="16"/>
              </w:rPr>
            </w:pPr>
            <w:r w:rsidRPr="003E76E7">
              <w:rPr>
                <w:rFonts w:ascii="Arial" w:hAnsi="Arial"/>
                <w:sz w:val="16"/>
                <w:szCs w:val="16"/>
                <w:lang w:val="en-AU"/>
              </w:rPr>
              <w:t>1.2: Defence maintains ready forces through the conduct of exercises.</w:t>
            </w:r>
          </w:p>
        </w:tc>
        <w:tc>
          <w:tcPr>
            <w:tcW w:w="3058" w:type="dxa"/>
            <w:tcBorders>
              <w:top w:val="single" w:sz="4" w:space="0" w:color="auto"/>
              <w:left w:val="single" w:sz="4" w:space="0" w:color="auto"/>
              <w:bottom w:val="single" w:sz="4" w:space="0" w:color="auto"/>
            </w:tcBorders>
          </w:tcPr>
          <w:p w14:paraId="0FC0E560" w14:textId="5D9089AA" w:rsidR="000E395A" w:rsidRPr="003E76E7" w:rsidRDefault="000E395A" w:rsidP="00C4292D">
            <w:pPr>
              <w:tabs>
                <w:tab w:val="left" w:pos="709"/>
              </w:tabs>
              <w:spacing w:before="60" w:after="60"/>
              <w:rPr>
                <w:rFonts w:ascii="Arial" w:hAnsi="Arial"/>
                <w:color w:val="000000"/>
                <w:sz w:val="16"/>
                <w:szCs w:val="16"/>
              </w:rPr>
            </w:pPr>
            <w:r w:rsidRPr="003E76E7">
              <w:rPr>
                <w:rFonts w:ascii="Arial" w:hAnsi="Arial"/>
                <w:color w:val="000000"/>
                <w:sz w:val="16"/>
                <w:szCs w:val="16"/>
                <w:lang w:val="en-AU"/>
              </w:rPr>
              <w:t>100 per cent of exercises conducted achieve planned objectives.</w:t>
            </w:r>
          </w:p>
        </w:tc>
      </w:tr>
      <w:tr w:rsidR="000E395A" w:rsidRPr="003E76E7" w14:paraId="252D05F1" w14:textId="77777777" w:rsidTr="00A46C55">
        <w:tblPrEx>
          <w:shd w:val="clear" w:color="auto" w:fill="auto"/>
          <w:tblLook w:val="04A0" w:firstRow="1" w:lastRow="0" w:firstColumn="1" w:lastColumn="0" w:noHBand="0" w:noVBand="1"/>
        </w:tblPrEx>
        <w:trPr>
          <w:trHeight w:val="642"/>
        </w:trPr>
        <w:tc>
          <w:tcPr>
            <w:tcW w:w="1670" w:type="dxa"/>
            <w:vMerge/>
            <w:tcBorders>
              <w:right w:val="single" w:sz="4" w:space="0" w:color="auto"/>
            </w:tcBorders>
          </w:tcPr>
          <w:p w14:paraId="1A52C989" w14:textId="77777777" w:rsidR="000E395A" w:rsidRPr="003E76E7" w:rsidRDefault="000E395A" w:rsidP="00C4292D">
            <w:pPr>
              <w:tabs>
                <w:tab w:val="left" w:pos="709"/>
              </w:tabs>
              <w:spacing w:before="60" w:after="60"/>
              <w:rPr>
                <w:rFonts w:ascii="Arial" w:hAnsi="Arial"/>
                <w:color w:val="000000"/>
                <w:sz w:val="16"/>
                <w:szCs w:val="16"/>
              </w:rPr>
            </w:pPr>
          </w:p>
        </w:tc>
        <w:tc>
          <w:tcPr>
            <w:tcW w:w="2882" w:type="dxa"/>
            <w:tcBorders>
              <w:top w:val="single" w:sz="4" w:space="0" w:color="auto"/>
              <w:left w:val="single" w:sz="4" w:space="0" w:color="auto"/>
              <w:bottom w:val="single" w:sz="4" w:space="0" w:color="auto"/>
              <w:right w:val="single" w:sz="4" w:space="0" w:color="auto"/>
            </w:tcBorders>
          </w:tcPr>
          <w:p w14:paraId="750A5047" w14:textId="46601670" w:rsidR="000E395A" w:rsidRPr="003E76E7" w:rsidRDefault="000E395A" w:rsidP="00C4292D">
            <w:pPr>
              <w:tabs>
                <w:tab w:val="left" w:pos="709"/>
              </w:tabs>
              <w:spacing w:before="60" w:after="60"/>
              <w:rPr>
                <w:rFonts w:ascii="Arial" w:hAnsi="Arial"/>
                <w:color w:val="000000"/>
                <w:sz w:val="16"/>
                <w:szCs w:val="16"/>
              </w:rPr>
            </w:pPr>
            <w:r w:rsidRPr="003E76E7">
              <w:rPr>
                <w:rFonts w:ascii="Arial" w:hAnsi="Arial"/>
                <w:sz w:val="16"/>
                <w:szCs w:val="16"/>
                <w:lang w:val="en-AU"/>
              </w:rPr>
              <w:t>1.3</w:t>
            </w:r>
            <w:r w:rsidR="00C23CD1" w:rsidRPr="003E76E7">
              <w:rPr>
                <w:rFonts w:ascii="Arial" w:hAnsi="Arial"/>
                <w:sz w:val="16"/>
                <w:szCs w:val="16"/>
                <w:lang w:val="en-AU"/>
              </w:rPr>
              <w:t>:</w:t>
            </w:r>
            <w:r w:rsidRPr="003E76E7">
              <w:rPr>
                <w:rFonts w:ascii="Arial" w:hAnsi="Arial"/>
                <w:sz w:val="16"/>
                <w:szCs w:val="16"/>
                <w:lang w:val="en-AU"/>
              </w:rPr>
              <w:t xml:space="preserve"> Defence assists with domestic crisis and emergency response as directed by Government. </w:t>
            </w:r>
          </w:p>
        </w:tc>
        <w:tc>
          <w:tcPr>
            <w:tcW w:w="3058" w:type="dxa"/>
            <w:tcBorders>
              <w:top w:val="single" w:sz="4" w:space="0" w:color="auto"/>
              <w:left w:val="single" w:sz="4" w:space="0" w:color="auto"/>
              <w:bottom w:val="single" w:sz="4" w:space="0" w:color="auto"/>
            </w:tcBorders>
          </w:tcPr>
          <w:p w14:paraId="27B6A6E2" w14:textId="0D107F97" w:rsidR="000E395A" w:rsidRPr="003E76E7" w:rsidRDefault="000E395A" w:rsidP="00C4292D">
            <w:pPr>
              <w:tabs>
                <w:tab w:val="left" w:pos="709"/>
              </w:tabs>
              <w:spacing w:before="60" w:after="60"/>
              <w:rPr>
                <w:rFonts w:ascii="Arial" w:hAnsi="Arial"/>
                <w:sz w:val="16"/>
                <w:szCs w:val="16"/>
              </w:rPr>
            </w:pPr>
            <w:r w:rsidRPr="003E76E7">
              <w:rPr>
                <w:rFonts w:ascii="Arial" w:hAnsi="Arial"/>
                <w:color w:val="000000"/>
                <w:sz w:val="16"/>
                <w:szCs w:val="16"/>
                <w:lang w:val="en-AU"/>
              </w:rPr>
              <w:t xml:space="preserve">Defence responds to 100 per cent of requests for assistance as directed by Government. </w:t>
            </w:r>
          </w:p>
        </w:tc>
      </w:tr>
      <w:tr w:rsidR="000E395A" w:rsidRPr="003E76E7" w14:paraId="7E1F2C54" w14:textId="77777777" w:rsidTr="00A46C55">
        <w:tblPrEx>
          <w:shd w:val="clear" w:color="auto" w:fill="auto"/>
          <w:tblLook w:val="04A0" w:firstRow="1" w:lastRow="0" w:firstColumn="1" w:lastColumn="0" w:noHBand="0" w:noVBand="1"/>
        </w:tblPrEx>
        <w:trPr>
          <w:trHeight w:val="642"/>
        </w:trPr>
        <w:tc>
          <w:tcPr>
            <w:tcW w:w="1670" w:type="dxa"/>
            <w:vMerge/>
            <w:tcBorders>
              <w:bottom w:val="single" w:sz="4" w:space="0" w:color="auto"/>
              <w:right w:val="single" w:sz="4" w:space="0" w:color="auto"/>
            </w:tcBorders>
          </w:tcPr>
          <w:p w14:paraId="65886BB7" w14:textId="77777777" w:rsidR="000E395A" w:rsidRPr="003E76E7" w:rsidRDefault="000E395A" w:rsidP="00C4292D">
            <w:pPr>
              <w:tabs>
                <w:tab w:val="left" w:pos="709"/>
              </w:tabs>
              <w:spacing w:before="60" w:after="60"/>
              <w:jc w:val="center"/>
              <w:rPr>
                <w:rFonts w:ascii="Arial" w:hAnsi="Arial"/>
                <w:color w:val="000000"/>
                <w:sz w:val="16"/>
                <w:szCs w:val="16"/>
              </w:rPr>
            </w:pPr>
          </w:p>
        </w:tc>
        <w:tc>
          <w:tcPr>
            <w:tcW w:w="2882" w:type="dxa"/>
            <w:tcBorders>
              <w:top w:val="dotted" w:sz="4" w:space="0" w:color="auto"/>
              <w:left w:val="single" w:sz="4" w:space="0" w:color="auto"/>
              <w:bottom w:val="single" w:sz="4" w:space="0" w:color="auto"/>
              <w:right w:val="single" w:sz="4" w:space="0" w:color="auto"/>
            </w:tcBorders>
          </w:tcPr>
          <w:p w14:paraId="3D993B33" w14:textId="4CFB83FE" w:rsidR="000E395A" w:rsidRPr="003E76E7" w:rsidRDefault="000E395A" w:rsidP="00C4292D">
            <w:pPr>
              <w:tabs>
                <w:tab w:val="left" w:pos="709"/>
              </w:tabs>
              <w:spacing w:before="60" w:after="60"/>
              <w:rPr>
                <w:rFonts w:ascii="Arial" w:hAnsi="Arial"/>
                <w:color w:val="000000"/>
                <w:sz w:val="16"/>
                <w:szCs w:val="16"/>
              </w:rPr>
            </w:pPr>
            <w:r w:rsidRPr="003E76E7">
              <w:rPr>
                <w:rFonts w:ascii="Arial" w:hAnsi="Arial"/>
                <w:sz w:val="16"/>
                <w:szCs w:val="16"/>
                <w:lang w:val="en-AU"/>
              </w:rPr>
              <w:t>6.1: Defence is delivering the right future capability at the right time within the Integrated Investment Program to ensure it is equipped to respond to future security challenges as directed by the National Defence Strategy.</w:t>
            </w:r>
          </w:p>
        </w:tc>
        <w:tc>
          <w:tcPr>
            <w:tcW w:w="3058" w:type="dxa"/>
            <w:tcBorders>
              <w:top w:val="dotted" w:sz="4" w:space="0" w:color="auto"/>
              <w:left w:val="single" w:sz="4" w:space="0" w:color="auto"/>
              <w:bottom w:val="single" w:sz="4" w:space="0" w:color="auto"/>
            </w:tcBorders>
          </w:tcPr>
          <w:p w14:paraId="3A80E6B3" w14:textId="680393B1" w:rsidR="000E395A" w:rsidRPr="003E76E7" w:rsidRDefault="000E395A" w:rsidP="00C4292D">
            <w:pPr>
              <w:tabs>
                <w:tab w:val="left" w:pos="709"/>
              </w:tabs>
              <w:spacing w:before="60" w:after="60"/>
              <w:rPr>
                <w:rFonts w:ascii="Arial" w:hAnsi="Arial"/>
                <w:sz w:val="16"/>
                <w:szCs w:val="16"/>
              </w:rPr>
            </w:pPr>
            <w:r w:rsidRPr="003E76E7">
              <w:rPr>
                <w:rFonts w:ascii="Arial" w:hAnsi="Arial"/>
                <w:sz w:val="16"/>
                <w:szCs w:val="16"/>
                <w:lang w:val="en-AU"/>
              </w:rPr>
              <w:t>80 per cent or more of approved Integrated Investment Program projects across all domains are on track to deliver within Government approved scope, schedule, and cost (including contingency).</w:t>
            </w:r>
          </w:p>
        </w:tc>
      </w:tr>
      <w:tr w:rsidR="000E395A" w:rsidRPr="003E76E7" w14:paraId="16B3569A" w14:textId="77777777" w:rsidTr="000E1A17">
        <w:trPr>
          <w:trHeight w:val="203"/>
        </w:trPr>
        <w:tc>
          <w:tcPr>
            <w:tcW w:w="1670" w:type="dxa"/>
            <w:tcBorders>
              <w:bottom w:val="single" w:sz="4" w:space="0" w:color="auto"/>
              <w:right w:val="single" w:sz="4" w:space="0" w:color="auto"/>
            </w:tcBorders>
          </w:tcPr>
          <w:p w14:paraId="6660B79E" w14:textId="0C0B8850" w:rsidR="000E395A" w:rsidRPr="003E76E7" w:rsidRDefault="000E395A" w:rsidP="00C4292D">
            <w:pPr>
              <w:tabs>
                <w:tab w:val="left" w:pos="709"/>
              </w:tabs>
              <w:spacing w:before="60" w:after="60"/>
              <w:rPr>
                <w:rFonts w:ascii="Arial" w:hAnsi="Arial"/>
                <w:color w:val="000000"/>
                <w:sz w:val="16"/>
                <w:szCs w:val="16"/>
              </w:rPr>
            </w:pPr>
            <w:r w:rsidRPr="003E76E7">
              <w:rPr>
                <w:rFonts w:ascii="Arial" w:hAnsi="Arial"/>
                <w:b/>
                <w:color w:val="000000"/>
                <w:sz w:val="16"/>
                <w:szCs w:val="16"/>
              </w:rPr>
              <w:t>Year</w:t>
            </w:r>
          </w:p>
        </w:tc>
        <w:tc>
          <w:tcPr>
            <w:tcW w:w="2882" w:type="dxa"/>
            <w:tcBorders>
              <w:top w:val="dotted" w:sz="4" w:space="0" w:color="auto"/>
              <w:left w:val="single" w:sz="4" w:space="0" w:color="auto"/>
              <w:bottom w:val="single" w:sz="4" w:space="0" w:color="auto"/>
              <w:right w:val="single" w:sz="4" w:space="0" w:color="auto"/>
            </w:tcBorders>
          </w:tcPr>
          <w:p w14:paraId="2771046A" w14:textId="49AF4F54" w:rsidR="000E395A" w:rsidRPr="003E76E7" w:rsidRDefault="00AD14EC" w:rsidP="00C4292D">
            <w:pPr>
              <w:tabs>
                <w:tab w:val="left" w:pos="709"/>
              </w:tabs>
              <w:spacing w:before="60" w:after="60"/>
              <w:rPr>
                <w:rFonts w:ascii="Arial" w:hAnsi="Arial"/>
                <w:sz w:val="16"/>
                <w:szCs w:val="16"/>
                <w:lang w:val="en-AU"/>
              </w:rPr>
            </w:pPr>
            <w:r w:rsidRPr="003E76E7">
              <w:rPr>
                <w:rFonts w:ascii="Arial" w:hAnsi="Arial"/>
                <w:b/>
                <w:color w:val="000000"/>
                <w:sz w:val="16"/>
                <w:szCs w:val="16"/>
              </w:rPr>
              <w:t>Performance Measures</w:t>
            </w:r>
          </w:p>
        </w:tc>
        <w:tc>
          <w:tcPr>
            <w:tcW w:w="3058" w:type="dxa"/>
            <w:tcBorders>
              <w:top w:val="dotted" w:sz="4" w:space="0" w:color="auto"/>
              <w:left w:val="single" w:sz="4" w:space="0" w:color="auto"/>
              <w:bottom w:val="single" w:sz="4" w:space="0" w:color="auto"/>
            </w:tcBorders>
          </w:tcPr>
          <w:p w14:paraId="35C30C15" w14:textId="0C7E8584" w:rsidR="000E395A" w:rsidRPr="003E76E7" w:rsidRDefault="000E395A" w:rsidP="00C4292D">
            <w:pPr>
              <w:tabs>
                <w:tab w:val="left" w:pos="709"/>
              </w:tabs>
              <w:spacing w:before="60" w:after="60"/>
              <w:rPr>
                <w:rFonts w:ascii="Arial" w:hAnsi="Arial"/>
                <w:sz w:val="16"/>
                <w:szCs w:val="16"/>
                <w:lang w:val="en-AU"/>
              </w:rPr>
            </w:pPr>
            <w:r w:rsidRPr="003E76E7">
              <w:rPr>
                <w:rFonts w:ascii="Arial" w:hAnsi="Arial"/>
                <w:b/>
                <w:color w:val="000000"/>
                <w:sz w:val="16"/>
                <w:szCs w:val="16"/>
              </w:rPr>
              <w:t>Planned Performance Results</w:t>
            </w:r>
          </w:p>
        </w:tc>
      </w:tr>
      <w:tr w:rsidR="000E395A" w:rsidRPr="003E76E7" w14:paraId="72FF1176" w14:textId="77777777" w:rsidTr="000E1A17">
        <w:trPr>
          <w:trHeight w:val="521"/>
        </w:trPr>
        <w:tc>
          <w:tcPr>
            <w:tcW w:w="1670" w:type="dxa"/>
            <w:tcBorders>
              <w:bottom w:val="single" w:sz="4" w:space="0" w:color="auto"/>
              <w:right w:val="single" w:sz="4" w:space="0" w:color="auto"/>
            </w:tcBorders>
            <w:vAlign w:val="center"/>
          </w:tcPr>
          <w:p w14:paraId="6CD4DAD0" w14:textId="77777777" w:rsidR="000E395A" w:rsidRPr="003E76E7" w:rsidRDefault="000E395A" w:rsidP="00C4292D">
            <w:pPr>
              <w:tabs>
                <w:tab w:val="left" w:pos="709"/>
              </w:tabs>
              <w:spacing w:before="0" w:after="0"/>
              <w:rPr>
                <w:rFonts w:ascii="Arial" w:hAnsi="Arial"/>
                <w:color w:val="000000"/>
                <w:sz w:val="16"/>
                <w:szCs w:val="16"/>
              </w:rPr>
            </w:pPr>
            <w:r w:rsidRPr="003E76E7">
              <w:rPr>
                <w:rFonts w:ascii="Arial" w:hAnsi="Arial"/>
                <w:color w:val="000000"/>
                <w:sz w:val="16"/>
                <w:szCs w:val="16"/>
              </w:rPr>
              <w:t>Forward Estimates</w:t>
            </w:r>
          </w:p>
          <w:p w14:paraId="47054042" w14:textId="3CDB50CE" w:rsidR="000E395A" w:rsidRPr="003E76E7" w:rsidRDefault="000E395A" w:rsidP="00C4292D">
            <w:pPr>
              <w:tabs>
                <w:tab w:val="left" w:pos="709"/>
              </w:tabs>
              <w:spacing w:before="0" w:after="0"/>
              <w:rPr>
                <w:rFonts w:ascii="Arial" w:hAnsi="Arial"/>
                <w:color w:val="000000"/>
                <w:sz w:val="16"/>
                <w:szCs w:val="16"/>
              </w:rPr>
            </w:pPr>
            <w:r w:rsidRPr="003E76E7">
              <w:rPr>
                <w:rFonts w:ascii="Arial" w:hAnsi="Arial"/>
                <w:color w:val="000000"/>
                <w:sz w:val="16"/>
                <w:szCs w:val="16"/>
              </w:rPr>
              <w:t>2027-30</w:t>
            </w:r>
          </w:p>
        </w:tc>
        <w:tc>
          <w:tcPr>
            <w:tcW w:w="2882" w:type="dxa"/>
            <w:tcBorders>
              <w:top w:val="dotted" w:sz="4" w:space="0" w:color="auto"/>
              <w:left w:val="single" w:sz="4" w:space="0" w:color="auto"/>
              <w:bottom w:val="single" w:sz="4" w:space="0" w:color="auto"/>
              <w:right w:val="single" w:sz="4" w:space="0" w:color="auto"/>
            </w:tcBorders>
            <w:vAlign w:val="center"/>
          </w:tcPr>
          <w:p w14:paraId="2F7F0DED" w14:textId="44B7B066" w:rsidR="000E395A" w:rsidRPr="003E76E7" w:rsidRDefault="000E395A" w:rsidP="00C4292D">
            <w:pPr>
              <w:tabs>
                <w:tab w:val="left" w:pos="709"/>
              </w:tabs>
              <w:spacing w:before="60" w:after="60"/>
              <w:rPr>
                <w:rFonts w:ascii="Arial" w:hAnsi="Arial"/>
                <w:sz w:val="16"/>
                <w:szCs w:val="16"/>
                <w:lang w:val="en-AU"/>
              </w:rPr>
            </w:pPr>
            <w:r w:rsidRPr="003E76E7">
              <w:rPr>
                <w:rFonts w:ascii="Arial" w:hAnsi="Arial"/>
                <w:color w:val="000000"/>
                <w:sz w:val="16"/>
                <w:szCs w:val="16"/>
              </w:rPr>
              <w:t>As per 2026-27.</w:t>
            </w:r>
          </w:p>
        </w:tc>
        <w:tc>
          <w:tcPr>
            <w:tcW w:w="3058" w:type="dxa"/>
            <w:tcBorders>
              <w:top w:val="dotted" w:sz="4" w:space="0" w:color="auto"/>
              <w:left w:val="single" w:sz="4" w:space="0" w:color="auto"/>
              <w:bottom w:val="single" w:sz="4" w:space="0" w:color="auto"/>
            </w:tcBorders>
            <w:vAlign w:val="center"/>
          </w:tcPr>
          <w:p w14:paraId="384610CB" w14:textId="55F7106C" w:rsidR="000E395A" w:rsidRPr="003E76E7" w:rsidRDefault="000E395A" w:rsidP="00C4292D">
            <w:pPr>
              <w:tabs>
                <w:tab w:val="left" w:pos="709"/>
              </w:tabs>
              <w:spacing w:before="60" w:after="60"/>
              <w:rPr>
                <w:rFonts w:ascii="Arial" w:hAnsi="Arial"/>
                <w:sz w:val="16"/>
                <w:szCs w:val="16"/>
                <w:lang w:val="en-AU"/>
              </w:rPr>
            </w:pPr>
            <w:r w:rsidRPr="003E76E7">
              <w:rPr>
                <w:rFonts w:ascii="Arial" w:hAnsi="Arial"/>
                <w:color w:val="000000"/>
                <w:sz w:val="16"/>
                <w:szCs w:val="16"/>
              </w:rPr>
              <w:t>As per 2026-27.</w:t>
            </w:r>
          </w:p>
        </w:tc>
      </w:tr>
      <w:tr w:rsidR="000E395A" w:rsidRPr="003E76E7" w14:paraId="653860C0" w14:textId="77777777" w:rsidTr="000E1A17">
        <w:trPr>
          <w:trHeight w:val="60"/>
        </w:trPr>
        <w:tc>
          <w:tcPr>
            <w:tcW w:w="7610" w:type="dxa"/>
            <w:gridSpan w:val="3"/>
            <w:tcBorders>
              <w:bottom w:val="single" w:sz="4" w:space="0" w:color="auto"/>
            </w:tcBorders>
          </w:tcPr>
          <w:p w14:paraId="326B9B7A" w14:textId="055DC6B9" w:rsidR="000E395A" w:rsidRPr="003E76E7" w:rsidRDefault="000E395A" w:rsidP="00C4292D">
            <w:pPr>
              <w:tabs>
                <w:tab w:val="left" w:pos="709"/>
              </w:tabs>
              <w:spacing w:before="60" w:after="60"/>
              <w:rPr>
                <w:rFonts w:ascii="Arial" w:hAnsi="Arial"/>
                <w:sz w:val="16"/>
                <w:szCs w:val="16"/>
                <w:lang w:val="en-AU"/>
              </w:rPr>
            </w:pPr>
            <w:r w:rsidRPr="003E76E7">
              <w:rPr>
                <w:rFonts w:ascii="Arial" w:hAnsi="Arial"/>
                <w:color w:val="000000"/>
                <w:sz w:val="16"/>
                <w:szCs w:val="16"/>
              </w:rPr>
              <w:t>Material changes to Program 2.7 resulting from 2026-27 Budget Measures:</w:t>
            </w:r>
            <w:r w:rsidRPr="003E76E7">
              <w:rPr>
                <w:rStyle w:val="BodyTextChar"/>
                <w:rFonts w:ascii="Arial" w:hAnsi="Arial"/>
                <w:bCs/>
                <w:iCs/>
                <w:color w:val="000000"/>
                <w:spacing w:val="-6"/>
                <w:sz w:val="16"/>
                <w:szCs w:val="16"/>
              </w:rPr>
              <w:t xml:space="preserve"> Nil.</w:t>
            </w:r>
          </w:p>
        </w:tc>
      </w:tr>
    </w:tbl>
    <w:p w14:paraId="2CC482F6" w14:textId="77777777" w:rsidR="00FF0FC2" w:rsidRPr="003E76E7" w:rsidRDefault="00FF0FC2" w:rsidP="00C4292D">
      <w:pPr>
        <w:pStyle w:val="TableHeading"/>
        <w:spacing w:before="0" w:after="0"/>
        <w:rPr>
          <w:sz w:val="14"/>
          <w:szCs w:val="16"/>
          <w:lang w:val="en-AU"/>
        </w:rPr>
      </w:pPr>
    </w:p>
    <w:p w14:paraId="09E0F123" w14:textId="77777777" w:rsidR="00FF0FC2" w:rsidRPr="003E76E7" w:rsidRDefault="00FF0FC2" w:rsidP="00C4292D">
      <w:pPr>
        <w:pStyle w:val="TableHeading"/>
        <w:spacing w:before="0" w:after="0"/>
        <w:rPr>
          <w:sz w:val="14"/>
          <w:szCs w:val="14"/>
          <w:lang w:val="en-AU"/>
        </w:rPr>
      </w:pPr>
      <w:r w:rsidRPr="003E76E7">
        <w:rPr>
          <w:sz w:val="14"/>
          <w:szCs w:val="14"/>
          <w:lang w:val="en-AU"/>
        </w:rPr>
        <w:t>Note</w:t>
      </w:r>
      <w:r w:rsidR="00AF08A6" w:rsidRPr="003E76E7">
        <w:rPr>
          <w:sz w:val="14"/>
          <w:szCs w:val="14"/>
          <w:lang w:val="en-AU"/>
        </w:rPr>
        <w:t>s</w:t>
      </w:r>
    </w:p>
    <w:p w14:paraId="50252DFC" w14:textId="06C2FDD3" w:rsidR="00E909B5" w:rsidRPr="003E76E7" w:rsidRDefault="00E909B5" w:rsidP="00C4292D">
      <w:pPr>
        <w:pStyle w:val="TableHeading"/>
        <w:numPr>
          <w:ilvl w:val="0"/>
          <w:numId w:val="38"/>
        </w:numPr>
        <w:tabs>
          <w:tab w:val="left" w:pos="284"/>
        </w:tabs>
        <w:spacing w:before="0" w:after="0"/>
        <w:rPr>
          <w:b w:val="0"/>
          <w:sz w:val="14"/>
          <w:szCs w:val="14"/>
          <w:lang w:val="en-AU"/>
        </w:rPr>
      </w:pPr>
      <w:r w:rsidRPr="003E76E7">
        <w:rPr>
          <w:b w:val="0"/>
          <w:sz w:val="14"/>
          <w:szCs w:val="14"/>
          <w:lang w:val="en-AU"/>
        </w:rPr>
        <w:t xml:space="preserve">Key activity 1 has been amended for 2025-26, as published in the </w:t>
      </w:r>
      <w:r w:rsidRPr="003E76E7">
        <w:rPr>
          <w:b w:val="0"/>
          <w:i/>
          <w:sz w:val="14"/>
          <w:szCs w:val="14"/>
          <w:lang w:val="en-AU"/>
        </w:rPr>
        <w:t>2025-29 Defence Corporate Plan</w:t>
      </w:r>
      <w:r w:rsidR="00C23CD1" w:rsidRPr="003E76E7">
        <w:rPr>
          <w:b w:val="0"/>
          <w:i/>
          <w:sz w:val="14"/>
          <w:szCs w:val="14"/>
          <w:lang w:val="en-AU"/>
        </w:rPr>
        <w:t>.</w:t>
      </w:r>
    </w:p>
    <w:p w14:paraId="3D61F4F6" w14:textId="6AD2A646" w:rsidR="00E909B5" w:rsidRPr="003E76E7" w:rsidRDefault="00E909B5" w:rsidP="00C4292D">
      <w:pPr>
        <w:pStyle w:val="TableHeading"/>
        <w:numPr>
          <w:ilvl w:val="0"/>
          <w:numId w:val="38"/>
        </w:numPr>
        <w:tabs>
          <w:tab w:val="left" w:pos="284"/>
        </w:tabs>
        <w:spacing w:before="0" w:after="0"/>
        <w:ind w:left="284" w:hanging="284"/>
        <w:rPr>
          <w:b w:val="0"/>
          <w:i/>
          <w:sz w:val="14"/>
          <w:szCs w:val="14"/>
          <w:lang w:val="en-AU"/>
        </w:rPr>
      </w:pPr>
      <w:r w:rsidRPr="003E76E7">
        <w:rPr>
          <w:b w:val="0"/>
          <w:sz w:val="14"/>
          <w:szCs w:val="14"/>
          <w:lang w:val="en-AU"/>
        </w:rPr>
        <w:t xml:space="preserve">Performance Measures 1.1, 1.2 and 6.1 have been amended and 1.3 is new for 2025-26, as published in </w:t>
      </w:r>
      <w:r w:rsidR="00190A21" w:rsidRPr="003E76E7">
        <w:rPr>
          <w:b w:val="0"/>
          <w:i/>
          <w:sz w:val="14"/>
          <w:szCs w:val="14"/>
          <w:lang w:val="en-AU"/>
        </w:rPr>
        <w:t>2025-29 Defence</w:t>
      </w:r>
      <w:r w:rsidR="00190A21" w:rsidRPr="003E76E7">
        <w:rPr>
          <w:b w:val="0"/>
          <w:i/>
          <w:sz w:val="14"/>
          <w:szCs w:val="14"/>
          <w:lang w:val="en-AU"/>
        </w:rPr>
        <w:br/>
      </w:r>
      <w:r w:rsidRPr="003E76E7">
        <w:rPr>
          <w:b w:val="0"/>
          <w:i/>
          <w:sz w:val="14"/>
          <w:szCs w:val="14"/>
          <w:lang w:val="en-AU"/>
        </w:rPr>
        <w:t>Corporate Plan.</w:t>
      </w:r>
    </w:p>
    <w:p w14:paraId="34B028EB" w14:textId="00694C9E" w:rsidR="00E909B5" w:rsidRPr="003E76E7" w:rsidRDefault="00E909B5" w:rsidP="00C4292D">
      <w:pPr>
        <w:pStyle w:val="TableHeading"/>
        <w:numPr>
          <w:ilvl w:val="0"/>
          <w:numId w:val="38"/>
        </w:numPr>
        <w:tabs>
          <w:tab w:val="left" w:pos="284"/>
        </w:tabs>
        <w:spacing w:before="0" w:after="0"/>
        <w:ind w:left="284" w:hanging="284"/>
        <w:rPr>
          <w:b w:val="0"/>
          <w:sz w:val="14"/>
          <w:szCs w:val="14"/>
          <w:lang w:val="en-AU"/>
        </w:rPr>
      </w:pPr>
      <w:r w:rsidRPr="003E76E7">
        <w:rPr>
          <w:b w:val="0"/>
          <w:sz w:val="14"/>
          <w:szCs w:val="14"/>
          <w:lang w:val="en-AU"/>
        </w:rPr>
        <w:t xml:space="preserve">In accordance with Defence’s Enterprise Performance Framework, Defence is undertaking materiality assessments that may result in updates to the 2026-27 performance information in the 2026-30 Defence Corporate Plan, if required. </w:t>
      </w:r>
    </w:p>
    <w:p w14:paraId="2C76B02A" w14:textId="129F7D6D" w:rsidR="00397940" w:rsidRPr="003E76E7" w:rsidRDefault="00397940" w:rsidP="00C4292D">
      <w:pPr>
        <w:spacing w:before="0" w:after="0"/>
        <w:rPr>
          <w:lang w:val="en-AU"/>
        </w:rPr>
      </w:pPr>
      <w:r w:rsidRPr="003E76E7">
        <w:rPr>
          <w:lang w:val="en-AU"/>
        </w:rPr>
        <w:br w:type="page"/>
      </w:r>
    </w:p>
    <w:p w14:paraId="0B660970" w14:textId="160622B6" w:rsidR="003D5485" w:rsidRPr="003E76E7" w:rsidRDefault="003D5485" w:rsidP="00C4292D">
      <w:pPr>
        <w:pStyle w:val="TableHeading"/>
        <w:numPr>
          <w:ilvl w:val="0"/>
          <w:numId w:val="61"/>
        </w:numPr>
        <w:spacing w:before="100"/>
        <w:ind w:left="0" w:firstLine="0"/>
        <w:outlineLvl w:val="4"/>
        <w:rPr>
          <w:lang w:val="en-AU"/>
        </w:rPr>
      </w:pPr>
      <w:r w:rsidRPr="003E76E7">
        <w:rPr>
          <w:lang w:val="en-AU"/>
        </w:rPr>
        <w:lastRenderedPageBreak/>
        <w:t>Cost Summary for Program 2.7 Air Force Capabilities</w:t>
      </w:r>
    </w:p>
    <w:p w14:paraId="6484B699" w14:textId="4AA914D0" w:rsidR="003D5485" w:rsidRPr="003E76E7" w:rsidRDefault="00430E62" w:rsidP="00C4292D">
      <w:pPr>
        <w:spacing w:after="0"/>
      </w:pPr>
      <w:r w:rsidRPr="00430E62">
        <w:rPr>
          <w:noProof/>
          <w:lang w:val="en-AU"/>
        </w:rPr>
        <w:drawing>
          <wp:inline distT="0" distB="0" distL="0" distR="0" wp14:anchorId="65686B7A" wp14:editId="2DE51C33">
            <wp:extent cx="5436235" cy="2819588"/>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436235" cy="2819588"/>
                    </a:xfrm>
                    <a:prstGeom prst="rect">
                      <a:avLst/>
                    </a:prstGeom>
                    <a:noFill/>
                    <a:ln>
                      <a:noFill/>
                    </a:ln>
                  </pic:spPr>
                </pic:pic>
              </a:graphicData>
            </a:graphic>
          </wp:inline>
        </w:drawing>
      </w:r>
    </w:p>
    <w:p w14:paraId="525DEC2A" w14:textId="77777777" w:rsidR="00656D60" w:rsidRPr="003E76E7" w:rsidRDefault="00656D60" w:rsidP="00C4292D">
      <w:pPr>
        <w:spacing w:before="0" w:after="0"/>
        <w:rPr>
          <w:rFonts w:ascii="Arial" w:hAnsi="Arial"/>
          <w:b/>
          <w:sz w:val="14"/>
          <w:szCs w:val="14"/>
        </w:rPr>
      </w:pPr>
    </w:p>
    <w:p w14:paraId="7839E644" w14:textId="77777777" w:rsidR="00C01193" w:rsidRPr="003E76E7" w:rsidRDefault="00B1151B" w:rsidP="00C4292D">
      <w:pPr>
        <w:tabs>
          <w:tab w:val="left" w:pos="284"/>
        </w:tabs>
        <w:spacing w:before="0" w:after="0"/>
        <w:ind w:left="284" w:hanging="284"/>
        <w:rPr>
          <w:rFonts w:ascii="Arial" w:hAnsi="Arial"/>
          <w:b/>
          <w:sz w:val="14"/>
          <w:szCs w:val="14"/>
        </w:rPr>
      </w:pPr>
      <w:r w:rsidRPr="003E76E7">
        <w:rPr>
          <w:rFonts w:ascii="Arial" w:hAnsi="Arial"/>
          <w:b/>
          <w:sz w:val="14"/>
          <w:szCs w:val="14"/>
        </w:rPr>
        <w:t>Notes</w:t>
      </w:r>
    </w:p>
    <w:p w14:paraId="4F8D3312" w14:textId="01AE3A45" w:rsidR="00D870D5" w:rsidRPr="003E76E7" w:rsidRDefault="00D870D5" w:rsidP="00C4292D">
      <w:pPr>
        <w:pStyle w:val="ListParagraph"/>
        <w:numPr>
          <w:ilvl w:val="0"/>
          <w:numId w:val="114"/>
        </w:numPr>
        <w:tabs>
          <w:tab w:val="left" w:pos="284"/>
        </w:tabs>
        <w:spacing w:before="0" w:after="0"/>
        <w:ind w:left="284" w:hanging="284"/>
        <w:rPr>
          <w:rFonts w:ascii="Arial" w:hAnsi="Arial"/>
          <w:sz w:val="14"/>
          <w:szCs w:val="14"/>
        </w:rPr>
      </w:pPr>
      <w:r w:rsidRPr="003E76E7">
        <w:rPr>
          <w:rFonts w:ascii="Arial" w:hAnsi="Arial"/>
          <w:sz w:val="14"/>
          <w:szCs w:val="14"/>
        </w:rPr>
        <w:t xml:space="preserve">Purchase of inventory and inventory consumption are predominately budgeted in military programs (2.5 Navy Capabilities, </w:t>
      </w:r>
      <w:r w:rsidR="00397940" w:rsidRPr="003E76E7">
        <w:rPr>
          <w:rFonts w:ascii="Arial" w:hAnsi="Arial"/>
          <w:sz w:val="14"/>
          <w:szCs w:val="14"/>
        </w:rPr>
        <w:br/>
      </w:r>
      <w:r w:rsidRPr="003E76E7">
        <w:rPr>
          <w:rFonts w:ascii="Arial" w:hAnsi="Arial"/>
          <w:sz w:val="14"/>
          <w:szCs w:val="14"/>
        </w:rPr>
        <w:t>2.6 Army Capabilities and 2.7 Air Force Capabilities), however, actual purchase and consumption of inventory may occur under different programs.</w:t>
      </w:r>
      <w:r w:rsidRPr="003E76E7">
        <w:rPr>
          <w:rFonts w:ascii="Arial" w:hAnsi="Arial"/>
          <w:sz w:val="14"/>
          <w:szCs w:val="14"/>
        </w:rPr>
        <w:tab/>
      </w:r>
      <w:r w:rsidRPr="003E76E7">
        <w:rPr>
          <w:rFonts w:ascii="Arial" w:hAnsi="Arial"/>
          <w:sz w:val="14"/>
          <w:szCs w:val="14"/>
        </w:rPr>
        <w:tab/>
      </w:r>
      <w:r w:rsidRPr="003E76E7">
        <w:rPr>
          <w:rFonts w:ascii="Arial" w:hAnsi="Arial"/>
          <w:sz w:val="14"/>
          <w:szCs w:val="14"/>
        </w:rPr>
        <w:tab/>
      </w:r>
      <w:r w:rsidRPr="003E76E7">
        <w:rPr>
          <w:rFonts w:ascii="Arial" w:hAnsi="Arial"/>
          <w:sz w:val="14"/>
          <w:szCs w:val="14"/>
        </w:rPr>
        <w:tab/>
      </w:r>
      <w:r w:rsidRPr="003E76E7">
        <w:rPr>
          <w:rFonts w:ascii="Arial" w:hAnsi="Arial"/>
          <w:sz w:val="14"/>
          <w:szCs w:val="14"/>
        </w:rPr>
        <w:tab/>
      </w:r>
    </w:p>
    <w:p w14:paraId="76ED27E8" w14:textId="67E18E65" w:rsidR="00D870D5" w:rsidRPr="003E76E7" w:rsidRDefault="00A37A36" w:rsidP="00C4292D">
      <w:pPr>
        <w:pStyle w:val="ListParagraph"/>
        <w:numPr>
          <w:ilvl w:val="0"/>
          <w:numId w:val="114"/>
        </w:numPr>
        <w:tabs>
          <w:tab w:val="left" w:pos="284"/>
        </w:tabs>
        <w:spacing w:before="0" w:after="0"/>
        <w:ind w:left="284" w:hanging="284"/>
        <w:rPr>
          <w:rFonts w:ascii="Arial" w:hAnsi="Arial"/>
          <w:sz w:val="14"/>
          <w:szCs w:val="14"/>
        </w:rPr>
      </w:pPr>
      <w:r w:rsidRPr="003E76E7">
        <w:rPr>
          <w:rFonts w:ascii="Arial" w:hAnsi="Arial"/>
          <w:sz w:val="14"/>
          <w:szCs w:val="14"/>
        </w:rPr>
        <w:t>Total program funded</w:t>
      </w:r>
      <w:r w:rsidR="00D870D5" w:rsidRPr="003E76E7">
        <w:rPr>
          <w:rFonts w:ascii="Arial" w:hAnsi="Arial"/>
          <w:sz w:val="14"/>
          <w:szCs w:val="14"/>
        </w:rPr>
        <w:t xml:space="preserve"> expenditure includes operating expenses and capital expenditure funded by appropriation and </w:t>
      </w:r>
      <w:r w:rsidR="00D870D5" w:rsidRPr="003E76E7">
        <w:rPr>
          <w:rFonts w:ascii="Arial" w:hAnsi="Arial"/>
          <w:sz w:val="14"/>
          <w:szCs w:val="14"/>
        </w:rPr>
        <w:br/>
        <w:t>own source revenue. This excludes expenses not requiring appropriation.</w:t>
      </w:r>
      <w:r w:rsidR="00D870D5" w:rsidRPr="003E76E7">
        <w:rPr>
          <w:rFonts w:ascii="Arial" w:hAnsi="Arial"/>
          <w:sz w:val="14"/>
          <w:szCs w:val="14"/>
        </w:rPr>
        <w:tab/>
      </w:r>
      <w:r w:rsidR="00D870D5" w:rsidRPr="003E76E7">
        <w:rPr>
          <w:rFonts w:ascii="Arial" w:hAnsi="Arial"/>
          <w:sz w:val="14"/>
          <w:szCs w:val="14"/>
        </w:rPr>
        <w:tab/>
      </w:r>
      <w:r w:rsidR="00D870D5" w:rsidRPr="003E76E7">
        <w:rPr>
          <w:rFonts w:ascii="Arial" w:hAnsi="Arial"/>
          <w:sz w:val="14"/>
          <w:szCs w:val="14"/>
        </w:rPr>
        <w:tab/>
      </w:r>
      <w:r w:rsidR="00D870D5" w:rsidRPr="003E76E7">
        <w:rPr>
          <w:rFonts w:ascii="Arial" w:hAnsi="Arial"/>
          <w:sz w:val="14"/>
          <w:szCs w:val="14"/>
        </w:rPr>
        <w:tab/>
      </w:r>
      <w:r w:rsidR="00D870D5" w:rsidRPr="003E76E7">
        <w:rPr>
          <w:rFonts w:ascii="Arial" w:hAnsi="Arial"/>
          <w:sz w:val="14"/>
          <w:szCs w:val="14"/>
        </w:rPr>
        <w:tab/>
      </w:r>
    </w:p>
    <w:p w14:paraId="6043A4D4" w14:textId="132DCCA8" w:rsidR="00CD66E1" w:rsidRPr="003E76E7" w:rsidRDefault="00D870D5" w:rsidP="00C4292D">
      <w:pPr>
        <w:pStyle w:val="ListParagraph"/>
        <w:numPr>
          <w:ilvl w:val="0"/>
          <w:numId w:val="114"/>
        </w:numPr>
        <w:tabs>
          <w:tab w:val="left" w:pos="284"/>
        </w:tabs>
        <w:spacing w:before="0" w:after="0"/>
        <w:ind w:left="284" w:hanging="284"/>
        <w:rPr>
          <w:rFonts w:ascii="Arial" w:hAnsi="Arial"/>
          <w:sz w:val="14"/>
          <w:szCs w:val="14"/>
        </w:rPr>
      </w:pPr>
      <w:r w:rsidRPr="003E76E7">
        <w:rPr>
          <w:rFonts w:ascii="Arial" w:hAnsi="Arial"/>
          <w:sz w:val="14"/>
          <w:szCs w:val="14"/>
        </w:rPr>
        <w:t>The change in estimates includes movement of functions and their associated budgets within Defence.</w:t>
      </w:r>
      <w:r w:rsidRPr="003E76E7">
        <w:rPr>
          <w:rFonts w:ascii="Arial" w:hAnsi="Arial"/>
          <w:sz w:val="14"/>
          <w:szCs w:val="14"/>
        </w:rPr>
        <w:tab/>
      </w:r>
      <w:r w:rsidRPr="003E76E7">
        <w:rPr>
          <w:rFonts w:ascii="Arial" w:hAnsi="Arial"/>
          <w:sz w:val="14"/>
          <w:szCs w:val="14"/>
        </w:rPr>
        <w:tab/>
      </w:r>
      <w:r w:rsidRPr="003E76E7">
        <w:rPr>
          <w:rFonts w:ascii="Arial" w:hAnsi="Arial"/>
          <w:sz w:val="14"/>
          <w:szCs w:val="14"/>
        </w:rPr>
        <w:tab/>
      </w:r>
      <w:r w:rsidRPr="003E76E7">
        <w:rPr>
          <w:rFonts w:ascii="Arial" w:hAnsi="Arial"/>
          <w:sz w:val="14"/>
          <w:szCs w:val="14"/>
        </w:rPr>
        <w:tab/>
      </w:r>
      <w:r w:rsidRPr="003E76E7">
        <w:rPr>
          <w:rFonts w:ascii="Arial" w:hAnsi="Arial"/>
          <w:sz w:val="14"/>
          <w:szCs w:val="14"/>
        </w:rPr>
        <w:tab/>
      </w:r>
      <w:r w:rsidRPr="003E76E7" w:rsidDel="00D870D5">
        <w:rPr>
          <w:rFonts w:ascii="Arial" w:hAnsi="Arial"/>
          <w:sz w:val="14"/>
          <w:szCs w:val="14"/>
        </w:rPr>
        <w:t xml:space="preserve"> </w:t>
      </w:r>
    </w:p>
    <w:p w14:paraId="7979B019" w14:textId="29691C43" w:rsidR="00397940" w:rsidRPr="003E76E7" w:rsidRDefault="00397940" w:rsidP="00C4292D">
      <w:pPr>
        <w:tabs>
          <w:tab w:val="left" w:pos="284"/>
        </w:tabs>
        <w:spacing w:before="0" w:after="0"/>
        <w:ind w:left="284" w:hanging="284"/>
        <w:rPr>
          <w:sz w:val="14"/>
          <w:szCs w:val="14"/>
        </w:rPr>
      </w:pPr>
    </w:p>
    <w:p w14:paraId="7E59A6F2" w14:textId="37D2398C" w:rsidR="005403E1" w:rsidRPr="003E76E7" w:rsidRDefault="005403E1" w:rsidP="00C4292D">
      <w:pPr>
        <w:pStyle w:val="TableHeading"/>
        <w:numPr>
          <w:ilvl w:val="0"/>
          <w:numId w:val="61"/>
        </w:numPr>
        <w:spacing w:before="0"/>
        <w:ind w:left="0" w:firstLine="0"/>
        <w:outlineLvl w:val="4"/>
        <w:rPr>
          <w:lang w:val="en-AU"/>
        </w:rPr>
      </w:pPr>
      <w:r w:rsidRPr="003E76E7">
        <w:rPr>
          <w:lang w:val="en-AU"/>
        </w:rPr>
        <w:t>Air Force Deliverables (Flying Hours)</w:t>
      </w:r>
    </w:p>
    <w:tbl>
      <w:tblPr>
        <w:tblW w:w="4986"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2262"/>
        <w:gridCol w:w="1143"/>
        <w:gridCol w:w="1144"/>
        <w:gridCol w:w="1144"/>
        <w:gridCol w:w="1144"/>
        <w:gridCol w:w="1144"/>
      </w:tblGrid>
      <w:tr w:rsidR="00161E48" w:rsidRPr="003E76E7" w14:paraId="48F23FBB" w14:textId="77777777" w:rsidTr="00597CD8">
        <w:tc>
          <w:tcPr>
            <w:tcW w:w="2808" w:type="dxa"/>
            <w:gridSpan w:val="2"/>
            <w:tcBorders>
              <w:bottom w:val="single" w:sz="4" w:space="0" w:color="auto"/>
            </w:tcBorders>
            <w:shd w:val="clear" w:color="auto" w:fill="auto"/>
            <w:vAlign w:val="bottom"/>
          </w:tcPr>
          <w:p w14:paraId="44D48ADA" w14:textId="138B6C82" w:rsidR="00161E48" w:rsidRPr="003E76E7" w:rsidRDefault="00161E48" w:rsidP="00C4292D">
            <w:pPr>
              <w:pStyle w:val="TableTextHeadingLeft"/>
              <w:rPr>
                <w:sz w:val="14"/>
                <w:szCs w:val="14"/>
              </w:rPr>
            </w:pPr>
            <w:r w:rsidRPr="003E76E7">
              <w:rPr>
                <w:sz w:val="14"/>
                <w:szCs w:val="14"/>
              </w:rPr>
              <w:t xml:space="preserve">Deliverables </w:t>
            </w:r>
            <w:r w:rsidRPr="003E76E7">
              <w:rPr>
                <w:sz w:val="14"/>
                <w:szCs w:val="14"/>
                <w:vertAlign w:val="superscript"/>
                <w:lang w:val="en-AU"/>
              </w:rPr>
              <w:t>[a]</w:t>
            </w:r>
            <w:r w:rsidRPr="003E76E7" w:rsidDel="00E2584C">
              <w:rPr>
                <w:sz w:val="14"/>
                <w:szCs w:val="14"/>
                <w:vertAlign w:val="superscript"/>
                <w:lang w:val="en-AU"/>
              </w:rPr>
              <w:t xml:space="preserve"> </w:t>
            </w:r>
            <w:r w:rsidRPr="003E76E7">
              <w:rPr>
                <w:sz w:val="14"/>
                <w:szCs w:val="14"/>
                <w:vertAlign w:val="superscript"/>
              </w:rPr>
              <w:t xml:space="preserve"> </w:t>
            </w:r>
          </w:p>
        </w:tc>
        <w:tc>
          <w:tcPr>
            <w:tcW w:w="1143" w:type="dxa"/>
            <w:tcBorders>
              <w:bottom w:val="single" w:sz="4" w:space="0" w:color="auto"/>
            </w:tcBorders>
            <w:shd w:val="clear" w:color="auto" w:fill="auto"/>
            <w:vAlign w:val="bottom"/>
          </w:tcPr>
          <w:p w14:paraId="28DFADEE" w14:textId="66CE72DE" w:rsidR="00161E48" w:rsidRPr="003E76E7" w:rsidRDefault="00161E48" w:rsidP="00C4292D">
            <w:pPr>
              <w:pStyle w:val="TableTextHeadingRight"/>
              <w:rPr>
                <w:sz w:val="14"/>
                <w:szCs w:val="14"/>
              </w:rPr>
            </w:pPr>
            <w:r w:rsidRPr="003E76E7">
              <w:rPr>
                <w:sz w:val="14"/>
                <w:szCs w:val="14"/>
              </w:rPr>
              <w:t>2025-26 Estimated Actual</w:t>
            </w:r>
          </w:p>
        </w:tc>
        <w:tc>
          <w:tcPr>
            <w:tcW w:w="1144" w:type="dxa"/>
            <w:tcBorders>
              <w:bottom w:val="single" w:sz="4" w:space="0" w:color="auto"/>
            </w:tcBorders>
            <w:shd w:val="clear" w:color="auto" w:fill="auto"/>
            <w:vAlign w:val="bottom"/>
          </w:tcPr>
          <w:p w14:paraId="28204A0C" w14:textId="19199EF8" w:rsidR="00161E48" w:rsidRPr="003E76E7" w:rsidRDefault="00161E48" w:rsidP="00C4292D">
            <w:pPr>
              <w:pStyle w:val="TableTextHeadingRight"/>
              <w:rPr>
                <w:sz w:val="14"/>
                <w:szCs w:val="14"/>
              </w:rPr>
            </w:pPr>
            <w:r w:rsidRPr="003E76E7">
              <w:rPr>
                <w:sz w:val="14"/>
                <w:szCs w:val="14"/>
              </w:rPr>
              <w:t>2026-27 Budget Estimate</w:t>
            </w:r>
          </w:p>
        </w:tc>
        <w:tc>
          <w:tcPr>
            <w:tcW w:w="1144" w:type="dxa"/>
            <w:tcBorders>
              <w:bottom w:val="single" w:sz="4" w:space="0" w:color="auto"/>
            </w:tcBorders>
            <w:shd w:val="clear" w:color="auto" w:fill="auto"/>
            <w:vAlign w:val="bottom"/>
          </w:tcPr>
          <w:p w14:paraId="79C565E1" w14:textId="06F44E4A" w:rsidR="00161E48" w:rsidRPr="003E76E7" w:rsidRDefault="00161E48" w:rsidP="00C4292D">
            <w:pPr>
              <w:pStyle w:val="TableTextHeadingRight"/>
              <w:rPr>
                <w:sz w:val="14"/>
                <w:szCs w:val="14"/>
              </w:rPr>
            </w:pPr>
            <w:r w:rsidRPr="003E76E7">
              <w:rPr>
                <w:sz w:val="14"/>
                <w:szCs w:val="14"/>
              </w:rPr>
              <w:t>2027-28 Forward Estimate</w:t>
            </w:r>
          </w:p>
        </w:tc>
        <w:tc>
          <w:tcPr>
            <w:tcW w:w="1144" w:type="dxa"/>
            <w:tcBorders>
              <w:bottom w:val="single" w:sz="4" w:space="0" w:color="auto"/>
            </w:tcBorders>
            <w:shd w:val="clear" w:color="auto" w:fill="auto"/>
            <w:vAlign w:val="bottom"/>
          </w:tcPr>
          <w:p w14:paraId="24E2596F" w14:textId="656C1737" w:rsidR="00161E48" w:rsidRPr="003E76E7" w:rsidRDefault="00161E48" w:rsidP="00C4292D">
            <w:pPr>
              <w:pStyle w:val="TableTextHeadingRight"/>
              <w:rPr>
                <w:sz w:val="14"/>
                <w:szCs w:val="14"/>
              </w:rPr>
            </w:pPr>
            <w:r w:rsidRPr="003E76E7">
              <w:rPr>
                <w:sz w:val="14"/>
                <w:szCs w:val="14"/>
              </w:rPr>
              <w:t>2028-29 Forward Estimate</w:t>
            </w:r>
          </w:p>
        </w:tc>
        <w:tc>
          <w:tcPr>
            <w:tcW w:w="1144" w:type="dxa"/>
            <w:tcBorders>
              <w:bottom w:val="single" w:sz="4" w:space="0" w:color="auto"/>
            </w:tcBorders>
            <w:shd w:val="clear" w:color="auto" w:fill="auto"/>
            <w:vAlign w:val="bottom"/>
          </w:tcPr>
          <w:p w14:paraId="1A8DB1FF" w14:textId="2EB36A73" w:rsidR="00161E48" w:rsidRPr="003E76E7" w:rsidRDefault="00161E48" w:rsidP="00C4292D">
            <w:pPr>
              <w:pStyle w:val="TableTextHeadingRight"/>
              <w:rPr>
                <w:sz w:val="14"/>
                <w:szCs w:val="14"/>
              </w:rPr>
            </w:pPr>
            <w:r w:rsidRPr="003E76E7">
              <w:rPr>
                <w:sz w:val="14"/>
                <w:szCs w:val="14"/>
              </w:rPr>
              <w:t>2029-30 Forward Estimate</w:t>
            </w:r>
          </w:p>
        </w:tc>
      </w:tr>
      <w:tr w:rsidR="00A840DD" w:rsidRPr="003E76E7" w14:paraId="4AB0206A" w14:textId="77777777" w:rsidTr="00597CD8">
        <w:tc>
          <w:tcPr>
            <w:tcW w:w="546" w:type="dxa"/>
            <w:shd w:val="clear" w:color="auto" w:fill="auto"/>
            <w:vAlign w:val="center"/>
          </w:tcPr>
          <w:p w14:paraId="1083B656" w14:textId="4E6B9B38" w:rsidR="00A840DD" w:rsidRPr="003E76E7" w:rsidRDefault="00A840DD" w:rsidP="00A840DD">
            <w:pPr>
              <w:pStyle w:val="TableTextHeadingLeft"/>
              <w:rPr>
                <w:b w:val="0"/>
                <w:sz w:val="14"/>
                <w:szCs w:val="14"/>
              </w:rPr>
            </w:pPr>
            <w:r w:rsidRPr="006678D3">
              <w:rPr>
                <w:b w:val="0"/>
                <w:sz w:val="14"/>
                <w:szCs w:val="14"/>
              </w:rPr>
              <w:t>49</w:t>
            </w:r>
          </w:p>
        </w:tc>
        <w:tc>
          <w:tcPr>
            <w:tcW w:w="2262" w:type="dxa"/>
            <w:shd w:val="clear" w:color="auto" w:fill="auto"/>
            <w:vAlign w:val="center"/>
          </w:tcPr>
          <w:p w14:paraId="27F6CD12" w14:textId="1F7BFAAA" w:rsidR="00A840DD" w:rsidRPr="003E76E7" w:rsidRDefault="00A840DD" w:rsidP="00A840DD">
            <w:pPr>
              <w:pStyle w:val="TableTextHeadingLeft"/>
              <w:rPr>
                <w:b w:val="0"/>
                <w:sz w:val="14"/>
                <w:szCs w:val="14"/>
              </w:rPr>
            </w:pPr>
            <w:r w:rsidRPr="003E76E7">
              <w:rPr>
                <w:b w:val="0"/>
                <w:sz w:val="14"/>
                <w:szCs w:val="14"/>
              </w:rPr>
              <w:t xml:space="preserve">PC-21 </w:t>
            </w:r>
          </w:p>
        </w:tc>
        <w:tc>
          <w:tcPr>
            <w:tcW w:w="1143" w:type="dxa"/>
            <w:shd w:val="clear" w:color="auto" w:fill="auto"/>
          </w:tcPr>
          <w:p w14:paraId="4225FE7C" w14:textId="724C017B" w:rsidR="00A840DD" w:rsidRPr="003E76E7" w:rsidRDefault="00A840DD" w:rsidP="00A840DD">
            <w:pPr>
              <w:pStyle w:val="TableTextHeadingLeft"/>
              <w:jc w:val="right"/>
              <w:rPr>
                <w:b w:val="0"/>
                <w:sz w:val="14"/>
                <w:szCs w:val="14"/>
              </w:rPr>
            </w:pPr>
            <w:r w:rsidRPr="003E76E7">
              <w:rPr>
                <w:b w:val="0"/>
                <w:sz w:val="14"/>
                <w:szCs w:val="14"/>
              </w:rPr>
              <w:t>24,700</w:t>
            </w:r>
          </w:p>
        </w:tc>
        <w:tc>
          <w:tcPr>
            <w:tcW w:w="1144" w:type="dxa"/>
            <w:shd w:val="clear" w:color="auto" w:fill="auto"/>
          </w:tcPr>
          <w:p w14:paraId="46A0B7CF" w14:textId="68E1AE96" w:rsidR="00A840DD" w:rsidRPr="003E76E7" w:rsidRDefault="00A840DD" w:rsidP="00A840DD">
            <w:pPr>
              <w:pStyle w:val="TableTextHeadingLeft"/>
              <w:jc w:val="right"/>
              <w:rPr>
                <w:b w:val="0"/>
                <w:sz w:val="14"/>
                <w:szCs w:val="14"/>
              </w:rPr>
            </w:pPr>
            <w:r w:rsidRPr="003E76E7">
              <w:rPr>
                <w:b w:val="0"/>
                <w:sz w:val="14"/>
                <w:szCs w:val="14"/>
              </w:rPr>
              <w:t>24,700</w:t>
            </w:r>
          </w:p>
        </w:tc>
        <w:tc>
          <w:tcPr>
            <w:tcW w:w="1144" w:type="dxa"/>
            <w:shd w:val="clear" w:color="auto" w:fill="auto"/>
          </w:tcPr>
          <w:p w14:paraId="1EB85518" w14:textId="34F3A7B4" w:rsidR="00A840DD" w:rsidRPr="003E76E7" w:rsidRDefault="00A840DD" w:rsidP="00A840DD">
            <w:pPr>
              <w:pStyle w:val="TableTextHeadingLeft"/>
              <w:jc w:val="right"/>
              <w:rPr>
                <w:b w:val="0"/>
                <w:sz w:val="14"/>
                <w:szCs w:val="14"/>
              </w:rPr>
            </w:pPr>
            <w:r w:rsidRPr="003E76E7">
              <w:rPr>
                <w:b w:val="0"/>
                <w:sz w:val="14"/>
                <w:szCs w:val="14"/>
              </w:rPr>
              <w:t>24,700</w:t>
            </w:r>
          </w:p>
        </w:tc>
        <w:tc>
          <w:tcPr>
            <w:tcW w:w="1144" w:type="dxa"/>
            <w:shd w:val="clear" w:color="auto" w:fill="auto"/>
          </w:tcPr>
          <w:p w14:paraId="20A54BD8" w14:textId="02757DDC" w:rsidR="00A840DD" w:rsidRPr="003E76E7" w:rsidRDefault="00A840DD" w:rsidP="00A840DD">
            <w:pPr>
              <w:pStyle w:val="TableTextHeadingLeft"/>
              <w:jc w:val="right"/>
              <w:rPr>
                <w:b w:val="0"/>
                <w:sz w:val="14"/>
                <w:szCs w:val="14"/>
              </w:rPr>
            </w:pPr>
            <w:r w:rsidRPr="003E76E7">
              <w:rPr>
                <w:b w:val="0"/>
                <w:sz w:val="14"/>
                <w:szCs w:val="14"/>
              </w:rPr>
              <w:t>24,700</w:t>
            </w:r>
          </w:p>
        </w:tc>
        <w:tc>
          <w:tcPr>
            <w:tcW w:w="1144" w:type="dxa"/>
            <w:shd w:val="clear" w:color="auto" w:fill="auto"/>
          </w:tcPr>
          <w:p w14:paraId="005B53F2" w14:textId="77777777" w:rsidR="00A840DD" w:rsidRPr="003E76E7" w:rsidRDefault="00A840DD" w:rsidP="00A840DD">
            <w:pPr>
              <w:pStyle w:val="TableTextHeadingLeft"/>
              <w:jc w:val="right"/>
              <w:rPr>
                <w:b w:val="0"/>
                <w:sz w:val="14"/>
                <w:szCs w:val="14"/>
              </w:rPr>
            </w:pPr>
            <w:r w:rsidRPr="003E76E7">
              <w:rPr>
                <w:b w:val="0"/>
                <w:sz w:val="14"/>
                <w:szCs w:val="14"/>
              </w:rPr>
              <w:t>24,700</w:t>
            </w:r>
          </w:p>
        </w:tc>
      </w:tr>
      <w:tr w:rsidR="00A840DD" w:rsidRPr="003E76E7" w14:paraId="152B4789" w14:textId="77777777" w:rsidTr="00597CD8">
        <w:tc>
          <w:tcPr>
            <w:tcW w:w="546" w:type="dxa"/>
            <w:shd w:val="clear" w:color="auto" w:fill="auto"/>
            <w:vAlign w:val="center"/>
          </w:tcPr>
          <w:p w14:paraId="61D85082" w14:textId="43DC5F5F" w:rsidR="00A840DD" w:rsidRPr="003E76E7" w:rsidRDefault="00A840DD" w:rsidP="00A840DD">
            <w:pPr>
              <w:pStyle w:val="TableTextHeadingLeft"/>
              <w:rPr>
                <w:b w:val="0"/>
                <w:sz w:val="14"/>
                <w:szCs w:val="14"/>
              </w:rPr>
            </w:pPr>
            <w:r w:rsidRPr="006678D3">
              <w:rPr>
                <w:b w:val="0"/>
                <w:sz w:val="14"/>
                <w:szCs w:val="14"/>
              </w:rPr>
              <w:t>11</w:t>
            </w:r>
          </w:p>
        </w:tc>
        <w:tc>
          <w:tcPr>
            <w:tcW w:w="2262" w:type="dxa"/>
            <w:shd w:val="clear" w:color="auto" w:fill="auto"/>
            <w:vAlign w:val="center"/>
          </w:tcPr>
          <w:p w14:paraId="429576D3" w14:textId="6B3A50D0" w:rsidR="00A840DD" w:rsidRPr="003E76E7" w:rsidRDefault="00A840DD" w:rsidP="00A840DD">
            <w:pPr>
              <w:pStyle w:val="TableTextHeadingLeft"/>
              <w:rPr>
                <w:b w:val="0"/>
                <w:sz w:val="14"/>
                <w:szCs w:val="14"/>
              </w:rPr>
            </w:pPr>
            <w:r w:rsidRPr="003E76E7">
              <w:rPr>
                <w:b w:val="0"/>
                <w:sz w:val="14"/>
                <w:szCs w:val="14"/>
              </w:rPr>
              <w:t xml:space="preserve">KA350 King Air </w:t>
            </w:r>
            <w:r w:rsidRPr="003E76E7">
              <w:rPr>
                <w:b w:val="0"/>
                <w:sz w:val="14"/>
                <w:szCs w:val="14"/>
                <w:vertAlign w:val="superscript"/>
              </w:rPr>
              <w:t>[b]</w:t>
            </w:r>
          </w:p>
        </w:tc>
        <w:tc>
          <w:tcPr>
            <w:tcW w:w="1143" w:type="dxa"/>
            <w:shd w:val="clear" w:color="auto" w:fill="auto"/>
          </w:tcPr>
          <w:p w14:paraId="7AFC5032" w14:textId="373B3D30" w:rsidR="00A840DD" w:rsidRPr="003E76E7" w:rsidRDefault="00A840DD" w:rsidP="00A840DD">
            <w:pPr>
              <w:pStyle w:val="TableTextHeadingLeft"/>
              <w:jc w:val="right"/>
              <w:rPr>
                <w:b w:val="0"/>
                <w:sz w:val="14"/>
                <w:szCs w:val="14"/>
              </w:rPr>
            </w:pPr>
            <w:r w:rsidRPr="003E76E7">
              <w:rPr>
                <w:b w:val="0"/>
                <w:sz w:val="14"/>
                <w:szCs w:val="14"/>
              </w:rPr>
              <w:t>3,800</w:t>
            </w:r>
          </w:p>
        </w:tc>
        <w:tc>
          <w:tcPr>
            <w:tcW w:w="1144" w:type="dxa"/>
            <w:shd w:val="clear" w:color="auto" w:fill="auto"/>
          </w:tcPr>
          <w:p w14:paraId="3C9D7C4F" w14:textId="76A73D91" w:rsidR="00A840DD" w:rsidRPr="003E76E7" w:rsidRDefault="00A840DD" w:rsidP="00A840DD">
            <w:pPr>
              <w:pStyle w:val="TableTextHeadingLeft"/>
              <w:jc w:val="right"/>
              <w:rPr>
                <w:b w:val="0"/>
                <w:sz w:val="14"/>
                <w:szCs w:val="14"/>
              </w:rPr>
            </w:pPr>
            <w:r w:rsidRPr="003E76E7">
              <w:rPr>
                <w:b w:val="0"/>
                <w:sz w:val="14"/>
                <w:szCs w:val="14"/>
              </w:rPr>
              <w:t>3,800</w:t>
            </w:r>
          </w:p>
        </w:tc>
        <w:tc>
          <w:tcPr>
            <w:tcW w:w="1144" w:type="dxa"/>
            <w:shd w:val="clear" w:color="auto" w:fill="auto"/>
          </w:tcPr>
          <w:p w14:paraId="00B6BD24" w14:textId="08F1C96F" w:rsidR="00A840DD" w:rsidRPr="003E76E7" w:rsidRDefault="00A840DD" w:rsidP="00A840DD">
            <w:pPr>
              <w:pStyle w:val="TableTextHeadingLeft"/>
              <w:jc w:val="right"/>
              <w:rPr>
                <w:b w:val="0"/>
                <w:sz w:val="14"/>
                <w:szCs w:val="14"/>
              </w:rPr>
            </w:pPr>
            <w:r w:rsidRPr="003E76E7">
              <w:rPr>
                <w:b w:val="0"/>
                <w:sz w:val="14"/>
                <w:szCs w:val="14"/>
              </w:rPr>
              <w:t>3,800</w:t>
            </w:r>
          </w:p>
        </w:tc>
        <w:tc>
          <w:tcPr>
            <w:tcW w:w="1144" w:type="dxa"/>
            <w:shd w:val="clear" w:color="auto" w:fill="auto"/>
          </w:tcPr>
          <w:p w14:paraId="7D82CAC4" w14:textId="3EC94E36" w:rsidR="00A840DD" w:rsidRPr="003E76E7" w:rsidRDefault="00A840DD" w:rsidP="00A840DD">
            <w:pPr>
              <w:pStyle w:val="TableTextHeadingLeft"/>
              <w:jc w:val="right"/>
              <w:rPr>
                <w:b w:val="0"/>
                <w:sz w:val="14"/>
                <w:szCs w:val="14"/>
              </w:rPr>
            </w:pPr>
            <w:r w:rsidRPr="003E76E7">
              <w:rPr>
                <w:b w:val="0"/>
                <w:sz w:val="14"/>
                <w:szCs w:val="14"/>
              </w:rPr>
              <w:t>1,900</w:t>
            </w:r>
          </w:p>
        </w:tc>
        <w:tc>
          <w:tcPr>
            <w:tcW w:w="1144" w:type="dxa"/>
            <w:shd w:val="clear" w:color="auto" w:fill="auto"/>
          </w:tcPr>
          <w:p w14:paraId="1DA9C65B" w14:textId="7C5BE80B" w:rsidR="00A840DD" w:rsidRPr="003E76E7" w:rsidRDefault="00662F77" w:rsidP="00A840DD">
            <w:pPr>
              <w:pStyle w:val="TableTextHeadingLeft"/>
              <w:jc w:val="right"/>
              <w:rPr>
                <w:b w:val="0"/>
                <w:sz w:val="14"/>
                <w:szCs w:val="14"/>
              </w:rPr>
            </w:pPr>
            <w:r>
              <w:rPr>
                <w:b w:val="0"/>
                <w:sz w:val="14"/>
                <w:szCs w:val="14"/>
              </w:rPr>
              <w:t>-</w:t>
            </w:r>
          </w:p>
        </w:tc>
      </w:tr>
      <w:tr w:rsidR="00A840DD" w:rsidRPr="003E76E7" w14:paraId="7C8B6E70" w14:textId="77777777" w:rsidTr="00597CD8">
        <w:tc>
          <w:tcPr>
            <w:tcW w:w="546" w:type="dxa"/>
            <w:shd w:val="clear" w:color="auto" w:fill="auto"/>
            <w:vAlign w:val="center"/>
          </w:tcPr>
          <w:p w14:paraId="38640845" w14:textId="56B1E898" w:rsidR="00A840DD" w:rsidRPr="003E76E7" w:rsidRDefault="00A840DD" w:rsidP="00A840DD">
            <w:pPr>
              <w:pStyle w:val="TableTextHeadingLeft"/>
              <w:rPr>
                <w:b w:val="0"/>
                <w:sz w:val="14"/>
                <w:szCs w:val="14"/>
              </w:rPr>
            </w:pPr>
            <w:r w:rsidRPr="006678D3">
              <w:rPr>
                <w:b w:val="0"/>
                <w:sz w:val="14"/>
                <w:szCs w:val="14"/>
              </w:rPr>
              <w:t>12</w:t>
            </w:r>
          </w:p>
        </w:tc>
        <w:tc>
          <w:tcPr>
            <w:tcW w:w="2262" w:type="dxa"/>
            <w:shd w:val="clear" w:color="auto" w:fill="auto"/>
            <w:vAlign w:val="center"/>
          </w:tcPr>
          <w:p w14:paraId="709E0D10" w14:textId="27EE878B" w:rsidR="00A840DD" w:rsidRPr="003E76E7" w:rsidRDefault="00A840DD" w:rsidP="00A840DD">
            <w:pPr>
              <w:pStyle w:val="TableTextHeadingLeft"/>
              <w:rPr>
                <w:b w:val="0"/>
                <w:sz w:val="14"/>
                <w:szCs w:val="14"/>
              </w:rPr>
            </w:pPr>
            <w:r w:rsidRPr="003E76E7">
              <w:rPr>
                <w:b w:val="0"/>
                <w:sz w:val="14"/>
                <w:szCs w:val="14"/>
              </w:rPr>
              <w:t xml:space="preserve">C-130J Hercules </w:t>
            </w:r>
            <w:r w:rsidRPr="003E76E7">
              <w:rPr>
                <w:b w:val="0"/>
                <w:sz w:val="14"/>
                <w:szCs w:val="14"/>
                <w:vertAlign w:val="superscript"/>
              </w:rPr>
              <w:t>[c]</w:t>
            </w:r>
          </w:p>
        </w:tc>
        <w:tc>
          <w:tcPr>
            <w:tcW w:w="1143" w:type="dxa"/>
            <w:shd w:val="clear" w:color="auto" w:fill="auto"/>
          </w:tcPr>
          <w:p w14:paraId="7A682262" w14:textId="04D29513" w:rsidR="00A840DD" w:rsidRPr="003E76E7" w:rsidRDefault="00A840DD" w:rsidP="00A840DD">
            <w:pPr>
              <w:pStyle w:val="TableTextHeadingLeft"/>
              <w:jc w:val="right"/>
              <w:rPr>
                <w:b w:val="0"/>
                <w:sz w:val="14"/>
                <w:szCs w:val="14"/>
              </w:rPr>
            </w:pPr>
            <w:r w:rsidRPr="003E76E7">
              <w:rPr>
                <w:b w:val="0"/>
                <w:sz w:val="14"/>
                <w:szCs w:val="14"/>
              </w:rPr>
              <w:t>5,900</w:t>
            </w:r>
          </w:p>
        </w:tc>
        <w:tc>
          <w:tcPr>
            <w:tcW w:w="1144" w:type="dxa"/>
            <w:shd w:val="clear" w:color="auto" w:fill="auto"/>
          </w:tcPr>
          <w:p w14:paraId="07FC084F" w14:textId="1DADA883" w:rsidR="00A840DD" w:rsidRPr="003E76E7" w:rsidRDefault="00A840DD" w:rsidP="00A840DD">
            <w:pPr>
              <w:pStyle w:val="TableTextHeadingLeft"/>
              <w:jc w:val="right"/>
              <w:rPr>
                <w:b w:val="0"/>
                <w:sz w:val="14"/>
                <w:szCs w:val="14"/>
              </w:rPr>
            </w:pPr>
            <w:r w:rsidRPr="003E76E7">
              <w:rPr>
                <w:b w:val="0"/>
                <w:sz w:val="14"/>
                <w:szCs w:val="14"/>
              </w:rPr>
              <w:t>6,000</w:t>
            </w:r>
          </w:p>
        </w:tc>
        <w:tc>
          <w:tcPr>
            <w:tcW w:w="1144" w:type="dxa"/>
            <w:shd w:val="clear" w:color="auto" w:fill="auto"/>
          </w:tcPr>
          <w:p w14:paraId="6AD7782B" w14:textId="1CB06825" w:rsidR="00A840DD" w:rsidRPr="003E76E7" w:rsidRDefault="00A840DD" w:rsidP="00A840DD">
            <w:pPr>
              <w:pStyle w:val="TableTextHeadingLeft"/>
              <w:jc w:val="right"/>
              <w:rPr>
                <w:b w:val="0"/>
                <w:sz w:val="14"/>
                <w:szCs w:val="14"/>
              </w:rPr>
            </w:pPr>
            <w:r w:rsidRPr="003E76E7">
              <w:rPr>
                <w:b w:val="0"/>
                <w:sz w:val="14"/>
                <w:szCs w:val="14"/>
              </w:rPr>
              <w:t>6,000</w:t>
            </w:r>
          </w:p>
        </w:tc>
        <w:tc>
          <w:tcPr>
            <w:tcW w:w="1144" w:type="dxa"/>
            <w:shd w:val="clear" w:color="auto" w:fill="auto"/>
          </w:tcPr>
          <w:p w14:paraId="6729EFAC" w14:textId="36980951" w:rsidR="00A840DD" w:rsidRPr="003E76E7" w:rsidRDefault="00A840DD" w:rsidP="00A840DD">
            <w:pPr>
              <w:pStyle w:val="TableTextHeadingLeft"/>
              <w:jc w:val="right"/>
              <w:rPr>
                <w:b w:val="0"/>
                <w:sz w:val="14"/>
                <w:szCs w:val="14"/>
              </w:rPr>
            </w:pPr>
            <w:r w:rsidRPr="003E76E7">
              <w:rPr>
                <w:b w:val="0"/>
                <w:sz w:val="14"/>
                <w:szCs w:val="14"/>
              </w:rPr>
              <w:t>6,350</w:t>
            </w:r>
          </w:p>
        </w:tc>
        <w:tc>
          <w:tcPr>
            <w:tcW w:w="1144" w:type="dxa"/>
            <w:shd w:val="clear" w:color="auto" w:fill="auto"/>
          </w:tcPr>
          <w:p w14:paraId="4EDC829C" w14:textId="77777777" w:rsidR="00A840DD" w:rsidRPr="003E76E7" w:rsidRDefault="00A840DD" w:rsidP="00A840DD">
            <w:pPr>
              <w:pStyle w:val="TableTextHeadingLeft"/>
              <w:jc w:val="right"/>
              <w:rPr>
                <w:b w:val="0"/>
                <w:sz w:val="14"/>
                <w:szCs w:val="14"/>
              </w:rPr>
            </w:pPr>
            <w:r w:rsidRPr="003E76E7">
              <w:rPr>
                <w:b w:val="0"/>
                <w:sz w:val="14"/>
                <w:szCs w:val="14"/>
              </w:rPr>
              <w:t>6,350</w:t>
            </w:r>
          </w:p>
        </w:tc>
      </w:tr>
      <w:tr w:rsidR="00A840DD" w:rsidRPr="003E76E7" w14:paraId="10489D58" w14:textId="77777777" w:rsidTr="00597CD8">
        <w:tc>
          <w:tcPr>
            <w:tcW w:w="546" w:type="dxa"/>
            <w:shd w:val="clear" w:color="auto" w:fill="auto"/>
            <w:vAlign w:val="center"/>
          </w:tcPr>
          <w:p w14:paraId="0C18C1BE" w14:textId="47334433" w:rsidR="00A840DD" w:rsidRPr="003E76E7" w:rsidRDefault="00A840DD" w:rsidP="00A840DD">
            <w:pPr>
              <w:pStyle w:val="TableTextHeadingLeft"/>
              <w:rPr>
                <w:b w:val="0"/>
                <w:sz w:val="14"/>
                <w:szCs w:val="14"/>
              </w:rPr>
            </w:pPr>
            <w:r w:rsidRPr="006678D3">
              <w:rPr>
                <w:b w:val="0"/>
                <w:sz w:val="14"/>
                <w:szCs w:val="14"/>
              </w:rPr>
              <w:t>8</w:t>
            </w:r>
          </w:p>
        </w:tc>
        <w:tc>
          <w:tcPr>
            <w:tcW w:w="2262" w:type="dxa"/>
            <w:shd w:val="clear" w:color="auto" w:fill="auto"/>
            <w:vAlign w:val="center"/>
          </w:tcPr>
          <w:p w14:paraId="2CCD3DA9" w14:textId="4DC7FCAE" w:rsidR="00A840DD" w:rsidRPr="003E76E7" w:rsidRDefault="00A840DD" w:rsidP="00A840DD">
            <w:pPr>
              <w:pStyle w:val="TableTextHeadingLeft"/>
              <w:rPr>
                <w:b w:val="0"/>
                <w:sz w:val="14"/>
                <w:szCs w:val="14"/>
              </w:rPr>
            </w:pPr>
            <w:r w:rsidRPr="003E76E7">
              <w:rPr>
                <w:b w:val="0"/>
                <w:sz w:val="14"/>
                <w:szCs w:val="14"/>
              </w:rPr>
              <w:t xml:space="preserve">C-17A Globemaster III </w:t>
            </w:r>
            <w:r w:rsidRPr="003E76E7">
              <w:rPr>
                <w:b w:val="0"/>
                <w:sz w:val="14"/>
                <w:szCs w:val="14"/>
                <w:vertAlign w:val="superscript"/>
              </w:rPr>
              <w:t>[d]</w:t>
            </w:r>
          </w:p>
        </w:tc>
        <w:tc>
          <w:tcPr>
            <w:tcW w:w="1143" w:type="dxa"/>
            <w:shd w:val="clear" w:color="auto" w:fill="auto"/>
          </w:tcPr>
          <w:p w14:paraId="58C3599B" w14:textId="0C3578E7" w:rsidR="00A840DD" w:rsidRPr="003E76E7" w:rsidRDefault="00A840DD" w:rsidP="00A840DD">
            <w:pPr>
              <w:pStyle w:val="TableTextHeadingLeft"/>
              <w:jc w:val="right"/>
              <w:rPr>
                <w:b w:val="0"/>
                <w:sz w:val="14"/>
                <w:szCs w:val="14"/>
              </w:rPr>
            </w:pPr>
            <w:r w:rsidRPr="003E76E7">
              <w:rPr>
                <w:b w:val="0"/>
                <w:sz w:val="14"/>
                <w:szCs w:val="14"/>
              </w:rPr>
              <w:t>4,000</w:t>
            </w:r>
          </w:p>
        </w:tc>
        <w:tc>
          <w:tcPr>
            <w:tcW w:w="1144" w:type="dxa"/>
            <w:shd w:val="clear" w:color="auto" w:fill="auto"/>
          </w:tcPr>
          <w:p w14:paraId="595167A6" w14:textId="7A6BF9A6" w:rsidR="00A840DD" w:rsidRPr="003E76E7" w:rsidRDefault="00A840DD" w:rsidP="00A840DD">
            <w:pPr>
              <w:pStyle w:val="TableTextHeadingLeft"/>
              <w:jc w:val="right"/>
              <w:rPr>
                <w:b w:val="0"/>
                <w:sz w:val="14"/>
                <w:szCs w:val="14"/>
              </w:rPr>
            </w:pPr>
            <w:r w:rsidRPr="003E76E7">
              <w:rPr>
                <w:b w:val="0"/>
                <w:sz w:val="14"/>
                <w:szCs w:val="14"/>
              </w:rPr>
              <w:t>4,550</w:t>
            </w:r>
          </w:p>
        </w:tc>
        <w:tc>
          <w:tcPr>
            <w:tcW w:w="1144" w:type="dxa"/>
            <w:shd w:val="clear" w:color="auto" w:fill="auto"/>
          </w:tcPr>
          <w:p w14:paraId="23022B11" w14:textId="1B555D4D" w:rsidR="00A840DD" w:rsidRPr="003E76E7" w:rsidRDefault="00A840DD" w:rsidP="00A840DD">
            <w:pPr>
              <w:pStyle w:val="TableTextHeadingLeft"/>
              <w:jc w:val="right"/>
              <w:rPr>
                <w:b w:val="0"/>
                <w:sz w:val="14"/>
                <w:szCs w:val="14"/>
              </w:rPr>
            </w:pPr>
            <w:r w:rsidRPr="003E76E7">
              <w:rPr>
                <w:b w:val="0"/>
                <w:sz w:val="14"/>
                <w:szCs w:val="14"/>
              </w:rPr>
              <w:t>5,000</w:t>
            </w:r>
          </w:p>
        </w:tc>
        <w:tc>
          <w:tcPr>
            <w:tcW w:w="1144" w:type="dxa"/>
            <w:shd w:val="clear" w:color="auto" w:fill="auto"/>
          </w:tcPr>
          <w:p w14:paraId="253AE3E6" w14:textId="34E92086" w:rsidR="00A840DD" w:rsidRPr="003E76E7" w:rsidRDefault="00A840DD" w:rsidP="00A840DD">
            <w:pPr>
              <w:pStyle w:val="TableTextHeadingLeft"/>
              <w:jc w:val="right"/>
              <w:rPr>
                <w:b w:val="0"/>
                <w:sz w:val="14"/>
                <w:szCs w:val="14"/>
              </w:rPr>
            </w:pPr>
            <w:r w:rsidRPr="003E76E7">
              <w:rPr>
                <w:b w:val="0"/>
                <w:sz w:val="14"/>
                <w:szCs w:val="14"/>
              </w:rPr>
              <w:t>5,000</w:t>
            </w:r>
          </w:p>
        </w:tc>
        <w:tc>
          <w:tcPr>
            <w:tcW w:w="1144" w:type="dxa"/>
            <w:shd w:val="clear" w:color="auto" w:fill="auto"/>
          </w:tcPr>
          <w:p w14:paraId="5F45B549" w14:textId="77777777" w:rsidR="00A840DD" w:rsidRPr="003E76E7" w:rsidRDefault="00A840DD" w:rsidP="00A840DD">
            <w:pPr>
              <w:pStyle w:val="TableTextHeadingLeft"/>
              <w:jc w:val="right"/>
              <w:rPr>
                <w:b w:val="0"/>
                <w:sz w:val="14"/>
                <w:szCs w:val="14"/>
              </w:rPr>
            </w:pPr>
            <w:r w:rsidRPr="003E76E7">
              <w:rPr>
                <w:b w:val="0"/>
                <w:sz w:val="14"/>
                <w:szCs w:val="14"/>
              </w:rPr>
              <w:t>5,000</w:t>
            </w:r>
          </w:p>
        </w:tc>
      </w:tr>
      <w:tr w:rsidR="00A840DD" w:rsidRPr="003E76E7" w14:paraId="4F5378C3" w14:textId="77777777" w:rsidTr="00597CD8">
        <w:tc>
          <w:tcPr>
            <w:tcW w:w="546" w:type="dxa"/>
            <w:shd w:val="clear" w:color="auto" w:fill="auto"/>
            <w:vAlign w:val="center"/>
          </w:tcPr>
          <w:p w14:paraId="4CC8FB0E" w14:textId="7BB78629" w:rsidR="00A840DD" w:rsidRPr="003E76E7" w:rsidRDefault="00A840DD" w:rsidP="00A840DD">
            <w:pPr>
              <w:pStyle w:val="TableTextHeadingLeft"/>
              <w:rPr>
                <w:b w:val="0"/>
                <w:sz w:val="14"/>
                <w:szCs w:val="14"/>
              </w:rPr>
            </w:pPr>
            <w:r w:rsidRPr="006678D3">
              <w:rPr>
                <w:b w:val="0"/>
                <w:sz w:val="14"/>
                <w:szCs w:val="14"/>
              </w:rPr>
              <w:t>10</w:t>
            </w:r>
          </w:p>
        </w:tc>
        <w:tc>
          <w:tcPr>
            <w:tcW w:w="2262" w:type="dxa"/>
            <w:shd w:val="clear" w:color="auto" w:fill="auto"/>
            <w:vAlign w:val="center"/>
          </w:tcPr>
          <w:p w14:paraId="555429DE" w14:textId="6112761E" w:rsidR="00A840DD" w:rsidRPr="003E76E7" w:rsidRDefault="00A840DD" w:rsidP="00A840DD">
            <w:pPr>
              <w:pStyle w:val="TableTextHeadingLeft"/>
              <w:rPr>
                <w:b w:val="0"/>
                <w:sz w:val="14"/>
                <w:szCs w:val="14"/>
              </w:rPr>
            </w:pPr>
            <w:r w:rsidRPr="003E76E7">
              <w:rPr>
                <w:b w:val="0"/>
                <w:sz w:val="14"/>
                <w:szCs w:val="14"/>
              </w:rPr>
              <w:t xml:space="preserve">C-27J Spartan </w:t>
            </w:r>
            <w:r w:rsidRPr="003E76E7">
              <w:rPr>
                <w:b w:val="0"/>
                <w:sz w:val="14"/>
                <w:szCs w:val="14"/>
                <w:vertAlign w:val="superscript"/>
              </w:rPr>
              <w:t>[e]</w:t>
            </w:r>
          </w:p>
        </w:tc>
        <w:tc>
          <w:tcPr>
            <w:tcW w:w="1143" w:type="dxa"/>
            <w:shd w:val="clear" w:color="auto" w:fill="auto"/>
          </w:tcPr>
          <w:p w14:paraId="18D70510" w14:textId="1C4A3A7D" w:rsidR="00A840DD" w:rsidRPr="003E76E7" w:rsidRDefault="00A840DD" w:rsidP="00A840DD">
            <w:pPr>
              <w:pStyle w:val="TableTextHeadingLeft"/>
              <w:jc w:val="right"/>
              <w:rPr>
                <w:b w:val="0"/>
                <w:sz w:val="14"/>
                <w:szCs w:val="14"/>
              </w:rPr>
            </w:pPr>
            <w:r w:rsidRPr="003E76E7">
              <w:rPr>
                <w:b w:val="0"/>
                <w:sz w:val="14"/>
                <w:szCs w:val="14"/>
              </w:rPr>
              <w:t>5,050</w:t>
            </w:r>
          </w:p>
        </w:tc>
        <w:tc>
          <w:tcPr>
            <w:tcW w:w="1144" w:type="dxa"/>
            <w:shd w:val="clear" w:color="auto" w:fill="auto"/>
          </w:tcPr>
          <w:p w14:paraId="0BEA015F" w14:textId="66B27BDD" w:rsidR="00A840DD" w:rsidRPr="003E76E7" w:rsidRDefault="00A840DD" w:rsidP="00A840DD">
            <w:pPr>
              <w:pStyle w:val="TableTextHeadingLeft"/>
              <w:jc w:val="right"/>
              <w:rPr>
                <w:b w:val="0"/>
                <w:sz w:val="14"/>
                <w:szCs w:val="14"/>
              </w:rPr>
            </w:pPr>
            <w:r w:rsidRPr="003E76E7">
              <w:rPr>
                <w:b w:val="0"/>
                <w:sz w:val="14"/>
                <w:szCs w:val="14"/>
              </w:rPr>
              <w:t>5,000</w:t>
            </w:r>
          </w:p>
        </w:tc>
        <w:tc>
          <w:tcPr>
            <w:tcW w:w="1144" w:type="dxa"/>
            <w:shd w:val="clear" w:color="auto" w:fill="auto"/>
          </w:tcPr>
          <w:p w14:paraId="2B4342B9" w14:textId="6846BECD" w:rsidR="00A840DD" w:rsidRPr="003E76E7" w:rsidRDefault="00A840DD" w:rsidP="00A840DD">
            <w:pPr>
              <w:pStyle w:val="TableTextHeadingLeft"/>
              <w:jc w:val="right"/>
              <w:rPr>
                <w:b w:val="0"/>
                <w:sz w:val="14"/>
                <w:szCs w:val="14"/>
              </w:rPr>
            </w:pPr>
            <w:r w:rsidRPr="003E76E7">
              <w:rPr>
                <w:b w:val="0"/>
                <w:sz w:val="14"/>
                <w:szCs w:val="14"/>
              </w:rPr>
              <w:t>5,000</w:t>
            </w:r>
          </w:p>
        </w:tc>
        <w:tc>
          <w:tcPr>
            <w:tcW w:w="1144" w:type="dxa"/>
            <w:shd w:val="clear" w:color="auto" w:fill="auto"/>
          </w:tcPr>
          <w:p w14:paraId="4E63894D" w14:textId="7D129F6D" w:rsidR="00A840DD" w:rsidRPr="003E76E7" w:rsidRDefault="00A840DD" w:rsidP="00A840DD">
            <w:pPr>
              <w:pStyle w:val="TableTextHeadingLeft"/>
              <w:jc w:val="right"/>
              <w:rPr>
                <w:b w:val="0"/>
                <w:sz w:val="14"/>
                <w:szCs w:val="14"/>
              </w:rPr>
            </w:pPr>
            <w:r w:rsidRPr="003E76E7">
              <w:rPr>
                <w:b w:val="0"/>
                <w:sz w:val="14"/>
                <w:szCs w:val="14"/>
              </w:rPr>
              <w:t>5,000</w:t>
            </w:r>
          </w:p>
        </w:tc>
        <w:tc>
          <w:tcPr>
            <w:tcW w:w="1144" w:type="dxa"/>
            <w:shd w:val="clear" w:color="auto" w:fill="auto"/>
          </w:tcPr>
          <w:p w14:paraId="5B971D7F" w14:textId="77777777" w:rsidR="00A840DD" w:rsidRPr="003E76E7" w:rsidRDefault="00A840DD" w:rsidP="00A840DD">
            <w:pPr>
              <w:pStyle w:val="TableTextHeadingLeft"/>
              <w:jc w:val="right"/>
              <w:rPr>
                <w:b w:val="0"/>
                <w:sz w:val="14"/>
                <w:szCs w:val="14"/>
              </w:rPr>
            </w:pPr>
            <w:r w:rsidRPr="003E76E7">
              <w:rPr>
                <w:b w:val="0"/>
                <w:sz w:val="14"/>
                <w:szCs w:val="14"/>
              </w:rPr>
              <w:t>5,000</w:t>
            </w:r>
          </w:p>
        </w:tc>
      </w:tr>
      <w:tr w:rsidR="00A840DD" w:rsidRPr="003E76E7" w14:paraId="30E59ED3" w14:textId="77777777" w:rsidTr="00597CD8">
        <w:tc>
          <w:tcPr>
            <w:tcW w:w="546" w:type="dxa"/>
            <w:shd w:val="clear" w:color="auto" w:fill="auto"/>
            <w:vAlign w:val="center"/>
          </w:tcPr>
          <w:p w14:paraId="504CB2B2" w14:textId="63529A36" w:rsidR="00A840DD" w:rsidRPr="003E76E7" w:rsidRDefault="00A840DD" w:rsidP="00A840DD">
            <w:pPr>
              <w:pStyle w:val="TableTextHeadingLeft"/>
              <w:rPr>
                <w:b w:val="0"/>
                <w:sz w:val="14"/>
                <w:szCs w:val="14"/>
              </w:rPr>
            </w:pPr>
            <w:r w:rsidRPr="006678D3">
              <w:rPr>
                <w:b w:val="0"/>
                <w:sz w:val="14"/>
                <w:szCs w:val="14"/>
              </w:rPr>
              <w:t>7</w:t>
            </w:r>
          </w:p>
        </w:tc>
        <w:tc>
          <w:tcPr>
            <w:tcW w:w="2262" w:type="dxa"/>
            <w:shd w:val="clear" w:color="auto" w:fill="auto"/>
            <w:vAlign w:val="center"/>
          </w:tcPr>
          <w:p w14:paraId="2970390C" w14:textId="63B27F5F" w:rsidR="00A840DD" w:rsidRPr="003E76E7" w:rsidRDefault="00A840DD" w:rsidP="00A840DD">
            <w:pPr>
              <w:pStyle w:val="TableTextHeadingLeft"/>
              <w:rPr>
                <w:b w:val="0"/>
                <w:sz w:val="14"/>
                <w:szCs w:val="14"/>
              </w:rPr>
            </w:pPr>
            <w:r w:rsidRPr="003E76E7">
              <w:rPr>
                <w:b w:val="0"/>
                <w:sz w:val="14"/>
                <w:szCs w:val="14"/>
              </w:rPr>
              <w:t>KC-30A MRTT</w:t>
            </w:r>
          </w:p>
        </w:tc>
        <w:tc>
          <w:tcPr>
            <w:tcW w:w="1143" w:type="dxa"/>
            <w:shd w:val="clear" w:color="auto" w:fill="auto"/>
          </w:tcPr>
          <w:p w14:paraId="514947CB" w14:textId="51CD584C" w:rsidR="00A840DD" w:rsidRPr="003E76E7" w:rsidRDefault="00A840DD" w:rsidP="00A840DD">
            <w:pPr>
              <w:pStyle w:val="TableTextHeadingLeft"/>
              <w:jc w:val="right"/>
              <w:rPr>
                <w:b w:val="0"/>
                <w:sz w:val="14"/>
                <w:szCs w:val="14"/>
              </w:rPr>
            </w:pPr>
            <w:r w:rsidRPr="003E76E7">
              <w:rPr>
                <w:b w:val="0"/>
                <w:sz w:val="14"/>
                <w:szCs w:val="14"/>
              </w:rPr>
              <w:t>4,700</w:t>
            </w:r>
          </w:p>
        </w:tc>
        <w:tc>
          <w:tcPr>
            <w:tcW w:w="1144" w:type="dxa"/>
            <w:shd w:val="clear" w:color="auto" w:fill="auto"/>
          </w:tcPr>
          <w:p w14:paraId="035406B3" w14:textId="070CDB63" w:rsidR="00A840DD" w:rsidRPr="003E76E7" w:rsidRDefault="00A840DD" w:rsidP="00A840DD">
            <w:pPr>
              <w:pStyle w:val="TableTextHeadingLeft"/>
              <w:jc w:val="right"/>
              <w:rPr>
                <w:b w:val="0"/>
                <w:sz w:val="14"/>
                <w:szCs w:val="14"/>
              </w:rPr>
            </w:pPr>
            <w:r w:rsidRPr="003E76E7">
              <w:rPr>
                <w:b w:val="0"/>
                <w:sz w:val="14"/>
                <w:szCs w:val="14"/>
              </w:rPr>
              <w:t>4,700</w:t>
            </w:r>
          </w:p>
        </w:tc>
        <w:tc>
          <w:tcPr>
            <w:tcW w:w="1144" w:type="dxa"/>
            <w:shd w:val="clear" w:color="auto" w:fill="auto"/>
          </w:tcPr>
          <w:p w14:paraId="4991AD3C" w14:textId="13490E1B" w:rsidR="00A840DD" w:rsidRPr="003E76E7" w:rsidRDefault="00A840DD" w:rsidP="00A840DD">
            <w:pPr>
              <w:pStyle w:val="TableTextHeadingLeft"/>
              <w:jc w:val="right"/>
              <w:rPr>
                <w:b w:val="0"/>
                <w:sz w:val="14"/>
                <w:szCs w:val="14"/>
              </w:rPr>
            </w:pPr>
            <w:r w:rsidRPr="003E76E7">
              <w:rPr>
                <w:b w:val="0"/>
                <w:sz w:val="14"/>
                <w:szCs w:val="14"/>
              </w:rPr>
              <w:t>4,700</w:t>
            </w:r>
          </w:p>
        </w:tc>
        <w:tc>
          <w:tcPr>
            <w:tcW w:w="1144" w:type="dxa"/>
            <w:shd w:val="clear" w:color="auto" w:fill="auto"/>
          </w:tcPr>
          <w:p w14:paraId="74AFB714" w14:textId="74AECA91" w:rsidR="00A840DD" w:rsidRPr="003E76E7" w:rsidRDefault="00A840DD" w:rsidP="00A840DD">
            <w:pPr>
              <w:pStyle w:val="TableTextHeadingLeft"/>
              <w:jc w:val="right"/>
              <w:rPr>
                <w:b w:val="0"/>
                <w:sz w:val="14"/>
                <w:szCs w:val="14"/>
              </w:rPr>
            </w:pPr>
            <w:r w:rsidRPr="003E76E7">
              <w:rPr>
                <w:b w:val="0"/>
                <w:sz w:val="14"/>
                <w:szCs w:val="14"/>
              </w:rPr>
              <w:t>4,700</w:t>
            </w:r>
          </w:p>
        </w:tc>
        <w:tc>
          <w:tcPr>
            <w:tcW w:w="1144" w:type="dxa"/>
            <w:shd w:val="clear" w:color="auto" w:fill="auto"/>
          </w:tcPr>
          <w:p w14:paraId="140F7AC5" w14:textId="77777777" w:rsidR="00A840DD" w:rsidRPr="003E76E7" w:rsidRDefault="00A840DD" w:rsidP="00A840DD">
            <w:pPr>
              <w:pStyle w:val="TableTextHeadingLeft"/>
              <w:jc w:val="right"/>
              <w:rPr>
                <w:b w:val="0"/>
                <w:sz w:val="14"/>
                <w:szCs w:val="14"/>
              </w:rPr>
            </w:pPr>
            <w:r w:rsidRPr="003E76E7">
              <w:rPr>
                <w:b w:val="0"/>
                <w:sz w:val="14"/>
                <w:szCs w:val="14"/>
              </w:rPr>
              <w:t>4,700</w:t>
            </w:r>
          </w:p>
        </w:tc>
      </w:tr>
      <w:tr w:rsidR="00A840DD" w:rsidRPr="003E76E7" w14:paraId="6FBEBBDF" w14:textId="77777777" w:rsidTr="00597CD8">
        <w:tc>
          <w:tcPr>
            <w:tcW w:w="546" w:type="dxa"/>
            <w:shd w:val="clear" w:color="auto" w:fill="auto"/>
            <w:vAlign w:val="center"/>
          </w:tcPr>
          <w:p w14:paraId="740AD486" w14:textId="6B37EF3C" w:rsidR="00A840DD" w:rsidRPr="003E76E7" w:rsidRDefault="00A840DD" w:rsidP="00A840DD">
            <w:pPr>
              <w:pStyle w:val="TableTextHeadingLeft"/>
              <w:rPr>
                <w:b w:val="0"/>
                <w:sz w:val="14"/>
                <w:szCs w:val="14"/>
              </w:rPr>
            </w:pPr>
            <w:r w:rsidRPr="006678D3">
              <w:rPr>
                <w:b w:val="0"/>
                <w:sz w:val="14"/>
                <w:szCs w:val="14"/>
              </w:rPr>
              <w:t>2</w:t>
            </w:r>
          </w:p>
        </w:tc>
        <w:tc>
          <w:tcPr>
            <w:tcW w:w="2262" w:type="dxa"/>
            <w:shd w:val="clear" w:color="auto" w:fill="auto"/>
            <w:vAlign w:val="center"/>
          </w:tcPr>
          <w:p w14:paraId="5E880AA5" w14:textId="7BB2C1E6" w:rsidR="00A840DD" w:rsidRPr="003E76E7" w:rsidRDefault="00A840DD" w:rsidP="00A840DD">
            <w:pPr>
              <w:pStyle w:val="TableTextHeadingLeft"/>
              <w:rPr>
                <w:b w:val="0"/>
                <w:sz w:val="14"/>
                <w:szCs w:val="14"/>
              </w:rPr>
            </w:pPr>
            <w:r w:rsidRPr="003E76E7">
              <w:rPr>
                <w:b w:val="0"/>
                <w:sz w:val="14"/>
                <w:szCs w:val="14"/>
              </w:rPr>
              <w:t xml:space="preserve">737 BBJ </w:t>
            </w:r>
          </w:p>
        </w:tc>
        <w:tc>
          <w:tcPr>
            <w:tcW w:w="1143" w:type="dxa"/>
            <w:shd w:val="clear" w:color="auto" w:fill="auto"/>
          </w:tcPr>
          <w:p w14:paraId="240D406C" w14:textId="13C580FB" w:rsidR="00A840DD" w:rsidRPr="003E76E7" w:rsidRDefault="00A840DD" w:rsidP="00A840DD">
            <w:pPr>
              <w:pStyle w:val="TableTextHeadingLeft"/>
              <w:jc w:val="right"/>
              <w:rPr>
                <w:b w:val="0"/>
                <w:sz w:val="14"/>
                <w:szCs w:val="14"/>
              </w:rPr>
            </w:pPr>
            <w:r w:rsidRPr="003E76E7">
              <w:rPr>
                <w:b w:val="0"/>
                <w:sz w:val="14"/>
                <w:szCs w:val="14"/>
              </w:rPr>
              <w:t>1,100</w:t>
            </w:r>
          </w:p>
        </w:tc>
        <w:tc>
          <w:tcPr>
            <w:tcW w:w="1144" w:type="dxa"/>
            <w:shd w:val="clear" w:color="auto" w:fill="auto"/>
          </w:tcPr>
          <w:p w14:paraId="2B6D38F7" w14:textId="1AF1CA5E" w:rsidR="00A840DD" w:rsidRPr="003E76E7" w:rsidRDefault="00A840DD" w:rsidP="00A840DD">
            <w:pPr>
              <w:pStyle w:val="TableTextHeadingLeft"/>
              <w:jc w:val="right"/>
              <w:rPr>
                <w:b w:val="0"/>
                <w:sz w:val="14"/>
                <w:szCs w:val="14"/>
              </w:rPr>
            </w:pPr>
            <w:r w:rsidRPr="003E76E7">
              <w:rPr>
                <w:b w:val="0"/>
                <w:sz w:val="14"/>
                <w:szCs w:val="14"/>
              </w:rPr>
              <w:t>1,400</w:t>
            </w:r>
          </w:p>
        </w:tc>
        <w:tc>
          <w:tcPr>
            <w:tcW w:w="1144" w:type="dxa"/>
            <w:shd w:val="clear" w:color="auto" w:fill="auto"/>
          </w:tcPr>
          <w:p w14:paraId="182F2B62" w14:textId="48ED3FEE" w:rsidR="00A840DD" w:rsidRPr="003E76E7" w:rsidRDefault="00A840DD" w:rsidP="00A840DD">
            <w:pPr>
              <w:pStyle w:val="TableTextHeadingLeft"/>
              <w:jc w:val="right"/>
              <w:rPr>
                <w:b w:val="0"/>
                <w:sz w:val="14"/>
                <w:szCs w:val="14"/>
              </w:rPr>
            </w:pPr>
            <w:r w:rsidRPr="003E76E7">
              <w:rPr>
                <w:b w:val="0"/>
                <w:sz w:val="14"/>
                <w:szCs w:val="14"/>
              </w:rPr>
              <w:t>1,400</w:t>
            </w:r>
          </w:p>
        </w:tc>
        <w:tc>
          <w:tcPr>
            <w:tcW w:w="1144" w:type="dxa"/>
            <w:shd w:val="clear" w:color="auto" w:fill="auto"/>
          </w:tcPr>
          <w:p w14:paraId="64A0054C" w14:textId="50BA67C0" w:rsidR="00A840DD" w:rsidRPr="003E76E7" w:rsidRDefault="00A840DD" w:rsidP="00A840DD">
            <w:pPr>
              <w:pStyle w:val="TableTextHeadingLeft"/>
              <w:jc w:val="right"/>
              <w:rPr>
                <w:b w:val="0"/>
                <w:sz w:val="14"/>
                <w:szCs w:val="14"/>
              </w:rPr>
            </w:pPr>
            <w:r w:rsidRPr="003E76E7">
              <w:rPr>
                <w:b w:val="0"/>
                <w:sz w:val="14"/>
                <w:szCs w:val="14"/>
              </w:rPr>
              <w:t>1,400</w:t>
            </w:r>
          </w:p>
        </w:tc>
        <w:tc>
          <w:tcPr>
            <w:tcW w:w="1144" w:type="dxa"/>
            <w:shd w:val="clear" w:color="auto" w:fill="auto"/>
          </w:tcPr>
          <w:p w14:paraId="69F82560" w14:textId="77777777" w:rsidR="00A840DD" w:rsidRPr="003E76E7" w:rsidRDefault="00A840DD" w:rsidP="00A840DD">
            <w:pPr>
              <w:pStyle w:val="TableTextHeadingLeft"/>
              <w:jc w:val="right"/>
              <w:rPr>
                <w:b w:val="0"/>
                <w:sz w:val="14"/>
                <w:szCs w:val="14"/>
              </w:rPr>
            </w:pPr>
            <w:r w:rsidRPr="003E76E7">
              <w:rPr>
                <w:b w:val="0"/>
                <w:sz w:val="14"/>
                <w:szCs w:val="14"/>
              </w:rPr>
              <w:t>1,400</w:t>
            </w:r>
          </w:p>
        </w:tc>
      </w:tr>
      <w:tr w:rsidR="00A840DD" w:rsidRPr="003E76E7" w14:paraId="1654F21D" w14:textId="77777777" w:rsidTr="00597CD8">
        <w:tc>
          <w:tcPr>
            <w:tcW w:w="546" w:type="dxa"/>
            <w:shd w:val="clear" w:color="auto" w:fill="auto"/>
            <w:vAlign w:val="center"/>
          </w:tcPr>
          <w:p w14:paraId="033A5EB7" w14:textId="7D89A7DE" w:rsidR="00A840DD" w:rsidRPr="003E76E7" w:rsidRDefault="00A840DD" w:rsidP="00A840DD">
            <w:pPr>
              <w:pStyle w:val="TableTextHeadingLeft"/>
              <w:rPr>
                <w:b w:val="0"/>
                <w:sz w:val="14"/>
                <w:szCs w:val="14"/>
              </w:rPr>
            </w:pPr>
            <w:r w:rsidRPr="006678D3">
              <w:rPr>
                <w:b w:val="0"/>
                <w:sz w:val="14"/>
                <w:szCs w:val="14"/>
              </w:rPr>
              <w:t>3</w:t>
            </w:r>
          </w:p>
        </w:tc>
        <w:tc>
          <w:tcPr>
            <w:tcW w:w="2262" w:type="dxa"/>
            <w:shd w:val="clear" w:color="auto" w:fill="auto"/>
            <w:vAlign w:val="center"/>
          </w:tcPr>
          <w:p w14:paraId="715039F7" w14:textId="7F8CFCAC" w:rsidR="00A840DD" w:rsidRPr="003E76E7" w:rsidRDefault="00A840DD" w:rsidP="00A840DD">
            <w:pPr>
              <w:pStyle w:val="TableTextHeadingLeft"/>
              <w:rPr>
                <w:b w:val="0"/>
                <w:sz w:val="14"/>
                <w:szCs w:val="14"/>
              </w:rPr>
            </w:pPr>
            <w:r w:rsidRPr="003E76E7">
              <w:rPr>
                <w:b w:val="0"/>
                <w:sz w:val="14"/>
                <w:szCs w:val="14"/>
              </w:rPr>
              <w:t>Falcon-7X</w:t>
            </w:r>
          </w:p>
        </w:tc>
        <w:tc>
          <w:tcPr>
            <w:tcW w:w="1143" w:type="dxa"/>
            <w:shd w:val="clear" w:color="auto" w:fill="auto"/>
          </w:tcPr>
          <w:p w14:paraId="2DCCAE5F" w14:textId="5EC64952" w:rsidR="00A840DD" w:rsidRPr="003E76E7" w:rsidRDefault="00A840DD" w:rsidP="00A840DD">
            <w:pPr>
              <w:pStyle w:val="TableTextHeadingLeft"/>
              <w:jc w:val="right"/>
              <w:rPr>
                <w:b w:val="0"/>
                <w:sz w:val="14"/>
                <w:szCs w:val="14"/>
              </w:rPr>
            </w:pPr>
            <w:r w:rsidRPr="003E76E7">
              <w:rPr>
                <w:b w:val="0"/>
                <w:sz w:val="14"/>
                <w:szCs w:val="14"/>
              </w:rPr>
              <w:t>1,500</w:t>
            </w:r>
          </w:p>
        </w:tc>
        <w:tc>
          <w:tcPr>
            <w:tcW w:w="1144" w:type="dxa"/>
            <w:shd w:val="clear" w:color="auto" w:fill="auto"/>
          </w:tcPr>
          <w:p w14:paraId="204A43D0" w14:textId="77F7ABEC" w:rsidR="00A840DD" w:rsidRPr="003E76E7" w:rsidRDefault="00A840DD" w:rsidP="00A840DD">
            <w:pPr>
              <w:pStyle w:val="TableTextHeadingLeft"/>
              <w:jc w:val="right"/>
              <w:rPr>
                <w:b w:val="0"/>
                <w:sz w:val="14"/>
                <w:szCs w:val="14"/>
              </w:rPr>
            </w:pPr>
            <w:r w:rsidRPr="003E76E7">
              <w:rPr>
                <w:b w:val="0"/>
                <w:sz w:val="14"/>
                <w:szCs w:val="14"/>
              </w:rPr>
              <w:t>1,800</w:t>
            </w:r>
          </w:p>
        </w:tc>
        <w:tc>
          <w:tcPr>
            <w:tcW w:w="1144" w:type="dxa"/>
            <w:shd w:val="clear" w:color="auto" w:fill="auto"/>
          </w:tcPr>
          <w:p w14:paraId="5C18391C" w14:textId="738B7478" w:rsidR="00A840DD" w:rsidRPr="003E76E7" w:rsidRDefault="00A840DD" w:rsidP="00A840DD">
            <w:pPr>
              <w:pStyle w:val="TableTextHeadingLeft"/>
              <w:jc w:val="right"/>
              <w:rPr>
                <w:b w:val="0"/>
                <w:sz w:val="14"/>
                <w:szCs w:val="14"/>
              </w:rPr>
            </w:pPr>
            <w:r w:rsidRPr="003E76E7">
              <w:rPr>
                <w:b w:val="0"/>
                <w:sz w:val="14"/>
                <w:szCs w:val="14"/>
              </w:rPr>
              <w:t>1,800</w:t>
            </w:r>
          </w:p>
        </w:tc>
        <w:tc>
          <w:tcPr>
            <w:tcW w:w="1144" w:type="dxa"/>
            <w:shd w:val="clear" w:color="auto" w:fill="auto"/>
          </w:tcPr>
          <w:p w14:paraId="2853CA01" w14:textId="4800039F" w:rsidR="00A840DD" w:rsidRPr="003E76E7" w:rsidRDefault="00A840DD" w:rsidP="00A840DD">
            <w:pPr>
              <w:pStyle w:val="TableTextHeadingLeft"/>
              <w:jc w:val="right"/>
              <w:rPr>
                <w:b w:val="0"/>
                <w:sz w:val="14"/>
                <w:szCs w:val="14"/>
              </w:rPr>
            </w:pPr>
            <w:r w:rsidRPr="003E76E7">
              <w:rPr>
                <w:b w:val="0"/>
                <w:sz w:val="14"/>
                <w:szCs w:val="14"/>
              </w:rPr>
              <w:t>1,800</w:t>
            </w:r>
          </w:p>
        </w:tc>
        <w:tc>
          <w:tcPr>
            <w:tcW w:w="1144" w:type="dxa"/>
            <w:shd w:val="clear" w:color="auto" w:fill="auto"/>
          </w:tcPr>
          <w:p w14:paraId="3179523E" w14:textId="77777777" w:rsidR="00A840DD" w:rsidRPr="003E76E7" w:rsidRDefault="00A840DD" w:rsidP="00A840DD">
            <w:pPr>
              <w:pStyle w:val="TableTextHeadingLeft"/>
              <w:jc w:val="right"/>
              <w:rPr>
                <w:b w:val="0"/>
                <w:sz w:val="14"/>
                <w:szCs w:val="14"/>
              </w:rPr>
            </w:pPr>
            <w:r w:rsidRPr="003E76E7">
              <w:rPr>
                <w:b w:val="0"/>
                <w:sz w:val="14"/>
                <w:szCs w:val="14"/>
              </w:rPr>
              <w:t>1,800</w:t>
            </w:r>
          </w:p>
        </w:tc>
      </w:tr>
      <w:tr w:rsidR="00A840DD" w:rsidRPr="003E76E7" w14:paraId="060D06CF" w14:textId="77777777" w:rsidTr="00597CD8">
        <w:tc>
          <w:tcPr>
            <w:tcW w:w="546" w:type="dxa"/>
            <w:shd w:val="clear" w:color="auto" w:fill="auto"/>
            <w:vAlign w:val="center"/>
          </w:tcPr>
          <w:p w14:paraId="53D8F0FD" w14:textId="25591A03" w:rsidR="00A840DD" w:rsidRPr="003E76E7" w:rsidRDefault="00A840DD" w:rsidP="00A840DD">
            <w:pPr>
              <w:pStyle w:val="TableTextHeadingLeft"/>
              <w:rPr>
                <w:b w:val="0"/>
                <w:sz w:val="14"/>
                <w:szCs w:val="14"/>
              </w:rPr>
            </w:pPr>
            <w:r w:rsidRPr="006678D3">
              <w:rPr>
                <w:b w:val="0"/>
                <w:sz w:val="14"/>
                <w:szCs w:val="14"/>
              </w:rPr>
              <w:t>13</w:t>
            </w:r>
          </w:p>
        </w:tc>
        <w:tc>
          <w:tcPr>
            <w:tcW w:w="2262" w:type="dxa"/>
            <w:shd w:val="clear" w:color="auto" w:fill="auto"/>
            <w:vAlign w:val="center"/>
          </w:tcPr>
          <w:p w14:paraId="44A20B6D" w14:textId="3259D83C" w:rsidR="00A840DD" w:rsidRPr="003E76E7" w:rsidRDefault="00A840DD" w:rsidP="00A840DD">
            <w:pPr>
              <w:pStyle w:val="TableTextHeadingLeft"/>
              <w:rPr>
                <w:b w:val="0"/>
                <w:sz w:val="14"/>
                <w:szCs w:val="14"/>
              </w:rPr>
            </w:pPr>
            <w:r w:rsidRPr="003E76E7">
              <w:rPr>
                <w:b w:val="0"/>
                <w:sz w:val="14"/>
                <w:szCs w:val="14"/>
              </w:rPr>
              <w:t>P-8A Poseidon</w:t>
            </w:r>
            <w:r w:rsidRPr="003E76E7">
              <w:rPr>
                <w:b w:val="0"/>
                <w:sz w:val="14"/>
                <w:szCs w:val="14"/>
                <w:vertAlign w:val="superscript"/>
              </w:rPr>
              <w:t xml:space="preserve"> [f] </w:t>
            </w:r>
          </w:p>
        </w:tc>
        <w:tc>
          <w:tcPr>
            <w:tcW w:w="1143" w:type="dxa"/>
            <w:shd w:val="clear" w:color="auto" w:fill="auto"/>
          </w:tcPr>
          <w:p w14:paraId="179D358F" w14:textId="3BC955B5" w:rsidR="00A840DD" w:rsidRPr="003E76E7" w:rsidRDefault="00A840DD" w:rsidP="00A840DD">
            <w:pPr>
              <w:pStyle w:val="TableTextHeadingLeft"/>
              <w:jc w:val="right"/>
              <w:rPr>
                <w:b w:val="0"/>
                <w:sz w:val="14"/>
                <w:szCs w:val="14"/>
              </w:rPr>
            </w:pPr>
            <w:r w:rsidRPr="003E76E7">
              <w:rPr>
                <w:b w:val="0"/>
                <w:sz w:val="14"/>
                <w:szCs w:val="14"/>
              </w:rPr>
              <w:t>5,700</w:t>
            </w:r>
          </w:p>
        </w:tc>
        <w:tc>
          <w:tcPr>
            <w:tcW w:w="1144" w:type="dxa"/>
            <w:shd w:val="clear" w:color="auto" w:fill="auto"/>
          </w:tcPr>
          <w:p w14:paraId="051C6414" w14:textId="35E9C76A" w:rsidR="00A840DD" w:rsidRPr="003E76E7" w:rsidRDefault="00A840DD" w:rsidP="00A840DD">
            <w:pPr>
              <w:pStyle w:val="TableTextHeadingLeft"/>
              <w:jc w:val="right"/>
              <w:rPr>
                <w:b w:val="0"/>
                <w:sz w:val="14"/>
                <w:szCs w:val="14"/>
              </w:rPr>
            </w:pPr>
            <w:r w:rsidRPr="003E76E7">
              <w:rPr>
                <w:b w:val="0"/>
                <w:sz w:val="14"/>
                <w:szCs w:val="14"/>
              </w:rPr>
              <w:t>6,200</w:t>
            </w:r>
          </w:p>
        </w:tc>
        <w:tc>
          <w:tcPr>
            <w:tcW w:w="1144" w:type="dxa"/>
            <w:shd w:val="clear" w:color="auto" w:fill="auto"/>
          </w:tcPr>
          <w:p w14:paraId="2D37FE6D" w14:textId="6493EBFF" w:rsidR="00A840DD" w:rsidRPr="003E76E7" w:rsidRDefault="00A840DD" w:rsidP="00A840DD">
            <w:pPr>
              <w:pStyle w:val="TableTextHeadingLeft"/>
              <w:jc w:val="right"/>
              <w:rPr>
                <w:b w:val="0"/>
                <w:sz w:val="14"/>
                <w:szCs w:val="14"/>
              </w:rPr>
            </w:pPr>
            <w:r w:rsidRPr="003E76E7">
              <w:rPr>
                <w:b w:val="0"/>
                <w:sz w:val="14"/>
                <w:szCs w:val="14"/>
              </w:rPr>
              <w:t>6,700</w:t>
            </w:r>
          </w:p>
        </w:tc>
        <w:tc>
          <w:tcPr>
            <w:tcW w:w="1144" w:type="dxa"/>
            <w:shd w:val="clear" w:color="auto" w:fill="auto"/>
          </w:tcPr>
          <w:p w14:paraId="5828670D" w14:textId="19D18236" w:rsidR="00A840DD" w:rsidRPr="003E76E7" w:rsidRDefault="00A840DD" w:rsidP="00A840DD">
            <w:pPr>
              <w:pStyle w:val="TableTextHeadingLeft"/>
              <w:jc w:val="right"/>
              <w:rPr>
                <w:b w:val="0"/>
                <w:sz w:val="14"/>
                <w:szCs w:val="14"/>
              </w:rPr>
            </w:pPr>
            <w:r w:rsidRPr="003E76E7">
              <w:rPr>
                <w:b w:val="0"/>
                <w:sz w:val="14"/>
                <w:szCs w:val="14"/>
              </w:rPr>
              <w:t>7,000</w:t>
            </w:r>
          </w:p>
        </w:tc>
        <w:tc>
          <w:tcPr>
            <w:tcW w:w="1144" w:type="dxa"/>
            <w:shd w:val="clear" w:color="auto" w:fill="auto"/>
          </w:tcPr>
          <w:p w14:paraId="21063431" w14:textId="77777777" w:rsidR="00A840DD" w:rsidRPr="003E76E7" w:rsidRDefault="00A840DD" w:rsidP="00A840DD">
            <w:pPr>
              <w:pStyle w:val="TableTextHeadingLeft"/>
              <w:jc w:val="right"/>
              <w:rPr>
                <w:b w:val="0"/>
                <w:sz w:val="14"/>
                <w:szCs w:val="14"/>
              </w:rPr>
            </w:pPr>
            <w:r w:rsidRPr="003E76E7">
              <w:rPr>
                <w:b w:val="0"/>
                <w:sz w:val="14"/>
                <w:szCs w:val="14"/>
              </w:rPr>
              <w:t>7,400</w:t>
            </w:r>
          </w:p>
        </w:tc>
      </w:tr>
      <w:tr w:rsidR="00A840DD" w:rsidRPr="003E76E7" w14:paraId="50B4E477" w14:textId="77777777" w:rsidTr="00597CD8">
        <w:trPr>
          <w:trHeight w:val="20"/>
        </w:trPr>
        <w:tc>
          <w:tcPr>
            <w:tcW w:w="546" w:type="dxa"/>
            <w:shd w:val="clear" w:color="auto" w:fill="auto"/>
            <w:vAlign w:val="center"/>
          </w:tcPr>
          <w:p w14:paraId="3CCADFDB" w14:textId="68802D20" w:rsidR="00A840DD" w:rsidRPr="003E76E7" w:rsidRDefault="00A840DD" w:rsidP="00A840DD">
            <w:pPr>
              <w:pStyle w:val="TableTextHeadingLeft"/>
              <w:rPr>
                <w:b w:val="0"/>
                <w:sz w:val="14"/>
                <w:szCs w:val="14"/>
              </w:rPr>
            </w:pPr>
            <w:r w:rsidRPr="006678D3">
              <w:rPr>
                <w:b w:val="0"/>
                <w:sz w:val="14"/>
                <w:szCs w:val="14"/>
              </w:rPr>
              <w:t>6</w:t>
            </w:r>
          </w:p>
        </w:tc>
        <w:tc>
          <w:tcPr>
            <w:tcW w:w="2262" w:type="dxa"/>
            <w:shd w:val="clear" w:color="auto" w:fill="auto"/>
            <w:vAlign w:val="center"/>
          </w:tcPr>
          <w:p w14:paraId="4DFAB84A" w14:textId="795B8E53" w:rsidR="00A840DD" w:rsidRPr="003E76E7" w:rsidRDefault="00A840DD" w:rsidP="00A840DD">
            <w:pPr>
              <w:pStyle w:val="TableTextHeadingLeft"/>
              <w:rPr>
                <w:b w:val="0"/>
                <w:sz w:val="14"/>
                <w:szCs w:val="14"/>
              </w:rPr>
            </w:pPr>
            <w:r w:rsidRPr="003E76E7">
              <w:rPr>
                <w:b w:val="0"/>
                <w:sz w:val="14"/>
                <w:szCs w:val="14"/>
              </w:rPr>
              <w:t>E-7A Wedgetail</w:t>
            </w:r>
          </w:p>
        </w:tc>
        <w:tc>
          <w:tcPr>
            <w:tcW w:w="1143" w:type="dxa"/>
            <w:shd w:val="clear" w:color="auto" w:fill="auto"/>
          </w:tcPr>
          <w:p w14:paraId="267CBFA8" w14:textId="48700BAD" w:rsidR="00A840DD" w:rsidRPr="003E76E7" w:rsidRDefault="00A840DD" w:rsidP="00A840DD">
            <w:pPr>
              <w:pStyle w:val="TableTextHeadingLeft"/>
              <w:jc w:val="right"/>
              <w:rPr>
                <w:b w:val="0"/>
                <w:sz w:val="14"/>
                <w:szCs w:val="14"/>
              </w:rPr>
            </w:pPr>
            <w:r w:rsidRPr="003E76E7">
              <w:rPr>
                <w:b w:val="0"/>
                <w:sz w:val="14"/>
                <w:szCs w:val="14"/>
              </w:rPr>
              <w:t>3,350</w:t>
            </w:r>
          </w:p>
        </w:tc>
        <w:tc>
          <w:tcPr>
            <w:tcW w:w="1144" w:type="dxa"/>
            <w:shd w:val="clear" w:color="auto" w:fill="auto"/>
          </w:tcPr>
          <w:p w14:paraId="1AD16288" w14:textId="0D7CB9B4" w:rsidR="00A840DD" w:rsidRPr="003E76E7" w:rsidRDefault="00A840DD" w:rsidP="00A840DD">
            <w:pPr>
              <w:pStyle w:val="TableTextHeadingLeft"/>
              <w:jc w:val="right"/>
              <w:rPr>
                <w:b w:val="0"/>
                <w:sz w:val="14"/>
                <w:szCs w:val="14"/>
              </w:rPr>
            </w:pPr>
            <w:r w:rsidRPr="003E76E7">
              <w:rPr>
                <w:b w:val="0"/>
                <w:sz w:val="14"/>
                <w:szCs w:val="14"/>
              </w:rPr>
              <w:t>3,200</w:t>
            </w:r>
          </w:p>
        </w:tc>
        <w:tc>
          <w:tcPr>
            <w:tcW w:w="1144" w:type="dxa"/>
            <w:shd w:val="clear" w:color="auto" w:fill="auto"/>
          </w:tcPr>
          <w:p w14:paraId="6DBDAE5B" w14:textId="04ECD74E" w:rsidR="00A840DD" w:rsidRPr="003E76E7" w:rsidRDefault="00A840DD" w:rsidP="00A840DD">
            <w:pPr>
              <w:pStyle w:val="TableTextHeadingLeft"/>
              <w:jc w:val="right"/>
              <w:rPr>
                <w:b w:val="0"/>
                <w:sz w:val="14"/>
                <w:szCs w:val="14"/>
              </w:rPr>
            </w:pPr>
            <w:r w:rsidRPr="003E76E7">
              <w:rPr>
                <w:b w:val="0"/>
                <w:sz w:val="14"/>
                <w:szCs w:val="14"/>
              </w:rPr>
              <w:t>3,200</w:t>
            </w:r>
          </w:p>
        </w:tc>
        <w:tc>
          <w:tcPr>
            <w:tcW w:w="1144" w:type="dxa"/>
            <w:shd w:val="clear" w:color="auto" w:fill="auto"/>
          </w:tcPr>
          <w:p w14:paraId="20D6C6AE" w14:textId="0D0C858F" w:rsidR="00A840DD" w:rsidRPr="003E76E7" w:rsidRDefault="00A840DD" w:rsidP="00A840DD">
            <w:pPr>
              <w:pStyle w:val="TableTextHeadingLeft"/>
              <w:jc w:val="right"/>
              <w:rPr>
                <w:b w:val="0"/>
                <w:sz w:val="14"/>
                <w:szCs w:val="14"/>
              </w:rPr>
            </w:pPr>
            <w:r w:rsidRPr="003E76E7">
              <w:rPr>
                <w:b w:val="0"/>
                <w:sz w:val="14"/>
                <w:szCs w:val="14"/>
              </w:rPr>
              <w:t>3,400</w:t>
            </w:r>
          </w:p>
        </w:tc>
        <w:tc>
          <w:tcPr>
            <w:tcW w:w="1144" w:type="dxa"/>
            <w:shd w:val="clear" w:color="auto" w:fill="auto"/>
          </w:tcPr>
          <w:p w14:paraId="6A90D128" w14:textId="77777777" w:rsidR="00A840DD" w:rsidRPr="003E76E7" w:rsidRDefault="00A840DD" w:rsidP="00A840DD">
            <w:pPr>
              <w:pStyle w:val="TableTextHeadingLeft"/>
              <w:jc w:val="right"/>
              <w:rPr>
                <w:b w:val="0"/>
                <w:sz w:val="14"/>
                <w:szCs w:val="14"/>
              </w:rPr>
            </w:pPr>
            <w:r w:rsidRPr="003E76E7">
              <w:rPr>
                <w:b w:val="0"/>
                <w:sz w:val="14"/>
                <w:szCs w:val="14"/>
              </w:rPr>
              <w:t>3,400</w:t>
            </w:r>
          </w:p>
        </w:tc>
      </w:tr>
      <w:tr w:rsidR="00A840DD" w:rsidRPr="003E76E7" w14:paraId="53E29345" w14:textId="77777777" w:rsidTr="00597CD8">
        <w:tc>
          <w:tcPr>
            <w:tcW w:w="546" w:type="dxa"/>
            <w:shd w:val="clear" w:color="auto" w:fill="auto"/>
            <w:vAlign w:val="center"/>
          </w:tcPr>
          <w:p w14:paraId="46AD8983" w14:textId="50914503" w:rsidR="00A840DD" w:rsidRPr="003E76E7" w:rsidRDefault="00A840DD" w:rsidP="00A840DD">
            <w:pPr>
              <w:pStyle w:val="TableTextHeadingLeft"/>
              <w:rPr>
                <w:b w:val="0"/>
                <w:sz w:val="14"/>
                <w:szCs w:val="14"/>
              </w:rPr>
            </w:pPr>
            <w:r w:rsidRPr="006678D3">
              <w:rPr>
                <w:b w:val="0"/>
                <w:sz w:val="14"/>
                <w:szCs w:val="14"/>
              </w:rPr>
              <w:t>24</w:t>
            </w:r>
          </w:p>
        </w:tc>
        <w:tc>
          <w:tcPr>
            <w:tcW w:w="2262" w:type="dxa"/>
            <w:shd w:val="clear" w:color="auto" w:fill="auto"/>
            <w:vAlign w:val="center"/>
          </w:tcPr>
          <w:p w14:paraId="0A815018" w14:textId="4034E859" w:rsidR="00A840DD" w:rsidRPr="003E76E7" w:rsidRDefault="00A840DD" w:rsidP="00A840DD">
            <w:pPr>
              <w:pStyle w:val="TableTextHeadingLeft"/>
              <w:rPr>
                <w:b w:val="0"/>
                <w:sz w:val="14"/>
                <w:szCs w:val="14"/>
              </w:rPr>
            </w:pPr>
            <w:r w:rsidRPr="003E76E7">
              <w:rPr>
                <w:b w:val="0"/>
                <w:sz w:val="14"/>
                <w:szCs w:val="14"/>
              </w:rPr>
              <w:t>F/A-18F Super Hornet</w:t>
            </w:r>
          </w:p>
        </w:tc>
        <w:tc>
          <w:tcPr>
            <w:tcW w:w="1143" w:type="dxa"/>
            <w:shd w:val="clear" w:color="auto" w:fill="auto"/>
          </w:tcPr>
          <w:p w14:paraId="1DEA529B" w14:textId="48C267E9" w:rsidR="00A840DD" w:rsidRPr="003E76E7" w:rsidRDefault="00A840DD" w:rsidP="00A840DD">
            <w:pPr>
              <w:pStyle w:val="TableTextHeadingLeft"/>
              <w:jc w:val="right"/>
              <w:rPr>
                <w:b w:val="0"/>
                <w:sz w:val="14"/>
                <w:szCs w:val="14"/>
              </w:rPr>
            </w:pPr>
            <w:r w:rsidRPr="003E76E7">
              <w:rPr>
                <w:b w:val="0"/>
                <w:sz w:val="14"/>
                <w:szCs w:val="14"/>
              </w:rPr>
              <w:t>4,100</w:t>
            </w:r>
          </w:p>
        </w:tc>
        <w:tc>
          <w:tcPr>
            <w:tcW w:w="1144" w:type="dxa"/>
            <w:shd w:val="clear" w:color="auto" w:fill="auto"/>
          </w:tcPr>
          <w:p w14:paraId="416FCC64" w14:textId="65193DB8" w:rsidR="00A840DD" w:rsidRPr="003E76E7" w:rsidRDefault="00A840DD" w:rsidP="00A840DD">
            <w:pPr>
              <w:pStyle w:val="TableTextHeadingLeft"/>
              <w:jc w:val="right"/>
              <w:rPr>
                <w:b w:val="0"/>
                <w:sz w:val="14"/>
                <w:szCs w:val="14"/>
              </w:rPr>
            </w:pPr>
            <w:r w:rsidRPr="003E76E7">
              <w:rPr>
                <w:b w:val="0"/>
                <w:sz w:val="14"/>
                <w:szCs w:val="14"/>
              </w:rPr>
              <w:t>4,100</w:t>
            </w:r>
          </w:p>
        </w:tc>
        <w:tc>
          <w:tcPr>
            <w:tcW w:w="1144" w:type="dxa"/>
            <w:shd w:val="clear" w:color="auto" w:fill="auto"/>
          </w:tcPr>
          <w:p w14:paraId="7900E820" w14:textId="1461A126" w:rsidR="00A840DD" w:rsidRPr="003E76E7" w:rsidRDefault="00A840DD" w:rsidP="00A840DD">
            <w:pPr>
              <w:pStyle w:val="TableTextHeadingLeft"/>
              <w:jc w:val="right"/>
              <w:rPr>
                <w:b w:val="0"/>
                <w:sz w:val="14"/>
                <w:szCs w:val="14"/>
              </w:rPr>
            </w:pPr>
            <w:r w:rsidRPr="003E76E7">
              <w:rPr>
                <w:b w:val="0"/>
                <w:sz w:val="14"/>
                <w:szCs w:val="14"/>
              </w:rPr>
              <w:t>4,200</w:t>
            </w:r>
          </w:p>
        </w:tc>
        <w:tc>
          <w:tcPr>
            <w:tcW w:w="1144" w:type="dxa"/>
            <w:shd w:val="clear" w:color="auto" w:fill="auto"/>
          </w:tcPr>
          <w:p w14:paraId="32D5FEA0" w14:textId="006FF877" w:rsidR="00A840DD" w:rsidRPr="003E76E7" w:rsidRDefault="00A840DD" w:rsidP="00A840DD">
            <w:pPr>
              <w:pStyle w:val="TableTextHeadingLeft"/>
              <w:jc w:val="right"/>
              <w:rPr>
                <w:b w:val="0"/>
                <w:sz w:val="14"/>
                <w:szCs w:val="14"/>
              </w:rPr>
            </w:pPr>
            <w:r w:rsidRPr="003E76E7">
              <w:rPr>
                <w:b w:val="0"/>
                <w:sz w:val="14"/>
                <w:szCs w:val="14"/>
              </w:rPr>
              <w:t>4,200</w:t>
            </w:r>
          </w:p>
        </w:tc>
        <w:tc>
          <w:tcPr>
            <w:tcW w:w="1144" w:type="dxa"/>
            <w:shd w:val="clear" w:color="auto" w:fill="auto"/>
          </w:tcPr>
          <w:p w14:paraId="56960249" w14:textId="77777777" w:rsidR="00A840DD" w:rsidRPr="003E76E7" w:rsidRDefault="00A840DD" w:rsidP="00A840DD">
            <w:pPr>
              <w:pStyle w:val="TableTextHeadingLeft"/>
              <w:jc w:val="right"/>
              <w:rPr>
                <w:b w:val="0"/>
                <w:sz w:val="14"/>
                <w:szCs w:val="14"/>
              </w:rPr>
            </w:pPr>
            <w:r w:rsidRPr="003E76E7">
              <w:rPr>
                <w:b w:val="0"/>
                <w:sz w:val="14"/>
                <w:szCs w:val="14"/>
              </w:rPr>
              <w:t>4,600</w:t>
            </w:r>
          </w:p>
        </w:tc>
      </w:tr>
      <w:tr w:rsidR="00A840DD" w:rsidRPr="003E76E7" w14:paraId="6760440D" w14:textId="77777777" w:rsidTr="00597CD8">
        <w:tc>
          <w:tcPr>
            <w:tcW w:w="546" w:type="dxa"/>
            <w:shd w:val="clear" w:color="auto" w:fill="auto"/>
            <w:vAlign w:val="center"/>
          </w:tcPr>
          <w:p w14:paraId="3638955C" w14:textId="67CE484A" w:rsidR="00A840DD" w:rsidRPr="003E76E7" w:rsidRDefault="00A840DD" w:rsidP="00A840DD">
            <w:pPr>
              <w:pStyle w:val="TableTextHeadingLeft"/>
              <w:rPr>
                <w:b w:val="0"/>
                <w:sz w:val="14"/>
                <w:szCs w:val="14"/>
              </w:rPr>
            </w:pPr>
            <w:r w:rsidRPr="006678D3">
              <w:rPr>
                <w:b w:val="0"/>
                <w:sz w:val="14"/>
                <w:szCs w:val="14"/>
              </w:rPr>
              <w:t>33</w:t>
            </w:r>
          </w:p>
        </w:tc>
        <w:tc>
          <w:tcPr>
            <w:tcW w:w="2262" w:type="dxa"/>
            <w:shd w:val="clear" w:color="auto" w:fill="auto"/>
            <w:vAlign w:val="center"/>
          </w:tcPr>
          <w:p w14:paraId="33C6B55A" w14:textId="04DECF0C" w:rsidR="00A840DD" w:rsidRPr="003E76E7" w:rsidRDefault="00A840DD" w:rsidP="00A840DD">
            <w:pPr>
              <w:pStyle w:val="TableTextHeadingLeft"/>
              <w:rPr>
                <w:b w:val="0"/>
                <w:sz w:val="14"/>
                <w:szCs w:val="14"/>
              </w:rPr>
            </w:pPr>
            <w:r w:rsidRPr="003E76E7">
              <w:rPr>
                <w:b w:val="0"/>
                <w:sz w:val="14"/>
                <w:szCs w:val="14"/>
              </w:rPr>
              <w:t>Hawk 127</w:t>
            </w:r>
          </w:p>
        </w:tc>
        <w:tc>
          <w:tcPr>
            <w:tcW w:w="1143" w:type="dxa"/>
            <w:shd w:val="clear" w:color="auto" w:fill="auto"/>
          </w:tcPr>
          <w:p w14:paraId="692809BF" w14:textId="72B9AE7D" w:rsidR="00A840DD" w:rsidRPr="003E76E7" w:rsidRDefault="00A840DD" w:rsidP="00A840DD">
            <w:pPr>
              <w:pStyle w:val="TableTextHeadingLeft"/>
              <w:jc w:val="right"/>
              <w:rPr>
                <w:b w:val="0"/>
                <w:sz w:val="14"/>
                <w:szCs w:val="14"/>
              </w:rPr>
            </w:pPr>
            <w:r w:rsidRPr="003E76E7">
              <w:rPr>
                <w:b w:val="0"/>
                <w:sz w:val="14"/>
                <w:szCs w:val="14"/>
              </w:rPr>
              <w:t>5,550</w:t>
            </w:r>
          </w:p>
        </w:tc>
        <w:tc>
          <w:tcPr>
            <w:tcW w:w="1144" w:type="dxa"/>
            <w:shd w:val="clear" w:color="auto" w:fill="auto"/>
          </w:tcPr>
          <w:p w14:paraId="400ACC3D" w14:textId="5867D4EA" w:rsidR="00A840DD" w:rsidRPr="003E76E7" w:rsidRDefault="00A840DD" w:rsidP="00A840DD">
            <w:pPr>
              <w:pStyle w:val="TableTextHeadingLeft"/>
              <w:jc w:val="right"/>
              <w:rPr>
                <w:b w:val="0"/>
                <w:sz w:val="14"/>
                <w:szCs w:val="14"/>
              </w:rPr>
            </w:pPr>
            <w:r w:rsidRPr="003E76E7">
              <w:rPr>
                <w:b w:val="0"/>
                <w:sz w:val="14"/>
                <w:szCs w:val="14"/>
              </w:rPr>
              <w:t>5,000</w:t>
            </w:r>
          </w:p>
        </w:tc>
        <w:tc>
          <w:tcPr>
            <w:tcW w:w="1144" w:type="dxa"/>
            <w:shd w:val="clear" w:color="auto" w:fill="auto"/>
          </w:tcPr>
          <w:p w14:paraId="794A108E" w14:textId="225FF73E" w:rsidR="00A840DD" w:rsidRPr="003E76E7" w:rsidRDefault="00A840DD" w:rsidP="00A840DD">
            <w:pPr>
              <w:pStyle w:val="TableTextHeadingLeft"/>
              <w:jc w:val="right"/>
              <w:rPr>
                <w:b w:val="0"/>
                <w:sz w:val="14"/>
                <w:szCs w:val="14"/>
              </w:rPr>
            </w:pPr>
            <w:r w:rsidRPr="003E76E7">
              <w:rPr>
                <w:b w:val="0"/>
                <w:sz w:val="14"/>
                <w:szCs w:val="14"/>
              </w:rPr>
              <w:t>5,000</w:t>
            </w:r>
          </w:p>
        </w:tc>
        <w:tc>
          <w:tcPr>
            <w:tcW w:w="1144" w:type="dxa"/>
            <w:shd w:val="clear" w:color="auto" w:fill="auto"/>
          </w:tcPr>
          <w:p w14:paraId="296A13F8" w14:textId="56329E02" w:rsidR="00A840DD" w:rsidRPr="003E76E7" w:rsidRDefault="00A840DD" w:rsidP="00A840DD">
            <w:pPr>
              <w:pStyle w:val="TableTextHeadingLeft"/>
              <w:jc w:val="right"/>
              <w:rPr>
                <w:b w:val="0"/>
                <w:sz w:val="14"/>
                <w:szCs w:val="14"/>
              </w:rPr>
            </w:pPr>
            <w:r w:rsidRPr="003E76E7">
              <w:rPr>
                <w:b w:val="0"/>
                <w:sz w:val="14"/>
                <w:szCs w:val="14"/>
              </w:rPr>
              <w:t>5,000</w:t>
            </w:r>
          </w:p>
        </w:tc>
        <w:tc>
          <w:tcPr>
            <w:tcW w:w="1144" w:type="dxa"/>
            <w:shd w:val="clear" w:color="auto" w:fill="auto"/>
          </w:tcPr>
          <w:p w14:paraId="658CD8A6" w14:textId="77777777" w:rsidR="00A840DD" w:rsidRPr="003E76E7" w:rsidRDefault="00A840DD" w:rsidP="00A840DD">
            <w:pPr>
              <w:pStyle w:val="TableTextHeadingLeft"/>
              <w:jc w:val="right"/>
              <w:rPr>
                <w:b w:val="0"/>
                <w:sz w:val="14"/>
                <w:szCs w:val="14"/>
              </w:rPr>
            </w:pPr>
            <w:r w:rsidRPr="003E76E7">
              <w:rPr>
                <w:b w:val="0"/>
                <w:sz w:val="14"/>
                <w:szCs w:val="14"/>
              </w:rPr>
              <w:t>5,000</w:t>
            </w:r>
          </w:p>
        </w:tc>
      </w:tr>
      <w:tr w:rsidR="00A840DD" w:rsidRPr="003E76E7" w14:paraId="44710F60" w14:textId="77777777" w:rsidTr="00597CD8">
        <w:tc>
          <w:tcPr>
            <w:tcW w:w="546" w:type="dxa"/>
            <w:shd w:val="clear" w:color="auto" w:fill="auto"/>
            <w:vAlign w:val="center"/>
          </w:tcPr>
          <w:p w14:paraId="731F8834" w14:textId="0A8CBE57" w:rsidR="00A840DD" w:rsidRPr="003E76E7" w:rsidRDefault="00A840DD" w:rsidP="00A840DD">
            <w:pPr>
              <w:pStyle w:val="TableTextHeadingLeft"/>
              <w:rPr>
                <w:b w:val="0"/>
                <w:sz w:val="14"/>
                <w:szCs w:val="14"/>
              </w:rPr>
            </w:pPr>
            <w:r w:rsidRPr="006678D3">
              <w:rPr>
                <w:b w:val="0"/>
                <w:sz w:val="14"/>
                <w:szCs w:val="14"/>
              </w:rPr>
              <w:t>12</w:t>
            </w:r>
          </w:p>
        </w:tc>
        <w:tc>
          <w:tcPr>
            <w:tcW w:w="2262" w:type="dxa"/>
            <w:shd w:val="clear" w:color="auto" w:fill="auto"/>
            <w:vAlign w:val="center"/>
          </w:tcPr>
          <w:p w14:paraId="1BB918CC" w14:textId="4FBDD62F" w:rsidR="00A840DD" w:rsidRPr="003E76E7" w:rsidRDefault="00A840DD" w:rsidP="00A840DD">
            <w:pPr>
              <w:pStyle w:val="TableTextHeadingLeft"/>
              <w:rPr>
                <w:b w:val="0"/>
                <w:sz w:val="14"/>
                <w:szCs w:val="14"/>
              </w:rPr>
            </w:pPr>
            <w:r w:rsidRPr="003E76E7">
              <w:rPr>
                <w:b w:val="0"/>
                <w:sz w:val="14"/>
                <w:szCs w:val="14"/>
              </w:rPr>
              <w:t>EA-18G Growler</w:t>
            </w:r>
          </w:p>
        </w:tc>
        <w:tc>
          <w:tcPr>
            <w:tcW w:w="1143" w:type="dxa"/>
            <w:shd w:val="clear" w:color="auto" w:fill="auto"/>
          </w:tcPr>
          <w:p w14:paraId="26F8FEC9" w14:textId="40CEB57F" w:rsidR="00A840DD" w:rsidRPr="003E76E7" w:rsidRDefault="00A840DD" w:rsidP="00A840DD">
            <w:pPr>
              <w:pStyle w:val="TableTextHeadingLeft"/>
              <w:jc w:val="right"/>
              <w:rPr>
                <w:b w:val="0"/>
                <w:sz w:val="14"/>
                <w:szCs w:val="14"/>
              </w:rPr>
            </w:pPr>
            <w:r w:rsidRPr="003E76E7">
              <w:rPr>
                <w:b w:val="0"/>
                <w:sz w:val="14"/>
                <w:szCs w:val="14"/>
              </w:rPr>
              <w:t>2,650</w:t>
            </w:r>
          </w:p>
        </w:tc>
        <w:tc>
          <w:tcPr>
            <w:tcW w:w="1144" w:type="dxa"/>
            <w:shd w:val="clear" w:color="auto" w:fill="auto"/>
          </w:tcPr>
          <w:p w14:paraId="39533318" w14:textId="55159C9B" w:rsidR="00A840DD" w:rsidRPr="003E76E7" w:rsidRDefault="00A840DD" w:rsidP="00A840DD">
            <w:pPr>
              <w:pStyle w:val="TableTextHeadingLeft"/>
              <w:jc w:val="right"/>
              <w:rPr>
                <w:b w:val="0"/>
                <w:sz w:val="14"/>
                <w:szCs w:val="14"/>
              </w:rPr>
            </w:pPr>
            <w:r w:rsidRPr="003E76E7">
              <w:rPr>
                <w:b w:val="0"/>
                <w:sz w:val="14"/>
                <w:szCs w:val="14"/>
              </w:rPr>
              <w:t>2,500</w:t>
            </w:r>
          </w:p>
        </w:tc>
        <w:tc>
          <w:tcPr>
            <w:tcW w:w="1144" w:type="dxa"/>
            <w:shd w:val="clear" w:color="auto" w:fill="auto"/>
          </w:tcPr>
          <w:p w14:paraId="47DC03E6" w14:textId="3925CD7C" w:rsidR="00A840DD" w:rsidRPr="003E76E7" w:rsidRDefault="00A840DD" w:rsidP="00A840DD">
            <w:pPr>
              <w:pStyle w:val="TableTextHeadingLeft"/>
              <w:jc w:val="right"/>
              <w:rPr>
                <w:b w:val="0"/>
                <w:sz w:val="14"/>
                <w:szCs w:val="14"/>
              </w:rPr>
            </w:pPr>
            <w:r w:rsidRPr="003E76E7">
              <w:rPr>
                <w:b w:val="0"/>
                <w:sz w:val="14"/>
                <w:szCs w:val="14"/>
              </w:rPr>
              <w:t>2,700</w:t>
            </w:r>
          </w:p>
        </w:tc>
        <w:tc>
          <w:tcPr>
            <w:tcW w:w="1144" w:type="dxa"/>
            <w:shd w:val="clear" w:color="auto" w:fill="auto"/>
          </w:tcPr>
          <w:p w14:paraId="5E8E62C6" w14:textId="7A48EC74" w:rsidR="00A840DD" w:rsidRPr="003E76E7" w:rsidRDefault="00A840DD" w:rsidP="00A840DD">
            <w:pPr>
              <w:pStyle w:val="TableTextHeadingLeft"/>
              <w:jc w:val="right"/>
              <w:rPr>
                <w:b w:val="0"/>
                <w:sz w:val="14"/>
                <w:szCs w:val="14"/>
              </w:rPr>
            </w:pPr>
            <w:r w:rsidRPr="003E76E7">
              <w:rPr>
                <w:b w:val="0"/>
                <w:sz w:val="14"/>
                <w:szCs w:val="14"/>
              </w:rPr>
              <w:t>2,700</w:t>
            </w:r>
          </w:p>
        </w:tc>
        <w:tc>
          <w:tcPr>
            <w:tcW w:w="1144" w:type="dxa"/>
            <w:shd w:val="clear" w:color="auto" w:fill="auto"/>
          </w:tcPr>
          <w:p w14:paraId="17702611" w14:textId="77777777" w:rsidR="00A840DD" w:rsidRPr="003E76E7" w:rsidRDefault="00A840DD" w:rsidP="00A840DD">
            <w:pPr>
              <w:pStyle w:val="TableTextHeadingLeft"/>
              <w:jc w:val="right"/>
              <w:rPr>
                <w:b w:val="0"/>
                <w:sz w:val="14"/>
                <w:szCs w:val="14"/>
              </w:rPr>
            </w:pPr>
            <w:r w:rsidRPr="003E76E7">
              <w:rPr>
                <w:b w:val="0"/>
                <w:sz w:val="14"/>
                <w:szCs w:val="14"/>
              </w:rPr>
              <w:t>2,900</w:t>
            </w:r>
          </w:p>
        </w:tc>
      </w:tr>
      <w:tr w:rsidR="00A840DD" w:rsidRPr="003E76E7" w14:paraId="0510E7E1" w14:textId="77777777" w:rsidTr="00597CD8">
        <w:tc>
          <w:tcPr>
            <w:tcW w:w="546" w:type="dxa"/>
            <w:shd w:val="clear" w:color="auto" w:fill="auto"/>
            <w:vAlign w:val="center"/>
          </w:tcPr>
          <w:p w14:paraId="4067AE5E" w14:textId="388F4AAE" w:rsidR="00A840DD" w:rsidRPr="003E76E7" w:rsidRDefault="00A840DD" w:rsidP="00A840DD">
            <w:pPr>
              <w:pStyle w:val="TableTextHeadingLeft"/>
              <w:rPr>
                <w:b w:val="0"/>
                <w:sz w:val="14"/>
                <w:szCs w:val="14"/>
              </w:rPr>
            </w:pPr>
            <w:r w:rsidRPr="006678D3">
              <w:rPr>
                <w:b w:val="0"/>
                <w:sz w:val="14"/>
                <w:szCs w:val="14"/>
              </w:rPr>
              <w:t>72</w:t>
            </w:r>
          </w:p>
        </w:tc>
        <w:tc>
          <w:tcPr>
            <w:tcW w:w="2262" w:type="dxa"/>
            <w:shd w:val="clear" w:color="auto" w:fill="auto"/>
            <w:vAlign w:val="center"/>
          </w:tcPr>
          <w:p w14:paraId="6499137A" w14:textId="64697082" w:rsidR="00A840DD" w:rsidRPr="003E76E7" w:rsidRDefault="00A840DD" w:rsidP="00A840DD">
            <w:pPr>
              <w:pStyle w:val="TableTextHeadingLeft"/>
              <w:rPr>
                <w:b w:val="0"/>
                <w:sz w:val="14"/>
                <w:szCs w:val="14"/>
              </w:rPr>
            </w:pPr>
            <w:r w:rsidRPr="003E76E7">
              <w:rPr>
                <w:b w:val="0"/>
                <w:sz w:val="14"/>
                <w:szCs w:val="14"/>
              </w:rPr>
              <w:t xml:space="preserve">F-35A Lightning II </w:t>
            </w:r>
          </w:p>
        </w:tc>
        <w:tc>
          <w:tcPr>
            <w:tcW w:w="1143" w:type="dxa"/>
            <w:shd w:val="clear" w:color="auto" w:fill="auto"/>
          </w:tcPr>
          <w:p w14:paraId="5F8D2C86" w14:textId="3C0E1746" w:rsidR="00A840DD" w:rsidRPr="003E76E7" w:rsidRDefault="00A840DD" w:rsidP="00A840DD">
            <w:pPr>
              <w:pStyle w:val="TableTextHeadingLeft"/>
              <w:jc w:val="right"/>
              <w:rPr>
                <w:b w:val="0"/>
                <w:sz w:val="14"/>
                <w:szCs w:val="14"/>
              </w:rPr>
            </w:pPr>
            <w:r w:rsidRPr="003E76E7">
              <w:rPr>
                <w:b w:val="0"/>
                <w:sz w:val="14"/>
                <w:szCs w:val="14"/>
              </w:rPr>
              <w:t>10,500</w:t>
            </w:r>
          </w:p>
        </w:tc>
        <w:tc>
          <w:tcPr>
            <w:tcW w:w="1144" w:type="dxa"/>
            <w:shd w:val="clear" w:color="auto" w:fill="auto"/>
          </w:tcPr>
          <w:p w14:paraId="45F1FE86" w14:textId="039FAF6D" w:rsidR="00A840DD" w:rsidRPr="003E76E7" w:rsidRDefault="00A840DD" w:rsidP="00A840DD">
            <w:pPr>
              <w:pStyle w:val="TableTextHeadingLeft"/>
              <w:jc w:val="right"/>
              <w:rPr>
                <w:b w:val="0"/>
                <w:sz w:val="14"/>
                <w:szCs w:val="14"/>
              </w:rPr>
            </w:pPr>
            <w:r w:rsidRPr="003E76E7">
              <w:rPr>
                <w:b w:val="0"/>
                <w:sz w:val="14"/>
                <w:szCs w:val="14"/>
              </w:rPr>
              <w:t>10,000</w:t>
            </w:r>
          </w:p>
        </w:tc>
        <w:tc>
          <w:tcPr>
            <w:tcW w:w="1144" w:type="dxa"/>
            <w:shd w:val="clear" w:color="auto" w:fill="auto"/>
          </w:tcPr>
          <w:p w14:paraId="6FBE3F75" w14:textId="201997A8" w:rsidR="00A840DD" w:rsidRPr="003E76E7" w:rsidRDefault="00A840DD" w:rsidP="00A840DD">
            <w:pPr>
              <w:pStyle w:val="TableTextHeadingLeft"/>
              <w:jc w:val="right"/>
              <w:rPr>
                <w:b w:val="0"/>
                <w:sz w:val="14"/>
                <w:szCs w:val="14"/>
              </w:rPr>
            </w:pPr>
            <w:r w:rsidRPr="003E76E7">
              <w:rPr>
                <w:b w:val="0"/>
                <w:sz w:val="14"/>
                <w:szCs w:val="14"/>
              </w:rPr>
              <w:t>10,000</w:t>
            </w:r>
          </w:p>
        </w:tc>
        <w:tc>
          <w:tcPr>
            <w:tcW w:w="1144" w:type="dxa"/>
            <w:shd w:val="clear" w:color="auto" w:fill="auto"/>
          </w:tcPr>
          <w:p w14:paraId="7095511B" w14:textId="10DBBE35" w:rsidR="00A840DD" w:rsidRPr="003E76E7" w:rsidRDefault="00A840DD" w:rsidP="00A840DD">
            <w:pPr>
              <w:pStyle w:val="TableTextHeadingLeft"/>
              <w:jc w:val="right"/>
              <w:rPr>
                <w:b w:val="0"/>
                <w:sz w:val="14"/>
                <w:szCs w:val="14"/>
              </w:rPr>
            </w:pPr>
            <w:r w:rsidRPr="003E76E7">
              <w:rPr>
                <w:b w:val="0"/>
                <w:sz w:val="14"/>
                <w:szCs w:val="14"/>
              </w:rPr>
              <w:t>10,000</w:t>
            </w:r>
          </w:p>
        </w:tc>
        <w:tc>
          <w:tcPr>
            <w:tcW w:w="1144" w:type="dxa"/>
            <w:shd w:val="clear" w:color="auto" w:fill="auto"/>
          </w:tcPr>
          <w:p w14:paraId="2B555E57" w14:textId="77777777" w:rsidR="00A840DD" w:rsidRPr="003E76E7" w:rsidRDefault="00A840DD" w:rsidP="00A840DD">
            <w:pPr>
              <w:pStyle w:val="TableTextHeadingLeft"/>
              <w:jc w:val="right"/>
              <w:rPr>
                <w:b w:val="0"/>
                <w:sz w:val="14"/>
                <w:szCs w:val="14"/>
              </w:rPr>
            </w:pPr>
            <w:r w:rsidRPr="003E76E7">
              <w:rPr>
                <w:b w:val="0"/>
                <w:sz w:val="14"/>
                <w:szCs w:val="14"/>
              </w:rPr>
              <w:t>10,000</w:t>
            </w:r>
          </w:p>
        </w:tc>
      </w:tr>
      <w:tr w:rsidR="00A840DD" w:rsidRPr="003E76E7" w14:paraId="3A300299" w14:textId="77777777" w:rsidTr="00597CD8">
        <w:tc>
          <w:tcPr>
            <w:tcW w:w="546" w:type="dxa"/>
            <w:shd w:val="clear" w:color="auto" w:fill="auto"/>
            <w:vAlign w:val="center"/>
          </w:tcPr>
          <w:p w14:paraId="749C6605" w14:textId="276738B1" w:rsidR="00A840DD" w:rsidRPr="003E76E7" w:rsidRDefault="00A840DD" w:rsidP="00A840DD">
            <w:pPr>
              <w:pStyle w:val="TableTextHeadingLeft"/>
              <w:rPr>
                <w:b w:val="0"/>
                <w:sz w:val="14"/>
                <w:szCs w:val="14"/>
              </w:rPr>
            </w:pPr>
            <w:r w:rsidRPr="006678D3">
              <w:rPr>
                <w:b w:val="0"/>
                <w:sz w:val="14"/>
                <w:szCs w:val="14"/>
              </w:rPr>
              <w:t>1</w:t>
            </w:r>
          </w:p>
        </w:tc>
        <w:tc>
          <w:tcPr>
            <w:tcW w:w="2262" w:type="dxa"/>
            <w:shd w:val="clear" w:color="auto" w:fill="auto"/>
            <w:vAlign w:val="center"/>
          </w:tcPr>
          <w:p w14:paraId="2F02D25E" w14:textId="6FD6BC70" w:rsidR="00A840DD" w:rsidRPr="003E76E7" w:rsidRDefault="00A840DD" w:rsidP="00A840DD">
            <w:pPr>
              <w:pStyle w:val="TableTextHeadingLeft"/>
              <w:rPr>
                <w:b w:val="0"/>
                <w:sz w:val="14"/>
                <w:szCs w:val="14"/>
              </w:rPr>
            </w:pPr>
            <w:r w:rsidRPr="003E76E7">
              <w:rPr>
                <w:b w:val="0"/>
                <w:sz w:val="14"/>
                <w:szCs w:val="14"/>
              </w:rPr>
              <w:t xml:space="preserve">MC-55A Peregrine </w:t>
            </w:r>
            <w:r w:rsidRPr="003E76E7">
              <w:rPr>
                <w:b w:val="0"/>
                <w:sz w:val="14"/>
                <w:szCs w:val="14"/>
                <w:vertAlign w:val="superscript"/>
              </w:rPr>
              <w:t xml:space="preserve">[g] </w:t>
            </w:r>
          </w:p>
        </w:tc>
        <w:tc>
          <w:tcPr>
            <w:tcW w:w="1143" w:type="dxa"/>
            <w:shd w:val="clear" w:color="auto" w:fill="auto"/>
          </w:tcPr>
          <w:p w14:paraId="1A4D2011" w14:textId="1C07FB1E" w:rsidR="00A840DD" w:rsidRPr="003E76E7" w:rsidRDefault="00A840DD" w:rsidP="00A840DD">
            <w:pPr>
              <w:pStyle w:val="TableTextHeadingLeft"/>
              <w:jc w:val="right"/>
              <w:rPr>
                <w:b w:val="0"/>
                <w:sz w:val="14"/>
                <w:szCs w:val="14"/>
              </w:rPr>
            </w:pPr>
            <w:r w:rsidRPr="003E76E7">
              <w:rPr>
                <w:b w:val="0"/>
                <w:sz w:val="14"/>
                <w:szCs w:val="14"/>
              </w:rPr>
              <w:t>270</w:t>
            </w:r>
          </w:p>
        </w:tc>
        <w:tc>
          <w:tcPr>
            <w:tcW w:w="1144" w:type="dxa"/>
            <w:shd w:val="clear" w:color="auto" w:fill="auto"/>
          </w:tcPr>
          <w:p w14:paraId="1BD3DD55" w14:textId="79396D0F" w:rsidR="00A840DD" w:rsidRPr="003E76E7" w:rsidRDefault="00A840DD" w:rsidP="00A840DD">
            <w:pPr>
              <w:pStyle w:val="TableTextHeadingLeft"/>
              <w:jc w:val="right"/>
              <w:rPr>
                <w:b w:val="0"/>
                <w:sz w:val="14"/>
                <w:szCs w:val="14"/>
              </w:rPr>
            </w:pPr>
            <w:r w:rsidRPr="003E76E7">
              <w:rPr>
                <w:b w:val="0"/>
                <w:sz w:val="14"/>
                <w:szCs w:val="14"/>
              </w:rPr>
              <w:t>1,600</w:t>
            </w:r>
          </w:p>
        </w:tc>
        <w:tc>
          <w:tcPr>
            <w:tcW w:w="1144" w:type="dxa"/>
            <w:shd w:val="clear" w:color="auto" w:fill="auto"/>
          </w:tcPr>
          <w:p w14:paraId="29DEBF5A" w14:textId="2B19DD60" w:rsidR="00A840DD" w:rsidRPr="003E76E7" w:rsidRDefault="00A840DD" w:rsidP="00A840DD">
            <w:pPr>
              <w:pStyle w:val="TableTextHeadingLeft"/>
              <w:jc w:val="right"/>
              <w:rPr>
                <w:b w:val="0"/>
                <w:sz w:val="14"/>
                <w:szCs w:val="14"/>
              </w:rPr>
            </w:pPr>
            <w:r w:rsidRPr="003E76E7">
              <w:rPr>
                <w:b w:val="0"/>
                <w:sz w:val="14"/>
                <w:szCs w:val="14"/>
              </w:rPr>
              <w:t>2,400</w:t>
            </w:r>
          </w:p>
        </w:tc>
        <w:tc>
          <w:tcPr>
            <w:tcW w:w="1144" w:type="dxa"/>
            <w:shd w:val="clear" w:color="auto" w:fill="auto"/>
          </w:tcPr>
          <w:p w14:paraId="615F9F62" w14:textId="1A4E6858" w:rsidR="00A840DD" w:rsidRPr="003E76E7" w:rsidRDefault="00A840DD" w:rsidP="00A840DD">
            <w:pPr>
              <w:pStyle w:val="TableTextHeadingLeft"/>
              <w:jc w:val="right"/>
              <w:rPr>
                <w:b w:val="0"/>
                <w:sz w:val="14"/>
                <w:szCs w:val="14"/>
              </w:rPr>
            </w:pPr>
            <w:r w:rsidRPr="003E76E7">
              <w:rPr>
                <w:b w:val="0"/>
                <w:sz w:val="14"/>
                <w:szCs w:val="14"/>
              </w:rPr>
              <w:t>2,400</w:t>
            </w:r>
          </w:p>
        </w:tc>
        <w:tc>
          <w:tcPr>
            <w:tcW w:w="1144" w:type="dxa"/>
            <w:shd w:val="clear" w:color="auto" w:fill="auto"/>
          </w:tcPr>
          <w:p w14:paraId="2C725B94" w14:textId="77777777" w:rsidR="00A840DD" w:rsidRPr="003E76E7" w:rsidRDefault="00A840DD" w:rsidP="00A840DD">
            <w:pPr>
              <w:pStyle w:val="TableTextHeadingLeft"/>
              <w:jc w:val="right"/>
              <w:rPr>
                <w:b w:val="0"/>
                <w:sz w:val="14"/>
                <w:szCs w:val="14"/>
              </w:rPr>
            </w:pPr>
            <w:r w:rsidRPr="003E76E7">
              <w:rPr>
                <w:b w:val="0"/>
                <w:sz w:val="14"/>
                <w:szCs w:val="14"/>
              </w:rPr>
              <w:t>2,400</w:t>
            </w:r>
          </w:p>
        </w:tc>
      </w:tr>
      <w:tr w:rsidR="00A840DD" w:rsidRPr="003E76E7" w14:paraId="515B17E2" w14:textId="77777777" w:rsidTr="00597CD8">
        <w:tc>
          <w:tcPr>
            <w:tcW w:w="546" w:type="dxa"/>
            <w:shd w:val="clear" w:color="auto" w:fill="auto"/>
            <w:vAlign w:val="center"/>
          </w:tcPr>
          <w:p w14:paraId="5EE08C82" w14:textId="379F4CD4" w:rsidR="00A840DD" w:rsidRPr="003E76E7" w:rsidRDefault="00A840DD" w:rsidP="00A840DD">
            <w:pPr>
              <w:pStyle w:val="TableTextHeadingLeft"/>
              <w:rPr>
                <w:b w:val="0"/>
                <w:sz w:val="14"/>
                <w:szCs w:val="14"/>
              </w:rPr>
            </w:pPr>
            <w:r w:rsidRPr="006678D3">
              <w:rPr>
                <w:b w:val="0"/>
                <w:sz w:val="14"/>
                <w:szCs w:val="14"/>
              </w:rPr>
              <w:t>3</w:t>
            </w:r>
          </w:p>
        </w:tc>
        <w:tc>
          <w:tcPr>
            <w:tcW w:w="2262" w:type="dxa"/>
            <w:shd w:val="clear" w:color="auto" w:fill="auto"/>
            <w:vAlign w:val="center"/>
          </w:tcPr>
          <w:p w14:paraId="677B4AC4" w14:textId="6F2700B0" w:rsidR="00A840DD" w:rsidRPr="003E76E7" w:rsidRDefault="00A840DD" w:rsidP="00A840DD">
            <w:pPr>
              <w:pStyle w:val="TableTextHeadingLeft"/>
              <w:rPr>
                <w:b w:val="0"/>
                <w:sz w:val="14"/>
                <w:szCs w:val="14"/>
              </w:rPr>
            </w:pPr>
            <w:r w:rsidRPr="003E76E7">
              <w:rPr>
                <w:b w:val="0"/>
                <w:sz w:val="14"/>
                <w:szCs w:val="14"/>
              </w:rPr>
              <w:t xml:space="preserve">MQ-4C Triton </w:t>
            </w:r>
            <w:r w:rsidRPr="003E76E7">
              <w:rPr>
                <w:b w:val="0"/>
                <w:sz w:val="14"/>
                <w:szCs w:val="14"/>
                <w:vertAlign w:val="superscript"/>
              </w:rPr>
              <w:t>[h]</w:t>
            </w:r>
          </w:p>
        </w:tc>
        <w:tc>
          <w:tcPr>
            <w:tcW w:w="1143" w:type="dxa"/>
            <w:shd w:val="clear" w:color="auto" w:fill="auto"/>
          </w:tcPr>
          <w:p w14:paraId="7FF01E7C" w14:textId="46525174" w:rsidR="00A840DD" w:rsidRPr="003E76E7" w:rsidRDefault="00A840DD" w:rsidP="00A840DD">
            <w:pPr>
              <w:pStyle w:val="TableTextHeadingLeft"/>
              <w:jc w:val="right"/>
              <w:rPr>
                <w:b w:val="0"/>
                <w:sz w:val="14"/>
                <w:szCs w:val="14"/>
              </w:rPr>
            </w:pPr>
            <w:r w:rsidRPr="003E76E7">
              <w:rPr>
                <w:b w:val="0"/>
                <w:sz w:val="14"/>
                <w:szCs w:val="14"/>
              </w:rPr>
              <w:t>470</w:t>
            </w:r>
          </w:p>
        </w:tc>
        <w:tc>
          <w:tcPr>
            <w:tcW w:w="1144" w:type="dxa"/>
            <w:shd w:val="clear" w:color="auto" w:fill="auto"/>
          </w:tcPr>
          <w:p w14:paraId="39CE80B8" w14:textId="5F0BB02C" w:rsidR="00A840DD" w:rsidRPr="003E76E7" w:rsidRDefault="00A840DD" w:rsidP="00A840DD">
            <w:pPr>
              <w:pStyle w:val="TableTextHeadingLeft"/>
              <w:jc w:val="right"/>
              <w:rPr>
                <w:b w:val="0"/>
                <w:sz w:val="14"/>
                <w:szCs w:val="14"/>
              </w:rPr>
            </w:pPr>
            <w:r w:rsidRPr="003E76E7">
              <w:rPr>
                <w:b w:val="0"/>
                <w:sz w:val="14"/>
                <w:szCs w:val="14"/>
              </w:rPr>
              <w:t>2,000</w:t>
            </w:r>
          </w:p>
        </w:tc>
        <w:tc>
          <w:tcPr>
            <w:tcW w:w="1144" w:type="dxa"/>
            <w:shd w:val="clear" w:color="auto" w:fill="auto"/>
          </w:tcPr>
          <w:p w14:paraId="422CEE7B" w14:textId="5E726A70" w:rsidR="00A840DD" w:rsidRPr="003E76E7" w:rsidRDefault="00A840DD" w:rsidP="00A840DD">
            <w:pPr>
              <w:pStyle w:val="TableTextHeadingLeft"/>
              <w:jc w:val="right"/>
              <w:rPr>
                <w:b w:val="0"/>
                <w:sz w:val="14"/>
                <w:szCs w:val="14"/>
              </w:rPr>
            </w:pPr>
            <w:r w:rsidRPr="003E76E7">
              <w:rPr>
                <w:b w:val="0"/>
                <w:sz w:val="14"/>
                <w:szCs w:val="14"/>
              </w:rPr>
              <w:t>2,600</w:t>
            </w:r>
          </w:p>
        </w:tc>
        <w:tc>
          <w:tcPr>
            <w:tcW w:w="1144" w:type="dxa"/>
            <w:shd w:val="clear" w:color="auto" w:fill="auto"/>
          </w:tcPr>
          <w:p w14:paraId="50C5C424" w14:textId="666A3E73" w:rsidR="00A840DD" w:rsidRPr="003E76E7" w:rsidRDefault="00A840DD" w:rsidP="00A840DD">
            <w:pPr>
              <w:pStyle w:val="TableTextHeadingLeft"/>
              <w:jc w:val="right"/>
              <w:rPr>
                <w:b w:val="0"/>
                <w:sz w:val="14"/>
                <w:szCs w:val="14"/>
              </w:rPr>
            </w:pPr>
            <w:r w:rsidRPr="003E76E7">
              <w:rPr>
                <w:b w:val="0"/>
                <w:sz w:val="14"/>
                <w:szCs w:val="14"/>
              </w:rPr>
              <w:t>3,300</w:t>
            </w:r>
          </w:p>
        </w:tc>
        <w:tc>
          <w:tcPr>
            <w:tcW w:w="1144" w:type="dxa"/>
            <w:shd w:val="clear" w:color="auto" w:fill="auto"/>
          </w:tcPr>
          <w:p w14:paraId="4E0282A7" w14:textId="77777777" w:rsidR="00A840DD" w:rsidRPr="003E76E7" w:rsidRDefault="00A840DD" w:rsidP="00A840DD">
            <w:pPr>
              <w:pStyle w:val="TableTextHeadingLeft"/>
              <w:jc w:val="right"/>
              <w:rPr>
                <w:b w:val="0"/>
                <w:sz w:val="14"/>
                <w:szCs w:val="14"/>
              </w:rPr>
            </w:pPr>
            <w:r w:rsidRPr="003E76E7">
              <w:rPr>
                <w:b w:val="0"/>
                <w:sz w:val="14"/>
                <w:szCs w:val="14"/>
              </w:rPr>
              <w:t>4,050</w:t>
            </w:r>
          </w:p>
        </w:tc>
      </w:tr>
    </w:tbl>
    <w:p w14:paraId="2EB0236D" w14:textId="77777777" w:rsidR="00967877" w:rsidRPr="003E76E7" w:rsidRDefault="00967877" w:rsidP="00C4292D">
      <w:pPr>
        <w:pStyle w:val="NotesHeading"/>
        <w:spacing w:before="0" w:after="0"/>
        <w:ind w:left="567" w:hanging="567"/>
        <w:rPr>
          <w:sz w:val="14"/>
          <w:lang w:val="en-AU"/>
        </w:rPr>
      </w:pPr>
    </w:p>
    <w:p w14:paraId="364BDCC6" w14:textId="77777777" w:rsidR="00967877" w:rsidRPr="003E76E7" w:rsidRDefault="00967877" w:rsidP="00C4292D">
      <w:pPr>
        <w:pStyle w:val="NotesHeading"/>
        <w:spacing w:before="0" w:after="0"/>
        <w:ind w:left="567" w:hanging="567"/>
        <w:rPr>
          <w:sz w:val="14"/>
          <w:szCs w:val="14"/>
        </w:rPr>
      </w:pPr>
      <w:r w:rsidRPr="003E76E7">
        <w:rPr>
          <w:sz w:val="14"/>
          <w:szCs w:val="14"/>
        </w:rPr>
        <w:t>Notes</w:t>
      </w:r>
    </w:p>
    <w:p w14:paraId="595F034B" w14:textId="5C1268EF" w:rsidR="000A726A" w:rsidRPr="000A726A" w:rsidRDefault="000A726A" w:rsidP="000A726A">
      <w:pPr>
        <w:pStyle w:val="NotesHeading"/>
        <w:numPr>
          <w:ilvl w:val="0"/>
          <w:numId w:val="135"/>
        </w:numPr>
        <w:spacing w:before="0" w:after="0"/>
        <w:ind w:left="284" w:hanging="284"/>
        <w:rPr>
          <w:b w:val="0"/>
          <w:sz w:val="14"/>
          <w:szCs w:val="14"/>
        </w:rPr>
      </w:pPr>
      <w:r w:rsidRPr="000A726A">
        <w:rPr>
          <w:b w:val="0"/>
          <w:sz w:val="14"/>
          <w:szCs w:val="14"/>
        </w:rPr>
        <w:t xml:space="preserve">Fleet sizes represent totals in service at 1 March 2026. </w:t>
      </w:r>
    </w:p>
    <w:p w14:paraId="2D0E49CF" w14:textId="77777777" w:rsidR="000A726A" w:rsidRPr="000A726A" w:rsidRDefault="000A726A" w:rsidP="000A726A">
      <w:pPr>
        <w:pStyle w:val="NotesHeading"/>
        <w:numPr>
          <w:ilvl w:val="0"/>
          <w:numId w:val="135"/>
        </w:numPr>
        <w:spacing w:before="0" w:after="0"/>
        <w:ind w:left="284" w:hanging="284"/>
        <w:rPr>
          <w:b w:val="0"/>
          <w:sz w:val="14"/>
          <w:szCs w:val="14"/>
        </w:rPr>
      </w:pPr>
      <w:r w:rsidRPr="000A726A">
        <w:rPr>
          <w:b w:val="0"/>
          <w:sz w:val="14"/>
          <w:szCs w:val="14"/>
        </w:rPr>
        <w:t>KA350 King Air Forward Estimates reflect a planned progressive withdrawal from service.</w:t>
      </w:r>
    </w:p>
    <w:p w14:paraId="183263D1" w14:textId="77777777" w:rsidR="000A726A" w:rsidRPr="000A726A" w:rsidRDefault="000A726A" w:rsidP="000A726A">
      <w:pPr>
        <w:pStyle w:val="NotesHeading"/>
        <w:numPr>
          <w:ilvl w:val="0"/>
          <w:numId w:val="135"/>
        </w:numPr>
        <w:spacing w:before="0" w:after="0"/>
        <w:ind w:left="284" w:hanging="284"/>
        <w:rPr>
          <w:b w:val="0"/>
          <w:sz w:val="14"/>
          <w:szCs w:val="14"/>
        </w:rPr>
      </w:pPr>
      <w:r w:rsidRPr="000A726A">
        <w:rPr>
          <w:b w:val="0"/>
          <w:sz w:val="14"/>
          <w:szCs w:val="14"/>
        </w:rPr>
        <w:t xml:space="preserve">C-130J Hercules Forward Estimates reflect a planned growth following conclusion of aircraft modification program and increasing crew numbers in preparation for an expanded fleet under AIR7404. </w:t>
      </w:r>
    </w:p>
    <w:p w14:paraId="602C05B1" w14:textId="77777777" w:rsidR="000A726A" w:rsidRPr="000A726A" w:rsidRDefault="000A726A" w:rsidP="000A726A">
      <w:pPr>
        <w:pStyle w:val="NotesHeading"/>
        <w:numPr>
          <w:ilvl w:val="0"/>
          <w:numId w:val="135"/>
        </w:numPr>
        <w:spacing w:before="0" w:after="0"/>
        <w:ind w:left="284" w:hanging="284"/>
        <w:rPr>
          <w:b w:val="0"/>
          <w:sz w:val="14"/>
          <w:szCs w:val="14"/>
        </w:rPr>
      </w:pPr>
      <w:r w:rsidRPr="000A726A">
        <w:rPr>
          <w:b w:val="0"/>
          <w:sz w:val="14"/>
          <w:szCs w:val="14"/>
        </w:rPr>
        <w:t>C-17A Globemaster III Forward Estimates reflect planned incremental increase in fleet rate of effort.</w:t>
      </w:r>
    </w:p>
    <w:p w14:paraId="13E33D0E" w14:textId="77777777" w:rsidR="000A726A" w:rsidRPr="000A726A" w:rsidRDefault="000A726A" w:rsidP="000A726A">
      <w:pPr>
        <w:pStyle w:val="NotesHeading"/>
        <w:numPr>
          <w:ilvl w:val="0"/>
          <w:numId w:val="135"/>
        </w:numPr>
        <w:spacing w:before="0" w:after="0"/>
        <w:ind w:left="284" w:hanging="284"/>
        <w:rPr>
          <w:b w:val="0"/>
          <w:sz w:val="14"/>
          <w:szCs w:val="14"/>
        </w:rPr>
      </w:pPr>
      <w:r w:rsidRPr="000A726A">
        <w:rPr>
          <w:b w:val="0"/>
          <w:sz w:val="14"/>
          <w:szCs w:val="14"/>
        </w:rPr>
        <w:t>C-27J Spartan Forward Estimates will be adjusted when the withdrawal from service plan is approved.</w:t>
      </w:r>
    </w:p>
    <w:p w14:paraId="0FAA0F31" w14:textId="77777777" w:rsidR="000A726A" w:rsidRPr="000A726A" w:rsidRDefault="000A726A" w:rsidP="000A726A">
      <w:pPr>
        <w:pStyle w:val="NotesHeading"/>
        <w:numPr>
          <w:ilvl w:val="0"/>
          <w:numId w:val="135"/>
        </w:numPr>
        <w:spacing w:before="0" w:after="0"/>
        <w:ind w:left="284" w:hanging="284"/>
        <w:rPr>
          <w:b w:val="0"/>
          <w:sz w:val="14"/>
          <w:szCs w:val="14"/>
        </w:rPr>
      </w:pPr>
      <w:r w:rsidRPr="000A726A">
        <w:rPr>
          <w:b w:val="0"/>
          <w:sz w:val="14"/>
          <w:szCs w:val="14"/>
        </w:rPr>
        <w:t>P-8A Poseidon Forward Estimates reflect planned growth in fleet size, workforce and operating profile. Delivery of the 14th (and final) aircraft is scheduled for May 2026.</w:t>
      </w:r>
    </w:p>
    <w:p w14:paraId="5E45D0EA" w14:textId="77777777" w:rsidR="00A94B11" w:rsidRDefault="000A726A" w:rsidP="00A94B11">
      <w:pPr>
        <w:pStyle w:val="NotesHeading"/>
        <w:numPr>
          <w:ilvl w:val="0"/>
          <w:numId w:val="135"/>
        </w:numPr>
        <w:spacing w:before="0" w:after="0"/>
        <w:ind w:left="284" w:hanging="284"/>
        <w:rPr>
          <w:b w:val="0"/>
          <w:sz w:val="14"/>
          <w:szCs w:val="14"/>
        </w:rPr>
      </w:pPr>
      <w:r w:rsidRPr="000A726A">
        <w:rPr>
          <w:b w:val="0"/>
          <w:sz w:val="14"/>
          <w:szCs w:val="14"/>
        </w:rPr>
        <w:t>MC-55A Peregrine Forward Estimates reflect planned growth in fleet size, workforce and operating profile. The first aircraft arrived in Australia during February 2026. Three further aircraft are scheduled for delivery during 2026.</w:t>
      </w:r>
    </w:p>
    <w:p w14:paraId="6CDF768A" w14:textId="71F850EF" w:rsidR="00161E48" w:rsidRPr="00A94B11" w:rsidRDefault="000A726A" w:rsidP="00A94B11">
      <w:pPr>
        <w:pStyle w:val="NotesHeading"/>
        <w:numPr>
          <w:ilvl w:val="0"/>
          <w:numId w:val="135"/>
        </w:numPr>
        <w:spacing w:before="0" w:after="0"/>
        <w:ind w:left="284" w:hanging="284"/>
        <w:rPr>
          <w:b w:val="0"/>
          <w:sz w:val="14"/>
          <w:szCs w:val="14"/>
        </w:rPr>
      </w:pPr>
      <w:r w:rsidRPr="00A94B11">
        <w:rPr>
          <w:b w:val="0"/>
          <w:sz w:val="14"/>
          <w:szCs w:val="14"/>
        </w:rPr>
        <w:t>MQ-4C Triton Forward Estimates reflect planned continuing growth in fleet size, workforce and operating profile since delivery of the first aircraft in June 2024. Delivery of the 4th (and final) aircraft is scheduled for 2028.</w:t>
      </w:r>
      <w:r w:rsidR="00DC3903" w:rsidRPr="00A94B11">
        <w:rPr>
          <w:color w:val="FFFFFF"/>
          <w:sz w:val="2"/>
        </w:rPr>
        <w:t>am 2.8: Austra</w:t>
      </w:r>
      <w:r w:rsidR="000142CB" w:rsidRPr="00A94B11">
        <w:rPr>
          <w:color w:val="FFFFFF"/>
          <w:sz w:val="2"/>
        </w:rPr>
        <w:t>lian Defence Force Headquarters</w:t>
      </w:r>
    </w:p>
    <w:tbl>
      <w:tblPr>
        <w:tblW w:w="4852"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1821"/>
        <w:gridCol w:w="3143"/>
        <w:gridCol w:w="3334"/>
      </w:tblGrid>
      <w:tr w:rsidR="00FF0FC2" w:rsidRPr="003E76E7" w14:paraId="7770B0DE" w14:textId="77777777" w:rsidTr="001D6B09">
        <w:tc>
          <w:tcPr>
            <w:tcW w:w="8298" w:type="dxa"/>
            <w:gridSpan w:val="3"/>
            <w:tcBorders>
              <w:bottom w:val="single" w:sz="4" w:space="0" w:color="auto"/>
            </w:tcBorders>
            <w:shd w:val="clear" w:color="auto" w:fill="CCCCCC"/>
          </w:tcPr>
          <w:p w14:paraId="431E2B52" w14:textId="07C35D50" w:rsidR="00FF0FC2" w:rsidRPr="003E76E7" w:rsidRDefault="00FF0FC2" w:rsidP="00C4292D">
            <w:pPr>
              <w:pStyle w:val="Heading5"/>
              <w:spacing w:before="60" w:after="60"/>
            </w:pPr>
            <w:r w:rsidRPr="003E76E7">
              <w:lastRenderedPageBreak/>
              <w:t>Program 2.8: Australian Defence Force Headquarters</w:t>
            </w:r>
          </w:p>
        </w:tc>
      </w:tr>
      <w:tr w:rsidR="00FF0FC2" w:rsidRPr="003E76E7" w14:paraId="20FD3246" w14:textId="77777777" w:rsidTr="001D6B09">
        <w:tc>
          <w:tcPr>
            <w:tcW w:w="8298" w:type="dxa"/>
            <w:gridSpan w:val="3"/>
            <w:tcBorders>
              <w:left w:val="nil"/>
              <w:right w:val="nil"/>
            </w:tcBorders>
            <w:shd w:val="clear" w:color="auto" w:fill="auto"/>
          </w:tcPr>
          <w:p w14:paraId="393E2AD0" w14:textId="77777777" w:rsidR="00FF0FC2" w:rsidRPr="003E76E7" w:rsidRDefault="00FF0FC2" w:rsidP="00C4292D">
            <w:pPr>
              <w:pStyle w:val="Heading5"/>
              <w:spacing w:before="0" w:after="0"/>
              <w:rPr>
                <w:sz w:val="16"/>
                <w:szCs w:val="16"/>
              </w:rPr>
            </w:pPr>
          </w:p>
        </w:tc>
      </w:tr>
      <w:tr w:rsidR="00FF0FC2" w:rsidRPr="003E76E7" w14:paraId="66BCBF6E" w14:textId="77777777" w:rsidTr="001D6B09">
        <w:tblPrEx>
          <w:shd w:val="clear" w:color="auto" w:fill="auto"/>
          <w:tblLook w:val="04A0" w:firstRow="1" w:lastRow="0" w:firstColumn="1" w:lastColumn="0" w:noHBand="0" w:noVBand="1"/>
        </w:tblPrEx>
        <w:trPr>
          <w:trHeight w:val="697"/>
          <w:tblHeader/>
        </w:trPr>
        <w:tc>
          <w:tcPr>
            <w:tcW w:w="8298" w:type="dxa"/>
            <w:gridSpan w:val="3"/>
            <w:shd w:val="clear" w:color="auto" w:fill="E6E6E6"/>
          </w:tcPr>
          <w:p w14:paraId="2C7E7090" w14:textId="77777777" w:rsidR="00FF0FC2" w:rsidRPr="003E76E7" w:rsidRDefault="00FF0FC2" w:rsidP="00C4292D">
            <w:pPr>
              <w:tabs>
                <w:tab w:val="left" w:pos="709"/>
              </w:tabs>
              <w:spacing w:before="60" w:after="0"/>
              <w:rPr>
                <w:rFonts w:ascii="Arial" w:hAnsi="Arial"/>
                <w:sz w:val="16"/>
                <w:szCs w:val="16"/>
              </w:rPr>
            </w:pPr>
            <w:r w:rsidRPr="003E76E7">
              <w:rPr>
                <w:rFonts w:ascii="Arial" w:hAnsi="Arial"/>
                <w:b/>
                <w:sz w:val="16"/>
                <w:szCs w:val="16"/>
              </w:rPr>
              <w:t>Program 2.8</w:t>
            </w:r>
            <w:r w:rsidRPr="003E76E7">
              <w:rPr>
                <w:rFonts w:ascii="Arial" w:hAnsi="Arial"/>
                <w:sz w:val="16"/>
                <w:szCs w:val="16"/>
              </w:rPr>
              <w:t xml:space="preserve"> </w:t>
            </w:r>
            <w:r w:rsidRPr="003E76E7">
              <w:rPr>
                <w:rFonts w:ascii="Arial" w:hAnsi="Arial"/>
                <w:b/>
                <w:sz w:val="16"/>
                <w:szCs w:val="16"/>
              </w:rPr>
              <w:t>Objective</w:t>
            </w:r>
          </w:p>
          <w:p w14:paraId="09B10295" w14:textId="77777777" w:rsidR="00FF0FC2" w:rsidRPr="003E76E7" w:rsidRDefault="00FF0FC2" w:rsidP="00C4292D">
            <w:pPr>
              <w:tabs>
                <w:tab w:val="left" w:pos="709"/>
              </w:tabs>
              <w:spacing w:before="60" w:after="60"/>
              <w:jc w:val="both"/>
              <w:rPr>
                <w:rFonts w:ascii="Arial" w:hAnsi="Arial"/>
                <w:sz w:val="16"/>
                <w:szCs w:val="16"/>
              </w:rPr>
            </w:pPr>
            <w:r w:rsidRPr="003E76E7">
              <w:rPr>
                <w:rFonts w:ascii="Arial" w:eastAsia="Calibri" w:hAnsi="Arial"/>
                <w:sz w:val="16"/>
                <w:szCs w:val="16"/>
                <w:lang w:val="en-AU" w:eastAsia="en-US"/>
              </w:rPr>
              <w:t>To design, integrate and prepare military capability that meets the current and future requirements of Government, and conduct joint, combined and interagency operations as directed by Government.</w:t>
            </w:r>
          </w:p>
        </w:tc>
      </w:tr>
      <w:tr w:rsidR="00FF0FC2" w:rsidRPr="003E76E7" w14:paraId="570D7136" w14:textId="77777777" w:rsidTr="001D6B09">
        <w:tblPrEx>
          <w:shd w:val="clear" w:color="auto" w:fill="auto"/>
          <w:tblLook w:val="04A0" w:firstRow="1" w:lastRow="0" w:firstColumn="1" w:lastColumn="0" w:noHBand="0" w:noVBand="1"/>
        </w:tblPrEx>
        <w:trPr>
          <w:trHeight w:val="312"/>
        </w:trPr>
        <w:tc>
          <w:tcPr>
            <w:tcW w:w="1821" w:type="dxa"/>
            <w:tcBorders>
              <w:bottom w:val="single" w:sz="4" w:space="0" w:color="auto"/>
            </w:tcBorders>
          </w:tcPr>
          <w:p w14:paraId="7208CCBA" w14:textId="6E92B7EE" w:rsidR="00FF0FC2" w:rsidRPr="003E76E7" w:rsidRDefault="00FF0FC2" w:rsidP="00C4292D">
            <w:pPr>
              <w:tabs>
                <w:tab w:val="left" w:pos="709"/>
              </w:tabs>
              <w:spacing w:before="60" w:after="60"/>
              <w:rPr>
                <w:rFonts w:ascii="Arial" w:hAnsi="Arial"/>
                <w:b/>
                <w:color w:val="000000"/>
                <w:sz w:val="16"/>
                <w:szCs w:val="16"/>
              </w:rPr>
            </w:pPr>
            <w:r w:rsidRPr="003E76E7">
              <w:rPr>
                <w:rFonts w:ascii="Arial" w:hAnsi="Arial"/>
                <w:b/>
                <w:color w:val="000000"/>
                <w:sz w:val="16"/>
                <w:szCs w:val="16"/>
              </w:rPr>
              <w:t>Key Activities</w:t>
            </w:r>
            <w:r w:rsidR="003C0ED5" w:rsidRPr="003E76E7">
              <w:rPr>
                <w:rFonts w:ascii="Arial" w:hAnsi="Arial"/>
                <w:b/>
                <w:color w:val="000000"/>
                <w:sz w:val="16"/>
                <w:szCs w:val="16"/>
              </w:rPr>
              <w:t xml:space="preserve"> </w:t>
            </w:r>
            <w:r w:rsidR="003C0ED5" w:rsidRPr="003E76E7">
              <w:rPr>
                <w:rFonts w:ascii="Arial" w:hAnsi="Arial"/>
                <w:b/>
                <w:color w:val="000000"/>
                <w:sz w:val="16"/>
                <w:szCs w:val="16"/>
                <w:vertAlign w:val="superscript"/>
              </w:rPr>
              <w:t>[a]</w:t>
            </w:r>
          </w:p>
        </w:tc>
        <w:tc>
          <w:tcPr>
            <w:tcW w:w="6477" w:type="dxa"/>
            <w:gridSpan w:val="2"/>
            <w:tcBorders>
              <w:bottom w:val="single" w:sz="4" w:space="0" w:color="auto"/>
            </w:tcBorders>
          </w:tcPr>
          <w:p w14:paraId="56A2FFBE" w14:textId="77777777" w:rsidR="00FF0FC2" w:rsidRPr="003E76E7" w:rsidRDefault="00FF0FC2" w:rsidP="00C4292D">
            <w:pPr>
              <w:tabs>
                <w:tab w:val="left" w:pos="343"/>
              </w:tabs>
              <w:spacing w:before="60" w:after="60"/>
              <w:rPr>
                <w:rFonts w:ascii="Arial" w:hAnsi="Arial"/>
                <w:bCs/>
                <w:color w:val="000000"/>
                <w:sz w:val="16"/>
                <w:szCs w:val="16"/>
                <w:lang w:val="en-AU"/>
              </w:rPr>
            </w:pPr>
            <w:r w:rsidRPr="003E76E7">
              <w:rPr>
                <w:rFonts w:ascii="Arial" w:hAnsi="Arial"/>
                <w:bCs/>
                <w:color w:val="000000"/>
                <w:sz w:val="16"/>
                <w:szCs w:val="16"/>
                <w:lang w:val="en-AU"/>
              </w:rPr>
              <w:t>This program will be achieved through the following activities:</w:t>
            </w:r>
          </w:p>
          <w:p w14:paraId="12D7D356" w14:textId="77777777" w:rsidR="00E909B5" w:rsidRPr="003E76E7" w:rsidRDefault="00E909B5" w:rsidP="00C4292D">
            <w:pPr>
              <w:tabs>
                <w:tab w:val="left" w:pos="343"/>
              </w:tabs>
              <w:spacing w:before="60" w:after="60"/>
              <w:rPr>
                <w:rFonts w:ascii="Arial" w:hAnsi="Arial"/>
                <w:b/>
                <w:sz w:val="16"/>
                <w:szCs w:val="16"/>
                <w:lang w:val="en-AU"/>
              </w:rPr>
            </w:pPr>
            <w:r w:rsidRPr="003E76E7">
              <w:rPr>
                <w:rFonts w:ascii="Arial" w:hAnsi="Arial"/>
                <w:b/>
                <w:sz w:val="16"/>
                <w:szCs w:val="16"/>
                <w:lang w:val="en-AU"/>
              </w:rPr>
              <w:t xml:space="preserve">1. Conduct domestic and international operations and exercises to defend Australia and its national interests. </w:t>
            </w:r>
          </w:p>
          <w:p w14:paraId="3AFB558A" w14:textId="071DD2A1" w:rsidR="00FF0FC2" w:rsidRPr="003E76E7" w:rsidRDefault="00E909B5" w:rsidP="00C4292D">
            <w:pPr>
              <w:tabs>
                <w:tab w:val="left" w:pos="343"/>
              </w:tabs>
              <w:spacing w:before="60" w:after="60"/>
              <w:rPr>
                <w:rFonts w:ascii="Arial" w:hAnsi="Arial"/>
                <w:i/>
                <w:color w:val="000000"/>
                <w:sz w:val="16"/>
                <w:szCs w:val="16"/>
              </w:rPr>
            </w:pPr>
            <w:r w:rsidRPr="003E76E7">
              <w:rPr>
                <w:rFonts w:ascii="Arial" w:hAnsi="Arial"/>
                <w:b/>
                <w:sz w:val="16"/>
                <w:szCs w:val="16"/>
                <w:lang w:val="en-AU"/>
              </w:rPr>
              <w:t>6. Deliver future capability</w:t>
            </w:r>
            <w:r w:rsidR="00FE5A03">
              <w:rPr>
                <w:rFonts w:ascii="Arial" w:hAnsi="Arial"/>
                <w:b/>
                <w:sz w:val="16"/>
                <w:szCs w:val="16"/>
                <w:lang w:val="en-AU"/>
              </w:rPr>
              <w:t>.</w:t>
            </w:r>
          </w:p>
        </w:tc>
      </w:tr>
      <w:tr w:rsidR="00FF0FC2" w:rsidRPr="003E76E7" w14:paraId="643FBB92" w14:textId="77777777" w:rsidTr="001D6B09">
        <w:trPr>
          <w:trHeight w:val="100"/>
        </w:trPr>
        <w:tc>
          <w:tcPr>
            <w:tcW w:w="1821" w:type="dxa"/>
            <w:tcBorders>
              <w:top w:val="single" w:sz="4" w:space="0" w:color="auto"/>
              <w:bottom w:val="single" w:sz="4" w:space="0" w:color="auto"/>
              <w:right w:val="single" w:sz="4" w:space="0" w:color="auto"/>
            </w:tcBorders>
          </w:tcPr>
          <w:p w14:paraId="39BD1BE7" w14:textId="77777777" w:rsidR="00FF0FC2" w:rsidRPr="003E76E7" w:rsidRDefault="00FF0FC2" w:rsidP="00C4292D">
            <w:pPr>
              <w:tabs>
                <w:tab w:val="left" w:pos="709"/>
              </w:tabs>
              <w:spacing w:before="60" w:after="60"/>
              <w:rPr>
                <w:rFonts w:ascii="Arial" w:hAnsi="Arial"/>
                <w:color w:val="000000"/>
                <w:sz w:val="16"/>
                <w:szCs w:val="16"/>
              </w:rPr>
            </w:pPr>
            <w:r w:rsidRPr="003E76E7">
              <w:rPr>
                <w:rFonts w:ascii="Arial" w:hAnsi="Arial"/>
                <w:b/>
                <w:color w:val="000000"/>
                <w:sz w:val="16"/>
                <w:szCs w:val="16"/>
              </w:rPr>
              <w:t>Year</w:t>
            </w:r>
          </w:p>
        </w:tc>
        <w:tc>
          <w:tcPr>
            <w:tcW w:w="3143" w:type="dxa"/>
            <w:tcBorders>
              <w:top w:val="single" w:sz="4" w:space="0" w:color="auto"/>
              <w:left w:val="single" w:sz="4" w:space="0" w:color="auto"/>
              <w:bottom w:val="single" w:sz="4" w:space="0" w:color="auto"/>
              <w:right w:val="single" w:sz="4" w:space="0" w:color="auto"/>
            </w:tcBorders>
          </w:tcPr>
          <w:p w14:paraId="26E44D5A" w14:textId="7D228F93" w:rsidR="00FF0FC2" w:rsidRPr="003E76E7" w:rsidRDefault="00AD14EC" w:rsidP="00C4292D">
            <w:pPr>
              <w:tabs>
                <w:tab w:val="left" w:pos="709"/>
              </w:tabs>
              <w:spacing w:before="60" w:after="60"/>
              <w:rPr>
                <w:rFonts w:ascii="Arial" w:hAnsi="Arial"/>
                <w:color w:val="000000"/>
              </w:rPr>
            </w:pPr>
            <w:r w:rsidRPr="003E76E7">
              <w:rPr>
                <w:rFonts w:ascii="Arial" w:hAnsi="Arial"/>
                <w:b/>
                <w:color w:val="000000"/>
                <w:sz w:val="16"/>
                <w:szCs w:val="16"/>
              </w:rPr>
              <w:t>Performance Measures</w:t>
            </w:r>
          </w:p>
        </w:tc>
        <w:tc>
          <w:tcPr>
            <w:tcW w:w="3334" w:type="dxa"/>
            <w:tcBorders>
              <w:top w:val="single" w:sz="4" w:space="0" w:color="auto"/>
              <w:left w:val="single" w:sz="4" w:space="0" w:color="auto"/>
              <w:bottom w:val="single" w:sz="4" w:space="0" w:color="auto"/>
            </w:tcBorders>
          </w:tcPr>
          <w:p w14:paraId="1F7846C5" w14:textId="77777777" w:rsidR="00FF0FC2" w:rsidRPr="003E76E7" w:rsidRDefault="00FF0FC2" w:rsidP="00C4292D">
            <w:pPr>
              <w:tabs>
                <w:tab w:val="left" w:pos="709"/>
              </w:tabs>
              <w:spacing w:before="60" w:after="60"/>
              <w:rPr>
                <w:rFonts w:ascii="Arial" w:hAnsi="Arial"/>
                <w:i/>
                <w:color w:val="000000"/>
                <w:sz w:val="16"/>
                <w:szCs w:val="16"/>
              </w:rPr>
            </w:pPr>
            <w:r w:rsidRPr="003E76E7">
              <w:rPr>
                <w:rFonts w:ascii="Arial" w:hAnsi="Arial"/>
                <w:b/>
                <w:color w:val="000000"/>
                <w:sz w:val="16"/>
                <w:szCs w:val="16"/>
              </w:rPr>
              <w:t>Expected Performance Results</w:t>
            </w:r>
          </w:p>
        </w:tc>
      </w:tr>
      <w:tr w:rsidR="00E909B5" w:rsidRPr="003E76E7" w14:paraId="79FC42D7" w14:textId="77777777" w:rsidTr="001D6B09">
        <w:trPr>
          <w:trHeight w:val="470"/>
        </w:trPr>
        <w:tc>
          <w:tcPr>
            <w:tcW w:w="1821" w:type="dxa"/>
            <w:vMerge w:val="restart"/>
            <w:tcBorders>
              <w:top w:val="single" w:sz="4" w:space="0" w:color="auto"/>
              <w:right w:val="single" w:sz="4" w:space="0" w:color="auto"/>
            </w:tcBorders>
          </w:tcPr>
          <w:p w14:paraId="7C0BBF3B" w14:textId="77777777" w:rsidR="00E909B5" w:rsidRPr="003E76E7" w:rsidRDefault="00E909B5" w:rsidP="00C4292D">
            <w:pPr>
              <w:tabs>
                <w:tab w:val="left" w:pos="709"/>
              </w:tabs>
              <w:spacing w:before="0" w:after="0"/>
              <w:rPr>
                <w:rFonts w:ascii="Arial" w:hAnsi="Arial"/>
                <w:color w:val="000000"/>
                <w:sz w:val="16"/>
                <w:szCs w:val="16"/>
              </w:rPr>
            </w:pPr>
            <w:r w:rsidRPr="003E76E7">
              <w:rPr>
                <w:rFonts w:ascii="Arial" w:hAnsi="Arial"/>
                <w:color w:val="000000"/>
                <w:sz w:val="16"/>
                <w:szCs w:val="16"/>
              </w:rPr>
              <w:t>Current Year</w:t>
            </w:r>
          </w:p>
          <w:p w14:paraId="69B4298D" w14:textId="31EAF86F" w:rsidR="00E909B5" w:rsidRPr="003E76E7" w:rsidRDefault="00E909B5" w:rsidP="00C4292D">
            <w:pPr>
              <w:tabs>
                <w:tab w:val="left" w:pos="709"/>
              </w:tabs>
              <w:spacing w:before="0" w:after="0"/>
              <w:rPr>
                <w:rFonts w:ascii="Arial" w:hAnsi="Arial"/>
                <w:color w:val="000000"/>
                <w:sz w:val="16"/>
                <w:szCs w:val="16"/>
              </w:rPr>
            </w:pPr>
            <w:r w:rsidRPr="003E76E7">
              <w:rPr>
                <w:rFonts w:ascii="Arial" w:hAnsi="Arial"/>
                <w:color w:val="000000"/>
                <w:sz w:val="16"/>
                <w:szCs w:val="16"/>
              </w:rPr>
              <w:t xml:space="preserve">2025-26 </w:t>
            </w:r>
            <w:r w:rsidRPr="003E76E7">
              <w:rPr>
                <w:rFonts w:ascii="Arial" w:hAnsi="Arial"/>
                <w:color w:val="000000"/>
                <w:sz w:val="16"/>
                <w:szCs w:val="16"/>
                <w:vertAlign w:val="superscript"/>
              </w:rPr>
              <w:t>[</w:t>
            </w:r>
            <w:r w:rsidR="003C0ED5" w:rsidRPr="003E76E7">
              <w:rPr>
                <w:rFonts w:ascii="Arial" w:hAnsi="Arial"/>
                <w:color w:val="000000"/>
                <w:sz w:val="16"/>
                <w:szCs w:val="16"/>
                <w:vertAlign w:val="superscript"/>
              </w:rPr>
              <w:t>b</w:t>
            </w:r>
            <w:r w:rsidRPr="003E76E7">
              <w:rPr>
                <w:rFonts w:ascii="Arial" w:hAnsi="Arial"/>
                <w:color w:val="000000"/>
                <w:sz w:val="16"/>
                <w:szCs w:val="16"/>
                <w:vertAlign w:val="superscript"/>
              </w:rPr>
              <w:t>]</w:t>
            </w:r>
          </w:p>
        </w:tc>
        <w:tc>
          <w:tcPr>
            <w:tcW w:w="3143" w:type="dxa"/>
            <w:tcBorders>
              <w:top w:val="single" w:sz="4" w:space="0" w:color="auto"/>
              <w:left w:val="single" w:sz="4" w:space="0" w:color="auto"/>
              <w:bottom w:val="single" w:sz="4" w:space="0" w:color="auto"/>
              <w:right w:val="single" w:sz="4" w:space="0" w:color="auto"/>
            </w:tcBorders>
          </w:tcPr>
          <w:p w14:paraId="3FAAEE73" w14:textId="511061F8" w:rsidR="00E909B5" w:rsidRPr="003E76E7" w:rsidRDefault="00E909B5" w:rsidP="00C4292D">
            <w:pPr>
              <w:tabs>
                <w:tab w:val="left" w:pos="709"/>
              </w:tabs>
              <w:spacing w:before="0" w:after="60"/>
              <w:rPr>
                <w:rFonts w:ascii="Arial" w:hAnsi="Arial"/>
                <w:color w:val="000000"/>
                <w:sz w:val="16"/>
                <w:szCs w:val="16"/>
              </w:rPr>
            </w:pPr>
            <w:r w:rsidRPr="003E76E7">
              <w:rPr>
                <w:rFonts w:ascii="Arial" w:hAnsi="Arial"/>
                <w:sz w:val="16"/>
                <w:szCs w:val="16"/>
                <w:lang w:val="en-AU"/>
              </w:rPr>
              <w:t>1.1: Defence conducts operations as directed by Government to achieve Defence’s mission.</w:t>
            </w:r>
          </w:p>
        </w:tc>
        <w:tc>
          <w:tcPr>
            <w:tcW w:w="3334" w:type="dxa"/>
            <w:tcBorders>
              <w:top w:val="single" w:sz="4" w:space="0" w:color="auto"/>
              <w:left w:val="single" w:sz="4" w:space="0" w:color="auto"/>
              <w:bottom w:val="single" w:sz="4" w:space="0" w:color="auto"/>
            </w:tcBorders>
          </w:tcPr>
          <w:p w14:paraId="7B670082" w14:textId="77777777" w:rsidR="00E909B5" w:rsidRPr="003E76E7" w:rsidRDefault="00E909B5" w:rsidP="00C4292D">
            <w:pPr>
              <w:tabs>
                <w:tab w:val="left" w:pos="709"/>
              </w:tabs>
              <w:spacing w:before="0" w:after="0"/>
              <w:rPr>
                <w:rFonts w:ascii="Arial" w:hAnsi="Arial"/>
                <w:sz w:val="16"/>
                <w:szCs w:val="16"/>
                <w:lang w:val="en-AU"/>
              </w:rPr>
            </w:pPr>
            <w:r w:rsidRPr="003E76E7">
              <w:rPr>
                <w:rFonts w:ascii="Arial" w:hAnsi="Arial"/>
                <w:sz w:val="16"/>
                <w:szCs w:val="16"/>
                <w:lang w:val="en-AU"/>
              </w:rPr>
              <w:t>100 per cent of operations conducted or being conducted as directed by Government.</w:t>
            </w:r>
          </w:p>
          <w:p w14:paraId="2B29B472" w14:textId="1A89EB71" w:rsidR="00E909B5" w:rsidRPr="003E76E7" w:rsidRDefault="00F04C47" w:rsidP="00C4292D">
            <w:pPr>
              <w:tabs>
                <w:tab w:val="left" w:pos="709"/>
              </w:tabs>
              <w:spacing w:before="0" w:after="60"/>
              <w:jc w:val="right"/>
              <w:rPr>
                <w:rFonts w:ascii="Arial" w:hAnsi="Arial"/>
                <w:i/>
                <w:color w:val="000000"/>
                <w:sz w:val="16"/>
                <w:szCs w:val="16"/>
              </w:rPr>
            </w:pPr>
            <w:r w:rsidRPr="003E76E7">
              <w:rPr>
                <w:rFonts w:ascii="Arial" w:hAnsi="Arial"/>
                <w:i/>
                <w:sz w:val="16"/>
                <w:szCs w:val="16"/>
                <w:lang w:val="en-AU"/>
              </w:rPr>
              <w:t>Expected to be achieved</w:t>
            </w:r>
            <w:r w:rsidR="00797E95" w:rsidRPr="003E76E7">
              <w:rPr>
                <w:rFonts w:ascii="Arial" w:hAnsi="Arial"/>
                <w:i/>
                <w:sz w:val="16"/>
                <w:szCs w:val="16"/>
                <w:lang w:val="en-AU"/>
              </w:rPr>
              <w:t>.</w:t>
            </w:r>
          </w:p>
        </w:tc>
      </w:tr>
      <w:tr w:rsidR="00E909B5" w:rsidRPr="003E76E7" w14:paraId="441D979D" w14:textId="77777777" w:rsidTr="001D6B09">
        <w:trPr>
          <w:trHeight w:val="470"/>
        </w:trPr>
        <w:tc>
          <w:tcPr>
            <w:tcW w:w="1821" w:type="dxa"/>
            <w:vMerge/>
            <w:tcBorders>
              <w:right w:val="single" w:sz="4" w:space="0" w:color="auto"/>
            </w:tcBorders>
          </w:tcPr>
          <w:p w14:paraId="5D9D329B" w14:textId="77777777" w:rsidR="00E909B5" w:rsidRPr="003E76E7" w:rsidRDefault="00E909B5" w:rsidP="00C4292D">
            <w:pPr>
              <w:tabs>
                <w:tab w:val="left" w:pos="709"/>
              </w:tabs>
              <w:spacing w:before="60" w:after="60"/>
              <w:rPr>
                <w:rFonts w:ascii="Arial" w:hAnsi="Arial"/>
                <w:color w:val="000000"/>
                <w:sz w:val="16"/>
                <w:szCs w:val="16"/>
              </w:rPr>
            </w:pPr>
          </w:p>
        </w:tc>
        <w:tc>
          <w:tcPr>
            <w:tcW w:w="3143" w:type="dxa"/>
            <w:tcBorders>
              <w:top w:val="single" w:sz="4" w:space="0" w:color="auto"/>
              <w:left w:val="single" w:sz="4" w:space="0" w:color="auto"/>
              <w:bottom w:val="single" w:sz="4" w:space="0" w:color="auto"/>
              <w:right w:val="single" w:sz="4" w:space="0" w:color="auto"/>
            </w:tcBorders>
          </w:tcPr>
          <w:p w14:paraId="72AB51ED" w14:textId="04A02A00" w:rsidR="00E909B5" w:rsidRPr="003E76E7" w:rsidRDefault="00E909B5" w:rsidP="00C4292D">
            <w:pPr>
              <w:tabs>
                <w:tab w:val="left" w:pos="709"/>
              </w:tabs>
              <w:spacing w:before="60" w:after="60"/>
              <w:rPr>
                <w:rFonts w:ascii="Arial" w:hAnsi="Arial"/>
                <w:color w:val="000000"/>
                <w:sz w:val="16"/>
                <w:szCs w:val="16"/>
              </w:rPr>
            </w:pPr>
            <w:r w:rsidRPr="003E76E7">
              <w:rPr>
                <w:rFonts w:ascii="Arial" w:hAnsi="Arial"/>
                <w:sz w:val="16"/>
                <w:szCs w:val="16"/>
                <w:lang w:val="en-AU"/>
              </w:rPr>
              <w:t>1.2: Defence maintains ready forces through the conduct of exercises.</w:t>
            </w:r>
          </w:p>
        </w:tc>
        <w:tc>
          <w:tcPr>
            <w:tcW w:w="3334" w:type="dxa"/>
            <w:tcBorders>
              <w:top w:val="single" w:sz="4" w:space="0" w:color="auto"/>
              <w:left w:val="single" w:sz="4" w:space="0" w:color="auto"/>
              <w:bottom w:val="single" w:sz="4" w:space="0" w:color="auto"/>
            </w:tcBorders>
          </w:tcPr>
          <w:p w14:paraId="18390547" w14:textId="77777777" w:rsidR="00E909B5" w:rsidRPr="003E76E7" w:rsidRDefault="00E909B5" w:rsidP="00C4292D">
            <w:pPr>
              <w:spacing w:before="60" w:after="60"/>
              <w:rPr>
                <w:rFonts w:ascii="Arial" w:hAnsi="Arial"/>
                <w:color w:val="000000"/>
                <w:sz w:val="16"/>
                <w:szCs w:val="16"/>
                <w:lang w:val="en-AU"/>
              </w:rPr>
            </w:pPr>
            <w:r w:rsidRPr="003E76E7">
              <w:rPr>
                <w:rFonts w:ascii="Arial" w:hAnsi="Arial"/>
                <w:color w:val="000000"/>
                <w:sz w:val="16"/>
                <w:szCs w:val="16"/>
                <w:lang w:val="en-AU"/>
              </w:rPr>
              <w:t>100 per cent of exercises conducted achieve planned objectives.</w:t>
            </w:r>
          </w:p>
          <w:p w14:paraId="202199FF" w14:textId="381A0BCB" w:rsidR="00E909B5" w:rsidRPr="003E76E7" w:rsidRDefault="00F04C47" w:rsidP="00C4292D">
            <w:pPr>
              <w:tabs>
                <w:tab w:val="left" w:pos="709"/>
              </w:tabs>
              <w:spacing w:before="60" w:after="60"/>
              <w:jc w:val="right"/>
              <w:rPr>
                <w:rFonts w:ascii="Arial" w:hAnsi="Arial"/>
                <w:color w:val="000000"/>
                <w:sz w:val="16"/>
                <w:szCs w:val="16"/>
              </w:rPr>
            </w:pPr>
            <w:r w:rsidRPr="003E76E7">
              <w:rPr>
                <w:rFonts w:ascii="Arial" w:hAnsi="Arial"/>
                <w:i/>
                <w:sz w:val="16"/>
                <w:szCs w:val="16"/>
                <w:lang w:val="en-AU"/>
              </w:rPr>
              <w:t>Expected to be substantially achieved</w:t>
            </w:r>
            <w:r w:rsidR="00797E95" w:rsidRPr="003E76E7">
              <w:rPr>
                <w:rFonts w:ascii="Arial" w:hAnsi="Arial"/>
                <w:i/>
                <w:sz w:val="16"/>
                <w:szCs w:val="16"/>
                <w:lang w:val="en-AU"/>
              </w:rPr>
              <w:t>.</w:t>
            </w:r>
          </w:p>
        </w:tc>
      </w:tr>
      <w:tr w:rsidR="00E909B5" w:rsidRPr="003E76E7" w14:paraId="59CC4465" w14:textId="77777777" w:rsidTr="001D6B09">
        <w:trPr>
          <w:trHeight w:val="470"/>
        </w:trPr>
        <w:tc>
          <w:tcPr>
            <w:tcW w:w="1821" w:type="dxa"/>
            <w:vMerge/>
            <w:tcBorders>
              <w:right w:val="single" w:sz="4" w:space="0" w:color="auto"/>
            </w:tcBorders>
          </w:tcPr>
          <w:p w14:paraId="31BA98A2" w14:textId="77777777" w:rsidR="00E909B5" w:rsidRPr="003E76E7" w:rsidRDefault="00E909B5" w:rsidP="00C4292D">
            <w:pPr>
              <w:tabs>
                <w:tab w:val="left" w:pos="709"/>
              </w:tabs>
              <w:spacing w:before="60" w:after="60"/>
              <w:rPr>
                <w:rFonts w:ascii="Arial" w:hAnsi="Arial"/>
                <w:color w:val="000000"/>
                <w:sz w:val="16"/>
                <w:szCs w:val="16"/>
              </w:rPr>
            </w:pPr>
          </w:p>
        </w:tc>
        <w:tc>
          <w:tcPr>
            <w:tcW w:w="3143" w:type="dxa"/>
            <w:tcBorders>
              <w:top w:val="single" w:sz="4" w:space="0" w:color="auto"/>
              <w:left w:val="single" w:sz="4" w:space="0" w:color="auto"/>
              <w:bottom w:val="single" w:sz="4" w:space="0" w:color="auto"/>
              <w:right w:val="single" w:sz="4" w:space="0" w:color="auto"/>
            </w:tcBorders>
          </w:tcPr>
          <w:p w14:paraId="5E7E5D1C" w14:textId="1C693D4A" w:rsidR="00E909B5" w:rsidRPr="003E76E7" w:rsidRDefault="00E909B5" w:rsidP="00C4292D">
            <w:pPr>
              <w:tabs>
                <w:tab w:val="left" w:pos="709"/>
              </w:tabs>
              <w:spacing w:before="60" w:after="60"/>
              <w:rPr>
                <w:rFonts w:ascii="Arial" w:hAnsi="Arial"/>
                <w:sz w:val="16"/>
                <w:szCs w:val="16"/>
                <w:lang w:val="en-AU"/>
              </w:rPr>
            </w:pPr>
            <w:r w:rsidRPr="003E76E7">
              <w:rPr>
                <w:rFonts w:ascii="Arial" w:hAnsi="Arial"/>
                <w:sz w:val="16"/>
                <w:szCs w:val="16"/>
                <w:lang w:val="en-AU"/>
              </w:rPr>
              <w:t>1.3</w:t>
            </w:r>
            <w:r w:rsidR="00C23CD1" w:rsidRPr="003E76E7">
              <w:rPr>
                <w:rFonts w:ascii="Arial" w:hAnsi="Arial"/>
                <w:sz w:val="16"/>
                <w:szCs w:val="16"/>
                <w:lang w:val="en-AU"/>
              </w:rPr>
              <w:t>:</w:t>
            </w:r>
            <w:r w:rsidRPr="003E76E7">
              <w:rPr>
                <w:rFonts w:ascii="Arial" w:hAnsi="Arial"/>
                <w:sz w:val="16"/>
                <w:szCs w:val="16"/>
                <w:lang w:val="en-AU"/>
              </w:rPr>
              <w:t xml:space="preserve"> Defence assists with domestic crisis and emergency response as directed by Government. </w:t>
            </w:r>
          </w:p>
        </w:tc>
        <w:tc>
          <w:tcPr>
            <w:tcW w:w="3334" w:type="dxa"/>
            <w:tcBorders>
              <w:top w:val="single" w:sz="4" w:space="0" w:color="auto"/>
              <w:left w:val="single" w:sz="4" w:space="0" w:color="auto"/>
              <w:bottom w:val="single" w:sz="4" w:space="0" w:color="auto"/>
            </w:tcBorders>
          </w:tcPr>
          <w:p w14:paraId="292FC39D" w14:textId="77777777" w:rsidR="00E909B5" w:rsidRPr="003E76E7" w:rsidRDefault="00E909B5" w:rsidP="00C4292D">
            <w:pPr>
              <w:spacing w:before="60" w:after="60"/>
              <w:rPr>
                <w:rFonts w:ascii="Arial" w:hAnsi="Arial"/>
                <w:color w:val="000000"/>
                <w:sz w:val="16"/>
                <w:szCs w:val="16"/>
                <w:lang w:val="en-AU"/>
              </w:rPr>
            </w:pPr>
            <w:r w:rsidRPr="003E76E7">
              <w:rPr>
                <w:rFonts w:ascii="Arial" w:hAnsi="Arial"/>
                <w:color w:val="000000"/>
                <w:sz w:val="16"/>
                <w:szCs w:val="16"/>
                <w:lang w:val="en-AU"/>
              </w:rPr>
              <w:t xml:space="preserve">Defence responds to 100 per cent of requests for assistance as directed by Government. </w:t>
            </w:r>
          </w:p>
          <w:p w14:paraId="30C6E858" w14:textId="28702DC3" w:rsidR="00E909B5" w:rsidRPr="003E76E7" w:rsidRDefault="00E909B5" w:rsidP="00C4292D">
            <w:pPr>
              <w:tabs>
                <w:tab w:val="left" w:pos="709"/>
              </w:tabs>
              <w:spacing w:before="60" w:after="60"/>
              <w:jc w:val="right"/>
              <w:rPr>
                <w:rFonts w:ascii="Arial" w:hAnsi="Arial"/>
                <w:sz w:val="16"/>
                <w:szCs w:val="16"/>
                <w:lang w:val="en-AU"/>
              </w:rPr>
            </w:pPr>
            <w:r w:rsidRPr="003E76E7">
              <w:rPr>
                <w:rFonts w:ascii="Arial" w:hAnsi="Arial"/>
                <w:i/>
                <w:sz w:val="16"/>
                <w:szCs w:val="16"/>
                <w:lang w:val="en-AU"/>
              </w:rPr>
              <w:t xml:space="preserve">Expected to be achieved. </w:t>
            </w:r>
          </w:p>
        </w:tc>
      </w:tr>
      <w:tr w:rsidR="00E909B5" w:rsidRPr="003E76E7" w14:paraId="53596542" w14:textId="77777777" w:rsidTr="001D6B09">
        <w:trPr>
          <w:trHeight w:val="470"/>
        </w:trPr>
        <w:tc>
          <w:tcPr>
            <w:tcW w:w="1821" w:type="dxa"/>
            <w:vMerge/>
            <w:tcBorders>
              <w:bottom w:val="single" w:sz="4" w:space="0" w:color="auto"/>
              <w:right w:val="single" w:sz="4" w:space="0" w:color="auto"/>
            </w:tcBorders>
          </w:tcPr>
          <w:p w14:paraId="3E4E42EB" w14:textId="77777777" w:rsidR="00E909B5" w:rsidRPr="003E76E7" w:rsidRDefault="00E909B5" w:rsidP="00C4292D">
            <w:pPr>
              <w:tabs>
                <w:tab w:val="left" w:pos="709"/>
              </w:tabs>
              <w:spacing w:before="60" w:after="60"/>
              <w:rPr>
                <w:rFonts w:ascii="Arial" w:hAnsi="Arial"/>
                <w:color w:val="000000"/>
                <w:sz w:val="16"/>
                <w:szCs w:val="16"/>
              </w:rPr>
            </w:pPr>
          </w:p>
        </w:tc>
        <w:tc>
          <w:tcPr>
            <w:tcW w:w="3143" w:type="dxa"/>
            <w:tcBorders>
              <w:top w:val="single" w:sz="4" w:space="0" w:color="auto"/>
              <w:left w:val="single" w:sz="4" w:space="0" w:color="auto"/>
              <w:bottom w:val="single" w:sz="4" w:space="0" w:color="auto"/>
              <w:right w:val="single" w:sz="4" w:space="0" w:color="auto"/>
            </w:tcBorders>
          </w:tcPr>
          <w:p w14:paraId="5B6A05E4" w14:textId="47A606A0" w:rsidR="00E909B5" w:rsidRPr="003E76E7" w:rsidRDefault="00E909B5" w:rsidP="00C4292D">
            <w:pPr>
              <w:tabs>
                <w:tab w:val="left" w:pos="709"/>
              </w:tabs>
              <w:spacing w:before="60" w:after="60"/>
              <w:rPr>
                <w:rFonts w:ascii="Arial" w:hAnsi="Arial"/>
                <w:color w:val="000000"/>
                <w:sz w:val="16"/>
                <w:szCs w:val="16"/>
              </w:rPr>
            </w:pPr>
            <w:r w:rsidRPr="003E76E7">
              <w:rPr>
                <w:rFonts w:ascii="Arial" w:hAnsi="Arial"/>
                <w:sz w:val="16"/>
                <w:szCs w:val="16"/>
                <w:lang w:val="en-AU"/>
              </w:rPr>
              <w:t>6.1: Defence is delivering the right future capability at the right time within the Integrated Investment Program to ensure it is equipped to respond to future security challenges as directed by the National Defence Strategy.</w:t>
            </w:r>
          </w:p>
        </w:tc>
        <w:tc>
          <w:tcPr>
            <w:tcW w:w="3334" w:type="dxa"/>
            <w:tcBorders>
              <w:top w:val="single" w:sz="4" w:space="0" w:color="auto"/>
              <w:left w:val="single" w:sz="4" w:space="0" w:color="auto"/>
              <w:bottom w:val="single" w:sz="4" w:space="0" w:color="auto"/>
            </w:tcBorders>
          </w:tcPr>
          <w:p w14:paraId="146060E7" w14:textId="77777777" w:rsidR="00E909B5" w:rsidRPr="003E76E7" w:rsidRDefault="00E909B5" w:rsidP="00C4292D">
            <w:pPr>
              <w:tabs>
                <w:tab w:val="left" w:pos="709"/>
              </w:tabs>
              <w:spacing w:before="60" w:after="60"/>
              <w:rPr>
                <w:rFonts w:ascii="Arial" w:hAnsi="Arial"/>
                <w:sz w:val="16"/>
                <w:szCs w:val="16"/>
                <w:lang w:val="en-AU"/>
              </w:rPr>
            </w:pPr>
            <w:r w:rsidRPr="003E76E7">
              <w:rPr>
                <w:rFonts w:ascii="Arial" w:hAnsi="Arial"/>
                <w:sz w:val="16"/>
                <w:szCs w:val="16"/>
                <w:lang w:val="en-AU"/>
              </w:rPr>
              <w:t>80 per cent or more of approved Integrated Investment Program projects across all domains are on track to deliver within Government approved scope, schedule, and cost (including contingency).</w:t>
            </w:r>
          </w:p>
          <w:p w14:paraId="3C20DA09" w14:textId="5A4337FF" w:rsidR="00E909B5" w:rsidRPr="003E76E7" w:rsidRDefault="00F04C47" w:rsidP="00C4292D">
            <w:pPr>
              <w:tabs>
                <w:tab w:val="left" w:pos="709"/>
              </w:tabs>
              <w:spacing w:before="60" w:after="60"/>
              <w:jc w:val="right"/>
              <w:rPr>
                <w:rFonts w:ascii="Arial" w:hAnsi="Arial"/>
                <w:i/>
                <w:sz w:val="16"/>
                <w:szCs w:val="16"/>
              </w:rPr>
            </w:pPr>
            <w:r w:rsidRPr="003E76E7">
              <w:rPr>
                <w:rFonts w:ascii="Arial" w:hAnsi="Arial"/>
                <w:i/>
                <w:sz w:val="16"/>
                <w:szCs w:val="16"/>
                <w:lang w:val="en-AU"/>
              </w:rPr>
              <w:t>Expected to be achieved</w:t>
            </w:r>
            <w:r w:rsidR="00797E95" w:rsidRPr="003E76E7">
              <w:rPr>
                <w:rFonts w:ascii="Arial" w:hAnsi="Arial"/>
                <w:i/>
                <w:sz w:val="16"/>
                <w:szCs w:val="16"/>
                <w:lang w:val="en-AU"/>
              </w:rPr>
              <w:t>.</w:t>
            </w:r>
          </w:p>
        </w:tc>
      </w:tr>
      <w:tr w:rsidR="005A0E82" w:rsidRPr="003E76E7" w14:paraId="02BFCD4D" w14:textId="77777777" w:rsidTr="001D6B09">
        <w:tblPrEx>
          <w:shd w:val="clear" w:color="auto" w:fill="auto"/>
          <w:tblLook w:val="04A0" w:firstRow="1" w:lastRow="0" w:firstColumn="1" w:lastColumn="0" w:noHBand="0" w:noVBand="1"/>
        </w:tblPrEx>
        <w:trPr>
          <w:trHeight w:val="258"/>
        </w:trPr>
        <w:tc>
          <w:tcPr>
            <w:tcW w:w="1821" w:type="dxa"/>
            <w:tcBorders>
              <w:top w:val="single" w:sz="4" w:space="0" w:color="auto"/>
              <w:bottom w:val="single" w:sz="4" w:space="0" w:color="auto"/>
              <w:right w:val="single" w:sz="4" w:space="0" w:color="auto"/>
            </w:tcBorders>
          </w:tcPr>
          <w:p w14:paraId="278E7496" w14:textId="77777777" w:rsidR="005A0E82" w:rsidRPr="003E76E7" w:rsidRDefault="005A0E82" w:rsidP="00C4292D">
            <w:pPr>
              <w:tabs>
                <w:tab w:val="left" w:pos="709"/>
              </w:tabs>
              <w:spacing w:before="60" w:after="60"/>
              <w:rPr>
                <w:rFonts w:ascii="Arial" w:hAnsi="Arial"/>
                <w:b/>
                <w:color w:val="000000"/>
                <w:sz w:val="16"/>
                <w:szCs w:val="16"/>
              </w:rPr>
            </w:pPr>
            <w:r w:rsidRPr="003E76E7">
              <w:rPr>
                <w:rFonts w:ascii="Arial" w:hAnsi="Arial"/>
                <w:b/>
                <w:color w:val="000000"/>
                <w:sz w:val="16"/>
                <w:szCs w:val="16"/>
              </w:rPr>
              <w:t>Year</w:t>
            </w:r>
          </w:p>
        </w:tc>
        <w:tc>
          <w:tcPr>
            <w:tcW w:w="3143" w:type="dxa"/>
            <w:tcBorders>
              <w:top w:val="single" w:sz="4" w:space="0" w:color="auto"/>
              <w:left w:val="single" w:sz="4" w:space="0" w:color="auto"/>
              <w:bottom w:val="single" w:sz="4" w:space="0" w:color="auto"/>
              <w:right w:val="single" w:sz="4" w:space="0" w:color="auto"/>
            </w:tcBorders>
          </w:tcPr>
          <w:p w14:paraId="1F1B6FA4" w14:textId="1E4981E2" w:rsidR="005A0E82" w:rsidRPr="003E76E7" w:rsidRDefault="00AD14EC" w:rsidP="00C4292D">
            <w:pPr>
              <w:tabs>
                <w:tab w:val="left" w:pos="709"/>
                <w:tab w:val="center" w:pos="1818"/>
              </w:tabs>
              <w:spacing w:before="60" w:after="60"/>
              <w:rPr>
                <w:rFonts w:ascii="Arial" w:hAnsi="Arial"/>
                <w:b/>
                <w:color w:val="000000"/>
                <w:sz w:val="16"/>
                <w:szCs w:val="16"/>
              </w:rPr>
            </w:pPr>
            <w:r w:rsidRPr="003E76E7">
              <w:rPr>
                <w:rFonts w:ascii="Arial" w:hAnsi="Arial"/>
                <w:b/>
                <w:color w:val="000000"/>
                <w:sz w:val="16"/>
                <w:szCs w:val="16"/>
              </w:rPr>
              <w:t>Performance Measures</w:t>
            </w:r>
          </w:p>
        </w:tc>
        <w:tc>
          <w:tcPr>
            <w:tcW w:w="3334" w:type="dxa"/>
            <w:tcBorders>
              <w:top w:val="single" w:sz="4" w:space="0" w:color="auto"/>
              <w:left w:val="single" w:sz="4" w:space="0" w:color="auto"/>
              <w:bottom w:val="single" w:sz="4" w:space="0" w:color="auto"/>
            </w:tcBorders>
          </w:tcPr>
          <w:p w14:paraId="7A96B58D" w14:textId="77777777" w:rsidR="005A0E82" w:rsidRPr="003E76E7" w:rsidRDefault="005A0E82" w:rsidP="00C4292D">
            <w:pPr>
              <w:tabs>
                <w:tab w:val="left" w:pos="709"/>
              </w:tabs>
              <w:spacing w:before="60" w:after="60"/>
              <w:rPr>
                <w:rFonts w:ascii="Arial" w:hAnsi="Arial"/>
                <w:b/>
                <w:color w:val="000000"/>
                <w:sz w:val="16"/>
                <w:szCs w:val="16"/>
              </w:rPr>
            </w:pPr>
            <w:r w:rsidRPr="003E76E7">
              <w:rPr>
                <w:rFonts w:ascii="Arial" w:hAnsi="Arial"/>
                <w:b/>
                <w:color w:val="000000"/>
                <w:sz w:val="16"/>
                <w:szCs w:val="16"/>
              </w:rPr>
              <w:t>Planned Performance Results</w:t>
            </w:r>
          </w:p>
        </w:tc>
      </w:tr>
      <w:tr w:rsidR="00BF7D6F" w:rsidRPr="003E76E7" w14:paraId="6ACAC019" w14:textId="77777777" w:rsidTr="001D6B09">
        <w:tblPrEx>
          <w:shd w:val="clear" w:color="auto" w:fill="auto"/>
          <w:tblLook w:val="04A0" w:firstRow="1" w:lastRow="0" w:firstColumn="1" w:lastColumn="0" w:noHBand="0" w:noVBand="1"/>
        </w:tblPrEx>
        <w:trPr>
          <w:trHeight w:val="642"/>
        </w:trPr>
        <w:tc>
          <w:tcPr>
            <w:tcW w:w="1821" w:type="dxa"/>
            <w:vMerge w:val="restart"/>
            <w:tcBorders>
              <w:top w:val="single" w:sz="4" w:space="0" w:color="auto"/>
              <w:right w:val="single" w:sz="4" w:space="0" w:color="auto"/>
            </w:tcBorders>
          </w:tcPr>
          <w:p w14:paraId="1333A5D1" w14:textId="77777777" w:rsidR="00BF7D6F" w:rsidRPr="003E76E7" w:rsidRDefault="00BF7D6F" w:rsidP="00C4292D">
            <w:pPr>
              <w:tabs>
                <w:tab w:val="left" w:pos="709"/>
              </w:tabs>
              <w:spacing w:before="0" w:after="0"/>
              <w:rPr>
                <w:rFonts w:ascii="Arial" w:hAnsi="Arial"/>
                <w:color w:val="000000"/>
                <w:sz w:val="16"/>
                <w:szCs w:val="16"/>
              </w:rPr>
            </w:pPr>
            <w:r w:rsidRPr="003E76E7">
              <w:rPr>
                <w:rFonts w:ascii="Arial" w:hAnsi="Arial"/>
                <w:color w:val="000000"/>
                <w:sz w:val="16"/>
                <w:szCs w:val="16"/>
              </w:rPr>
              <w:t>Budget Year</w:t>
            </w:r>
          </w:p>
          <w:p w14:paraId="3F6D082A" w14:textId="0508807D" w:rsidR="00BF7D6F" w:rsidRPr="003E76E7" w:rsidRDefault="00BF7D6F" w:rsidP="00C4292D">
            <w:pPr>
              <w:tabs>
                <w:tab w:val="left" w:pos="709"/>
              </w:tabs>
              <w:spacing w:before="0" w:after="0"/>
              <w:rPr>
                <w:rFonts w:ascii="Arial" w:hAnsi="Arial"/>
                <w:color w:val="000000"/>
                <w:sz w:val="16"/>
                <w:szCs w:val="16"/>
              </w:rPr>
            </w:pPr>
            <w:r w:rsidRPr="003E76E7">
              <w:rPr>
                <w:rFonts w:ascii="Arial" w:hAnsi="Arial"/>
                <w:color w:val="000000"/>
                <w:sz w:val="16"/>
                <w:szCs w:val="16"/>
              </w:rPr>
              <w:t xml:space="preserve">2026-27 </w:t>
            </w:r>
            <w:r w:rsidRPr="003E76E7">
              <w:rPr>
                <w:rFonts w:ascii="Arial" w:hAnsi="Arial"/>
                <w:color w:val="000000"/>
                <w:sz w:val="16"/>
                <w:szCs w:val="16"/>
                <w:vertAlign w:val="superscript"/>
              </w:rPr>
              <w:t>[</w:t>
            </w:r>
            <w:r w:rsidR="003C0ED5" w:rsidRPr="003E76E7">
              <w:rPr>
                <w:rFonts w:ascii="Arial" w:hAnsi="Arial"/>
                <w:color w:val="000000"/>
                <w:sz w:val="16"/>
                <w:szCs w:val="16"/>
                <w:vertAlign w:val="superscript"/>
              </w:rPr>
              <w:t>c</w:t>
            </w:r>
            <w:r w:rsidRPr="003E76E7">
              <w:rPr>
                <w:rFonts w:ascii="Arial" w:hAnsi="Arial"/>
                <w:color w:val="000000"/>
                <w:sz w:val="16"/>
                <w:szCs w:val="16"/>
                <w:vertAlign w:val="superscript"/>
              </w:rPr>
              <w:t>]</w:t>
            </w:r>
          </w:p>
        </w:tc>
        <w:tc>
          <w:tcPr>
            <w:tcW w:w="3143" w:type="dxa"/>
            <w:tcBorders>
              <w:top w:val="single" w:sz="4" w:space="0" w:color="auto"/>
              <w:left w:val="single" w:sz="4" w:space="0" w:color="auto"/>
              <w:bottom w:val="single" w:sz="4" w:space="0" w:color="auto"/>
              <w:right w:val="single" w:sz="4" w:space="0" w:color="auto"/>
            </w:tcBorders>
          </w:tcPr>
          <w:p w14:paraId="54DEF771" w14:textId="6A9268A9" w:rsidR="00BF7D6F" w:rsidRPr="003E76E7" w:rsidRDefault="00BF7D6F" w:rsidP="00C4292D">
            <w:pPr>
              <w:tabs>
                <w:tab w:val="left" w:pos="709"/>
              </w:tabs>
              <w:spacing w:before="60" w:after="60"/>
              <w:rPr>
                <w:rFonts w:ascii="Arial" w:hAnsi="Arial"/>
                <w:color w:val="000000"/>
                <w:sz w:val="16"/>
                <w:szCs w:val="16"/>
              </w:rPr>
            </w:pPr>
            <w:r w:rsidRPr="003E76E7">
              <w:rPr>
                <w:rFonts w:ascii="Arial" w:hAnsi="Arial"/>
                <w:sz w:val="16"/>
                <w:szCs w:val="16"/>
                <w:lang w:val="en-AU"/>
              </w:rPr>
              <w:t>1.1: Defence conducts operations as directed by Government to achieve Defence’s mission.</w:t>
            </w:r>
          </w:p>
        </w:tc>
        <w:tc>
          <w:tcPr>
            <w:tcW w:w="3334" w:type="dxa"/>
            <w:tcBorders>
              <w:top w:val="single" w:sz="4" w:space="0" w:color="auto"/>
              <w:left w:val="single" w:sz="4" w:space="0" w:color="auto"/>
              <w:bottom w:val="single" w:sz="4" w:space="0" w:color="auto"/>
            </w:tcBorders>
          </w:tcPr>
          <w:p w14:paraId="08C78F22" w14:textId="0DC5FBD5" w:rsidR="00BF7D6F" w:rsidRPr="003E76E7" w:rsidRDefault="00BF7D6F" w:rsidP="00C4292D">
            <w:pPr>
              <w:tabs>
                <w:tab w:val="left" w:pos="709"/>
              </w:tabs>
              <w:spacing w:before="60" w:after="60"/>
              <w:rPr>
                <w:rFonts w:ascii="Arial" w:hAnsi="Arial"/>
                <w:i/>
                <w:color w:val="000000"/>
                <w:sz w:val="16"/>
                <w:szCs w:val="16"/>
              </w:rPr>
            </w:pPr>
            <w:r w:rsidRPr="003E76E7">
              <w:rPr>
                <w:rFonts w:ascii="Arial" w:hAnsi="Arial"/>
                <w:sz w:val="16"/>
                <w:szCs w:val="16"/>
                <w:lang w:val="en-AU"/>
              </w:rPr>
              <w:t>100 per cent of operations conducted or being conducted as directed by Government.</w:t>
            </w:r>
          </w:p>
        </w:tc>
      </w:tr>
      <w:tr w:rsidR="00BF7D6F" w:rsidRPr="003E76E7" w14:paraId="6618FCCF" w14:textId="77777777" w:rsidTr="001D6B09">
        <w:tblPrEx>
          <w:shd w:val="clear" w:color="auto" w:fill="auto"/>
          <w:tblLook w:val="04A0" w:firstRow="1" w:lastRow="0" w:firstColumn="1" w:lastColumn="0" w:noHBand="0" w:noVBand="1"/>
        </w:tblPrEx>
        <w:trPr>
          <w:trHeight w:val="645"/>
        </w:trPr>
        <w:tc>
          <w:tcPr>
            <w:tcW w:w="1821" w:type="dxa"/>
            <w:vMerge/>
            <w:tcBorders>
              <w:right w:val="single" w:sz="4" w:space="0" w:color="auto"/>
            </w:tcBorders>
          </w:tcPr>
          <w:p w14:paraId="7F387A7C" w14:textId="77777777" w:rsidR="00BF7D6F" w:rsidRPr="003E76E7" w:rsidRDefault="00BF7D6F" w:rsidP="00C4292D">
            <w:pPr>
              <w:tabs>
                <w:tab w:val="left" w:pos="709"/>
              </w:tabs>
              <w:spacing w:before="60" w:after="60"/>
              <w:rPr>
                <w:rFonts w:ascii="Arial" w:hAnsi="Arial"/>
                <w:color w:val="000000"/>
                <w:sz w:val="16"/>
                <w:szCs w:val="16"/>
              </w:rPr>
            </w:pPr>
          </w:p>
        </w:tc>
        <w:tc>
          <w:tcPr>
            <w:tcW w:w="3143" w:type="dxa"/>
            <w:tcBorders>
              <w:top w:val="single" w:sz="4" w:space="0" w:color="auto"/>
              <w:left w:val="single" w:sz="4" w:space="0" w:color="auto"/>
              <w:bottom w:val="single" w:sz="4" w:space="0" w:color="auto"/>
              <w:right w:val="single" w:sz="4" w:space="0" w:color="auto"/>
            </w:tcBorders>
          </w:tcPr>
          <w:p w14:paraId="34BFED8B" w14:textId="7F5AC516" w:rsidR="00BF7D6F" w:rsidRPr="003E76E7" w:rsidRDefault="00BF7D6F" w:rsidP="00C4292D">
            <w:pPr>
              <w:tabs>
                <w:tab w:val="left" w:pos="709"/>
              </w:tabs>
              <w:spacing w:before="60" w:after="60"/>
              <w:rPr>
                <w:rFonts w:ascii="Arial" w:hAnsi="Arial"/>
                <w:color w:val="000000"/>
                <w:sz w:val="16"/>
                <w:szCs w:val="16"/>
              </w:rPr>
            </w:pPr>
            <w:r w:rsidRPr="003E76E7">
              <w:rPr>
                <w:rFonts w:ascii="Arial" w:hAnsi="Arial"/>
                <w:sz w:val="16"/>
                <w:szCs w:val="16"/>
                <w:lang w:val="en-AU"/>
              </w:rPr>
              <w:t>1.2: Defence maintains ready forces through the conduct of exercises.</w:t>
            </w:r>
          </w:p>
        </w:tc>
        <w:tc>
          <w:tcPr>
            <w:tcW w:w="3334" w:type="dxa"/>
            <w:tcBorders>
              <w:top w:val="single" w:sz="4" w:space="0" w:color="auto"/>
              <w:left w:val="single" w:sz="4" w:space="0" w:color="auto"/>
              <w:bottom w:val="single" w:sz="4" w:space="0" w:color="auto"/>
            </w:tcBorders>
          </w:tcPr>
          <w:p w14:paraId="4208C922" w14:textId="5847CB5C" w:rsidR="00BF7D6F" w:rsidRPr="003E76E7" w:rsidRDefault="00BF7D6F" w:rsidP="00C4292D">
            <w:pPr>
              <w:tabs>
                <w:tab w:val="left" w:pos="709"/>
              </w:tabs>
              <w:spacing w:before="60" w:after="60"/>
              <w:rPr>
                <w:rFonts w:ascii="Arial" w:hAnsi="Arial"/>
                <w:color w:val="000000"/>
                <w:sz w:val="16"/>
                <w:szCs w:val="16"/>
              </w:rPr>
            </w:pPr>
            <w:r w:rsidRPr="003E76E7">
              <w:rPr>
                <w:rFonts w:ascii="Arial" w:hAnsi="Arial"/>
                <w:color w:val="000000"/>
                <w:sz w:val="16"/>
                <w:szCs w:val="16"/>
                <w:lang w:val="en-AU"/>
              </w:rPr>
              <w:t>100 per cent of exercises conducted achieve planned objectives.</w:t>
            </w:r>
          </w:p>
        </w:tc>
      </w:tr>
      <w:tr w:rsidR="00BF7D6F" w:rsidRPr="003E76E7" w14:paraId="0DE9ED61" w14:textId="77777777" w:rsidTr="001D6B09">
        <w:tblPrEx>
          <w:shd w:val="clear" w:color="auto" w:fill="auto"/>
          <w:tblLook w:val="04A0" w:firstRow="1" w:lastRow="0" w:firstColumn="1" w:lastColumn="0" w:noHBand="0" w:noVBand="1"/>
        </w:tblPrEx>
        <w:trPr>
          <w:trHeight w:val="645"/>
        </w:trPr>
        <w:tc>
          <w:tcPr>
            <w:tcW w:w="1821" w:type="dxa"/>
            <w:vMerge/>
            <w:tcBorders>
              <w:right w:val="single" w:sz="4" w:space="0" w:color="auto"/>
            </w:tcBorders>
          </w:tcPr>
          <w:p w14:paraId="67A77AC5" w14:textId="77777777" w:rsidR="00BF7D6F" w:rsidRPr="003E76E7" w:rsidRDefault="00BF7D6F" w:rsidP="00C4292D">
            <w:pPr>
              <w:tabs>
                <w:tab w:val="left" w:pos="709"/>
              </w:tabs>
              <w:spacing w:before="60" w:after="60"/>
              <w:rPr>
                <w:rFonts w:ascii="Arial" w:hAnsi="Arial"/>
                <w:color w:val="000000"/>
                <w:sz w:val="16"/>
                <w:szCs w:val="16"/>
              </w:rPr>
            </w:pPr>
          </w:p>
        </w:tc>
        <w:tc>
          <w:tcPr>
            <w:tcW w:w="3143" w:type="dxa"/>
            <w:tcBorders>
              <w:top w:val="single" w:sz="4" w:space="0" w:color="auto"/>
              <w:left w:val="single" w:sz="4" w:space="0" w:color="auto"/>
              <w:bottom w:val="single" w:sz="4" w:space="0" w:color="auto"/>
              <w:right w:val="single" w:sz="4" w:space="0" w:color="auto"/>
            </w:tcBorders>
          </w:tcPr>
          <w:p w14:paraId="1F1DD526" w14:textId="3695D88B" w:rsidR="00BF7D6F" w:rsidRPr="003E76E7" w:rsidRDefault="00BF7D6F" w:rsidP="00C4292D">
            <w:pPr>
              <w:tabs>
                <w:tab w:val="left" w:pos="709"/>
              </w:tabs>
              <w:spacing w:before="60" w:after="60"/>
              <w:rPr>
                <w:rFonts w:ascii="Arial" w:hAnsi="Arial"/>
                <w:color w:val="000000"/>
                <w:sz w:val="16"/>
                <w:szCs w:val="16"/>
              </w:rPr>
            </w:pPr>
            <w:r w:rsidRPr="003E76E7">
              <w:rPr>
                <w:rFonts w:ascii="Arial" w:hAnsi="Arial"/>
                <w:sz w:val="16"/>
                <w:szCs w:val="16"/>
                <w:lang w:val="en-AU"/>
              </w:rPr>
              <w:t>1.3</w:t>
            </w:r>
            <w:r w:rsidR="00C23CD1" w:rsidRPr="003E76E7">
              <w:rPr>
                <w:rFonts w:ascii="Arial" w:hAnsi="Arial"/>
                <w:sz w:val="16"/>
                <w:szCs w:val="16"/>
                <w:lang w:val="en-AU"/>
              </w:rPr>
              <w:t>:</w:t>
            </w:r>
            <w:r w:rsidRPr="003E76E7">
              <w:rPr>
                <w:rFonts w:ascii="Arial" w:hAnsi="Arial"/>
                <w:sz w:val="16"/>
                <w:szCs w:val="16"/>
                <w:lang w:val="en-AU"/>
              </w:rPr>
              <w:t xml:space="preserve"> Defence assists with domestic crisis and emergency response as directed by Government. </w:t>
            </w:r>
          </w:p>
        </w:tc>
        <w:tc>
          <w:tcPr>
            <w:tcW w:w="3334" w:type="dxa"/>
            <w:tcBorders>
              <w:top w:val="single" w:sz="4" w:space="0" w:color="auto"/>
              <w:left w:val="single" w:sz="4" w:space="0" w:color="auto"/>
              <w:bottom w:val="single" w:sz="4" w:space="0" w:color="auto"/>
            </w:tcBorders>
          </w:tcPr>
          <w:p w14:paraId="5686D6C3" w14:textId="31699107" w:rsidR="00BF7D6F" w:rsidRPr="003E76E7" w:rsidRDefault="00BF7D6F" w:rsidP="00C4292D">
            <w:pPr>
              <w:tabs>
                <w:tab w:val="left" w:pos="709"/>
              </w:tabs>
              <w:spacing w:before="60" w:after="60"/>
              <w:rPr>
                <w:rFonts w:ascii="Arial" w:hAnsi="Arial"/>
                <w:sz w:val="16"/>
                <w:szCs w:val="16"/>
              </w:rPr>
            </w:pPr>
            <w:r w:rsidRPr="003E76E7">
              <w:rPr>
                <w:rFonts w:ascii="Arial" w:hAnsi="Arial"/>
                <w:color w:val="000000"/>
                <w:sz w:val="16"/>
                <w:szCs w:val="16"/>
                <w:lang w:val="en-AU"/>
              </w:rPr>
              <w:t xml:space="preserve">Defence responds to 100 per cent of requests for assistance as directed by Government. </w:t>
            </w:r>
          </w:p>
        </w:tc>
      </w:tr>
      <w:tr w:rsidR="00BF7D6F" w:rsidRPr="003E76E7" w14:paraId="57E6A35C" w14:textId="77777777" w:rsidTr="001D6B09">
        <w:tblPrEx>
          <w:shd w:val="clear" w:color="auto" w:fill="auto"/>
          <w:tblLook w:val="04A0" w:firstRow="1" w:lastRow="0" w:firstColumn="1" w:lastColumn="0" w:noHBand="0" w:noVBand="1"/>
        </w:tblPrEx>
        <w:trPr>
          <w:trHeight w:val="645"/>
        </w:trPr>
        <w:tc>
          <w:tcPr>
            <w:tcW w:w="1821" w:type="dxa"/>
            <w:vMerge/>
            <w:tcBorders>
              <w:bottom w:val="single" w:sz="4" w:space="0" w:color="auto"/>
              <w:right w:val="single" w:sz="4" w:space="0" w:color="auto"/>
            </w:tcBorders>
          </w:tcPr>
          <w:p w14:paraId="47885865" w14:textId="77777777" w:rsidR="00BF7D6F" w:rsidRPr="003E76E7" w:rsidRDefault="00BF7D6F" w:rsidP="00C4292D">
            <w:pPr>
              <w:tabs>
                <w:tab w:val="left" w:pos="709"/>
              </w:tabs>
              <w:spacing w:before="60" w:after="60"/>
              <w:rPr>
                <w:rFonts w:ascii="Arial" w:hAnsi="Arial"/>
                <w:color w:val="000000"/>
                <w:sz w:val="16"/>
                <w:szCs w:val="16"/>
              </w:rPr>
            </w:pPr>
          </w:p>
        </w:tc>
        <w:tc>
          <w:tcPr>
            <w:tcW w:w="3143" w:type="dxa"/>
            <w:tcBorders>
              <w:top w:val="single" w:sz="4" w:space="0" w:color="auto"/>
              <w:left w:val="single" w:sz="4" w:space="0" w:color="auto"/>
              <w:bottom w:val="single" w:sz="4" w:space="0" w:color="auto"/>
              <w:right w:val="single" w:sz="4" w:space="0" w:color="auto"/>
            </w:tcBorders>
          </w:tcPr>
          <w:p w14:paraId="54B3F61A" w14:textId="39ED7736" w:rsidR="00BF7D6F" w:rsidRPr="003E76E7" w:rsidRDefault="00BF7D6F" w:rsidP="00C4292D">
            <w:pPr>
              <w:tabs>
                <w:tab w:val="left" w:pos="709"/>
              </w:tabs>
              <w:spacing w:before="60" w:after="60"/>
              <w:rPr>
                <w:rFonts w:ascii="Arial" w:hAnsi="Arial"/>
                <w:color w:val="000000"/>
                <w:sz w:val="16"/>
                <w:szCs w:val="16"/>
              </w:rPr>
            </w:pPr>
            <w:r w:rsidRPr="003E76E7">
              <w:rPr>
                <w:rFonts w:ascii="Arial" w:hAnsi="Arial"/>
                <w:sz w:val="16"/>
                <w:szCs w:val="16"/>
                <w:lang w:val="en-AU"/>
              </w:rPr>
              <w:t>6.1: Defence is delivering the right future capability at the right time within the Integrated Investment Program to ensure it is equipped to respond to future security challenges as directed by the National Defence Strategy.</w:t>
            </w:r>
          </w:p>
        </w:tc>
        <w:tc>
          <w:tcPr>
            <w:tcW w:w="3334" w:type="dxa"/>
            <w:tcBorders>
              <w:top w:val="single" w:sz="4" w:space="0" w:color="auto"/>
              <w:left w:val="single" w:sz="4" w:space="0" w:color="auto"/>
              <w:bottom w:val="single" w:sz="4" w:space="0" w:color="auto"/>
            </w:tcBorders>
          </w:tcPr>
          <w:p w14:paraId="16F5345D" w14:textId="660318E6" w:rsidR="00BF7D6F" w:rsidRPr="003E76E7" w:rsidRDefault="00BF7D6F" w:rsidP="00C4292D">
            <w:pPr>
              <w:tabs>
                <w:tab w:val="left" w:pos="709"/>
              </w:tabs>
              <w:spacing w:before="60" w:after="60"/>
              <w:rPr>
                <w:rFonts w:ascii="Arial" w:hAnsi="Arial"/>
                <w:sz w:val="16"/>
                <w:szCs w:val="16"/>
              </w:rPr>
            </w:pPr>
            <w:r w:rsidRPr="003E76E7">
              <w:rPr>
                <w:rFonts w:ascii="Arial" w:hAnsi="Arial"/>
                <w:sz w:val="16"/>
                <w:szCs w:val="16"/>
                <w:lang w:val="en-AU"/>
              </w:rPr>
              <w:t>80 per cent or more of approved Integrated Investment Program projects across all domains are on track to deliver within Government approved scope, schedule, and cost (including contingency).</w:t>
            </w:r>
          </w:p>
        </w:tc>
      </w:tr>
      <w:tr w:rsidR="00BF7D6F" w:rsidRPr="003E76E7" w14:paraId="45B24774" w14:textId="77777777" w:rsidTr="001D6B09">
        <w:trPr>
          <w:trHeight w:val="146"/>
        </w:trPr>
        <w:tc>
          <w:tcPr>
            <w:tcW w:w="1821" w:type="dxa"/>
            <w:tcBorders>
              <w:bottom w:val="single" w:sz="4" w:space="0" w:color="auto"/>
              <w:right w:val="single" w:sz="4" w:space="0" w:color="auto"/>
            </w:tcBorders>
          </w:tcPr>
          <w:p w14:paraId="41BF665D" w14:textId="6AD27D4E" w:rsidR="00BF7D6F" w:rsidRPr="003E76E7" w:rsidRDefault="00BF7D6F" w:rsidP="00C4292D">
            <w:pPr>
              <w:tabs>
                <w:tab w:val="left" w:pos="709"/>
              </w:tabs>
              <w:spacing w:before="60" w:after="60"/>
              <w:rPr>
                <w:rFonts w:ascii="Arial" w:hAnsi="Arial"/>
                <w:color w:val="000000"/>
                <w:sz w:val="16"/>
                <w:szCs w:val="16"/>
              </w:rPr>
            </w:pPr>
            <w:r w:rsidRPr="003E76E7">
              <w:rPr>
                <w:rFonts w:ascii="Arial" w:hAnsi="Arial"/>
                <w:b/>
                <w:color w:val="000000"/>
                <w:sz w:val="16"/>
                <w:szCs w:val="16"/>
              </w:rPr>
              <w:t>Year</w:t>
            </w:r>
          </w:p>
        </w:tc>
        <w:tc>
          <w:tcPr>
            <w:tcW w:w="3143" w:type="dxa"/>
            <w:tcBorders>
              <w:top w:val="single" w:sz="4" w:space="0" w:color="auto"/>
              <w:left w:val="single" w:sz="4" w:space="0" w:color="auto"/>
              <w:bottom w:val="single" w:sz="4" w:space="0" w:color="auto"/>
              <w:right w:val="single" w:sz="4" w:space="0" w:color="auto"/>
            </w:tcBorders>
          </w:tcPr>
          <w:p w14:paraId="66C6DA65" w14:textId="25415E04" w:rsidR="00BF7D6F" w:rsidRPr="003E76E7" w:rsidRDefault="00AD14EC" w:rsidP="00C4292D">
            <w:pPr>
              <w:tabs>
                <w:tab w:val="left" w:pos="709"/>
              </w:tabs>
              <w:spacing w:before="60" w:after="60"/>
              <w:rPr>
                <w:rFonts w:ascii="Arial" w:hAnsi="Arial"/>
                <w:sz w:val="16"/>
                <w:szCs w:val="16"/>
                <w:lang w:val="en-AU"/>
              </w:rPr>
            </w:pPr>
            <w:r w:rsidRPr="003E76E7">
              <w:rPr>
                <w:rFonts w:ascii="Arial" w:hAnsi="Arial"/>
                <w:b/>
                <w:color w:val="000000"/>
                <w:sz w:val="16"/>
                <w:szCs w:val="16"/>
              </w:rPr>
              <w:t>Performance Measures</w:t>
            </w:r>
          </w:p>
        </w:tc>
        <w:tc>
          <w:tcPr>
            <w:tcW w:w="3334" w:type="dxa"/>
            <w:tcBorders>
              <w:top w:val="single" w:sz="4" w:space="0" w:color="auto"/>
              <w:left w:val="single" w:sz="4" w:space="0" w:color="auto"/>
              <w:bottom w:val="single" w:sz="4" w:space="0" w:color="auto"/>
            </w:tcBorders>
          </w:tcPr>
          <w:p w14:paraId="75B54202" w14:textId="21BBC370" w:rsidR="00BF7D6F" w:rsidRPr="003E76E7" w:rsidRDefault="00BF7D6F" w:rsidP="00C4292D">
            <w:pPr>
              <w:tabs>
                <w:tab w:val="left" w:pos="709"/>
              </w:tabs>
              <w:spacing w:before="60" w:after="60"/>
              <w:rPr>
                <w:rFonts w:ascii="Arial" w:hAnsi="Arial"/>
                <w:sz w:val="16"/>
                <w:szCs w:val="16"/>
                <w:lang w:val="en-AU"/>
              </w:rPr>
            </w:pPr>
            <w:r w:rsidRPr="003E76E7">
              <w:rPr>
                <w:rFonts w:ascii="Arial" w:hAnsi="Arial"/>
                <w:b/>
                <w:color w:val="000000"/>
                <w:sz w:val="16"/>
                <w:szCs w:val="16"/>
              </w:rPr>
              <w:t>Planned Performance Results</w:t>
            </w:r>
          </w:p>
        </w:tc>
      </w:tr>
      <w:tr w:rsidR="00BF7D6F" w:rsidRPr="003E76E7" w14:paraId="03E15ACB" w14:textId="77777777" w:rsidTr="001D6B09">
        <w:trPr>
          <w:trHeight w:val="471"/>
        </w:trPr>
        <w:tc>
          <w:tcPr>
            <w:tcW w:w="1821" w:type="dxa"/>
            <w:tcBorders>
              <w:bottom w:val="single" w:sz="4" w:space="0" w:color="auto"/>
              <w:right w:val="single" w:sz="4" w:space="0" w:color="auto"/>
            </w:tcBorders>
            <w:vAlign w:val="center"/>
          </w:tcPr>
          <w:p w14:paraId="3B457375" w14:textId="77777777" w:rsidR="00BF7D6F" w:rsidRPr="003E76E7" w:rsidRDefault="00BF7D6F" w:rsidP="00C4292D">
            <w:pPr>
              <w:tabs>
                <w:tab w:val="left" w:pos="709"/>
              </w:tabs>
              <w:spacing w:before="0" w:after="0"/>
              <w:rPr>
                <w:rFonts w:ascii="Arial" w:hAnsi="Arial"/>
                <w:color w:val="000000"/>
                <w:sz w:val="16"/>
                <w:szCs w:val="16"/>
              </w:rPr>
            </w:pPr>
            <w:r w:rsidRPr="003E76E7">
              <w:rPr>
                <w:rFonts w:ascii="Arial" w:hAnsi="Arial"/>
                <w:color w:val="000000"/>
                <w:sz w:val="16"/>
                <w:szCs w:val="16"/>
              </w:rPr>
              <w:t>Forward Estimates</w:t>
            </w:r>
          </w:p>
          <w:p w14:paraId="26181C17" w14:textId="726B2C30" w:rsidR="00BF7D6F" w:rsidRPr="003E76E7" w:rsidRDefault="00BF7D6F" w:rsidP="00C4292D">
            <w:pPr>
              <w:tabs>
                <w:tab w:val="left" w:pos="709"/>
              </w:tabs>
              <w:spacing w:before="0" w:after="0"/>
              <w:rPr>
                <w:rFonts w:ascii="Arial" w:hAnsi="Arial"/>
                <w:color w:val="000000"/>
                <w:sz w:val="16"/>
                <w:szCs w:val="16"/>
              </w:rPr>
            </w:pPr>
            <w:r w:rsidRPr="003E76E7">
              <w:rPr>
                <w:rFonts w:ascii="Arial" w:hAnsi="Arial"/>
                <w:color w:val="000000"/>
                <w:sz w:val="16"/>
                <w:szCs w:val="16"/>
              </w:rPr>
              <w:t>2027-30</w:t>
            </w:r>
          </w:p>
        </w:tc>
        <w:tc>
          <w:tcPr>
            <w:tcW w:w="3143" w:type="dxa"/>
            <w:tcBorders>
              <w:top w:val="single" w:sz="4" w:space="0" w:color="auto"/>
              <w:left w:val="single" w:sz="4" w:space="0" w:color="auto"/>
              <w:bottom w:val="single" w:sz="4" w:space="0" w:color="auto"/>
              <w:right w:val="single" w:sz="4" w:space="0" w:color="auto"/>
            </w:tcBorders>
            <w:vAlign w:val="center"/>
          </w:tcPr>
          <w:p w14:paraId="05FA77C0" w14:textId="148B21BB" w:rsidR="00BF7D6F" w:rsidRPr="003E76E7" w:rsidRDefault="00BF7D6F" w:rsidP="00C4292D">
            <w:pPr>
              <w:tabs>
                <w:tab w:val="left" w:pos="709"/>
              </w:tabs>
              <w:spacing w:before="60" w:after="60"/>
              <w:rPr>
                <w:rFonts w:ascii="Arial" w:hAnsi="Arial"/>
                <w:sz w:val="16"/>
                <w:szCs w:val="16"/>
                <w:lang w:val="en-AU"/>
              </w:rPr>
            </w:pPr>
            <w:r w:rsidRPr="003E76E7">
              <w:rPr>
                <w:rFonts w:ascii="Arial" w:hAnsi="Arial"/>
                <w:color w:val="000000"/>
                <w:sz w:val="16"/>
                <w:szCs w:val="16"/>
              </w:rPr>
              <w:t>As per 2026-27.</w:t>
            </w:r>
          </w:p>
        </w:tc>
        <w:tc>
          <w:tcPr>
            <w:tcW w:w="3334" w:type="dxa"/>
            <w:tcBorders>
              <w:top w:val="single" w:sz="4" w:space="0" w:color="auto"/>
              <w:left w:val="single" w:sz="4" w:space="0" w:color="auto"/>
              <w:bottom w:val="single" w:sz="4" w:space="0" w:color="auto"/>
            </w:tcBorders>
            <w:vAlign w:val="center"/>
          </w:tcPr>
          <w:p w14:paraId="74D0A89C" w14:textId="3899B2D0" w:rsidR="00BF7D6F" w:rsidRPr="003E76E7" w:rsidRDefault="00BF7D6F" w:rsidP="00C4292D">
            <w:pPr>
              <w:tabs>
                <w:tab w:val="left" w:pos="709"/>
              </w:tabs>
              <w:spacing w:before="60" w:after="60"/>
              <w:rPr>
                <w:rFonts w:ascii="Arial" w:hAnsi="Arial"/>
                <w:sz w:val="16"/>
                <w:szCs w:val="16"/>
                <w:lang w:val="en-AU"/>
              </w:rPr>
            </w:pPr>
            <w:r w:rsidRPr="003E76E7">
              <w:rPr>
                <w:rFonts w:ascii="Arial" w:hAnsi="Arial"/>
                <w:color w:val="000000"/>
                <w:sz w:val="16"/>
                <w:szCs w:val="16"/>
              </w:rPr>
              <w:t>As per 2026-27.</w:t>
            </w:r>
          </w:p>
        </w:tc>
      </w:tr>
      <w:tr w:rsidR="00BF7D6F" w:rsidRPr="003E76E7" w14:paraId="11504771" w14:textId="77777777" w:rsidTr="001D6B09">
        <w:trPr>
          <w:trHeight w:val="250"/>
        </w:trPr>
        <w:tc>
          <w:tcPr>
            <w:tcW w:w="8298" w:type="dxa"/>
            <w:gridSpan w:val="3"/>
            <w:tcBorders>
              <w:bottom w:val="single" w:sz="4" w:space="0" w:color="auto"/>
            </w:tcBorders>
          </w:tcPr>
          <w:p w14:paraId="5D75F54C" w14:textId="06B4029E" w:rsidR="00BF7D6F" w:rsidRPr="003E76E7" w:rsidRDefault="00BF7D6F" w:rsidP="00C4292D">
            <w:pPr>
              <w:tabs>
                <w:tab w:val="left" w:pos="709"/>
              </w:tabs>
              <w:spacing w:before="60" w:after="60"/>
              <w:rPr>
                <w:rFonts w:ascii="Arial" w:hAnsi="Arial"/>
                <w:sz w:val="16"/>
                <w:szCs w:val="16"/>
                <w:lang w:val="en-AU"/>
              </w:rPr>
            </w:pPr>
            <w:r w:rsidRPr="003E76E7">
              <w:rPr>
                <w:rFonts w:ascii="Arial" w:hAnsi="Arial"/>
                <w:color w:val="000000"/>
                <w:sz w:val="16"/>
                <w:szCs w:val="16"/>
              </w:rPr>
              <w:t>Material changes to Program 2.8 resulting from 2026-27 Budget Measures:</w:t>
            </w:r>
            <w:r w:rsidRPr="003E76E7">
              <w:rPr>
                <w:rStyle w:val="BodyTextChar"/>
                <w:rFonts w:ascii="Arial" w:hAnsi="Arial"/>
                <w:bCs/>
                <w:iCs/>
                <w:color w:val="000000"/>
                <w:spacing w:val="-6"/>
                <w:sz w:val="16"/>
                <w:szCs w:val="16"/>
              </w:rPr>
              <w:t xml:space="preserve"> Nil.</w:t>
            </w:r>
          </w:p>
        </w:tc>
      </w:tr>
    </w:tbl>
    <w:p w14:paraId="217F714A" w14:textId="77777777" w:rsidR="00FF0FC2" w:rsidRPr="003E76E7" w:rsidRDefault="00FF0FC2" w:rsidP="00C4292D">
      <w:pPr>
        <w:pStyle w:val="TableHeading"/>
        <w:spacing w:before="0" w:after="0"/>
        <w:rPr>
          <w:sz w:val="14"/>
          <w:szCs w:val="16"/>
        </w:rPr>
      </w:pPr>
    </w:p>
    <w:p w14:paraId="3129E153" w14:textId="77777777" w:rsidR="00FF0FC2" w:rsidRPr="003E76E7" w:rsidRDefault="00FF0FC2" w:rsidP="00C4292D">
      <w:pPr>
        <w:pStyle w:val="TableHeading"/>
        <w:spacing w:before="0" w:after="0"/>
        <w:rPr>
          <w:sz w:val="14"/>
          <w:szCs w:val="14"/>
          <w:lang w:val="en-AU"/>
        </w:rPr>
      </w:pPr>
      <w:r w:rsidRPr="003E76E7">
        <w:rPr>
          <w:sz w:val="14"/>
          <w:szCs w:val="14"/>
          <w:lang w:val="en-AU"/>
        </w:rPr>
        <w:t>Note</w:t>
      </w:r>
      <w:r w:rsidR="00AF08A6" w:rsidRPr="003E76E7">
        <w:rPr>
          <w:sz w:val="14"/>
          <w:szCs w:val="14"/>
          <w:lang w:val="en-AU"/>
        </w:rPr>
        <w:t>s</w:t>
      </w:r>
    </w:p>
    <w:p w14:paraId="3A2E9049" w14:textId="7687CCFE" w:rsidR="00E909B5" w:rsidRPr="003E76E7" w:rsidRDefault="00E909B5" w:rsidP="00C4292D">
      <w:pPr>
        <w:pStyle w:val="TableHeading"/>
        <w:numPr>
          <w:ilvl w:val="0"/>
          <w:numId w:val="51"/>
        </w:numPr>
        <w:tabs>
          <w:tab w:val="left" w:pos="284"/>
        </w:tabs>
        <w:spacing w:before="0" w:after="0"/>
        <w:rPr>
          <w:b w:val="0"/>
          <w:i/>
          <w:sz w:val="14"/>
          <w:szCs w:val="14"/>
          <w:lang w:val="en-AU"/>
        </w:rPr>
      </w:pPr>
      <w:r w:rsidRPr="003E76E7">
        <w:rPr>
          <w:b w:val="0"/>
          <w:sz w:val="14"/>
          <w:szCs w:val="14"/>
          <w:lang w:val="en-AU"/>
        </w:rPr>
        <w:t xml:space="preserve">Key activity 1 has been amended for 2025-26, as published in the </w:t>
      </w:r>
      <w:r w:rsidRPr="003E76E7">
        <w:rPr>
          <w:b w:val="0"/>
          <w:i/>
          <w:sz w:val="14"/>
          <w:szCs w:val="14"/>
          <w:lang w:val="en-AU"/>
        </w:rPr>
        <w:t>2025-29 Defence Corporate Plan</w:t>
      </w:r>
      <w:r w:rsidR="00C23CD1" w:rsidRPr="003E76E7">
        <w:rPr>
          <w:b w:val="0"/>
          <w:i/>
          <w:sz w:val="14"/>
          <w:szCs w:val="14"/>
          <w:lang w:val="en-AU"/>
        </w:rPr>
        <w:t>.</w:t>
      </w:r>
    </w:p>
    <w:p w14:paraId="27621231" w14:textId="7EF53A0F" w:rsidR="00E909B5" w:rsidRPr="003E76E7" w:rsidRDefault="00E909B5" w:rsidP="00C4292D">
      <w:pPr>
        <w:pStyle w:val="TableHeading"/>
        <w:numPr>
          <w:ilvl w:val="0"/>
          <w:numId w:val="51"/>
        </w:numPr>
        <w:tabs>
          <w:tab w:val="left" w:pos="284"/>
        </w:tabs>
        <w:spacing w:before="0" w:after="0"/>
        <w:ind w:left="284" w:hanging="284"/>
        <w:rPr>
          <w:b w:val="0"/>
          <w:sz w:val="14"/>
          <w:szCs w:val="14"/>
          <w:lang w:val="en-AU"/>
        </w:rPr>
      </w:pPr>
      <w:r w:rsidRPr="003E76E7">
        <w:rPr>
          <w:b w:val="0"/>
          <w:sz w:val="14"/>
          <w:szCs w:val="14"/>
          <w:lang w:val="en-AU"/>
        </w:rPr>
        <w:t xml:space="preserve">Performance Measures 1.1, 1.2 and 6.1 have been amended and 1.3 is new for 2025-26, as published in </w:t>
      </w:r>
      <w:r w:rsidRPr="003E76E7">
        <w:rPr>
          <w:b w:val="0"/>
          <w:i/>
          <w:sz w:val="14"/>
          <w:szCs w:val="14"/>
          <w:lang w:val="en-AU"/>
        </w:rPr>
        <w:t xml:space="preserve">2025-29 Defence </w:t>
      </w:r>
      <w:r w:rsidR="009D3404" w:rsidRPr="003E76E7">
        <w:rPr>
          <w:b w:val="0"/>
          <w:i/>
          <w:sz w:val="14"/>
          <w:szCs w:val="14"/>
          <w:lang w:val="en-AU"/>
        </w:rPr>
        <w:br/>
      </w:r>
      <w:r w:rsidRPr="003E76E7">
        <w:rPr>
          <w:b w:val="0"/>
          <w:i/>
          <w:sz w:val="14"/>
          <w:szCs w:val="14"/>
          <w:lang w:val="en-AU"/>
        </w:rPr>
        <w:t>Corporate Plan.</w:t>
      </w:r>
    </w:p>
    <w:p w14:paraId="23FA8D4E" w14:textId="4605BB9E" w:rsidR="00E909B5" w:rsidRPr="003E76E7" w:rsidRDefault="00E909B5" w:rsidP="00C4292D">
      <w:pPr>
        <w:pStyle w:val="TableHeading"/>
        <w:numPr>
          <w:ilvl w:val="0"/>
          <w:numId w:val="51"/>
        </w:numPr>
        <w:tabs>
          <w:tab w:val="left" w:pos="284"/>
        </w:tabs>
        <w:spacing w:before="0" w:after="0"/>
        <w:ind w:left="284" w:hanging="284"/>
        <w:rPr>
          <w:b w:val="0"/>
          <w:sz w:val="14"/>
          <w:szCs w:val="14"/>
          <w:lang w:val="en-AU"/>
        </w:rPr>
      </w:pPr>
      <w:r w:rsidRPr="003E76E7">
        <w:rPr>
          <w:b w:val="0"/>
          <w:sz w:val="14"/>
          <w:szCs w:val="14"/>
          <w:lang w:val="en-AU"/>
        </w:rPr>
        <w:t xml:space="preserve">In accordance with Defence’s Enterprise Performance Framework, Defence is undertaking materiality assessments that may result in updates to the 2026-27 performance information in the 2026-30 Defence Corporate Plan, if required. </w:t>
      </w:r>
    </w:p>
    <w:p w14:paraId="362F8AF0" w14:textId="17FC7F8F" w:rsidR="009737EB" w:rsidRPr="003E76E7" w:rsidRDefault="009737EB" w:rsidP="00C4292D">
      <w:pPr>
        <w:rPr>
          <w:b/>
          <w:lang w:val="en-AU"/>
        </w:rPr>
      </w:pPr>
    </w:p>
    <w:p w14:paraId="4CB64FD0" w14:textId="66436AD3" w:rsidR="005C3E4E" w:rsidRPr="003E76E7" w:rsidRDefault="005C3E4E" w:rsidP="00C4292D">
      <w:pPr>
        <w:rPr>
          <w:b/>
          <w:lang w:val="en-AU"/>
        </w:rPr>
      </w:pPr>
    </w:p>
    <w:p w14:paraId="43661C95" w14:textId="77777777" w:rsidR="002F389F" w:rsidRPr="003E76E7" w:rsidRDefault="002F389F" w:rsidP="00C4292D">
      <w:pPr>
        <w:rPr>
          <w:b/>
          <w:lang w:val="en-AU"/>
        </w:rPr>
      </w:pPr>
    </w:p>
    <w:p w14:paraId="74E8A7BB" w14:textId="64CF28C0" w:rsidR="006C259D" w:rsidRPr="003E76E7" w:rsidRDefault="006C259D" w:rsidP="00C4292D">
      <w:pPr>
        <w:pStyle w:val="TableHeading"/>
        <w:numPr>
          <w:ilvl w:val="0"/>
          <w:numId w:val="61"/>
        </w:numPr>
        <w:spacing w:before="100"/>
        <w:ind w:left="0" w:firstLine="0"/>
        <w:outlineLvl w:val="4"/>
        <w:rPr>
          <w:lang w:val="en-AU"/>
        </w:rPr>
      </w:pPr>
      <w:r w:rsidRPr="003E76E7">
        <w:rPr>
          <w:lang w:val="en-AU"/>
        </w:rPr>
        <w:lastRenderedPageBreak/>
        <w:t>Cost Summary for Program 2.8 Australian Defence Force Headquarters</w:t>
      </w:r>
    </w:p>
    <w:p w14:paraId="1C77A4C6" w14:textId="45F0754A" w:rsidR="00656D60" w:rsidRPr="003E76E7" w:rsidRDefault="00F478CA" w:rsidP="00C4292D">
      <w:pPr>
        <w:spacing w:after="0"/>
        <w:rPr>
          <w:rFonts w:ascii="Arial" w:hAnsi="Arial"/>
          <w:b/>
          <w:sz w:val="14"/>
          <w:szCs w:val="14"/>
          <w:lang w:val="en-AU"/>
        </w:rPr>
      </w:pPr>
      <w:r w:rsidRPr="00F478CA">
        <w:rPr>
          <w:noProof/>
          <w:lang w:val="en-AU"/>
        </w:rPr>
        <w:drawing>
          <wp:inline distT="0" distB="0" distL="0" distR="0" wp14:anchorId="5DE8C15B" wp14:editId="3EE7E146">
            <wp:extent cx="5436235" cy="2923083"/>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36235" cy="2923083"/>
                    </a:xfrm>
                    <a:prstGeom prst="rect">
                      <a:avLst/>
                    </a:prstGeom>
                    <a:noFill/>
                    <a:ln>
                      <a:noFill/>
                    </a:ln>
                  </pic:spPr>
                </pic:pic>
              </a:graphicData>
            </a:graphic>
          </wp:inline>
        </w:drawing>
      </w:r>
    </w:p>
    <w:p w14:paraId="519E2F3C" w14:textId="77777777" w:rsidR="00094FBA" w:rsidRPr="003E76E7" w:rsidRDefault="00094FBA" w:rsidP="00C4292D">
      <w:pPr>
        <w:tabs>
          <w:tab w:val="left" w:pos="284"/>
        </w:tabs>
        <w:spacing w:before="0" w:after="0"/>
        <w:rPr>
          <w:rFonts w:ascii="Arial" w:hAnsi="Arial"/>
          <w:b/>
          <w:sz w:val="14"/>
          <w:szCs w:val="14"/>
          <w:lang w:val="en-AU"/>
        </w:rPr>
      </w:pPr>
    </w:p>
    <w:p w14:paraId="5255F823" w14:textId="6A0B613C" w:rsidR="00CB045C" w:rsidRPr="003E76E7" w:rsidRDefault="006F629D" w:rsidP="00C4292D">
      <w:pPr>
        <w:tabs>
          <w:tab w:val="left" w:pos="284"/>
        </w:tabs>
        <w:spacing w:before="0" w:after="0"/>
        <w:rPr>
          <w:rFonts w:ascii="Arial" w:hAnsi="Arial"/>
          <w:b/>
          <w:sz w:val="14"/>
          <w:szCs w:val="14"/>
          <w:lang w:val="en-AU"/>
        </w:rPr>
      </w:pPr>
      <w:r w:rsidRPr="003E76E7">
        <w:rPr>
          <w:rFonts w:ascii="Arial" w:hAnsi="Arial"/>
          <w:b/>
          <w:sz w:val="14"/>
          <w:szCs w:val="14"/>
          <w:lang w:val="en-AU"/>
        </w:rPr>
        <w:t>Notes</w:t>
      </w:r>
    </w:p>
    <w:p w14:paraId="1AF4C1CB" w14:textId="2742B34F" w:rsidR="005C3E4E" w:rsidRPr="003E76E7" w:rsidRDefault="00A37A36" w:rsidP="00C4292D">
      <w:pPr>
        <w:pStyle w:val="ListParagraph"/>
        <w:numPr>
          <w:ilvl w:val="0"/>
          <w:numId w:val="115"/>
        </w:numPr>
        <w:tabs>
          <w:tab w:val="left" w:pos="284"/>
        </w:tabs>
        <w:spacing w:before="0" w:after="0"/>
        <w:ind w:left="284" w:hanging="284"/>
        <w:rPr>
          <w:rFonts w:ascii="Arial" w:hAnsi="Arial"/>
          <w:sz w:val="14"/>
          <w:szCs w:val="14"/>
          <w:lang w:val="en-AU"/>
        </w:rPr>
      </w:pPr>
      <w:r w:rsidRPr="003E76E7">
        <w:rPr>
          <w:rFonts w:ascii="Arial" w:hAnsi="Arial"/>
          <w:sz w:val="14"/>
          <w:szCs w:val="14"/>
          <w:lang w:val="en-AU"/>
        </w:rPr>
        <w:t>Total program funded</w:t>
      </w:r>
      <w:r w:rsidR="005C3E4E" w:rsidRPr="003E76E7">
        <w:rPr>
          <w:rFonts w:ascii="Arial" w:hAnsi="Arial"/>
          <w:sz w:val="14"/>
          <w:szCs w:val="14"/>
          <w:lang w:val="en-AU"/>
        </w:rPr>
        <w:t xml:space="preserve"> expenditure includes operating expenses and capital expenditure funded by appropriation and </w:t>
      </w:r>
      <w:r w:rsidR="00B74CF7" w:rsidRPr="003E76E7">
        <w:rPr>
          <w:rFonts w:ascii="Arial" w:hAnsi="Arial"/>
          <w:sz w:val="14"/>
          <w:szCs w:val="14"/>
          <w:lang w:val="en-AU"/>
        </w:rPr>
        <w:br/>
      </w:r>
      <w:r w:rsidR="005C3E4E" w:rsidRPr="003E76E7">
        <w:rPr>
          <w:rFonts w:ascii="Arial" w:hAnsi="Arial"/>
          <w:sz w:val="14"/>
          <w:szCs w:val="14"/>
          <w:lang w:val="en-AU"/>
        </w:rPr>
        <w:t>own source revenue. This excludes expenses not requiring appropriation.</w:t>
      </w:r>
      <w:r w:rsidR="005C3E4E" w:rsidRPr="003E76E7">
        <w:rPr>
          <w:rFonts w:ascii="Arial" w:hAnsi="Arial"/>
          <w:sz w:val="14"/>
          <w:szCs w:val="14"/>
          <w:lang w:val="en-AU"/>
        </w:rPr>
        <w:tab/>
      </w:r>
      <w:r w:rsidR="005C3E4E" w:rsidRPr="003E76E7">
        <w:rPr>
          <w:rFonts w:ascii="Arial" w:hAnsi="Arial"/>
          <w:sz w:val="14"/>
          <w:szCs w:val="14"/>
          <w:lang w:val="en-AU"/>
        </w:rPr>
        <w:tab/>
      </w:r>
      <w:r w:rsidR="005C3E4E" w:rsidRPr="003E76E7">
        <w:rPr>
          <w:rFonts w:ascii="Arial" w:hAnsi="Arial"/>
          <w:sz w:val="14"/>
          <w:szCs w:val="14"/>
          <w:lang w:val="en-AU"/>
        </w:rPr>
        <w:tab/>
      </w:r>
      <w:r w:rsidR="005C3E4E" w:rsidRPr="003E76E7">
        <w:rPr>
          <w:rFonts w:ascii="Arial" w:hAnsi="Arial"/>
          <w:sz w:val="14"/>
          <w:szCs w:val="14"/>
          <w:lang w:val="en-AU"/>
        </w:rPr>
        <w:tab/>
      </w:r>
      <w:r w:rsidR="005C3E4E" w:rsidRPr="003E76E7">
        <w:rPr>
          <w:rFonts w:ascii="Arial" w:hAnsi="Arial"/>
          <w:sz w:val="14"/>
          <w:szCs w:val="14"/>
          <w:lang w:val="en-AU"/>
        </w:rPr>
        <w:tab/>
      </w:r>
    </w:p>
    <w:p w14:paraId="79E41062" w14:textId="5FC815E4" w:rsidR="000B621C" w:rsidRPr="003E76E7" w:rsidRDefault="005C3E4E" w:rsidP="00C4292D">
      <w:pPr>
        <w:pStyle w:val="ListParagraph"/>
        <w:numPr>
          <w:ilvl w:val="0"/>
          <w:numId w:val="115"/>
        </w:numPr>
        <w:tabs>
          <w:tab w:val="left" w:pos="284"/>
        </w:tabs>
        <w:spacing w:before="0" w:after="0"/>
        <w:ind w:left="284" w:hanging="284"/>
        <w:rPr>
          <w:rFonts w:ascii="Arial" w:hAnsi="Arial"/>
          <w:sz w:val="14"/>
          <w:szCs w:val="14"/>
          <w:lang w:val="en-AU"/>
        </w:rPr>
      </w:pPr>
      <w:r w:rsidRPr="003E76E7">
        <w:rPr>
          <w:rFonts w:ascii="Arial" w:hAnsi="Arial"/>
          <w:sz w:val="14"/>
          <w:szCs w:val="14"/>
          <w:lang w:val="en-AU"/>
        </w:rPr>
        <w:t>The change in estimates includes movement of functions and their associated budgets within Defence.</w:t>
      </w:r>
      <w:r w:rsidRPr="003E76E7">
        <w:rPr>
          <w:rFonts w:ascii="Arial" w:hAnsi="Arial"/>
          <w:sz w:val="14"/>
          <w:szCs w:val="14"/>
          <w:lang w:val="en-AU"/>
        </w:rPr>
        <w:tab/>
      </w:r>
      <w:r w:rsidRPr="003E76E7">
        <w:rPr>
          <w:rFonts w:ascii="Arial" w:hAnsi="Arial"/>
          <w:sz w:val="14"/>
          <w:szCs w:val="14"/>
          <w:lang w:val="en-AU"/>
        </w:rPr>
        <w:tab/>
      </w:r>
      <w:r w:rsidRPr="003E76E7">
        <w:rPr>
          <w:rFonts w:ascii="Arial" w:hAnsi="Arial"/>
          <w:sz w:val="14"/>
          <w:szCs w:val="14"/>
          <w:lang w:val="en-AU"/>
        </w:rPr>
        <w:tab/>
      </w:r>
      <w:r w:rsidRPr="003E76E7">
        <w:rPr>
          <w:rFonts w:ascii="Arial" w:hAnsi="Arial"/>
          <w:sz w:val="14"/>
          <w:szCs w:val="14"/>
          <w:lang w:val="en-AU"/>
        </w:rPr>
        <w:tab/>
      </w:r>
      <w:r w:rsidRPr="003E76E7">
        <w:rPr>
          <w:rFonts w:ascii="Arial" w:hAnsi="Arial"/>
          <w:sz w:val="14"/>
          <w:szCs w:val="14"/>
          <w:lang w:val="en-AU"/>
        </w:rPr>
        <w:tab/>
      </w:r>
    </w:p>
    <w:p w14:paraId="451ED1CB" w14:textId="77777777" w:rsidR="004A4149" w:rsidRPr="003E76E7" w:rsidRDefault="004A4149" w:rsidP="00C4292D">
      <w:pPr>
        <w:tabs>
          <w:tab w:val="left" w:pos="284"/>
        </w:tabs>
        <w:spacing w:before="0" w:after="0"/>
        <w:rPr>
          <w:rFonts w:ascii="Arial" w:hAnsi="Arial"/>
          <w:sz w:val="14"/>
          <w:szCs w:val="14"/>
          <w:lang w:val="en-AU"/>
        </w:rPr>
      </w:pPr>
      <w:r w:rsidRPr="003E76E7">
        <w:rPr>
          <w:rFonts w:ascii="Arial" w:hAnsi="Arial"/>
          <w:sz w:val="14"/>
          <w:szCs w:val="14"/>
          <w:lang w:val="en-AU"/>
        </w:rPr>
        <w:tab/>
      </w:r>
      <w:r w:rsidRPr="003E76E7">
        <w:rPr>
          <w:rFonts w:ascii="Arial" w:hAnsi="Arial"/>
          <w:sz w:val="14"/>
          <w:szCs w:val="14"/>
          <w:lang w:val="en-AU"/>
        </w:rPr>
        <w:tab/>
      </w:r>
      <w:r w:rsidRPr="003E76E7">
        <w:rPr>
          <w:rFonts w:ascii="Arial" w:hAnsi="Arial"/>
          <w:sz w:val="14"/>
          <w:szCs w:val="14"/>
          <w:lang w:val="en-AU"/>
        </w:rPr>
        <w:tab/>
      </w:r>
      <w:r w:rsidRPr="003E76E7">
        <w:rPr>
          <w:rFonts w:ascii="Arial" w:hAnsi="Arial"/>
          <w:sz w:val="14"/>
          <w:szCs w:val="14"/>
          <w:lang w:val="en-AU"/>
        </w:rPr>
        <w:tab/>
      </w:r>
      <w:r w:rsidRPr="003E76E7">
        <w:rPr>
          <w:rFonts w:ascii="Arial" w:hAnsi="Arial"/>
          <w:sz w:val="14"/>
          <w:szCs w:val="14"/>
          <w:lang w:val="en-AU"/>
        </w:rPr>
        <w:tab/>
      </w:r>
    </w:p>
    <w:p w14:paraId="4A633595" w14:textId="77777777" w:rsidR="00DC3903" w:rsidRPr="003E76E7" w:rsidRDefault="001C2D62" w:rsidP="00C4292D">
      <w:pPr>
        <w:spacing w:before="0" w:after="0"/>
        <w:ind w:left="-1418"/>
        <w:outlineLvl w:val="5"/>
        <w:rPr>
          <w:color w:val="FFFFFF"/>
          <w:sz w:val="2"/>
        </w:rPr>
      </w:pPr>
      <w:r w:rsidRPr="003E76E7">
        <w:rPr>
          <w:lang w:val="en-AU"/>
        </w:rPr>
        <w:br w:type="page"/>
      </w:r>
      <w:r w:rsidR="00DC3903" w:rsidRPr="003E76E7">
        <w:rPr>
          <w:color w:val="FFFFFF"/>
          <w:sz w:val="2"/>
        </w:rPr>
        <w:lastRenderedPageBreak/>
        <w:t>Program 2.9: Capability Acquisition and Sustainment</w:t>
      </w:r>
    </w:p>
    <w:tbl>
      <w:tblPr>
        <w:tblW w:w="5062"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2097"/>
        <w:gridCol w:w="3132"/>
        <w:gridCol w:w="3428"/>
      </w:tblGrid>
      <w:tr w:rsidR="00F7100A" w:rsidRPr="003E76E7" w14:paraId="60FA8E46" w14:textId="77777777" w:rsidTr="00A211F5">
        <w:tc>
          <w:tcPr>
            <w:tcW w:w="8657" w:type="dxa"/>
            <w:gridSpan w:val="3"/>
            <w:tcBorders>
              <w:bottom w:val="single" w:sz="4" w:space="0" w:color="auto"/>
            </w:tcBorders>
            <w:shd w:val="clear" w:color="auto" w:fill="CCCCCC"/>
          </w:tcPr>
          <w:p w14:paraId="5B0B70FD" w14:textId="1E4858C5" w:rsidR="00F7100A" w:rsidRPr="003E76E7" w:rsidRDefault="00F7100A" w:rsidP="00C4292D">
            <w:pPr>
              <w:pStyle w:val="Heading5"/>
              <w:spacing w:before="60" w:after="60"/>
            </w:pPr>
            <w:r w:rsidRPr="003E76E7">
              <w:br w:type="page"/>
              <w:t>Program 2.9: Capability Acquisition and Sustainment (including Guided</w:t>
            </w:r>
            <w:r w:rsidR="00303907" w:rsidRPr="003E76E7">
              <w:t xml:space="preserve"> Weapon</w:t>
            </w:r>
            <w:r w:rsidR="003B0FB9">
              <w:t>s</w:t>
            </w:r>
            <w:r w:rsidR="00303907" w:rsidRPr="003E76E7">
              <w:t xml:space="preserve"> and Explosive Ordnance</w:t>
            </w:r>
            <w:r w:rsidR="00CB5C06" w:rsidRPr="003E76E7">
              <w:t xml:space="preserve"> Group</w:t>
            </w:r>
            <w:r w:rsidRPr="003E76E7">
              <w:t>)</w:t>
            </w:r>
          </w:p>
        </w:tc>
      </w:tr>
      <w:tr w:rsidR="00F7100A" w:rsidRPr="003E76E7" w14:paraId="7B8C9BEA" w14:textId="77777777" w:rsidTr="00A211F5">
        <w:trPr>
          <w:trHeight w:val="113"/>
        </w:trPr>
        <w:tc>
          <w:tcPr>
            <w:tcW w:w="8657" w:type="dxa"/>
            <w:gridSpan w:val="3"/>
            <w:tcBorders>
              <w:left w:val="nil"/>
              <w:bottom w:val="single" w:sz="4" w:space="0" w:color="auto"/>
              <w:right w:val="nil"/>
            </w:tcBorders>
            <w:shd w:val="clear" w:color="auto" w:fill="auto"/>
          </w:tcPr>
          <w:p w14:paraId="0730F0A5" w14:textId="77777777" w:rsidR="00F7100A" w:rsidRPr="003E76E7" w:rsidRDefault="00F7100A" w:rsidP="00C4292D">
            <w:pPr>
              <w:pStyle w:val="Heading5"/>
              <w:spacing w:before="0" w:after="0"/>
              <w:rPr>
                <w:sz w:val="16"/>
                <w:szCs w:val="16"/>
              </w:rPr>
            </w:pPr>
          </w:p>
        </w:tc>
      </w:tr>
      <w:tr w:rsidR="00F7100A" w:rsidRPr="003E76E7" w14:paraId="1C286261" w14:textId="77777777" w:rsidTr="00A211F5">
        <w:tblPrEx>
          <w:shd w:val="clear" w:color="auto" w:fill="auto"/>
          <w:tblLook w:val="04A0" w:firstRow="1" w:lastRow="0" w:firstColumn="1" w:lastColumn="0" w:noHBand="0" w:noVBand="1"/>
        </w:tblPrEx>
        <w:trPr>
          <w:tblHeader/>
        </w:trPr>
        <w:tc>
          <w:tcPr>
            <w:tcW w:w="8657" w:type="dxa"/>
            <w:gridSpan w:val="3"/>
            <w:shd w:val="clear" w:color="auto" w:fill="E6E6E6"/>
          </w:tcPr>
          <w:p w14:paraId="5C466621" w14:textId="77777777" w:rsidR="00F7100A" w:rsidRPr="003E76E7" w:rsidRDefault="00F7100A" w:rsidP="00C4292D">
            <w:pPr>
              <w:tabs>
                <w:tab w:val="left" w:pos="709"/>
              </w:tabs>
              <w:spacing w:before="60" w:after="0"/>
              <w:rPr>
                <w:rFonts w:ascii="Arial" w:hAnsi="Arial"/>
                <w:sz w:val="16"/>
                <w:szCs w:val="16"/>
              </w:rPr>
            </w:pPr>
            <w:r w:rsidRPr="003E76E7">
              <w:rPr>
                <w:rFonts w:ascii="Arial" w:hAnsi="Arial"/>
                <w:b/>
                <w:sz w:val="16"/>
                <w:szCs w:val="16"/>
              </w:rPr>
              <w:t>Program 2.9</w:t>
            </w:r>
            <w:r w:rsidRPr="003E76E7">
              <w:rPr>
                <w:rFonts w:ascii="Arial" w:hAnsi="Arial"/>
                <w:sz w:val="16"/>
                <w:szCs w:val="16"/>
              </w:rPr>
              <w:t xml:space="preserve"> </w:t>
            </w:r>
            <w:r w:rsidRPr="003E76E7">
              <w:rPr>
                <w:rFonts w:ascii="Arial" w:hAnsi="Arial"/>
                <w:b/>
                <w:sz w:val="16"/>
                <w:szCs w:val="16"/>
              </w:rPr>
              <w:t>Objective</w:t>
            </w:r>
          </w:p>
          <w:p w14:paraId="13C8DF3A" w14:textId="77777777" w:rsidR="00F7100A" w:rsidRPr="003E76E7" w:rsidRDefault="00F7100A" w:rsidP="00C4292D">
            <w:pPr>
              <w:tabs>
                <w:tab w:val="left" w:pos="709"/>
              </w:tabs>
              <w:spacing w:before="60" w:after="60"/>
              <w:jc w:val="both"/>
              <w:rPr>
                <w:rFonts w:ascii="Arial" w:hAnsi="Arial"/>
                <w:sz w:val="16"/>
                <w:szCs w:val="16"/>
              </w:rPr>
            </w:pPr>
            <w:r w:rsidRPr="003E76E7">
              <w:rPr>
                <w:rFonts w:ascii="Arial" w:hAnsi="Arial"/>
                <w:sz w:val="16"/>
                <w:szCs w:val="16"/>
                <w:lang w:val="en-AU"/>
              </w:rPr>
              <w:t>To acquire and sustain Defence equipment, including supplies and services, in the quantities and to the service levels required by Defence and approved by Government.</w:t>
            </w:r>
          </w:p>
        </w:tc>
      </w:tr>
      <w:tr w:rsidR="00F7100A" w:rsidRPr="003E76E7" w14:paraId="04669939" w14:textId="77777777" w:rsidTr="00A211F5">
        <w:tblPrEx>
          <w:shd w:val="clear" w:color="auto" w:fill="auto"/>
          <w:tblLook w:val="04A0" w:firstRow="1" w:lastRow="0" w:firstColumn="1" w:lastColumn="0" w:noHBand="0" w:noVBand="1"/>
        </w:tblPrEx>
        <w:trPr>
          <w:trHeight w:val="312"/>
        </w:trPr>
        <w:tc>
          <w:tcPr>
            <w:tcW w:w="2097" w:type="dxa"/>
            <w:tcBorders>
              <w:bottom w:val="single" w:sz="4" w:space="0" w:color="auto"/>
            </w:tcBorders>
          </w:tcPr>
          <w:p w14:paraId="5452E074" w14:textId="77408DAA" w:rsidR="00F7100A" w:rsidRPr="003E76E7" w:rsidRDefault="00F7100A" w:rsidP="00C4292D">
            <w:pPr>
              <w:tabs>
                <w:tab w:val="left" w:pos="709"/>
              </w:tabs>
              <w:spacing w:before="60" w:after="60"/>
              <w:rPr>
                <w:rFonts w:ascii="Arial" w:hAnsi="Arial"/>
                <w:b/>
                <w:color w:val="000000"/>
                <w:sz w:val="16"/>
                <w:szCs w:val="16"/>
              </w:rPr>
            </w:pPr>
            <w:r w:rsidRPr="003E76E7">
              <w:rPr>
                <w:rFonts w:ascii="Arial" w:hAnsi="Arial"/>
                <w:b/>
                <w:color w:val="000000"/>
                <w:sz w:val="16"/>
                <w:szCs w:val="16"/>
              </w:rPr>
              <w:t>Key Activities</w:t>
            </w:r>
            <w:r w:rsidR="003C0ED5" w:rsidRPr="003E76E7">
              <w:rPr>
                <w:rFonts w:ascii="Arial" w:hAnsi="Arial"/>
                <w:b/>
                <w:color w:val="000000"/>
                <w:sz w:val="16"/>
                <w:szCs w:val="16"/>
              </w:rPr>
              <w:t xml:space="preserve"> </w:t>
            </w:r>
            <w:r w:rsidR="003C0ED5" w:rsidRPr="003E76E7">
              <w:rPr>
                <w:rFonts w:ascii="Arial" w:hAnsi="Arial"/>
                <w:b/>
                <w:color w:val="000000"/>
                <w:sz w:val="16"/>
                <w:szCs w:val="16"/>
                <w:vertAlign w:val="superscript"/>
              </w:rPr>
              <w:t>[a]</w:t>
            </w:r>
          </w:p>
        </w:tc>
        <w:tc>
          <w:tcPr>
            <w:tcW w:w="6560" w:type="dxa"/>
            <w:gridSpan w:val="2"/>
            <w:tcBorders>
              <w:bottom w:val="single" w:sz="4" w:space="0" w:color="auto"/>
            </w:tcBorders>
          </w:tcPr>
          <w:p w14:paraId="0A79AB58" w14:textId="77777777" w:rsidR="00F7100A" w:rsidRPr="003E76E7" w:rsidRDefault="00F7100A" w:rsidP="00C4292D">
            <w:pPr>
              <w:tabs>
                <w:tab w:val="left" w:pos="343"/>
              </w:tabs>
              <w:spacing w:before="60" w:after="60"/>
              <w:rPr>
                <w:rFonts w:ascii="Arial" w:hAnsi="Arial"/>
                <w:bCs/>
                <w:color w:val="000000"/>
                <w:sz w:val="16"/>
                <w:szCs w:val="16"/>
                <w:lang w:val="en-AU"/>
              </w:rPr>
            </w:pPr>
            <w:r w:rsidRPr="003E76E7">
              <w:rPr>
                <w:rFonts w:ascii="Arial" w:hAnsi="Arial"/>
                <w:bCs/>
                <w:color w:val="000000"/>
                <w:sz w:val="16"/>
                <w:szCs w:val="16"/>
                <w:lang w:val="en-AU"/>
              </w:rPr>
              <w:t>This program will be achieved through the following activities:</w:t>
            </w:r>
          </w:p>
          <w:p w14:paraId="0BD7B10B" w14:textId="77777777" w:rsidR="00E909B5" w:rsidRPr="003E76E7" w:rsidRDefault="00E909B5" w:rsidP="00C4292D">
            <w:pPr>
              <w:tabs>
                <w:tab w:val="left" w:pos="343"/>
              </w:tabs>
              <w:spacing w:before="60" w:after="60"/>
              <w:rPr>
                <w:rFonts w:ascii="Arial" w:hAnsi="Arial"/>
                <w:sz w:val="16"/>
                <w:szCs w:val="16"/>
              </w:rPr>
            </w:pPr>
            <w:r w:rsidRPr="003E76E7">
              <w:rPr>
                <w:rFonts w:ascii="Arial" w:hAnsi="Arial"/>
                <w:b/>
                <w:sz w:val="16"/>
                <w:szCs w:val="16"/>
                <w:lang w:val="en-AU"/>
              </w:rPr>
              <w:t>6. Deliver future capability</w:t>
            </w:r>
            <w:r w:rsidRPr="003E76E7">
              <w:rPr>
                <w:rFonts w:ascii="Arial" w:hAnsi="Arial"/>
                <w:sz w:val="16"/>
                <w:szCs w:val="16"/>
                <w:lang w:val="en-AU"/>
              </w:rPr>
              <w:t xml:space="preserve">. </w:t>
            </w:r>
          </w:p>
          <w:p w14:paraId="6D201F88" w14:textId="62F0E76E" w:rsidR="00F7100A" w:rsidRPr="003E76E7" w:rsidRDefault="00E909B5" w:rsidP="00C4292D">
            <w:pPr>
              <w:tabs>
                <w:tab w:val="left" w:pos="343"/>
              </w:tabs>
              <w:spacing w:before="60" w:after="60"/>
              <w:rPr>
                <w:rFonts w:ascii="Arial" w:hAnsi="Arial"/>
                <w:i/>
                <w:color w:val="000000"/>
                <w:sz w:val="16"/>
                <w:szCs w:val="16"/>
              </w:rPr>
            </w:pPr>
            <w:r w:rsidRPr="003E76E7">
              <w:rPr>
                <w:rFonts w:ascii="Arial" w:hAnsi="Arial"/>
                <w:b/>
                <w:sz w:val="16"/>
                <w:szCs w:val="16"/>
                <w:lang w:val="en-AU"/>
              </w:rPr>
              <w:t>7. Defence advances Australia’s interests through a strengthened sovereign defence industrial base.</w:t>
            </w:r>
          </w:p>
        </w:tc>
      </w:tr>
      <w:tr w:rsidR="00F7100A" w:rsidRPr="003E76E7" w14:paraId="19ADA5FE" w14:textId="77777777" w:rsidTr="00A211F5">
        <w:tblPrEx>
          <w:shd w:val="clear" w:color="auto" w:fill="auto"/>
          <w:tblLook w:val="04A0" w:firstRow="1" w:lastRow="0" w:firstColumn="1" w:lastColumn="0" w:noHBand="0" w:noVBand="1"/>
        </w:tblPrEx>
        <w:trPr>
          <w:trHeight w:val="100"/>
        </w:trPr>
        <w:tc>
          <w:tcPr>
            <w:tcW w:w="2097" w:type="dxa"/>
            <w:tcBorders>
              <w:top w:val="single" w:sz="4" w:space="0" w:color="auto"/>
              <w:bottom w:val="single" w:sz="4" w:space="0" w:color="auto"/>
              <w:right w:val="single" w:sz="4" w:space="0" w:color="auto"/>
            </w:tcBorders>
          </w:tcPr>
          <w:p w14:paraId="6F10DA13" w14:textId="77777777" w:rsidR="00F7100A" w:rsidRPr="003E76E7" w:rsidRDefault="00F7100A" w:rsidP="00C4292D">
            <w:pPr>
              <w:tabs>
                <w:tab w:val="left" w:pos="709"/>
              </w:tabs>
              <w:spacing w:before="60" w:after="60"/>
              <w:rPr>
                <w:rFonts w:ascii="Arial" w:hAnsi="Arial"/>
                <w:color w:val="000000"/>
                <w:sz w:val="16"/>
                <w:szCs w:val="16"/>
              </w:rPr>
            </w:pPr>
            <w:r w:rsidRPr="003E76E7">
              <w:rPr>
                <w:rFonts w:ascii="Arial" w:hAnsi="Arial"/>
                <w:b/>
                <w:color w:val="000000"/>
                <w:sz w:val="16"/>
                <w:szCs w:val="16"/>
              </w:rPr>
              <w:t>Year</w:t>
            </w:r>
          </w:p>
        </w:tc>
        <w:tc>
          <w:tcPr>
            <w:tcW w:w="3132" w:type="dxa"/>
            <w:tcBorders>
              <w:top w:val="single" w:sz="4" w:space="0" w:color="auto"/>
              <w:left w:val="single" w:sz="4" w:space="0" w:color="auto"/>
              <w:bottom w:val="single" w:sz="4" w:space="0" w:color="auto"/>
              <w:right w:val="single" w:sz="4" w:space="0" w:color="auto"/>
            </w:tcBorders>
          </w:tcPr>
          <w:p w14:paraId="748AF7D8" w14:textId="5B3F7EF2" w:rsidR="00F7100A" w:rsidRPr="003E76E7" w:rsidRDefault="00AD14EC" w:rsidP="00C4292D">
            <w:pPr>
              <w:tabs>
                <w:tab w:val="left" w:pos="709"/>
              </w:tabs>
              <w:spacing w:before="60" w:after="60"/>
              <w:rPr>
                <w:rFonts w:ascii="Arial" w:hAnsi="Arial"/>
                <w:color w:val="000000"/>
              </w:rPr>
            </w:pPr>
            <w:r w:rsidRPr="003E76E7">
              <w:rPr>
                <w:rFonts w:ascii="Arial" w:hAnsi="Arial"/>
                <w:b/>
                <w:color w:val="000000"/>
                <w:sz w:val="16"/>
                <w:szCs w:val="16"/>
              </w:rPr>
              <w:t>Performance Measures</w:t>
            </w:r>
          </w:p>
        </w:tc>
        <w:tc>
          <w:tcPr>
            <w:tcW w:w="3428" w:type="dxa"/>
            <w:tcBorders>
              <w:top w:val="single" w:sz="4" w:space="0" w:color="auto"/>
              <w:left w:val="single" w:sz="4" w:space="0" w:color="auto"/>
              <w:bottom w:val="single" w:sz="4" w:space="0" w:color="auto"/>
            </w:tcBorders>
          </w:tcPr>
          <w:p w14:paraId="12531DDF" w14:textId="77777777" w:rsidR="00F7100A" w:rsidRPr="003E76E7" w:rsidRDefault="00F7100A" w:rsidP="00C4292D">
            <w:pPr>
              <w:tabs>
                <w:tab w:val="left" w:pos="709"/>
              </w:tabs>
              <w:spacing w:before="60" w:after="60"/>
              <w:rPr>
                <w:rFonts w:ascii="Arial" w:hAnsi="Arial"/>
                <w:i/>
                <w:color w:val="000000"/>
                <w:sz w:val="16"/>
                <w:szCs w:val="16"/>
              </w:rPr>
            </w:pPr>
            <w:r w:rsidRPr="003E76E7">
              <w:rPr>
                <w:rFonts w:ascii="Arial" w:hAnsi="Arial"/>
                <w:b/>
                <w:color w:val="000000"/>
                <w:sz w:val="16"/>
                <w:szCs w:val="16"/>
              </w:rPr>
              <w:t>Expected Performance Results</w:t>
            </w:r>
          </w:p>
        </w:tc>
      </w:tr>
      <w:tr w:rsidR="00B57F20" w:rsidRPr="003E76E7" w14:paraId="4A220AA5" w14:textId="77777777" w:rsidTr="00B57F20">
        <w:trPr>
          <w:trHeight w:val="305"/>
        </w:trPr>
        <w:tc>
          <w:tcPr>
            <w:tcW w:w="2097" w:type="dxa"/>
            <w:vMerge w:val="restart"/>
            <w:tcBorders>
              <w:top w:val="single" w:sz="4" w:space="0" w:color="auto"/>
              <w:right w:val="single" w:sz="4" w:space="0" w:color="auto"/>
            </w:tcBorders>
          </w:tcPr>
          <w:p w14:paraId="2E0C156F" w14:textId="77777777" w:rsidR="00B57F20" w:rsidRPr="003E76E7" w:rsidRDefault="00B57F20" w:rsidP="00C4292D">
            <w:pPr>
              <w:tabs>
                <w:tab w:val="left" w:pos="709"/>
              </w:tabs>
              <w:spacing w:before="0" w:after="0"/>
              <w:rPr>
                <w:rFonts w:ascii="Arial" w:hAnsi="Arial"/>
                <w:color w:val="000000"/>
                <w:sz w:val="16"/>
                <w:szCs w:val="16"/>
              </w:rPr>
            </w:pPr>
            <w:r w:rsidRPr="003E76E7">
              <w:rPr>
                <w:rFonts w:ascii="Arial" w:hAnsi="Arial"/>
                <w:color w:val="000000"/>
                <w:sz w:val="16"/>
                <w:szCs w:val="16"/>
              </w:rPr>
              <w:t>Current Year</w:t>
            </w:r>
          </w:p>
          <w:p w14:paraId="0B2A53C1" w14:textId="209EFC32" w:rsidR="00B57F20" w:rsidRPr="003E76E7" w:rsidRDefault="00B57F20" w:rsidP="00C4292D">
            <w:pPr>
              <w:tabs>
                <w:tab w:val="left" w:pos="709"/>
              </w:tabs>
              <w:spacing w:before="0" w:after="0"/>
              <w:rPr>
                <w:rFonts w:ascii="Arial" w:hAnsi="Arial"/>
                <w:color w:val="000000"/>
                <w:sz w:val="16"/>
                <w:szCs w:val="16"/>
              </w:rPr>
            </w:pPr>
            <w:r w:rsidRPr="003E76E7">
              <w:rPr>
                <w:rFonts w:ascii="Arial" w:hAnsi="Arial"/>
                <w:color w:val="000000"/>
                <w:sz w:val="16"/>
                <w:szCs w:val="16"/>
              </w:rPr>
              <w:t xml:space="preserve">2025-26 </w:t>
            </w:r>
            <w:r w:rsidRPr="003E76E7">
              <w:rPr>
                <w:rFonts w:ascii="Arial" w:hAnsi="Arial"/>
                <w:color w:val="000000"/>
                <w:sz w:val="16"/>
                <w:szCs w:val="16"/>
                <w:vertAlign w:val="superscript"/>
              </w:rPr>
              <w:t>[b]</w:t>
            </w:r>
          </w:p>
        </w:tc>
        <w:tc>
          <w:tcPr>
            <w:tcW w:w="3132" w:type="dxa"/>
            <w:tcBorders>
              <w:top w:val="single" w:sz="4" w:space="0" w:color="auto"/>
              <w:left w:val="single" w:sz="4" w:space="0" w:color="auto"/>
              <w:bottom w:val="single" w:sz="4" w:space="0" w:color="auto"/>
              <w:right w:val="single" w:sz="4" w:space="0" w:color="auto"/>
            </w:tcBorders>
          </w:tcPr>
          <w:p w14:paraId="71DBBE45" w14:textId="468BE6A0" w:rsidR="00B57F20" w:rsidRPr="003E76E7" w:rsidRDefault="00B57F20" w:rsidP="00C4292D">
            <w:pPr>
              <w:tabs>
                <w:tab w:val="left" w:pos="709"/>
              </w:tabs>
              <w:spacing w:before="60" w:after="60"/>
              <w:rPr>
                <w:rFonts w:ascii="Arial" w:hAnsi="Arial"/>
                <w:sz w:val="16"/>
                <w:szCs w:val="16"/>
                <w:lang w:val="en-AU"/>
              </w:rPr>
            </w:pPr>
            <w:r w:rsidRPr="003E76E7">
              <w:rPr>
                <w:rFonts w:ascii="Arial" w:hAnsi="Arial"/>
                <w:sz w:val="16"/>
                <w:szCs w:val="16"/>
                <w:lang w:val="en-AU"/>
              </w:rPr>
              <w:t>6.1: Defence is delivering the right future capability at the right time within the Integrated Investment Program to ensure it is equipped to respond to future security challenges as directed by the National Defence Strategy.</w:t>
            </w:r>
          </w:p>
        </w:tc>
        <w:tc>
          <w:tcPr>
            <w:tcW w:w="3428" w:type="dxa"/>
            <w:tcBorders>
              <w:top w:val="single" w:sz="4" w:space="0" w:color="auto"/>
              <w:left w:val="single" w:sz="4" w:space="0" w:color="auto"/>
              <w:bottom w:val="single" w:sz="4" w:space="0" w:color="auto"/>
            </w:tcBorders>
          </w:tcPr>
          <w:p w14:paraId="7A48F0CA" w14:textId="4429F699" w:rsidR="00B57F20" w:rsidRPr="003E76E7" w:rsidRDefault="00B57F20" w:rsidP="00C4292D">
            <w:pPr>
              <w:tabs>
                <w:tab w:val="left" w:pos="709"/>
              </w:tabs>
              <w:spacing w:before="60" w:after="60"/>
              <w:rPr>
                <w:rFonts w:ascii="Arial" w:hAnsi="Arial"/>
                <w:sz w:val="16"/>
                <w:szCs w:val="16"/>
                <w:lang w:val="en-AU"/>
              </w:rPr>
            </w:pPr>
            <w:r w:rsidRPr="003E76E7">
              <w:rPr>
                <w:rFonts w:ascii="Arial" w:hAnsi="Arial"/>
                <w:sz w:val="16"/>
                <w:szCs w:val="16"/>
                <w:lang w:val="en-AU"/>
              </w:rPr>
              <w:t xml:space="preserve">80 per cent or more of approved Integrated Investment Program projects across all domains are on track to deliver within Government approved scope, schedule, </w:t>
            </w:r>
            <w:r w:rsidRPr="003E76E7">
              <w:rPr>
                <w:rFonts w:ascii="Arial" w:hAnsi="Arial"/>
                <w:sz w:val="16"/>
                <w:szCs w:val="16"/>
                <w:lang w:val="en-AU"/>
              </w:rPr>
              <w:br/>
              <w:t>and cost (including contingency).</w:t>
            </w:r>
          </w:p>
          <w:p w14:paraId="161F4EE3" w14:textId="5B4A6AB8" w:rsidR="00B57F20" w:rsidRPr="003E76E7" w:rsidRDefault="00B57F20" w:rsidP="00C4292D">
            <w:pPr>
              <w:spacing w:before="0" w:after="60"/>
              <w:jc w:val="right"/>
              <w:rPr>
                <w:rFonts w:ascii="Arial" w:hAnsi="Arial"/>
                <w:color w:val="000000"/>
                <w:sz w:val="16"/>
                <w:szCs w:val="16"/>
                <w:lang w:val="en-AU"/>
              </w:rPr>
            </w:pPr>
            <w:r w:rsidRPr="003E76E7">
              <w:rPr>
                <w:rFonts w:ascii="Arial" w:hAnsi="Arial"/>
                <w:i/>
                <w:sz w:val="16"/>
                <w:szCs w:val="16"/>
                <w:lang w:val="en-AU"/>
              </w:rPr>
              <w:t>Expected to be achieved.</w:t>
            </w:r>
          </w:p>
        </w:tc>
      </w:tr>
      <w:tr w:rsidR="00B57F20" w:rsidRPr="003E76E7" w14:paraId="2E6B8EF7" w14:textId="77777777" w:rsidTr="00B57F20">
        <w:trPr>
          <w:trHeight w:val="305"/>
        </w:trPr>
        <w:tc>
          <w:tcPr>
            <w:tcW w:w="2097" w:type="dxa"/>
            <w:vMerge/>
            <w:tcBorders>
              <w:bottom w:val="single" w:sz="4" w:space="0" w:color="auto"/>
              <w:right w:val="single" w:sz="4" w:space="0" w:color="auto"/>
            </w:tcBorders>
          </w:tcPr>
          <w:p w14:paraId="7224FB32" w14:textId="6FBFD99B" w:rsidR="00B57F20" w:rsidRPr="003E76E7" w:rsidRDefault="00B57F20" w:rsidP="00C4292D">
            <w:pPr>
              <w:tabs>
                <w:tab w:val="left" w:pos="709"/>
              </w:tabs>
              <w:spacing w:before="0" w:after="0"/>
              <w:rPr>
                <w:rFonts w:ascii="Arial" w:hAnsi="Arial"/>
                <w:color w:val="000000"/>
                <w:sz w:val="16"/>
                <w:szCs w:val="16"/>
              </w:rPr>
            </w:pPr>
          </w:p>
        </w:tc>
        <w:tc>
          <w:tcPr>
            <w:tcW w:w="3132" w:type="dxa"/>
            <w:tcBorders>
              <w:top w:val="single" w:sz="4" w:space="0" w:color="auto"/>
              <w:left w:val="single" w:sz="4" w:space="0" w:color="auto"/>
              <w:bottom w:val="single" w:sz="4" w:space="0" w:color="auto"/>
              <w:right w:val="single" w:sz="4" w:space="0" w:color="auto"/>
            </w:tcBorders>
          </w:tcPr>
          <w:p w14:paraId="0FC59E16" w14:textId="25928A7F" w:rsidR="00B57F20" w:rsidRPr="003E76E7" w:rsidRDefault="00B57F20" w:rsidP="00C4292D">
            <w:pPr>
              <w:tabs>
                <w:tab w:val="left" w:pos="709"/>
              </w:tabs>
              <w:spacing w:before="60" w:after="60"/>
              <w:rPr>
                <w:rFonts w:ascii="Arial" w:hAnsi="Arial"/>
                <w:color w:val="000000"/>
                <w:sz w:val="16"/>
                <w:szCs w:val="16"/>
              </w:rPr>
            </w:pPr>
            <w:r w:rsidRPr="003E76E7">
              <w:rPr>
                <w:rFonts w:ascii="Arial" w:hAnsi="Arial"/>
                <w:sz w:val="16"/>
                <w:szCs w:val="16"/>
                <w:lang w:val="en-AU"/>
              </w:rPr>
              <w:t xml:space="preserve">7.1: Defence strengthens the sovereign defence industrial base through investment and domestic manufacture. </w:t>
            </w:r>
          </w:p>
        </w:tc>
        <w:tc>
          <w:tcPr>
            <w:tcW w:w="3428" w:type="dxa"/>
            <w:tcBorders>
              <w:top w:val="single" w:sz="4" w:space="0" w:color="auto"/>
              <w:left w:val="single" w:sz="4" w:space="0" w:color="auto"/>
              <w:bottom w:val="single" w:sz="4" w:space="0" w:color="auto"/>
            </w:tcBorders>
          </w:tcPr>
          <w:p w14:paraId="17656E56" w14:textId="2DB0D156" w:rsidR="00B57F20" w:rsidRPr="003E76E7" w:rsidRDefault="00B57F20" w:rsidP="00C4292D">
            <w:pPr>
              <w:spacing w:before="0" w:after="60"/>
              <w:rPr>
                <w:rFonts w:ascii="Arial" w:hAnsi="Arial"/>
                <w:color w:val="000000"/>
                <w:sz w:val="16"/>
                <w:szCs w:val="16"/>
              </w:rPr>
            </w:pPr>
            <w:r w:rsidRPr="003E76E7">
              <w:rPr>
                <w:rFonts w:ascii="Arial" w:hAnsi="Arial"/>
                <w:color w:val="000000"/>
                <w:sz w:val="16"/>
                <w:szCs w:val="16"/>
                <w:lang w:val="en-AU"/>
              </w:rPr>
              <w:t xml:space="preserve">Defence awards </w:t>
            </w:r>
            <w:r w:rsidRPr="003E76E7">
              <w:rPr>
                <w:rFonts w:ascii="Arial" w:hAnsi="Arial"/>
                <w:color w:val="000000"/>
                <w:sz w:val="16"/>
                <w:szCs w:val="16"/>
              </w:rPr>
              <w:t xml:space="preserve">95 per cent or more of the Defence Industry Development Grant Program budgeted allocation; increases </w:t>
            </w:r>
            <w:r w:rsidRPr="003E76E7">
              <w:rPr>
                <w:rFonts w:ascii="Arial" w:hAnsi="Arial"/>
                <w:color w:val="000000"/>
                <w:sz w:val="16"/>
                <w:szCs w:val="16"/>
              </w:rPr>
              <w:br/>
              <w:t>the number of companies exporting and value of exports; increases the direct economic contribution to the Australian economy; maintains investment in innovation, science and technology to deliver defence priorities; commences manufacture of Guided Multiple Launch Rocket System by 31 December 2025; and meets industrial uplift milestones for the Continuous Naval Shipbuilding Program.</w:t>
            </w:r>
          </w:p>
          <w:p w14:paraId="78108FDA" w14:textId="35752045" w:rsidR="00B57F20" w:rsidRPr="003E76E7" w:rsidRDefault="00D013CE" w:rsidP="00C4292D">
            <w:pPr>
              <w:tabs>
                <w:tab w:val="left" w:pos="709"/>
              </w:tabs>
              <w:spacing w:before="0" w:after="60"/>
              <w:jc w:val="right"/>
              <w:rPr>
                <w:rFonts w:ascii="Arial" w:hAnsi="Arial"/>
                <w:color w:val="000000"/>
                <w:sz w:val="16"/>
                <w:szCs w:val="16"/>
              </w:rPr>
            </w:pPr>
            <w:r w:rsidRPr="003E76E7">
              <w:rPr>
                <w:rFonts w:ascii="Arial" w:hAnsi="Arial"/>
                <w:i/>
                <w:sz w:val="16"/>
                <w:szCs w:val="16"/>
              </w:rPr>
              <w:t>Expected to be partially achieved</w:t>
            </w:r>
            <w:r>
              <w:rPr>
                <w:rFonts w:ascii="Arial" w:hAnsi="Arial"/>
                <w:i/>
                <w:sz w:val="16"/>
                <w:szCs w:val="16"/>
              </w:rPr>
              <w:t>.</w:t>
            </w:r>
          </w:p>
        </w:tc>
      </w:tr>
      <w:tr w:rsidR="00B57F20" w:rsidRPr="003E76E7" w14:paraId="108AAC2A" w14:textId="77777777" w:rsidTr="00A211F5">
        <w:tblPrEx>
          <w:shd w:val="clear" w:color="auto" w:fill="auto"/>
          <w:tblLook w:val="04A0" w:firstRow="1" w:lastRow="0" w:firstColumn="1" w:lastColumn="0" w:noHBand="0" w:noVBand="1"/>
        </w:tblPrEx>
        <w:trPr>
          <w:trHeight w:val="258"/>
        </w:trPr>
        <w:tc>
          <w:tcPr>
            <w:tcW w:w="2097" w:type="dxa"/>
            <w:tcBorders>
              <w:top w:val="single" w:sz="4" w:space="0" w:color="auto"/>
              <w:bottom w:val="single" w:sz="4" w:space="0" w:color="auto"/>
              <w:right w:val="single" w:sz="4" w:space="0" w:color="auto"/>
            </w:tcBorders>
          </w:tcPr>
          <w:p w14:paraId="6F585B71" w14:textId="77777777" w:rsidR="00B57F20" w:rsidRPr="003E76E7" w:rsidRDefault="00B57F20" w:rsidP="00C4292D">
            <w:pPr>
              <w:tabs>
                <w:tab w:val="left" w:pos="709"/>
              </w:tabs>
              <w:spacing w:before="60" w:after="60"/>
              <w:rPr>
                <w:rFonts w:ascii="Arial" w:hAnsi="Arial"/>
                <w:b/>
                <w:color w:val="000000"/>
                <w:sz w:val="16"/>
                <w:szCs w:val="16"/>
              </w:rPr>
            </w:pPr>
            <w:r w:rsidRPr="003E76E7">
              <w:rPr>
                <w:rFonts w:ascii="Arial" w:hAnsi="Arial"/>
                <w:b/>
                <w:color w:val="000000"/>
                <w:sz w:val="16"/>
                <w:szCs w:val="16"/>
              </w:rPr>
              <w:t>Year</w:t>
            </w:r>
          </w:p>
        </w:tc>
        <w:tc>
          <w:tcPr>
            <w:tcW w:w="3132" w:type="dxa"/>
            <w:tcBorders>
              <w:top w:val="single" w:sz="4" w:space="0" w:color="auto"/>
              <w:left w:val="single" w:sz="4" w:space="0" w:color="auto"/>
              <w:bottom w:val="single" w:sz="4" w:space="0" w:color="auto"/>
              <w:right w:val="single" w:sz="4" w:space="0" w:color="auto"/>
            </w:tcBorders>
          </w:tcPr>
          <w:p w14:paraId="2BB8E35B" w14:textId="2DF5E4F4" w:rsidR="00B57F20" w:rsidRPr="003E76E7" w:rsidRDefault="00B57F20" w:rsidP="00C4292D">
            <w:pPr>
              <w:tabs>
                <w:tab w:val="left" w:pos="709"/>
                <w:tab w:val="center" w:pos="1818"/>
              </w:tabs>
              <w:spacing w:before="60" w:after="60"/>
              <w:rPr>
                <w:rFonts w:ascii="Arial" w:hAnsi="Arial"/>
                <w:b/>
                <w:color w:val="000000"/>
                <w:sz w:val="16"/>
                <w:szCs w:val="16"/>
              </w:rPr>
            </w:pPr>
            <w:r w:rsidRPr="003E76E7">
              <w:rPr>
                <w:rFonts w:ascii="Arial" w:hAnsi="Arial"/>
                <w:b/>
                <w:color w:val="000000"/>
                <w:sz w:val="16"/>
                <w:szCs w:val="16"/>
              </w:rPr>
              <w:t>Performance Measures</w:t>
            </w:r>
          </w:p>
        </w:tc>
        <w:tc>
          <w:tcPr>
            <w:tcW w:w="3428" w:type="dxa"/>
            <w:tcBorders>
              <w:top w:val="single" w:sz="4" w:space="0" w:color="auto"/>
              <w:left w:val="single" w:sz="4" w:space="0" w:color="auto"/>
              <w:bottom w:val="single" w:sz="4" w:space="0" w:color="auto"/>
            </w:tcBorders>
          </w:tcPr>
          <w:p w14:paraId="6EF6E3B6" w14:textId="77777777" w:rsidR="00B57F20" w:rsidRPr="003E76E7" w:rsidRDefault="00B57F20" w:rsidP="00C4292D">
            <w:pPr>
              <w:tabs>
                <w:tab w:val="left" w:pos="709"/>
              </w:tabs>
              <w:spacing w:before="60" w:after="60"/>
              <w:rPr>
                <w:rFonts w:ascii="Arial" w:hAnsi="Arial"/>
                <w:b/>
                <w:color w:val="000000"/>
                <w:sz w:val="16"/>
                <w:szCs w:val="16"/>
              </w:rPr>
            </w:pPr>
            <w:r w:rsidRPr="003E76E7">
              <w:rPr>
                <w:rFonts w:ascii="Arial" w:hAnsi="Arial"/>
                <w:b/>
                <w:color w:val="000000"/>
                <w:sz w:val="16"/>
                <w:szCs w:val="16"/>
              </w:rPr>
              <w:t>Planned Performance Results</w:t>
            </w:r>
          </w:p>
        </w:tc>
      </w:tr>
      <w:tr w:rsidR="00B57F20" w:rsidRPr="003E76E7" w14:paraId="5A5C26F3" w14:textId="77777777" w:rsidTr="00A211F5">
        <w:trPr>
          <w:trHeight w:val="642"/>
        </w:trPr>
        <w:tc>
          <w:tcPr>
            <w:tcW w:w="2097" w:type="dxa"/>
            <w:vMerge w:val="restart"/>
            <w:tcBorders>
              <w:top w:val="single" w:sz="4" w:space="0" w:color="auto"/>
              <w:bottom w:val="single" w:sz="4" w:space="0" w:color="auto"/>
              <w:right w:val="single" w:sz="4" w:space="0" w:color="auto"/>
            </w:tcBorders>
          </w:tcPr>
          <w:p w14:paraId="32FB823A" w14:textId="77777777" w:rsidR="00B57F20" w:rsidRPr="003E76E7" w:rsidRDefault="00B57F20" w:rsidP="00C4292D">
            <w:pPr>
              <w:tabs>
                <w:tab w:val="left" w:pos="709"/>
              </w:tabs>
              <w:spacing w:before="0" w:after="0"/>
              <w:rPr>
                <w:rFonts w:ascii="Arial" w:hAnsi="Arial"/>
                <w:color w:val="000000"/>
                <w:sz w:val="16"/>
                <w:szCs w:val="16"/>
              </w:rPr>
            </w:pPr>
            <w:r w:rsidRPr="003E76E7">
              <w:rPr>
                <w:rFonts w:ascii="Arial" w:hAnsi="Arial"/>
                <w:color w:val="000000"/>
                <w:sz w:val="16"/>
                <w:szCs w:val="16"/>
              </w:rPr>
              <w:t>Budget Year</w:t>
            </w:r>
          </w:p>
          <w:p w14:paraId="75BFC308" w14:textId="4D5D32B7" w:rsidR="00B57F20" w:rsidRPr="003E76E7" w:rsidRDefault="00B57F20" w:rsidP="00C4292D">
            <w:pPr>
              <w:tabs>
                <w:tab w:val="left" w:pos="709"/>
              </w:tabs>
              <w:spacing w:before="0" w:after="0"/>
              <w:rPr>
                <w:rFonts w:ascii="Arial" w:hAnsi="Arial"/>
                <w:color w:val="000000"/>
                <w:sz w:val="16"/>
                <w:szCs w:val="16"/>
              </w:rPr>
            </w:pPr>
            <w:r w:rsidRPr="003E76E7">
              <w:rPr>
                <w:rFonts w:ascii="Arial" w:hAnsi="Arial"/>
                <w:color w:val="000000"/>
                <w:sz w:val="16"/>
                <w:szCs w:val="16"/>
              </w:rPr>
              <w:t xml:space="preserve">2026-27 </w:t>
            </w:r>
            <w:r w:rsidRPr="003E76E7">
              <w:rPr>
                <w:rFonts w:ascii="Arial" w:hAnsi="Arial"/>
                <w:color w:val="000000"/>
                <w:sz w:val="16"/>
                <w:szCs w:val="16"/>
                <w:vertAlign w:val="superscript"/>
              </w:rPr>
              <w:t>[c]</w:t>
            </w:r>
          </w:p>
        </w:tc>
        <w:tc>
          <w:tcPr>
            <w:tcW w:w="3132" w:type="dxa"/>
            <w:tcBorders>
              <w:top w:val="single" w:sz="4" w:space="0" w:color="auto"/>
              <w:left w:val="single" w:sz="4" w:space="0" w:color="auto"/>
              <w:bottom w:val="single" w:sz="4" w:space="0" w:color="auto"/>
              <w:right w:val="single" w:sz="4" w:space="0" w:color="auto"/>
            </w:tcBorders>
          </w:tcPr>
          <w:p w14:paraId="58AA138C" w14:textId="0A66A5C5" w:rsidR="00B57F20" w:rsidRPr="003E76E7" w:rsidRDefault="00B57F20" w:rsidP="00C4292D">
            <w:pPr>
              <w:tabs>
                <w:tab w:val="left" w:pos="709"/>
              </w:tabs>
              <w:spacing w:before="60" w:after="60"/>
              <w:rPr>
                <w:rFonts w:ascii="Arial" w:hAnsi="Arial"/>
                <w:color w:val="000000"/>
                <w:sz w:val="16"/>
                <w:szCs w:val="16"/>
              </w:rPr>
            </w:pPr>
            <w:r w:rsidRPr="003E76E7">
              <w:rPr>
                <w:rFonts w:ascii="Arial" w:hAnsi="Arial"/>
                <w:sz w:val="16"/>
                <w:szCs w:val="16"/>
                <w:lang w:val="en-AU"/>
              </w:rPr>
              <w:t>6.1: Defence is delivering the right future capability at the right time within the Integrated Investment Program to ensure it is equipped to respond to future security challenges as directed by the National Defence Strategy.</w:t>
            </w:r>
          </w:p>
        </w:tc>
        <w:tc>
          <w:tcPr>
            <w:tcW w:w="3428" w:type="dxa"/>
            <w:tcBorders>
              <w:top w:val="single" w:sz="4" w:space="0" w:color="auto"/>
              <w:left w:val="single" w:sz="4" w:space="0" w:color="auto"/>
              <w:bottom w:val="single" w:sz="4" w:space="0" w:color="auto"/>
            </w:tcBorders>
          </w:tcPr>
          <w:p w14:paraId="0FBCD5A0" w14:textId="1EF21C68" w:rsidR="00B57F20" w:rsidRPr="003E76E7" w:rsidRDefault="00B57F20" w:rsidP="00C4292D">
            <w:pPr>
              <w:tabs>
                <w:tab w:val="left" w:pos="709"/>
              </w:tabs>
              <w:spacing w:before="60" w:after="60"/>
              <w:rPr>
                <w:rFonts w:ascii="Arial" w:hAnsi="Arial"/>
                <w:sz w:val="16"/>
                <w:szCs w:val="16"/>
              </w:rPr>
            </w:pPr>
            <w:r w:rsidRPr="003E76E7">
              <w:rPr>
                <w:rFonts w:ascii="Arial" w:hAnsi="Arial"/>
                <w:sz w:val="16"/>
                <w:szCs w:val="16"/>
                <w:lang w:val="en-AU"/>
              </w:rPr>
              <w:t>80 per cent or more of approved Integrated Investment Program projects across all domains are on track to deliver within Government approved scope, schedule, and cost (including contingency).</w:t>
            </w:r>
          </w:p>
        </w:tc>
      </w:tr>
      <w:tr w:rsidR="00B57F20" w:rsidRPr="003E76E7" w14:paraId="69CD9B59" w14:textId="77777777" w:rsidTr="00A211F5">
        <w:trPr>
          <w:trHeight w:val="1044"/>
        </w:trPr>
        <w:tc>
          <w:tcPr>
            <w:tcW w:w="2097" w:type="dxa"/>
            <w:vMerge/>
            <w:tcBorders>
              <w:top w:val="single" w:sz="4" w:space="0" w:color="auto"/>
              <w:bottom w:val="single" w:sz="4" w:space="0" w:color="auto"/>
              <w:right w:val="single" w:sz="4" w:space="0" w:color="auto"/>
            </w:tcBorders>
          </w:tcPr>
          <w:p w14:paraId="1C4F3197" w14:textId="77777777" w:rsidR="00B57F20" w:rsidRPr="003E76E7" w:rsidRDefault="00B57F20" w:rsidP="00C4292D">
            <w:pPr>
              <w:tabs>
                <w:tab w:val="left" w:pos="709"/>
              </w:tabs>
              <w:spacing w:before="60" w:after="60"/>
              <w:rPr>
                <w:rFonts w:ascii="Arial" w:hAnsi="Arial"/>
                <w:color w:val="000000"/>
                <w:sz w:val="16"/>
                <w:szCs w:val="16"/>
              </w:rPr>
            </w:pPr>
          </w:p>
        </w:tc>
        <w:tc>
          <w:tcPr>
            <w:tcW w:w="3132" w:type="dxa"/>
            <w:tcBorders>
              <w:top w:val="single" w:sz="4" w:space="0" w:color="auto"/>
              <w:left w:val="single" w:sz="4" w:space="0" w:color="auto"/>
              <w:bottom w:val="single" w:sz="4" w:space="0" w:color="auto"/>
              <w:right w:val="single" w:sz="4" w:space="0" w:color="auto"/>
            </w:tcBorders>
          </w:tcPr>
          <w:p w14:paraId="252E2441" w14:textId="49389134" w:rsidR="00B57F20" w:rsidRPr="003E76E7" w:rsidRDefault="00B57F20" w:rsidP="00C4292D">
            <w:pPr>
              <w:tabs>
                <w:tab w:val="left" w:pos="709"/>
              </w:tabs>
              <w:spacing w:before="60" w:after="60"/>
              <w:rPr>
                <w:rFonts w:ascii="Arial" w:hAnsi="Arial"/>
                <w:color w:val="000000"/>
                <w:sz w:val="16"/>
                <w:szCs w:val="16"/>
              </w:rPr>
            </w:pPr>
            <w:r w:rsidRPr="003E76E7">
              <w:rPr>
                <w:rFonts w:ascii="Arial" w:hAnsi="Arial"/>
                <w:sz w:val="16"/>
                <w:szCs w:val="16"/>
                <w:lang w:val="en-AU"/>
              </w:rPr>
              <w:t xml:space="preserve">7.1: Defence strengthens the sovereign defence industrial base through investment and domestic manufacture. </w:t>
            </w:r>
          </w:p>
        </w:tc>
        <w:tc>
          <w:tcPr>
            <w:tcW w:w="3428" w:type="dxa"/>
            <w:tcBorders>
              <w:top w:val="single" w:sz="4" w:space="0" w:color="auto"/>
              <w:left w:val="single" w:sz="4" w:space="0" w:color="auto"/>
              <w:bottom w:val="single" w:sz="4" w:space="0" w:color="auto"/>
            </w:tcBorders>
          </w:tcPr>
          <w:p w14:paraId="7631A681" w14:textId="341F943C" w:rsidR="00B57F20" w:rsidRPr="003E76E7" w:rsidRDefault="00B57F20" w:rsidP="00C4292D">
            <w:pPr>
              <w:spacing w:before="60" w:after="60"/>
              <w:rPr>
                <w:rFonts w:ascii="Arial" w:hAnsi="Arial"/>
                <w:i/>
                <w:color w:val="000000"/>
                <w:sz w:val="16"/>
                <w:szCs w:val="16"/>
              </w:rPr>
            </w:pPr>
            <w:r w:rsidRPr="003E76E7">
              <w:rPr>
                <w:rFonts w:ascii="Arial" w:hAnsi="Arial"/>
                <w:color w:val="000000"/>
                <w:sz w:val="16"/>
                <w:szCs w:val="16"/>
                <w:lang w:val="en-AU"/>
              </w:rPr>
              <w:t xml:space="preserve">Defence awards </w:t>
            </w:r>
            <w:r w:rsidRPr="003E76E7">
              <w:rPr>
                <w:rFonts w:ascii="Arial" w:hAnsi="Arial"/>
                <w:color w:val="000000"/>
                <w:sz w:val="16"/>
                <w:szCs w:val="16"/>
              </w:rPr>
              <w:t xml:space="preserve">95 per cent or more of the Defence Industry Development Grant Program budgeted allocation; increases </w:t>
            </w:r>
            <w:r w:rsidRPr="003E76E7">
              <w:rPr>
                <w:rFonts w:ascii="Arial" w:hAnsi="Arial"/>
                <w:color w:val="000000"/>
                <w:sz w:val="16"/>
                <w:szCs w:val="16"/>
              </w:rPr>
              <w:br/>
              <w:t>the number of companies exporting and value of exports; increases the direct economic contribution to the Australian economy; maintains investment in innovation, science and technology to deliver defence priorities; supports the development of the domestic manufacture of guided weapons, explosive ordnance and munitions; and meets industrial uplift milestones for the Continuous Naval Shipbuilding Program.</w:t>
            </w:r>
          </w:p>
        </w:tc>
      </w:tr>
      <w:tr w:rsidR="00B57F20" w:rsidRPr="003E76E7" w14:paraId="41AD523C" w14:textId="77777777" w:rsidTr="00A211F5">
        <w:trPr>
          <w:trHeight w:val="39"/>
        </w:trPr>
        <w:tc>
          <w:tcPr>
            <w:tcW w:w="2097" w:type="dxa"/>
            <w:tcBorders>
              <w:top w:val="single" w:sz="4" w:space="0" w:color="auto"/>
              <w:bottom w:val="single" w:sz="4" w:space="0" w:color="auto"/>
              <w:right w:val="single" w:sz="4" w:space="0" w:color="auto"/>
            </w:tcBorders>
            <w:vAlign w:val="center"/>
          </w:tcPr>
          <w:p w14:paraId="156CA219" w14:textId="6E456301" w:rsidR="00B57F20" w:rsidRPr="003E76E7" w:rsidRDefault="00B57F20" w:rsidP="00C4292D">
            <w:pPr>
              <w:tabs>
                <w:tab w:val="left" w:pos="709"/>
              </w:tabs>
              <w:spacing w:before="60" w:after="60"/>
              <w:rPr>
                <w:rFonts w:ascii="Arial" w:hAnsi="Arial"/>
                <w:color w:val="000000"/>
                <w:sz w:val="16"/>
                <w:szCs w:val="16"/>
              </w:rPr>
            </w:pPr>
            <w:r w:rsidRPr="003E76E7">
              <w:rPr>
                <w:rFonts w:ascii="Arial" w:hAnsi="Arial"/>
                <w:b/>
                <w:color w:val="000000"/>
                <w:sz w:val="16"/>
                <w:szCs w:val="16"/>
              </w:rPr>
              <w:t>Year</w:t>
            </w:r>
          </w:p>
        </w:tc>
        <w:tc>
          <w:tcPr>
            <w:tcW w:w="3132" w:type="dxa"/>
            <w:tcBorders>
              <w:top w:val="single" w:sz="4" w:space="0" w:color="auto"/>
              <w:left w:val="single" w:sz="4" w:space="0" w:color="auto"/>
              <w:bottom w:val="single" w:sz="4" w:space="0" w:color="auto"/>
              <w:right w:val="single" w:sz="4" w:space="0" w:color="auto"/>
            </w:tcBorders>
            <w:vAlign w:val="center"/>
          </w:tcPr>
          <w:p w14:paraId="039354BB" w14:textId="76F40A02" w:rsidR="00B57F20" w:rsidRPr="003E76E7" w:rsidRDefault="00B57F20" w:rsidP="00C4292D">
            <w:pPr>
              <w:tabs>
                <w:tab w:val="left" w:pos="709"/>
              </w:tabs>
              <w:spacing w:before="60" w:after="60"/>
              <w:rPr>
                <w:rFonts w:ascii="Arial" w:hAnsi="Arial"/>
                <w:sz w:val="16"/>
                <w:szCs w:val="16"/>
                <w:lang w:val="en-AU"/>
              </w:rPr>
            </w:pPr>
            <w:r w:rsidRPr="003E76E7">
              <w:rPr>
                <w:rFonts w:ascii="Arial" w:hAnsi="Arial"/>
                <w:b/>
                <w:color w:val="000000"/>
                <w:sz w:val="16"/>
                <w:szCs w:val="16"/>
              </w:rPr>
              <w:t>Performance Measures</w:t>
            </w:r>
          </w:p>
        </w:tc>
        <w:tc>
          <w:tcPr>
            <w:tcW w:w="3428" w:type="dxa"/>
            <w:tcBorders>
              <w:top w:val="single" w:sz="4" w:space="0" w:color="auto"/>
              <w:left w:val="single" w:sz="4" w:space="0" w:color="auto"/>
              <w:bottom w:val="single" w:sz="4" w:space="0" w:color="auto"/>
            </w:tcBorders>
            <w:vAlign w:val="center"/>
          </w:tcPr>
          <w:p w14:paraId="46262D86" w14:textId="0B30D741" w:rsidR="00B57F20" w:rsidRPr="003E76E7" w:rsidRDefault="00B57F20" w:rsidP="00C4292D">
            <w:pPr>
              <w:spacing w:before="60" w:after="60"/>
              <w:rPr>
                <w:rFonts w:ascii="Arial" w:hAnsi="Arial"/>
                <w:color w:val="000000"/>
                <w:sz w:val="16"/>
                <w:szCs w:val="16"/>
                <w:lang w:val="en-AU"/>
              </w:rPr>
            </w:pPr>
            <w:r w:rsidRPr="003E76E7">
              <w:rPr>
                <w:rFonts w:ascii="Arial" w:hAnsi="Arial"/>
                <w:b/>
                <w:color w:val="000000"/>
                <w:sz w:val="16"/>
                <w:szCs w:val="16"/>
              </w:rPr>
              <w:t>Planned Performance Results</w:t>
            </w:r>
          </w:p>
        </w:tc>
      </w:tr>
      <w:tr w:rsidR="00B57F20" w:rsidRPr="003E76E7" w14:paraId="558A830C" w14:textId="77777777" w:rsidTr="00A211F5">
        <w:trPr>
          <w:trHeight w:val="443"/>
        </w:trPr>
        <w:tc>
          <w:tcPr>
            <w:tcW w:w="2097" w:type="dxa"/>
            <w:tcBorders>
              <w:top w:val="single" w:sz="4" w:space="0" w:color="auto"/>
              <w:bottom w:val="single" w:sz="4" w:space="0" w:color="auto"/>
              <w:right w:val="single" w:sz="4" w:space="0" w:color="auto"/>
            </w:tcBorders>
            <w:vAlign w:val="center"/>
          </w:tcPr>
          <w:p w14:paraId="7985D2E9" w14:textId="77777777" w:rsidR="00B57F20" w:rsidRPr="003E76E7" w:rsidRDefault="00B57F20" w:rsidP="00C4292D">
            <w:pPr>
              <w:keepNext/>
              <w:keepLines/>
              <w:tabs>
                <w:tab w:val="left" w:pos="709"/>
              </w:tabs>
              <w:spacing w:before="0" w:after="0"/>
              <w:rPr>
                <w:rFonts w:ascii="Arial" w:hAnsi="Arial"/>
                <w:color w:val="000000"/>
                <w:sz w:val="16"/>
                <w:szCs w:val="16"/>
              </w:rPr>
            </w:pPr>
            <w:r w:rsidRPr="003E76E7">
              <w:rPr>
                <w:rFonts w:ascii="Arial" w:hAnsi="Arial"/>
                <w:color w:val="000000"/>
                <w:sz w:val="16"/>
                <w:szCs w:val="16"/>
              </w:rPr>
              <w:t>Forward Estimates</w:t>
            </w:r>
          </w:p>
          <w:p w14:paraId="3138987F" w14:textId="1DF92D22" w:rsidR="00B57F20" w:rsidRPr="003E76E7" w:rsidRDefault="00B57F20" w:rsidP="00C4292D">
            <w:pPr>
              <w:tabs>
                <w:tab w:val="left" w:pos="709"/>
              </w:tabs>
              <w:spacing w:before="0" w:after="0"/>
              <w:rPr>
                <w:rFonts w:ascii="Arial" w:hAnsi="Arial"/>
                <w:color w:val="000000"/>
                <w:sz w:val="16"/>
                <w:szCs w:val="16"/>
              </w:rPr>
            </w:pPr>
            <w:r w:rsidRPr="003E76E7">
              <w:rPr>
                <w:rFonts w:ascii="Arial" w:hAnsi="Arial"/>
                <w:color w:val="000000"/>
                <w:sz w:val="16"/>
                <w:szCs w:val="16"/>
              </w:rPr>
              <w:t>2027-30</w:t>
            </w:r>
          </w:p>
        </w:tc>
        <w:tc>
          <w:tcPr>
            <w:tcW w:w="3132" w:type="dxa"/>
            <w:tcBorders>
              <w:top w:val="single" w:sz="4" w:space="0" w:color="auto"/>
              <w:left w:val="single" w:sz="4" w:space="0" w:color="auto"/>
              <w:bottom w:val="single" w:sz="4" w:space="0" w:color="auto"/>
              <w:right w:val="single" w:sz="4" w:space="0" w:color="auto"/>
            </w:tcBorders>
            <w:vAlign w:val="center"/>
          </w:tcPr>
          <w:p w14:paraId="633F0BAA" w14:textId="7B4527D2" w:rsidR="00B57F20" w:rsidRPr="003E76E7" w:rsidRDefault="00B57F20" w:rsidP="00C4292D">
            <w:pPr>
              <w:tabs>
                <w:tab w:val="left" w:pos="709"/>
              </w:tabs>
              <w:spacing w:before="0" w:after="0"/>
              <w:rPr>
                <w:rFonts w:ascii="Arial" w:hAnsi="Arial"/>
                <w:sz w:val="16"/>
                <w:szCs w:val="16"/>
                <w:lang w:val="en-AU"/>
              </w:rPr>
            </w:pPr>
            <w:r w:rsidRPr="003E76E7">
              <w:rPr>
                <w:rFonts w:ascii="Arial" w:hAnsi="Arial"/>
                <w:color w:val="000000"/>
                <w:sz w:val="16"/>
                <w:szCs w:val="16"/>
              </w:rPr>
              <w:t>As per 2026-27.</w:t>
            </w:r>
          </w:p>
        </w:tc>
        <w:tc>
          <w:tcPr>
            <w:tcW w:w="3428" w:type="dxa"/>
            <w:tcBorders>
              <w:top w:val="single" w:sz="4" w:space="0" w:color="auto"/>
              <w:left w:val="single" w:sz="4" w:space="0" w:color="auto"/>
              <w:bottom w:val="single" w:sz="4" w:space="0" w:color="auto"/>
            </w:tcBorders>
            <w:vAlign w:val="center"/>
          </w:tcPr>
          <w:p w14:paraId="04AF5633" w14:textId="2715A584" w:rsidR="00B57F20" w:rsidRPr="003E76E7" w:rsidRDefault="00B57F20" w:rsidP="00C4292D">
            <w:pPr>
              <w:spacing w:before="0" w:after="0"/>
              <w:rPr>
                <w:rFonts w:ascii="Arial" w:hAnsi="Arial"/>
                <w:color w:val="000000"/>
                <w:sz w:val="16"/>
                <w:szCs w:val="16"/>
                <w:lang w:val="en-AU"/>
              </w:rPr>
            </w:pPr>
            <w:r w:rsidRPr="003E76E7">
              <w:rPr>
                <w:rFonts w:ascii="Arial" w:hAnsi="Arial"/>
                <w:color w:val="000000"/>
                <w:sz w:val="16"/>
                <w:szCs w:val="16"/>
              </w:rPr>
              <w:t>As per 2026-27.</w:t>
            </w:r>
          </w:p>
        </w:tc>
      </w:tr>
      <w:tr w:rsidR="00B57F20" w:rsidRPr="003E76E7" w14:paraId="2D22A157" w14:textId="77777777" w:rsidTr="00A211F5">
        <w:trPr>
          <w:trHeight w:val="265"/>
        </w:trPr>
        <w:tc>
          <w:tcPr>
            <w:tcW w:w="8657" w:type="dxa"/>
            <w:gridSpan w:val="3"/>
            <w:tcBorders>
              <w:top w:val="single" w:sz="4" w:space="0" w:color="auto"/>
              <w:bottom w:val="single" w:sz="4" w:space="0" w:color="auto"/>
            </w:tcBorders>
          </w:tcPr>
          <w:p w14:paraId="31949B9D" w14:textId="6888B447" w:rsidR="00B57F20" w:rsidRPr="003E76E7" w:rsidRDefault="00B57F20" w:rsidP="00C4292D">
            <w:pPr>
              <w:rPr>
                <w:rFonts w:ascii="Arial" w:hAnsi="Arial"/>
                <w:color w:val="000000"/>
                <w:sz w:val="16"/>
                <w:szCs w:val="16"/>
                <w:lang w:val="en-AU"/>
              </w:rPr>
            </w:pPr>
            <w:r w:rsidRPr="003E76E7">
              <w:rPr>
                <w:rFonts w:ascii="Arial" w:hAnsi="Arial"/>
                <w:color w:val="000000"/>
                <w:sz w:val="16"/>
                <w:szCs w:val="16"/>
                <w:lang w:val="en-AU"/>
              </w:rPr>
              <w:t>Material changes to Program 2.9 resulting from 2026-27 Budget Measures: Nil.</w:t>
            </w:r>
          </w:p>
        </w:tc>
      </w:tr>
    </w:tbl>
    <w:p w14:paraId="4650A0E5" w14:textId="77777777" w:rsidR="0063101B" w:rsidRPr="003E76E7" w:rsidRDefault="0063101B" w:rsidP="00C4292D">
      <w:pPr>
        <w:spacing w:before="0" w:after="0"/>
        <w:rPr>
          <w:rFonts w:ascii="Arial" w:hAnsi="Arial"/>
          <w:sz w:val="14"/>
          <w:szCs w:val="14"/>
        </w:rPr>
      </w:pPr>
    </w:p>
    <w:p w14:paraId="1A64C703" w14:textId="62FA5FB6" w:rsidR="00F7100A" w:rsidRPr="003E76E7" w:rsidRDefault="00F7100A" w:rsidP="00C4292D">
      <w:pPr>
        <w:pStyle w:val="TableHeading"/>
        <w:spacing w:before="0" w:after="0"/>
        <w:rPr>
          <w:sz w:val="14"/>
          <w:szCs w:val="14"/>
        </w:rPr>
      </w:pPr>
      <w:r w:rsidRPr="003E76E7">
        <w:rPr>
          <w:sz w:val="14"/>
          <w:szCs w:val="14"/>
        </w:rPr>
        <w:t>Note</w:t>
      </w:r>
      <w:r w:rsidR="003C0ED5" w:rsidRPr="003E76E7">
        <w:rPr>
          <w:sz w:val="14"/>
          <w:szCs w:val="14"/>
        </w:rPr>
        <w:t>s</w:t>
      </w:r>
    </w:p>
    <w:p w14:paraId="59E990C5" w14:textId="4EC1799D" w:rsidR="00E909B5" w:rsidRPr="003E76E7" w:rsidRDefault="00F7100A" w:rsidP="00C4292D">
      <w:pPr>
        <w:pStyle w:val="TableHeading"/>
        <w:numPr>
          <w:ilvl w:val="0"/>
          <w:numId w:val="88"/>
        </w:numPr>
        <w:tabs>
          <w:tab w:val="left" w:pos="0"/>
          <w:tab w:val="left" w:pos="142"/>
        </w:tabs>
        <w:spacing w:before="0" w:after="0"/>
        <w:ind w:left="284" w:hanging="284"/>
        <w:rPr>
          <w:b w:val="0"/>
          <w:i/>
          <w:sz w:val="14"/>
          <w:szCs w:val="14"/>
          <w:lang w:val="en-AU"/>
        </w:rPr>
      </w:pPr>
      <w:r w:rsidRPr="003E76E7">
        <w:rPr>
          <w:b w:val="0"/>
          <w:sz w:val="14"/>
          <w:szCs w:val="14"/>
          <w:lang w:val="en-AU"/>
        </w:rPr>
        <w:tab/>
      </w:r>
      <w:r w:rsidR="00E909B5" w:rsidRPr="003E76E7">
        <w:rPr>
          <w:b w:val="0"/>
          <w:sz w:val="14"/>
          <w:szCs w:val="14"/>
          <w:lang w:val="en-AU"/>
        </w:rPr>
        <w:t xml:space="preserve">Key activity 7 has been amended for 2025-26, as published in the </w:t>
      </w:r>
      <w:r w:rsidR="00E909B5" w:rsidRPr="003E76E7">
        <w:rPr>
          <w:b w:val="0"/>
          <w:i/>
          <w:sz w:val="14"/>
          <w:szCs w:val="14"/>
          <w:lang w:val="en-AU"/>
        </w:rPr>
        <w:t xml:space="preserve">2025-29 Defence Corporate Plan. </w:t>
      </w:r>
    </w:p>
    <w:p w14:paraId="27BF1A50" w14:textId="77777777" w:rsidR="00891511" w:rsidRPr="003E76E7" w:rsidRDefault="00E909B5" w:rsidP="00C4292D">
      <w:pPr>
        <w:pStyle w:val="TableHeading"/>
        <w:numPr>
          <w:ilvl w:val="0"/>
          <w:numId w:val="88"/>
        </w:numPr>
        <w:tabs>
          <w:tab w:val="left" w:pos="0"/>
          <w:tab w:val="left" w:pos="284"/>
        </w:tabs>
        <w:spacing w:before="0" w:after="0"/>
        <w:ind w:left="284" w:hanging="284"/>
        <w:rPr>
          <w:b w:val="0"/>
          <w:sz w:val="14"/>
          <w:szCs w:val="14"/>
          <w:lang w:val="en-AU"/>
        </w:rPr>
      </w:pPr>
      <w:r w:rsidRPr="003E76E7">
        <w:rPr>
          <w:b w:val="0"/>
          <w:sz w:val="14"/>
          <w:szCs w:val="14"/>
          <w:lang w:val="en-AU"/>
        </w:rPr>
        <w:t xml:space="preserve">Performance Measures 6.1 and 7.1 have been amended for 2025-26, as published in the </w:t>
      </w:r>
      <w:r w:rsidRPr="003E76E7">
        <w:rPr>
          <w:b w:val="0"/>
          <w:i/>
          <w:sz w:val="14"/>
          <w:szCs w:val="14"/>
          <w:lang w:val="en-AU"/>
        </w:rPr>
        <w:t>2025-29 Defence Corporate Plan</w:t>
      </w:r>
      <w:r w:rsidR="00C23CD1" w:rsidRPr="003E76E7">
        <w:rPr>
          <w:b w:val="0"/>
          <w:i/>
          <w:sz w:val="14"/>
          <w:szCs w:val="14"/>
          <w:lang w:val="en-AU"/>
        </w:rPr>
        <w:t>.</w:t>
      </w:r>
    </w:p>
    <w:p w14:paraId="27338041" w14:textId="4C1048A1" w:rsidR="00F7100A" w:rsidRPr="003E76E7" w:rsidRDefault="00E909B5" w:rsidP="00C4292D">
      <w:pPr>
        <w:pStyle w:val="TableHeading"/>
        <w:numPr>
          <w:ilvl w:val="0"/>
          <w:numId w:val="88"/>
        </w:numPr>
        <w:tabs>
          <w:tab w:val="left" w:pos="0"/>
          <w:tab w:val="left" w:pos="284"/>
        </w:tabs>
        <w:spacing w:before="0" w:after="0"/>
        <w:ind w:left="284" w:hanging="284"/>
        <w:rPr>
          <w:b w:val="0"/>
          <w:sz w:val="14"/>
          <w:szCs w:val="14"/>
          <w:lang w:val="en-AU"/>
        </w:rPr>
      </w:pPr>
      <w:r w:rsidRPr="003E76E7">
        <w:rPr>
          <w:b w:val="0"/>
          <w:sz w:val="14"/>
          <w:szCs w:val="14"/>
          <w:lang w:val="en-AU"/>
        </w:rPr>
        <w:t xml:space="preserve">In accordance with Defence’s Enterprise Performance Framework, Defence is undertaking materiality assessments that may result in updates to the 2026-27 performance information in the 2026-30 Defence Corporate Plan, if required. </w:t>
      </w:r>
    </w:p>
    <w:p w14:paraId="7DCBFFFF" w14:textId="14531397" w:rsidR="003D5485" w:rsidRPr="003E76E7" w:rsidRDefault="003D5485" w:rsidP="00C4292D">
      <w:pPr>
        <w:pStyle w:val="TableHeading"/>
        <w:numPr>
          <w:ilvl w:val="0"/>
          <w:numId w:val="61"/>
        </w:numPr>
        <w:spacing w:before="100"/>
        <w:ind w:left="0" w:firstLine="0"/>
        <w:outlineLvl w:val="4"/>
        <w:rPr>
          <w:lang w:val="en-AU"/>
        </w:rPr>
      </w:pPr>
      <w:r w:rsidRPr="003E76E7">
        <w:rPr>
          <w:lang w:val="en-AU"/>
        </w:rPr>
        <w:lastRenderedPageBreak/>
        <w:t>Cost Summary for Program 2.9 Capability Acquisition and Sustainment</w:t>
      </w:r>
      <w:r w:rsidR="00397C1C" w:rsidRPr="003E76E7">
        <w:rPr>
          <w:lang w:val="en-AU"/>
        </w:rPr>
        <w:t xml:space="preserve"> (including Guided</w:t>
      </w:r>
      <w:r w:rsidR="004A566C" w:rsidRPr="003E76E7">
        <w:rPr>
          <w:lang w:val="en-AU"/>
        </w:rPr>
        <w:t xml:space="preserve"> Weapon</w:t>
      </w:r>
      <w:r w:rsidR="00F36B39" w:rsidRPr="003E76E7">
        <w:rPr>
          <w:lang w:val="en-AU"/>
        </w:rPr>
        <w:t>s</w:t>
      </w:r>
      <w:r w:rsidR="004A566C" w:rsidRPr="003E76E7">
        <w:rPr>
          <w:lang w:val="en-AU"/>
        </w:rPr>
        <w:t xml:space="preserve"> and Explosive Ordnance Group</w:t>
      </w:r>
      <w:r w:rsidR="00397C1C" w:rsidRPr="003E76E7">
        <w:rPr>
          <w:lang w:val="en-AU"/>
        </w:rPr>
        <w:t>)</w:t>
      </w:r>
    </w:p>
    <w:p w14:paraId="1628D74B" w14:textId="5B47F1D9" w:rsidR="00312F38" w:rsidRPr="003E76E7" w:rsidRDefault="00F478CA" w:rsidP="00C4292D">
      <w:pPr>
        <w:spacing w:after="0"/>
      </w:pPr>
      <w:r w:rsidRPr="00F478CA">
        <w:rPr>
          <w:noProof/>
          <w:lang w:val="en-AU"/>
        </w:rPr>
        <w:drawing>
          <wp:inline distT="0" distB="0" distL="0" distR="0" wp14:anchorId="2C672CBF" wp14:editId="3549B19A">
            <wp:extent cx="5436235" cy="2887662"/>
            <wp:effectExtent l="0" t="0" r="0" b="825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36235" cy="2887662"/>
                    </a:xfrm>
                    <a:prstGeom prst="rect">
                      <a:avLst/>
                    </a:prstGeom>
                    <a:noFill/>
                    <a:ln>
                      <a:noFill/>
                    </a:ln>
                  </pic:spPr>
                </pic:pic>
              </a:graphicData>
            </a:graphic>
          </wp:inline>
        </w:drawing>
      </w:r>
    </w:p>
    <w:p w14:paraId="73D2593F" w14:textId="77777777" w:rsidR="009D3404" w:rsidRPr="003E76E7" w:rsidRDefault="009D3404" w:rsidP="00C4292D">
      <w:pPr>
        <w:pStyle w:val="BodyText"/>
        <w:spacing w:before="0" w:after="0"/>
        <w:ind w:left="284" w:hanging="284"/>
        <w:rPr>
          <w:rFonts w:ascii="Arial" w:hAnsi="Arial"/>
          <w:b/>
          <w:sz w:val="14"/>
          <w:szCs w:val="14"/>
          <w:lang w:val="en-AU"/>
        </w:rPr>
      </w:pPr>
    </w:p>
    <w:p w14:paraId="79CD2144" w14:textId="329AB303" w:rsidR="00CB045C" w:rsidRPr="003E76E7" w:rsidRDefault="006F629D" w:rsidP="00C4292D">
      <w:pPr>
        <w:pStyle w:val="BodyText"/>
        <w:spacing w:before="0" w:after="0"/>
        <w:ind w:left="284" w:hanging="284"/>
        <w:rPr>
          <w:rFonts w:ascii="Arial" w:hAnsi="Arial"/>
          <w:b/>
          <w:sz w:val="14"/>
          <w:szCs w:val="14"/>
          <w:lang w:val="en-AU"/>
        </w:rPr>
      </w:pPr>
      <w:r w:rsidRPr="003E76E7">
        <w:rPr>
          <w:rFonts w:ascii="Arial" w:hAnsi="Arial"/>
          <w:b/>
          <w:sz w:val="14"/>
          <w:szCs w:val="14"/>
          <w:lang w:val="en-AU"/>
        </w:rPr>
        <w:t>Note</w:t>
      </w:r>
    </w:p>
    <w:p w14:paraId="03999EAA" w14:textId="37AB89C0" w:rsidR="000B621C" w:rsidRPr="003E76E7" w:rsidRDefault="003B2409" w:rsidP="00C4292D">
      <w:pPr>
        <w:pStyle w:val="BodyText"/>
        <w:spacing w:before="0" w:after="0"/>
        <w:ind w:left="284" w:hanging="284"/>
        <w:rPr>
          <w:rFonts w:ascii="Arial" w:hAnsi="Arial"/>
          <w:sz w:val="14"/>
          <w:szCs w:val="14"/>
          <w:lang w:val="en-AU"/>
        </w:rPr>
      </w:pPr>
      <w:r w:rsidRPr="003E76E7">
        <w:rPr>
          <w:rFonts w:ascii="Arial" w:hAnsi="Arial"/>
          <w:sz w:val="14"/>
          <w:szCs w:val="14"/>
          <w:lang w:val="en-AU"/>
        </w:rPr>
        <w:t xml:space="preserve">a. </w:t>
      </w:r>
      <w:r w:rsidR="003A0A8B" w:rsidRPr="003E76E7">
        <w:rPr>
          <w:rFonts w:ascii="Arial" w:hAnsi="Arial"/>
          <w:sz w:val="14"/>
          <w:szCs w:val="14"/>
          <w:lang w:val="en-AU"/>
        </w:rPr>
        <w:tab/>
      </w:r>
      <w:r w:rsidR="00A37A36" w:rsidRPr="003E76E7">
        <w:rPr>
          <w:rFonts w:ascii="Arial" w:hAnsi="Arial"/>
          <w:sz w:val="14"/>
          <w:szCs w:val="14"/>
          <w:lang w:val="en-AU"/>
        </w:rPr>
        <w:t>Total program funded</w:t>
      </w:r>
      <w:r w:rsidR="005C3E4E" w:rsidRPr="003E76E7">
        <w:rPr>
          <w:rFonts w:ascii="Arial" w:hAnsi="Arial"/>
          <w:sz w:val="14"/>
          <w:szCs w:val="14"/>
          <w:lang w:val="en-AU"/>
        </w:rPr>
        <w:t xml:space="preserve"> expenditure includes operating expenses and capital expenditure funded by appropriation and </w:t>
      </w:r>
      <w:r w:rsidR="005C3E4E" w:rsidRPr="003E76E7">
        <w:rPr>
          <w:rFonts w:ascii="Arial" w:hAnsi="Arial"/>
          <w:sz w:val="14"/>
          <w:szCs w:val="14"/>
          <w:lang w:val="en-AU"/>
        </w:rPr>
        <w:br/>
        <w:t>own source revenue. This excludes expenses not requiring appropriation.</w:t>
      </w:r>
    </w:p>
    <w:p w14:paraId="17A35DF6" w14:textId="77777777" w:rsidR="00234C63" w:rsidRPr="003E76E7" w:rsidRDefault="00234C63" w:rsidP="00C4292D">
      <w:pPr>
        <w:pStyle w:val="BodyText"/>
        <w:spacing w:before="0" w:after="0"/>
        <w:ind w:left="284" w:hanging="284"/>
        <w:rPr>
          <w:rFonts w:ascii="Arial" w:hAnsi="Arial"/>
          <w:sz w:val="14"/>
          <w:szCs w:val="14"/>
          <w:lang w:val="en-AU"/>
        </w:rPr>
      </w:pPr>
    </w:p>
    <w:p w14:paraId="71585977" w14:textId="77777777" w:rsidR="00DC3903" w:rsidRPr="003E76E7" w:rsidRDefault="006323C6" w:rsidP="00C4292D">
      <w:pPr>
        <w:spacing w:before="0" w:after="0"/>
        <w:ind w:left="284" w:hanging="284"/>
        <w:outlineLvl w:val="5"/>
        <w:rPr>
          <w:color w:val="FFFFFF"/>
          <w:sz w:val="2"/>
          <w:szCs w:val="2"/>
        </w:rPr>
      </w:pPr>
      <w:r w:rsidRPr="003E76E7">
        <w:rPr>
          <w:lang w:val="en-AU"/>
        </w:rPr>
        <w:br w:type="page"/>
      </w:r>
      <w:r w:rsidR="00DC3903" w:rsidRPr="003E76E7">
        <w:rPr>
          <w:color w:val="FFFFFF"/>
          <w:sz w:val="2"/>
          <w:szCs w:val="2"/>
        </w:rPr>
        <w:lastRenderedPageBreak/>
        <w:t xml:space="preserve">Program 2.10: </w:t>
      </w:r>
      <w:r w:rsidR="000142CB" w:rsidRPr="003E76E7">
        <w:rPr>
          <w:color w:val="FFFFFF"/>
          <w:sz w:val="2"/>
          <w:szCs w:val="2"/>
        </w:rPr>
        <w:t xml:space="preserve">Security </w:t>
      </w:r>
      <w:r w:rsidR="00DC3903" w:rsidRPr="003E76E7">
        <w:rPr>
          <w:color w:val="FFFFFF"/>
          <w:sz w:val="2"/>
          <w:szCs w:val="2"/>
        </w:rPr>
        <w:t xml:space="preserve">and </w:t>
      </w:r>
      <w:r w:rsidR="000142CB" w:rsidRPr="003E76E7">
        <w:rPr>
          <w:color w:val="FFFFFF"/>
          <w:sz w:val="2"/>
          <w:szCs w:val="2"/>
        </w:rPr>
        <w:t>Estate</w:t>
      </w:r>
    </w:p>
    <w:tbl>
      <w:tblPr>
        <w:tblW w:w="492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0"/>
        <w:gridCol w:w="3142"/>
        <w:gridCol w:w="3334"/>
      </w:tblGrid>
      <w:tr w:rsidR="00F7100A" w:rsidRPr="003E76E7" w14:paraId="274F7E17" w14:textId="77777777" w:rsidTr="00A211F5">
        <w:tc>
          <w:tcPr>
            <w:tcW w:w="7728" w:type="dxa"/>
            <w:gridSpan w:val="3"/>
            <w:tcBorders>
              <w:bottom w:val="single" w:sz="4" w:space="0" w:color="auto"/>
            </w:tcBorders>
            <w:shd w:val="clear" w:color="auto" w:fill="CCCCCC"/>
          </w:tcPr>
          <w:p w14:paraId="656D25C9" w14:textId="77777777" w:rsidR="00F7100A" w:rsidRPr="003E76E7" w:rsidRDefault="00F7100A" w:rsidP="00C4292D">
            <w:pPr>
              <w:pStyle w:val="Heading5"/>
              <w:spacing w:before="60" w:after="60"/>
            </w:pPr>
            <w:r w:rsidRPr="003E76E7">
              <w:t>Program 2.10: Security and Estate</w:t>
            </w:r>
          </w:p>
        </w:tc>
      </w:tr>
      <w:tr w:rsidR="00F7100A" w:rsidRPr="003E76E7" w14:paraId="69BDC516" w14:textId="77777777" w:rsidTr="00A211F5">
        <w:trPr>
          <w:trHeight w:val="170"/>
        </w:trPr>
        <w:tc>
          <w:tcPr>
            <w:tcW w:w="7728" w:type="dxa"/>
            <w:gridSpan w:val="3"/>
            <w:tcBorders>
              <w:left w:val="nil"/>
              <w:bottom w:val="single" w:sz="4" w:space="0" w:color="auto"/>
              <w:right w:val="nil"/>
            </w:tcBorders>
            <w:shd w:val="clear" w:color="auto" w:fill="auto"/>
          </w:tcPr>
          <w:p w14:paraId="2FA50BAD" w14:textId="77777777" w:rsidR="00F7100A" w:rsidRPr="003E76E7" w:rsidRDefault="00F7100A" w:rsidP="00C4292D">
            <w:pPr>
              <w:pStyle w:val="Heading5"/>
              <w:spacing w:before="0" w:after="0"/>
              <w:rPr>
                <w:sz w:val="16"/>
                <w:szCs w:val="16"/>
              </w:rPr>
            </w:pPr>
          </w:p>
        </w:tc>
      </w:tr>
      <w:tr w:rsidR="00F7100A" w:rsidRPr="003E76E7" w14:paraId="3F01166A" w14:textId="77777777" w:rsidTr="00A211F5">
        <w:tblPrEx>
          <w:tblLook w:val="04A0" w:firstRow="1" w:lastRow="0" w:firstColumn="1" w:lastColumn="0" w:noHBand="0" w:noVBand="1"/>
        </w:tblPrEx>
        <w:trPr>
          <w:tblHeader/>
        </w:trPr>
        <w:tc>
          <w:tcPr>
            <w:tcW w:w="7728" w:type="dxa"/>
            <w:gridSpan w:val="3"/>
            <w:shd w:val="clear" w:color="auto" w:fill="E6E6E6"/>
          </w:tcPr>
          <w:p w14:paraId="303EC3A5" w14:textId="77777777" w:rsidR="00F7100A" w:rsidRPr="003E76E7" w:rsidRDefault="00F7100A" w:rsidP="00C4292D">
            <w:pPr>
              <w:tabs>
                <w:tab w:val="left" w:pos="709"/>
              </w:tabs>
              <w:spacing w:before="60" w:after="60"/>
              <w:rPr>
                <w:rFonts w:ascii="Arial" w:hAnsi="Arial"/>
                <w:b/>
                <w:bCs/>
                <w:iCs/>
                <w:sz w:val="16"/>
                <w:szCs w:val="16"/>
              </w:rPr>
            </w:pPr>
            <w:r w:rsidRPr="003E76E7">
              <w:rPr>
                <w:rFonts w:ascii="Arial" w:hAnsi="Arial"/>
                <w:b/>
                <w:sz w:val="16"/>
                <w:szCs w:val="16"/>
              </w:rPr>
              <w:t>Program 2.10 Objective</w:t>
            </w:r>
          </w:p>
          <w:p w14:paraId="72E464EF" w14:textId="77777777" w:rsidR="00F7100A" w:rsidRPr="003E76E7" w:rsidRDefault="00F7100A" w:rsidP="00C4292D">
            <w:pPr>
              <w:tabs>
                <w:tab w:val="left" w:pos="709"/>
              </w:tabs>
              <w:spacing w:before="0" w:after="60"/>
              <w:rPr>
                <w:rFonts w:ascii="Arial" w:hAnsi="Arial"/>
                <w:sz w:val="16"/>
                <w:szCs w:val="16"/>
              </w:rPr>
            </w:pPr>
            <w:r w:rsidRPr="003E76E7">
              <w:rPr>
                <w:rFonts w:ascii="Arial" w:hAnsi="Arial"/>
                <w:sz w:val="16"/>
                <w:szCs w:val="16"/>
                <w:lang w:val="en-AU"/>
              </w:rPr>
              <w:t>To deliver integrated security, estate and infrastructure services to enable Defence Force Operations and to contribute to Defence outcomes.</w:t>
            </w:r>
          </w:p>
        </w:tc>
      </w:tr>
      <w:tr w:rsidR="00F7100A" w:rsidRPr="003E76E7" w14:paraId="46054D75" w14:textId="77777777" w:rsidTr="00A211F5">
        <w:tblPrEx>
          <w:tblLook w:val="04A0" w:firstRow="1" w:lastRow="0" w:firstColumn="1" w:lastColumn="0" w:noHBand="0" w:noVBand="1"/>
        </w:tblPrEx>
        <w:trPr>
          <w:trHeight w:val="312"/>
        </w:trPr>
        <w:tc>
          <w:tcPr>
            <w:tcW w:w="1788" w:type="dxa"/>
            <w:tcBorders>
              <w:bottom w:val="single" w:sz="4" w:space="0" w:color="auto"/>
            </w:tcBorders>
          </w:tcPr>
          <w:p w14:paraId="27C5C86F" w14:textId="136DECC9" w:rsidR="00F7100A" w:rsidRPr="003E76E7" w:rsidRDefault="006369C5" w:rsidP="00C4292D">
            <w:pPr>
              <w:tabs>
                <w:tab w:val="left" w:pos="709"/>
              </w:tabs>
              <w:spacing w:before="60" w:after="60"/>
              <w:rPr>
                <w:rFonts w:ascii="Arial" w:hAnsi="Arial"/>
                <w:b/>
                <w:color w:val="000000"/>
                <w:sz w:val="16"/>
                <w:szCs w:val="16"/>
              </w:rPr>
            </w:pPr>
            <w:r w:rsidRPr="003E76E7">
              <w:rPr>
                <w:rFonts w:ascii="Arial" w:hAnsi="Arial"/>
                <w:b/>
                <w:color w:val="000000"/>
                <w:sz w:val="16"/>
                <w:szCs w:val="16"/>
              </w:rPr>
              <w:t>Key Activity</w:t>
            </w:r>
          </w:p>
        </w:tc>
        <w:tc>
          <w:tcPr>
            <w:tcW w:w="5940" w:type="dxa"/>
            <w:gridSpan w:val="2"/>
            <w:tcBorders>
              <w:bottom w:val="single" w:sz="4" w:space="0" w:color="auto"/>
            </w:tcBorders>
          </w:tcPr>
          <w:p w14:paraId="69A721B0" w14:textId="77777777" w:rsidR="00F7100A" w:rsidRPr="003E76E7" w:rsidRDefault="00F7100A" w:rsidP="00C4292D">
            <w:pPr>
              <w:tabs>
                <w:tab w:val="left" w:pos="343"/>
              </w:tabs>
              <w:spacing w:before="60" w:after="60"/>
              <w:rPr>
                <w:rFonts w:ascii="Arial" w:hAnsi="Arial"/>
                <w:bCs/>
                <w:color w:val="000000"/>
                <w:sz w:val="16"/>
                <w:szCs w:val="16"/>
                <w:lang w:val="en-AU"/>
              </w:rPr>
            </w:pPr>
            <w:r w:rsidRPr="003E76E7">
              <w:rPr>
                <w:rFonts w:ascii="Arial" w:hAnsi="Arial"/>
                <w:bCs/>
                <w:color w:val="000000"/>
                <w:sz w:val="16"/>
                <w:szCs w:val="16"/>
                <w:lang w:val="en-AU"/>
              </w:rPr>
              <w:t>This program will be achieved through the following activity:</w:t>
            </w:r>
          </w:p>
          <w:p w14:paraId="4BC45532" w14:textId="28F7FFD9" w:rsidR="00F7100A" w:rsidRPr="003E76E7" w:rsidRDefault="00F7100A" w:rsidP="00C4292D">
            <w:pPr>
              <w:tabs>
                <w:tab w:val="left" w:pos="709"/>
              </w:tabs>
              <w:spacing w:before="60" w:after="60"/>
              <w:rPr>
                <w:rFonts w:ascii="Arial" w:hAnsi="Arial"/>
                <w:i/>
                <w:color w:val="000000"/>
                <w:sz w:val="16"/>
                <w:szCs w:val="16"/>
              </w:rPr>
            </w:pPr>
            <w:r w:rsidRPr="003E76E7">
              <w:rPr>
                <w:rFonts w:ascii="Arial" w:hAnsi="Arial"/>
                <w:b/>
                <w:sz w:val="16"/>
                <w:szCs w:val="16"/>
                <w:lang w:val="en-AU"/>
              </w:rPr>
              <w:t xml:space="preserve">6. </w:t>
            </w:r>
            <w:r w:rsidR="00296940" w:rsidRPr="003E76E7">
              <w:rPr>
                <w:rFonts w:ascii="Arial" w:hAnsi="Arial"/>
                <w:b/>
                <w:sz w:val="16"/>
                <w:szCs w:val="16"/>
                <w:lang w:val="en-AU"/>
              </w:rPr>
              <w:t>Deliver future capability</w:t>
            </w:r>
            <w:r w:rsidR="00296940" w:rsidRPr="003E76E7">
              <w:rPr>
                <w:rFonts w:ascii="Arial" w:hAnsi="Arial"/>
                <w:sz w:val="16"/>
                <w:szCs w:val="16"/>
                <w:lang w:val="en-AU"/>
              </w:rPr>
              <w:t>.</w:t>
            </w:r>
          </w:p>
        </w:tc>
      </w:tr>
      <w:tr w:rsidR="00F7100A" w:rsidRPr="003E76E7" w14:paraId="2EACEB40" w14:textId="77777777" w:rsidTr="00A211F5">
        <w:tblPrEx>
          <w:tblLook w:val="04A0" w:firstRow="1" w:lastRow="0" w:firstColumn="1" w:lastColumn="0" w:noHBand="0" w:noVBand="1"/>
        </w:tblPrEx>
        <w:trPr>
          <w:trHeight w:val="100"/>
        </w:trPr>
        <w:tc>
          <w:tcPr>
            <w:tcW w:w="1788" w:type="dxa"/>
            <w:tcBorders>
              <w:top w:val="single" w:sz="4" w:space="0" w:color="auto"/>
              <w:bottom w:val="single" w:sz="4" w:space="0" w:color="auto"/>
              <w:right w:val="single" w:sz="4" w:space="0" w:color="auto"/>
            </w:tcBorders>
          </w:tcPr>
          <w:p w14:paraId="547969BA" w14:textId="77777777" w:rsidR="00F7100A" w:rsidRPr="003E76E7" w:rsidRDefault="00F7100A" w:rsidP="00C4292D">
            <w:pPr>
              <w:tabs>
                <w:tab w:val="left" w:pos="709"/>
              </w:tabs>
              <w:spacing w:before="60" w:after="60"/>
              <w:rPr>
                <w:rFonts w:ascii="Arial" w:hAnsi="Arial"/>
                <w:color w:val="000000"/>
                <w:sz w:val="16"/>
                <w:szCs w:val="16"/>
              </w:rPr>
            </w:pPr>
            <w:r w:rsidRPr="003E76E7">
              <w:rPr>
                <w:rFonts w:ascii="Arial" w:hAnsi="Arial"/>
                <w:b/>
                <w:color w:val="000000"/>
                <w:sz w:val="16"/>
                <w:szCs w:val="16"/>
              </w:rPr>
              <w:t>Year</w:t>
            </w:r>
          </w:p>
        </w:tc>
        <w:tc>
          <w:tcPr>
            <w:tcW w:w="2882" w:type="dxa"/>
            <w:tcBorders>
              <w:top w:val="single" w:sz="4" w:space="0" w:color="auto"/>
              <w:left w:val="single" w:sz="4" w:space="0" w:color="auto"/>
              <w:bottom w:val="single" w:sz="4" w:space="0" w:color="auto"/>
              <w:right w:val="single" w:sz="4" w:space="0" w:color="auto"/>
            </w:tcBorders>
          </w:tcPr>
          <w:p w14:paraId="50D9F7CF" w14:textId="6F635C2A" w:rsidR="00F7100A" w:rsidRPr="003E76E7" w:rsidRDefault="00AD14EC" w:rsidP="00C4292D">
            <w:pPr>
              <w:tabs>
                <w:tab w:val="left" w:pos="709"/>
              </w:tabs>
              <w:spacing w:before="60" w:after="60"/>
              <w:rPr>
                <w:rFonts w:ascii="Arial" w:hAnsi="Arial"/>
                <w:color w:val="000000"/>
              </w:rPr>
            </w:pPr>
            <w:r w:rsidRPr="003E76E7">
              <w:rPr>
                <w:rFonts w:ascii="Arial" w:hAnsi="Arial"/>
                <w:b/>
                <w:color w:val="000000"/>
                <w:sz w:val="16"/>
                <w:szCs w:val="16"/>
              </w:rPr>
              <w:t>Performance Measures</w:t>
            </w:r>
          </w:p>
        </w:tc>
        <w:tc>
          <w:tcPr>
            <w:tcW w:w="3058" w:type="dxa"/>
            <w:tcBorders>
              <w:top w:val="single" w:sz="4" w:space="0" w:color="auto"/>
              <w:left w:val="single" w:sz="4" w:space="0" w:color="auto"/>
              <w:bottom w:val="single" w:sz="4" w:space="0" w:color="auto"/>
            </w:tcBorders>
          </w:tcPr>
          <w:p w14:paraId="5504A7F9" w14:textId="77777777" w:rsidR="00F7100A" w:rsidRPr="003E76E7" w:rsidRDefault="00F7100A" w:rsidP="00C4292D">
            <w:pPr>
              <w:tabs>
                <w:tab w:val="left" w:pos="709"/>
              </w:tabs>
              <w:spacing w:before="60" w:after="60"/>
              <w:rPr>
                <w:rFonts w:ascii="Arial" w:hAnsi="Arial"/>
                <w:i/>
                <w:color w:val="000000"/>
                <w:sz w:val="16"/>
                <w:szCs w:val="16"/>
              </w:rPr>
            </w:pPr>
            <w:r w:rsidRPr="003E76E7">
              <w:rPr>
                <w:rFonts w:ascii="Arial" w:hAnsi="Arial"/>
                <w:b/>
                <w:color w:val="000000"/>
                <w:sz w:val="16"/>
                <w:szCs w:val="16"/>
              </w:rPr>
              <w:t>Expected Performance Results</w:t>
            </w:r>
          </w:p>
        </w:tc>
      </w:tr>
      <w:tr w:rsidR="00296940" w:rsidRPr="003E76E7" w14:paraId="5583F3D0" w14:textId="77777777" w:rsidTr="00A211F5">
        <w:tblPrEx>
          <w:tblLook w:val="04A0" w:firstRow="1" w:lastRow="0" w:firstColumn="1" w:lastColumn="0" w:noHBand="0" w:noVBand="1"/>
        </w:tblPrEx>
        <w:trPr>
          <w:trHeight w:val="100"/>
        </w:trPr>
        <w:tc>
          <w:tcPr>
            <w:tcW w:w="1788" w:type="dxa"/>
            <w:tcBorders>
              <w:top w:val="single" w:sz="4" w:space="0" w:color="auto"/>
              <w:bottom w:val="single" w:sz="4" w:space="0" w:color="auto"/>
              <w:right w:val="single" w:sz="4" w:space="0" w:color="auto"/>
            </w:tcBorders>
          </w:tcPr>
          <w:p w14:paraId="3AC9D064" w14:textId="77777777" w:rsidR="00296940" w:rsidRPr="003E76E7" w:rsidRDefault="00296940" w:rsidP="00C4292D">
            <w:pPr>
              <w:tabs>
                <w:tab w:val="left" w:pos="709"/>
              </w:tabs>
              <w:spacing w:before="0" w:after="0"/>
              <w:rPr>
                <w:rFonts w:ascii="Arial" w:hAnsi="Arial"/>
                <w:color w:val="000000"/>
                <w:sz w:val="16"/>
                <w:szCs w:val="16"/>
              </w:rPr>
            </w:pPr>
            <w:r w:rsidRPr="003E76E7">
              <w:rPr>
                <w:rFonts w:ascii="Arial" w:hAnsi="Arial"/>
                <w:color w:val="000000"/>
                <w:sz w:val="16"/>
                <w:szCs w:val="16"/>
              </w:rPr>
              <w:t>Current Year</w:t>
            </w:r>
          </w:p>
          <w:p w14:paraId="6B4C5382" w14:textId="53E68D72" w:rsidR="00296940" w:rsidRPr="003E76E7" w:rsidRDefault="00296940" w:rsidP="00C4292D">
            <w:pPr>
              <w:tabs>
                <w:tab w:val="left" w:pos="709"/>
              </w:tabs>
              <w:spacing w:before="0" w:after="0"/>
              <w:rPr>
                <w:rFonts w:ascii="Arial" w:hAnsi="Arial"/>
                <w:color w:val="000000"/>
                <w:sz w:val="16"/>
                <w:szCs w:val="16"/>
              </w:rPr>
            </w:pPr>
            <w:r w:rsidRPr="003E76E7">
              <w:rPr>
                <w:rFonts w:ascii="Arial" w:hAnsi="Arial"/>
                <w:color w:val="000000"/>
                <w:sz w:val="16"/>
                <w:szCs w:val="16"/>
              </w:rPr>
              <w:t>2025-26</w:t>
            </w:r>
            <w:r w:rsidR="003C0ED5" w:rsidRPr="003E76E7">
              <w:rPr>
                <w:rFonts w:ascii="Arial" w:hAnsi="Arial"/>
                <w:color w:val="000000"/>
                <w:sz w:val="16"/>
                <w:szCs w:val="16"/>
              </w:rPr>
              <w:t xml:space="preserve"> </w:t>
            </w:r>
            <w:r w:rsidR="003C0ED5" w:rsidRPr="003E76E7">
              <w:rPr>
                <w:rFonts w:ascii="Arial" w:hAnsi="Arial"/>
                <w:color w:val="000000"/>
                <w:sz w:val="16"/>
                <w:szCs w:val="16"/>
                <w:vertAlign w:val="superscript"/>
              </w:rPr>
              <w:t>[a]</w:t>
            </w:r>
          </w:p>
        </w:tc>
        <w:tc>
          <w:tcPr>
            <w:tcW w:w="2882" w:type="dxa"/>
            <w:tcBorders>
              <w:top w:val="single" w:sz="4" w:space="0" w:color="auto"/>
              <w:left w:val="single" w:sz="4" w:space="0" w:color="auto"/>
              <w:bottom w:val="single" w:sz="4" w:space="0" w:color="auto"/>
              <w:right w:val="single" w:sz="4" w:space="0" w:color="auto"/>
            </w:tcBorders>
          </w:tcPr>
          <w:p w14:paraId="6A2C917E" w14:textId="2D1127EC" w:rsidR="00296940" w:rsidRPr="003E76E7" w:rsidRDefault="00296940" w:rsidP="00C4292D">
            <w:pPr>
              <w:tabs>
                <w:tab w:val="left" w:pos="709"/>
              </w:tabs>
              <w:spacing w:before="60" w:after="60"/>
              <w:rPr>
                <w:rFonts w:ascii="Arial" w:hAnsi="Arial"/>
                <w:color w:val="000000"/>
                <w:sz w:val="16"/>
                <w:szCs w:val="16"/>
              </w:rPr>
            </w:pPr>
            <w:r w:rsidRPr="003E76E7">
              <w:rPr>
                <w:rFonts w:ascii="Arial" w:hAnsi="Arial"/>
                <w:sz w:val="16"/>
                <w:szCs w:val="16"/>
                <w:lang w:val="en-AU"/>
              </w:rPr>
              <w:t>6.1: Defence is delivering the right future capability at the right time within the Integrated Investment Program to ensure it is equipped to respond to future security challenges as directed by the National Defence Strategy.</w:t>
            </w:r>
          </w:p>
        </w:tc>
        <w:tc>
          <w:tcPr>
            <w:tcW w:w="3058" w:type="dxa"/>
            <w:tcBorders>
              <w:top w:val="single" w:sz="4" w:space="0" w:color="auto"/>
              <w:left w:val="single" w:sz="4" w:space="0" w:color="auto"/>
              <w:bottom w:val="single" w:sz="4" w:space="0" w:color="auto"/>
            </w:tcBorders>
          </w:tcPr>
          <w:p w14:paraId="323BD05F" w14:textId="77777777" w:rsidR="00296940" w:rsidRPr="003E76E7" w:rsidRDefault="00296940" w:rsidP="00C4292D">
            <w:pPr>
              <w:tabs>
                <w:tab w:val="left" w:pos="709"/>
              </w:tabs>
              <w:spacing w:before="60" w:after="60"/>
              <w:rPr>
                <w:rFonts w:ascii="Arial" w:hAnsi="Arial"/>
                <w:sz w:val="16"/>
                <w:szCs w:val="16"/>
                <w:lang w:val="en-AU"/>
              </w:rPr>
            </w:pPr>
            <w:r w:rsidRPr="003E76E7">
              <w:rPr>
                <w:rFonts w:ascii="Arial" w:hAnsi="Arial"/>
                <w:sz w:val="16"/>
                <w:szCs w:val="16"/>
                <w:lang w:val="en-AU"/>
              </w:rPr>
              <w:t>80 per cent or more of approved Integrated Investment Program projects across all domains are on track to deliver within Government approved scope, schedule, and cost (including contingency).</w:t>
            </w:r>
          </w:p>
          <w:p w14:paraId="22B6AFD3" w14:textId="61B21F7C" w:rsidR="00296940" w:rsidRPr="003E76E7" w:rsidRDefault="00715BA3" w:rsidP="00C4292D">
            <w:pPr>
              <w:tabs>
                <w:tab w:val="left" w:pos="709"/>
              </w:tabs>
              <w:spacing w:before="60" w:after="60"/>
              <w:jc w:val="right"/>
              <w:rPr>
                <w:rFonts w:ascii="Arial" w:hAnsi="Arial"/>
                <w:i/>
                <w:sz w:val="16"/>
                <w:szCs w:val="16"/>
              </w:rPr>
            </w:pPr>
            <w:r w:rsidRPr="003E76E7">
              <w:rPr>
                <w:rFonts w:ascii="Arial" w:hAnsi="Arial"/>
                <w:i/>
                <w:sz w:val="16"/>
                <w:szCs w:val="16"/>
                <w:lang w:val="en-AU"/>
              </w:rPr>
              <w:t>Expected to be achieved.</w:t>
            </w:r>
          </w:p>
        </w:tc>
      </w:tr>
      <w:tr w:rsidR="003C0ED5" w:rsidRPr="003E76E7" w14:paraId="61F789F6" w14:textId="77777777" w:rsidTr="00A211F5">
        <w:tblPrEx>
          <w:tblLook w:val="04A0" w:firstRow="1" w:lastRow="0" w:firstColumn="1" w:lastColumn="0" w:noHBand="0" w:noVBand="1"/>
        </w:tblPrEx>
        <w:trPr>
          <w:trHeight w:val="258"/>
        </w:trPr>
        <w:tc>
          <w:tcPr>
            <w:tcW w:w="1788" w:type="dxa"/>
            <w:tcBorders>
              <w:top w:val="single" w:sz="4" w:space="0" w:color="auto"/>
              <w:bottom w:val="single" w:sz="4" w:space="0" w:color="auto"/>
              <w:right w:val="single" w:sz="4" w:space="0" w:color="auto"/>
            </w:tcBorders>
          </w:tcPr>
          <w:p w14:paraId="422D5B50" w14:textId="51D3B92F" w:rsidR="003C0ED5" w:rsidRPr="003E76E7" w:rsidRDefault="003C0ED5" w:rsidP="00C4292D">
            <w:pPr>
              <w:tabs>
                <w:tab w:val="left" w:pos="709"/>
              </w:tabs>
              <w:spacing w:before="60" w:after="60"/>
              <w:rPr>
                <w:rFonts w:ascii="Arial" w:hAnsi="Arial"/>
                <w:b/>
                <w:color w:val="000000"/>
                <w:sz w:val="16"/>
                <w:szCs w:val="16"/>
              </w:rPr>
            </w:pPr>
            <w:r w:rsidRPr="003E76E7">
              <w:rPr>
                <w:rFonts w:ascii="Arial" w:hAnsi="Arial"/>
                <w:b/>
                <w:color w:val="000000"/>
                <w:sz w:val="16"/>
                <w:szCs w:val="16"/>
              </w:rPr>
              <w:t>Year</w:t>
            </w:r>
          </w:p>
        </w:tc>
        <w:tc>
          <w:tcPr>
            <w:tcW w:w="2882" w:type="dxa"/>
            <w:tcBorders>
              <w:top w:val="single" w:sz="4" w:space="0" w:color="auto"/>
              <w:left w:val="single" w:sz="4" w:space="0" w:color="auto"/>
              <w:bottom w:val="single" w:sz="4" w:space="0" w:color="auto"/>
              <w:right w:val="single" w:sz="4" w:space="0" w:color="auto"/>
            </w:tcBorders>
          </w:tcPr>
          <w:p w14:paraId="6114E35A" w14:textId="427418B7" w:rsidR="003C0ED5" w:rsidRPr="003E76E7" w:rsidRDefault="00AD14EC" w:rsidP="00C4292D">
            <w:pPr>
              <w:tabs>
                <w:tab w:val="left" w:pos="709"/>
                <w:tab w:val="center" w:pos="1818"/>
              </w:tabs>
              <w:spacing w:before="60" w:after="60"/>
              <w:rPr>
                <w:rFonts w:ascii="Arial" w:hAnsi="Arial"/>
                <w:b/>
                <w:color w:val="000000"/>
                <w:sz w:val="16"/>
                <w:szCs w:val="16"/>
              </w:rPr>
            </w:pPr>
            <w:r w:rsidRPr="003E76E7">
              <w:rPr>
                <w:rFonts w:ascii="Arial" w:hAnsi="Arial"/>
                <w:b/>
                <w:color w:val="000000"/>
                <w:sz w:val="16"/>
                <w:szCs w:val="16"/>
              </w:rPr>
              <w:t>Performance Measures</w:t>
            </w:r>
          </w:p>
        </w:tc>
        <w:tc>
          <w:tcPr>
            <w:tcW w:w="3058" w:type="dxa"/>
            <w:tcBorders>
              <w:top w:val="single" w:sz="4" w:space="0" w:color="auto"/>
              <w:left w:val="single" w:sz="4" w:space="0" w:color="auto"/>
              <w:bottom w:val="single" w:sz="4" w:space="0" w:color="auto"/>
            </w:tcBorders>
          </w:tcPr>
          <w:p w14:paraId="7962E4FC" w14:textId="7AE4F9BF" w:rsidR="003C0ED5" w:rsidRPr="003E76E7" w:rsidRDefault="003C0ED5" w:rsidP="00C4292D">
            <w:pPr>
              <w:tabs>
                <w:tab w:val="left" w:pos="709"/>
              </w:tabs>
              <w:spacing w:before="60" w:after="60"/>
              <w:rPr>
                <w:rFonts w:ascii="Arial" w:hAnsi="Arial"/>
                <w:b/>
                <w:color w:val="000000"/>
                <w:sz w:val="16"/>
                <w:szCs w:val="16"/>
              </w:rPr>
            </w:pPr>
            <w:r w:rsidRPr="003E76E7">
              <w:rPr>
                <w:rFonts w:ascii="Arial" w:hAnsi="Arial"/>
                <w:b/>
                <w:color w:val="000000"/>
                <w:sz w:val="16"/>
                <w:szCs w:val="16"/>
              </w:rPr>
              <w:t>Planned Performance Results</w:t>
            </w:r>
          </w:p>
        </w:tc>
      </w:tr>
      <w:tr w:rsidR="00296940" w:rsidRPr="003E76E7" w14:paraId="2132061F" w14:textId="77777777" w:rsidTr="00A211F5">
        <w:tblPrEx>
          <w:tblLook w:val="04A0" w:firstRow="1" w:lastRow="0" w:firstColumn="1" w:lastColumn="0" w:noHBand="0" w:noVBand="1"/>
        </w:tblPrEx>
        <w:trPr>
          <w:trHeight w:val="1182"/>
        </w:trPr>
        <w:tc>
          <w:tcPr>
            <w:tcW w:w="1788" w:type="dxa"/>
            <w:tcBorders>
              <w:top w:val="single" w:sz="4" w:space="0" w:color="auto"/>
              <w:right w:val="single" w:sz="4" w:space="0" w:color="auto"/>
            </w:tcBorders>
          </w:tcPr>
          <w:p w14:paraId="70748A4A" w14:textId="77777777" w:rsidR="00296940" w:rsidRPr="003E76E7" w:rsidRDefault="00296940" w:rsidP="00C4292D">
            <w:pPr>
              <w:tabs>
                <w:tab w:val="left" w:pos="709"/>
              </w:tabs>
              <w:spacing w:before="0" w:after="0"/>
              <w:rPr>
                <w:rFonts w:ascii="Arial" w:hAnsi="Arial"/>
                <w:color w:val="000000"/>
                <w:sz w:val="16"/>
                <w:szCs w:val="16"/>
              </w:rPr>
            </w:pPr>
            <w:r w:rsidRPr="003E76E7">
              <w:rPr>
                <w:rFonts w:ascii="Arial" w:hAnsi="Arial"/>
                <w:color w:val="000000"/>
                <w:sz w:val="16"/>
                <w:szCs w:val="16"/>
              </w:rPr>
              <w:t>Budget Year</w:t>
            </w:r>
          </w:p>
          <w:p w14:paraId="41EA369D" w14:textId="3D4E095A" w:rsidR="00296940" w:rsidRPr="003E76E7" w:rsidRDefault="00296940" w:rsidP="00C4292D">
            <w:pPr>
              <w:tabs>
                <w:tab w:val="left" w:pos="709"/>
              </w:tabs>
              <w:spacing w:before="0" w:after="0"/>
              <w:rPr>
                <w:rFonts w:ascii="Arial" w:hAnsi="Arial"/>
                <w:color w:val="000000"/>
                <w:sz w:val="16"/>
                <w:szCs w:val="16"/>
              </w:rPr>
            </w:pPr>
            <w:r w:rsidRPr="003E76E7">
              <w:rPr>
                <w:rFonts w:ascii="Arial" w:hAnsi="Arial"/>
                <w:color w:val="000000"/>
                <w:sz w:val="16"/>
                <w:szCs w:val="16"/>
              </w:rPr>
              <w:t xml:space="preserve">2026-27 </w:t>
            </w:r>
            <w:r w:rsidRPr="003E76E7">
              <w:rPr>
                <w:rFonts w:ascii="Arial" w:hAnsi="Arial"/>
                <w:color w:val="000000"/>
                <w:sz w:val="16"/>
                <w:szCs w:val="16"/>
                <w:vertAlign w:val="superscript"/>
              </w:rPr>
              <w:t>[</w:t>
            </w:r>
            <w:r w:rsidR="003C0ED5" w:rsidRPr="003E76E7">
              <w:rPr>
                <w:rFonts w:ascii="Arial" w:hAnsi="Arial"/>
                <w:color w:val="000000"/>
                <w:sz w:val="16"/>
                <w:szCs w:val="16"/>
                <w:vertAlign w:val="superscript"/>
              </w:rPr>
              <w:t>b</w:t>
            </w:r>
            <w:r w:rsidRPr="003E76E7">
              <w:rPr>
                <w:rFonts w:ascii="Arial" w:hAnsi="Arial"/>
                <w:color w:val="000000"/>
                <w:sz w:val="16"/>
                <w:szCs w:val="16"/>
                <w:vertAlign w:val="superscript"/>
              </w:rPr>
              <w:t>]</w:t>
            </w:r>
          </w:p>
        </w:tc>
        <w:tc>
          <w:tcPr>
            <w:tcW w:w="2882" w:type="dxa"/>
            <w:tcBorders>
              <w:top w:val="single" w:sz="4" w:space="0" w:color="auto"/>
              <w:left w:val="single" w:sz="4" w:space="0" w:color="auto"/>
              <w:right w:val="single" w:sz="4" w:space="0" w:color="auto"/>
            </w:tcBorders>
          </w:tcPr>
          <w:p w14:paraId="513DF715" w14:textId="2EA13D72" w:rsidR="00296940" w:rsidRPr="003E76E7" w:rsidRDefault="00296940" w:rsidP="00C4292D">
            <w:pPr>
              <w:tabs>
                <w:tab w:val="left" w:pos="709"/>
              </w:tabs>
              <w:spacing w:before="60" w:after="60"/>
              <w:rPr>
                <w:rFonts w:ascii="Arial" w:hAnsi="Arial"/>
                <w:color w:val="000000"/>
                <w:sz w:val="16"/>
                <w:szCs w:val="16"/>
              </w:rPr>
            </w:pPr>
            <w:r w:rsidRPr="003E76E7">
              <w:rPr>
                <w:rFonts w:ascii="Arial" w:hAnsi="Arial"/>
                <w:sz w:val="16"/>
                <w:szCs w:val="16"/>
                <w:lang w:val="en-AU"/>
              </w:rPr>
              <w:t>6.1: Defence is delivering the right future capability at the right time within the Integrated Investment Program to ensure it is equipped to respond to future security challenges as directed by the National Defence Strategy.</w:t>
            </w:r>
          </w:p>
        </w:tc>
        <w:tc>
          <w:tcPr>
            <w:tcW w:w="3058" w:type="dxa"/>
            <w:tcBorders>
              <w:top w:val="single" w:sz="4" w:space="0" w:color="auto"/>
              <w:left w:val="single" w:sz="4" w:space="0" w:color="auto"/>
            </w:tcBorders>
          </w:tcPr>
          <w:p w14:paraId="513CB67F" w14:textId="7ABF019F" w:rsidR="00296940" w:rsidRPr="003E76E7" w:rsidRDefault="00296940" w:rsidP="00C4292D">
            <w:pPr>
              <w:tabs>
                <w:tab w:val="left" w:pos="709"/>
              </w:tabs>
              <w:spacing w:before="60" w:after="60"/>
              <w:rPr>
                <w:rFonts w:ascii="Arial" w:hAnsi="Arial"/>
                <w:sz w:val="16"/>
                <w:szCs w:val="16"/>
              </w:rPr>
            </w:pPr>
            <w:r w:rsidRPr="003E76E7">
              <w:rPr>
                <w:rFonts w:ascii="Arial" w:hAnsi="Arial"/>
                <w:sz w:val="16"/>
                <w:szCs w:val="16"/>
                <w:lang w:val="en-AU"/>
              </w:rPr>
              <w:t>80 per cent or more of approved Integrated Investment Program projects across all domains are on track to deliver within Government approved scope, schedule, and cost (including contingency).</w:t>
            </w:r>
          </w:p>
        </w:tc>
      </w:tr>
      <w:tr w:rsidR="003C0ED5" w:rsidRPr="003E76E7" w14:paraId="2BC8D1D0" w14:textId="77777777" w:rsidTr="00A211F5">
        <w:trPr>
          <w:trHeight w:val="215"/>
        </w:trPr>
        <w:tc>
          <w:tcPr>
            <w:tcW w:w="1788" w:type="dxa"/>
            <w:tcBorders>
              <w:top w:val="dotted" w:sz="4" w:space="0" w:color="auto"/>
              <w:bottom w:val="single" w:sz="4" w:space="0" w:color="auto"/>
              <w:right w:val="single" w:sz="4" w:space="0" w:color="auto"/>
            </w:tcBorders>
            <w:vAlign w:val="center"/>
          </w:tcPr>
          <w:p w14:paraId="75BEB45F" w14:textId="06DAB8CA" w:rsidR="003C0ED5" w:rsidRPr="003E76E7" w:rsidRDefault="003C0ED5" w:rsidP="00C4292D">
            <w:pPr>
              <w:tabs>
                <w:tab w:val="left" w:pos="709"/>
              </w:tabs>
              <w:spacing w:before="0" w:after="0"/>
              <w:rPr>
                <w:rFonts w:ascii="Arial" w:hAnsi="Arial"/>
                <w:color w:val="000000"/>
                <w:sz w:val="16"/>
                <w:szCs w:val="16"/>
              </w:rPr>
            </w:pPr>
            <w:r w:rsidRPr="003E76E7">
              <w:rPr>
                <w:rFonts w:ascii="Arial" w:hAnsi="Arial"/>
                <w:b/>
                <w:color w:val="000000"/>
                <w:sz w:val="16"/>
                <w:szCs w:val="16"/>
              </w:rPr>
              <w:t>Year</w:t>
            </w:r>
          </w:p>
        </w:tc>
        <w:tc>
          <w:tcPr>
            <w:tcW w:w="2882" w:type="dxa"/>
            <w:tcBorders>
              <w:top w:val="single" w:sz="4" w:space="0" w:color="auto"/>
              <w:left w:val="single" w:sz="4" w:space="0" w:color="auto"/>
              <w:bottom w:val="single" w:sz="4" w:space="0" w:color="auto"/>
              <w:right w:val="single" w:sz="4" w:space="0" w:color="auto"/>
            </w:tcBorders>
            <w:vAlign w:val="center"/>
          </w:tcPr>
          <w:p w14:paraId="301A8A9D" w14:textId="77049E22" w:rsidR="003C0ED5" w:rsidRPr="003E76E7" w:rsidRDefault="00AD14EC" w:rsidP="00C4292D">
            <w:pPr>
              <w:tabs>
                <w:tab w:val="left" w:pos="709"/>
              </w:tabs>
              <w:spacing w:before="60" w:after="60"/>
              <w:rPr>
                <w:rFonts w:ascii="Arial" w:hAnsi="Arial"/>
                <w:color w:val="000000"/>
                <w:sz w:val="16"/>
                <w:szCs w:val="16"/>
              </w:rPr>
            </w:pPr>
            <w:r w:rsidRPr="003E76E7">
              <w:rPr>
                <w:rFonts w:ascii="Arial" w:hAnsi="Arial"/>
                <w:b/>
                <w:color w:val="000000"/>
                <w:sz w:val="16"/>
                <w:szCs w:val="16"/>
              </w:rPr>
              <w:t>Performance Measures</w:t>
            </w:r>
          </w:p>
        </w:tc>
        <w:tc>
          <w:tcPr>
            <w:tcW w:w="3058" w:type="dxa"/>
            <w:tcBorders>
              <w:top w:val="single" w:sz="4" w:space="0" w:color="auto"/>
              <w:left w:val="single" w:sz="4" w:space="0" w:color="auto"/>
              <w:bottom w:val="single" w:sz="4" w:space="0" w:color="auto"/>
            </w:tcBorders>
            <w:vAlign w:val="center"/>
          </w:tcPr>
          <w:p w14:paraId="0544644F" w14:textId="7EEFD0CC" w:rsidR="003C0ED5" w:rsidRPr="003E76E7" w:rsidRDefault="003C0ED5" w:rsidP="00C4292D">
            <w:pPr>
              <w:tabs>
                <w:tab w:val="left" w:pos="709"/>
              </w:tabs>
              <w:spacing w:before="60" w:after="60"/>
              <w:rPr>
                <w:rFonts w:ascii="Arial" w:hAnsi="Arial"/>
                <w:color w:val="000000"/>
                <w:sz w:val="16"/>
                <w:szCs w:val="16"/>
              </w:rPr>
            </w:pPr>
            <w:r w:rsidRPr="003E76E7">
              <w:rPr>
                <w:rFonts w:ascii="Arial" w:hAnsi="Arial"/>
                <w:b/>
                <w:color w:val="000000"/>
                <w:sz w:val="16"/>
                <w:szCs w:val="16"/>
              </w:rPr>
              <w:t>Planned Performance Results</w:t>
            </w:r>
          </w:p>
        </w:tc>
      </w:tr>
      <w:tr w:rsidR="003C0ED5" w:rsidRPr="003E76E7" w14:paraId="774F0429" w14:textId="77777777" w:rsidTr="00A211F5">
        <w:trPr>
          <w:trHeight w:val="491"/>
        </w:trPr>
        <w:tc>
          <w:tcPr>
            <w:tcW w:w="1788" w:type="dxa"/>
            <w:tcBorders>
              <w:top w:val="dotted" w:sz="4" w:space="0" w:color="auto"/>
              <w:bottom w:val="single" w:sz="4" w:space="0" w:color="auto"/>
              <w:right w:val="single" w:sz="4" w:space="0" w:color="auto"/>
            </w:tcBorders>
            <w:vAlign w:val="center"/>
          </w:tcPr>
          <w:p w14:paraId="1721A0E4" w14:textId="77777777" w:rsidR="003C0ED5" w:rsidRPr="003E76E7" w:rsidRDefault="003C0ED5" w:rsidP="00C4292D">
            <w:pPr>
              <w:tabs>
                <w:tab w:val="left" w:pos="709"/>
              </w:tabs>
              <w:spacing w:before="0" w:after="0"/>
              <w:rPr>
                <w:rFonts w:ascii="Arial" w:hAnsi="Arial"/>
                <w:color w:val="000000"/>
                <w:sz w:val="16"/>
                <w:szCs w:val="16"/>
              </w:rPr>
            </w:pPr>
            <w:r w:rsidRPr="003E76E7">
              <w:rPr>
                <w:rFonts w:ascii="Arial" w:hAnsi="Arial"/>
                <w:color w:val="000000"/>
                <w:sz w:val="16"/>
                <w:szCs w:val="16"/>
              </w:rPr>
              <w:t>Forward Estimates</w:t>
            </w:r>
          </w:p>
          <w:p w14:paraId="00260534" w14:textId="7FCCEEB9" w:rsidR="003C0ED5" w:rsidRPr="003E76E7" w:rsidRDefault="003C0ED5" w:rsidP="00C4292D">
            <w:pPr>
              <w:tabs>
                <w:tab w:val="left" w:pos="709"/>
              </w:tabs>
              <w:spacing w:before="0" w:after="0"/>
              <w:rPr>
                <w:rFonts w:ascii="Arial" w:hAnsi="Arial"/>
                <w:b/>
                <w:color w:val="000000"/>
                <w:sz w:val="16"/>
                <w:szCs w:val="16"/>
              </w:rPr>
            </w:pPr>
            <w:r w:rsidRPr="003E76E7">
              <w:rPr>
                <w:rFonts w:ascii="Arial" w:hAnsi="Arial"/>
                <w:color w:val="000000"/>
                <w:sz w:val="16"/>
                <w:szCs w:val="16"/>
              </w:rPr>
              <w:t>2027-30</w:t>
            </w:r>
          </w:p>
        </w:tc>
        <w:tc>
          <w:tcPr>
            <w:tcW w:w="2882" w:type="dxa"/>
            <w:tcBorders>
              <w:top w:val="single" w:sz="4" w:space="0" w:color="auto"/>
              <w:left w:val="single" w:sz="4" w:space="0" w:color="auto"/>
              <w:bottom w:val="single" w:sz="4" w:space="0" w:color="auto"/>
              <w:right w:val="single" w:sz="4" w:space="0" w:color="auto"/>
            </w:tcBorders>
            <w:vAlign w:val="center"/>
          </w:tcPr>
          <w:p w14:paraId="4DA23C1C" w14:textId="5951AF16" w:rsidR="003C0ED5" w:rsidRPr="003E76E7" w:rsidRDefault="003C0ED5" w:rsidP="00C4292D">
            <w:pPr>
              <w:tabs>
                <w:tab w:val="left" w:pos="709"/>
              </w:tabs>
              <w:spacing w:before="60" w:after="60"/>
              <w:rPr>
                <w:rFonts w:ascii="Arial" w:hAnsi="Arial"/>
                <w:b/>
                <w:color w:val="000000"/>
                <w:sz w:val="16"/>
                <w:szCs w:val="16"/>
              </w:rPr>
            </w:pPr>
            <w:r w:rsidRPr="003E76E7">
              <w:rPr>
                <w:rFonts w:ascii="Arial" w:hAnsi="Arial"/>
                <w:color w:val="000000"/>
                <w:sz w:val="16"/>
                <w:szCs w:val="16"/>
              </w:rPr>
              <w:t>As per 2026-27.</w:t>
            </w:r>
          </w:p>
        </w:tc>
        <w:tc>
          <w:tcPr>
            <w:tcW w:w="3058" w:type="dxa"/>
            <w:tcBorders>
              <w:top w:val="single" w:sz="4" w:space="0" w:color="auto"/>
              <w:left w:val="single" w:sz="4" w:space="0" w:color="auto"/>
              <w:bottom w:val="single" w:sz="4" w:space="0" w:color="auto"/>
            </w:tcBorders>
            <w:vAlign w:val="center"/>
          </w:tcPr>
          <w:p w14:paraId="63E8DC0E" w14:textId="2DB6C319" w:rsidR="003C0ED5" w:rsidRPr="003E76E7" w:rsidRDefault="003C0ED5" w:rsidP="00C4292D">
            <w:pPr>
              <w:tabs>
                <w:tab w:val="left" w:pos="709"/>
              </w:tabs>
              <w:spacing w:before="60" w:after="60"/>
              <w:rPr>
                <w:rFonts w:ascii="Arial" w:hAnsi="Arial"/>
                <w:b/>
                <w:color w:val="000000"/>
                <w:sz w:val="16"/>
                <w:szCs w:val="16"/>
              </w:rPr>
            </w:pPr>
            <w:r w:rsidRPr="003E76E7">
              <w:rPr>
                <w:rFonts w:ascii="Arial" w:hAnsi="Arial"/>
                <w:color w:val="000000"/>
                <w:sz w:val="16"/>
                <w:szCs w:val="16"/>
              </w:rPr>
              <w:t>As per 2026-27.</w:t>
            </w:r>
          </w:p>
        </w:tc>
      </w:tr>
      <w:tr w:rsidR="003C0ED5" w:rsidRPr="003E76E7" w14:paraId="47DD21B1" w14:textId="77777777" w:rsidTr="00A211F5">
        <w:tblPrEx>
          <w:tblLook w:val="04A0" w:firstRow="1" w:lastRow="0" w:firstColumn="1" w:lastColumn="0" w:noHBand="0" w:noVBand="1"/>
        </w:tblPrEx>
        <w:trPr>
          <w:trHeight w:val="291"/>
        </w:trPr>
        <w:tc>
          <w:tcPr>
            <w:tcW w:w="7728" w:type="dxa"/>
            <w:gridSpan w:val="3"/>
          </w:tcPr>
          <w:p w14:paraId="2D5F9B7F" w14:textId="48F0039A" w:rsidR="003C0ED5" w:rsidRPr="003E76E7" w:rsidRDefault="003C0ED5" w:rsidP="00C4292D">
            <w:pPr>
              <w:tabs>
                <w:tab w:val="left" w:pos="709"/>
              </w:tabs>
              <w:spacing w:before="60" w:after="60"/>
              <w:rPr>
                <w:rFonts w:ascii="Arial" w:hAnsi="Arial"/>
                <w:bCs/>
                <w:iCs/>
                <w:color w:val="000000"/>
                <w:spacing w:val="-6"/>
                <w:sz w:val="16"/>
                <w:szCs w:val="16"/>
              </w:rPr>
            </w:pPr>
            <w:r w:rsidRPr="003E76E7">
              <w:rPr>
                <w:rFonts w:ascii="Arial" w:hAnsi="Arial"/>
                <w:color w:val="000000"/>
                <w:sz w:val="16"/>
                <w:szCs w:val="16"/>
              </w:rPr>
              <w:t>Material changes to Program 2.10 resulting from 2026-27 Budget Measures:</w:t>
            </w:r>
            <w:r w:rsidRPr="003E76E7">
              <w:rPr>
                <w:rStyle w:val="BodyTextChar"/>
                <w:rFonts w:ascii="Arial" w:hAnsi="Arial"/>
                <w:bCs/>
                <w:iCs/>
                <w:color w:val="000000"/>
                <w:spacing w:val="-6"/>
                <w:sz w:val="16"/>
                <w:szCs w:val="16"/>
              </w:rPr>
              <w:t xml:space="preserve"> Nil.</w:t>
            </w:r>
          </w:p>
        </w:tc>
      </w:tr>
    </w:tbl>
    <w:p w14:paraId="096252E1" w14:textId="77777777" w:rsidR="00F7100A" w:rsidRPr="003E76E7" w:rsidRDefault="00F7100A" w:rsidP="00C4292D">
      <w:pPr>
        <w:pStyle w:val="TableHeading"/>
        <w:spacing w:before="0" w:after="0"/>
        <w:rPr>
          <w:sz w:val="14"/>
          <w:szCs w:val="16"/>
        </w:rPr>
      </w:pPr>
    </w:p>
    <w:p w14:paraId="1C123178" w14:textId="6C2CE6CA" w:rsidR="00F7100A" w:rsidRPr="003E76E7" w:rsidRDefault="00F7100A" w:rsidP="00C4292D">
      <w:pPr>
        <w:pStyle w:val="TableHeading"/>
        <w:spacing w:before="0" w:after="0"/>
        <w:rPr>
          <w:sz w:val="14"/>
          <w:szCs w:val="14"/>
        </w:rPr>
      </w:pPr>
      <w:r w:rsidRPr="003E76E7">
        <w:rPr>
          <w:sz w:val="14"/>
          <w:szCs w:val="14"/>
        </w:rPr>
        <w:t>Note</w:t>
      </w:r>
      <w:r w:rsidR="00BD3667" w:rsidRPr="003E76E7">
        <w:rPr>
          <w:sz w:val="14"/>
          <w:szCs w:val="14"/>
        </w:rPr>
        <w:t>s</w:t>
      </w:r>
    </w:p>
    <w:p w14:paraId="6C739861" w14:textId="77777777" w:rsidR="00296940" w:rsidRPr="003E76E7" w:rsidRDefault="00296940" w:rsidP="00C4292D">
      <w:pPr>
        <w:pStyle w:val="TableHeading"/>
        <w:numPr>
          <w:ilvl w:val="0"/>
          <w:numId w:val="39"/>
        </w:numPr>
        <w:tabs>
          <w:tab w:val="left" w:pos="284"/>
        </w:tabs>
        <w:spacing w:before="0" w:after="0"/>
        <w:ind w:left="284" w:hanging="284"/>
        <w:rPr>
          <w:b w:val="0"/>
          <w:sz w:val="14"/>
          <w:szCs w:val="14"/>
        </w:rPr>
      </w:pPr>
      <w:r w:rsidRPr="003E76E7">
        <w:rPr>
          <w:b w:val="0"/>
          <w:sz w:val="14"/>
          <w:szCs w:val="14"/>
        </w:rPr>
        <w:t xml:space="preserve">Performance Measure 6.1 has been amended for 2025-26, as published in the </w:t>
      </w:r>
      <w:r w:rsidRPr="003E76E7">
        <w:rPr>
          <w:b w:val="0"/>
          <w:i/>
          <w:sz w:val="14"/>
          <w:szCs w:val="14"/>
        </w:rPr>
        <w:t>2025-29 Defence Corporate Plan.</w:t>
      </w:r>
    </w:p>
    <w:p w14:paraId="29A9C3C4" w14:textId="77777777" w:rsidR="00296940" w:rsidRPr="003E76E7" w:rsidRDefault="00296940" w:rsidP="00C4292D">
      <w:pPr>
        <w:pStyle w:val="TableHeading"/>
        <w:numPr>
          <w:ilvl w:val="0"/>
          <w:numId w:val="39"/>
        </w:numPr>
        <w:tabs>
          <w:tab w:val="left" w:pos="284"/>
        </w:tabs>
        <w:spacing w:before="0" w:after="0"/>
        <w:ind w:left="284" w:hanging="284"/>
        <w:rPr>
          <w:b w:val="0"/>
          <w:sz w:val="14"/>
          <w:szCs w:val="14"/>
        </w:rPr>
      </w:pPr>
      <w:r w:rsidRPr="003E76E7">
        <w:rPr>
          <w:b w:val="0"/>
          <w:sz w:val="14"/>
          <w:szCs w:val="14"/>
          <w:lang w:val="en-AU"/>
        </w:rPr>
        <w:t>In accordance with Defence’s Enterprise Performance Framework, Defence is undertaking materiality assessments that may result in updates to the 2026-27 performance information in the 2026-30 Defence Corporate Plan, if required.</w:t>
      </w:r>
    </w:p>
    <w:p w14:paraId="0100971F" w14:textId="6F4D1715" w:rsidR="00DE5980" w:rsidRPr="003E76E7" w:rsidRDefault="00DE5980" w:rsidP="00C4292D">
      <w:pPr>
        <w:pStyle w:val="TableHeading"/>
        <w:tabs>
          <w:tab w:val="left" w:pos="284"/>
        </w:tabs>
        <w:spacing w:before="0" w:after="0"/>
        <w:rPr>
          <w:rFonts w:ascii="Book Antiqua" w:hAnsi="Book Antiqua"/>
          <w:b w:val="0"/>
          <w:sz w:val="14"/>
          <w:lang w:val="en-AU"/>
        </w:rPr>
      </w:pPr>
    </w:p>
    <w:p w14:paraId="0EB24187" w14:textId="42DA8258" w:rsidR="003D5485" w:rsidRPr="003E76E7" w:rsidRDefault="003D5485" w:rsidP="00C4292D">
      <w:pPr>
        <w:pStyle w:val="TableHeading"/>
        <w:numPr>
          <w:ilvl w:val="0"/>
          <w:numId w:val="61"/>
        </w:numPr>
        <w:spacing w:before="100"/>
        <w:ind w:left="0" w:firstLine="0"/>
        <w:outlineLvl w:val="4"/>
        <w:rPr>
          <w:lang w:val="en-AU"/>
        </w:rPr>
      </w:pPr>
      <w:r w:rsidRPr="003E76E7">
        <w:rPr>
          <w:lang w:val="en-AU"/>
        </w:rPr>
        <w:t xml:space="preserve">Cost Summary for Program 2.10 </w:t>
      </w:r>
      <w:r w:rsidR="00294EA5" w:rsidRPr="003E76E7">
        <w:rPr>
          <w:lang w:val="en-AU"/>
        </w:rPr>
        <w:t xml:space="preserve">Security and </w:t>
      </w:r>
      <w:r w:rsidR="005F39C7" w:rsidRPr="003E76E7">
        <w:rPr>
          <w:lang w:val="en-AU"/>
        </w:rPr>
        <w:t>Estate</w:t>
      </w:r>
    </w:p>
    <w:p w14:paraId="67889389" w14:textId="0931C81C" w:rsidR="00312F38" w:rsidRPr="003E76E7" w:rsidRDefault="00F478CA" w:rsidP="00C4292D">
      <w:pPr>
        <w:spacing w:after="0"/>
        <w:ind w:left="142" w:hanging="142"/>
      </w:pPr>
      <w:r w:rsidRPr="00F478CA">
        <w:rPr>
          <w:noProof/>
          <w:lang w:val="en-AU"/>
        </w:rPr>
        <w:drawing>
          <wp:inline distT="0" distB="0" distL="0" distR="0" wp14:anchorId="070FF5B4" wp14:editId="2BBA5791">
            <wp:extent cx="5436235" cy="2816821"/>
            <wp:effectExtent l="0" t="0" r="0" b="317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36235" cy="2816821"/>
                    </a:xfrm>
                    <a:prstGeom prst="rect">
                      <a:avLst/>
                    </a:prstGeom>
                    <a:noFill/>
                    <a:ln>
                      <a:noFill/>
                    </a:ln>
                  </pic:spPr>
                </pic:pic>
              </a:graphicData>
            </a:graphic>
          </wp:inline>
        </w:drawing>
      </w:r>
    </w:p>
    <w:p w14:paraId="774F6EBE" w14:textId="77777777" w:rsidR="009D3404" w:rsidRPr="003E76E7" w:rsidRDefault="009D3404" w:rsidP="00C4292D">
      <w:pPr>
        <w:tabs>
          <w:tab w:val="left" w:pos="284"/>
        </w:tabs>
        <w:spacing w:before="0" w:after="0"/>
        <w:ind w:left="284" w:hanging="284"/>
        <w:rPr>
          <w:rFonts w:ascii="Arial" w:hAnsi="Arial"/>
          <w:b/>
          <w:sz w:val="14"/>
          <w:szCs w:val="14"/>
          <w:lang w:val="en-AU"/>
        </w:rPr>
      </w:pPr>
    </w:p>
    <w:p w14:paraId="396DC7CA" w14:textId="03F55F23" w:rsidR="00344B37" w:rsidRPr="003E76E7" w:rsidRDefault="006F629D" w:rsidP="00C4292D">
      <w:pPr>
        <w:tabs>
          <w:tab w:val="left" w:pos="284"/>
        </w:tabs>
        <w:spacing w:before="0" w:after="0"/>
        <w:ind w:left="284" w:hanging="284"/>
        <w:rPr>
          <w:rFonts w:ascii="Arial" w:hAnsi="Arial"/>
          <w:b/>
          <w:sz w:val="14"/>
          <w:szCs w:val="14"/>
          <w:lang w:val="en-AU"/>
        </w:rPr>
      </w:pPr>
      <w:r w:rsidRPr="003E76E7">
        <w:rPr>
          <w:rFonts w:ascii="Arial" w:hAnsi="Arial"/>
          <w:b/>
          <w:sz w:val="14"/>
          <w:szCs w:val="14"/>
          <w:lang w:val="en-AU"/>
        </w:rPr>
        <w:t>Note</w:t>
      </w:r>
      <w:r w:rsidR="009F0F8A" w:rsidRPr="003E76E7">
        <w:rPr>
          <w:rFonts w:ascii="Arial" w:hAnsi="Arial"/>
          <w:b/>
          <w:sz w:val="14"/>
          <w:szCs w:val="14"/>
          <w:lang w:val="en-AU"/>
        </w:rPr>
        <w:t>s</w:t>
      </w:r>
    </w:p>
    <w:p w14:paraId="143FCAF8" w14:textId="3795E7B1" w:rsidR="005C3E4E" w:rsidRPr="003E76E7" w:rsidRDefault="00A37A36" w:rsidP="00C4292D">
      <w:pPr>
        <w:pStyle w:val="ListParagraph"/>
        <w:numPr>
          <w:ilvl w:val="0"/>
          <w:numId w:val="116"/>
        </w:numPr>
        <w:tabs>
          <w:tab w:val="left" w:pos="284"/>
        </w:tabs>
        <w:spacing w:before="0" w:after="0"/>
        <w:ind w:left="284" w:hanging="284"/>
        <w:rPr>
          <w:rFonts w:ascii="Arial" w:hAnsi="Arial"/>
          <w:sz w:val="14"/>
          <w:szCs w:val="14"/>
          <w:lang w:val="en-AU"/>
        </w:rPr>
      </w:pPr>
      <w:r w:rsidRPr="003E76E7">
        <w:rPr>
          <w:rFonts w:ascii="Arial" w:hAnsi="Arial"/>
          <w:sz w:val="14"/>
          <w:szCs w:val="14"/>
          <w:lang w:val="en-AU"/>
        </w:rPr>
        <w:t>Total program funded</w:t>
      </w:r>
      <w:r w:rsidR="005C3E4E" w:rsidRPr="003E76E7">
        <w:rPr>
          <w:rFonts w:ascii="Arial" w:hAnsi="Arial"/>
          <w:sz w:val="14"/>
          <w:szCs w:val="14"/>
          <w:lang w:val="en-AU"/>
        </w:rPr>
        <w:t xml:space="preserve"> expenditure includes operating expenses and capital expenditure funded by appropriation and </w:t>
      </w:r>
      <w:r w:rsidR="00B74CF7" w:rsidRPr="003E76E7">
        <w:rPr>
          <w:rFonts w:ascii="Arial" w:hAnsi="Arial"/>
          <w:sz w:val="14"/>
          <w:szCs w:val="14"/>
          <w:lang w:val="en-AU"/>
        </w:rPr>
        <w:br/>
      </w:r>
      <w:r w:rsidR="005C3E4E" w:rsidRPr="003E76E7">
        <w:rPr>
          <w:rFonts w:ascii="Arial" w:hAnsi="Arial"/>
          <w:sz w:val="14"/>
          <w:szCs w:val="14"/>
          <w:lang w:val="en-AU"/>
        </w:rPr>
        <w:t>own source revenue. This excludes expenses not requiring appropriation.</w:t>
      </w:r>
      <w:r w:rsidR="005C3E4E" w:rsidRPr="003E76E7">
        <w:rPr>
          <w:rFonts w:ascii="Arial" w:hAnsi="Arial"/>
          <w:sz w:val="14"/>
          <w:szCs w:val="14"/>
          <w:lang w:val="en-AU"/>
        </w:rPr>
        <w:tab/>
      </w:r>
      <w:r w:rsidR="005C3E4E" w:rsidRPr="003E76E7">
        <w:rPr>
          <w:rFonts w:ascii="Arial" w:hAnsi="Arial"/>
          <w:sz w:val="14"/>
          <w:szCs w:val="14"/>
          <w:lang w:val="en-AU"/>
        </w:rPr>
        <w:tab/>
      </w:r>
      <w:r w:rsidR="005C3E4E" w:rsidRPr="003E76E7">
        <w:rPr>
          <w:rFonts w:ascii="Arial" w:hAnsi="Arial"/>
          <w:sz w:val="14"/>
          <w:szCs w:val="14"/>
          <w:lang w:val="en-AU"/>
        </w:rPr>
        <w:tab/>
      </w:r>
      <w:r w:rsidR="005C3E4E" w:rsidRPr="003E76E7">
        <w:rPr>
          <w:rFonts w:ascii="Arial" w:hAnsi="Arial"/>
          <w:sz w:val="14"/>
          <w:szCs w:val="14"/>
          <w:lang w:val="en-AU"/>
        </w:rPr>
        <w:tab/>
      </w:r>
      <w:r w:rsidR="005C3E4E" w:rsidRPr="003E76E7">
        <w:rPr>
          <w:rFonts w:ascii="Arial" w:hAnsi="Arial"/>
          <w:sz w:val="14"/>
          <w:szCs w:val="14"/>
          <w:lang w:val="en-AU"/>
        </w:rPr>
        <w:tab/>
      </w:r>
    </w:p>
    <w:p w14:paraId="4396510C" w14:textId="595368B4" w:rsidR="00B56DBE" w:rsidRPr="003E76E7" w:rsidRDefault="005C3E4E" w:rsidP="00C4292D">
      <w:pPr>
        <w:pStyle w:val="ListParagraph"/>
        <w:numPr>
          <w:ilvl w:val="0"/>
          <w:numId w:val="116"/>
        </w:numPr>
        <w:tabs>
          <w:tab w:val="left" w:pos="284"/>
        </w:tabs>
        <w:spacing w:before="0" w:after="0"/>
        <w:ind w:left="284" w:hanging="284"/>
        <w:rPr>
          <w:rFonts w:ascii="Arial" w:hAnsi="Arial"/>
          <w:sz w:val="14"/>
          <w:szCs w:val="14"/>
          <w:lang w:val="en-AU"/>
        </w:rPr>
      </w:pPr>
      <w:r w:rsidRPr="003E76E7">
        <w:rPr>
          <w:rFonts w:ascii="Arial" w:hAnsi="Arial"/>
          <w:sz w:val="14"/>
          <w:szCs w:val="14"/>
          <w:lang w:val="en-AU"/>
        </w:rPr>
        <w:t>The change in estimates includes movement of functions and their associated budgets within Defence.</w:t>
      </w:r>
      <w:r w:rsidRPr="003E76E7">
        <w:rPr>
          <w:rFonts w:ascii="Arial" w:hAnsi="Arial"/>
          <w:sz w:val="14"/>
          <w:szCs w:val="14"/>
          <w:lang w:val="en-AU"/>
        </w:rPr>
        <w:tab/>
      </w:r>
      <w:r w:rsidRPr="003E76E7">
        <w:rPr>
          <w:rFonts w:ascii="Arial" w:hAnsi="Arial"/>
          <w:sz w:val="14"/>
          <w:szCs w:val="14"/>
          <w:lang w:val="en-AU"/>
        </w:rPr>
        <w:tab/>
      </w:r>
      <w:r w:rsidRPr="003E76E7">
        <w:rPr>
          <w:rFonts w:ascii="Arial" w:hAnsi="Arial"/>
          <w:sz w:val="14"/>
          <w:szCs w:val="14"/>
          <w:lang w:val="en-AU"/>
        </w:rPr>
        <w:tab/>
      </w:r>
      <w:r w:rsidRPr="003E76E7">
        <w:rPr>
          <w:rFonts w:ascii="Arial" w:hAnsi="Arial"/>
          <w:sz w:val="14"/>
          <w:szCs w:val="14"/>
          <w:lang w:val="en-AU"/>
        </w:rPr>
        <w:tab/>
      </w:r>
      <w:r w:rsidRPr="003E76E7">
        <w:rPr>
          <w:rFonts w:ascii="Arial" w:hAnsi="Arial"/>
          <w:sz w:val="14"/>
          <w:szCs w:val="14"/>
          <w:lang w:val="en-AU"/>
        </w:rPr>
        <w:tab/>
      </w:r>
    </w:p>
    <w:p w14:paraId="14760D5E" w14:textId="77777777" w:rsidR="00650FED" w:rsidRPr="003E76E7" w:rsidRDefault="00AE1D3C" w:rsidP="00C4292D">
      <w:pPr>
        <w:spacing w:before="0" w:after="0"/>
        <w:outlineLvl w:val="5"/>
        <w:rPr>
          <w:color w:val="FFFFFF"/>
          <w:sz w:val="2"/>
          <w:szCs w:val="2"/>
        </w:rPr>
      </w:pPr>
      <w:r w:rsidRPr="003E76E7">
        <w:rPr>
          <w:lang w:val="en-AU"/>
        </w:rPr>
        <w:br w:type="page"/>
      </w:r>
      <w:r w:rsidR="00650FED" w:rsidRPr="003E76E7">
        <w:rPr>
          <w:color w:val="FFFFFF"/>
          <w:sz w:val="2"/>
          <w:szCs w:val="2"/>
        </w:rPr>
        <w:lastRenderedPageBreak/>
        <w:t>Program 2.11: Chief Information Officer</w:t>
      </w:r>
    </w:p>
    <w:tbl>
      <w:tblPr>
        <w:tblW w:w="496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1843"/>
        <w:gridCol w:w="3238"/>
        <w:gridCol w:w="3402"/>
      </w:tblGrid>
      <w:tr w:rsidR="00F7100A" w:rsidRPr="003E76E7" w14:paraId="5B662A1F" w14:textId="77777777" w:rsidTr="00A27F9B">
        <w:tc>
          <w:tcPr>
            <w:tcW w:w="8483" w:type="dxa"/>
            <w:gridSpan w:val="3"/>
            <w:tcBorders>
              <w:bottom w:val="single" w:sz="4" w:space="0" w:color="auto"/>
            </w:tcBorders>
            <w:shd w:val="clear" w:color="auto" w:fill="CCCCCC"/>
          </w:tcPr>
          <w:p w14:paraId="0FEB92A9" w14:textId="77777777" w:rsidR="00F7100A" w:rsidRPr="003E76E7" w:rsidRDefault="00F7100A" w:rsidP="00C4292D">
            <w:pPr>
              <w:pStyle w:val="Heading5"/>
              <w:spacing w:before="60" w:after="60"/>
            </w:pPr>
            <w:r w:rsidRPr="003E76E7">
              <w:t xml:space="preserve">Program 2.11: Defence Digital </w:t>
            </w:r>
          </w:p>
        </w:tc>
      </w:tr>
      <w:tr w:rsidR="00F7100A" w:rsidRPr="003E76E7" w14:paraId="0F7ED41F" w14:textId="77777777" w:rsidTr="00A27F9B">
        <w:trPr>
          <w:trHeight w:val="170"/>
        </w:trPr>
        <w:tc>
          <w:tcPr>
            <w:tcW w:w="8483" w:type="dxa"/>
            <w:gridSpan w:val="3"/>
            <w:tcBorders>
              <w:left w:val="nil"/>
              <w:bottom w:val="single" w:sz="4" w:space="0" w:color="auto"/>
              <w:right w:val="nil"/>
            </w:tcBorders>
            <w:shd w:val="clear" w:color="auto" w:fill="auto"/>
          </w:tcPr>
          <w:p w14:paraId="796AC119" w14:textId="77777777" w:rsidR="00F7100A" w:rsidRPr="003E76E7" w:rsidRDefault="00F7100A" w:rsidP="00C4292D">
            <w:pPr>
              <w:pStyle w:val="Heading5"/>
              <w:spacing w:before="0" w:after="0"/>
              <w:rPr>
                <w:sz w:val="15"/>
                <w:szCs w:val="15"/>
              </w:rPr>
            </w:pPr>
          </w:p>
        </w:tc>
      </w:tr>
      <w:tr w:rsidR="00F7100A" w:rsidRPr="00FE5A03" w14:paraId="30FA3EB5" w14:textId="77777777" w:rsidTr="00A27F9B">
        <w:tblPrEx>
          <w:shd w:val="clear" w:color="auto" w:fill="auto"/>
          <w:tblLook w:val="04A0" w:firstRow="1" w:lastRow="0" w:firstColumn="1" w:lastColumn="0" w:noHBand="0" w:noVBand="1"/>
        </w:tblPrEx>
        <w:trPr>
          <w:tblHeader/>
        </w:trPr>
        <w:tc>
          <w:tcPr>
            <w:tcW w:w="8483" w:type="dxa"/>
            <w:gridSpan w:val="3"/>
            <w:shd w:val="clear" w:color="auto" w:fill="E6E6E6"/>
          </w:tcPr>
          <w:p w14:paraId="0F9C5C71" w14:textId="77777777" w:rsidR="00F7100A" w:rsidRPr="00FE5A03" w:rsidRDefault="00F7100A" w:rsidP="00C4292D">
            <w:pPr>
              <w:tabs>
                <w:tab w:val="left" w:pos="709"/>
              </w:tabs>
              <w:spacing w:before="60" w:after="60"/>
              <w:rPr>
                <w:rFonts w:ascii="Arial" w:hAnsi="Arial"/>
                <w:sz w:val="16"/>
                <w:szCs w:val="15"/>
                <w:lang w:val="en-AU"/>
              </w:rPr>
            </w:pPr>
            <w:r w:rsidRPr="00FE5A03">
              <w:rPr>
                <w:rFonts w:ascii="Arial" w:hAnsi="Arial"/>
                <w:b/>
                <w:sz w:val="16"/>
                <w:szCs w:val="15"/>
                <w:lang w:val="en-AU"/>
              </w:rPr>
              <w:t>Program 2.11</w:t>
            </w:r>
            <w:r w:rsidRPr="00FE5A03">
              <w:rPr>
                <w:rFonts w:ascii="Arial" w:hAnsi="Arial"/>
                <w:sz w:val="16"/>
                <w:szCs w:val="15"/>
                <w:lang w:val="en-AU"/>
              </w:rPr>
              <w:t xml:space="preserve"> </w:t>
            </w:r>
            <w:r w:rsidRPr="00FE5A03">
              <w:rPr>
                <w:rFonts w:ascii="Arial" w:hAnsi="Arial"/>
                <w:b/>
                <w:sz w:val="16"/>
                <w:szCs w:val="15"/>
                <w:lang w:val="en-AU"/>
              </w:rPr>
              <w:t>Objective</w:t>
            </w:r>
          </w:p>
          <w:p w14:paraId="7C9310D9" w14:textId="77777777" w:rsidR="00F7100A" w:rsidRPr="00FE5A03" w:rsidRDefault="00F7100A" w:rsidP="00C4292D">
            <w:pPr>
              <w:tabs>
                <w:tab w:val="left" w:pos="709"/>
              </w:tabs>
              <w:spacing w:before="0" w:after="60"/>
              <w:jc w:val="both"/>
              <w:rPr>
                <w:rFonts w:ascii="Arial" w:hAnsi="Arial"/>
                <w:sz w:val="16"/>
                <w:szCs w:val="15"/>
              </w:rPr>
            </w:pPr>
            <w:r w:rsidRPr="00FE5A03">
              <w:rPr>
                <w:rFonts w:ascii="Arial" w:hAnsi="Arial"/>
                <w:sz w:val="16"/>
                <w:szCs w:val="15"/>
                <w:lang w:val="en-AU"/>
              </w:rPr>
              <w:t>A modern, secure, sustainable and scalable information environment to enable Australian Defence Force Operations and support Defence business.</w:t>
            </w:r>
          </w:p>
        </w:tc>
      </w:tr>
      <w:tr w:rsidR="00F7100A" w:rsidRPr="00FE5A03" w14:paraId="1E9BF64A" w14:textId="77777777" w:rsidTr="00A27F9B">
        <w:tblPrEx>
          <w:shd w:val="clear" w:color="auto" w:fill="auto"/>
          <w:tblLook w:val="04A0" w:firstRow="1" w:lastRow="0" w:firstColumn="1" w:lastColumn="0" w:noHBand="0" w:noVBand="1"/>
        </w:tblPrEx>
        <w:trPr>
          <w:trHeight w:val="312"/>
        </w:trPr>
        <w:tc>
          <w:tcPr>
            <w:tcW w:w="1843" w:type="dxa"/>
            <w:tcBorders>
              <w:bottom w:val="single" w:sz="4" w:space="0" w:color="auto"/>
            </w:tcBorders>
          </w:tcPr>
          <w:p w14:paraId="0B44728F" w14:textId="77777777" w:rsidR="00F7100A" w:rsidRPr="00FE5A03" w:rsidRDefault="00F7100A" w:rsidP="00C4292D">
            <w:pPr>
              <w:tabs>
                <w:tab w:val="left" w:pos="709"/>
              </w:tabs>
              <w:spacing w:before="60" w:after="60"/>
              <w:rPr>
                <w:rFonts w:ascii="Arial" w:hAnsi="Arial"/>
                <w:b/>
                <w:color w:val="000000"/>
                <w:sz w:val="16"/>
                <w:szCs w:val="15"/>
              </w:rPr>
            </w:pPr>
            <w:r w:rsidRPr="00FE5A03">
              <w:rPr>
                <w:rFonts w:ascii="Arial" w:hAnsi="Arial"/>
                <w:b/>
                <w:color w:val="000000"/>
                <w:sz w:val="16"/>
                <w:szCs w:val="15"/>
              </w:rPr>
              <w:t>Key Activit</w:t>
            </w:r>
            <w:r w:rsidR="006369C5" w:rsidRPr="00FE5A03">
              <w:rPr>
                <w:rFonts w:ascii="Arial" w:hAnsi="Arial"/>
                <w:b/>
                <w:color w:val="000000"/>
                <w:sz w:val="16"/>
                <w:szCs w:val="15"/>
              </w:rPr>
              <w:t>y</w:t>
            </w:r>
          </w:p>
        </w:tc>
        <w:tc>
          <w:tcPr>
            <w:tcW w:w="6640" w:type="dxa"/>
            <w:gridSpan w:val="2"/>
            <w:tcBorders>
              <w:bottom w:val="single" w:sz="4" w:space="0" w:color="auto"/>
            </w:tcBorders>
          </w:tcPr>
          <w:p w14:paraId="5BEB9264" w14:textId="77777777" w:rsidR="00F7100A" w:rsidRPr="00FE5A03" w:rsidRDefault="00F7100A" w:rsidP="00C4292D">
            <w:pPr>
              <w:tabs>
                <w:tab w:val="left" w:pos="343"/>
              </w:tabs>
              <w:spacing w:before="60" w:after="60"/>
              <w:rPr>
                <w:rFonts w:ascii="Arial" w:hAnsi="Arial"/>
                <w:bCs/>
                <w:sz w:val="16"/>
                <w:szCs w:val="15"/>
                <w:lang w:val="en-AU"/>
              </w:rPr>
            </w:pPr>
            <w:r w:rsidRPr="00FE5A03">
              <w:rPr>
                <w:rFonts w:ascii="Arial" w:hAnsi="Arial"/>
                <w:bCs/>
                <w:sz w:val="16"/>
                <w:szCs w:val="15"/>
                <w:lang w:val="en-AU"/>
              </w:rPr>
              <w:t>This program will be achieved through the following activity:</w:t>
            </w:r>
          </w:p>
          <w:p w14:paraId="775BFA3D" w14:textId="72D9DD14" w:rsidR="00F7100A" w:rsidRPr="00FE5A03" w:rsidRDefault="00F7100A" w:rsidP="00C4292D">
            <w:pPr>
              <w:tabs>
                <w:tab w:val="left" w:pos="627"/>
              </w:tabs>
              <w:spacing w:before="60" w:after="60"/>
              <w:rPr>
                <w:rFonts w:ascii="Arial" w:hAnsi="Arial"/>
                <w:bCs/>
                <w:color w:val="000000"/>
                <w:sz w:val="16"/>
                <w:szCs w:val="15"/>
              </w:rPr>
            </w:pPr>
            <w:r w:rsidRPr="00FE5A03">
              <w:rPr>
                <w:rFonts w:ascii="Arial" w:hAnsi="Arial"/>
                <w:b/>
                <w:sz w:val="16"/>
                <w:szCs w:val="15"/>
              </w:rPr>
              <w:t xml:space="preserve">6. </w:t>
            </w:r>
            <w:r w:rsidR="00296940" w:rsidRPr="00FE5A03">
              <w:rPr>
                <w:rFonts w:ascii="Arial" w:hAnsi="Arial"/>
                <w:b/>
                <w:sz w:val="16"/>
                <w:szCs w:val="15"/>
              </w:rPr>
              <w:t>Deliver future capability</w:t>
            </w:r>
            <w:r w:rsidR="00296940" w:rsidRPr="00FE5A03">
              <w:rPr>
                <w:rFonts w:ascii="Arial" w:hAnsi="Arial"/>
                <w:sz w:val="16"/>
                <w:szCs w:val="15"/>
              </w:rPr>
              <w:t>.</w:t>
            </w:r>
          </w:p>
        </w:tc>
      </w:tr>
      <w:tr w:rsidR="00F7100A" w:rsidRPr="00FE5A03" w14:paraId="0FDFA4AA" w14:textId="77777777" w:rsidTr="00A27F9B">
        <w:trPr>
          <w:trHeight w:val="100"/>
        </w:trPr>
        <w:tc>
          <w:tcPr>
            <w:tcW w:w="1843" w:type="dxa"/>
            <w:tcBorders>
              <w:top w:val="single" w:sz="4" w:space="0" w:color="auto"/>
              <w:bottom w:val="single" w:sz="4" w:space="0" w:color="auto"/>
              <w:right w:val="single" w:sz="4" w:space="0" w:color="auto"/>
            </w:tcBorders>
          </w:tcPr>
          <w:p w14:paraId="60443FBC" w14:textId="77777777" w:rsidR="00F7100A" w:rsidRPr="00FE5A03" w:rsidRDefault="00F7100A" w:rsidP="00C4292D">
            <w:pPr>
              <w:tabs>
                <w:tab w:val="left" w:pos="709"/>
              </w:tabs>
              <w:spacing w:before="60" w:after="60"/>
              <w:rPr>
                <w:rFonts w:ascii="Arial" w:hAnsi="Arial"/>
                <w:color w:val="000000"/>
                <w:sz w:val="16"/>
                <w:szCs w:val="15"/>
              </w:rPr>
            </w:pPr>
            <w:r w:rsidRPr="00FE5A03">
              <w:rPr>
                <w:rFonts w:ascii="Arial" w:hAnsi="Arial"/>
                <w:b/>
                <w:color w:val="000000"/>
                <w:sz w:val="16"/>
                <w:szCs w:val="15"/>
              </w:rPr>
              <w:t>Year</w:t>
            </w:r>
          </w:p>
        </w:tc>
        <w:tc>
          <w:tcPr>
            <w:tcW w:w="3238" w:type="dxa"/>
            <w:tcBorders>
              <w:top w:val="single" w:sz="4" w:space="0" w:color="auto"/>
              <w:left w:val="single" w:sz="4" w:space="0" w:color="auto"/>
              <w:bottom w:val="single" w:sz="4" w:space="0" w:color="auto"/>
              <w:right w:val="single" w:sz="4" w:space="0" w:color="auto"/>
            </w:tcBorders>
          </w:tcPr>
          <w:p w14:paraId="354DFABF" w14:textId="75C98A00" w:rsidR="00F7100A" w:rsidRPr="00FE5A03" w:rsidRDefault="00AD14EC" w:rsidP="00C4292D">
            <w:pPr>
              <w:tabs>
                <w:tab w:val="left" w:pos="709"/>
              </w:tabs>
              <w:spacing w:before="60" w:after="60"/>
              <w:rPr>
                <w:rFonts w:ascii="Arial" w:hAnsi="Arial"/>
                <w:color w:val="000000"/>
                <w:sz w:val="16"/>
                <w:szCs w:val="15"/>
              </w:rPr>
            </w:pPr>
            <w:r w:rsidRPr="00FE5A03">
              <w:rPr>
                <w:rFonts w:ascii="Arial" w:hAnsi="Arial"/>
                <w:b/>
                <w:color w:val="000000"/>
                <w:sz w:val="16"/>
                <w:szCs w:val="15"/>
              </w:rPr>
              <w:t>Performance Measures</w:t>
            </w:r>
          </w:p>
        </w:tc>
        <w:tc>
          <w:tcPr>
            <w:tcW w:w="3402" w:type="dxa"/>
            <w:tcBorders>
              <w:top w:val="single" w:sz="4" w:space="0" w:color="auto"/>
              <w:left w:val="single" w:sz="4" w:space="0" w:color="auto"/>
              <w:bottom w:val="single" w:sz="4" w:space="0" w:color="auto"/>
            </w:tcBorders>
          </w:tcPr>
          <w:p w14:paraId="0B993700" w14:textId="77777777" w:rsidR="00F7100A" w:rsidRPr="00FE5A03" w:rsidRDefault="00F7100A" w:rsidP="00C4292D">
            <w:pPr>
              <w:tabs>
                <w:tab w:val="left" w:pos="709"/>
              </w:tabs>
              <w:spacing w:before="60" w:after="60"/>
              <w:rPr>
                <w:rFonts w:ascii="Arial" w:hAnsi="Arial"/>
                <w:i/>
                <w:color w:val="000000"/>
                <w:sz w:val="16"/>
                <w:szCs w:val="15"/>
              </w:rPr>
            </w:pPr>
            <w:r w:rsidRPr="00FE5A03">
              <w:rPr>
                <w:rFonts w:ascii="Arial" w:hAnsi="Arial"/>
                <w:b/>
                <w:color w:val="000000"/>
                <w:sz w:val="16"/>
                <w:szCs w:val="15"/>
              </w:rPr>
              <w:t>Expected Performance Results</w:t>
            </w:r>
          </w:p>
        </w:tc>
      </w:tr>
      <w:tr w:rsidR="00296940" w:rsidRPr="00FE5A03" w14:paraId="5831DDED" w14:textId="77777777" w:rsidTr="00A27F9B">
        <w:tblPrEx>
          <w:shd w:val="clear" w:color="auto" w:fill="auto"/>
          <w:tblLook w:val="04A0" w:firstRow="1" w:lastRow="0" w:firstColumn="1" w:lastColumn="0" w:noHBand="0" w:noVBand="1"/>
        </w:tblPrEx>
        <w:trPr>
          <w:trHeight w:val="100"/>
        </w:trPr>
        <w:tc>
          <w:tcPr>
            <w:tcW w:w="1843" w:type="dxa"/>
            <w:tcBorders>
              <w:top w:val="single" w:sz="4" w:space="0" w:color="auto"/>
              <w:bottom w:val="single" w:sz="4" w:space="0" w:color="auto"/>
              <w:right w:val="single" w:sz="4" w:space="0" w:color="auto"/>
            </w:tcBorders>
          </w:tcPr>
          <w:p w14:paraId="11BCC0F0" w14:textId="77777777" w:rsidR="00296940" w:rsidRPr="00FE5A03" w:rsidRDefault="00296940" w:rsidP="00C4292D">
            <w:pPr>
              <w:tabs>
                <w:tab w:val="left" w:pos="709"/>
              </w:tabs>
              <w:spacing w:before="0" w:after="0"/>
              <w:rPr>
                <w:rFonts w:ascii="Arial" w:hAnsi="Arial"/>
                <w:color w:val="000000"/>
                <w:sz w:val="16"/>
                <w:szCs w:val="15"/>
              </w:rPr>
            </w:pPr>
            <w:r w:rsidRPr="00FE5A03">
              <w:rPr>
                <w:rFonts w:ascii="Arial" w:hAnsi="Arial"/>
                <w:color w:val="000000"/>
                <w:sz w:val="16"/>
                <w:szCs w:val="15"/>
              </w:rPr>
              <w:t>Current Year</w:t>
            </w:r>
          </w:p>
          <w:p w14:paraId="11426CFD" w14:textId="4A663B0C" w:rsidR="00296940" w:rsidRPr="00FE5A03" w:rsidRDefault="00296940" w:rsidP="00C4292D">
            <w:pPr>
              <w:tabs>
                <w:tab w:val="left" w:pos="709"/>
              </w:tabs>
              <w:spacing w:before="0" w:after="0"/>
              <w:rPr>
                <w:rFonts w:ascii="Arial" w:hAnsi="Arial"/>
                <w:color w:val="000000"/>
                <w:sz w:val="16"/>
                <w:szCs w:val="15"/>
              </w:rPr>
            </w:pPr>
            <w:r w:rsidRPr="00FE5A03">
              <w:rPr>
                <w:rFonts w:ascii="Arial" w:hAnsi="Arial"/>
                <w:color w:val="000000"/>
                <w:sz w:val="16"/>
                <w:szCs w:val="15"/>
              </w:rPr>
              <w:t>2025-26</w:t>
            </w:r>
            <w:r w:rsidR="003C0ED5" w:rsidRPr="00FE5A03">
              <w:rPr>
                <w:rFonts w:ascii="Arial" w:hAnsi="Arial"/>
                <w:color w:val="000000"/>
                <w:sz w:val="16"/>
                <w:szCs w:val="15"/>
              </w:rPr>
              <w:t xml:space="preserve"> </w:t>
            </w:r>
            <w:r w:rsidR="003C0ED5" w:rsidRPr="00FE5A03">
              <w:rPr>
                <w:rFonts w:ascii="Arial" w:hAnsi="Arial"/>
                <w:color w:val="000000"/>
                <w:sz w:val="16"/>
                <w:szCs w:val="15"/>
                <w:vertAlign w:val="superscript"/>
              </w:rPr>
              <w:t>[a]</w:t>
            </w:r>
          </w:p>
        </w:tc>
        <w:tc>
          <w:tcPr>
            <w:tcW w:w="3238" w:type="dxa"/>
            <w:tcBorders>
              <w:top w:val="single" w:sz="4" w:space="0" w:color="auto"/>
              <w:left w:val="single" w:sz="4" w:space="0" w:color="auto"/>
              <w:bottom w:val="single" w:sz="4" w:space="0" w:color="auto"/>
              <w:right w:val="single" w:sz="4" w:space="0" w:color="auto"/>
            </w:tcBorders>
          </w:tcPr>
          <w:p w14:paraId="3C5BE96C" w14:textId="1079C134" w:rsidR="00296940" w:rsidRPr="00FE5A03" w:rsidRDefault="00296940" w:rsidP="00C4292D">
            <w:pPr>
              <w:tabs>
                <w:tab w:val="left" w:pos="709"/>
              </w:tabs>
              <w:spacing w:before="60" w:after="60"/>
              <w:rPr>
                <w:rFonts w:ascii="Arial" w:hAnsi="Arial"/>
                <w:color w:val="000000"/>
                <w:sz w:val="16"/>
                <w:szCs w:val="15"/>
              </w:rPr>
            </w:pPr>
            <w:r w:rsidRPr="00FE5A03">
              <w:rPr>
                <w:rFonts w:ascii="Arial" w:hAnsi="Arial"/>
                <w:sz w:val="16"/>
                <w:szCs w:val="15"/>
                <w:lang w:val="en-AU"/>
              </w:rPr>
              <w:t>6.1: Defence is delivering the right future capability at the right time within the Integrated Investment Program to ensure it is equipped to respond to future security challenges as directed by the National Defence Strategy.</w:t>
            </w:r>
          </w:p>
        </w:tc>
        <w:tc>
          <w:tcPr>
            <w:tcW w:w="3402" w:type="dxa"/>
            <w:tcBorders>
              <w:top w:val="single" w:sz="4" w:space="0" w:color="auto"/>
              <w:left w:val="single" w:sz="4" w:space="0" w:color="auto"/>
              <w:bottom w:val="single" w:sz="4" w:space="0" w:color="auto"/>
            </w:tcBorders>
          </w:tcPr>
          <w:p w14:paraId="7C2AB391" w14:textId="77777777" w:rsidR="00296940" w:rsidRPr="00FE5A03" w:rsidRDefault="00296940" w:rsidP="00C4292D">
            <w:pPr>
              <w:tabs>
                <w:tab w:val="left" w:pos="709"/>
              </w:tabs>
              <w:spacing w:before="60" w:after="60"/>
              <w:rPr>
                <w:rFonts w:ascii="Arial" w:hAnsi="Arial"/>
                <w:sz w:val="16"/>
                <w:szCs w:val="15"/>
                <w:lang w:val="en-AU"/>
              </w:rPr>
            </w:pPr>
            <w:r w:rsidRPr="00FE5A03">
              <w:rPr>
                <w:rFonts w:ascii="Arial" w:hAnsi="Arial"/>
                <w:sz w:val="16"/>
                <w:szCs w:val="15"/>
                <w:lang w:val="en-AU"/>
              </w:rPr>
              <w:t>80 per cent or more of approved Integrated Investment Program projects across all domains are on track to deliver within Government approved scope, schedule, and cost (including contingency).</w:t>
            </w:r>
          </w:p>
          <w:p w14:paraId="5829D734" w14:textId="23C723FA" w:rsidR="00296940" w:rsidRPr="00FE5A03" w:rsidRDefault="00715BA3" w:rsidP="00C4292D">
            <w:pPr>
              <w:tabs>
                <w:tab w:val="left" w:pos="709"/>
              </w:tabs>
              <w:spacing w:before="60" w:after="60"/>
              <w:jc w:val="right"/>
              <w:rPr>
                <w:rFonts w:ascii="Arial" w:hAnsi="Arial"/>
                <w:i/>
                <w:sz w:val="16"/>
                <w:szCs w:val="15"/>
              </w:rPr>
            </w:pPr>
            <w:r w:rsidRPr="00FE5A03">
              <w:rPr>
                <w:rFonts w:ascii="Arial" w:hAnsi="Arial"/>
                <w:i/>
                <w:sz w:val="16"/>
                <w:szCs w:val="15"/>
                <w:lang w:val="en-AU"/>
              </w:rPr>
              <w:t>Expected to be achieved</w:t>
            </w:r>
            <w:r w:rsidR="00797E95" w:rsidRPr="00FE5A03">
              <w:rPr>
                <w:rFonts w:ascii="Arial" w:hAnsi="Arial"/>
                <w:i/>
                <w:sz w:val="16"/>
                <w:szCs w:val="15"/>
                <w:lang w:val="en-AU"/>
              </w:rPr>
              <w:t>.</w:t>
            </w:r>
          </w:p>
        </w:tc>
      </w:tr>
      <w:tr w:rsidR="00487C49" w:rsidRPr="00FE5A03" w14:paraId="71291D12" w14:textId="77777777" w:rsidTr="00A27F9B">
        <w:tblPrEx>
          <w:shd w:val="clear" w:color="auto" w:fill="auto"/>
          <w:tblLook w:val="04A0" w:firstRow="1" w:lastRow="0" w:firstColumn="1" w:lastColumn="0" w:noHBand="0" w:noVBand="1"/>
        </w:tblPrEx>
        <w:trPr>
          <w:trHeight w:val="258"/>
        </w:trPr>
        <w:tc>
          <w:tcPr>
            <w:tcW w:w="1843" w:type="dxa"/>
            <w:tcBorders>
              <w:top w:val="single" w:sz="4" w:space="0" w:color="auto"/>
              <w:bottom w:val="single" w:sz="4" w:space="0" w:color="auto"/>
              <w:right w:val="single" w:sz="4" w:space="0" w:color="auto"/>
            </w:tcBorders>
          </w:tcPr>
          <w:p w14:paraId="0C1BA67E" w14:textId="77777777" w:rsidR="00487C49" w:rsidRPr="00FE5A03" w:rsidRDefault="00487C49" w:rsidP="00C4292D">
            <w:pPr>
              <w:tabs>
                <w:tab w:val="left" w:pos="709"/>
              </w:tabs>
              <w:spacing w:before="60" w:after="60"/>
              <w:rPr>
                <w:rFonts w:ascii="Arial" w:hAnsi="Arial"/>
                <w:b/>
                <w:color w:val="000000"/>
                <w:sz w:val="16"/>
                <w:szCs w:val="15"/>
              </w:rPr>
            </w:pPr>
            <w:r w:rsidRPr="00FE5A03">
              <w:rPr>
                <w:rFonts w:ascii="Arial" w:hAnsi="Arial"/>
                <w:b/>
                <w:color w:val="000000"/>
                <w:sz w:val="16"/>
                <w:szCs w:val="15"/>
              </w:rPr>
              <w:t>Year</w:t>
            </w:r>
          </w:p>
        </w:tc>
        <w:tc>
          <w:tcPr>
            <w:tcW w:w="3238" w:type="dxa"/>
            <w:tcBorders>
              <w:top w:val="single" w:sz="4" w:space="0" w:color="auto"/>
              <w:left w:val="single" w:sz="4" w:space="0" w:color="auto"/>
              <w:bottom w:val="single" w:sz="4" w:space="0" w:color="auto"/>
              <w:right w:val="single" w:sz="4" w:space="0" w:color="auto"/>
            </w:tcBorders>
          </w:tcPr>
          <w:p w14:paraId="1BCED7A3" w14:textId="4FC006B4" w:rsidR="00487C49" w:rsidRPr="00FE5A03" w:rsidRDefault="00AD14EC" w:rsidP="00C4292D">
            <w:pPr>
              <w:tabs>
                <w:tab w:val="left" w:pos="709"/>
                <w:tab w:val="center" w:pos="1818"/>
              </w:tabs>
              <w:spacing w:before="60" w:after="60"/>
              <w:rPr>
                <w:rFonts w:ascii="Arial" w:hAnsi="Arial"/>
                <w:b/>
                <w:color w:val="000000"/>
                <w:sz w:val="16"/>
                <w:szCs w:val="15"/>
              </w:rPr>
            </w:pPr>
            <w:r w:rsidRPr="00FE5A03">
              <w:rPr>
                <w:rFonts w:ascii="Arial" w:hAnsi="Arial"/>
                <w:b/>
                <w:color w:val="000000"/>
                <w:sz w:val="16"/>
                <w:szCs w:val="15"/>
              </w:rPr>
              <w:t>Performance Measures</w:t>
            </w:r>
          </w:p>
        </w:tc>
        <w:tc>
          <w:tcPr>
            <w:tcW w:w="3402" w:type="dxa"/>
            <w:tcBorders>
              <w:top w:val="single" w:sz="4" w:space="0" w:color="auto"/>
              <w:left w:val="single" w:sz="4" w:space="0" w:color="auto"/>
              <w:bottom w:val="single" w:sz="4" w:space="0" w:color="auto"/>
            </w:tcBorders>
          </w:tcPr>
          <w:p w14:paraId="693353F7" w14:textId="77777777" w:rsidR="00487C49" w:rsidRPr="00FE5A03" w:rsidRDefault="00487C49" w:rsidP="00C4292D">
            <w:pPr>
              <w:tabs>
                <w:tab w:val="left" w:pos="709"/>
              </w:tabs>
              <w:spacing w:before="60" w:after="60"/>
              <w:rPr>
                <w:rFonts w:ascii="Arial" w:hAnsi="Arial"/>
                <w:b/>
                <w:color w:val="000000"/>
                <w:sz w:val="16"/>
                <w:szCs w:val="15"/>
              </w:rPr>
            </w:pPr>
            <w:r w:rsidRPr="00FE5A03">
              <w:rPr>
                <w:rFonts w:ascii="Arial" w:hAnsi="Arial"/>
                <w:b/>
                <w:color w:val="000000"/>
                <w:sz w:val="16"/>
                <w:szCs w:val="15"/>
              </w:rPr>
              <w:t>Planned Performance Results</w:t>
            </w:r>
          </w:p>
        </w:tc>
      </w:tr>
      <w:tr w:rsidR="00296940" w:rsidRPr="00FE5A03" w14:paraId="6AD82EC6" w14:textId="77777777" w:rsidTr="00A27F9B">
        <w:tblPrEx>
          <w:shd w:val="clear" w:color="auto" w:fill="auto"/>
          <w:tblLook w:val="04A0" w:firstRow="1" w:lastRow="0" w:firstColumn="1" w:lastColumn="0" w:noHBand="0" w:noVBand="1"/>
        </w:tblPrEx>
        <w:trPr>
          <w:trHeight w:val="1040"/>
        </w:trPr>
        <w:tc>
          <w:tcPr>
            <w:tcW w:w="1843" w:type="dxa"/>
            <w:tcBorders>
              <w:top w:val="single" w:sz="4" w:space="0" w:color="auto"/>
              <w:right w:val="single" w:sz="4" w:space="0" w:color="auto"/>
            </w:tcBorders>
          </w:tcPr>
          <w:p w14:paraId="514D1C6C" w14:textId="77777777" w:rsidR="00296940" w:rsidRPr="00FE5A03" w:rsidRDefault="00296940" w:rsidP="00C4292D">
            <w:pPr>
              <w:tabs>
                <w:tab w:val="left" w:pos="709"/>
              </w:tabs>
              <w:spacing w:before="0" w:after="0"/>
              <w:rPr>
                <w:rFonts w:ascii="Arial" w:hAnsi="Arial"/>
                <w:color w:val="000000"/>
                <w:sz w:val="16"/>
                <w:szCs w:val="15"/>
              </w:rPr>
            </w:pPr>
            <w:r w:rsidRPr="00FE5A03">
              <w:rPr>
                <w:rFonts w:ascii="Arial" w:hAnsi="Arial"/>
                <w:color w:val="000000"/>
                <w:sz w:val="16"/>
                <w:szCs w:val="15"/>
              </w:rPr>
              <w:t>Budget Year</w:t>
            </w:r>
          </w:p>
          <w:p w14:paraId="16482FD5" w14:textId="14CE0607" w:rsidR="00296940" w:rsidRPr="00FE5A03" w:rsidRDefault="0084156F" w:rsidP="00C4292D">
            <w:pPr>
              <w:tabs>
                <w:tab w:val="left" w:pos="709"/>
              </w:tabs>
              <w:spacing w:before="0" w:after="0"/>
              <w:rPr>
                <w:rFonts w:ascii="Arial" w:hAnsi="Arial"/>
                <w:color w:val="000000"/>
                <w:sz w:val="16"/>
                <w:szCs w:val="15"/>
              </w:rPr>
            </w:pPr>
            <w:r w:rsidRPr="00FE5A03">
              <w:rPr>
                <w:rFonts w:ascii="Arial" w:hAnsi="Arial"/>
                <w:color w:val="000000"/>
                <w:sz w:val="16"/>
                <w:szCs w:val="15"/>
              </w:rPr>
              <w:t>2026</w:t>
            </w:r>
            <w:r w:rsidR="00296940" w:rsidRPr="00FE5A03">
              <w:rPr>
                <w:rFonts w:ascii="Arial" w:hAnsi="Arial"/>
                <w:color w:val="000000"/>
                <w:sz w:val="16"/>
                <w:szCs w:val="15"/>
              </w:rPr>
              <w:t>-2</w:t>
            </w:r>
            <w:r w:rsidRPr="00FE5A03">
              <w:rPr>
                <w:rFonts w:ascii="Arial" w:hAnsi="Arial"/>
                <w:color w:val="000000"/>
                <w:sz w:val="16"/>
                <w:szCs w:val="15"/>
              </w:rPr>
              <w:t>7</w:t>
            </w:r>
            <w:r w:rsidR="00296940" w:rsidRPr="00FE5A03">
              <w:rPr>
                <w:rFonts w:ascii="Arial" w:hAnsi="Arial"/>
                <w:color w:val="000000"/>
                <w:sz w:val="16"/>
                <w:szCs w:val="15"/>
              </w:rPr>
              <w:t xml:space="preserve"> </w:t>
            </w:r>
            <w:r w:rsidR="00296940" w:rsidRPr="00FE5A03">
              <w:rPr>
                <w:rFonts w:ascii="Arial" w:hAnsi="Arial"/>
                <w:color w:val="000000"/>
                <w:sz w:val="16"/>
                <w:szCs w:val="15"/>
                <w:vertAlign w:val="superscript"/>
              </w:rPr>
              <w:t>[</w:t>
            </w:r>
            <w:r w:rsidR="003C0ED5" w:rsidRPr="00FE5A03">
              <w:rPr>
                <w:rFonts w:ascii="Arial" w:hAnsi="Arial"/>
                <w:color w:val="000000"/>
                <w:sz w:val="16"/>
                <w:szCs w:val="15"/>
                <w:vertAlign w:val="superscript"/>
              </w:rPr>
              <w:t>b</w:t>
            </w:r>
            <w:r w:rsidR="00296940" w:rsidRPr="00FE5A03">
              <w:rPr>
                <w:rFonts w:ascii="Arial" w:hAnsi="Arial"/>
                <w:color w:val="000000"/>
                <w:sz w:val="16"/>
                <w:szCs w:val="15"/>
                <w:vertAlign w:val="superscript"/>
              </w:rPr>
              <w:t>]</w:t>
            </w:r>
          </w:p>
        </w:tc>
        <w:tc>
          <w:tcPr>
            <w:tcW w:w="3238" w:type="dxa"/>
            <w:tcBorders>
              <w:top w:val="single" w:sz="4" w:space="0" w:color="auto"/>
              <w:left w:val="single" w:sz="4" w:space="0" w:color="auto"/>
              <w:right w:val="single" w:sz="4" w:space="0" w:color="auto"/>
            </w:tcBorders>
          </w:tcPr>
          <w:p w14:paraId="6A5FB4A0" w14:textId="11FC0F4B" w:rsidR="00296940" w:rsidRPr="00FE5A03" w:rsidRDefault="00296940" w:rsidP="00C4292D">
            <w:pPr>
              <w:tabs>
                <w:tab w:val="left" w:pos="709"/>
              </w:tabs>
              <w:spacing w:before="60" w:after="60"/>
              <w:rPr>
                <w:rFonts w:ascii="Arial" w:hAnsi="Arial"/>
                <w:color w:val="000000"/>
                <w:sz w:val="16"/>
                <w:szCs w:val="15"/>
              </w:rPr>
            </w:pPr>
            <w:r w:rsidRPr="00FE5A03">
              <w:rPr>
                <w:rFonts w:ascii="Arial" w:hAnsi="Arial"/>
                <w:sz w:val="16"/>
                <w:szCs w:val="15"/>
                <w:lang w:val="en-AU"/>
              </w:rPr>
              <w:t>6.1: Defence is delivering the right future capability at the right time within the Integrated Investment Program to ensure it is equipped to respond to future security challenges as directed by the National Defence Strategy.</w:t>
            </w:r>
          </w:p>
        </w:tc>
        <w:tc>
          <w:tcPr>
            <w:tcW w:w="3402" w:type="dxa"/>
            <w:tcBorders>
              <w:top w:val="single" w:sz="4" w:space="0" w:color="auto"/>
              <w:left w:val="single" w:sz="4" w:space="0" w:color="auto"/>
            </w:tcBorders>
          </w:tcPr>
          <w:p w14:paraId="74A14B71" w14:textId="0DE36825" w:rsidR="00296940" w:rsidRPr="00FE5A03" w:rsidRDefault="00296940" w:rsidP="00C4292D">
            <w:pPr>
              <w:tabs>
                <w:tab w:val="left" w:pos="709"/>
              </w:tabs>
              <w:spacing w:before="60" w:after="60"/>
              <w:rPr>
                <w:rFonts w:ascii="Arial" w:hAnsi="Arial"/>
                <w:sz w:val="16"/>
                <w:szCs w:val="15"/>
              </w:rPr>
            </w:pPr>
            <w:r w:rsidRPr="00FE5A03">
              <w:rPr>
                <w:rFonts w:ascii="Arial" w:hAnsi="Arial"/>
                <w:sz w:val="16"/>
                <w:szCs w:val="15"/>
                <w:lang w:val="en-AU"/>
              </w:rPr>
              <w:t>80 per cent or more of approved Integrated Investment Program projects across all domains are on track to deliver within Government approved scope, schedule, and cost (including contingency).</w:t>
            </w:r>
          </w:p>
        </w:tc>
      </w:tr>
      <w:tr w:rsidR="003C0ED5" w:rsidRPr="00FE5A03" w14:paraId="65EBF238" w14:textId="77777777" w:rsidTr="00A27F9B">
        <w:trPr>
          <w:trHeight w:val="74"/>
        </w:trPr>
        <w:tc>
          <w:tcPr>
            <w:tcW w:w="1843" w:type="dxa"/>
            <w:tcBorders>
              <w:top w:val="single" w:sz="4" w:space="0" w:color="auto"/>
              <w:bottom w:val="single" w:sz="4" w:space="0" w:color="auto"/>
              <w:right w:val="single" w:sz="4" w:space="0" w:color="auto"/>
            </w:tcBorders>
            <w:vAlign w:val="center"/>
          </w:tcPr>
          <w:p w14:paraId="0596D80C" w14:textId="7E49C72A" w:rsidR="003C0ED5" w:rsidRPr="00FE5A03" w:rsidRDefault="003C0ED5" w:rsidP="00C4292D">
            <w:pPr>
              <w:tabs>
                <w:tab w:val="left" w:pos="709"/>
              </w:tabs>
              <w:spacing w:before="0" w:after="0"/>
              <w:rPr>
                <w:rFonts w:ascii="Arial" w:hAnsi="Arial"/>
                <w:color w:val="000000"/>
                <w:sz w:val="16"/>
                <w:szCs w:val="15"/>
              </w:rPr>
            </w:pPr>
            <w:r w:rsidRPr="00FE5A03">
              <w:rPr>
                <w:rFonts w:ascii="Arial" w:hAnsi="Arial"/>
                <w:b/>
                <w:color w:val="000000"/>
                <w:sz w:val="16"/>
                <w:szCs w:val="15"/>
              </w:rPr>
              <w:t>Year</w:t>
            </w:r>
          </w:p>
        </w:tc>
        <w:tc>
          <w:tcPr>
            <w:tcW w:w="3238" w:type="dxa"/>
            <w:tcBorders>
              <w:top w:val="single" w:sz="4" w:space="0" w:color="auto"/>
              <w:left w:val="single" w:sz="4" w:space="0" w:color="auto"/>
              <w:bottom w:val="single" w:sz="4" w:space="0" w:color="auto"/>
              <w:right w:val="single" w:sz="4" w:space="0" w:color="auto"/>
            </w:tcBorders>
            <w:vAlign w:val="center"/>
          </w:tcPr>
          <w:p w14:paraId="06EAEE06" w14:textId="4B634F7E" w:rsidR="003C0ED5" w:rsidRPr="00FE5A03" w:rsidRDefault="00AD14EC" w:rsidP="00C4292D">
            <w:pPr>
              <w:tabs>
                <w:tab w:val="left" w:pos="709"/>
              </w:tabs>
              <w:spacing w:before="60" w:after="60"/>
              <w:rPr>
                <w:rFonts w:ascii="Arial" w:hAnsi="Arial"/>
                <w:color w:val="000000"/>
                <w:sz w:val="16"/>
                <w:szCs w:val="15"/>
              </w:rPr>
            </w:pPr>
            <w:r w:rsidRPr="00FE5A03">
              <w:rPr>
                <w:rFonts w:ascii="Arial" w:hAnsi="Arial"/>
                <w:b/>
                <w:color w:val="000000"/>
                <w:sz w:val="16"/>
                <w:szCs w:val="15"/>
              </w:rPr>
              <w:t>Performance Measures</w:t>
            </w:r>
          </w:p>
        </w:tc>
        <w:tc>
          <w:tcPr>
            <w:tcW w:w="3402" w:type="dxa"/>
            <w:tcBorders>
              <w:top w:val="single" w:sz="4" w:space="0" w:color="auto"/>
              <w:left w:val="single" w:sz="4" w:space="0" w:color="auto"/>
              <w:bottom w:val="single" w:sz="4" w:space="0" w:color="auto"/>
            </w:tcBorders>
            <w:vAlign w:val="center"/>
          </w:tcPr>
          <w:p w14:paraId="7DBA0F5A" w14:textId="68FB0917" w:rsidR="003C0ED5" w:rsidRPr="00FE5A03" w:rsidRDefault="003C0ED5" w:rsidP="00C4292D">
            <w:pPr>
              <w:tabs>
                <w:tab w:val="left" w:pos="709"/>
              </w:tabs>
              <w:spacing w:before="60" w:after="60"/>
              <w:rPr>
                <w:rFonts w:ascii="Arial" w:hAnsi="Arial"/>
                <w:color w:val="000000"/>
                <w:sz w:val="16"/>
                <w:szCs w:val="15"/>
              </w:rPr>
            </w:pPr>
            <w:r w:rsidRPr="00FE5A03">
              <w:rPr>
                <w:rFonts w:ascii="Arial" w:hAnsi="Arial"/>
                <w:b/>
                <w:color w:val="000000"/>
                <w:sz w:val="16"/>
                <w:szCs w:val="15"/>
              </w:rPr>
              <w:t>Planned Performance Results</w:t>
            </w:r>
          </w:p>
        </w:tc>
      </w:tr>
      <w:tr w:rsidR="003C0ED5" w:rsidRPr="00FE5A03" w14:paraId="0970CEC4" w14:textId="77777777" w:rsidTr="00A27F9B">
        <w:trPr>
          <w:trHeight w:val="491"/>
        </w:trPr>
        <w:tc>
          <w:tcPr>
            <w:tcW w:w="1843" w:type="dxa"/>
            <w:tcBorders>
              <w:top w:val="single" w:sz="4" w:space="0" w:color="auto"/>
              <w:bottom w:val="single" w:sz="4" w:space="0" w:color="auto"/>
              <w:right w:val="single" w:sz="4" w:space="0" w:color="auto"/>
            </w:tcBorders>
            <w:vAlign w:val="center"/>
          </w:tcPr>
          <w:p w14:paraId="02876489" w14:textId="77777777" w:rsidR="003C0ED5" w:rsidRPr="00FE5A03" w:rsidRDefault="003C0ED5" w:rsidP="00C4292D">
            <w:pPr>
              <w:tabs>
                <w:tab w:val="left" w:pos="709"/>
              </w:tabs>
              <w:spacing w:before="0" w:after="0"/>
              <w:rPr>
                <w:rFonts w:ascii="Arial" w:hAnsi="Arial"/>
                <w:color w:val="000000"/>
                <w:sz w:val="16"/>
                <w:szCs w:val="15"/>
              </w:rPr>
            </w:pPr>
            <w:r w:rsidRPr="00FE5A03">
              <w:rPr>
                <w:rFonts w:ascii="Arial" w:hAnsi="Arial"/>
                <w:color w:val="000000"/>
                <w:sz w:val="16"/>
                <w:szCs w:val="15"/>
              </w:rPr>
              <w:t>Forward Estimates</w:t>
            </w:r>
          </w:p>
          <w:p w14:paraId="1F287FF6" w14:textId="08D60B14" w:rsidR="003C0ED5" w:rsidRPr="00FE5A03" w:rsidRDefault="003C0ED5" w:rsidP="00C4292D">
            <w:pPr>
              <w:tabs>
                <w:tab w:val="left" w:pos="709"/>
              </w:tabs>
              <w:spacing w:before="0" w:after="0"/>
              <w:rPr>
                <w:rFonts w:ascii="Arial" w:hAnsi="Arial"/>
                <w:color w:val="000000"/>
                <w:sz w:val="16"/>
                <w:szCs w:val="15"/>
              </w:rPr>
            </w:pPr>
            <w:r w:rsidRPr="00FE5A03">
              <w:rPr>
                <w:rFonts w:ascii="Arial" w:hAnsi="Arial"/>
                <w:color w:val="000000"/>
                <w:sz w:val="16"/>
                <w:szCs w:val="15"/>
              </w:rPr>
              <w:t>2027-30</w:t>
            </w:r>
          </w:p>
        </w:tc>
        <w:tc>
          <w:tcPr>
            <w:tcW w:w="3238" w:type="dxa"/>
            <w:tcBorders>
              <w:top w:val="single" w:sz="4" w:space="0" w:color="auto"/>
              <w:left w:val="single" w:sz="4" w:space="0" w:color="auto"/>
              <w:bottom w:val="single" w:sz="4" w:space="0" w:color="auto"/>
              <w:right w:val="single" w:sz="4" w:space="0" w:color="auto"/>
            </w:tcBorders>
            <w:vAlign w:val="center"/>
          </w:tcPr>
          <w:p w14:paraId="6FC1CFF1" w14:textId="681F1A3F" w:rsidR="003C0ED5" w:rsidRPr="00FE5A03" w:rsidRDefault="003C0ED5" w:rsidP="00C4292D">
            <w:pPr>
              <w:tabs>
                <w:tab w:val="left" w:pos="709"/>
              </w:tabs>
              <w:spacing w:before="60" w:after="60"/>
              <w:rPr>
                <w:rFonts w:ascii="Arial" w:hAnsi="Arial"/>
                <w:b/>
                <w:color w:val="000000"/>
                <w:sz w:val="16"/>
                <w:szCs w:val="15"/>
              </w:rPr>
            </w:pPr>
            <w:r w:rsidRPr="00FE5A03">
              <w:rPr>
                <w:rFonts w:ascii="Arial" w:hAnsi="Arial"/>
                <w:color w:val="000000"/>
                <w:sz w:val="16"/>
                <w:szCs w:val="15"/>
              </w:rPr>
              <w:t>As per 2026-27.</w:t>
            </w:r>
          </w:p>
        </w:tc>
        <w:tc>
          <w:tcPr>
            <w:tcW w:w="3402" w:type="dxa"/>
            <w:tcBorders>
              <w:top w:val="single" w:sz="4" w:space="0" w:color="auto"/>
              <w:left w:val="single" w:sz="4" w:space="0" w:color="auto"/>
              <w:bottom w:val="single" w:sz="4" w:space="0" w:color="auto"/>
            </w:tcBorders>
            <w:vAlign w:val="center"/>
          </w:tcPr>
          <w:p w14:paraId="79533DA5" w14:textId="0C3ED5AE" w:rsidR="003C0ED5" w:rsidRPr="00FE5A03" w:rsidRDefault="003C0ED5" w:rsidP="00C4292D">
            <w:pPr>
              <w:tabs>
                <w:tab w:val="left" w:pos="709"/>
              </w:tabs>
              <w:spacing w:before="60" w:after="60"/>
              <w:rPr>
                <w:rFonts w:ascii="Arial" w:hAnsi="Arial"/>
                <w:b/>
                <w:color w:val="000000"/>
                <w:sz w:val="16"/>
                <w:szCs w:val="15"/>
              </w:rPr>
            </w:pPr>
            <w:r w:rsidRPr="00FE5A03">
              <w:rPr>
                <w:rFonts w:ascii="Arial" w:hAnsi="Arial"/>
                <w:color w:val="000000"/>
                <w:sz w:val="16"/>
                <w:szCs w:val="15"/>
              </w:rPr>
              <w:t>As per 2026-27.</w:t>
            </w:r>
          </w:p>
        </w:tc>
      </w:tr>
      <w:tr w:rsidR="003C0ED5" w:rsidRPr="00FE5A03" w14:paraId="1DF6938A" w14:textId="77777777" w:rsidTr="00A27F9B">
        <w:trPr>
          <w:trHeight w:val="291"/>
        </w:trPr>
        <w:tc>
          <w:tcPr>
            <w:tcW w:w="8483" w:type="dxa"/>
            <w:gridSpan w:val="3"/>
            <w:tcBorders>
              <w:top w:val="single" w:sz="4" w:space="0" w:color="auto"/>
            </w:tcBorders>
          </w:tcPr>
          <w:p w14:paraId="47B8F75D" w14:textId="5F2DB60E" w:rsidR="003C0ED5" w:rsidRPr="00FE5A03" w:rsidRDefault="003C0ED5" w:rsidP="00C4292D">
            <w:pPr>
              <w:tabs>
                <w:tab w:val="left" w:pos="709"/>
              </w:tabs>
              <w:spacing w:before="60" w:after="60"/>
              <w:rPr>
                <w:rFonts w:ascii="Arial" w:hAnsi="Arial"/>
                <w:bCs/>
                <w:iCs/>
                <w:color w:val="000000"/>
                <w:spacing w:val="-6"/>
                <w:sz w:val="16"/>
                <w:szCs w:val="15"/>
              </w:rPr>
            </w:pPr>
            <w:r w:rsidRPr="00FE5A03">
              <w:rPr>
                <w:rFonts w:ascii="Arial" w:hAnsi="Arial"/>
                <w:color w:val="000000"/>
                <w:sz w:val="16"/>
                <w:szCs w:val="15"/>
              </w:rPr>
              <w:t>Material changes to Program 2.11 resulting from 2026-27 Budget Measures:</w:t>
            </w:r>
            <w:r w:rsidRPr="00FE5A03">
              <w:rPr>
                <w:rStyle w:val="BodyTextChar"/>
                <w:rFonts w:ascii="Arial" w:hAnsi="Arial"/>
                <w:bCs/>
                <w:iCs/>
                <w:color w:val="000000"/>
                <w:spacing w:val="-6"/>
                <w:sz w:val="16"/>
                <w:szCs w:val="15"/>
              </w:rPr>
              <w:t xml:space="preserve"> Nil.</w:t>
            </w:r>
          </w:p>
        </w:tc>
      </w:tr>
    </w:tbl>
    <w:p w14:paraId="1786C610" w14:textId="77777777" w:rsidR="00F7100A" w:rsidRPr="003E76E7" w:rsidRDefault="00F7100A" w:rsidP="00C4292D">
      <w:pPr>
        <w:pStyle w:val="TableHeading"/>
        <w:spacing w:before="0" w:after="0"/>
        <w:rPr>
          <w:sz w:val="14"/>
          <w:szCs w:val="16"/>
        </w:rPr>
      </w:pPr>
    </w:p>
    <w:p w14:paraId="4AB1DAF6" w14:textId="7626B52D" w:rsidR="00296940" w:rsidRPr="003E76E7" w:rsidRDefault="00F7100A" w:rsidP="00C4292D">
      <w:pPr>
        <w:pStyle w:val="TableHeading"/>
        <w:spacing w:before="0" w:after="0"/>
        <w:rPr>
          <w:b w:val="0"/>
          <w:sz w:val="14"/>
          <w:szCs w:val="14"/>
        </w:rPr>
      </w:pPr>
      <w:r w:rsidRPr="003E76E7">
        <w:rPr>
          <w:sz w:val="14"/>
          <w:szCs w:val="14"/>
        </w:rPr>
        <w:t>Note</w:t>
      </w:r>
      <w:r w:rsidR="00BD3667" w:rsidRPr="003E76E7">
        <w:rPr>
          <w:sz w:val="14"/>
          <w:szCs w:val="14"/>
        </w:rPr>
        <w:t>s</w:t>
      </w:r>
    </w:p>
    <w:p w14:paraId="6A981088" w14:textId="77777777" w:rsidR="00296940" w:rsidRPr="003E76E7" w:rsidRDefault="00296940" w:rsidP="00C4292D">
      <w:pPr>
        <w:pStyle w:val="TableHeading"/>
        <w:numPr>
          <w:ilvl w:val="0"/>
          <w:numId w:val="53"/>
        </w:numPr>
        <w:tabs>
          <w:tab w:val="left" w:pos="284"/>
        </w:tabs>
        <w:spacing w:before="0" w:after="0"/>
        <w:rPr>
          <w:b w:val="0"/>
          <w:sz w:val="14"/>
          <w:szCs w:val="14"/>
        </w:rPr>
      </w:pPr>
      <w:r w:rsidRPr="003E76E7">
        <w:rPr>
          <w:b w:val="0"/>
          <w:sz w:val="14"/>
          <w:szCs w:val="14"/>
        </w:rPr>
        <w:t>Performance Measure 6.1 has been amended for 2025-26, as published in the</w:t>
      </w:r>
      <w:r w:rsidRPr="003E76E7">
        <w:rPr>
          <w:b w:val="0"/>
          <w:i/>
          <w:sz w:val="14"/>
          <w:szCs w:val="14"/>
        </w:rPr>
        <w:t xml:space="preserve"> 2025-29 Defence Corporate Plan.</w:t>
      </w:r>
    </w:p>
    <w:p w14:paraId="63CD2B13" w14:textId="3EC9FDD4" w:rsidR="006369C5" w:rsidRPr="003E76E7" w:rsidRDefault="00296940" w:rsidP="00C4292D">
      <w:pPr>
        <w:pStyle w:val="TableHeading"/>
        <w:numPr>
          <w:ilvl w:val="0"/>
          <w:numId w:val="53"/>
        </w:numPr>
        <w:spacing w:before="0" w:after="0"/>
        <w:ind w:left="284" w:hanging="284"/>
        <w:rPr>
          <w:b w:val="0"/>
          <w:sz w:val="14"/>
          <w:szCs w:val="14"/>
        </w:rPr>
      </w:pPr>
      <w:r w:rsidRPr="003E76E7">
        <w:rPr>
          <w:b w:val="0"/>
          <w:sz w:val="14"/>
          <w:szCs w:val="14"/>
        </w:rPr>
        <w:t>In accordance with Defence’s Enterprise Performance Framework, Defence is undertaking materiality assessments that may result in updates to the 2026-27 performance information in the 2026-30 Defence Corporate Plan, if required.</w:t>
      </w:r>
    </w:p>
    <w:p w14:paraId="50FA5FC1" w14:textId="661B8C33" w:rsidR="00B57562" w:rsidRPr="003E76E7" w:rsidRDefault="00B57562" w:rsidP="00C4292D">
      <w:pPr>
        <w:spacing w:before="0" w:after="0"/>
        <w:rPr>
          <w:sz w:val="14"/>
        </w:rPr>
      </w:pPr>
    </w:p>
    <w:p w14:paraId="78E95A9B" w14:textId="3068343F" w:rsidR="00294CAC" w:rsidRPr="003E76E7" w:rsidRDefault="003D5485" w:rsidP="00C4292D">
      <w:pPr>
        <w:pStyle w:val="TableHeading"/>
        <w:numPr>
          <w:ilvl w:val="0"/>
          <w:numId w:val="61"/>
        </w:numPr>
        <w:spacing w:before="100"/>
        <w:ind w:left="0" w:firstLine="0"/>
        <w:outlineLvl w:val="4"/>
        <w:rPr>
          <w:lang w:val="en-AU"/>
        </w:rPr>
      </w:pPr>
      <w:r w:rsidRPr="003E76E7">
        <w:rPr>
          <w:lang w:val="en-AU"/>
        </w:rPr>
        <w:t>Cost Summary for Program 2.11</w:t>
      </w:r>
      <w:r w:rsidR="005F39C7" w:rsidRPr="003E76E7">
        <w:rPr>
          <w:lang w:val="en-AU"/>
        </w:rPr>
        <w:t xml:space="preserve"> </w:t>
      </w:r>
      <w:r w:rsidR="00BF1DEE" w:rsidRPr="003E76E7">
        <w:rPr>
          <w:lang w:val="en-AU"/>
        </w:rPr>
        <w:t xml:space="preserve">Defence Digital </w:t>
      </w:r>
    </w:p>
    <w:p w14:paraId="31D1CEE5" w14:textId="777D5581" w:rsidR="00656D60" w:rsidRPr="003E76E7" w:rsidRDefault="00F478CA" w:rsidP="00C4292D">
      <w:pPr>
        <w:spacing w:after="0"/>
        <w:rPr>
          <w:rFonts w:ascii="Arial" w:hAnsi="Arial"/>
          <w:b/>
          <w:sz w:val="14"/>
          <w:szCs w:val="14"/>
          <w:lang w:val="en-AU"/>
        </w:rPr>
      </w:pPr>
      <w:r w:rsidRPr="00F478CA">
        <w:rPr>
          <w:noProof/>
          <w:lang w:val="en-AU"/>
        </w:rPr>
        <w:drawing>
          <wp:inline distT="0" distB="0" distL="0" distR="0" wp14:anchorId="735165B4" wp14:editId="7696D854">
            <wp:extent cx="5436235" cy="2816821"/>
            <wp:effectExtent l="0" t="0" r="0" b="317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436235" cy="2816821"/>
                    </a:xfrm>
                    <a:prstGeom prst="rect">
                      <a:avLst/>
                    </a:prstGeom>
                    <a:noFill/>
                    <a:ln>
                      <a:noFill/>
                    </a:ln>
                  </pic:spPr>
                </pic:pic>
              </a:graphicData>
            </a:graphic>
          </wp:inline>
        </w:drawing>
      </w:r>
    </w:p>
    <w:p w14:paraId="679D3A99" w14:textId="77777777" w:rsidR="009D3404" w:rsidRPr="003E76E7" w:rsidRDefault="009D3404" w:rsidP="00C4292D">
      <w:pPr>
        <w:spacing w:before="0" w:after="0"/>
        <w:rPr>
          <w:rFonts w:ascii="Arial" w:hAnsi="Arial"/>
          <w:b/>
          <w:sz w:val="14"/>
          <w:szCs w:val="14"/>
          <w:lang w:val="en-AU"/>
        </w:rPr>
      </w:pPr>
    </w:p>
    <w:p w14:paraId="58FAE947" w14:textId="0B1CB6CB" w:rsidR="00DD7C36" w:rsidRPr="003E76E7" w:rsidRDefault="00DD7C36" w:rsidP="00C4292D">
      <w:pPr>
        <w:spacing w:before="0" w:after="0"/>
        <w:rPr>
          <w:rFonts w:ascii="Arial" w:hAnsi="Arial"/>
          <w:b/>
          <w:sz w:val="14"/>
          <w:szCs w:val="14"/>
          <w:lang w:val="en-AU"/>
        </w:rPr>
      </w:pPr>
      <w:r w:rsidRPr="003E76E7">
        <w:rPr>
          <w:rFonts w:ascii="Arial" w:hAnsi="Arial"/>
          <w:b/>
          <w:sz w:val="14"/>
          <w:szCs w:val="14"/>
          <w:lang w:val="en-AU"/>
        </w:rPr>
        <w:t>Notes</w:t>
      </w:r>
    </w:p>
    <w:p w14:paraId="11B7BBBE" w14:textId="3CC180E6" w:rsidR="00352B27" w:rsidRPr="003E76E7" w:rsidRDefault="00352B27" w:rsidP="00C4292D">
      <w:pPr>
        <w:pStyle w:val="ListParagraph"/>
        <w:numPr>
          <w:ilvl w:val="0"/>
          <w:numId w:val="117"/>
        </w:numPr>
        <w:spacing w:before="0" w:after="0"/>
        <w:ind w:left="284" w:hanging="284"/>
        <w:rPr>
          <w:rFonts w:ascii="Arial" w:hAnsi="Arial"/>
          <w:sz w:val="14"/>
          <w:szCs w:val="14"/>
          <w:lang w:val="en-AU"/>
        </w:rPr>
      </w:pPr>
      <w:r w:rsidRPr="003E76E7">
        <w:rPr>
          <w:rFonts w:ascii="Arial" w:hAnsi="Arial"/>
          <w:sz w:val="14"/>
          <w:szCs w:val="14"/>
          <w:lang w:val="en-AU"/>
        </w:rPr>
        <w:t>Negative amounts denote a Net reversal of previous asset write-downs (Net write-on position). Total Defence is in a Net write-down and impairment of assets position in 2025-26 Estimated Actual, 2026-27 Budget Estimate and the Forward Estimates. This program is in a Net write-on position in</w:t>
      </w:r>
      <w:r w:rsidR="00662F77">
        <w:rPr>
          <w:rFonts w:ascii="Arial" w:hAnsi="Arial"/>
          <w:sz w:val="14"/>
          <w:szCs w:val="14"/>
          <w:lang w:val="en-AU"/>
        </w:rPr>
        <w:t xml:space="preserve"> the</w:t>
      </w:r>
      <w:r w:rsidRPr="003E76E7">
        <w:rPr>
          <w:rFonts w:ascii="Arial" w:hAnsi="Arial"/>
          <w:sz w:val="14"/>
          <w:szCs w:val="14"/>
          <w:lang w:val="en-AU"/>
        </w:rPr>
        <w:t xml:space="preserve"> 2026-27 Budget Estimate and the Forward Estimates.</w:t>
      </w:r>
      <w:r w:rsidRPr="003E76E7">
        <w:rPr>
          <w:rFonts w:ascii="Arial" w:hAnsi="Arial"/>
          <w:sz w:val="14"/>
          <w:szCs w:val="14"/>
          <w:lang w:val="en-AU"/>
        </w:rPr>
        <w:tab/>
      </w:r>
      <w:r w:rsidRPr="003E76E7">
        <w:rPr>
          <w:rFonts w:ascii="Arial" w:hAnsi="Arial"/>
          <w:sz w:val="14"/>
          <w:szCs w:val="14"/>
          <w:lang w:val="en-AU"/>
        </w:rPr>
        <w:tab/>
      </w:r>
      <w:r w:rsidRPr="003E76E7">
        <w:rPr>
          <w:rFonts w:ascii="Arial" w:hAnsi="Arial"/>
          <w:sz w:val="14"/>
          <w:szCs w:val="14"/>
          <w:lang w:val="en-AU"/>
        </w:rPr>
        <w:tab/>
      </w:r>
      <w:r w:rsidRPr="003E76E7">
        <w:rPr>
          <w:rFonts w:ascii="Arial" w:hAnsi="Arial"/>
          <w:sz w:val="14"/>
          <w:szCs w:val="14"/>
          <w:lang w:val="en-AU"/>
        </w:rPr>
        <w:tab/>
      </w:r>
      <w:r w:rsidRPr="003E76E7">
        <w:rPr>
          <w:rFonts w:ascii="Arial" w:hAnsi="Arial"/>
          <w:sz w:val="14"/>
          <w:szCs w:val="14"/>
          <w:lang w:val="en-AU"/>
        </w:rPr>
        <w:tab/>
      </w:r>
    </w:p>
    <w:p w14:paraId="50AA2B15" w14:textId="799B58B9" w:rsidR="00352B27" w:rsidRPr="003E76E7" w:rsidRDefault="00A37A36" w:rsidP="00C4292D">
      <w:pPr>
        <w:pStyle w:val="ListParagraph"/>
        <w:numPr>
          <w:ilvl w:val="0"/>
          <w:numId w:val="117"/>
        </w:numPr>
        <w:spacing w:before="0" w:after="0"/>
        <w:ind w:left="284" w:hanging="284"/>
        <w:rPr>
          <w:rFonts w:ascii="Arial" w:hAnsi="Arial"/>
          <w:sz w:val="14"/>
          <w:szCs w:val="14"/>
          <w:lang w:val="en-AU"/>
        </w:rPr>
      </w:pPr>
      <w:r w:rsidRPr="003E76E7">
        <w:rPr>
          <w:rFonts w:ascii="Arial" w:hAnsi="Arial"/>
          <w:sz w:val="14"/>
          <w:szCs w:val="14"/>
          <w:lang w:val="en-AU"/>
        </w:rPr>
        <w:t>Total program funded</w:t>
      </w:r>
      <w:r w:rsidR="00352B27" w:rsidRPr="003E76E7">
        <w:rPr>
          <w:rFonts w:ascii="Arial" w:hAnsi="Arial"/>
          <w:sz w:val="14"/>
          <w:szCs w:val="14"/>
          <w:lang w:val="en-AU"/>
        </w:rPr>
        <w:t xml:space="preserve"> expenditure includes operating expenses and capital expenditure funded by appropriation and </w:t>
      </w:r>
      <w:r w:rsidR="00B74CF7" w:rsidRPr="003E76E7">
        <w:rPr>
          <w:rFonts w:ascii="Arial" w:hAnsi="Arial"/>
          <w:sz w:val="14"/>
          <w:szCs w:val="14"/>
          <w:lang w:val="en-AU"/>
        </w:rPr>
        <w:br/>
      </w:r>
      <w:r w:rsidR="00352B27" w:rsidRPr="003E76E7">
        <w:rPr>
          <w:rFonts w:ascii="Arial" w:hAnsi="Arial"/>
          <w:sz w:val="14"/>
          <w:szCs w:val="14"/>
          <w:lang w:val="en-AU"/>
        </w:rPr>
        <w:t>own source revenue. This excludes expenses not requiring appropriation.</w:t>
      </w:r>
      <w:r w:rsidR="00352B27" w:rsidRPr="003E76E7">
        <w:rPr>
          <w:rFonts w:ascii="Arial" w:hAnsi="Arial"/>
          <w:sz w:val="14"/>
          <w:szCs w:val="14"/>
          <w:lang w:val="en-AU"/>
        </w:rPr>
        <w:tab/>
      </w:r>
      <w:r w:rsidR="00352B27" w:rsidRPr="003E76E7">
        <w:rPr>
          <w:rFonts w:ascii="Arial" w:hAnsi="Arial"/>
          <w:sz w:val="14"/>
          <w:szCs w:val="14"/>
          <w:lang w:val="en-AU"/>
        </w:rPr>
        <w:tab/>
      </w:r>
      <w:r w:rsidR="00352B27" w:rsidRPr="003E76E7">
        <w:rPr>
          <w:rFonts w:ascii="Arial" w:hAnsi="Arial"/>
          <w:sz w:val="14"/>
          <w:szCs w:val="14"/>
          <w:lang w:val="en-AU"/>
        </w:rPr>
        <w:tab/>
      </w:r>
      <w:r w:rsidR="00352B27" w:rsidRPr="003E76E7">
        <w:rPr>
          <w:rFonts w:ascii="Arial" w:hAnsi="Arial"/>
          <w:sz w:val="14"/>
          <w:szCs w:val="14"/>
          <w:lang w:val="en-AU"/>
        </w:rPr>
        <w:tab/>
      </w:r>
      <w:r w:rsidR="00352B27" w:rsidRPr="003E76E7">
        <w:rPr>
          <w:rFonts w:ascii="Arial" w:hAnsi="Arial"/>
          <w:sz w:val="14"/>
          <w:szCs w:val="14"/>
          <w:lang w:val="en-AU"/>
        </w:rPr>
        <w:tab/>
      </w:r>
    </w:p>
    <w:p w14:paraId="2CD42A93" w14:textId="2B84C6D4" w:rsidR="00CD66E1" w:rsidRPr="003E76E7" w:rsidRDefault="00352B27" w:rsidP="00C4292D">
      <w:pPr>
        <w:pStyle w:val="ListParagraph"/>
        <w:numPr>
          <w:ilvl w:val="0"/>
          <w:numId w:val="117"/>
        </w:numPr>
        <w:spacing w:before="0" w:after="0"/>
        <w:ind w:left="284" w:hanging="284"/>
        <w:rPr>
          <w:rFonts w:ascii="Arial" w:hAnsi="Arial"/>
          <w:sz w:val="14"/>
          <w:szCs w:val="14"/>
          <w:lang w:val="en-AU"/>
        </w:rPr>
      </w:pPr>
      <w:r w:rsidRPr="003E76E7">
        <w:rPr>
          <w:rFonts w:ascii="Arial" w:hAnsi="Arial"/>
          <w:sz w:val="14"/>
          <w:szCs w:val="14"/>
          <w:lang w:val="en-AU"/>
        </w:rPr>
        <w:t>The change in estimates includes movement of functions and their associated budgets within Defence.</w:t>
      </w:r>
      <w:r w:rsidRPr="003E76E7">
        <w:rPr>
          <w:rFonts w:ascii="Arial" w:hAnsi="Arial"/>
          <w:sz w:val="14"/>
          <w:szCs w:val="14"/>
          <w:lang w:val="en-AU"/>
        </w:rPr>
        <w:tab/>
      </w:r>
      <w:r w:rsidRPr="003E76E7">
        <w:rPr>
          <w:rFonts w:ascii="Arial" w:hAnsi="Arial"/>
          <w:sz w:val="14"/>
          <w:szCs w:val="14"/>
          <w:lang w:val="en-AU"/>
        </w:rPr>
        <w:tab/>
      </w:r>
      <w:r w:rsidRPr="003E76E7">
        <w:rPr>
          <w:rFonts w:ascii="Arial" w:hAnsi="Arial"/>
          <w:sz w:val="14"/>
          <w:szCs w:val="14"/>
          <w:lang w:val="en-AU"/>
        </w:rPr>
        <w:tab/>
      </w:r>
      <w:r w:rsidRPr="003E76E7">
        <w:rPr>
          <w:rFonts w:ascii="Arial" w:hAnsi="Arial"/>
          <w:sz w:val="14"/>
          <w:szCs w:val="14"/>
          <w:lang w:val="en-AU"/>
        </w:rPr>
        <w:tab/>
      </w:r>
      <w:r w:rsidRPr="003E76E7">
        <w:rPr>
          <w:rFonts w:ascii="Arial" w:hAnsi="Arial"/>
          <w:sz w:val="14"/>
          <w:szCs w:val="14"/>
          <w:lang w:val="en-AU"/>
        </w:rPr>
        <w:tab/>
      </w:r>
      <w:r w:rsidRPr="003E76E7" w:rsidDel="00352B27">
        <w:rPr>
          <w:rFonts w:ascii="Arial" w:hAnsi="Arial"/>
          <w:sz w:val="14"/>
          <w:szCs w:val="14"/>
          <w:lang w:val="en-AU"/>
        </w:rPr>
        <w:t xml:space="preserve"> </w:t>
      </w:r>
    </w:p>
    <w:p w14:paraId="727FAE41" w14:textId="77777777" w:rsidR="00650FED" w:rsidRPr="003E76E7" w:rsidRDefault="00AE1D3C" w:rsidP="00C4292D">
      <w:pPr>
        <w:spacing w:before="0" w:after="0"/>
        <w:outlineLvl w:val="5"/>
        <w:rPr>
          <w:color w:val="FFFFFF"/>
          <w:sz w:val="2"/>
          <w:szCs w:val="2"/>
        </w:rPr>
      </w:pPr>
      <w:r w:rsidRPr="003E76E7">
        <w:rPr>
          <w:lang w:val="en-AU"/>
        </w:rPr>
        <w:br w:type="page"/>
      </w:r>
      <w:r w:rsidR="00650FED" w:rsidRPr="003E76E7">
        <w:rPr>
          <w:color w:val="FFFFFF"/>
          <w:sz w:val="2"/>
          <w:szCs w:val="2"/>
        </w:rPr>
        <w:lastRenderedPageBreak/>
        <w:t>Program 2.12: Defence People</w:t>
      </w:r>
    </w:p>
    <w:tbl>
      <w:tblPr>
        <w:tblW w:w="5000"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1856"/>
        <w:gridCol w:w="3183"/>
        <w:gridCol w:w="3512"/>
      </w:tblGrid>
      <w:tr w:rsidR="00F7100A" w:rsidRPr="003E76E7" w14:paraId="4DA2B123" w14:textId="77777777" w:rsidTr="00A211F5">
        <w:tc>
          <w:tcPr>
            <w:tcW w:w="7842" w:type="dxa"/>
            <w:gridSpan w:val="3"/>
            <w:tcBorders>
              <w:bottom w:val="single" w:sz="4" w:space="0" w:color="auto"/>
            </w:tcBorders>
            <w:shd w:val="clear" w:color="auto" w:fill="CCCCCC"/>
          </w:tcPr>
          <w:p w14:paraId="274CF012" w14:textId="77777777" w:rsidR="00F7100A" w:rsidRPr="003E76E7" w:rsidRDefault="00F7100A" w:rsidP="00C4292D">
            <w:pPr>
              <w:pStyle w:val="Heading5"/>
              <w:spacing w:before="60" w:after="60"/>
            </w:pPr>
            <w:r w:rsidRPr="003E76E7">
              <w:t>Program 2.12: Defence People (including Chief of Personnel)</w:t>
            </w:r>
          </w:p>
        </w:tc>
      </w:tr>
      <w:tr w:rsidR="00F7100A" w:rsidRPr="003E76E7" w14:paraId="43CB066F" w14:textId="77777777" w:rsidTr="00A211F5">
        <w:trPr>
          <w:trHeight w:val="170"/>
        </w:trPr>
        <w:tc>
          <w:tcPr>
            <w:tcW w:w="7842" w:type="dxa"/>
            <w:gridSpan w:val="3"/>
            <w:tcBorders>
              <w:left w:val="nil"/>
              <w:bottom w:val="single" w:sz="4" w:space="0" w:color="auto"/>
              <w:right w:val="nil"/>
            </w:tcBorders>
            <w:shd w:val="clear" w:color="auto" w:fill="auto"/>
          </w:tcPr>
          <w:p w14:paraId="75727A4E" w14:textId="77777777" w:rsidR="00F7100A" w:rsidRPr="003E76E7" w:rsidRDefault="00F7100A" w:rsidP="00C4292D">
            <w:pPr>
              <w:pStyle w:val="Heading5"/>
              <w:spacing w:before="0" w:after="0"/>
              <w:rPr>
                <w:sz w:val="16"/>
                <w:szCs w:val="16"/>
              </w:rPr>
            </w:pPr>
          </w:p>
        </w:tc>
      </w:tr>
      <w:tr w:rsidR="00F7100A" w:rsidRPr="003E76E7" w14:paraId="6CA4CCBA" w14:textId="77777777" w:rsidTr="00A211F5">
        <w:tblPrEx>
          <w:shd w:val="clear" w:color="auto" w:fill="auto"/>
          <w:tblLook w:val="04A0" w:firstRow="1" w:lastRow="0" w:firstColumn="1" w:lastColumn="0" w:noHBand="0" w:noVBand="1"/>
        </w:tblPrEx>
        <w:trPr>
          <w:trHeight w:val="680"/>
          <w:tblHeader/>
        </w:trPr>
        <w:tc>
          <w:tcPr>
            <w:tcW w:w="7842" w:type="dxa"/>
            <w:gridSpan w:val="3"/>
            <w:shd w:val="clear" w:color="auto" w:fill="E6E6E6"/>
          </w:tcPr>
          <w:p w14:paraId="5EC2B327" w14:textId="77777777" w:rsidR="00F7100A" w:rsidRPr="003E76E7" w:rsidRDefault="00F7100A" w:rsidP="00C4292D">
            <w:pPr>
              <w:tabs>
                <w:tab w:val="left" w:pos="709"/>
              </w:tabs>
              <w:spacing w:before="40" w:after="0"/>
              <w:rPr>
                <w:rFonts w:ascii="Arial" w:hAnsi="Arial"/>
                <w:sz w:val="16"/>
                <w:szCs w:val="16"/>
              </w:rPr>
            </w:pPr>
            <w:r w:rsidRPr="003E76E7">
              <w:rPr>
                <w:rFonts w:ascii="Arial" w:hAnsi="Arial"/>
                <w:b/>
                <w:sz w:val="16"/>
                <w:szCs w:val="16"/>
              </w:rPr>
              <w:t>P</w:t>
            </w:r>
            <w:r w:rsidRPr="003E76E7">
              <w:rPr>
                <w:rFonts w:ascii="Arial" w:hAnsi="Arial"/>
                <w:b/>
                <w:sz w:val="16"/>
                <w:szCs w:val="16"/>
                <w:lang w:val="en-AU"/>
              </w:rPr>
              <w:t>rogram 2.12 Objective</w:t>
            </w:r>
          </w:p>
          <w:p w14:paraId="6E5FCF68" w14:textId="77777777" w:rsidR="00F7100A" w:rsidRPr="003E76E7" w:rsidRDefault="00F7100A" w:rsidP="00C4292D">
            <w:pPr>
              <w:tabs>
                <w:tab w:val="left" w:pos="709"/>
              </w:tabs>
              <w:spacing w:before="60" w:after="60"/>
              <w:jc w:val="both"/>
              <w:rPr>
                <w:rFonts w:ascii="Arial" w:hAnsi="Arial"/>
                <w:sz w:val="16"/>
                <w:szCs w:val="16"/>
              </w:rPr>
            </w:pPr>
            <w:r w:rsidRPr="003E76E7">
              <w:rPr>
                <w:rFonts w:ascii="Arial" w:hAnsi="Arial"/>
                <w:sz w:val="16"/>
                <w:szCs w:val="16"/>
                <w:lang w:val="en-AU"/>
              </w:rPr>
              <w:t>To deliver a program that enables the required people capability to operate and support Defence equipment and systems, and to manage the business of Defence.</w:t>
            </w:r>
          </w:p>
        </w:tc>
      </w:tr>
      <w:tr w:rsidR="00F7100A" w:rsidRPr="003E76E7" w14:paraId="3AB14F32" w14:textId="77777777" w:rsidTr="00A211F5">
        <w:trPr>
          <w:trHeight w:val="949"/>
        </w:trPr>
        <w:tc>
          <w:tcPr>
            <w:tcW w:w="1702" w:type="dxa"/>
            <w:tcBorders>
              <w:bottom w:val="single" w:sz="4" w:space="0" w:color="auto"/>
            </w:tcBorders>
          </w:tcPr>
          <w:p w14:paraId="094EF6D5" w14:textId="2B364C87" w:rsidR="00F7100A" w:rsidRPr="003E76E7" w:rsidRDefault="00F7100A" w:rsidP="00C4292D">
            <w:pPr>
              <w:tabs>
                <w:tab w:val="left" w:pos="709"/>
              </w:tabs>
              <w:spacing w:before="60" w:after="60"/>
              <w:rPr>
                <w:rFonts w:ascii="Arial" w:hAnsi="Arial"/>
                <w:b/>
                <w:color w:val="000000"/>
                <w:sz w:val="16"/>
                <w:szCs w:val="16"/>
              </w:rPr>
            </w:pPr>
            <w:r w:rsidRPr="003E76E7">
              <w:rPr>
                <w:rFonts w:ascii="Arial" w:hAnsi="Arial"/>
                <w:b/>
                <w:color w:val="000000"/>
                <w:sz w:val="16"/>
                <w:szCs w:val="16"/>
              </w:rPr>
              <w:t>Ke</w:t>
            </w:r>
            <w:r w:rsidR="006369C5" w:rsidRPr="003E76E7">
              <w:rPr>
                <w:rFonts w:ascii="Arial" w:hAnsi="Arial"/>
                <w:b/>
                <w:color w:val="000000"/>
                <w:sz w:val="16"/>
                <w:szCs w:val="16"/>
              </w:rPr>
              <w:t>y Activities</w:t>
            </w:r>
            <w:r w:rsidR="003C0ED5" w:rsidRPr="003E76E7">
              <w:rPr>
                <w:rFonts w:ascii="Arial" w:hAnsi="Arial"/>
                <w:b/>
                <w:color w:val="000000"/>
                <w:sz w:val="16"/>
                <w:szCs w:val="16"/>
              </w:rPr>
              <w:t xml:space="preserve"> </w:t>
            </w:r>
            <w:r w:rsidR="003C0ED5" w:rsidRPr="003E76E7">
              <w:rPr>
                <w:rFonts w:ascii="Arial" w:hAnsi="Arial"/>
                <w:b/>
                <w:color w:val="000000"/>
                <w:sz w:val="16"/>
                <w:szCs w:val="16"/>
                <w:vertAlign w:val="superscript"/>
              </w:rPr>
              <w:t>[a]</w:t>
            </w:r>
          </w:p>
        </w:tc>
        <w:tc>
          <w:tcPr>
            <w:tcW w:w="6140" w:type="dxa"/>
            <w:gridSpan w:val="2"/>
            <w:tcBorders>
              <w:bottom w:val="single" w:sz="4" w:space="0" w:color="auto"/>
            </w:tcBorders>
          </w:tcPr>
          <w:p w14:paraId="355FF537" w14:textId="77777777" w:rsidR="00F7100A" w:rsidRPr="003E76E7" w:rsidRDefault="00F7100A" w:rsidP="00C4292D">
            <w:pPr>
              <w:tabs>
                <w:tab w:val="left" w:pos="709"/>
              </w:tabs>
              <w:spacing w:before="40" w:after="0"/>
              <w:rPr>
                <w:rFonts w:ascii="Arial" w:hAnsi="Arial"/>
                <w:bCs/>
                <w:color w:val="000000"/>
                <w:sz w:val="16"/>
                <w:szCs w:val="16"/>
                <w:lang w:val="en-AU"/>
              </w:rPr>
            </w:pPr>
            <w:r w:rsidRPr="003E76E7">
              <w:rPr>
                <w:rFonts w:ascii="Arial" w:hAnsi="Arial"/>
                <w:bCs/>
                <w:color w:val="000000"/>
                <w:sz w:val="16"/>
                <w:szCs w:val="16"/>
                <w:lang w:val="en-AU"/>
              </w:rPr>
              <w:t>The program will be achieved through the following activities:</w:t>
            </w:r>
          </w:p>
          <w:p w14:paraId="750581B2" w14:textId="49DE66BB" w:rsidR="00296940" w:rsidRPr="003E76E7" w:rsidRDefault="0077646D" w:rsidP="00C4292D">
            <w:pPr>
              <w:tabs>
                <w:tab w:val="left" w:pos="343"/>
              </w:tabs>
              <w:spacing w:before="60" w:after="60"/>
              <w:rPr>
                <w:rFonts w:ascii="Arial" w:hAnsi="Arial"/>
                <w:color w:val="000000"/>
                <w:sz w:val="16"/>
                <w:szCs w:val="16"/>
                <w:lang w:val="en-AU"/>
              </w:rPr>
            </w:pPr>
            <w:r w:rsidRPr="003E76E7">
              <w:rPr>
                <w:rFonts w:ascii="Arial" w:hAnsi="Arial"/>
                <w:b/>
                <w:sz w:val="16"/>
                <w:szCs w:val="16"/>
                <w:lang w:val="en-AU"/>
              </w:rPr>
              <w:t>1. Conduct</w:t>
            </w:r>
            <w:r w:rsidR="00296940" w:rsidRPr="003E76E7">
              <w:rPr>
                <w:rFonts w:ascii="Arial" w:hAnsi="Arial"/>
                <w:b/>
                <w:sz w:val="16"/>
                <w:szCs w:val="16"/>
                <w:lang w:val="en-AU"/>
              </w:rPr>
              <w:t xml:space="preserve"> domestic and international operations and exercises to defend Australia and its national interests.</w:t>
            </w:r>
          </w:p>
          <w:p w14:paraId="1A3692FA" w14:textId="10B56905" w:rsidR="00F7100A" w:rsidRPr="003E76E7" w:rsidRDefault="00296940" w:rsidP="00C4292D">
            <w:pPr>
              <w:tabs>
                <w:tab w:val="left" w:pos="343"/>
              </w:tabs>
              <w:spacing w:before="60" w:after="60"/>
              <w:rPr>
                <w:rFonts w:ascii="Arial" w:hAnsi="Arial"/>
                <w:i/>
                <w:color w:val="000000"/>
                <w:sz w:val="16"/>
                <w:szCs w:val="16"/>
              </w:rPr>
            </w:pPr>
            <w:r w:rsidRPr="003E76E7">
              <w:rPr>
                <w:rFonts w:ascii="Arial" w:hAnsi="Arial"/>
                <w:b/>
                <w:sz w:val="16"/>
                <w:szCs w:val="16"/>
                <w:lang w:val="en-AU"/>
              </w:rPr>
              <w:t>4. Defence invests in its people through recruitment and retention, growth in skills and capabilities, improved culture, mental health and wellbeing support, and support to ADF families.</w:t>
            </w:r>
          </w:p>
        </w:tc>
      </w:tr>
      <w:tr w:rsidR="00F7100A" w:rsidRPr="003E76E7" w14:paraId="72189A36" w14:textId="77777777" w:rsidTr="00A211F5">
        <w:trPr>
          <w:trHeight w:val="100"/>
        </w:trPr>
        <w:tc>
          <w:tcPr>
            <w:tcW w:w="1702" w:type="dxa"/>
            <w:tcBorders>
              <w:top w:val="single" w:sz="4" w:space="0" w:color="auto"/>
              <w:bottom w:val="single" w:sz="4" w:space="0" w:color="auto"/>
              <w:right w:val="single" w:sz="4" w:space="0" w:color="auto"/>
            </w:tcBorders>
          </w:tcPr>
          <w:p w14:paraId="3F380ADB" w14:textId="77777777" w:rsidR="00F7100A" w:rsidRPr="003E76E7" w:rsidRDefault="00F7100A" w:rsidP="00C4292D">
            <w:pPr>
              <w:tabs>
                <w:tab w:val="left" w:pos="709"/>
              </w:tabs>
              <w:spacing w:before="60" w:after="60"/>
              <w:rPr>
                <w:rFonts w:ascii="Arial" w:hAnsi="Arial"/>
                <w:color w:val="000000"/>
                <w:sz w:val="16"/>
                <w:szCs w:val="16"/>
              </w:rPr>
            </w:pPr>
            <w:r w:rsidRPr="003E76E7">
              <w:rPr>
                <w:rFonts w:ascii="Arial" w:hAnsi="Arial"/>
                <w:b/>
                <w:color w:val="000000"/>
                <w:sz w:val="16"/>
                <w:szCs w:val="16"/>
              </w:rPr>
              <w:t>Year</w:t>
            </w:r>
          </w:p>
        </w:tc>
        <w:tc>
          <w:tcPr>
            <w:tcW w:w="2919" w:type="dxa"/>
            <w:tcBorders>
              <w:top w:val="single" w:sz="4" w:space="0" w:color="auto"/>
              <w:left w:val="single" w:sz="4" w:space="0" w:color="auto"/>
              <w:bottom w:val="single" w:sz="4" w:space="0" w:color="auto"/>
              <w:right w:val="single" w:sz="4" w:space="0" w:color="auto"/>
            </w:tcBorders>
          </w:tcPr>
          <w:p w14:paraId="6405374B" w14:textId="7417E47B" w:rsidR="00F7100A" w:rsidRPr="003E76E7" w:rsidRDefault="00AD14EC" w:rsidP="00C4292D">
            <w:pPr>
              <w:tabs>
                <w:tab w:val="left" w:pos="709"/>
              </w:tabs>
              <w:spacing w:before="60" w:after="60"/>
              <w:rPr>
                <w:rFonts w:ascii="Arial" w:hAnsi="Arial"/>
                <w:color w:val="000000"/>
              </w:rPr>
            </w:pPr>
            <w:r w:rsidRPr="003E76E7">
              <w:rPr>
                <w:rFonts w:ascii="Arial" w:hAnsi="Arial"/>
                <w:b/>
                <w:color w:val="000000"/>
                <w:sz w:val="16"/>
                <w:szCs w:val="16"/>
              </w:rPr>
              <w:t>Performance Measures</w:t>
            </w:r>
          </w:p>
        </w:tc>
        <w:tc>
          <w:tcPr>
            <w:tcW w:w="3221" w:type="dxa"/>
            <w:tcBorders>
              <w:top w:val="single" w:sz="4" w:space="0" w:color="auto"/>
              <w:left w:val="single" w:sz="4" w:space="0" w:color="auto"/>
              <w:bottom w:val="single" w:sz="4" w:space="0" w:color="auto"/>
            </w:tcBorders>
          </w:tcPr>
          <w:p w14:paraId="372719E1" w14:textId="77777777" w:rsidR="00F7100A" w:rsidRPr="003E76E7" w:rsidRDefault="00F7100A" w:rsidP="00C4292D">
            <w:pPr>
              <w:tabs>
                <w:tab w:val="left" w:pos="709"/>
              </w:tabs>
              <w:spacing w:before="60" w:after="60"/>
              <w:rPr>
                <w:rFonts w:ascii="Arial" w:hAnsi="Arial"/>
                <w:i/>
                <w:color w:val="000000"/>
                <w:sz w:val="16"/>
                <w:szCs w:val="16"/>
              </w:rPr>
            </w:pPr>
            <w:r w:rsidRPr="003E76E7">
              <w:rPr>
                <w:rFonts w:ascii="Arial" w:hAnsi="Arial"/>
                <w:b/>
                <w:color w:val="000000"/>
                <w:sz w:val="16"/>
                <w:szCs w:val="16"/>
              </w:rPr>
              <w:t>Expected Performance Results</w:t>
            </w:r>
          </w:p>
        </w:tc>
      </w:tr>
      <w:tr w:rsidR="00A62839" w:rsidRPr="003E76E7" w14:paraId="04BB6A75" w14:textId="77777777" w:rsidTr="00A211F5">
        <w:tblPrEx>
          <w:shd w:val="clear" w:color="auto" w:fill="auto"/>
          <w:tblLook w:val="04A0" w:firstRow="1" w:lastRow="0" w:firstColumn="1" w:lastColumn="0" w:noHBand="0" w:noVBand="1"/>
        </w:tblPrEx>
        <w:trPr>
          <w:trHeight w:val="154"/>
        </w:trPr>
        <w:tc>
          <w:tcPr>
            <w:tcW w:w="1702" w:type="dxa"/>
            <w:vMerge w:val="restart"/>
            <w:tcBorders>
              <w:top w:val="single" w:sz="4" w:space="0" w:color="auto"/>
              <w:right w:val="single" w:sz="4" w:space="0" w:color="auto"/>
            </w:tcBorders>
          </w:tcPr>
          <w:p w14:paraId="34E102C7" w14:textId="77777777" w:rsidR="00A62839" w:rsidRPr="003E76E7" w:rsidRDefault="00A62839" w:rsidP="00C4292D">
            <w:pPr>
              <w:tabs>
                <w:tab w:val="left" w:pos="709"/>
              </w:tabs>
              <w:spacing w:before="0" w:after="0"/>
              <w:rPr>
                <w:rFonts w:ascii="Arial" w:hAnsi="Arial"/>
                <w:color w:val="000000"/>
                <w:sz w:val="16"/>
                <w:szCs w:val="16"/>
              </w:rPr>
            </w:pPr>
            <w:r w:rsidRPr="003E76E7">
              <w:rPr>
                <w:rFonts w:ascii="Arial" w:hAnsi="Arial"/>
                <w:color w:val="000000"/>
                <w:sz w:val="16"/>
                <w:szCs w:val="16"/>
              </w:rPr>
              <w:t>Current Year</w:t>
            </w:r>
          </w:p>
          <w:p w14:paraId="37345B31" w14:textId="53A526A3" w:rsidR="00A62839" w:rsidRPr="003E76E7" w:rsidRDefault="00A62839" w:rsidP="00C4292D">
            <w:pPr>
              <w:tabs>
                <w:tab w:val="left" w:pos="709"/>
              </w:tabs>
              <w:spacing w:before="0" w:after="0"/>
              <w:rPr>
                <w:rFonts w:ascii="Arial" w:hAnsi="Arial"/>
                <w:color w:val="000000"/>
                <w:sz w:val="16"/>
                <w:szCs w:val="16"/>
              </w:rPr>
            </w:pPr>
            <w:r w:rsidRPr="003E76E7">
              <w:rPr>
                <w:rFonts w:ascii="Arial" w:hAnsi="Arial"/>
                <w:color w:val="000000"/>
                <w:sz w:val="16"/>
                <w:szCs w:val="16"/>
              </w:rPr>
              <w:t xml:space="preserve">2025-26 </w:t>
            </w:r>
            <w:r w:rsidRPr="003E76E7">
              <w:rPr>
                <w:rFonts w:ascii="Arial" w:hAnsi="Arial"/>
                <w:color w:val="000000"/>
                <w:sz w:val="16"/>
                <w:szCs w:val="16"/>
                <w:vertAlign w:val="superscript"/>
              </w:rPr>
              <w:t>[</w:t>
            </w:r>
            <w:r w:rsidR="003C0ED5" w:rsidRPr="003E76E7">
              <w:rPr>
                <w:rFonts w:ascii="Arial" w:hAnsi="Arial"/>
                <w:color w:val="000000"/>
                <w:sz w:val="16"/>
                <w:szCs w:val="16"/>
                <w:vertAlign w:val="superscript"/>
              </w:rPr>
              <w:t>b</w:t>
            </w:r>
            <w:r w:rsidRPr="003E76E7">
              <w:rPr>
                <w:rFonts w:ascii="Arial" w:hAnsi="Arial"/>
                <w:color w:val="000000"/>
                <w:sz w:val="16"/>
                <w:szCs w:val="16"/>
                <w:vertAlign w:val="superscript"/>
              </w:rPr>
              <w:t>]</w:t>
            </w:r>
          </w:p>
        </w:tc>
        <w:tc>
          <w:tcPr>
            <w:tcW w:w="2919" w:type="dxa"/>
            <w:tcBorders>
              <w:top w:val="single" w:sz="4" w:space="0" w:color="auto"/>
              <w:left w:val="single" w:sz="4" w:space="0" w:color="auto"/>
              <w:bottom w:val="single" w:sz="4" w:space="0" w:color="auto"/>
              <w:right w:val="single" w:sz="4" w:space="0" w:color="auto"/>
            </w:tcBorders>
          </w:tcPr>
          <w:p w14:paraId="6E9B4AE7" w14:textId="393F70C4" w:rsidR="00A62839" w:rsidRPr="003E76E7" w:rsidRDefault="00A62839" w:rsidP="00C4292D">
            <w:pPr>
              <w:tabs>
                <w:tab w:val="left" w:pos="709"/>
              </w:tabs>
              <w:spacing w:before="60" w:after="60"/>
              <w:rPr>
                <w:rFonts w:ascii="Arial" w:hAnsi="Arial"/>
                <w:color w:val="000000"/>
                <w:sz w:val="16"/>
                <w:szCs w:val="16"/>
              </w:rPr>
            </w:pPr>
            <w:r w:rsidRPr="003E76E7">
              <w:rPr>
                <w:rFonts w:ascii="Arial" w:hAnsi="Arial"/>
                <w:sz w:val="16"/>
                <w:szCs w:val="16"/>
                <w:lang w:val="en-AU"/>
              </w:rPr>
              <w:t>1.1: Defence conducts operations as directed by Government to achieve Defence’s mission.</w:t>
            </w:r>
          </w:p>
        </w:tc>
        <w:tc>
          <w:tcPr>
            <w:tcW w:w="3221" w:type="dxa"/>
            <w:tcBorders>
              <w:top w:val="single" w:sz="4" w:space="0" w:color="auto"/>
              <w:left w:val="single" w:sz="4" w:space="0" w:color="auto"/>
              <w:bottom w:val="single" w:sz="4" w:space="0" w:color="auto"/>
            </w:tcBorders>
          </w:tcPr>
          <w:p w14:paraId="4D712F7B" w14:textId="77777777" w:rsidR="00A62839" w:rsidRPr="003E76E7" w:rsidRDefault="00A62839" w:rsidP="00C4292D">
            <w:pPr>
              <w:tabs>
                <w:tab w:val="left" w:pos="709"/>
              </w:tabs>
              <w:spacing w:before="0" w:after="0"/>
              <w:rPr>
                <w:rFonts w:ascii="Arial" w:hAnsi="Arial"/>
                <w:sz w:val="16"/>
                <w:szCs w:val="16"/>
                <w:lang w:val="en-AU"/>
              </w:rPr>
            </w:pPr>
            <w:r w:rsidRPr="003E76E7">
              <w:rPr>
                <w:rFonts w:ascii="Arial" w:hAnsi="Arial"/>
                <w:sz w:val="16"/>
                <w:szCs w:val="16"/>
                <w:lang w:val="en-AU"/>
              </w:rPr>
              <w:t>100 per cent of operations conducted or being conducted as directed by Government.</w:t>
            </w:r>
          </w:p>
          <w:p w14:paraId="3E7E0CBC" w14:textId="04A94638" w:rsidR="00A62839" w:rsidRPr="003E76E7" w:rsidRDefault="00715BA3" w:rsidP="00C4292D">
            <w:pPr>
              <w:spacing w:before="60" w:after="60"/>
              <w:jc w:val="right"/>
              <w:rPr>
                <w:rFonts w:ascii="Arial" w:hAnsi="Arial"/>
                <w:color w:val="000000"/>
                <w:sz w:val="16"/>
                <w:szCs w:val="16"/>
              </w:rPr>
            </w:pPr>
            <w:r w:rsidRPr="003E76E7">
              <w:rPr>
                <w:rFonts w:ascii="Arial" w:hAnsi="Arial"/>
                <w:i/>
                <w:sz w:val="16"/>
                <w:szCs w:val="16"/>
                <w:lang w:val="en-AU"/>
              </w:rPr>
              <w:t>Expected to be achieved</w:t>
            </w:r>
            <w:r w:rsidR="00A62839" w:rsidRPr="003E76E7">
              <w:rPr>
                <w:rFonts w:ascii="Arial" w:hAnsi="Arial"/>
                <w:i/>
                <w:sz w:val="16"/>
                <w:szCs w:val="16"/>
                <w:lang w:val="en-AU"/>
              </w:rPr>
              <w:t>.</w:t>
            </w:r>
          </w:p>
        </w:tc>
      </w:tr>
      <w:tr w:rsidR="00A62839" w:rsidRPr="003E76E7" w14:paraId="56088605" w14:textId="77777777" w:rsidTr="00A211F5">
        <w:tblPrEx>
          <w:shd w:val="clear" w:color="auto" w:fill="auto"/>
          <w:tblLook w:val="04A0" w:firstRow="1" w:lastRow="0" w:firstColumn="1" w:lastColumn="0" w:noHBand="0" w:noVBand="1"/>
        </w:tblPrEx>
        <w:trPr>
          <w:trHeight w:val="152"/>
        </w:trPr>
        <w:tc>
          <w:tcPr>
            <w:tcW w:w="1702" w:type="dxa"/>
            <w:vMerge/>
            <w:tcBorders>
              <w:right w:val="single" w:sz="4" w:space="0" w:color="auto"/>
            </w:tcBorders>
          </w:tcPr>
          <w:p w14:paraId="24EFBC09" w14:textId="77777777" w:rsidR="00A62839" w:rsidRPr="003E76E7" w:rsidRDefault="00A62839" w:rsidP="00C4292D">
            <w:pPr>
              <w:tabs>
                <w:tab w:val="left" w:pos="709"/>
              </w:tabs>
              <w:spacing w:before="60" w:after="60"/>
              <w:rPr>
                <w:rFonts w:ascii="Arial" w:hAnsi="Arial"/>
                <w:color w:val="000000"/>
                <w:sz w:val="16"/>
                <w:szCs w:val="16"/>
              </w:rPr>
            </w:pPr>
          </w:p>
        </w:tc>
        <w:tc>
          <w:tcPr>
            <w:tcW w:w="2919" w:type="dxa"/>
            <w:tcBorders>
              <w:top w:val="single" w:sz="4" w:space="0" w:color="auto"/>
              <w:left w:val="single" w:sz="4" w:space="0" w:color="auto"/>
              <w:bottom w:val="single" w:sz="4" w:space="0" w:color="auto"/>
              <w:right w:val="single" w:sz="4" w:space="0" w:color="auto"/>
            </w:tcBorders>
          </w:tcPr>
          <w:p w14:paraId="1C0D5B38" w14:textId="789D7A76" w:rsidR="00A62839" w:rsidRPr="003E76E7" w:rsidRDefault="00A62839" w:rsidP="00C4292D">
            <w:pPr>
              <w:tabs>
                <w:tab w:val="left" w:pos="709"/>
              </w:tabs>
              <w:spacing w:before="60" w:after="60"/>
              <w:rPr>
                <w:rFonts w:ascii="Arial" w:hAnsi="Arial"/>
                <w:color w:val="000000"/>
                <w:sz w:val="16"/>
                <w:szCs w:val="16"/>
              </w:rPr>
            </w:pPr>
            <w:r w:rsidRPr="003E76E7">
              <w:rPr>
                <w:rFonts w:ascii="Arial" w:hAnsi="Arial"/>
                <w:sz w:val="16"/>
                <w:szCs w:val="16"/>
                <w:lang w:val="en-AU"/>
              </w:rPr>
              <w:t>1.2: Defence maintains ready forces through the conduct of exercises.</w:t>
            </w:r>
          </w:p>
        </w:tc>
        <w:tc>
          <w:tcPr>
            <w:tcW w:w="3221" w:type="dxa"/>
            <w:tcBorders>
              <w:top w:val="single" w:sz="4" w:space="0" w:color="auto"/>
              <w:left w:val="single" w:sz="4" w:space="0" w:color="auto"/>
              <w:bottom w:val="single" w:sz="4" w:space="0" w:color="auto"/>
            </w:tcBorders>
          </w:tcPr>
          <w:p w14:paraId="1264CBEA" w14:textId="77777777" w:rsidR="00A62839" w:rsidRPr="003E76E7" w:rsidRDefault="00A62839" w:rsidP="00C4292D">
            <w:pPr>
              <w:spacing w:before="60" w:after="60"/>
              <w:rPr>
                <w:rFonts w:ascii="Arial" w:hAnsi="Arial"/>
                <w:color w:val="000000"/>
                <w:sz w:val="16"/>
                <w:szCs w:val="16"/>
                <w:lang w:val="en-AU"/>
              </w:rPr>
            </w:pPr>
            <w:r w:rsidRPr="003E76E7">
              <w:rPr>
                <w:rFonts w:ascii="Arial" w:hAnsi="Arial"/>
                <w:color w:val="000000"/>
                <w:sz w:val="16"/>
                <w:szCs w:val="16"/>
                <w:lang w:val="en-AU"/>
              </w:rPr>
              <w:t>100 per cent of exercises conducted achieve planned objectives.</w:t>
            </w:r>
          </w:p>
          <w:p w14:paraId="5F68E43B" w14:textId="6CF77DBA" w:rsidR="00A62839" w:rsidRPr="003E76E7" w:rsidRDefault="00715BA3" w:rsidP="00C4292D">
            <w:pPr>
              <w:tabs>
                <w:tab w:val="left" w:pos="709"/>
              </w:tabs>
              <w:spacing w:before="60" w:after="60"/>
              <w:jc w:val="right"/>
              <w:rPr>
                <w:rFonts w:ascii="Arial" w:hAnsi="Arial"/>
                <w:color w:val="000000"/>
                <w:sz w:val="16"/>
                <w:szCs w:val="16"/>
              </w:rPr>
            </w:pPr>
            <w:r w:rsidRPr="003E76E7">
              <w:rPr>
                <w:rFonts w:ascii="Arial" w:hAnsi="Arial"/>
                <w:i/>
                <w:sz w:val="16"/>
                <w:szCs w:val="16"/>
                <w:lang w:val="en-AU"/>
              </w:rPr>
              <w:t>Expected to be substantially achieved</w:t>
            </w:r>
            <w:r w:rsidR="00A62839" w:rsidRPr="003E76E7">
              <w:rPr>
                <w:rFonts w:ascii="Arial" w:hAnsi="Arial"/>
                <w:i/>
                <w:sz w:val="16"/>
                <w:szCs w:val="16"/>
                <w:lang w:val="en-AU"/>
              </w:rPr>
              <w:t>.</w:t>
            </w:r>
          </w:p>
        </w:tc>
      </w:tr>
      <w:tr w:rsidR="00A62839" w:rsidRPr="003E76E7" w14:paraId="12D4715B" w14:textId="77777777" w:rsidTr="00A211F5">
        <w:tblPrEx>
          <w:shd w:val="clear" w:color="auto" w:fill="auto"/>
          <w:tblLook w:val="04A0" w:firstRow="1" w:lastRow="0" w:firstColumn="1" w:lastColumn="0" w:noHBand="0" w:noVBand="1"/>
        </w:tblPrEx>
        <w:trPr>
          <w:trHeight w:val="152"/>
        </w:trPr>
        <w:tc>
          <w:tcPr>
            <w:tcW w:w="1702" w:type="dxa"/>
            <w:vMerge/>
            <w:tcBorders>
              <w:right w:val="single" w:sz="4" w:space="0" w:color="auto"/>
            </w:tcBorders>
          </w:tcPr>
          <w:p w14:paraId="087FD6A1" w14:textId="77777777" w:rsidR="00A62839" w:rsidRPr="003E76E7" w:rsidRDefault="00A62839" w:rsidP="00C4292D">
            <w:pPr>
              <w:tabs>
                <w:tab w:val="left" w:pos="709"/>
              </w:tabs>
              <w:spacing w:before="60" w:after="60"/>
              <w:rPr>
                <w:rFonts w:ascii="Arial" w:hAnsi="Arial"/>
                <w:color w:val="000000"/>
                <w:sz w:val="16"/>
                <w:szCs w:val="16"/>
              </w:rPr>
            </w:pPr>
          </w:p>
        </w:tc>
        <w:tc>
          <w:tcPr>
            <w:tcW w:w="2919" w:type="dxa"/>
            <w:tcBorders>
              <w:top w:val="single" w:sz="4" w:space="0" w:color="auto"/>
              <w:left w:val="single" w:sz="4" w:space="0" w:color="auto"/>
              <w:bottom w:val="single" w:sz="4" w:space="0" w:color="auto"/>
              <w:right w:val="single" w:sz="4" w:space="0" w:color="auto"/>
            </w:tcBorders>
          </w:tcPr>
          <w:p w14:paraId="2B599197" w14:textId="17BCCFC0" w:rsidR="00A62839" w:rsidRPr="003E76E7" w:rsidRDefault="00A62839" w:rsidP="00C4292D">
            <w:pPr>
              <w:tabs>
                <w:tab w:val="left" w:pos="709"/>
              </w:tabs>
              <w:spacing w:before="60" w:after="60"/>
              <w:rPr>
                <w:rFonts w:ascii="Arial" w:hAnsi="Arial"/>
                <w:sz w:val="16"/>
                <w:szCs w:val="16"/>
                <w:lang w:val="en-AU"/>
              </w:rPr>
            </w:pPr>
            <w:r w:rsidRPr="003E76E7">
              <w:rPr>
                <w:rFonts w:ascii="Arial" w:hAnsi="Arial"/>
                <w:sz w:val="16"/>
                <w:szCs w:val="16"/>
                <w:lang w:val="en-AU"/>
              </w:rPr>
              <w:t>1.3</w:t>
            </w:r>
            <w:r w:rsidR="00C23CD1" w:rsidRPr="003E76E7">
              <w:rPr>
                <w:rFonts w:ascii="Arial" w:hAnsi="Arial"/>
                <w:sz w:val="16"/>
                <w:szCs w:val="16"/>
                <w:lang w:val="en-AU"/>
              </w:rPr>
              <w:t>:</w:t>
            </w:r>
            <w:r w:rsidRPr="003E76E7">
              <w:rPr>
                <w:rFonts w:ascii="Arial" w:hAnsi="Arial"/>
                <w:sz w:val="16"/>
                <w:szCs w:val="16"/>
                <w:lang w:val="en-AU"/>
              </w:rPr>
              <w:t xml:space="preserve"> Defence assists with domestic crisis and emergency response as directed by Government. </w:t>
            </w:r>
          </w:p>
        </w:tc>
        <w:tc>
          <w:tcPr>
            <w:tcW w:w="3221" w:type="dxa"/>
            <w:tcBorders>
              <w:top w:val="single" w:sz="4" w:space="0" w:color="auto"/>
              <w:left w:val="single" w:sz="4" w:space="0" w:color="auto"/>
              <w:bottom w:val="single" w:sz="4" w:space="0" w:color="auto"/>
            </w:tcBorders>
          </w:tcPr>
          <w:p w14:paraId="13B16B09" w14:textId="77777777" w:rsidR="00A62839" w:rsidRPr="003E76E7" w:rsidRDefault="00A62839" w:rsidP="00C4292D">
            <w:pPr>
              <w:spacing w:before="60" w:after="60"/>
              <w:rPr>
                <w:rFonts w:ascii="Arial" w:hAnsi="Arial"/>
                <w:color w:val="000000"/>
                <w:sz w:val="16"/>
                <w:szCs w:val="16"/>
                <w:lang w:val="en-AU"/>
              </w:rPr>
            </w:pPr>
            <w:r w:rsidRPr="003E76E7">
              <w:rPr>
                <w:rFonts w:ascii="Arial" w:hAnsi="Arial"/>
                <w:color w:val="000000"/>
                <w:sz w:val="16"/>
                <w:szCs w:val="16"/>
                <w:lang w:val="en-AU"/>
              </w:rPr>
              <w:t xml:space="preserve">Defence responds to 100 per cent of requests for assistance as directed by Government. </w:t>
            </w:r>
          </w:p>
          <w:p w14:paraId="2633230D" w14:textId="1863EA53" w:rsidR="00A62839" w:rsidRPr="003E76E7" w:rsidRDefault="00A62839" w:rsidP="00C4292D">
            <w:pPr>
              <w:tabs>
                <w:tab w:val="left" w:pos="709"/>
              </w:tabs>
              <w:spacing w:before="60" w:after="60"/>
              <w:jc w:val="right"/>
              <w:rPr>
                <w:rFonts w:ascii="Arial" w:hAnsi="Arial"/>
                <w:sz w:val="16"/>
                <w:szCs w:val="16"/>
                <w:lang w:val="en-AU"/>
              </w:rPr>
            </w:pPr>
            <w:r w:rsidRPr="003E76E7">
              <w:rPr>
                <w:rFonts w:ascii="Arial" w:hAnsi="Arial"/>
                <w:i/>
                <w:sz w:val="16"/>
                <w:szCs w:val="16"/>
                <w:lang w:val="en-AU"/>
              </w:rPr>
              <w:t xml:space="preserve">Expected to be achieved. </w:t>
            </w:r>
          </w:p>
        </w:tc>
      </w:tr>
      <w:tr w:rsidR="00A62839" w:rsidRPr="003E76E7" w14:paraId="74B15BF2" w14:textId="77777777" w:rsidTr="00A211F5">
        <w:tblPrEx>
          <w:shd w:val="clear" w:color="auto" w:fill="auto"/>
          <w:tblLook w:val="04A0" w:firstRow="1" w:lastRow="0" w:firstColumn="1" w:lastColumn="0" w:noHBand="0" w:noVBand="1"/>
        </w:tblPrEx>
        <w:trPr>
          <w:trHeight w:val="152"/>
        </w:trPr>
        <w:tc>
          <w:tcPr>
            <w:tcW w:w="1702" w:type="dxa"/>
            <w:vMerge/>
            <w:tcBorders>
              <w:right w:val="single" w:sz="4" w:space="0" w:color="auto"/>
            </w:tcBorders>
          </w:tcPr>
          <w:p w14:paraId="200A5ECF" w14:textId="77777777" w:rsidR="00A62839" w:rsidRPr="003E76E7" w:rsidRDefault="00A62839" w:rsidP="00C4292D">
            <w:pPr>
              <w:tabs>
                <w:tab w:val="left" w:pos="709"/>
              </w:tabs>
              <w:spacing w:before="60" w:after="60"/>
              <w:rPr>
                <w:rFonts w:ascii="Arial" w:hAnsi="Arial"/>
                <w:color w:val="000000"/>
                <w:sz w:val="16"/>
                <w:szCs w:val="16"/>
              </w:rPr>
            </w:pPr>
          </w:p>
        </w:tc>
        <w:tc>
          <w:tcPr>
            <w:tcW w:w="2919" w:type="dxa"/>
            <w:tcBorders>
              <w:top w:val="single" w:sz="4" w:space="0" w:color="auto"/>
              <w:left w:val="single" w:sz="4" w:space="0" w:color="auto"/>
              <w:bottom w:val="single" w:sz="4" w:space="0" w:color="auto"/>
              <w:right w:val="single" w:sz="4" w:space="0" w:color="auto"/>
            </w:tcBorders>
          </w:tcPr>
          <w:p w14:paraId="48E401BE" w14:textId="7CA446C9" w:rsidR="00A62839" w:rsidRPr="003E76E7" w:rsidRDefault="00A62839" w:rsidP="00C4292D">
            <w:pPr>
              <w:tabs>
                <w:tab w:val="left" w:pos="709"/>
              </w:tabs>
              <w:spacing w:before="60" w:after="60"/>
              <w:rPr>
                <w:rFonts w:ascii="Arial" w:hAnsi="Arial"/>
                <w:sz w:val="16"/>
                <w:szCs w:val="16"/>
                <w:lang w:val="en-AU"/>
              </w:rPr>
            </w:pPr>
            <w:r w:rsidRPr="003E76E7">
              <w:rPr>
                <w:rFonts w:ascii="Arial" w:hAnsi="Arial"/>
                <w:sz w:val="16"/>
                <w:szCs w:val="16"/>
                <w:lang w:val="en-AU"/>
              </w:rPr>
              <w:t>4.1: Defence recruits and retains an ADF and APS workforce to support the Defence mission.</w:t>
            </w:r>
          </w:p>
        </w:tc>
        <w:tc>
          <w:tcPr>
            <w:tcW w:w="3221" w:type="dxa"/>
            <w:tcBorders>
              <w:top w:val="single" w:sz="4" w:space="0" w:color="auto"/>
              <w:left w:val="single" w:sz="4" w:space="0" w:color="auto"/>
              <w:bottom w:val="single" w:sz="4" w:space="0" w:color="auto"/>
            </w:tcBorders>
          </w:tcPr>
          <w:p w14:paraId="2E38819C" w14:textId="59B8729A" w:rsidR="00A62839" w:rsidRPr="003E76E7" w:rsidRDefault="00A62839" w:rsidP="00C4292D">
            <w:pPr>
              <w:rPr>
                <w:rFonts w:ascii="Arial" w:hAnsi="Arial"/>
                <w:sz w:val="16"/>
                <w:szCs w:val="16"/>
              </w:rPr>
            </w:pPr>
            <w:r w:rsidRPr="003E76E7">
              <w:rPr>
                <w:rFonts w:ascii="Arial" w:hAnsi="Arial"/>
                <w:sz w:val="16"/>
                <w:szCs w:val="16"/>
              </w:rPr>
              <w:t xml:space="preserve">Defence achieves the ADF and APS Budgeted Workforce Requirement as set out in the </w:t>
            </w:r>
            <w:r w:rsidRPr="003E76E7">
              <w:rPr>
                <w:rFonts w:ascii="Arial" w:hAnsi="Arial"/>
                <w:i/>
                <w:sz w:val="16"/>
                <w:szCs w:val="16"/>
              </w:rPr>
              <w:t>Portfolio Budget Statements</w:t>
            </w:r>
            <w:r w:rsidR="007C6DAA">
              <w:rPr>
                <w:rFonts w:ascii="Arial" w:hAnsi="Arial"/>
                <w:i/>
                <w:sz w:val="16"/>
                <w:szCs w:val="16"/>
              </w:rPr>
              <w:t xml:space="preserve"> </w:t>
            </w:r>
            <w:r w:rsidR="007C6DAA" w:rsidRPr="003E76E7">
              <w:rPr>
                <w:rFonts w:ascii="Arial" w:hAnsi="Arial"/>
                <w:i/>
                <w:sz w:val="16"/>
                <w:szCs w:val="16"/>
              </w:rPr>
              <w:t>2025-</w:t>
            </w:r>
            <w:r w:rsidR="00971D93" w:rsidRPr="003E76E7">
              <w:rPr>
                <w:rFonts w:ascii="Arial" w:hAnsi="Arial"/>
                <w:i/>
                <w:sz w:val="16"/>
                <w:szCs w:val="16"/>
              </w:rPr>
              <w:t xml:space="preserve">26 </w:t>
            </w:r>
            <w:r w:rsidR="00971D93" w:rsidRPr="003E76E7">
              <w:rPr>
                <w:rFonts w:ascii="Arial" w:hAnsi="Arial"/>
                <w:sz w:val="16"/>
                <w:szCs w:val="16"/>
              </w:rPr>
              <w:t>and</w:t>
            </w:r>
            <w:r w:rsidRPr="003E76E7">
              <w:rPr>
                <w:rFonts w:ascii="Arial" w:hAnsi="Arial"/>
                <w:sz w:val="16"/>
                <w:szCs w:val="16"/>
              </w:rPr>
              <w:t xml:space="preserve"> the net flow of the ADF and APS workforce over a 12 month period is trending positive and is positioning Defence to achieve the Budgeted Workforce Requirement over the </w:t>
            </w:r>
            <w:r w:rsidR="0034077C" w:rsidRPr="003E76E7">
              <w:rPr>
                <w:rFonts w:ascii="Arial" w:hAnsi="Arial"/>
                <w:sz w:val="16"/>
                <w:szCs w:val="16"/>
              </w:rPr>
              <w:t>F</w:t>
            </w:r>
            <w:r w:rsidRPr="003E76E7">
              <w:rPr>
                <w:rFonts w:ascii="Arial" w:hAnsi="Arial"/>
                <w:sz w:val="16"/>
                <w:szCs w:val="16"/>
              </w:rPr>
              <w:t xml:space="preserve">orward </w:t>
            </w:r>
            <w:r w:rsidR="0034077C" w:rsidRPr="003E76E7">
              <w:rPr>
                <w:rFonts w:ascii="Arial" w:hAnsi="Arial"/>
                <w:sz w:val="16"/>
                <w:szCs w:val="16"/>
              </w:rPr>
              <w:t>E</w:t>
            </w:r>
            <w:r w:rsidRPr="003E76E7">
              <w:rPr>
                <w:rFonts w:ascii="Arial" w:hAnsi="Arial"/>
                <w:sz w:val="16"/>
                <w:szCs w:val="16"/>
              </w:rPr>
              <w:t>stimates.</w:t>
            </w:r>
          </w:p>
          <w:p w14:paraId="68F0B089" w14:textId="748BC396" w:rsidR="00A62839" w:rsidRPr="003E76E7" w:rsidRDefault="00A62839" w:rsidP="00C4292D">
            <w:pPr>
              <w:spacing w:before="60" w:after="60"/>
              <w:jc w:val="right"/>
              <w:rPr>
                <w:rFonts w:ascii="Arial" w:hAnsi="Arial"/>
                <w:i/>
                <w:sz w:val="16"/>
                <w:szCs w:val="16"/>
                <w:lang w:val="en-AU"/>
              </w:rPr>
            </w:pPr>
            <w:r w:rsidRPr="003E76E7">
              <w:rPr>
                <w:rFonts w:ascii="Arial" w:hAnsi="Arial"/>
                <w:i/>
                <w:sz w:val="16"/>
                <w:szCs w:val="16"/>
              </w:rPr>
              <w:t>Expected to be partially achieved.</w:t>
            </w:r>
          </w:p>
        </w:tc>
      </w:tr>
      <w:tr w:rsidR="00A62839" w:rsidRPr="003E76E7" w14:paraId="389B2384" w14:textId="77777777" w:rsidTr="00A211F5">
        <w:tblPrEx>
          <w:shd w:val="clear" w:color="auto" w:fill="auto"/>
          <w:tblLook w:val="04A0" w:firstRow="1" w:lastRow="0" w:firstColumn="1" w:lastColumn="0" w:noHBand="0" w:noVBand="1"/>
        </w:tblPrEx>
        <w:trPr>
          <w:trHeight w:val="152"/>
        </w:trPr>
        <w:tc>
          <w:tcPr>
            <w:tcW w:w="1702" w:type="dxa"/>
            <w:vMerge/>
            <w:tcBorders>
              <w:right w:val="single" w:sz="4" w:space="0" w:color="auto"/>
            </w:tcBorders>
          </w:tcPr>
          <w:p w14:paraId="53214D7F" w14:textId="77777777" w:rsidR="00A62839" w:rsidRPr="003E76E7" w:rsidRDefault="00A62839" w:rsidP="00C4292D">
            <w:pPr>
              <w:tabs>
                <w:tab w:val="left" w:pos="709"/>
              </w:tabs>
              <w:spacing w:before="60" w:after="60"/>
              <w:rPr>
                <w:rFonts w:ascii="Arial" w:hAnsi="Arial"/>
                <w:color w:val="000000"/>
                <w:sz w:val="16"/>
                <w:szCs w:val="16"/>
              </w:rPr>
            </w:pPr>
          </w:p>
        </w:tc>
        <w:tc>
          <w:tcPr>
            <w:tcW w:w="2919" w:type="dxa"/>
            <w:tcBorders>
              <w:top w:val="single" w:sz="4" w:space="0" w:color="auto"/>
              <w:left w:val="single" w:sz="4" w:space="0" w:color="auto"/>
              <w:bottom w:val="single" w:sz="4" w:space="0" w:color="auto"/>
              <w:right w:val="single" w:sz="4" w:space="0" w:color="auto"/>
            </w:tcBorders>
          </w:tcPr>
          <w:p w14:paraId="3FA6E145" w14:textId="30DB372C" w:rsidR="00A62839" w:rsidRPr="003E76E7" w:rsidRDefault="00A62839" w:rsidP="00C4292D">
            <w:pPr>
              <w:tabs>
                <w:tab w:val="left" w:pos="709"/>
              </w:tabs>
              <w:spacing w:before="60" w:after="60"/>
              <w:rPr>
                <w:rFonts w:ascii="Arial" w:hAnsi="Arial"/>
                <w:sz w:val="16"/>
                <w:szCs w:val="16"/>
                <w:lang w:val="en-AU"/>
              </w:rPr>
            </w:pPr>
            <w:r w:rsidRPr="003E76E7">
              <w:rPr>
                <w:rFonts w:ascii="Arial" w:hAnsi="Arial"/>
                <w:sz w:val="16"/>
                <w:szCs w:val="16"/>
                <w:lang w:val="en-AU"/>
              </w:rPr>
              <w:t>4.2: Defence grows the necessary skills and capabilities to enable the Defence mission.</w:t>
            </w:r>
          </w:p>
        </w:tc>
        <w:tc>
          <w:tcPr>
            <w:tcW w:w="3221" w:type="dxa"/>
            <w:tcBorders>
              <w:top w:val="single" w:sz="4" w:space="0" w:color="auto"/>
              <w:left w:val="single" w:sz="4" w:space="0" w:color="auto"/>
              <w:bottom w:val="single" w:sz="4" w:space="0" w:color="auto"/>
            </w:tcBorders>
          </w:tcPr>
          <w:p w14:paraId="139A8959" w14:textId="77777777" w:rsidR="00A62839" w:rsidRPr="003E76E7" w:rsidRDefault="00A62839" w:rsidP="00C4292D">
            <w:pPr>
              <w:spacing w:before="0" w:after="60"/>
              <w:rPr>
                <w:rFonts w:ascii="Arial" w:hAnsi="Arial"/>
                <w:sz w:val="16"/>
                <w:szCs w:val="16"/>
                <w:lang w:val="en-AU"/>
              </w:rPr>
            </w:pPr>
            <w:r w:rsidRPr="003E76E7">
              <w:rPr>
                <w:rFonts w:ascii="Arial" w:hAnsi="Arial"/>
                <w:sz w:val="16"/>
                <w:szCs w:val="16"/>
                <w:lang w:val="en-AU"/>
              </w:rPr>
              <w:t>The Defence workforce has the technical skills required to deliver the National Defence Strategy, as measured through achieving a full workforce against each of the ADF and APS Strategic Workforce Segments, the net flow of the ADF and APS Strategic Workforce Segments over the financial year, measured against the Budgeted Workforce Requirement, will enable Defence to achieve its future technical skill requirements, and the Australian Submarine Agency are staffed with the required ADF personnel to deliver the Nuclear-Powered Submarine Program.</w:t>
            </w:r>
          </w:p>
          <w:p w14:paraId="7121CBFA" w14:textId="42434966" w:rsidR="00A62839" w:rsidRPr="003E76E7" w:rsidRDefault="00D013CE" w:rsidP="00C4292D">
            <w:pPr>
              <w:spacing w:before="60" w:after="60"/>
              <w:jc w:val="right"/>
              <w:rPr>
                <w:rFonts w:ascii="Arial" w:hAnsi="Arial"/>
                <w:i/>
                <w:sz w:val="16"/>
                <w:szCs w:val="16"/>
                <w:lang w:val="en-AU"/>
              </w:rPr>
            </w:pPr>
            <w:r w:rsidRPr="003E76E7">
              <w:rPr>
                <w:rFonts w:ascii="Arial" w:hAnsi="Arial"/>
                <w:i/>
                <w:sz w:val="16"/>
                <w:szCs w:val="16"/>
              </w:rPr>
              <w:t>Expected to be partially achieved</w:t>
            </w:r>
            <w:r>
              <w:rPr>
                <w:rFonts w:ascii="Arial" w:hAnsi="Arial"/>
                <w:i/>
                <w:sz w:val="16"/>
                <w:szCs w:val="16"/>
              </w:rPr>
              <w:t>.</w:t>
            </w:r>
          </w:p>
        </w:tc>
      </w:tr>
      <w:tr w:rsidR="00A62839" w:rsidRPr="003E76E7" w14:paraId="44E7650F" w14:textId="77777777" w:rsidTr="00A211F5">
        <w:tblPrEx>
          <w:shd w:val="clear" w:color="auto" w:fill="auto"/>
          <w:tblLook w:val="04A0" w:firstRow="1" w:lastRow="0" w:firstColumn="1" w:lastColumn="0" w:noHBand="0" w:noVBand="1"/>
        </w:tblPrEx>
        <w:trPr>
          <w:trHeight w:val="152"/>
        </w:trPr>
        <w:tc>
          <w:tcPr>
            <w:tcW w:w="1702" w:type="dxa"/>
            <w:vMerge/>
            <w:tcBorders>
              <w:bottom w:val="single" w:sz="4" w:space="0" w:color="auto"/>
              <w:right w:val="single" w:sz="4" w:space="0" w:color="auto"/>
            </w:tcBorders>
          </w:tcPr>
          <w:p w14:paraId="535ACE29" w14:textId="77777777" w:rsidR="00A62839" w:rsidRPr="003E76E7" w:rsidRDefault="00A62839" w:rsidP="00C4292D">
            <w:pPr>
              <w:tabs>
                <w:tab w:val="left" w:pos="709"/>
              </w:tabs>
              <w:spacing w:before="60" w:after="60"/>
              <w:rPr>
                <w:rFonts w:ascii="Arial" w:hAnsi="Arial"/>
                <w:color w:val="000000"/>
                <w:sz w:val="16"/>
                <w:szCs w:val="16"/>
              </w:rPr>
            </w:pPr>
          </w:p>
        </w:tc>
        <w:tc>
          <w:tcPr>
            <w:tcW w:w="2919" w:type="dxa"/>
            <w:tcBorders>
              <w:top w:val="single" w:sz="4" w:space="0" w:color="auto"/>
              <w:left w:val="single" w:sz="4" w:space="0" w:color="auto"/>
              <w:bottom w:val="single" w:sz="4" w:space="0" w:color="auto"/>
              <w:right w:val="single" w:sz="4" w:space="0" w:color="auto"/>
            </w:tcBorders>
          </w:tcPr>
          <w:p w14:paraId="5DA3ED02" w14:textId="4F0532FF" w:rsidR="00A62839" w:rsidRPr="003E76E7" w:rsidRDefault="00A62839" w:rsidP="00C4292D">
            <w:pPr>
              <w:tabs>
                <w:tab w:val="left" w:pos="709"/>
              </w:tabs>
              <w:spacing w:before="60" w:after="60"/>
              <w:rPr>
                <w:rFonts w:ascii="Arial" w:hAnsi="Arial"/>
                <w:sz w:val="16"/>
                <w:szCs w:val="16"/>
                <w:lang w:val="en-AU"/>
              </w:rPr>
            </w:pPr>
            <w:r w:rsidRPr="003E76E7">
              <w:rPr>
                <w:rFonts w:ascii="Arial" w:hAnsi="Arial"/>
                <w:sz w:val="16"/>
                <w:szCs w:val="16"/>
                <w:lang w:val="en-AU"/>
              </w:rPr>
              <w:t>4.3: The Defence values and behaviours enable our people to deliver against the Defence mission.</w:t>
            </w:r>
          </w:p>
        </w:tc>
        <w:tc>
          <w:tcPr>
            <w:tcW w:w="3221" w:type="dxa"/>
            <w:tcBorders>
              <w:top w:val="single" w:sz="4" w:space="0" w:color="auto"/>
              <w:left w:val="single" w:sz="4" w:space="0" w:color="auto"/>
              <w:bottom w:val="single" w:sz="4" w:space="0" w:color="auto"/>
            </w:tcBorders>
          </w:tcPr>
          <w:p w14:paraId="1582457E" w14:textId="7D7FC747" w:rsidR="00A62839" w:rsidRPr="003E76E7" w:rsidRDefault="00A62839" w:rsidP="00C4292D">
            <w:pPr>
              <w:rPr>
                <w:rFonts w:ascii="Arial" w:hAnsi="Arial"/>
                <w:sz w:val="16"/>
                <w:szCs w:val="16"/>
              </w:rPr>
            </w:pPr>
            <w:r w:rsidRPr="003E76E7">
              <w:rPr>
                <w:rFonts w:ascii="Arial" w:hAnsi="Arial"/>
                <w:sz w:val="16"/>
                <w:szCs w:val="16"/>
              </w:rPr>
              <w:t xml:space="preserve">All ADF and Defence APS personnel believe appropriate action will be taken if they report an incident of unacceptable behaviour in the preceding 12 months, no ADF and Defence APS personnel have experienced unacceptable behaviour in the preceding </w:t>
            </w:r>
            <w:r w:rsidR="007F23B3" w:rsidRPr="003E76E7">
              <w:rPr>
                <w:rFonts w:ascii="Arial" w:hAnsi="Arial"/>
                <w:sz w:val="16"/>
                <w:szCs w:val="16"/>
              </w:rPr>
              <w:br/>
            </w:r>
            <w:r w:rsidRPr="003E76E7">
              <w:rPr>
                <w:rFonts w:ascii="Arial" w:hAnsi="Arial"/>
                <w:sz w:val="16"/>
                <w:szCs w:val="16"/>
              </w:rPr>
              <w:t>12 months, and all ADF and Defence APS personnel view that Defence values are being used in their work area.</w:t>
            </w:r>
          </w:p>
          <w:p w14:paraId="74C85810" w14:textId="5ED1C3AB" w:rsidR="00A62839" w:rsidRPr="003E76E7" w:rsidRDefault="00C4447C" w:rsidP="003E76E7">
            <w:pPr>
              <w:spacing w:before="0" w:after="60"/>
              <w:jc w:val="right"/>
              <w:rPr>
                <w:rFonts w:ascii="Arial" w:hAnsi="Arial"/>
                <w:sz w:val="16"/>
                <w:szCs w:val="16"/>
                <w:lang w:val="en-AU"/>
              </w:rPr>
            </w:pPr>
            <w:r w:rsidRPr="003E76E7">
              <w:rPr>
                <w:rFonts w:ascii="Arial" w:hAnsi="Arial"/>
                <w:i/>
                <w:sz w:val="16"/>
                <w:szCs w:val="16"/>
              </w:rPr>
              <w:t>Expected to be not achieved.</w:t>
            </w:r>
          </w:p>
        </w:tc>
      </w:tr>
      <w:tr w:rsidR="00A62839" w:rsidRPr="003E76E7" w14:paraId="17B42750" w14:textId="77777777" w:rsidTr="00A211F5">
        <w:trPr>
          <w:trHeight w:val="60"/>
        </w:trPr>
        <w:tc>
          <w:tcPr>
            <w:tcW w:w="1702" w:type="dxa"/>
            <w:tcBorders>
              <w:top w:val="single" w:sz="4" w:space="0" w:color="auto"/>
              <w:bottom w:val="single" w:sz="4" w:space="0" w:color="auto"/>
              <w:right w:val="single" w:sz="4" w:space="0" w:color="auto"/>
            </w:tcBorders>
          </w:tcPr>
          <w:p w14:paraId="359169F6" w14:textId="794933A2" w:rsidR="00A62839" w:rsidRPr="003E76E7" w:rsidRDefault="00A62839" w:rsidP="00C4292D">
            <w:pPr>
              <w:pageBreakBefore/>
              <w:tabs>
                <w:tab w:val="left" w:pos="709"/>
              </w:tabs>
              <w:spacing w:before="60" w:after="60"/>
              <w:rPr>
                <w:rFonts w:ascii="Arial" w:hAnsi="Arial"/>
                <w:color w:val="000000"/>
                <w:sz w:val="16"/>
                <w:szCs w:val="16"/>
              </w:rPr>
            </w:pPr>
            <w:r w:rsidRPr="003E76E7">
              <w:rPr>
                <w:rFonts w:ascii="Arial" w:hAnsi="Arial"/>
                <w:b/>
                <w:color w:val="000000"/>
                <w:sz w:val="16"/>
                <w:szCs w:val="16"/>
              </w:rPr>
              <w:lastRenderedPageBreak/>
              <w:t>Year</w:t>
            </w:r>
          </w:p>
        </w:tc>
        <w:tc>
          <w:tcPr>
            <w:tcW w:w="2919" w:type="dxa"/>
            <w:tcBorders>
              <w:top w:val="single" w:sz="4" w:space="0" w:color="auto"/>
              <w:left w:val="single" w:sz="4" w:space="0" w:color="auto"/>
              <w:bottom w:val="single" w:sz="4" w:space="0" w:color="auto"/>
              <w:right w:val="single" w:sz="4" w:space="0" w:color="auto"/>
            </w:tcBorders>
          </w:tcPr>
          <w:p w14:paraId="269ACFFF" w14:textId="01C8210C" w:rsidR="00A62839" w:rsidRPr="003E76E7" w:rsidRDefault="00AD14EC" w:rsidP="00C4292D">
            <w:pPr>
              <w:tabs>
                <w:tab w:val="left" w:pos="709"/>
              </w:tabs>
              <w:spacing w:before="60" w:after="60"/>
              <w:rPr>
                <w:rFonts w:ascii="Arial" w:hAnsi="Arial"/>
                <w:sz w:val="16"/>
                <w:szCs w:val="16"/>
                <w:lang w:val="en-AU"/>
              </w:rPr>
            </w:pPr>
            <w:r w:rsidRPr="003E76E7">
              <w:rPr>
                <w:rFonts w:ascii="Arial" w:hAnsi="Arial"/>
                <w:b/>
                <w:color w:val="000000"/>
                <w:sz w:val="16"/>
                <w:szCs w:val="16"/>
              </w:rPr>
              <w:t>Performance Measures</w:t>
            </w:r>
          </w:p>
        </w:tc>
        <w:tc>
          <w:tcPr>
            <w:tcW w:w="3221" w:type="dxa"/>
            <w:tcBorders>
              <w:top w:val="single" w:sz="4" w:space="0" w:color="auto"/>
              <w:left w:val="single" w:sz="4" w:space="0" w:color="auto"/>
              <w:bottom w:val="single" w:sz="4" w:space="0" w:color="auto"/>
            </w:tcBorders>
          </w:tcPr>
          <w:p w14:paraId="1C2A2402" w14:textId="4FABBEA2" w:rsidR="00A62839" w:rsidRPr="003E76E7" w:rsidRDefault="00A62839" w:rsidP="00C4292D">
            <w:pPr>
              <w:spacing w:before="60" w:after="60"/>
              <w:rPr>
                <w:rFonts w:ascii="Arial" w:hAnsi="Arial"/>
                <w:sz w:val="16"/>
                <w:szCs w:val="16"/>
                <w:lang w:val="en-AU"/>
              </w:rPr>
            </w:pPr>
            <w:r w:rsidRPr="003E76E7">
              <w:rPr>
                <w:rFonts w:ascii="Arial" w:hAnsi="Arial"/>
                <w:b/>
                <w:color w:val="000000"/>
                <w:sz w:val="16"/>
                <w:szCs w:val="16"/>
              </w:rPr>
              <w:t>Expected Performance Results</w:t>
            </w:r>
          </w:p>
        </w:tc>
      </w:tr>
      <w:tr w:rsidR="00A62839" w:rsidRPr="003E76E7" w14:paraId="5872A00F" w14:textId="77777777" w:rsidTr="00A211F5">
        <w:tblPrEx>
          <w:shd w:val="clear" w:color="auto" w:fill="auto"/>
          <w:tblLook w:val="04A0" w:firstRow="1" w:lastRow="0" w:firstColumn="1" w:lastColumn="0" w:noHBand="0" w:noVBand="1"/>
        </w:tblPrEx>
        <w:trPr>
          <w:trHeight w:val="152"/>
        </w:trPr>
        <w:tc>
          <w:tcPr>
            <w:tcW w:w="1702" w:type="dxa"/>
            <w:tcBorders>
              <w:bottom w:val="single" w:sz="4" w:space="0" w:color="auto"/>
              <w:right w:val="single" w:sz="4" w:space="0" w:color="auto"/>
            </w:tcBorders>
          </w:tcPr>
          <w:p w14:paraId="07DAD33B" w14:textId="77777777" w:rsidR="00A62839" w:rsidRPr="003E76E7" w:rsidRDefault="00A62839" w:rsidP="00C4292D">
            <w:pPr>
              <w:tabs>
                <w:tab w:val="left" w:pos="709"/>
              </w:tabs>
              <w:spacing w:before="0" w:after="0"/>
              <w:rPr>
                <w:rFonts w:ascii="Arial" w:hAnsi="Arial"/>
                <w:color w:val="000000"/>
                <w:sz w:val="16"/>
                <w:szCs w:val="16"/>
              </w:rPr>
            </w:pPr>
            <w:r w:rsidRPr="003E76E7">
              <w:rPr>
                <w:rFonts w:ascii="Arial" w:hAnsi="Arial"/>
                <w:color w:val="000000"/>
                <w:sz w:val="16"/>
                <w:szCs w:val="16"/>
              </w:rPr>
              <w:t>Current Year</w:t>
            </w:r>
          </w:p>
          <w:p w14:paraId="33AAF6B8" w14:textId="6173845C" w:rsidR="00A62839" w:rsidRPr="003E76E7" w:rsidRDefault="00A62839" w:rsidP="00C4292D">
            <w:pPr>
              <w:tabs>
                <w:tab w:val="left" w:pos="709"/>
              </w:tabs>
              <w:spacing w:before="0" w:after="0"/>
              <w:rPr>
                <w:rFonts w:ascii="Arial" w:hAnsi="Arial"/>
                <w:color w:val="000000"/>
                <w:sz w:val="16"/>
                <w:szCs w:val="16"/>
              </w:rPr>
            </w:pPr>
            <w:r w:rsidRPr="003E76E7">
              <w:rPr>
                <w:rFonts w:ascii="Arial" w:hAnsi="Arial"/>
                <w:color w:val="000000"/>
                <w:sz w:val="16"/>
                <w:szCs w:val="16"/>
              </w:rPr>
              <w:t xml:space="preserve">2025-26 </w:t>
            </w:r>
            <w:r w:rsidR="003C0ED5" w:rsidRPr="003E76E7">
              <w:rPr>
                <w:rFonts w:ascii="Arial" w:hAnsi="Arial"/>
                <w:color w:val="000000"/>
                <w:sz w:val="16"/>
                <w:szCs w:val="16"/>
                <w:vertAlign w:val="superscript"/>
              </w:rPr>
              <w:t>[b</w:t>
            </w:r>
            <w:r w:rsidRPr="003E76E7">
              <w:rPr>
                <w:rFonts w:ascii="Arial" w:hAnsi="Arial"/>
                <w:color w:val="000000"/>
                <w:sz w:val="16"/>
                <w:szCs w:val="16"/>
                <w:vertAlign w:val="superscript"/>
              </w:rPr>
              <w:t>]</w:t>
            </w:r>
          </w:p>
        </w:tc>
        <w:tc>
          <w:tcPr>
            <w:tcW w:w="2919" w:type="dxa"/>
            <w:tcBorders>
              <w:top w:val="single" w:sz="4" w:space="0" w:color="auto"/>
              <w:left w:val="single" w:sz="4" w:space="0" w:color="auto"/>
              <w:bottom w:val="single" w:sz="4" w:space="0" w:color="auto"/>
              <w:right w:val="single" w:sz="4" w:space="0" w:color="auto"/>
            </w:tcBorders>
          </w:tcPr>
          <w:p w14:paraId="40C7BB8C" w14:textId="44633DDD" w:rsidR="00A62839" w:rsidRPr="003E76E7" w:rsidRDefault="00A62839" w:rsidP="00C4292D">
            <w:pPr>
              <w:tabs>
                <w:tab w:val="left" w:pos="709"/>
              </w:tabs>
              <w:spacing w:before="60" w:after="60"/>
              <w:rPr>
                <w:rFonts w:ascii="Arial" w:hAnsi="Arial"/>
                <w:sz w:val="16"/>
                <w:szCs w:val="16"/>
                <w:lang w:val="en-AU"/>
              </w:rPr>
            </w:pPr>
            <w:r w:rsidRPr="003E76E7">
              <w:rPr>
                <w:rFonts w:ascii="Arial" w:hAnsi="Arial"/>
                <w:sz w:val="16"/>
                <w:szCs w:val="16"/>
                <w:lang w:val="en-AU"/>
              </w:rPr>
              <w:t>4.4: Defence supports ADF members and their families by providing access to support services and programs having regard to lifetime wellbeing.</w:t>
            </w:r>
          </w:p>
        </w:tc>
        <w:tc>
          <w:tcPr>
            <w:tcW w:w="3221" w:type="dxa"/>
            <w:tcBorders>
              <w:top w:val="single" w:sz="4" w:space="0" w:color="auto"/>
              <w:left w:val="single" w:sz="4" w:space="0" w:color="auto"/>
              <w:bottom w:val="single" w:sz="4" w:space="0" w:color="auto"/>
            </w:tcBorders>
          </w:tcPr>
          <w:p w14:paraId="2300AE63" w14:textId="77777777" w:rsidR="00A62839" w:rsidRPr="003E76E7" w:rsidRDefault="00A62839" w:rsidP="00C4292D">
            <w:pPr>
              <w:tabs>
                <w:tab w:val="left" w:pos="709"/>
              </w:tabs>
              <w:spacing w:before="60" w:after="60"/>
              <w:rPr>
                <w:rFonts w:ascii="Arial" w:hAnsi="Arial"/>
                <w:sz w:val="16"/>
                <w:szCs w:val="16"/>
                <w:lang w:val="en-AU"/>
              </w:rPr>
            </w:pPr>
            <w:r w:rsidRPr="003E76E7">
              <w:rPr>
                <w:rFonts w:ascii="Arial" w:hAnsi="Arial"/>
                <w:sz w:val="16"/>
                <w:szCs w:val="16"/>
                <w:lang w:val="en-AU"/>
              </w:rPr>
              <w:t>At least 75 per cent of eligible full-time ADF members and their families are registered with the ADF Family Health Program, 100 per cent of the support services of the Partner Assistance Employment Program, Education Assistance Scheme, and Special Accommodation for Emergencies Scheme are provided to full-time ADF and their families in accordance with identified service delivery timeframes, there is an increase in the percentage of Defence suicide prevention training participants who assess that the training is practical, tailored and informed by lived experience, and 100 per cent of Defence-led, Government-agreed recommendations from the Royal Commission into Defence and Veteran Suicide Final Report are complete, or on-track.</w:t>
            </w:r>
          </w:p>
          <w:p w14:paraId="5357555D" w14:textId="56281B34" w:rsidR="00A62839" w:rsidRPr="003E76E7" w:rsidRDefault="00A62839" w:rsidP="00C4292D">
            <w:pPr>
              <w:tabs>
                <w:tab w:val="left" w:pos="709"/>
              </w:tabs>
              <w:spacing w:before="60" w:after="60"/>
              <w:jc w:val="right"/>
              <w:rPr>
                <w:rFonts w:ascii="Arial" w:hAnsi="Arial"/>
                <w:i/>
                <w:sz w:val="16"/>
                <w:szCs w:val="16"/>
                <w:lang w:val="en-AU"/>
              </w:rPr>
            </w:pPr>
            <w:r w:rsidRPr="003E76E7">
              <w:rPr>
                <w:rFonts w:ascii="Arial" w:hAnsi="Arial"/>
                <w:i/>
                <w:sz w:val="16"/>
                <w:szCs w:val="16"/>
                <w:lang w:val="en-AU"/>
              </w:rPr>
              <w:t>Expected to be substantially achieved.</w:t>
            </w:r>
          </w:p>
        </w:tc>
      </w:tr>
      <w:tr w:rsidR="00A62839" w:rsidRPr="003E76E7" w14:paraId="76015C4B" w14:textId="77777777" w:rsidTr="00A211F5">
        <w:tblPrEx>
          <w:shd w:val="clear" w:color="auto" w:fill="auto"/>
          <w:tblLook w:val="04A0" w:firstRow="1" w:lastRow="0" w:firstColumn="1" w:lastColumn="0" w:noHBand="0" w:noVBand="1"/>
        </w:tblPrEx>
        <w:trPr>
          <w:trHeight w:val="258"/>
        </w:trPr>
        <w:tc>
          <w:tcPr>
            <w:tcW w:w="1702" w:type="dxa"/>
            <w:tcBorders>
              <w:top w:val="single" w:sz="4" w:space="0" w:color="auto"/>
              <w:bottom w:val="single" w:sz="4" w:space="0" w:color="auto"/>
              <w:right w:val="single" w:sz="4" w:space="0" w:color="auto"/>
            </w:tcBorders>
          </w:tcPr>
          <w:p w14:paraId="40734008" w14:textId="77777777" w:rsidR="00A62839" w:rsidRPr="003E76E7" w:rsidRDefault="00A62839" w:rsidP="00C4292D">
            <w:pPr>
              <w:keepNext/>
              <w:keepLines/>
              <w:tabs>
                <w:tab w:val="left" w:pos="709"/>
              </w:tabs>
              <w:spacing w:before="40" w:after="40"/>
              <w:rPr>
                <w:rFonts w:ascii="Arial" w:hAnsi="Arial"/>
                <w:b/>
                <w:color w:val="000000"/>
                <w:sz w:val="16"/>
                <w:szCs w:val="16"/>
              </w:rPr>
            </w:pPr>
            <w:r w:rsidRPr="003E76E7">
              <w:rPr>
                <w:rFonts w:ascii="Arial" w:hAnsi="Arial"/>
                <w:b/>
                <w:color w:val="000000"/>
                <w:sz w:val="16"/>
                <w:szCs w:val="16"/>
              </w:rPr>
              <w:t>Year</w:t>
            </w:r>
          </w:p>
        </w:tc>
        <w:tc>
          <w:tcPr>
            <w:tcW w:w="2919" w:type="dxa"/>
            <w:tcBorders>
              <w:top w:val="single" w:sz="4" w:space="0" w:color="auto"/>
              <w:left w:val="single" w:sz="4" w:space="0" w:color="auto"/>
              <w:bottom w:val="single" w:sz="4" w:space="0" w:color="auto"/>
              <w:right w:val="single" w:sz="4" w:space="0" w:color="auto"/>
            </w:tcBorders>
          </w:tcPr>
          <w:p w14:paraId="206C51EB" w14:textId="75A87710" w:rsidR="00A62839" w:rsidRPr="003E76E7" w:rsidRDefault="00AD14EC" w:rsidP="00C4292D">
            <w:pPr>
              <w:tabs>
                <w:tab w:val="left" w:pos="709"/>
                <w:tab w:val="center" w:pos="1818"/>
              </w:tabs>
              <w:spacing w:before="40" w:after="40"/>
              <w:rPr>
                <w:rFonts w:ascii="Arial" w:hAnsi="Arial"/>
                <w:b/>
                <w:color w:val="000000"/>
                <w:sz w:val="16"/>
                <w:szCs w:val="16"/>
              </w:rPr>
            </w:pPr>
            <w:r w:rsidRPr="003E76E7">
              <w:rPr>
                <w:rFonts w:ascii="Arial" w:hAnsi="Arial"/>
                <w:b/>
                <w:color w:val="000000"/>
                <w:sz w:val="16"/>
                <w:szCs w:val="16"/>
              </w:rPr>
              <w:t>Performance Measures</w:t>
            </w:r>
          </w:p>
        </w:tc>
        <w:tc>
          <w:tcPr>
            <w:tcW w:w="3221" w:type="dxa"/>
            <w:tcBorders>
              <w:top w:val="single" w:sz="4" w:space="0" w:color="auto"/>
              <w:left w:val="single" w:sz="4" w:space="0" w:color="auto"/>
              <w:bottom w:val="single" w:sz="4" w:space="0" w:color="auto"/>
            </w:tcBorders>
          </w:tcPr>
          <w:p w14:paraId="768F6422" w14:textId="77777777" w:rsidR="00A62839" w:rsidRPr="003E76E7" w:rsidRDefault="00A62839" w:rsidP="00C4292D">
            <w:pPr>
              <w:tabs>
                <w:tab w:val="left" w:pos="709"/>
              </w:tabs>
              <w:spacing w:before="40" w:after="40"/>
              <w:rPr>
                <w:rFonts w:ascii="Arial" w:hAnsi="Arial"/>
                <w:b/>
                <w:color w:val="000000"/>
                <w:sz w:val="16"/>
                <w:szCs w:val="16"/>
              </w:rPr>
            </w:pPr>
            <w:r w:rsidRPr="003E76E7">
              <w:rPr>
                <w:rFonts w:ascii="Arial" w:hAnsi="Arial"/>
                <w:b/>
                <w:color w:val="000000"/>
                <w:sz w:val="16"/>
                <w:szCs w:val="16"/>
              </w:rPr>
              <w:t>Planned Performance Results</w:t>
            </w:r>
          </w:p>
        </w:tc>
      </w:tr>
      <w:tr w:rsidR="00A62839" w:rsidRPr="003E76E7" w14:paraId="30C904C9" w14:textId="77777777" w:rsidTr="00A211F5">
        <w:tblPrEx>
          <w:shd w:val="clear" w:color="auto" w:fill="auto"/>
          <w:tblLook w:val="04A0" w:firstRow="1" w:lastRow="0" w:firstColumn="1" w:lastColumn="0" w:noHBand="0" w:noVBand="1"/>
        </w:tblPrEx>
        <w:trPr>
          <w:trHeight w:val="603"/>
        </w:trPr>
        <w:tc>
          <w:tcPr>
            <w:tcW w:w="1702" w:type="dxa"/>
            <w:vMerge w:val="restart"/>
            <w:tcBorders>
              <w:top w:val="single" w:sz="4" w:space="0" w:color="auto"/>
              <w:right w:val="single" w:sz="4" w:space="0" w:color="auto"/>
            </w:tcBorders>
          </w:tcPr>
          <w:p w14:paraId="2D3E9179" w14:textId="77777777" w:rsidR="00A62839" w:rsidRPr="003E76E7" w:rsidRDefault="00A62839" w:rsidP="00C4292D">
            <w:pPr>
              <w:tabs>
                <w:tab w:val="left" w:pos="709"/>
              </w:tabs>
              <w:spacing w:before="0" w:after="0"/>
              <w:rPr>
                <w:rFonts w:ascii="Arial" w:hAnsi="Arial"/>
                <w:color w:val="000000"/>
                <w:sz w:val="16"/>
                <w:szCs w:val="16"/>
              </w:rPr>
            </w:pPr>
            <w:r w:rsidRPr="003E76E7">
              <w:rPr>
                <w:rFonts w:ascii="Arial" w:hAnsi="Arial"/>
                <w:color w:val="000000"/>
                <w:sz w:val="16"/>
                <w:szCs w:val="16"/>
              </w:rPr>
              <w:t>Budget Year</w:t>
            </w:r>
          </w:p>
          <w:p w14:paraId="545F9BE8" w14:textId="304C6AA9" w:rsidR="00A62839" w:rsidRPr="003E76E7" w:rsidRDefault="00A62839" w:rsidP="00C4292D">
            <w:pPr>
              <w:tabs>
                <w:tab w:val="left" w:pos="709"/>
              </w:tabs>
              <w:spacing w:before="0" w:after="0"/>
              <w:rPr>
                <w:rFonts w:ascii="Arial" w:hAnsi="Arial"/>
                <w:color w:val="000000"/>
                <w:sz w:val="16"/>
                <w:szCs w:val="16"/>
              </w:rPr>
            </w:pPr>
            <w:r w:rsidRPr="003E76E7">
              <w:rPr>
                <w:rFonts w:ascii="Arial" w:hAnsi="Arial"/>
                <w:color w:val="000000"/>
                <w:sz w:val="16"/>
                <w:szCs w:val="16"/>
              </w:rPr>
              <w:t xml:space="preserve">2026-27 </w:t>
            </w:r>
            <w:r w:rsidRPr="003E76E7">
              <w:rPr>
                <w:rFonts w:ascii="Arial" w:hAnsi="Arial"/>
                <w:color w:val="000000"/>
                <w:sz w:val="16"/>
                <w:szCs w:val="16"/>
                <w:vertAlign w:val="superscript"/>
              </w:rPr>
              <w:t>[</w:t>
            </w:r>
            <w:r w:rsidR="00C4447C" w:rsidRPr="003E76E7">
              <w:rPr>
                <w:rFonts w:ascii="Arial" w:hAnsi="Arial"/>
                <w:color w:val="000000"/>
                <w:sz w:val="16"/>
                <w:szCs w:val="16"/>
                <w:vertAlign w:val="superscript"/>
              </w:rPr>
              <w:t>c</w:t>
            </w:r>
            <w:r w:rsidRPr="003E76E7">
              <w:rPr>
                <w:rFonts w:ascii="Arial" w:hAnsi="Arial"/>
                <w:color w:val="000000"/>
                <w:sz w:val="16"/>
                <w:szCs w:val="16"/>
                <w:vertAlign w:val="superscript"/>
              </w:rPr>
              <w:t>]</w:t>
            </w:r>
          </w:p>
        </w:tc>
        <w:tc>
          <w:tcPr>
            <w:tcW w:w="2919" w:type="dxa"/>
            <w:tcBorders>
              <w:top w:val="single" w:sz="4" w:space="0" w:color="auto"/>
              <w:left w:val="single" w:sz="4" w:space="0" w:color="auto"/>
              <w:bottom w:val="single" w:sz="4" w:space="0" w:color="auto"/>
              <w:right w:val="single" w:sz="4" w:space="0" w:color="auto"/>
            </w:tcBorders>
          </w:tcPr>
          <w:p w14:paraId="72ED0206" w14:textId="10F62E00" w:rsidR="00A62839" w:rsidRPr="003E76E7" w:rsidRDefault="00A62839" w:rsidP="00C4292D">
            <w:pPr>
              <w:tabs>
                <w:tab w:val="left" w:pos="709"/>
              </w:tabs>
              <w:spacing w:before="60" w:after="60"/>
              <w:rPr>
                <w:rFonts w:ascii="Arial" w:hAnsi="Arial"/>
                <w:color w:val="000000"/>
                <w:sz w:val="16"/>
                <w:szCs w:val="16"/>
              </w:rPr>
            </w:pPr>
            <w:r w:rsidRPr="003E76E7">
              <w:rPr>
                <w:rFonts w:ascii="Arial" w:hAnsi="Arial"/>
                <w:sz w:val="16"/>
                <w:szCs w:val="16"/>
                <w:lang w:val="en-AU"/>
              </w:rPr>
              <w:t>1.1: Defence conducts operations as directed by Government to achieve Defence’s mission.</w:t>
            </w:r>
          </w:p>
        </w:tc>
        <w:tc>
          <w:tcPr>
            <w:tcW w:w="3221" w:type="dxa"/>
            <w:tcBorders>
              <w:top w:val="single" w:sz="4" w:space="0" w:color="auto"/>
              <w:left w:val="single" w:sz="4" w:space="0" w:color="auto"/>
              <w:bottom w:val="single" w:sz="4" w:space="0" w:color="auto"/>
            </w:tcBorders>
          </w:tcPr>
          <w:p w14:paraId="09738BDB" w14:textId="4F4F63DB" w:rsidR="00A62839" w:rsidRPr="003E76E7" w:rsidRDefault="00A62839" w:rsidP="00C4292D">
            <w:pPr>
              <w:spacing w:before="60" w:after="60"/>
              <w:rPr>
                <w:rFonts w:ascii="Arial" w:hAnsi="Arial"/>
                <w:color w:val="000000"/>
                <w:sz w:val="16"/>
                <w:szCs w:val="16"/>
              </w:rPr>
            </w:pPr>
            <w:r w:rsidRPr="003E76E7">
              <w:rPr>
                <w:rFonts w:ascii="Arial" w:hAnsi="Arial"/>
                <w:sz w:val="16"/>
                <w:szCs w:val="16"/>
                <w:lang w:val="en-AU"/>
              </w:rPr>
              <w:t>100 per cent of operations conducted or being conducted as directed by Government.</w:t>
            </w:r>
          </w:p>
        </w:tc>
      </w:tr>
      <w:tr w:rsidR="00A62839" w:rsidRPr="003E76E7" w14:paraId="74F8A2BC" w14:textId="77777777" w:rsidTr="00A211F5">
        <w:tblPrEx>
          <w:shd w:val="clear" w:color="auto" w:fill="auto"/>
          <w:tblLook w:val="04A0" w:firstRow="1" w:lastRow="0" w:firstColumn="1" w:lastColumn="0" w:noHBand="0" w:noVBand="1"/>
        </w:tblPrEx>
        <w:trPr>
          <w:trHeight w:val="603"/>
        </w:trPr>
        <w:tc>
          <w:tcPr>
            <w:tcW w:w="1702" w:type="dxa"/>
            <w:vMerge/>
            <w:tcBorders>
              <w:right w:val="single" w:sz="4" w:space="0" w:color="auto"/>
            </w:tcBorders>
          </w:tcPr>
          <w:p w14:paraId="2AC95DA6" w14:textId="77777777" w:rsidR="00A62839" w:rsidRPr="003E76E7" w:rsidRDefault="00A62839" w:rsidP="00C4292D">
            <w:pPr>
              <w:tabs>
                <w:tab w:val="left" w:pos="709"/>
              </w:tabs>
              <w:spacing w:before="60" w:after="60"/>
              <w:rPr>
                <w:rFonts w:ascii="Arial" w:hAnsi="Arial"/>
                <w:color w:val="000000"/>
                <w:sz w:val="16"/>
                <w:szCs w:val="16"/>
              </w:rPr>
            </w:pPr>
          </w:p>
        </w:tc>
        <w:tc>
          <w:tcPr>
            <w:tcW w:w="2919" w:type="dxa"/>
            <w:tcBorders>
              <w:top w:val="single" w:sz="4" w:space="0" w:color="auto"/>
              <w:left w:val="single" w:sz="4" w:space="0" w:color="auto"/>
              <w:bottom w:val="single" w:sz="4" w:space="0" w:color="auto"/>
              <w:right w:val="single" w:sz="4" w:space="0" w:color="auto"/>
            </w:tcBorders>
          </w:tcPr>
          <w:p w14:paraId="0A1A7FDA" w14:textId="33B6A8B1" w:rsidR="00A62839" w:rsidRPr="003E76E7" w:rsidRDefault="00A62839" w:rsidP="00C4292D">
            <w:pPr>
              <w:tabs>
                <w:tab w:val="left" w:pos="709"/>
              </w:tabs>
              <w:spacing w:before="60" w:after="60"/>
              <w:rPr>
                <w:rFonts w:ascii="Arial" w:hAnsi="Arial"/>
                <w:color w:val="000000"/>
                <w:sz w:val="16"/>
                <w:szCs w:val="16"/>
              </w:rPr>
            </w:pPr>
            <w:r w:rsidRPr="003E76E7">
              <w:rPr>
                <w:rFonts w:ascii="Arial" w:hAnsi="Arial"/>
                <w:sz w:val="16"/>
                <w:szCs w:val="16"/>
                <w:lang w:val="en-AU"/>
              </w:rPr>
              <w:t>1.2: Defence maintains ready forces through the conduct of exercises.</w:t>
            </w:r>
          </w:p>
        </w:tc>
        <w:tc>
          <w:tcPr>
            <w:tcW w:w="3221" w:type="dxa"/>
            <w:tcBorders>
              <w:top w:val="single" w:sz="4" w:space="0" w:color="auto"/>
              <w:left w:val="single" w:sz="4" w:space="0" w:color="auto"/>
              <w:bottom w:val="single" w:sz="4" w:space="0" w:color="auto"/>
            </w:tcBorders>
          </w:tcPr>
          <w:p w14:paraId="35A779CE" w14:textId="017269DE" w:rsidR="00A62839" w:rsidRPr="003E76E7" w:rsidRDefault="00A62839" w:rsidP="00C4292D">
            <w:pPr>
              <w:tabs>
                <w:tab w:val="left" w:pos="709"/>
              </w:tabs>
              <w:spacing w:before="60" w:after="60"/>
              <w:rPr>
                <w:rFonts w:ascii="Arial" w:hAnsi="Arial"/>
                <w:color w:val="000000"/>
                <w:sz w:val="16"/>
                <w:szCs w:val="16"/>
              </w:rPr>
            </w:pPr>
            <w:r w:rsidRPr="003E76E7">
              <w:rPr>
                <w:rFonts w:ascii="Arial" w:hAnsi="Arial"/>
                <w:color w:val="000000"/>
                <w:sz w:val="16"/>
                <w:szCs w:val="16"/>
                <w:lang w:val="en-AU"/>
              </w:rPr>
              <w:t>100 per cent of exercises conducted achieve planned objectives.</w:t>
            </w:r>
          </w:p>
        </w:tc>
      </w:tr>
      <w:tr w:rsidR="00A62839" w:rsidRPr="003E76E7" w14:paraId="299FEB87" w14:textId="77777777" w:rsidTr="00A211F5">
        <w:tblPrEx>
          <w:shd w:val="clear" w:color="auto" w:fill="auto"/>
          <w:tblLook w:val="04A0" w:firstRow="1" w:lastRow="0" w:firstColumn="1" w:lastColumn="0" w:noHBand="0" w:noVBand="1"/>
        </w:tblPrEx>
        <w:trPr>
          <w:trHeight w:val="603"/>
        </w:trPr>
        <w:tc>
          <w:tcPr>
            <w:tcW w:w="1702" w:type="dxa"/>
            <w:vMerge/>
            <w:tcBorders>
              <w:right w:val="single" w:sz="4" w:space="0" w:color="auto"/>
            </w:tcBorders>
          </w:tcPr>
          <w:p w14:paraId="0187EA68" w14:textId="77777777" w:rsidR="00A62839" w:rsidRPr="003E76E7" w:rsidRDefault="00A62839" w:rsidP="00C4292D">
            <w:pPr>
              <w:tabs>
                <w:tab w:val="left" w:pos="709"/>
              </w:tabs>
              <w:spacing w:before="60" w:after="60"/>
              <w:rPr>
                <w:rFonts w:ascii="Arial" w:hAnsi="Arial"/>
                <w:color w:val="000000"/>
                <w:sz w:val="16"/>
                <w:szCs w:val="16"/>
              </w:rPr>
            </w:pPr>
          </w:p>
        </w:tc>
        <w:tc>
          <w:tcPr>
            <w:tcW w:w="2919" w:type="dxa"/>
            <w:tcBorders>
              <w:top w:val="single" w:sz="4" w:space="0" w:color="auto"/>
              <w:left w:val="single" w:sz="4" w:space="0" w:color="auto"/>
              <w:bottom w:val="single" w:sz="4" w:space="0" w:color="auto"/>
              <w:right w:val="single" w:sz="4" w:space="0" w:color="auto"/>
            </w:tcBorders>
          </w:tcPr>
          <w:p w14:paraId="56383EAB" w14:textId="2C63E720" w:rsidR="00A62839" w:rsidRPr="003E76E7" w:rsidRDefault="00A62839" w:rsidP="00C4292D">
            <w:pPr>
              <w:tabs>
                <w:tab w:val="left" w:pos="709"/>
              </w:tabs>
              <w:spacing w:before="60" w:after="60"/>
              <w:rPr>
                <w:rFonts w:ascii="Arial" w:hAnsi="Arial"/>
                <w:sz w:val="16"/>
                <w:szCs w:val="16"/>
                <w:lang w:val="en-AU"/>
              </w:rPr>
            </w:pPr>
            <w:r w:rsidRPr="003E76E7">
              <w:rPr>
                <w:rFonts w:ascii="Arial" w:hAnsi="Arial"/>
                <w:sz w:val="16"/>
                <w:szCs w:val="16"/>
                <w:lang w:val="en-AU"/>
              </w:rPr>
              <w:t>1.3</w:t>
            </w:r>
            <w:r w:rsidR="00C23CD1" w:rsidRPr="003E76E7">
              <w:rPr>
                <w:rFonts w:ascii="Arial" w:hAnsi="Arial"/>
                <w:sz w:val="16"/>
                <w:szCs w:val="16"/>
                <w:lang w:val="en-AU"/>
              </w:rPr>
              <w:t>:</w:t>
            </w:r>
            <w:r w:rsidRPr="003E76E7">
              <w:rPr>
                <w:rFonts w:ascii="Arial" w:hAnsi="Arial"/>
                <w:sz w:val="16"/>
                <w:szCs w:val="16"/>
                <w:lang w:val="en-AU"/>
              </w:rPr>
              <w:t xml:space="preserve"> Defence assists with domestic crisis and emergency response as directed by Government. </w:t>
            </w:r>
          </w:p>
        </w:tc>
        <w:tc>
          <w:tcPr>
            <w:tcW w:w="3221" w:type="dxa"/>
            <w:tcBorders>
              <w:top w:val="single" w:sz="4" w:space="0" w:color="auto"/>
              <w:left w:val="single" w:sz="4" w:space="0" w:color="auto"/>
              <w:bottom w:val="single" w:sz="4" w:space="0" w:color="auto"/>
            </w:tcBorders>
          </w:tcPr>
          <w:p w14:paraId="46C90A60" w14:textId="3EBA68A0" w:rsidR="00A62839" w:rsidRPr="003E76E7" w:rsidRDefault="00A62839" w:rsidP="00C4292D">
            <w:pPr>
              <w:tabs>
                <w:tab w:val="left" w:pos="709"/>
              </w:tabs>
              <w:spacing w:before="60" w:after="60"/>
              <w:rPr>
                <w:rFonts w:ascii="Arial" w:hAnsi="Arial"/>
                <w:sz w:val="16"/>
                <w:szCs w:val="16"/>
                <w:lang w:val="en-AU"/>
              </w:rPr>
            </w:pPr>
            <w:r w:rsidRPr="003E76E7">
              <w:rPr>
                <w:rFonts w:ascii="Arial" w:hAnsi="Arial"/>
                <w:color w:val="000000"/>
                <w:sz w:val="16"/>
                <w:szCs w:val="16"/>
                <w:lang w:val="en-AU"/>
              </w:rPr>
              <w:t xml:space="preserve">Defence responds to 100 per cent of requests for assistance as directed by Government. </w:t>
            </w:r>
          </w:p>
        </w:tc>
      </w:tr>
      <w:tr w:rsidR="00A62839" w:rsidRPr="003E76E7" w14:paraId="6591F4B3" w14:textId="77777777" w:rsidTr="00A211F5">
        <w:tblPrEx>
          <w:shd w:val="clear" w:color="auto" w:fill="auto"/>
          <w:tblLook w:val="04A0" w:firstRow="1" w:lastRow="0" w:firstColumn="1" w:lastColumn="0" w:noHBand="0" w:noVBand="1"/>
        </w:tblPrEx>
        <w:trPr>
          <w:trHeight w:val="603"/>
        </w:trPr>
        <w:tc>
          <w:tcPr>
            <w:tcW w:w="1702" w:type="dxa"/>
            <w:vMerge/>
            <w:tcBorders>
              <w:right w:val="single" w:sz="4" w:space="0" w:color="auto"/>
            </w:tcBorders>
          </w:tcPr>
          <w:p w14:paraId="1B1CEC1C" w14:textId="77777777" w:rsidR="00A62839" w:rsidRPr="003E76E7" w:rsidRDefault="00A62839" w:rsidP="00C4292D">
            <w:pPr>
              <w:tabs>
                <w:tab w:val="left" w:pos="709"/>
              </w:tabs>
              <w:spacing w:before="60" w:after="60"/>
              <w:rPr>
                <w:rFonts w:ascii="Arial" w:hAnsi="Arial"/>
                <w:color w:val="000000"/>
                <w:sz w:val="16"/>
                <w:szCs w:val="16"/>
              </w:rPr>
            </w:pPr>
          </w:p>
        </w:tc>
        <w:tc>
          <w:tcPr>
            <w:tcW w:w="2919" w:type="dxa"/>
            <w:tcBorders>
              <w:top w:val="single" w:sz="4" w:space="0" w:color="auto"/>
              <w:left w:val="single" w:sz="4" w:space="0" w:color="auto"/>
              <w:bottom w:val="single" w:sz="4" w:space="0" w:color="auto"/>
              <w:right w:val="single" w:sz="4" w:space="0" w:color="auto"/>
            </w:tcBorders>
          </w:tcPr>
          <w:p w14:paraId="3F9AB1C2" w14:textId="104CA479" w:rsidR="00A62839" w:rsidRPr="003E76E7" w:rsidRDefault="00A62839" w:rsidP="00C4292D">
            <w:pPr>
              <w:tabs>
                <w:tab w:val="left" w:pos="709"/>
              </w:tabs>
              <w:spacing w:before="60" w:after="60"/>
              <w:rPr>
                <w:rFonts w:ascii="Arial" w:hAnsi="Arial"/>
                <w:sz w:val="16"/>
                <w:szCs w:val="16"/>
                <w:lang w:val="en-AU"/>
              </w:rPr>
            </w:pPr>
            <w:r w:rsidRPr="003E76E7">
              <w:rPr>
                <w:rFonts w:ascii="Arial" w:hAnsi="Arial"/>
                <w:sz w:val="16"/>
                <w:szCs w:val="16"/>
                <w:lang w:val="en-AU"/>
              </w:rPr>
              <w:t>4.1: Defence recruits and retains an ADF and APS workforce to support the Defence mission.</w:t>
            </w:r>
          </w:p>
        </w:tc>
        <w:tc>
          <w:tcPr>
            <w:tcW w:w="3221" w:type="dxa"/>
            <w:tcBorders>
              <w:top w:val="single" w:sz="4" w:space="0" w:color="auto"/>
              <w:left w:val="single" w:sz="4" w:space="0" w:color="auto"/>
              <w:bottom w:val="single" w:sz="4" w:space="0" w:color="auto"/>
            </w:tcBorders>
          </w:tcPr>
          <w:p w14:paraId="2CA2332C" w14:textId="6EA0A803" w:rsidR="00A62839" w:rsidRPr="003E76E7" w:rsidRDefault="00A62839" w:rsidP="00C4292D">
            <w:pPr>
              <w:tabs>
                <w:tab w:val="left" w:pos="709"/>
              </w:tabs>
              <w:spacing w:before="60" w:after="60"/>
              <w:rPr>
                <w:rFonts w:ascii="Arial" w:hAnsi="Arial"/>
                <w:sz w:val="16"/>
                <w:szCs w:val="16"/>
                <w:lang w:val="en-AU"/>
              </w:rPr>
            </w:pPr>
            <w:r w:rsidRPr="003E76E7">
              <w:rPr>
                <w:rFonts w:ascii="Arial" w:hAnsi="Arial"/>
                <w:sz w:val="16"/>
                <w:szCs w:val="16"/>
              </w:rPr>
              <w:t xml:space="preserve">Defence achieves the ADF and APS Budgeted Workforce Requirement as set out in the Portfolio Budget Statements and the net flow of the ADF and APS workforce over a </w:t>
            </w:r>
            <w:r w:rsidR="007F23B3" w:rsidRPr="003E76E7">
              <w:rPr>
                <w:rFonts w:ascii="Arial" w:hAnsi="Arial"/>
                <w:sz w:val="16"/>
                <w:szCs w:val="16"/>
              </w:rPr>
              <w:br/>
            </w:r>
            <w:r w:rsidRPr="003E76E7">
              <w:rPr>
                <w:rFonts w:ascii="Arial" w:hAnsi="Arial"/>
                <w:sz w:val="16"/>
                <w:szCs w:val="16"/>
              </w:rPr>
              <w:t xml:space="preserve">12 month period is trending positive and is positioning Defence to achieve the Budgeted Workforce Requirement over the </w:t>
            </w:r>
            <w:r w:rsidR="00D34381" w:rsidRPr="003E76E7">
              <w:rPr>
                <w:rFonts w:ascii="Arial" w:hAnsi="Arial"/>
                <w:sz w:val="16"/>
                <w:szCs w:val="16"/>
              </w:rPr>
              <w:t>F</w:t>
            </w:r>
            <w:r w:rsidRPr="003E76E7">
              <w:rPr>
                <w:rFonts w:ascii="Arial" w:hAnsi="Arial"/>
                <w:sz w:val="16"/>
                <w:szCs w:val="16"/>
              </w:rPr>
              <w:t xml:space="preserve">orward </w:t>
            </w:r>
            <w:r w:rsidR="00D34381" w:rsidRPr="003E76E7">
              <w:rPr>
                <w:rFonts w:ascii="Arial" w:hAnsi="Arial"/>
                <w:sz w:val="16"/>
                <w:szCs w:val="16"/>
              </w:rPr>
              <w:t>E</w:t>
            </w:r>
            <w:r w:rsidRPr="003E76E7">
              <w:rPr>
                <w:rFonts w:ascii="Arial" w:hAnsi="Arial"/>
                <w:sz w:val="16"/>
                <w:szCs w:val="16"/>
              </w:rPr>
              <w:t>stimates.</w:t>
            </w:r>
          </w:p>
        </w:tc>
      </w:tr>
      <w:tr w:rsidR="00A62839" w:rsidRPr="003E76E7" w14:paraId="36449F46" w14:textId="77777777" w:rsidTr="00A211F5">
        <w:tblPrEx>
          <w:shd w:val="clear" w:color="auto" w:fill="auto"/>
          <w:tblLook w:val="04A0" w:firstRow="1" w:lastRow="0" w:firstColumn="1" w:lastColumn="0" w:noHBand="0" w:noVBand="1"/>
        </w:tblPrEx>
        <w:trPr>
          <w:trHeight w:val="603"/>
        </w:trPr>
        <w:tc>
          <w:tcPr>
            <w:tcW w:w="1702" w:type="dxa"/>
            <w:vMerge/>
            <w:tcBorders>
              <w:right w:val="single" w:sz="4" w:space="0" w:color="auto"/>
            </w:tcBorders>
          </w:tcPr>
          <w:p w14:paraId="771B6E09" w14:textId="77777777" w:rsidR="00A62839" w:rsidRPr="003E76E7" w:rsidRDefault="00A62839" w:rsidP="00C4292D">
            <w:pPr>
              <w:tabs>
                <w:tab w:val="left" w:pos="709"/>
              </w:tabs>
              <w:spacing w:before="60" w:after="60"/>
              <w:rPr>
                <w:rFonts w:ascii="Arial" w:hAnsi="Arial"/>
                <w:color w:val="000000"/>
                <w:sz w:val="16"/>
                <w:szCs w:val="16"/>
              </w:rPr>
            </w:pPr>
          </w:p>
        </w:tc>
        <w:tc>
          <w:tcPr>
            <w:tcW w:w="2919" w:type="dxa"/>
            <w:tcBorders>
              <w:top w:val="single" w:sz="4" w:space="0" w:color="auto"/>
              <w:left w:val="single" w:sz="4" w:space="0" w:color="auto"/>
              <w:bottom w:val="single" w:sz="4" w:space="0" w:color="auto"/>
              <w:right w:val="single" w:sz="4" w:space="0" w:color="auto"/>
            </w:tcBorders>
          </w:tcPr>
          <w:p w14:paraId="725940DC" w14:textId="45A2BF55" w:rsidR="00A62839" w:rsidRPr="003E76E7" w:rsidRDefault="00A62839" w:rsidP="00C4292D">
            <w:pPr>
              <w:tabs>
                <w:tab w:val="left" w:pos="709"/>
              </w:tabs>
              <w:spacing w:before="60" w:after="60"/>
              <w:rPr>
                <w:rFonts w:ascii="Arial" w:hAnsi="Arial"/>
                <w:sz w:val="16"/>
                <w:szCs w:val="16"/>
                <w:lang w:val="en-AU"/>
              </w:rPr>
            </w:pPr>
            <w:r w:rsidRPr="003E76E7">
              <w:rPr>
                <w:rFonts w:ascii="Arial" w:hAnsi="Arial"/>
                <w:sz w:val="16"/>
                <w:szCs w:val="16"/>
                <w:lang w:val="en-AU"/>
              </w:rPr>
              <w:t>4.2: Defence grows the necessary skills and capabilities to enable the Defence mission.</w:t>
            </w:r>
          </w:p>
        </w:tc>
        <w:tc>
          <w:tcPr>
            <w:tcW w:w="3221" w:type="dxa"/>
            <w:tcBorders>
              <w:top w:val="single" w:sz="4" w:space="0" w:color="auto"/>
              <w:left w:val="single" w:sz="4" w:space="0" w:color="auto"/>
              <w:bottom w:val="single" w:sz="4" w:space="0" w:color="auto"/>
            </w:tcBorders>
          </w:tcPr>
          <w:p w14:paraId="651A1FD8" w14:textId="0F930363" w:rsidR="00A62839" w:rsidRPr="003E76E7" w:rsidRDefault="00A62839" w:rsidP="00C4292D">
            <w:pPr>
              <w:tabs>
                <w:tab w:val="left" w:pos="709"/>
              </w:tabs>
              <w:spacing w:before="60" w:after="60"/>
              <w:rPr>
                <w:rFonts w:ascii="Arial" w:hAnsi="Arial"/>
                <w:i/>
                <w:sz w:val="16"/>
                <w:szCs w:val="16"/>
                <w:lang w:val="en-AU"/>
              </w:rPr>
            </w:pPr>
            <w:r w:rsidRPr="003E76E7">
              <w:rPr>
                <w:rFonts w:ascii="Arial" w:hAnsi="Arial"/>
                <w:sz w:val="16"/>
                <w:szCs w:val="16"/>
                <w:lang w:val="en-AU"/>
              </w:rPr>
              <w:t>The Defence workforce has the technical skills required to deliver the National Defence Strategy, as measured through achieving a full workforce against each of the ADF and APS Strategic Workforce Segments, the net flow of the ADF and APS Strategic Workforce Segments over the financial year, measured against the Budgeted Workforce Requirement, will enable Defence to achieve its future technical skill requirements, and the Australian Submarine Agency are staffed with the required ADF personnel to deliver the Nuclear-Powered Submarine Program.</w:t>
            </w:r>
          </w:p>
        </w:tc>
      </w:tr>
      <w:tr w:rsidR="00A62839" w:rsidRPr="003E76E7" w14:paraId="207B9C54" w14:textId="77777777" w:rsidTr="00A211F5">
        <w:tblPrEx>
          <w:shd w:val="clear" w:color="auto" w:fill="auto"/>
          <w:tblLook w:val="04A0" w:firstRow="1" w:lastRow="0" w:firstColumn="1" w:lastColumn="0" w:noHBand="0" w:noVBand="1"/>
        </w:tblPrEx>
        <w:trPr>
          <w:trHeight w:val="603"/>
        </w:trPr>
        <w:tc>
          <w:tcPr>
            <w:tcW w:w="1702" w:type="dxa"/>
            <w:vMerge/>
            <w:tcBorders>
              <w:bottom w:val="single" w:sz="4" w:space="0" w:color="auto"/>
              <w:right w:val="single" w:sz="4" w:space="0" w:color="auto"/>
            </w:tcBorders>
          </w:tcPr>
          <w:p w14:paraId="2DEBEE7D" w14:textId="77777777" w:rsidR="00A62839" w:rsidRPr="003E76E7" w:rsidRDefault="00A62839" w:rsidP="00C4292D">
            <w:pPr>
              <w:tabs>
                <w:tab w:val="left" w:pos="709"/>
              </w:tabs>
              <w:spacing w:before="60" w:after="60"/>
              <w:rPr>
                <w:rFonts w:ascii="Arial" w:hAnsi="Arial"/>
                <w:color w:val="000000"/>
                <w:sz w:val="16"/>
                <w:szCs w:val="16"/>
              </w:rPr>
            </w:pPr>
          </w:p>
        </w:tc>
        <w:tc>
          <w:tcPr>
            <w:tcW w:w="2919" w:type="dxa"/>
            <w:tcBorders>
              <w:top w:val="single" w:sz="4" w:space="0" w:color="auto"/>
              <w:left w:val="single" w:sz="4" w:space="0" w:color="auto"/>
              <w:bottom w:val="single" w:sz="4" w:space="0" w:color="auto"/>
              <w:right w:val="single" w:sz="4" w:space="0" w:color="auto"/>
            </w:tcBorders>
          </w:tcPr>
          <w:p w14:paraId="4F2905A1" w14:textId="5485A040" w:rsidR="00A62839" w:rsidRPr="003E76E7" w:rsidRDefault="00A62839" w:rsidP="00C4292D">
            <w:pPr>
              <w:tabs>
                <w:tab w:val="left" w:pos="709"/>
              </w:tabs>
              <w:spacing w:before="60" w:after="60"/>
              <w:rPr>
                <w:rFonts w:ascii="Arial" w:hAnsi="Arial"/>
                <w:sz w:val="16"/>
                <w:szCs w:val="16"/>
                <w:lang w:val="en-AU"/>
              </w:rPr>
            </w:pPr>
            <w:r w:rsidRPr="003E76E7">
              <w:rPr>
                <w:rFonts w:ascii="Arial" w:hAnsi="Arial"/>
                <w:sz w:val="16"/>
                <w:szCs w:val="16"/>
                <w:lang w:val="en-AU"/>
              </w:rPr>
              <w:t>4.3: The Defence values and behaviours enable our people to deliver against the Defence mission.</w:t>
            </w:r>
          </w:p>
        </w:tc>
        <w:tc>
          <w:tcPr>
            <w:tcW w:w="3221" w:type="dxa"/>
            <w:tcBorders>
              <w:top w:val="single" w:sz="4" w:space="0" w:color="auto"/>
              <w:left w:val="single" w:sz="4" w:space="0" w:color="auto"/>
              <w:bottom w:val="single" w:sz="4" w:space="0" w:color="auto"/>
            </w:tcBorders>
          </w:tcPr>
          <w:p w14:paraId="73C9D19E" w14:textId="72545CED" w:rsidR="00A62839" w:rsidRPr="003E76E7" w:rsidRDefault="00A62839" w:rsidP="00C4292D">
            <w:pPr>
              <w:tabs>
                <w:tab w:val="left" w:pos="709"/>
              </w:tabs>
              <w:spacing w:before="60" w:after="60"/>
              <w:rPr>
                <w:rFonts w:ascii="Arial" w:hAnsi="Arial"/>
                <w:sz w:val="16"/>
                <w:szCs w:val="16"/>
                <w:lang w:val="en-AU"/>
              </w:rPr>
            </w:pPr>
            <w:r w:rsidRPr="003E76E7">
              <w:rPr>
                <w:rFonts w:ascii="Arial" w:hAnsi="Arial"/>
                <w:sz w:val="16"/>
                <w:szCs w:val="16"/>
              </w:rPr>
              <w:t xml:space="preserve">All ADF and Defence APS personnel believe appropriate action will be taken if they report an incident of unacceptable behaviour in the preceding 12 months, no ADF and Defence APS personnel have experienced unacceptable behaviour in the preceding </w:t>
            </w:r>
            <w:r w:rsidR="007F23B3" w:rsidRPr="003E76E7">
              <w:rPr>
                <w:rFonts w:ascii="Arial" w:hAnsi="Arial"/>
                <w:sz w:val="16"/>
                <w:szCs w:val="16"/>
              </w:rPr>
              <w:br/>
            </w:r>
            <w:r w:rsidRPr="003E76E7">
              <w:rPr>
                <w:rFonts w:ascii="Arial" w:hAnsi="Arial"/>
                <w:sz w:val="16"/>
                <w:szCs w:val="16"/>
              </w:rPr>
              <w:t>12 months, and all ADF and Defence APS personnel view that Defence values are being used in their work area.</w:t>
            </w:r>
          </w:p>
        </w:tc>
      </w:tr>
      <w:tr w:rsidR="00A62839" w:rsidRPr="003E76E7" w14:paraId="2975532A" w14:textId="77777777" w:rsidTr="00A211F5">
        <w:trPr>
          <w:trHeight w:val="279"/>
        </w:trPr>
        <w:tc>
          <w:tcPr>
            <w:tcW w:w="1702" w:type="dxa"/>
            <w:tcBorders>
              <w:top w:val="single" w:sz="4" w:space="0" w:color="auto"/>
              <w:right w:val="single" w:sz="4" w:space="0" w:color="auto"/>
            </w:tcBorders>
          </w:tcPr>
          <w:p w14:paraId="001E6E93" w14:textId="6BE28633" w:rsidR="00A62839" w:rsidRPr="003E76E7" w:rsidRDefault="00A62839" w:rsidP="00C4292D">
            <w:pPr>
              <w:pageBreakBefore/>
              <w:tabs>
                <w:tab w:val="left" w:pos="709"/>
              </w:tabs>
              <w:spacing w:before="60" w:after="60"/>
              <w:rPr>
                <w:rFonts w:ascii="Arial" w:hAnsi="Arial"/>
                <w:color w:val="000000"/>
                <w:sz w:val="16"/>
                <w:szCs w:val="16"/>
              </w:rPr>
            </w:pPr>
            <w:r w:rsidRPr="003E76E7">
              <w:rPr>
                <w:rFonts w:ascii="Arial" w:hAnsi="Arial"/>
                <w:b/>
                <w:color w:val="000000"/>
                <w:sz w:val="16"/>
                <w:szCs w:val="16"/>
              </w:rPr>
              <w:lastRenderedPageBreak/>
              <w:t>Year</w:t>
            </w:r>
          </w:p>
        </w:tc>
        <w:tc>
          <w:tcPr>
            <w:tcW w:w="2919" w:type="dxa"/>
            <w:tcBorders>
              <w:top w:val="single" w:sz="4" w:space="0" w:color="auto"/>
              <w:left w:val="single" w:sz="4" w:space="0" w:color="auto"/>
              <w:bottom w:val="single" w:sz="4" w:space="0" w:color="auto"/>
              <w:right w:val="single" w:sz="4" w:space="0" w:color="auto"/>
            </w:tcBorders>
          </w:tcPr>
          <w:p w14:paraId="2A849EE6" w14:textId="41C4CC52" w:rsidR="00A62839" w:rsidRPr="003E76E7" w:rsidRDefault="00AD14EC" w:rsidP="00C4292D">
            <w:pPr>
              <w:tabs>
                <w:tab w:val="left" w:pos="709"/>
              </w:tabs>
              <w:spacing w:before="60" w:after="60"/>
              <w:rPr>
                <w:rFonts w:ascii="Arial" w:hAnsi="Arial"/>
                <w:sz w:val="16"/>
                <w:szCs w:val="16"/>
                <w:lang w:val="en-AU"/>
              </w:rPr>
            </w:pPr>
            <w:r w:rsidRPr="003E76E7">
              <w:rPr>
                <w:rFonts w:ascii="Arial" w:hAnsi="Arial"/>
                <w:b/>
                <w:color w:val="000000"/>
                <w:sz w:val="16"/>
                <w:szCs w:val="16"/>
              </w:rPr>
              <w:t>Performance Measures</w:t>
            </w:r>
          </w:p>
        </w:tc>
        <w:tc>
          <w:tcPr>
            <w:tcW w:w="3221" w:type="dxa"/>
            <w:tcBorders>
              <w:top w:val="single" w:sz="4" w:space="0" w:color="auto"/>
              <w:left w:val="single" w:sz="4" w:space="0" w:color="auto"/>
              <w:bottom w:val="single" w:sz="4" w:space="0" w:color="auto"/>
            </w:tcBorders>
          </w:tcPr>
          <w:p w14:paraId="3CD09873" w14:textId="6DEC2020" w:rsidR="00A62839" w:rsidRPr="003E76E7" w:rsidRDefault="00A62839" w:rsidP="00C4292D">
            <w:pPr>
              <w:tabs>
                <w:tab w:val="left" w:pos="709"/>
              </w:tabs>
              <w:spacing w:before="60" w:after="60"/>
              <w:rPr>
                <w:rFonts w:ascii="Arial" w:hAnsi="Arial"/>
                <w:sz w:val="16"/>
                <w:szCs w:val="16"/>
                <w:lang w:val="en-AU"/>
              </w:rPr>
            </w:pPr>
            <w:r w:rsidRPr="003E76E7">
              <w:rPr>
                <w:rFonts w:ascii="Arial" w:hAnsi="Arial"/>
                <w:b/>
                <w:color w:val="000000"/>
                <w:sz w:val="16"/>
                <w:szCs w:val="16"/>
              </w:rPr>
              <w:t>Planned Performance Results</w:t>
            </w:r>
          </w:p>
        </w:tc>
      </w:tr>
      <w:tr w:rsidR="00A62839" w:rsidRPr="003E76E7" w14:paraId="6AED8F85" w14:textId="77777777" w:rsidTr="00A211F5">
        <w:tblPrEx>
          <w:shd w:val="clear" w:color="auto" w:fill="auto"/>
          <w:tblLook w:val="04A0" w:firstRow="1" w:lastRow="0" w:firstColumn="1" w:lastColumn="0" w:noHBand="0" w:noVBand="1"/>
        </w:tblPrEx>
        <w:trPr>
          <w:trHeight w:val="603"/>
        </w:trPr>
        <w:tc>
          <w:tcPr>
            <w:tcW w:w="1702" w:type="dxa"/>
            <w:tcBorders>
              <w:bottom w:val="single" w:sz="4" w:space="0" w:color="auto"/>
              <w:right w:val="single" w:sz="4" w:space="0" w:color="auto"/>
            </w:tcBorders>
          </w:tcPr>
          <w:p w14:paraId="0A74492B" w14:textId="77777777" w:rsidR="00A62839" w:rsidRPr="003E76E7" w:rsidRDefault="00A62839" w:rsidP="00C4292D">
            <w:pPr>
              <w:tabs>
                <w:tab w:val="left" w:pos="709"/>
              </w:tabs>
              <w:spacing w:before="0" w:after="0"/>
              <w:rPr>
                <w:rFonts w:ascii="Arial" w:hAnsi="Arial"/>
                <w:color w:val="000000"/>
                <w:sz w:val="16"/>
                <w:szCs w:val="16"/>
              </w:rPr>
            </w:pPr>
            <w:r w:rsidRPr="003E76E7">
              <w:rPr>
                <w:rFonts w:ascii="Arial" w:hAnsi="Arial"/>
                <w:color w:val="000000"/>
                <w:sz w:val="16"/>
                <w:szCs w:val="16"/>
              </w:rPr>
              <w:t>Budget Year</w:t>
            </w:r>
          </w:p>
          <w:p w14:paraId="05776073" w14:textId="7EA4B2AD" w:rsidR="00A62839" w:rsidRPr="003E76E7" w:rsidRDefault="00A62839" w:rsidP="00C4292D">
            <w:pPr>
              <w:tabs>
                <w:tab w:val="left" w:pos="709"/>
              </w:tabs>
              <w:spacing w:before="0" w:after="0"/>
              <w:rPr>
                <w:rFonts w:ascii="Arial" w:hAnsi="Arial"/>
                <w:color w:val="000000"/>
                <w:sz w:val="16"/>
                <w:szCs w:val="16"/>
              </w:rPr>
            </w:pPr>
            <w:r w:rsidRPr="003E76E7">
              <w:rPr>
                <w:rFonts w:ascii="Arial" w:hAnsi="Arial"/>
                <w:color w:val="000000"/>
                <w:sz w:val="16"/>
                <w:szCs w:val="16"/>
              </w:rPr>
              <w:t xml:space="preserve">2026-27 </w:t>
            </w:r>
            <w:r w:rsidR="003C0ED5" w:rsidRPr="003E76E7">
              <w:rPr>
                <w:rFonts w:ascii="Arial" w:hAnsi="Arial"/>
                <w:color w:val="000000"/>
                <w:sz w:val="16"/>
                <w:szCs w:val="16"/>
                <w:vertAlign w:val="superscript"/>
              </w:rPr>
              <w:t>[</w:t>
            </w:r>
            <w:r w:rsidR="00C4447C" w:rsidRPr="003E76E7">
              <w:rPr>
                <w:rFonts w:ascii="Arial" w:hAnsi="Arial"/>
                <w:color w:val="000000"/>
                <w:sz w:val="16"/>
                <w:szCs w:val="16"/>
                <w:vertAlign w:val="superscript"/>
              </w:rPr>
              <w:t>c</w:t>
            </w:r>
            <w:r w:rsidRPr="003E76E7">
              <w:rPr>
                <w:rFonts w:ascii="Arial" w:hAnsi="Arial"/>
                <w:color w:val="000000"/>
                <w:sz w:val="16"/>
                <w:szCs w:val="16"/>
                <w:vertAlign w:val="superscript"/>
              </w:rPr>
              <w:t>]</w:t>
            </w:r>
          </w:p>
        </w:tc>
        <w:tc>
          <w:tcPr>
            <w:tcW w:w="2919" w:type="dxa"/>
            <w:tcBorders>
              <w:top w:val="single" w:sz="4" w:space="0" w:color="auto"/>
              <w:left w:val="single" w:sz="4" w:space="0" w:color="auto"/>
              <w:bottom w:val="single" w:sz="4" w:space="0" w:color="auto"/>
              <w:right w:val="single" w:sz="4" w:space="0" w:color="auto"/>
            </w:tcBorders>
          </w:tcPr>
          <w:p w14:paraId="4FBBD65F" w14:textId="2642F024" w:rsidR="00A62839" w:rsidRPr="003E76E7" w:rsidRDefault="00A62839" w:rsidP="00C4292D">
            <w:pPr>
              <w:tabs>
                <w:tab w:val="left" w:pos="709"/>
              </w:tabs>
              <w:spacing w:before="60" w:after="60"/>
              <w:rPr>
                <w:rFonts w:ascii="Arial" w:hAnsi="Arial"/>
                <w:sz w:val="16"/>
                <w:szCs w:val="16"/>
                <w:lang w:val="en-AU"/>
              </w:rPr>
            </w:pPr>
            <w:r w:rsidRPr="003E76E7">
              <w:rPr>
                <w:rFonts w:ascii="Arial" w:hAnsi="Arial"/>
                <w:sz w:val="16"/>
                <w:szCs w:val="16"/>
                <w:lang w:val="en-AU"/>
              </w:rPr>
              <w:t>4.4: Defence supports ADF members and their families by providing access to support services and programs having regard to lifetime wellbeing.</w:t>
            </w:r>
          </w:p>
        </w:tc>
        <w:tc>
          <w:tcPr>
            <w:tcW w:w="3221" w:type="dxa"/>
            <w:tcBorders>
              <w:top w:val="single" w:sz="4" w:space="0" w:color="auto"/>
              <w:left w:val="single" w:sz="4" w:space="0" w:color="auto"/>
              <w:bottom w:val="single" w:sz="4" w:space="0" w:color="auto"/>
            </w:tcBorders>
          </w:tcPr>
          <w:p w14:paraId="741BD5FF" w14:textId="71035D88" w:rsidR="00A62839" w:rsidRPr="003E76E7" w:rsidRDefault="00A62839" w:rsidP="00C4292D">
            <w:pPr>
              <w:tabs>
                <w:tab w:val="left" w:pos="709"/>
              </w:tabs>
              <w:spacing w:before="60" w:after="60"/>
              <w:rPr>
                <w:rFonts w:ascii="Arial" w:hAnsi="Arial"/>
                <w:sz w:val="16"/>
                <w:szCs w:val="16"/>
                <w:lang w:val="en-AU"/>
              </w:rPr>
            </w:pPr>
            <w:r w:rsidRPr="003E76E7">
              <w:rPr>
                <w:rFonts w:ascii="Arial" w:hAnsi="Arial"/>
                <w:sz w:val="16"/>
                <w:szCs w:val="16"/>
                <w:lang w:val="en-AU"/>
              </w:rPr>
              <w:t>At least 75 per cent of eligible full-time ADF members and their families are registered with the ADF Family Health Program, 100 per cent of the support services of the Partner Assistance Employment Program, Education Assistance Scheme, and Special Accommodation for Emergencies Scheme are provided to full-time ADF and their families in accordance with identified service delivery timeframes, there is an increase in the percentage of Defence suicide prevention training participants who assess that the training is practical, tailored and informed by lived experience, and 100 per cent of Defence-led, Government-agreed recommendations from the Royal Commission into Defence and Veteran Suicide Final Report are complete, or on-track.</w:t>
            </w:r>
          </w:p>
        </w:tc>
      </w:tr>
      <w:tr w:rsidR="003C0ED5" w:rsidRPr="003E76E7" w14:paraId="4BF2824F" w14:textId="77777777" w:rsidTr="00A211F5">
        <w:trPr>
          <w:trHeight w:val="141"/>
        </w:trPr>
        <w:tc>
          <w:tcPr>
            <w:tcW w:w="1702" w:type="dxa"/>
            <w:tcBorders>
              <w:top w:val="single" w:sz="4" w:space="0" w:color="auto"/>
              <w:bottom w:val="dotted" w:sz="4" w:space="0" w:color="auto"/>
              <w:right w:val="single" w:sz="4" w:space="0" w:color="auto"/>
            </w:tcBorders>
            <w:vAlign w:val="center"/>
          </w:tcPr>
          <w:p w14:paraId="374B2EC1" w14:textId="02A67765" w:rsidR="003C0ED5" w:rsidRPr="003E76E7" w:rsidRDefault="003C0ED5" w:rsidP="00C4292D">
            <w:pPr>
              <w:tabs>
                <w:tab w:val="left" w:pos="709"/>
              </w:tabs>
              <w:spacing w:before="0" w:after="0"/>
              <w:rPr>
                <w:rFonts w:ascii="Arial" w:hAnsi="Arial"/>
                <w:color w:val="000000"/>
                <w:sz w:val="16"/>
                <w:szCs w:val="16"/>
              </w:rPr>
            </w:pPr>
            <w:r w:rsidRPr="003E76E7">
              <w:rPr>
                <w:rFonts w:ascii="Arial" w:hAnsi="Arial"/>
                <w:b/>
                <w:color w:val="000000"/>
                <w:sz w:val="16"/>
                <w:szCs w:val="16"/>
              </w:rPr>
              <w:t>Year</w:t>
            </w:r>
          </w:p>
        </w:tc>
        <w:tc>
          <w:tcPr>
            <w:tcW w:w="2919" w:type="dxa"/>
            <w:tcBorders>
              <w:top w:val="single" w:sz="4" w:space="0" w:color="auto"/>
              <w:left w:val="single" w:sz="4" w:space="0" w:color="auto"/>
              <w:bottom w:val="single" w:sz="4" w:space="0" w:color="auto"/>
              <w:right w:val="single" w:sz="4" w:space="0" w:color="auto"/>
            </w:tcBorders>
            <w:vAlign w:val="center"/>
          </w:tcPr>
          <w:p w14:paraId="5A4D75E2" w14:textId="2BBCA8C2" w:rsidR="003C0ED5" w:rsidRPr="003E76E7" w:rsidRDefault="00AD14EC" w:rsidP="00C4292D">
            <w:pPr>
              <w:tabs>
                <w:tab w:val="left" w:pos="709"/>
              </w:tabs>
              <w:spacing w:before="60" w:after="60"/>
              <w:rPr>
                <w:rFonts w:ascii="Arial" w:hAnsi="Arial"/>
                <w:color w:val="000000"/>
                <w:sz w:val="16"/>
                <w:szCs w:val="16"/>
              </w:rPr>
            </w:pPr>
            <w:r w:rsidRPr="003E76E7">
              <w:rPr>
                <w:rFonts w:ascii="Arial" w:hAnsi="Arial"/>
                <w:b/>
                <w:color w:val="000000"/>
                <w:sz w:val="16"/>
                <w:szCs w:val="16"/>
              </w:rPr>
              <w:t>Performance Measures</w:t>
            </w:r>
          </w:p>
        </w:tc>
        <w:tc>
          <w:tcPr>
            <w:tcW w:w="3221" w:type="dxa"/>
            <w:tcBorders>
              <w:top w:val="single" w:sz="4" w:space="0" w:color="auto"/>
              <w:left w:val="single" w:sz="4" w:space="0" w:color="auto"/>
              <w:bottom w:val="single" w:sz="4" w:space="0" w:color="auto"/>
            </w:tcBorders>
            <w:vAlign w:val="center"/>
          </w:tcPr>
          <w:p w14:paraId="68B03BC9" w14:textId="5ACA218D" w:rsidR="003C0ED5" w:rsidRPr="003E76E7" w:rsidRDefault="003C0ED5" w:rsidP="00C4292D">
            <w:pPr>
              <w:tabs>
                <w:tab w:val="left" w:pos="709"/>
              </w:tabs>
              <w:spacing w:before="60" w:after="60"/>
              <w:rPr>
                <w:rFonts w:ascii="Arial" w:hAnsi="Arial"/>
                <w:color w:val="000000"/>
                <w:sz w:val="16"/>
                <w:szCs w:val="16"/>
              </w:rPr>
            </w:pPr>
            <w:r w:rsidRPr="003E76E7">
              <w:rPr>
                <w:rFonts w:ascii="Arial" w:hAnsi="Arial"/>
                <w:b/>
                <w:color w:val="000000"/>
                <w:sz w:val="16"/>
                <w:szCs w:val="16"/>
              </w:rPr>
              <w:t>Planned Performance Results</w:t>
            </w:r>
          </w:p>
        </w:tc>
      </w:tr>
      <w:tr w:rsidR="00A62839" w:rsidRPr="003E76E7" w14:paraId="29835C8F" w14:textId="77777777" w:rsidTr="00A211F5">
        <w:trPr>
          <w:trHeight w:val="491"/>
        </w:trPr>
        <w:tc>
          <w:tcPr>
            <w:tcW w:w="1702" w:type="dxa"/>
            <w:tcBorders>
              <w:top w:val="single" w:sz="4" w:space="0" w:color="auto"/>
              <w:bottom w:val="dotted" w:sz="4" w:space="0" w:color="auto"/>
              <w:right w:val="single" w:sz="4" w:space="0" w:color="auto"/>
            </w:tcBorders>
            <w:vAlign w:val="center"/>
          </w:tcPr>
          <w:p w14:paraId="7DDB9130" w14:textId="77777777" w:rsidR="00A62839" w:rsidRPr="003E76E7" w:rsidRDefault="00A62839" w:rsidP="00C4292D">
            <w:pPr>
              <w:tabs>
                <w:tab w:val="left" w:pos="709"/>
              </w:tabs>
              <w:spacing w:before="0" w:after="0"/>
              <w:rPr>
                <w:rFonts w:ascii="Arial" w:hAnsi="Arial"/>
                <w:color w:val="000000"/>
                <w:sz w:val="16"/>
                <w:szCs w:val="16"/>
              </w:rPr>
            </w:pPr>
            <w:r w:rsidRPr="003E76E7">
              <w:rPr>
                <w:rFonts w:ascii="Arial" w:hAnsi="Arial"/>
                <w:color w:val="000000"/>
                <w:sz w:val="16"/>
                <w:szCs w:val="16"/>
              </w:rPr>
              <w:t>Forward Estimates</w:t>
            </w:r>
          </w:p>
          <w:p w14:paraId="5FF957FE" w14:textId="4D11F52F" w:rsidR="00A62839" w:rsidRPr="003E76E7" w:rsidRDefault="00A62839" w:rsidP="00C4292D">
            <w:pPr>
              <w:tabs>
                <w:tab w:val="left" w:pos="709"/>
              </w:tabs>
              <w:spacing w:before="0" w:after="0"/>
              <w:rPr>
                <w:rFonts w:ascii="Arial" w:hAnsi="Arial"/>
                <w:color w:val="000000"/>
                <w:sz w:val="16"/>
                <w:szCs w:val="16"/>
              </w:rPr>
            </w:pPr>
            <w:r w:rsidRPr="003E76E7">
              <w:rPr>
                <w:rFonts w:ascii="Arial" w:hAnsi="Arial"/>
                <w:color w:val="000000"/>
                <w:sz w:val="16"/>
                <w:szCs w:val="16"/>
              </w:rPr>
              <w:t>2027-30</w:t>
            </w:r>
          </w:p>
        </w:tc>
        <w:tc>
          <w:tcPr>
            <w:tcW w:w="2919" w:type="dxa"/>
            <w:tcBorders>
              <w:top w:val="single" w:sz="4" w:space="0" w:color="auto"/>
              <w:left w:val="single" w:sz="4" w:space="0" w:color="auto"/>
              <w:bottom w:val="single" w:sz="4" w:space="0" w:color="auto"/>
              <w:right w:val="single" w:sz="4" w:space="0" w:color="auto"/>
            </w:tcBorders>
            <w:vAlign w:val="center"/>
          </w:tcPr>
          <w:p w14:paraId="7BB19A77" w14:textId="29281D0C" w:rsidR="00A62839" w:rsidRPr="003E76E7" w:rsidRDefault="00A62839" w:rsidP="00C4292D">
            <w:pPr>
              <w:tabs>
                <w:tab w:val="left" w:pos="709"/>
              </w:tabs>
              <w:spacing w:before="60" w:after="60"/>
              <w:rPr>
                <w:rFonts w:ascii="Arial" w:hAnsi="Arial"/>
                <w:color w:val="000000"/>
                <w:sz w:val="16"/>
                <w:szCs w:val="16"/>
              </w:rPr>
            </w:pPr>
            <w:r w:rsidRPr="003E76E7">
              <w:rPr>
                <w:rFonts w:ascii="Arial" w:hAnsi="Arial"/>
                <w:color w:val="000000"/>
                <w:sz w:val="16"/>
                <w:szCs w:val="16"/>
              </w:rPr>
              <w:t>As per 2026-27.</w:t>
            </w:r>
          </w:p>
        </w:tc>
        <w:tc>
          <w:tcPr>
            <w:tcW w:w="3221" w:type="dxa"/>
            <w:tcBorders>
              <w:top w:val="single" w:sz="4" w:space="0" w:color="auto"/>
              <w:left w:val="single" w:sz="4" w:space="0" w:color="auto"/>
              <w:bottom w:val="single" w:sz="4" w:space="0" w:color="auto"/>
            </w:tcBorders>
            <w:vAlign w:val="center"/>
          </w:tcPr>
          <w:p w14:paraId="677FB659" w14:textId="02EF2BE8" w:rsidR="00A62839" w:rsidRPr="003E76E7" w:rsidRDefault="00A62839" w:rsidP="00C4292D">
            <w:pPr>
              <w:tabs>
                <w:tab w:val="left" w:pos="709"/>
              </w:tabs>
              <w:spacing w:before="60" w:after="60"/>
              <w:rPr>
                <w:rFonts w:ascii="Arial" w:hAnsi="Arial"/>
                <w:color w:val="000000"/>
                <w:sz w:val="16"/>
                <w:szCs w:val="16"/>
              </w:rPr>
            </w:pPr>
            <w:r w:rsidRPr="003E76E7">
              <w:rPr>
                <w:rFonts w:ascii="Arial" w:hAnsi="Arial"/>
                <w:color w:val="000000"/>
                <w:sz w:val="16"/>
                <w:szCs w:val="16"/>
              </w:rPr>
              <w:t>As per 2026-27.</w:t>
            </w:r>
          </w:p>
        </w:tc>
      </w:tr>
      <w:tr w:rsidR="00A62839" w:rsidRPr="003E76E7" w14:paraId="59E114C2" w14:textId="77777777" w:rsidTr="00A211F5">
        <w:tblPrEx>
          <w:shd w:val="clear" w:color="auto" w:fill="auto"/>
          <w:tblLook w:val="04A0" w:firstRow="1" w:lastRow="0" w:firstColumn="1" w:lastColumn="0" w:noHBand="0" w:noVBand="1"/>
        </w:tblPrEx>
        <w:trPr>
          <w:trHeight w:val="291"/>
        </w:trPr>
        <w:tc>
          <w:tcPr>
            <w:tcW w:w="7842" w:type="dxa"/>
            <w:gridSpan w:val="3"/>
          </w:tcPr>
          <w:p w14:paraId="30F8F523" w14:textId="5F7764BA" w:rsidR="00A62839" w:rsidRPr="003E76E7" w:rsidRDefault="00A62839" w:rsidP="00C4292D">
            <w:pPr>
              <w:tabs>
                <w:tab w:val="left" w:pos="709"/>
              </w:tabs>
              <w:spacing w:before="60" w:after="60"/>
              <w:rPr>
                <w:rFonts w:ascii="Arial" w:hAnsi="Arial"/>
                <w:bCs/>
                <w:iCs/>
                <w:color w:val="000000"/>
                <w:spacing w:val="-6"/>
                <w:sz w:val="16"/>
                <w:szCs w:val="16"/>
              </w:rPr>
            </w:pPr>
            <w:r w:rsidRPr="003E76E7">
              <w:rPr>
                <w:rFonts w:ascii="Arial" w:hAnsi="Arial"/>
                <w:color w:val="000000"/>
                <w:sz w:val="16"/>
                <w:szCs w:val="16"/>
              </w:rPr>
              <w:t>Material changes to Program 2.12 resulting from 2026-27 Budget Measures:</w:t>
            </w:r>
            <w:r w:rsidRPr="003E76E7">
              <w:rPr>
                <w:rStyle w:val="BodyTextChar"/>
                <w:rFonts w:ascii="Arial" w:hAnsi="Arial"/>
                <w:bCs/>
                <w:iCs/>
                <w:color w:val="000000"/>
                <w:spacing w:val="-6"/>
                <w:sz w:val="16"/>
                <w:szCs w:val="16"/>
              </w:rPr>
              <w:t xml:space="preserve"> Nil.</w:t>
            </w:r>
          </w:p>
        </w:tc>
      </w:tr>
    </w:tbl>
    <w:p w14:paraId="2AE63689" w14:textId="77777777" w:rsidR="00F7100A" w:rsidRPr="003E76E7" w:rsidRDefault="00F7100A" w:rsidP="00C4292D">
      <w:pPr>
        <w:pStyle w:val="TableHeading"/>
        <w:spacing w:before="0" w:after="0"/>
        <w:rPr>
          <w:sz w:val="14"/>
          <w:szCs w:val="16"/>
        </w:rPr>
      </w:pPr>
    </w:p>
    <w:p w14:paraId="5CC6FA5D" w14:textId="77777777" w:rsidR="00F7100A" w:rsidRPr="003E76E7" w:rsidRDefault="00F7100A" w:rsidP="00C4292D">
      <w:pPr>
        <w:pStyle w:val="TableHeading"/>
        <w:spacing w:before="0" w:after="0"/>
        <w:ind w:left="-284"/>
        <w:rPr>
          <w:sz w:val="14"/>
          <w:szCs w:val="14"/>
        </w:rPr>
      </w:pPr>
      <w:r w:rsidRPr="003E76E7">
        <w:rPr>
          <w:sz w:val="14"/>
          <w:szCs w:val="14"/>
        </w:rPr>
        <w:t>Note</w:t>
      </w:r>
      <w:r w:rsidR="00AF08A6" w:rsidRPr="003E76E7">
        <w:rPr>
          <w:sz w:val="14"/>
          <w:szCs w:val="14"/>
        </w:rPr>
        <w:t>s</w:t>
      </w:r>
    </w:p>
    <w:p w14:paraId="53DDA9C0" w14:textId="77777777" w:rsidR="00296940" w:rsidRPr="003E76E7" w:rsidRDefault="00296940" w:rsidP="00C4292D">
      <w:pPr>
        <w:pStyle w:val="ListParagraph"/>
        <w:numPr>
          <w:ilvl w:val="0"/>
          <w:numId w:val="40"/>
        </w:numPr>
        <w:spacing w:before="0" w:after="0"/>
        <w:ind w:left="0" w:hanging="284"/>
        <w:rPr>
          <w:rFonts w:ascii="Arial" w:hAnsi="Arial"/>
          <w:i/>
          <w:sz w:val="14"/>
          <w:szCs w:val="14"/>
          <w:lang w:val="en-AU"/>
        </w:rPr>
      </w:pPr>
      <w:r w:rsidRPr="003E76E7">
        <w:rPr>
          <w:rFonts w:ascii="Arial" w:hAnsi="Arial"/>
          <w:sz w:val="14"/>
          <w:szCs w:val="14"/>
          <w:lang w:val="en-AU"/>
        </w:rPr>
        <w:t xml:space="preserve">Key activity 1 and 4 have been amended for 2025-26, as published in the </w:t>
      </w:r>
      <w:r w:rsidRPr="003E76E7">
        <w:rPr>
          <w:rFonts w:ascii="Arial" w:hAnsi="Arial"/>
          <w:i/>
          <w:sz w:val="14"/>
          <w:szCs w:val="14"/>
          <w:lang w:val="en-AU"/>
        </w:rPr>
        <w:t>2025-29 Defence Corporate Plan.</w:t>
      </w:r>
    </w:p>
    <w:p w14:paraId="79C619CA" w14:textId="3A5E684D" w:rsidR="00296940" w:rsidRPr="003E76E7" w:rsidRDefault="00296940" w:rsidP="00C4292D">
      <w:pPr>
        <w:pStyle w:val="ListParagraph"/>
        <w:numPr>
          <w:ilvl w:val="0"/>
          <w:numId w:val="40"/>
        </w:numPr>
        <w:spacing w:before="0" w:after="0"/>
        <w:ind w:left="0" w:hanging="284"/>
        <w:rPr>
          <w:rFonts w:ascii="Arial" w:hAnsi="Arial"/>
          <w:i/>
          <w:sz w:val="14"/>
          <w:szCs w:val="14"/>
          <w:lang w:val="en-AU"/>
        </w:rPr>
      </w:pPr>
      <w:r w:rsidRPr="003E76E7">
        <w:rPr>
          <w:rFonts w:ascii="Arial" w:hAnsi="Arial"/>
          <w:sz w:val="14"/>
          <w:szCs w:val="14"/>
          <w:lang w:val="en-AU"/>
        </w:rPr>
        <w:t xml:space="preserve">Performance Measures 1.1, 1.2, and 4.3 have been amended and 1.3 is new for 2025-26, as published in </w:t>
      </w:r>
      <w:r w:rsidR="009D3404" w:rsidRPr="003E76E7">
        <w:rPr>
          <w:rFonts w:ascii="Arial" w:hAnsi="Arial"/>
          <w:i/>
          <w:sz w:val="14"/>
          <w:szCs w:val="14"/>
          <w:lang w:val="en-AU"/>
        </w:rPr>
        <w:t>2025-29 Defence</w:t>
      </w:r>
      <w:r w:rsidR="009D3404" w:rsidRPr="003E76E7">
        <w:rPr>
          <w:rFonts w:ascii="Arial" w:hAnsi="Arial"/>
          <w:i/>
          <w:sz w:val="14"/>
          <w:szCs w:val="14"/>
          <w:lang w:val="en-AU"/>
        </w:rPr>
        <w:br/>
      </w:r>
      <w:r w:rsidRPr="003E76E7">
        <w:rPr>
          <w:rFonts w:ascii="Arial" w:hAnsi="Arial"/>
          <w:i/>
          <w:sz w:val="14"/>
          <w:szCs w:val="14"/>
          <w:lang w:val="en-AU"/>
        </w:rPr>
        <w:t>Corporate Plan.</w:t>
      </w:r>
    </w:p>
    <w:p w14:paraId="31968CB1" w14:textId="76BEDE86" w:rsidR="00715BA3" w:rsidRPr="003E76E7" w:rsidRDefault="00296940" w:rsidP="00C4292D">
      <w:pPr>
        <w:pStyle w:val="TableHeading"/>
        <w:numPr>
          <w:ilvl w:val="0"/>
          <w:numId w:val="40"/>
        </w:numPr>
        <w:tabs>
          <w:tab w:val="left" w:pos="284"/>
        </w:tabs>
        <w:spacing w:before="0" w:after="0"/>
        <w:ind w:left="0" w:hanging="284"/>
        <w:rPr>
          <w:b w:val="0"/>
          <w:sz w:val="14"/>
          <w:szCs w:val="14"/>
          <w:lang w:val="en-AU"/>
        </w:rPr>
      </w:pPr>
      <w:r w:rsidRPr="003E76E7">
        <w:rPr>
          <w:b w:val="0"/>
          <w:sz w:val="14"/>
          <w:szCs w:val="14"/>
          <w:lang w:val="en-AU"/>
        </w:rPr>
        <w:t xml:space="preserve">In accordance with Defence’s Enterprise Performance Framework, Defence is undertaking materiality assessments that may result in updates to the 2026-27 performance information in the 2026-30 Defence Corporate Plan, if required. </w:t>
      </w:r>
    </w:p>
    <w:p w14:paraId="6CB654F1" w14:textId="35DF3477" w:rsidR="00296940" w:rsidRPr="003E76E7" w:rsidRDefault="00296940" w:rsidP="00C4292D">
      <w:pPr>
        <w:spacing w:before="0" w:after="0"/>
        <w:rPr>
          <w:b/>
          <w:sz w:val="14"/>
          <w:szCs w:val="14"/>
          <w:lang w:val="en-AU"/>
        </w:rPr>
      </w:pPr>
    </w:p>
    <w:p w14:paraId="34782B74" w14:textId="6BB4AE49" w:rsidR="003D5485" w:rsidRPr="003E76E7" w:rsidRDefault="003D5485" w:rsidP="00C4292D">
      <w:pPr>
        <w:pStyle w:val="TableHeading"/>
        <w:numPr>
          <w:ilvl w:val="0"/>
          <w:numId w:val="61"/>
        </w:numPr>
        <w:spacing w:before="100"/>
        <w:ind w:left="-284" w:firstLine="0"/>
        <w:outlineLvl w:val="4"/>
        <w:rPr>
          <w:sz w:val="19"/>
          <w:szCs w:val="19"/>
        </w:rPr>
      </w:pPr>
      <w:r w:rsidRPr="003E76E7">
        <w:rPr>
          <w:sz w:val="19"/>
          <w:szCs w:val="19"/>
          <w:lang w:val="en-AU"/>
        </w:rPr>
        <w:t xml:space="preserve">Cost Summary for Program 2.12 </w:t>
      </w:r>
      <w:r w:rsidR="005F39C7" w:rsidRPr="003E76E7">
        <w:rPr>
          <w:sz w:val="19"/>
          <w:szCs w:val="19"/>
          <w:lang w:val="en-AU"/>
        </w:rPr>
        <w:t>Defence People</w:t>
      </w:r>
      <w:r w:rsidR="00397C1C" w:rsidRPr="003E76E7">
        <w:rPr>
          <w:sz w:val="19"/>
          <w:szCs w:val="19"/>
          <w:lang w:val="en-AU"/>
        </w:rPr>
        <w:t xml:space="preserve"> (including Chief of Personnel)</w:t>
      </w:r>
      <w:r w:rsidR="00037742" w:rsidRPr="003E76E7">
        <w:rPr>
          <w:sz w:val="19"/>
          <w:szCs w:val="19"/>
          <w:vertAlign w:val="superscript"/>
          <w:lang w:val="en-AU"/>
        </w:rPr>
        <w:t xml:space="preserve"> [a]</w:t>
      </w:r>
    </w:p>
    <w:p w14:paraId="0127DD3B" w14:textId="3B642FFA" w:rsidR="003D5485" w:rsidRPr="003E76E7" w:rsidRDefault="00F478CA" w:rsidP="00C4292D">
      <w:pPr>
        <w:spacing w:after="0"/>
        <w:ind w:left="-284"/>
      </w:pPr>
      <w:r w:rsidRPr="00F478CA">
        <w:rPr>
          <w:noProof/>
          <w:lang w:val="en-AU"/>
        </w:rPr>
        <w:drawing>
          <wp:inline distT="0" distB="0" distL="0" distR="0" wp14:anchorId="7EF882C7" wp14:editId="69F61162">
            <wp:extent cx="5436235" cy="2816821"/>
            <wp:effectExtent l="0" t="0" r="0" b="3175"/>
            <wp:docPr id="24575488" name="Picture 24575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36235" cy="2816821"/>
                    </a:xfrm>
                    <a:prstGeom prst="rect">
                      <a:avLst/>
                    </a:prstGeom>
                    <a:noFill/>
                    <a:ln>
                      <a:noFill/>
                    </a:ln>
                  </pic:spPr>
                </pic:pic>
              </a:graphicData>
            </a:graphic>
          </wp:inline>
        </w:drawing>
      </w:r>
    </w:p>
    <w:p w14:paraId="261DFC47" w14:textId="77777777" w:rsidR="009D3404" w:rsidRPr="003E76E7" w:rsidRDefault="009D3404" w:rsidP="00C4292D">
      <w:pPr>
        <w:spacing w:before="0" w:after="0"/>
        <w:ind w:left="-284"/>
        <w:rPr>
          <w:rFonts w:ascii="Arial" w:hAnsi="Arial"/>
          <w:b/>
          <w:sz w:val="14"/>
          <w:szCs w:val="14"/>
          <w:lang w:val="en-AU"/>
        </w:rPr>
      </w:pPr>
    </w:p>
    <w:p w14:paraId="5F5033AB" w14:textId="46D64B92" w:rsidR="00DD7C36" w:rsidRPr="003E76E7" w:rsidRDefault="00DD7C36" w:rsidP="00C4292D">
      <w:pPr>
        <w:spacing w:before="0" w:after="0"/>
        <w:ind w:left="-284"/>
        <w:rPr>
          <w:rFonts w:ascii="Arial" w:hAnsi="Arial"/>
          <w:b/>
          <w:sz w:val="14"/>
          <w:szCs w:val="14"/>
          <w:lang w:val="en-AU"/>
        </w:rPr>
      </w:pPr>
      <w:r w:rsidRPr="003E76E7">
        <w:rPr>
          <w:rFonts w:ascii="Arial" w:hAnsi="Arial"/>
          <w:b/>
          <w:sz w:val="14"/>
          <w:szCs w:val="14"/>
          <w:lang w:val="en-AU"/>
        </w:rPr>
        <w:t>Notes</w:t>
      </w:r>
    </w:p>
    <w:p w14:paraId="3C164F3A" w14:textId="39FFEE9F" w:rsidR="00B74CF7" w:rsidRPr="003E76E7" w:rsidRDefault="00B74CF7" w:rsidP="00C4292D">
      <w:pPr>
        <w:pStyle w:val="ListParagraph"/>
        <w:numPr>
          <w:ilvl w:val="0"/>
          <w:numId w:val="118"/>
        </w:numPr>
        <w:spacing w:before="0" w:after="0"/>
        <w:ind w:left="0" w:hanging="284"/>
        <w:rPr>
          <w:rFonts w:ascii="Arial" w:hAnsi="Arial"/>
          <w:sz w:val="14"/>
          <w:szCs w:val="14"/>
          <w:lang w:val="en-AU"/>
        </w:rPr>
      </w:pPr>
      <w:r w:rsidRPr="003E76E7">
        <w:rPr>
          <w:rFonts w:ascii="Arial" w:hAnsi="Arial"/>
          <w:sz w:val="14"/>
          <w:szCs w:val="14"/>
          <w:lang w:val="en-AU"/>
        </w:rPr>
        <w:t>The Defence People Group includes the funded expenditure for the Military Personnel Group and the People Strategy Group.</w:t>
      </w:r>
      <w:r w:rsidRPr="003E76E7">
        <w:rPr>
          <w:rFonts w:ascii="Arial" w:hAnsi="Arial"/>
          <w:sz w:val="14"/>
          <w:szCs w:val="14"/>
          <w:lang w:val="en-AU"/>
        </w:rPr>
        <w:tab/>
      </w:r>
      <w:r w:rsidRPr="003E76E7">
        <w:rPr>
          <w:rFonts w:ascii="Arial" w:hAnsi="Arial"/>
          <w:sz w:val="14"/>
          <w:szCs w:val="14"/>
          <w:lang w:val="en-AU"/>
        </w:rPr>
        <w:tab/>
      </w:r>
      <w:r w:rsidRPr="003E76E7">
        <w:rPr>
          <w:rFonts w:ascii="Arial" w:hAnsi="Arial"/>
          <w:sz w:val="14"/>
          <w:szCs w:val="14"/>
          <w:lang w:val="en-AU"/>
        </w:rPr>
        <w:tab/>
      </w:r>
      <w:r w:rsidRPr="003E76E7">
        <w:rPr>
          <w:rFonts w:ascii="Arial" w:hAnsi="Arial"/>
          <w:sz w:val="14"/>
          <w:szCs w:val="14"/>
          <w:lang w:val="en-AU"/>
        </w:rPr>
        <w:tab/>
      </w:r>
      <w:r w:rsidRPr="003E76E7">
        <w:rPr>
          <w:rFonts w:ascii="Arial" w:hAnsi="Arial"/>
          <w:sz w:val="14"/>
          <w:szCs w:val="14"/>
          <w:lang w:val="en-AU"/>
        </w:rPr>
        <w:tab/>
      </w:r>
    </w:p>
    <w:p w14:paraId="3EEA46D4" w14:textId="41BB3ED4" w:rsidR="00B74CF7" w:rsidRPr="003E76E7" w:rsidRDefault="00B74CF7" w:rsidP="00C4292D">
      <w:pPr>
        <w:pStyle w:val="ListParagraph"/>
        <w:numPr>
          <w:ilvl w:val="0"/>
          <w:numId w:val="118"/>
        </w:numPr>
        <w:spacing w:before="0" w:after="0"/>
        <w:ind w:left="0" w:hanging="284"/>
        <w:rPr>
          <w:rFonts w:ascii="Arial" w:hAnsi="Arial"/>
          <w:sz w:val="14"/>
          <w:szCs w:val="14"/>
          <w:lang w:val="en-AU"/>
        </w:rPr>
      </w:pPr>
      <w:r w:rsidRPr="003E76E7">
        <w:rPr>
          <w:rFonts w:ascii="Arial" w:hAnsi="Arial"/>
          <w:sz w:val="14"/>
          <w:szCs w:val="14"/>
          <w:lang w:val="en-AU"/>
        </w:rPr>
        <w:t>Purchase of inventory and inventory consumption are predominately budgeted in military programs (2.5 Navy Capabilities,</w:t>
      </w:r>
      <w:r w:rsidR="00C96447">
        <w:rPr>
          <w:rFonts w:ascii="Arial" w:hAnsi="Arial"/>
          <w:sz w:val="14"/>
          <w:szCs w:val="14"/>
          <w:lang w:val="en-AU"/>
        </w:rPr>
        <w:t xml:space="preserve"> </w:t>
      </w:r>
      <w:r w:rsidR="00A7008C" w:rsidRPr="003E76E7">
        <w:rPr>
          <w:rFonts w:ascii="Arial" w:hAnsi="Arial"/>
          <w:sz w:val="14"/>
          <w:szCs w:val="14"/>
          <w:lang w:val="en-AU"/>
        </w:rPr>
        <w:br/>
      </w:r>
      <w:r w:rsidRPr="003E76E7">
        <w:rPr>
          <w:rFonts w:ascii="Arial" w:hAnsi="Arial"/>
          <w:sz w:val="14"/>
          <w:szCs w:val="14"/>
          <w:lang w:val="en-AU"/>
        </w:rPr>
        <w:t xml:space="preserve">2.6 Army Capabilities and 2.7 Air Force Capabilities), however, actual purchase and consumption of inventory may occur under </w:t>
      </w:r>
      <w:r w:rsidR="00A7008C" w:rsidRPr="003E76E7">
        <w:rPr>
          <w:rFonts w:ascii="Arial" w:hAnsi="Arial"/>
          <w:sz w:val="14"/>
          <w:szCs w:val="14"/>
          <w:lang w:val="en-AU"/>
        </w:rPr>
        <w:br/>
      </w:r>
      <w:r w:rsidRPr="003E76E7">
        <w:rPr>
          <w:rFonts w:ascii="Arial" w:hAnsi="Arial"/>
          <w:sz w:val="14"/>
          <w:szCs w:val="14"/>
          <w:lang w:val="en-AU"/>
        </w:rPr>
        <w:t>different programs.</w:t>
      </w:r>
      <w:r w:rsidRPr="003E76E7">
        <w:rPr>
          <w:rFonts w:ascii="Arial" w:hAnsi="Arial"/>
          <w:sz w:val="14"/>
          <w:szCs w:val="14"/>
          <w:lang w:val="en-AU"/>
        </w:rPr>
        <w:tab/>
      </w:r>
      <w:r w:rsidRPr="003E76E7">
        <w:rPr>
          <w:rFonts w:ascii="Arial" w:hAnsi="Arial"/>
          <w:sz w:val="14"/>
          <w:szCs w:val="14"/>
          <w:lang w:val="en-AU"/>
        </w:rPr>
        <w:tab/>
      </w:r>
      <w:r w:rsidRPr="003E76E7">
        <w:rPr>
          <w:rFonts w:ascii="Arial" w:hAnsi="Arial"/>
          <w:sz w:val="14"/>
          <w:szCs w:val="14"/>
          <w:lang w:val="en-AU"/>
        </w:rPr>
        <w:tab/>
      </w:r>
      <w:r w:rsidRPr="003E76E7">
        <w:rPr>
          <w:rFonts w:ascii="Arial" w:hAnsi="Arial"/>
          <w:sz w:val="14"/>
          <w:szCs w:val="14"/>
          <w:lang w:val="en-AU"/>
        </w:rPr>
        <w:tab/>
      </w:r>
      <w:r w:rsidRPr="003E76E7">
        <w:rPr>
          <w:rFonts w:ascii="Arial" w:hAnsi="Arial"/>
          <w:sz w:val="14"/>
          <w:szCs w:val="14"/>
          <w:lang w:val="en-AU"/>
        </w:rPr>
        <w:tab/>
      </w:r>
    </w:p>
    <w:p w14:paraId="3CABF5ED" w14:textId="54319ECA" w:rsidR="00B74CF7" w:rsidRPr="003E76E7" w:rsidRDefault="00A37A36" w:rsidP="00C4292D">
      <w:pPr>
        <w:pStyle w:val="ListParagraph"/>
        <w:numPr>
          <w:ilvl w:val="0"/>
          <w:numId w:val="118"/>
        </w:numPr>
        <w:spacing w:before="0" w:after="0"/>
        <w:ind w:left="0" w:hanging="284"/>
        <w:rPr>
          <w:rFonts w:ascii="Arial" w:hAnsi="Arial"/>
          <w:sz w:val="14"/>
          <w:szCs w:val="14"/>
          <w:lang w:val="en-AU"/>
        </w:rPr>
      </w:pPr>
      <w:r w:rsidRPr="003E76E7">
        <w:rPr>
          <w:rFonts w:ascii="Arial" w:hAnsi="Arial"/>
          <w:sz w:val="14"/>
          <w:szCs w:val="14"/>
          <w:lang w:val="en-AU"/>
        </w:rPr>
        <w:t>Total program funded</w:t>
      </w:r>
      <w:r w:rsidR="00B74CF7" w:rsidRPr="003E76E7">
        <w:rPr>
          <w:rFonts w:ascii="Arial" w:hAnsi="Arial"/>
          <w:sz w:val="14"/>
          <w:szCs w:val="14"/>
          <w:lang w:val="en-AU"/>
        </w:rPr>
        <w:t xml:space="preserve"> expenditure includes operating expenses and capital expenditure funded by appropriation and </w:t>
      </w:r>
      <w:r w:rsidR="00B74CF7" w:rsidRPr="003E76E7">
        <w:rPr>
          <w:rFonts w:ascii="Arial" w:hAnsi="Arial"/>
          <w:sz w:val="14"/>
          <w:szCs w:val="14"/>
          <w:lang w:val="en-AU"/>
        </w:rPr>
        <w:br/>
        <w:t>own source revenue. This excludes expenses not requiring appropriation.</w:t>
      </w:r>
      <w:r w:rsidR="00B74CF7" w:rsidRPr="003E76E7">
        <w:rPr>
          <w:rFonts w:ascii="Arial" w:hAnsi="Arial"/>
          <w:sz w:val="14"/>
          <w:szCs w:val="14"/>
          <w:lang w:val="en-AU"/>
        </w:rPr>
        <w:tab/>
      </w:r>
      <w:r w:rsidR="00B74CF7" w:rsidRPr="003E76E7">
        <w:rPr>
          <w:rFonts w:ascii="Arial" w:hAnsi="Arial"/>
          <w:sz w:val="14"/>
          <w:szCs w:val="14"/>
          <w:lang w:val="en-AU"/>
        </w:rPr>
        <w:tab/>
      </w:r>
      <w:r w:rsidR="00B74CF7" w:rsidRPr="003E76E7">
        <w:rPr>
          <w:rFonts w:ascii="Arial" w:hAnsi="Arial"/>
          <w:sz w:val="14"/>
          <w:szCs w:val="14"/>
          <w:lang w:val="en-AU"/>
        </w:rPr>
        <w:tab/>
      </w:r>
      <w:r w:rsidR="00B74CF7" w:rsidRPr="003E76E7">
        <w:rPr>
          <w:rFonts w:ascii="Arial" w:hAnsi="Arial"/>
          <w:sz w:val="14"/>
          <w:szCs w:val="14"/>
          <w:lang w:val="en-AU"/>
        </w:rPr>
        <w:tab/>
      </w:r>
      <w:r w:rsidR="00B74CF7" w:rsidRPr="003E76E7">
        <w:rPr>
          <w:rFonts w:ascii="Arial" w:hAnsi="Arial"/>
          <w:sz w:val="14"/>
          <w:szCs w:val="14"/>
          <w:lang w:val="en-AU"/>
        </w:rPr>
        <w:tab/>
      </w:r>
    </w:p>
    <w:p w14:paraId="22DB0C34" w14:textId="4EE7DDDE" w:rsidR="00DD7C36" w:rsidRPr="003E76E7" w:rsidRDefault="00B74CF7" w:rsidP="00C4292D">
      <w:pPr>
        <w:pStyle w:val="ListParagraph"/>
        <w:numPr>
          <w:ilvl w:val="0"/>
          <w:numId w:val="118"/>
        </w:numPr>
        <w:spacing w:before="0" w:after="0"/>
        <w:ind w:left="0" w:hanging="284"/>
        <w:rPr>
          <w:rFonts w:ascii="Arial" w:hAnsi="Arial"/>
          <w:sz w:val="14"/>
          <w:szCs w:val="14"/>
          <w:lang w:val="en-AU"/>
        </w:rPr>
      </w:pPr>
      <w:r w:rsidRPr="003E76E7">
        <w:rPr>
          <w:rFonts w:ascii="Arial" w:hAnsi="Arial"/>
          <w:sz w:val="14"/>
          <w:szCs w:val="14"/>
          <w:lang w:val="en-AU"/>
        </w:rPr>
        <w:t>The change in estimates includes movement of functions and their associated budgets within Defence.</w:t>
      </w:r>
      <w:r w:rsidRPr="003E76E7">
        <w:rPr>
          <w:rFonts w:ascii="Arial" w:hAnsi="Arial"/>
          <w:sz w:val="14"/>
          <w:szCs w:val="14"/>
          <w:lang w:val="en-AU"/>
        </w:rPr>
        <w:tab/>
      </w:r>
      <w:r w:rsidRPr="003E76E7">
        <w:rPr>
          <w:rFonts w:ascii="Arial" w:hAnsi="Arial"/>
          <w:sz w:val="14"/>
          <w:szCs w:val="14"/>
          <w:lang w:val="en-AU"/>
        </w:rPr>
        <w:tab/>
      </w:r>
      <w:r w:rsidRPr="003E76E7">
        <w:rPr>
          <w:rFonts w:ascii="Arial" w:hAnsi="Arial"/>
          <w:sz w:val="14"/>
          <w:szCs w:val="14"/>
          <w:lang w:val="en-AU"/>
        </w:rPr>
        <w:tab/>
      </w:r>
      <w:r w:rsidRPr="003E76E7">
        <w:rPr>
          <w:rFonts w:ascii="Arial" w:hAnsi="Arial"/>
          <w:sz w:val="14"/>
          <w:szCs w:val="14"/>
          <w:lang w:val="en-AU"/>
        </w:rPr>
        <w:tab/>
      </w:r>
      <w:r w:rsidRPr="003E76E7">
        <w:rPr>
          <w:rFonts w:ascii="Arial" w:hAnsi="Arial"/>
          <w:sz w:val="14"/>
          <w:szCs w:val="14"/>
          <w:lang w:val="en-AU"/>
        </w:rPr>
        <w:tab/>
      </w:r>
    </w:p>
    <w:p w14:paraId="486FDBA4" w14:textId="77777777" w:rsidR="00650FED" w:rsidRPr="003E76E7" w:rsidRDefault="006323C6" w:rsidP="00C4292D">
      <w:pPr>
        <w:spacing w:before="0" w:after="0"/>
        <w:outlineLvl w:val="5"/>
        <w:rPr>
          <w:color w:val="FFFFFF"/>
          <w:sz w:val="2"/>
          <w:szCs w:val="2"/>
        </w:rPr>
      </w:pPr>
      <w:r w:rsidRPr="003E76E7">
        <w:rPr>
          <w:lang w:val="en-AU"/>
        </w:rPr>
        <w:br w:type="page"/>
      </w:r>
      <w:r w:rsidR="00650FED" w:rsidRPr="003E76E7">
        <w:rPr>
          <w:color w:val="FFFFFF"/>
          <w:sz w:val="2"/>
          <w:szCs w:val="2"/>
        </w:rPr>
        <w:lastRenderedPageBreak/>
        <w:t>Program 2.13: Defence Science and Technology</w:t>
      </w:r>
    </w:p>
    <w:tbl>
      <w:tblPr>
        <w:tblW w:w="4852"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1822"/>
        <w:gridCol w:w="3145"/>
        <w:gridCol w:w="3306"/>
        <w:gridCol w:w="25"/>
      </w:tblGrid>
      <w:tr w:rsidR="00F7100A" w:rsidRPr="003E76E7" w14:paraId="5EAD6ED1" w14:textId="77777777" w:rsidTr="00E50DFB">
        <w:trPr>
          <w:gridAfter w:val="1"/>
          <w:wAfter w:w="25" w:type="dxa"/>
        </w:trPr>
        <w:tc>
          <w:tcPr>
            <w:tcW w:w="8273" w:type="dxa"/>
            <w:gridSpan w:val="3"/>
            <w:tcBorders>
              <w:bottom w:val="single" w:sz="4" w:space="0" w:color="auto"/>
            </w:tcBorders>
            <w:shd w:val="clear" w:color="auto" w:fill="CCCCCC"/>
          </w:tcPr>
          <w:p w14:paraId="0649F7A0" w14:textId="77777777" w:rsidR="00F7100A" w:rsidRPr="003E76E7" w:rsidRDefault="00F7100A" w:rsidP="00C4292D">
            <w:pPr>
              <w:pStyle w:val="Heading5"/>
              <w:spacing w:before="60" w:after="60"/>
            </w:pPr>
            <w:bookmarkStart w:id="1099" w:name="OLE_LINK1"/>
            <w:r w:rsidRPr="003E76E7">
              <w:t>Program 2.13: Defence Science and Technology</w:t>
            </w:r>
          </w:p>
        </w:tc>
      </w:tr>
      <w:tr w:rsidR="00F7100A" w:rsidRPr="003E76E7" w14:paraId="7FEFB4B6" w14:textId="77777777" w:rsidTr="00E50DFB">
        <w:trPr>
          <w:gridAfter w:val="1"/>
          <w:wAfter w:w="25" w:type="dxa"/>
          <w:trHeight w:val="170"/>
        </w:trPr>
        <w:tc>
          <w:tcPr>
            <w:tcW w:w="8273" w:type="dxa"/>
            <w:gridSpan w:val="3"/>
            <w:tcBorders>
              <w:left w:val="nil"/>
              <w:bottom w:val="single" w:sz="4" w:space="0" w:color="auto"/>
              <w:right w:val="nil"/>
            </w:tcBorders>
            <w:shd w:val="clear" w:color="auto" w:fill="auto"/>
          </w:tcPr>
          <w:p w14:paraId="3E8142E2" w14:textId="77777777" w:rsidR="00F7100A" w:rsidRPr="003E76E7" w:rsidRDefault="00F7100A" w:rsidP="00C4292D">
            <w:pPr>
              <w:pStyle w:val="Heading5"/>
              <w:spacing w:before="0" w:after="0"/>
              <w:rPr>
                <w:sz w:val="16"/>
                <w:szCs w:val="16"/>
              </w:rPr>
            </w:pPr>
          </w:p>
        </w:tc>
      </w:tr>
      <w:tr w:rsidR="00F7100A" w:rsidRPr="003E76E7" w14:paraId="088D74AF" w14:textId="77777777" w:rsidTr="00E50DFB">
        <w:tblPrEx>
          <w:shd w:val="clear" w:color="auto" w:fill="auto"/>
          <w:tblLook w:val="04A0" w:firstRow="1" w:lastRow="0" w:firstColumn="1" w:lastColumn="0" w:noHBand="0" w:noVBand="1"/>
        </w:tblPrEx>
        <w:trPr>
          <w:tblHeader/>
        </w:trPr>
        <w:tc>
          <w:tcPr>
            <w:tcW w:w="8298" w:type="dxa"/>
            <w:gridSpan w:val="4"/>
            <w:shd w:val="clear" w:color="auto" w:fill="E6E6E6"/>
          </w:tcPr>
          <w:p w14:paraId="29F49770" w14:textId="77777777" w:rsidR="00F7100A" w:rsidRPr="003E76E7" w:rsidRDefault="00F7100A" w:rsidP="00C4292D">
            <w:pPr>
              <w:tabs>
                <w:tab w:val="left" w:pos="709"/>
              </w:tabs>
              <w:spacing w:before="60" w:after="60"/>
              <w:rPr>
                <w:rFonts w:ascii="Arial" w:hAnsi="Arial"/>
                <w:sz w:val="16"/>
                <w:szCs w:val="16"/>
              </w:rPr>
            </w:pPr>
            <w:r w:rsidRPr="003E76E7">
              <w:rPr>
                <w:rFonts w:ascii="Arial" w:hAnsi="Arial"/>
                <w:b/>
                <w:sz w:val="16"/>
                <w:szCs w:val="16"/>
              </w:rPr>
              <w:t>Program 2.13</w:t>
            </w:r>
            <w:r w:rsidRPr="003E76E7">
              <w:rPr>
                <w:rFonts w:ascii="Arial" w:hAnsi="Arial"/>
                <w:sz w:val="16"/>
                <w:szCs w:val="16"/>
              </w:rPr>
              <w:t xml:space="preserve"> </w:t>
            </w:r>
            <w:r w:rsidRPr="003E76E7">
              <w:rPr>
                <w:rFonts w:ascii="Arial" w:hAnsi="Arial"/>
                <w:b/>
                <w:sz w:val="16"/>
                <w:szCs w:val="16"/>
              </w:rPr>
              <w:t>Objective</w:t>
            </w:r>
          </w:p>
          <w:p w14:paraId="27627E21" w14:textId="77777777" w:rsidR="00F7100A" w:rsidRPr="003E76E7" w:rsidRDefault="00F7100A" w:rsidP="00C4292D">
            <w:pPr>
              <w:tabs>
                <w:tab w:val="left" w:pos="709"/>
              </w:tabs>
              <w:spacing w:before="0" w:after="60"/>
              <w:jc w:val="both"/>
              <w:rPr>
                <w:rFonts w:ascii="Arial" w:hAnsi="Arial"/>
                <w:sz w:val="16"/>
                <w:szCs w:val="16"/>
              </w:rPr>
            </w:pPr>
            <w:r w:rsidRPr="003E76E7">
              <w:rPr>
                <w:rFonts w:ascii="Arial" w:hAnsi="Arial"/>
                <w:sz w:val="16"/>
                <w:szCs w:val="16"/>
              </w:rPr>
              <w:t>To develop innovative technologies that can be delivered by industry and transitioned into Defence capability, and to shape innovation, science and technology within Defence and across the nation.</w:t>
            </w:r>
          </w:p>
        </w:tc>
      </w:tr>
      <w:tr w:rsidR="00321534" w:rsidRPr="003E76E7" w14:paraId="2304F3C2" w14:textId="77777777" w:rsidTr="00E50DFB">
        <w:tblPrEx>
          <w:shd w:val="clear" w:color="auto" w:fill="auto"/>
          <w:tblLook w:val="04A0" w:firstRow="1" w:lastRow="0" w:firstColumn="1" w:lastColumn="0" w:noHBand="0" w:noVBand="1"/>
        </w:tblPrEx>
        <w:trPr>
          <w:trHeight w:val="312"/>
        </w:trPr>
        <w:tc>
          <w:tcPr>
            <w:tcW w:w="1822" w:type="dxa"/>
            <w:tcBorders>
              <w:bottom w:val="single" w:sz="4" w:space="0" w:color="auto"/>
            </w:tcBorders>
          </w:tcPr>
          <w:p w14:paraId="35C215FF" w14:textId="355DFF59" w:rsidR="00321534" w:rsidRPr="003E76E7" w:rsidRDefault="00321534" w:rsidP="00C4292D">
            <w:pPr>
              <w:tabs>
                <w:tab w:val="left" w:pos="709"/>
              </w:tabs>
              <w:spacing w:before="60" w:after="60"/>
              <w:rPr>
                <w:rFonts w:ascii="Arial" w:hAnsi="Arial"/>
                <w:b/>
                <w:color w:val="000000"/>
                <w:sz w:val="16"/>
                <w:szCs w:val="16"/>
              </w:rPr>
            </w:pPr>
            <w:r w:rsidRPr="003E76E7">
              <w:rPr>
                <w:rFonts w:ascii="Arial" w:hAnsi="Arial"/>
                <w:b/>
                <w:color w:val="000000"/>
                <w:sz w:val="16"/>
                <w:szCs w:val="16"/>
              </w:rPr>
              <w:t>Key Activities</w:t>
            </w:r>
            <w:r w:rsidR="003C0ED5" w:rsidRPr="003E76E7">
              <w:rPr>
                <w:rFonts w:ascii="Arial" w:hAnsi="Arial"/>
                <w:b/>
                <w:color w:val="000000"/>
                <w:sz w:val="16"/>
                <w:szCs w:val="16"/>
              </w:rPr>
              <w:t xml:space="preserve"> </w:t>
            </w:r>
            <w:r w:rsidR="003C0ED5" w:rsidRPr="003E76E7">
              <w:rPr>
                <w:rFonts w:ascii="Arial" w:hAnsi="Arial"/>
                <w:b/>
                <w:color w:val="000000"/>
                <w:sz w:val="16"/>
                <w:szCs w:val="16"/>
                <w:vertAlign w:val="superscript"/>
              </w:rPr>
              <w:t>[a]</w:t>
            </w:r>
          </w:p>
        </w:tc>
        <w:tc>
          <w:tcPr>
            <w:tcW w:w="6476" w:type="dxa"/>
            <w:gridSpan w:val="3"/>
            <w:tcBorders>
              <w:bottom w:val="single" w:sz="4" w:space="0" w:color="auto"/>
            </w:tcBorders>
          </w:tcPr>
          <w:p w14:paraId="71D2A8DB" w14:textId="77777777" w:rsidR="00321534" w:rsidRPr="003E76E7" w:rsidRDefault="00321534" w:rsidP="00C4292D">
            <w:pPr>
              <w:tabs>
                <w:tab w:val="left" w:pos="709"/>
              </w:tabs>
              <w:spacing w:before="60" w:after="60"/>
              <w:rPr>
                <w:rFonts w:ascii="Arial" w:hAnsi="Arial"/>
                <w:bCs/>
                <w:color w:val="000000"/>
                <w:sz w:val="16"/>
                <w:szCs w:val="16"/>
                <w:lang w:val="en-AU"/>
              </w:rPr>
            </w:pPr>
            <w:r w:rsidRPr="003E76E7">
              <w:rPr>
                <w:rFonts w:ascii="Arial" w:hAnsi="Arial"/>
                <w:bCs/>
                <w:color w:val="000000"/>
                <w:sz w:val="16"/>
                <w:szCs w:val="16"/>
                <w:lang w:val="en-AU"/>
              </w:rPr>
              <w:t>This program is achieved through the following activities:</w:t>
            </w:r>
          </w:p>
          <w:p w14:paraId="49C7B638" w14:textId="77777777" w:rsidR="00296940" w:rsidRPr="003E76E7" w:rsidRDefault="00296940" w:rsidP="00C4292D">
            <w:pPr>
              <w:tabs>
                <w:tab w:val="left" w:pos="343"/>
              </w:tabs>
              <w:spacing w:before="60" w:after="60"/>
              <w:rPr>
                <w:rFonts w:ascii="Arial" w:hAnsi="Arial"/>
                <w:b/>
                <w:sz w:val="16"/>
                <w:szCs w:val="16"/>
                <w:lang w:val="en-AU"/>
              </w:rPr>
            </w:pPr>
            <w:r w:rsidRPr="003E76E7">
              <w:rPr>
                <w:rFonts w:ascii="Arial" w:hAnsi="Arial"/>
                <w:b/>
                <w:sz w:val="16"/>
                <w:szCs w:val="16"/>
                <w:lang w:val="en-AU"/>
              </w:rPr>
              <w:t>6. Deliver future capability</w:t>
            </w:r>
            <w:r w:rsidRPr="003E76E7">
              <w:rPr>
                <w:rFonts w:ascii="Arial" w:hAnsi="Arial"/>
                <w:sz w:val="16"/>
                <w:szCs w:val="16"/>
                <w:lang w:val="en-AU"/>
              </w:rPr>
              <w:t xml:space="preserve">. </w:t>
            </w:r>
          </w:p>
          <w:p w14:paraId="2E3ADB89" w14:textId="7A15EFEC" w:rsidR="00321534" w:rsidRPr="003E76E7" w:rsidRDefault="00296940" w:rsidP="00C4292D">
            <w:pPr>
              <w:tabs>
                <w:tab w:val="left" w:pos="343"/>
              </w:tabs>
              <w:spacing w:before="60" w:after="60"/>
              <w:rPr>
                <w:rFonts w:ascii="Arial" w:hAnsi="Arial"/>
                <w:i/>
                <w:color w:val="000000"/>
                <w:sz w:val="16"/>
                <w:szCs w:val="16"/>
              </w:rPr>
            </w:pPr>
            <w:r w:rsidRPr="003E76E7">
              <w:rPr>
                <w:rFonts w:ascii="Arial" w:hAnsi="Arial"/>
                <w:b/>
                <w:sz w:val="16"/>
                <w:szCs w:val="16"/>
                <w:lang w:val="en-AU"/>
              </w:rPr>
              <w:t>7. Defence advances Australia’s interests through a strengthened sovereign defence industrial base.</w:t>
            </w:r>
          </w:p>
        </w:tc>
      </w:tr>
      <w:tr w:rsidR="00321534" w:rsidRPr="003E76E7" w14:paraId="4C0ED78E" w14:textId="77777777" w:rsidTr="00E50DFB">
        <w:tblPrEx>
          <w:shd w:val="clear" w:color="auto" w:fill="auto"/>
          <w:tblLook w:val="04A0" w:firstRow="1" w:lastRow="0" w:firstColumn="1" w:lastColumn="0" w:noHBand="0" w:noVBand="1"/>
        </w:tblPrEx>
        <w:trPr>
          <w:trHeight w:val="100"/>
        </w:trPr>
        <w:tc>
          <w:tcPr>
            <w:tcW w:w="1822" w:type="dxa"/>
            <w:tcBorders>
              <w:top w:val="single" w:sz="4" w:space="0" w:color="auto"/>
              <w:bottom w:val="single" w:sz="4" w:space="0" w:color="auto"/>
              <w:right w:val="single" w:sz="4" w:space="0" w:color="auto"/>
            </w:tcBorders>
          </w:tcPr>
          <w:p w14:paraId="10081CEA" w14:textId="77777777" w:rsidR="00321534" w:rsidRPr="003E76E7" w:rsidRDefault="00321534" w:rsidP="00C4292D">
            <w:pPr>
              <w:tabs>
                <w:tab w:val="left" w:pos="709"/>
              </w:tabs>
              <w:spacing w:before="60" w:after="60"/>
              <w:rPr>
                <w:rFonts w:ascii="Arial" w:hAnsi="Arial"/>
                <w:color w:val="000000"/>
                <w:sz w:val="16"/>
                <w:szCs w:val="16"/>
              </w:rPr>
            </w:pPr>
            <w:r w:rsidRPr="003E76E7">
              <w:rPr>
                <w:rFonts w:ascii="Arial" w:hAnsi="Arial"/>
                <w:b/>
                <w:color w:val="000000"/>
                <w:sz w:val="16"/>
                <w:szCs w:val="16"/>
              </w:rPr>
              <w:t>Year</w:t>
            </w:r>
          </w:p>
        </w:tc>
        <w:tc>
          <w:tcPr>
            <w:tcW w:w="3145" w:type="dxa"/>
            <w:tcBorders>
              <w:top w:val="single" w:sz="4" w:space="0" w:color="auto"/>
              <w:left w:val="single" w:sz="4" w:space="0" w:color="auto"/>
              <w:bottom w:val="single" w:sz="4" w:space="0" w:color="auto"/>
              <w:right w:val="single" w:sz="4" w:space="0" w:color="auto"/>
            </w:tcBorders>
          </w:tcPr>
          <w:p w14:paraId="224A02C5" w14:textId="4EEC886E" w:rsidR="00321534" w:rsidRPr="003E76E7" w:rsidRDefault="00AD14EC" w:rsidP="00C4292D">
            <w:pPr>
              <w:tabs>
                <w:tab w:val="left" w:pos="709"/>
              </w:tabs>
              <w:spacing w:before="60" w:after="60"/>
              <w:rPr>
                <w:rFonts w:ascii="Arial" w:hAnsi="Arial"/>
                <w:color w:val="000000"/>
              </w:rPr>
            </w:pPr>
            <w:r w:rsidRPr="003E76E7">
              <w:rPr>
                <w:rFonts w:ascii="Arial" w:hAnsi="Arial"/>
                <w:b/>
                <w:color w:val="000000"/>
                <w:sz w:val="16"/>
                <w:szCs w:val="16"/>
              </w:rPr>
              <w:t>Performance Measures</w:t>
            </w:r>
          </w:p>
        </w:tc>
        <w:tc>
          <w:tcPr>
            <w:tcW w:w="3331" w:type="dxa"/>
            <w:gridSpan w:val="2"/>
            <w:tcBorders>
              <w:top w:val="single" w:sz="4" w:space="0" w:color="auto"/>
              <w:left w:val="single" w:sz="4" w:space="0" w:color="auto"/>
              <w:bottom w:val="single" w:sz="4" w:space="0" w:color="auto"/>
            </w:tcBorders>
          </w:tcPr>
          <w:p w14:paraId="0C58F72B" w14:textId="77777777" w:rsidR="00321534" w:rsidRPr="003E76E7" w:rsidRDefault="00321534" w:rsidP="00C4292D">
            <w:pPr>
              <w:tabs>
                <w:tab w:val="left" w:pos="709"/>
              </w:tabs>
              <w:spacing w:before="60" w:after="60"/>
              <w:rPr>
                <w:rFonts w:ascii="Arial" w:hAnsi="Arial"/>
                <w:i/>
                <w:color w:val="000000"/>
                <w:sz w:val="16"/>
                <w:szCs w:val="16"/>
              </w:rPr>
            </w:pPr>
            <w:r w:rsidRPr="003E76E7">
              <w:rPr>
                <w:rFonts w:ascii="Arial" w:hAnsi="Arial"/>
                <w:b/>
                <w:color w:val="000000"/>
                <w:sz w:val="16"/>
                <w:szCs w:val="16"/>
              </w:rPr>
              <w:t>Expected Performance Results</w:t>
            </w:r>
          </w:p>
        </w:tc>
      </w:tr>
      <w:tr w:rsidR="00296940" w:rsidRPr="003E76E7" w14:paraId="3C66F948" w14:textId="77777777" w:rsidTr="00E50DFB">
        <w:trPr>
          <w:trHeight w:val="305"/>
        </w:trPr>
        <w:tc>
          <w:tcPr>
            <w:tcW w:w="1822" w:type="dxa"/>
            <w:vMerge w:val="restart"/>
            <w:tcBorders>
              <w:top w:val="single" w:sz="4" w:space="0" w:color="auto"/>
              <w:right w:val="single" w:sz="4" w:space="0" w:color="auto"/>
            </w:tcBorders>
          </w:tcPr>
          <w:p w14:paraId="70703F7F" w14:textId="77777777" w:rsidR="00296940" w:rsidRPr="003E76E7" w:rsidRDefault="00296940" w:rsidP="00C4292D">
            <w:pPr>
              <w:tabs>
                <w:tab w:val="left" w:pos="709"/>
              </w:tabs>
              <w:spacing w:before="0" w:after="0"/>
              <w:rPr>
                <w:rFonts w:ascii="Arial" w:hAnsi="Arial"/>
                <w:color w:val="000000"/>
                <w:sz w:val="16"/>
                <w:szCs w:val="16"/>
              </w:rPr>
            </w:pPr>
            <w:r w:rsidRPr="003E76E7">
              <w:rPr>
                <w:rFonts w:ascii="Arial" w:hAnsi="Arial"/>
                <w:color w:val="000000"/>
                <w:sz w:val="16"/>
                <w:szCs w:val="16"/>
              </w:rPr>
              <w:t>Current Year</w:t>
            </w:r>
          </w:p>
          <w:p w14:paraId="1D40CDF8" w14:textId="3F492CA7" w:rsidR="00296940" w:rsidRPr="003E76E7" w:rsidRDefault="00296940" w:rsidP="00C4292D">
            <w:pPr>
              <w:tabs>
                <w:tab w:val="left" w:pos="709"/>
              </w:tabs>
              <w:spacing w:before="0" w:after="0"/>
              <w:rPr>
                <w:rFonts w:ascii="Arial" w:hAnsi="Arial"/>
                <w:color w:val="000000"/>
                <w:sz w:val="16"/>
                <w:szCs w:val="16"/>
              </w:rPr>
            </w:pPr>
            <w:r w:rsidRPr="003E76E7">
              <w:rPr>
                <w:rFonts w:ascii="Arial" w:hAnsi="Arial"/>
                <w:color w:val="000000"/>
                <w:sz w:val="16"/>
                <w:szCs w:val="16"/>
              </w:rPr>
              <w:t>2025-26</w:t>
            </w:r>
            <w:r w:rsidR="003C0ED5" w:rsidRPr="003E76E7">
              <w:rPr>
                <w:rFonts w:ascii="Arial" w:hAnsi="Arial"/>
                <w:color w:val="000000"/>
                <w:sz w:val="16"/>
                <w:szCs w:val="16"/>
              </w:rPr>
              <w:t xml:space="preserve"> </w:t>
            </w:r>
            <w:r w:rsidR="003C0ED5" w:rsidRPr="003E76E7">
              <w:rPr>
                <w:rFonts w:ascii="Arial" w:hAnsi="Arial"/>
                <w:color w:val="000000"/>
                <w:sz w:val="16"/>
                <w:szCs w:val="16"/>
                <w:vertAlign w:val="superscript"/>
              </w:rPr>
              <w:t>[b]</w:t>
            </w:r>
          </w:p>
        </w:tc>
        <w:tc>
          <w:tcPr>
            <w:tcW w:w="3145" w:type="dxa"/>
            <w:tcBorders>
              <w:top w:val="single" w:sz="4" w:space="0" w:color="auto"/>
              <w:left w:val="single" w:sz="4" w:space="0" w:color="auto"/>
              <w:bottom w:val="single" w:sz="4" w:space="0" w:color="auto"/>
              <w:right w:val="single" w:sz="4" w:space="0" w:color="auto"/>
            </w:tcBorders>
          </w:tcPr>
          <w:p w14:paraId="5A2A6D0C" w14:textId="54FF0A39" w:rsidR="00296940" w:rsidRPr="003E76E7" w:rsidRDefault="00296940" w:rsidP="00C4292D">
            <w:pPr>
              <w:tabs>
                <w:tab w:val="left" w:pos="709"/>
              </w:tabs>
              <w:spacing w:before="60" w:after="60"/>
              <w:rPr>
                <w:rFonts w:ascii="Arial" w:hAnsi="Arial"/>
                <w:color w:val="000000"/>
                <w:sz w:val="16"/>
                <w:szCs w:val="16"/>
              </w:rPr>
            </w:pPr>
            <w:r w:rsidRPr="003E76E7">
              <w:rPr>
                <w:rFonts w:ascii="Arial" w:hAnsi="Arial"/>
                <w:sz w:val="16"/>
                <w:szCs w:val="16"/>
                <w:lang w:val="en-AU"/>
              </w:rPr>
              <w:t>6.1: Defence is delivering the right future capability at the right time within the Integrated Investment Program to ensure it is equipped to respond to future security challenges as directed by the National Defence Strategy.</w:t>
            </w:r>
          </w:p>
        </w:tc>
        <w:tc>
          <w:tcPr>
            <w:tcW w:w="3331" w:type="dxa"/>
            <w:gridSpan w:val="2"/>
            <w:tcBorders>
              <w:top w:val="single" w:sz="4" w:space="0" w:color="auto"/>
              <w:left w:val="single" w:sz="4" w:space="0" w:color="auto"/>
              <w:bottom w:val="single" w:sz="4" w:space="0" w:color="auto"/>
            </w:tcBorders>
          </w:tcPr>
          <w:p w14:paraId="533B007C" w14:textId="77777777" w:rsidR="00296940" w:rsidRPr="003E76E7" w:rsidRDefault="00296940" w:rsidP="00C4292D">
            <w:pPr>
              <w:tabs>
                <w:tab w:val="left" w:pos="709"/>
              </w:tabs>
              <w:spacing w:before="60" w:after="60"/>
              <w:rPr>
                <w:rFonts w:ascii="Arial" w:hAnsi="Arial"/>
                <w:sz w:val="16"/>
                <w:szCs w:val="16"/>
                <w:lang w:val="en-AU"/>
              </w:rPr>
            </w:pPr>
            <w:r w:rsidRPr="003E76E7">
              <w:rPr>
                <w:rFonts w:ascii="Arial" w:hAnsi="Arial"/>
                <w:sz w:val="16"/>
                <w:szCs w:val="16"/>
                <w:lang w:val="en-AU"/>
              </w:rPr>
              <w:t>80 per cent or more of approved Integrated Investment Program projects across all domains are on track to deliver within Government approved scope, schedule, and cost (including contingency).</w:t>
            </w:r>
          </w:p>
          <w:p w14:paraId="0E6E66B5" w14:textId="2A7212BE" w:rsidR="00296940" w:rsidRPr="003E76E7" w:rsidRDefault="00E5190E" w:rsidP="00C4292D">
            <w:pPr>
              <w:tabs>
                <w:tab w:val="left" w:pos="709"/>
              </w:tabs>
              <w:spacing w:before="60" w:after="60"/>
              <w:jc w:val="right"/>
              <w:rPr>
                <w:rFonts w:ascii="Arial" w:hAnsi="Arial"/>
                <w:i/>
                <w:sz w:val="16"/>
                <w:szCs w:val="16"/>
              </w:rPr>
            </w:pPr>
            <w:r w:rsidRPr="003E76E7">
              <w:rPr>
                <w:rFonts w:ascii="Arial" w:hAnsi="Arial"/>
                <w:i/>
                <w:sz w:val="16"/>
                <w:szCs w:val="16"/>
                <w:lang w:val="en-AU"/>
              </w:rPr>
              <w:t>Expected to be achieved</w:t>
            </w:r>
            <w:r w:rsidR="002913A3" w:rsidRPr="003E76E7">
              <w:rPr>
                <w:rFonts w:ascii="Arial" w:hAnsi="Arial"/>
                <w:i/>
                <w:sz w:val="16"/>
                <w:szCs w:val="16"/>
                <w:lang w:val="en-AU"/>
              </w:rPr>
              <w:t>.</w:t>
            </w:r>
          </w:p>
        </w:tc>
      </w:tr>
      <w:tr w:rsidR="00296940" w:rsidRPr="003E76E7" w14:paraId="2F55B198" w14:textId="77777777" w:rsidTr="00E50DFB">
        <w:trPr>
          <w:trHeight w:val="305"/>
        </w:trPr>
        <w:tc>
          <w:tcPr>
            <w:tcW w:w="1822" w:type="dxa"/>
            <w:vMerge/>
            <w:tcBorders>
              <w:bottom w:val="single" w:sz="4" w:space="0" w:color="auto"/>
              <w:right w:val="single" w:sz="4" w:space="0" w:color="auto"/>
            </w:tcBorders>
          </w:tcPr>
          <w:p w14:paraId="55761C97" w14:textId="77777777" w:rsidR="00296940" w:rsidRPr="003E76E7" w:rsidRDefault="00296940" w:rsidP="00C4292D">
            <w:pPr>
              <w:tabs>
                <w:tab w:val="left" w:pos="709"/>
              </w:tabs>
              <w:spacing w:before="60" w:after="60"/>
              <w:rPr>
                <w:rFonts w:ascii="Arial" w:hAnsi="Arial"/>
                <w:color w:val="000000"/>
                <w:sz w:val="16"/>
                <w:szCs w:val="16"/>
              </w:rPr>
            </w:pPr>
          </w:p>
        </w:tc>
        <w:tc>
          <w:tcPr>
            <w:tcW w:w="3145" w:type="dxa"/>
            <w:tcBorders>
              <w:top w:val="single" w:sz="4" w:space="0" w:color="auto"/>
              <w:left w:val="single" w:sz="4" w:space="0" w:color="auto"/>
              <w:bottom w:val="single" w:sz="4" w:space="0" w:color="auto"/>
              <w:right w:val="single" w:sz="4" w:space="0" w:color="auto"/>
            </w:tcBorders>
          </w:tcPr>
          <w:p w14:paraId="2F33BA1A" w14:textId="05159741" w:rsidR="00296940" w:rsidRPr="003E76E7" w:rsidRDefault="00296940" w:rsidP="00C4292D">
            <w:pPr>
              <w:tabs>
                <w:tab w:val="left" w:pos="709"/>
              </w:tabs>
              <w:spacing w:before="60" w:after="60"/>
              <w:rPr>
                <w:rFonts w:ascii="Arial" w:hAnsi="Arial"/>
                <w:color w:val="000000"/>
                <w:sz w:val="16"/>
                <w:szCs w:val="16"/>
              </w:rPr>
            </w:pPr>
            <w:r w:rsidRPr="003E76E7">
              <w:rPr>
                <w:rFonts w:ascii="Arial" w:hAnsi="Arial"/>
                <w:sz w:val="16"/>
                <w:szCs w:val="16"/>
                <w:lang w:val="en-AU"/>
              </w:rPr>
              <w:t xml:space="preserve">7.1: Defence strengthens the sovereign defence industrial base through investment and domestic manufacture. </w:t>
            </w:r>
          </w:p>
        </w:tc>
        <w:tc>
          <w:tcPr>
            <w:tcW w:w="3331" w:type="dxa"/>
            <w:gridSpan w:val="2"/>
            <w:tcBorders>
              <w:top w:val="single" w:sz="4" w:space="0" w:color="auto"/>
              <w:left w:val="single" w:sz="4" w:space="0" w:color="auto"/>
              <w:bottom w:val="single" w:sz="4" w:space="0" w:color="auto"/>
            </w:tcBorders>
          </w:tcPr>
          <w:p w14:paraId="341DE9CC" w14:textId="46198886" w:rsidR="00296940" w:rsidRPr="003E76E7" w:rsidRDefault="00296940" w:rsidP="00C4292D">
            <w:pPr>
              <w:spacing w:before="0" w:after="60"/>
              <w:rPr>
                <w:rFonts w:ascii="Arial" w:hAnsi="Arial"/>
                <w:color w:val="000000"/>
                <w:sz w:val="16"/>
                <w:szCs w:val="16"/>
              </w:rPr>
            </w:pPr>
            <w:r w:rsidRPr="003E76E7">
              <w:rPr>
                <w:rFonts w:ascii="Arial" w:hAnsi="Arial"/>
                <w:color w:val="000000"/>
                <w:sz w:val="16"/>
                <w:szCs w:val="16"/>
                <w:lang w:val="en-AU"/>
              </w:rPr>
              <w:t xml:space="preserve">Defence awards </w:t>
            </w:r>
            <w:r w:rsidRPr="003E76E7">
              <w:rPr>
                <w:rFonts w:ascii="Arial" w:hAnsi="Arial"/>
                <w:color w:val="000000"/>
                <w:sz w:val="16"/>
                <w:szCs w:val="16"/>
              </w:rPr>
              <w:t>95 per cent or more of the Defence Industry Development Grant Program budgeted allocation; increases the number of companies exporting and value of exports; increases the direct economic contribution to the Australian economy; maintains investment in innovation, science and technology to deliver defence priorities;</w:t>
            </w:r>
            <w:r w:rsidR="00E5190E" w:rsidRPr="003E76E7">
              <w:rPr>
                <w:rFonts w:ascii="Arial" w:hAnsi="Arial"/>
                <w:color w:val="000000"/>
                <w:sz w:val="16"/>
                <w:szCs w:val="16"/>
              </w:rPr>
              <w:t xml:space="preserve"> commences manufacture of Guided Multiple Launch Rocket System by </w:t>
            </w:r>
            <w:r w:rsidR="00E5190E" w:rsidRPr="003E76E7">
              <w:rPr>
                <w:rFonts w:ascii="Arial" w:hAnsi="Arial"/>
                <w:color w:val="000000"/>
                <w:sz w:val="16"/>
                <w:szCs w:val="16"/>
              </w:rPr>
              <w:br/>
              <w:t>31 December</w:t>
            </w:r>
            <w:r w:rsidR="00473A08" w:rsidRPr="003E76E7">
              <w:rPr>
                <w:rFonts w:ascii="Arial" w:hAnsi="Arial"/>
                <w:color w:val="000000"/>
                <w:sz w:val="16"/>
                <w:szCs w:val="16"/>
              </w:rPr>
              <w:t xml:space="preserve"> 2025</w:t>
            </w:r>
            <w:r w:rsidRPr="003E76E7">
              <w:rPr>
                <w:rFonts w:ascii="Arial" w:hAnsi="Arial"/>
                <w:color w:val="000000"/>
                <w:sz w:val="16"/>
                <w:szCs w:val="16"/>
              </w:rPr>
              <w:t>; and meets industrial uplift milestones for the Continuous Naval Shipbuilding Program.</w:t>
            </w:r>
          </w:p>
          <w:p w14:paraId="717EFA50" w14:textId="7980879D" w:rsidR="00296940" w:rsidRPr="003E76E7" w:rsidRDefault="00D013CE" w:rsidP="00C4292D">
            <w:pPr>
              <w:tabs>
                <w:tab w:val="left" w:pos="709"/>
              </w:tabs>
              <w:spacing w:before="60" w:after="60"/>
              <w:jc w:val="right"/>
              <w:rPr>
                <w:rFonts w:ascii="Arial" w:hAnsi="Arial"/>
                <w:color w:val="000000"/>
                <w:sz w:val="16"/>
                <w:szCs w:val="16"/>
              </w:rPr>
            </w:pPr>
            <w:r w:rsidRPr="003E76E7">
              <w:rPr>
                <w:rFonts w:ascii="Arial" w:hAnsi="Arial"/>
                <w:i/>
                <w:sz w:val="16"/>
                <w:szCs w:val="16"/>
              </w:rPr>
              <w:t>Expected to be partially achieved</w:t>
            </w:r>
            <w:r>
              <w:rPr>
                <w:rFonts w:ascii="Arial" w:hAnsi="Arial"/>
                <w:i/>
                <w:sz w:val="16"/>
                <w:szCs w:val="16"/>
              </w:rPr>
              <w:t>.</w:t>
            </w:r>
          </w:p>
        </w:tc>
      </w:tr>
      <w:tr w:rsidR="00487C49" w:rsidRPr="003E76E7" w14:paraId="78C60B4A" w14:textId="77777777" w:rsidTr="00E50DFB">
        <w:tblPrEx>
          <w:shd w:val="clear" w:color="auto" w:fill="auto"/>
          <w:tblLook w:val="04A0" w:firstRow="1" w:lastRow="0" w:firstColumn="1" w:lastColumn="0" w:noHBand="0" w:noVBand="1"/>
        </w:tblPrEx>
        <w:trPr>
          <w:trHeight w:val="258"/>
        </w:trPr>
        <w:tc>
          <w:tcPr>
            <w:tcW w:w="1822" w:type="dxa"/>
            <w:tcBorders>
              <w:top w:val="single" w:sz="4" w:space="0" w:color="auto"/>
              <w:bottom w:val="single" w:sz="4" w:space="0" w:color="auto"/>
              <w:right w:val="single" w:sz="4" w:space="0" w:color="auto"/>
            </w:tcBorders>
          </w:tcPr>
          <w:p w14:paraId="058AE8AB" w14:textId="77777777" w:rsidR="00487C49" w:rsidRPr="003E76E7" w:rsidRDefault="00487C49" w:rsidP="00C4292D">
            <w:pPr>
              <w:tabs>
                <w:tab w:val="left" w:pos="709"/>
              </w:tabs>
              <w:spacing w:before="60" w:after="60"/>
              <w:rPr>
                <w:rFonts w:ascii="Arial" w:hAnsi="Arial"/>
                <w:b/>
                <w:color w:val="000000"/>
                <w:sz w:val="16"/>
                <w:szCs w:val="16"/>
              </w:rPr>
            </w:pPr>
            <w:r w:rsidRPr="003E76E7">
              <w:rPr>
                <w:rFonts w:ascii="Arial" w:hAnsi="Arial"/>
                <w:b/>
                <w:color w:val="000000"/>
                <w:sz w:val="16"/>
                <w:szCs w:val="16"/>
              </w:rPr>
              <w:t>Year</w:t>
            </w:r>
          </w:p>
        </w:tc>
        <w:tc>
          <w:tcPr>
            <w:tcW w:w="3145" w:type="dxa"/>
            <w:tcBorders>
              <w:top w:val="single" w:sz="4" w:space="0" w:color="auto"/>
              <w:left w:val="single" w:sz="4" w:space="0" w:color="auto"/>
              <w:bottom w:val="single" w:sz="4" w:space="0" w:color="auto"/>
              <w:right w:val="single" w:sz="4" w:space="0" w:color="auto"/>
            </w:tcBorders>
          </w:tcPr>
          <w:p w14:paraId="3D0C906F" w14:textId="633ABD93" w:rsidR="00487C49" w:rsidRPr="003E76E7" w:rsidRDefault="00AD14EC" w:rsidP="00C4292D">
            <w:pPr>
              <w:tabs>
                <w:tab w:val="left" w:pos="709"/>
                <w:tab w:val="center" w:pos="1818"/>
              </w:tabs>
              <w:spacing w:before="60" w:after="60"/>
              <w:rPr>
                <w:rFonts w:ascii="Arial" w:hAnsi="Arial"/>
                <w:b/>
                <w:color w:val="000000"/>
                <w:sz w:val="16"/>
                <w:szCs w:val="16"/>
              </w:rPr>
            </w:pPr>
            <w:r w:rsidRPr="003E76E7">
              <w:rPr>
                <w:rFonts w:ascii="Arial" w:hAnsi="Arial"/>
                <w:b/>
                <w:color w:val="000000"/>
                <w:sz w:val="16"/>
                <w:szCs w:val="16"/>
              </w:rPr>
              <w:t>Performance Measures</w:t>
            </w:r>
          </w:p>
        </w:tc>
        <w:tc>
          <w:tcPr>
            <w:tcW w:w="3331" w:type="dxa"/>
            <w:gridSpan w:val="2"/>
            <w:tcBorders>
              <w:top w:val="single" w:sz="4" w:space="0" w:color="auto"/>
              <w:left w:val="single" w:sz="4" w:space="0" w:color="auto"/>
              <w:bottom w:val="single" w:sz="4" w:space="0" w:color="auto"/>
            </w:tcBorders>
          </w:tcPr>
          <w:p w14:paraId="260DC186" w14:textId="77777777" w:rsidR="00487C49" w:rsidRPr="003E76E7" w:rsidRDefault="00487C49" w:rsidP="00C4292D">
            <w:pPr>
              <w:tabs>
                <w:tab w:val="left" w:pos="709"/>
              </w:tabs>
              <w:spacing w:before="60" w:after="60"/>
              <w:rPr>
                <w:rFonts w:ascii="Arial" w:hAnsi="Arial"/>
                <w:b/>
                <w:color w:val="000000"/>
                <w:sz w:val="16"/>
                <w:szCs w:val="16"/>
              </w:rPr>
            </w:pPr>
            <w:r w:rsidRPr="003E76E7">
              <w:rPr>
                <w:rFonts w:ascii="Arial" w:hAnsi="Arial"/>
                <w:b/>
                <w:color w:val="000000"/>
                <w:sz w:val="16"/>
                <w:szCs w:val="16"/>
              </w:rPr>
              <w:t>Planned Performance Results</w:t>
            </w:r>
          </w:p>
        </w:tc>
      </w:tr>
      <w:tr w:rsidR="0077646D" w:rsidRPr="003E76E7" w14:paraId="60A9D29E" w14:textId="77777777" w:rsidTr="00E50DFB">
        <w:tblPrEx>
          <w:shd w:val="clear" w:color="auto" w:fill="auto"/>
          <w:tblLook w:val="04A0" w:firstRow="1" w:lastRow="0" w:firstColumn="1" w:lastColumn="0" w:noHBand="0" w:noVBand="1"/>
        </w:tblPrEx>
        <w:trPr>
          <w:trHeight w:val="642"/>
        </w:trPr>
        <w:tc>
          <w:tcPr>
            <w:tcW w:w="1822" w:type="dxa"/>
            <w:vMerge w:val="restart"/>
            <w:tcBorders>
              <w:top w:val="single" w:sz="4" w:space="0" w:color="auto"/>
              <w:right w:val="single" w:sz="4" w:space="0" w:color="auto"/>
            </w:tcBorders>
          </w:tcPr>
          <w:p w14:paraId="60AC1F60" w14:textId="77777777" w:rsidR="0077646D" w:rsidRPr="003E76E7" w:rsidRDefault="0077646D" w:rsidP="00C4292D">
            <w:pPr>
              <w:tabs>
                <w:tab w:val="left" w:pos="709"/>
              </w:tabs>
              <w:spacing w:before="0" w:after="0"/>
              <w:rPr>
                <w:rFonts w:ascii="Arial" w:hAnsi="Arial"/>
                <w:color w:val="000000"/>
                <w:sz w:val="16"/>
                <w:szCs w:val="16"/>
              </w:rPr>
            </w:pPr>
            <w:r w:rsidRPr="003E76E7">
              <w:rPr>
                <w:rFonts w:ascii="Arial" w:hAnsi="Arial"/>
                <w:color w:val="000000"/>
                <w:sz w:val="16"/>
                <w:szCs w:val="16"/>
              </w:rPr>
              <w:t>Budget Year</w:t>
            </w:r>
          </w:p>
          <w:p w14:paraId="463C8BB4" w14:textId="5F879388" w:rsidR="0077646D" w:rsidRPr="003E76E7" w:rsidRDefault="0077646D" w:rsidP="00C4292D">
            <w:pPr>
              <w:tabs>
                <w:tab w:val="left" w:pos="709"/>
              </w:tabs>
              <w:spacing w:before="0" w:after="0"/>
              <w:rPr>
                <w:rFonts w:ascii="Arial" w:hAnsi="Arial"/>
                <w:color w:val="000000"/>
                <w:sz w:val="16"/>
                <w:szCs w:val="16"/>
              </w:rPr>
            </w:pPr>
            <w:r w:rsidRPr="003E76E7">
              <w:rPr>
                <w:rFonts w:ascii="Arial" w:hAnsi="Arial"/>
                <w:color w:val="000000"/>
                <w:sz w:val="16"/>
                <w:szCs w:val="16"/>
              </w:rPr>
              <w:t xml:space="preserve">2026-27 </w:t>
            </w:r>
            <w:r w:rsidRPr="003E76E7">
              <w:rPr>
                <w:rFonts w:ascii="Arial" w:hAnsi="Arial"/>
                <w:color w:val="000000"/>
                <w:sz w:val="16"/>
                <w:szCs w:val="16"/>
                <w:vertAlign w:val="superscript"/>
              </w:rPr>
              <w:t>[</w:t>
            </w:r>
            <w:r w:rsidR="003C0ED5" w:rsidRPr="003E76E7">
              <w:rPr>
                <w:rFonts w:ascii="Arial" w:hAnsi="Arial"/>
                <w:color w:val="000000"/>
                <w:sz w:val="16"/>
                <w:szCs w:val="16"/>
                <w:vertAlign w:val="superscript"/>
              </w:rPr>
              <w:t>c</w:t>
            </w:r>
            <w:r w:rsidRPr="003E76E7">
              <w:rPr>
                <w:rFonts w:ascii="Arial" w:hAnsi="Arial"/>
                <w:color w:val="000000"/>
                <w:sz w:val="16"/>
                <w:szCs w:val="16"/>
                <w:vertAlign w:val="superscript"/>
              </w:rPr>
              <w:t>]</w:t>
            </w:r>
          </w:p>
        </w:tc>
        <w:tc>
          <w:tcPr>
            <w:tcW w:w="3145" w:type="dxa"/>
            <w:tcBorders>
              <w:top w:val="single" w:sz="4" w:space="0" w:color="auto"/>
              <w:left w:val="single" w:sz="4" w:space="0" w:color="auto"/>
              <w:bottom w:val="single" w:sz="4" w:space="0" w:color="auto"/>
              <w:right w:val="single" w:sz="4" w:space="0" w:color="auto"/>
            </w:tcBorders>
          </w:tcPr>
          <w:p w14:paraId="1BC84C76" w14:textId="14003DFD" w:rsidR="0077646D" w:rsidRPr="003E76E7" w:rsidRDefault="0077646D" w:rsidP="00C4292D">
            <w:pPr>
              <w:tabs>
                <w:tab w:val="left" w:pos="709"/>
              </w:tabs>
              <w:spacing w:before="60" w:after="60"/>
              <w:rPr>
                <w:rFonts w:ascii="Arial" w:hAnsi="Arial"/>
                <w:color w:val="000000"/>
                <w:sz w:val="16"/>
                <w:szCs w:val="16"/>
              </w:rPr>
            </w:pPr>
            <w:r w:rsidRPr="003E76E7">
              <w:rPr>
                <w:rFonts w:ascii="Arial" w:hAnsi="Arial"/>
                <w:sz w:val="16"/>
                <w:szCs w:val="16"/>
                <w:lang w:val="en-AU"/>
              </w:rPr>
              <w:t>6.1: Defence is delivering the right future capability at the right time within the Integrated Investment Program to ensure it is equipped to respond to future security challenges as directed by the National Defence Strategy.</w:t>
            </w:r>
          </w:p>
        </w:tc>
        <w:tc>
          <w:tcPr>
            <w:tcW w:w="3331" w:type="dxa"/>
            <w:gridSpan w:val="2"/>
            <w:tcBorders>
              <w:top w:val="single" w:sz="4" w:space="0" w:color="auto"/>
              <w:left w:val="single" w:sz="4" w:space="0" w:color="auto"/>
              <w:bottom w:val="single" w:sz="4" w:space="0" w:color="auto"/>
            </w:tcBorders>
          </w:tcPr>
          <w:p w14:paraId="6E2A1D10" w14:textId="6856DD76" w:rsidR="0077646D" w:rsidRPr="003E76E7" w:rsidRDefault="0077646D" w:rsidP="00C4292D">
            <w:pPr>
              <w:tabs>
                <w:tab w:val="left" w:pos="709"/>
              </w:tabs>
              <w:spacing w:before="60" w:after="60"/>
              <w:rPr>
                <w:rFonts w:ascii="Arial" w:hAnsi="Arial"/>
                <w:sz w:val="16"/>
                <w:szCs w:val="16"/>
              </w:rPr>
            </w:pPr>
            <w:r w:rsidRPr="003E76E7">
              <w:rPr>
                <w:rFonts w:ascii="Arial" w:hAnsi="Arial"/>
                <w:sz w:val="16"/>
                <w:szCs w:val="16"/>
                <w:lang w:val="en-AU"/>
              </w:rPr>
              <w:t>80 per cent or more of approved Integrated Investment Program projects across all domains are on track to deliver within Government approved scope, schedule, and cost (including contingency).</w:t>
            </w:r>
          </w:p>
        </w:tc>
      </w:tr>
      <w:tr w:rsidR="0077646D" w:rsidRPr="003E76E7" w14:paraId="7D551509" w14:textId="77777777" w:rsidTr="00E50DFB">
        <w:tblPrEx>
          <w:shd w:val="clear" w:color="auto" w:fill="auto"/>
          <w:tblLook w:val="04A0" w:firstRow="1" w:lastRow="0" w:firstColumn="1" w:lastColumn="0" w:noHBand="0" w:noVBand="1"/>
        </w:tblPrEx>
        <w:trPr>
          <w:trHeight w:val="642"/>
        </w:trPr>
        <w:tc>
          <w:tcPr>
            <w:tcW w:w="1822" w:type="dxa"/>
            <w:vMerge/>
            <w:tcBorders>
              <w:bottom w:val="single" w:sz="4" w:space="0" w:color="auto"/>
              <w:right w:val="single" w:sz="4" w:space="0" w:color="auto"/>
            </w:tcBorders>
          </w:tcPr>
          <w:p w14:paraId="3372C2C9" w14:textId="77777777" w:rsidR="0077646D" w:rsidRPr="003E76E7" w:rsidRDefault="0077646D" w:rsidP="00C4292D">
            <w:pPr>
              <w:tabs>
                <w:tab w:val="left" w:pos="709"/>
              </w:tabs>
              <w:spacing w:before="0" w:after="0"/>
              <w:rPr>
                <w:rFonts w:ascii="Arial" w:hAnsi="Arial"/>
                <w:color w:val="000000"/>
                <w:sz w:val="16"/>
                <w:szCs w:val="16"/>
              </w:rPr>
            </w:pPr>
          </w:p>
        </w:tc>
        <w:tc>
          <w:tcPr>
            <w:tcW w:w="3145" w:type="dxa"/>
            <w:tcBorders>
              <w:top w:val="single" w:sz="4" w:space="0" w:color="auto"/>
              <w:left w:val="single" w:sz="4" w:space="0" w:color="auto"/>
              <w:bottom w:val="single" w:sz="4" w:space="0" w:color="auto"/>
              <w:right w:val="single" w:sz="4" w:space="0" w:color="auto"/>
            </w:tcBorders>
          </w:tcPr>
          <w:p w14:paraId="54A7642C" w14:textId="677AEDCD" w:rsidR="0077646D" w:rsidRPr="003E76E7" w:rsidRDefault="0077646D" w:rsidP="00C4292D">
            <w:pPr>
              <w:tabs>
                <w:tab w:val="left" w:pos="709"/>
              </w:tabs>
              <w:spacing w:before="60" w:after="60"/>
              <w:rPr>
                <w:rFonts w:ascii="Arial" w:hAnsi="Arial"/>
                <w:color w:val="000000"/>
                <w:sz w:val="16"/>
                <w:szCs w:val="16"/>
              </w:rPr>
            </w:pPr>
            <w:r w:rsidRPr="003E76E7">
              <w:rPr>
                <w:rFonts w:ascii="Arial" w:hAnsi="Arial"/>
                <w:sz w:val="16"/>
                <w:szCs w:val="16"/>
                <w:lang w:val="en-AU"/>
              </w:rPr>
              <w:t xml:space="preserve">7.1: Defence strengthens the sovereign defence industrial base through investment and domestic manufacture. </w:t>
            </w:r>
          </w:p>
        </w:tc>
        <w:tc>
          <w:tcPr>
            <w:tcW w:w="3331" w:type="dxa"/>
            <w:gridSpan w:val="2"/>
            <w:tcBorders>
              <w:top w:val="single" w:sz="4" w:space="0" w:color="auto"/>
              <w:left w:val="single" w:sz="4" w:space="0" w:color="auto"/>
              <w:bottom w:val="single" w:sz="4" w:space="0" w:color="auto"/>
            </w:tcBorders>
          </w:tcPr>
          <w:p w14:paraId="34BACCF1" w14:textId="25CBD9ED" w:rsidR="0077646D" w:rsidRPr="003E76E7" w:rsidRDefault="0077646D" w:rsidP="00C4292D">
            <w:pPr>
              <w:tabs>
                <w:tab w:val="left" w:pos="709"/>
              </w:tabs>
              <w:spacing w:before="60" w:after="60"/>
              <w:rPr>
                <w:rFonts w:ascii="Arial" w:hAnsi="Arial"/>
                <w:sz w:val="16"/>
                <w:szCs w:val="16"/>
              </w:rPr>
            </w:pPr>
            <w:r w:rsidRPr="003E76E7">
              <w:rPr>
                <w:rFonts w:ascii="Arial" w:hAnsi="Arial"/>
                <w:color w:val="000000"/>
                <w:sz w:val="16"/>
                <w:szCs w:val="16"/>
                <w:lang w:val="en-AU"/>
              </w:rPr>
              <w:t xml:space="preserve">Defence awards </w:t>
            </w:r>
            <w:r w:rsidRPr="003E76E7">
              <w:rPr>
                <w:rFonts w:ascii="Arial" w:hAnsi="Arial"/>
                <w:color w:val="000000"/>
                <w:sz w:val="16"/>
                <w:szCs w:val="16"/>
              </w:rPr>
              <w:t>95 per cent or more of the Defence Industry Development Grant Program budgeted allocation; increases the number of companies exporting and value of exports; increases the direct economic contribution to the Australian economy; maintains investment in innovation, science and technology to deliver defence priorities; supports the development of the domestic manufacture of guided weapons, explosive ordnance and munitions; and meets industrial uplift milestones for the Continuous Naval Shipbuilding Program.</w:t>
            </w:r>
          </w:p>
        </w:tc>
      </w:tr>
      <w:tr w:rsidR="00E50DFB" w:rsidRPr="003E76E7" w14:paraId="4DD278D1" w14:textId="77777777" w:rsidTr="00A211F5">
        <w:trPr>
          <w:trHeight w:val="250"/>
        </w:trPr>
        <w:tc>
          <w:tcPr>
            <w:tcW w:w="1822" w:type="dxa"/>
            <w:tcBorders>
              <w:bottom w:val="single" w:sz="4" w:space="0" w:color="auto"/>
              <w:right w:val="single" w:sz="4" w:space="0" w:color="auto"/>
            </w:tcBorders>
            <w:vAlign w:val="center"/>
          </w:tcPr>
          <w:p w14:paraId="51D7F04F" w14:textId="082975CE" w:rsidR="00E50DFB" w:rsidRPr="003E76E7" w:rsidRDefault="00E50DFB" w:rsidP="00C4292D">
            <w:pPr>
              <w:tabs>
                <w:tab w:val="left" w:pos="709"/>
              </w:tabs>
              <w:spacing w:before="0" w:after="0"/>
              <w:rPr>
                <w:rFonts w:ascii="Arial" w:hAnsi="Arial"/>
                <w:color w:val="000000"/>
                <w:sz w:val="16"/>
                <w:szCs w:val="16"/>
              </w:rPr>
            </w:pPr>
            <w:r w:rsidRPr="003E76E7">
              <w:rPr>
                <w:rFonts w:ascii="Arial" w:hAnsi="Arial"/>
                <w:b/>
                <w:color w:val="000000"/>
                <w:sz w:val="16"/>
                <w:szCs w:val="16"/>
              </w:rPr>
              <w:t>Year</w:t>
            </w:r>
          </w:p>
        </w:tc>
        <w:tc>
          <w:tcPr>
            <w:tcW w:w="3145" w:type="dxa"/>
            <w:tcBorders>
              <w:top w:val="single" w:sz="4" w:space="0" w:color="auto"/>
              <w:left w:val="single" w:sz="4" w:space="0" w:color="auto"/>
              <w:bottom w:val="single" w:sz="4" w:space="0" w:color="auto"/>
              <w:right w:val="single" w:sz="4" w:space="0" w:color="auto"/>
            </w:tcBorders>
            <w:vAlign w:val="center"/>
          </w:tcPr>
          <w:p w14:paraId="642AF97D" w14:textId="39991FC0" w:rsidR="00E50DFB" w:rsidRPr="003E76E7" w:rsidRDefault="00E50DFB" w:rsidP="00C4292D">
            <w:pPr>
              <w:tabs>
                <w:tab w:val="left" w:pos="709"/>
              </w:tabs>
              <w:spacing w:before="60" w:after="60"/>
              <w:rPr>
                <w:rFonts w:ascii="Arial" w:hAnsi="Arial"/>
                <w:sz w:val="16"/>
                <w:szCs w:val="16"/>
                <w:lang w:val="en-AU"/>
              </w:rPr>
            </w:pPr>
            <w:r w:rsidRPr="003E76E7">
              <w:rPr>
                <w:rFonts w:ascii="Arial" w:hAnsi="Arial"/>
                <w:b/>
                <w:color w:val="000000"/>
                <w:sz w:val="16"/>
                <w:szCs w:val="16"/>
              </w:rPr>
              <w:t>Performance Measures</w:t>
            </w:r>
          </w:p>
        </w:tc>
        <w:tc>
          <w:tcPr>
            <w:tcW w:w="3331" w:type="dxa"/>
            <w:gridSpan w:val="2"/>
            <w:tcBorders>
              <w:top w:val="single" w:sz="4" w:space="0" w:color="auto"/>
              <w:left w:val="single" w:sz="4" w:space="0" w:color="auto"/>
              <w:bottom w:val="single" w:sz="4" w:space="0" w:color="auto"/>
            </w:tcBorders>
            <w:vAlign w:val="center"/>
          </w:tcPr>
          <w:p w14:paraId="5FB214BD" w14:textId="4263E044" w:rsidR="00E50DFB" w:rsidRPr="003E76E7" w:rsidRDefault="00E50DFB" w:rsidP="00C4292D">
            <w:pPr>
              <w:tabs>
                <w:tab w:val="left" w:pos="709"/>
              </w:tabs>
              <w:spacing w:before="60" w:after="60"/>
              <w:rPr>
                <w:rFonts w:ascii="Arial" w:hAnsi="Arial"/>
                <w:color w:val="000000"/>
                <w:sz w:val="16"/>
                <w:szCs w:val="16"/>
                <w:lang w:val="en-AU"/>
              </w:rPr>
            </w:pPr>
            <w:r w:rsidRPr="003E76E7">
              <w:rPr>
                <w:rFonts w:ascii="Arial" w:hAnsi="Arial"/>
                <w:b/>
                <w:color w:val="000000"/>
                <w:sz w:val="16"/>
                <w:szCs w:val="16"/>
              </w:rPr>
              <w:t>Planned Performance Results</w:t>
            </w:r>
          </w:p>
        </w:tc>
      </w:tr>
      <w:tr w:rsidR="00E50DFB" w:rsidRPr="003E76E7" w14:paraId="04230929" w14:textId="77777777" w:rsidTr="00A211F5">
        <w:trPr>
          <w:trHeight w:val="509"/>
        </w:trPr>
        <w:tc>
          <w:tcPr>
            <w:tcW w:w="1822" w:type="dxa"/>
            <w:tcBorders>
              <w:bottom w:val="single" w:sz="4" w:space="0" w:color="auto"/>
              <w:right w:val="single" w:sz="4" w:space="0" w:color="auto"/>
            </w:tcBorders>
            <w:vAlign w:val="center"/>
          </w:tcPr>
          <w:p w14:paraId="795F4704" w14:textId="77777777" w:rsidR="00E50DFB" w:rsidRPr="003E76E7" w:rsidRDefault="00E50DFB" w:rsidP="00C4292D">
            <w:pPr>
              <w:tabs>
                <w:tab w:val="left" w:pos="709"/>
              </w:tabs>
              <w:spacing w:before="0" w:after="0"/>
              <w:rPr>
                <w:rFonts w:ascii="Arial" w:hAnsi="Arial"/>
                <w:color w:val="000000"/>
                <w:sz w:val="16"/>
                <w:szCs w:val="16"/>
              </w:rPr>
            </w:pPr>
            <w:r w:rsidRPr="003E76E7">
              <w:rPr>
                <w:rFonts w:ascii="Arial" w:hAnsi="Arial"/>
                <w:color w:val="000000"/>
                <w:sz w:val="16"/>
                <w:szCs w:val="16"/>
              </w:rPr>
              <w:t>Forward Estimates</w:t>
            </w:r>
          </w:p>
          <w:p w14:paraId="1E71C1D2" w14:textId="57346182" w:rsidR="00E50DFB" w:rsidRPr="003E76E7" w:rsidRDefault="00E50DFB" w:rsidP="00C4292D">
            <w:pPr>
              <w:tabs>
                <w:tab w:val="left" w:pos="709"/>
              </w:tabs>
              <w:spacing w:before="0" w:after="0"/>
              <w:rPr>
                <w:rFonts w:ascii="Arial" w:hAnsi="Arial"/>
                <w:color w:val="000000"/>
                <w:sz w:val="16"/>
                <w:szCs w:val="16"/>
              </w:rPr>
            </w:pPr>
            <w:r w:rsidRPr="003E76E7">
              <w:rPr>
                <w:rFonts w:ascii="Arial" w:hAnsi="Arial"/>
                <w:color w:val="000000"/>
                <w:sz w:val="16"/>
                <w:szCs w:val="16"/>
              </w:rPr>
              <w:t>2027-30</w:t>
            </w:r>
          </w:p>
        </w:tc>
        <w:tc>
          <w:tcPr>
            <w:tcW w:w="3145" w:type="dxa"/>
            <w:tcBorders>
              <w:top w:val="single" w:sz="4" w:space="0" w:color="auto"/>
              <w:left w:val="single" w:sz="4" w:space="0" w:color="auto"/>
              <w:bottom w:val="single" w:sz="4" w:space="0" w:color="auto"/>
              <w:right w:val="single" w:sz="4" w:space="0" w:color="auto"/>
            </w:tcBorders>
            <w:vAlign w:val="center"/>
          </w:tcPr>
          <w:p w14:paraId="0D254B3E" w14:textId="0F8DA3C0" w:rsidR="00E50DFB" w:rsidRPr="003E76E7" w:rsidRDefault="00E50DFB" w:rsidP="00C4292D">
            <w:pPr>
              <w:tabs>
                <w:tab w:val="left" w:pos="709"/>
              </w:tabs>
              <w:spacing w:before="60" w:after="60"/>
              <w:rPr>
                <w:rFonts w:ascii="Arial" w:hAnsi="Arial"/>
                <w:sz w:val="16"/>
                <w:szCs w:val="16"/>
                <w:lang w:val="en-AU"/>
              </w:rPr>
            </w:pPr>
            <w:r w:rsidRPr="003E76E7">
              <w:rPr>
                <w:rFonts w:ascii="Arial" w:hAnsi="Arial"/>
                <w:color w:val="000000"/>
                <w:sz w:val="16"/>
                <w:szCs w:val="16"/>
              </w:rPr>
              <w:t>As per 2026-27.</w:t>
            </w:r>
          </w:p>
        </w:tc>
        <w:tc>
          <w:tcPr>
            <w:tcW w:w="3331" w:type="dxa"/>
            <w:gridSpan w:val="2"/>
            <w:tcBorders>
              <w:top w:val="single" w:sz="4" w:space="0" w:color="auto"/>
              <w:left w:val="single" w:sz="4" w:space="0" w:color="auto"/>
              <w:bottom w:val="single" w:sz="4" w:space="0" w:color="auto"/>
            </w:tcBorders>
            <w:vAlign w:val="center"/>
          </w:tcPr>
          <w:p w14:paraId="6AC4349B" w14:textId="47CFC954" w:rsidR="00E50DFB" w:rsidRPr="003E76E7" w:rsidRDefault="00E50DFB" w:rsidP="00C4292D">
            <w:pPr>
              <w:tabs>
                <w:tab w:val="left" w:pos="709"/>
              </w:tabs>
              <w:spacing w:before="60" w:after="60"/>
              <w:rPr>
                <w:rFonts w:ascii="Arial" w:hAnsi="Arial"/>
                <w:color w:val="000000"/>
                <w:sz w:val="16"/>
                <w:szCs w:val="16"/>
                <w:lang w:val="en-AU"/>
              </w:rPr>
            </w:pPr>
            <w:r w:rsidRPr="003E76E7">
              <w:rPr>
                <w:rFonts w:ascii="Arial" w:hAnsi="Arial"/>
                <w:color w:val="000000"/>
                <w:sz w:val="16"/>
                <w:szCs w:val="16"/>
              </w:rPr>
              <w:t>As per 2026-27.</w:t>
            </w:r>
          </w:p>
        </w:tc>
      </w:tr>
      <w:tr w:rsidR="00E50DFB" w:rsidRPr="003E76E7" w14:paraId="3E74F58A" w14:textId="77777777" w:rsidTr="00A211F5">
        <w:trPr>
          <w:trHeight w:val="275"/>
        </w:trPr>
        <w:tc>
          <w:tcPr>
            <w:tcW w:w="8298" w:type="dxa"/>
            <w:gridSpan w:val="4"/>
            <w:tcBorders>
              <w:bottom w:val="single" w:sz="4" w:space="0" w:color="auto"/>
            </w:tcBorders>
          </w:tcPr>
          <w:p w14:paraId="5255BE5E" w14:textId="096B676C" w:rsidR="00E50DFB" w:rsidRPr="003E76E7" w:rsidRDefault="00E50DFB" w:rsidP="00C4292D">
            <w:pPr>
              <w:tabs>
                <w:tab w:val="left" w:pos="709"/>
              </w:tabs>
              <w:spacing w:before="60" w:after="60"/>
              <w:rPr>
                <w:rFonts w:ascii="Arial" w:hAnsi="Arial"/>
                <w:color w:val="000000"/>
                <w:sz w:val="16"/>
                <w:szCs w:val="16"/>
                <w:lang w:val="en-AU"/>
              </w:rPr>
            </w:pPr>
            <w:r w:rsidRPr="003E76E7">
              <w:rPr>
                <w:rFonts w:ascii="Arial" w:hAnsi="Arial"/>
                <w:color w:val="000000"/>
                <w:sz w:val="16"/>
                <w:szCs w:val="16"/>
              </w:rPr>
              <w:t>Material changes to Program 2.13 resulting from 2026-27 Budget Measures: Nil.</w:t>
            </w:r>
          </w:p>
        </w:tc>
      </w:tr>
      <w:bookmarkEnd w:id="1099"/>
    </w:tbl>
    <w:p w14:paraId="55177C3C" w14:textId="77777777" w:rsidR="00F7100A" w:rsidRPr="003E76E7" w:rsidRDefault="00F7100A" w:rsidP="00C4292D">
      <w:pPr>
        <w:pStyle w:val="TableHeading"/>
        <w:spacing w:before="0" w:after="0"/>
        <w:rPr>
          <w:sz w:val="14"/>
          <w:szCs w:val="16"/>
        </w:rPr>
      </w:pPr>
    </w:p>
    <w:p w14:paraId="0105E3F1" w14:textId="3DAA8010" w:rsidR="00F7100A" w:rsidRPr="003E76E7" w:rsidRDefault="00F7100A" w:rsidP="00C4292D">
      <w:pPr>
        <w:pStyle w:val="TableHeading"/>
        <w:spacing w:before="0" w:after="0"/>
        <w:rPr>
          <w:sz w:val="14"/>
          <w:szCs w:val="14"/>
        </w:rPr>
      </w:pPr>
      <w:r w:rsidRPr="003E76E7">
        <w:rPr>
          <w:sz w:val="14"/>
          <w:szCs w:val="14"/>
        </w:rPr>
        <w:t>Note</w:t>
      </w:r>
      <w:r w:rsidR="00BD3667" w:rsidRPr="003E76E7">
        <w:rPr>
          <w:sz w:val="14"/>
          <w:szCs w:val="14"/>
        </w:rPr>
        <w:t>s</w:t>
      </w:r>
    </w:p>
    <w:p w14:paraId="0A00CB47" w14:textId="77777777" w:rsidR="00082A97" w:rsidRPr="003E76E7" w:rsidRDefault="00082A97" w:rsidP="00C4292D">
      <w:pPr>
        <w:pStyle w:val="TableHeading"/>
        <w:numPr>
          <w:ilvl w:val="0"/>
          <w:numId w:val="93"/>
        </w:numPr>
        <w:tabs>
          <w:tab w:val="left" w:pos="284"/>
        </w:tabs>
        <w:spacing w:before="0" w:after="0"/>
        <w:rPr>
          <w:b w:val="0"/>
          <w:i/>
          <w:sz w:val="14"/>
          <w:szCs w:val="14"/>
        </w:rPr>
      </w:pPr>
      <w:r w:rsidRPr="003E76E7">
        <w:rPr>
          <w:b w:val="0"/>
          <w:sz w:val="14"/>
          <w:szCs w:val="14"/>
        </w:rPr>
        <w:t xml:space="preserve">Key activity 7 has been amended for 2025-26, as published in the </w:t>
      </w:r>
      <w:r w:rsidRPr="003E76E7">
        <w:rPr>
          <w:b w:val="0"/>
          <w:i/>
          <w:sz w:val="14"/>
          <w:szCs w:val="14"/>
        </w:rPr>
        <w:t xml:space="preserve">2025-29 Defence Corporate Plan. </w:t>
      </w:r>
    </w:p>
    <w:p w14:paraId="5B830B07" w14:textId="05BF8014" w:rsidR="00082A97" w:rsidRPr="003E76E7" w:rsidRDefault="00082A97" w:rsidP="00C4292D">
      <w:pPr>
        <w:pStyle w:val="TableHeading"/>
        <w:numPr>
          <w:ilvl w:val="0"/>
          <w:numId w:val="93"/>
        </w:numPr>
        <w:tabs>
          <w:tab w:val="left" w:pos="284"/>
        </w:tabs>
        <w:spacing w:before="0" w:after="0"/>
        <w:ind w:left="284" w:hanging="284"/>
        <w:rPr>
          <w:b w:val="0"/>
          <w:sz w:val="14"/>
          <w:szCs w:val="14"/>
        </w:rPr>
      </w:pPr>
      <w:r w:rsidRPr="003E76E7">
        <w:rPr>
          <w:b w:val="0"/>
          <w:sz w:val="14"/>
          <w:szCs w:val="14"/>
        </w:rPr>
        <w:t xml:space="preserve">Performance Measures 6.1 and 7.1 have been amended for 2025-26, as published in the </w:t>
      </w:r>
      <w:r w:rsidRPr="003E76E7">
        <w:rPr>
          <w:b w:val="0"/>
          <w:i/>
          <w:sz w:val="14"/>
          <w:szCs w:val="14"/>
        </w:rPr>
        <w:t>2025-29 Defence Corporate Plan</w:t>
      </w:r>
      <w:r w:rsidR="00C23CD1" w:rsidRPr="003E76E7">
        <w:rPr>
          <w:b w:val="0"/>
          <w:i/>
          <w:sz w:val="14"/>
          <w:szCs w:val="14"/>
        </w:rPr>
        <w:t>.</w:t>
      </w:r>
    </w:p>
    <w:p w14:paraId="77E7AB8A" w14:textId="77224CE9" w:rsidR="001575DA" w:rsidRPr="003E76E7" w:rsidRDefault="00BC1946" w:rsidP="00C4292D">
      <w:pPr>
        <w:pStyle w:val="TableHeading"/>
        <w:numPr>
          <w:ilvl w:val="0"/>
          <w:numId w:val="93"/>
        </w:numPr>
        <w:tabs>
          <w:tab w:val="left" w:pos="284"/>
        </w:tabs>
        <w:spacing w:before="0" w:after="0"/>
        <w:ind w:left="284" w:hanging="284"/>
        <w:rPr>
          <w:b w:val="0"/>
          <w:sz w:val="14"/>
          <w:szCs w:val="14"/>
          <w:lang w:val="en-AU"/>
        </w:rPr>
      </w:pPr>
      <w:r w:rsidRPr="003E76E7">
        <w:rPr>
          <w:b w:val="0"/>
          <w:sz w:val="14"/>
          <w:szCs w:val="14"/>
          <w:lang w:val="en-AU"/>
        </w:rPr>
        <w:t xml:space="preserve">In accordance with Defence’s Enterprise Performance Framework, Defence is undertaking materiality assessments that may result in updates to the 2026-27 performance information in the 2026-30 Defence Corporate Plan, if required. </w:t>
      </w:r>
    </w:p>
    <w:p w14:paraId="79ED6FFE" w14:textId="77777777" w:rsidR="009D3404" w:rsidRPr="003E76E7" w:rsidRDefault="009D3404" w:rsidP="00C4292D">
      <w:pPr>
        <w:rPr>
          <w:lang w:val="en-AU"/>
        </w:rPr>
      </w:pPr>
    </w:p>
    <w:p w14:paraId="3B3A466B" w14:textId="689BF857" w:rsidR="00930FC0" w:rsidRPr="003E76E7" w:rsidRDefault="00930FC0" w:rsidP="00C4292D">
      <w:pPr>
        <w:pStyle w:val="TableHeading"/>
        <w:numPr>
          <w:ilvl w:val="0"/>
          <w:numId w:val="61"/>
        </w:numPr>
        <w:spacing w:before="100"/>
        <w:ind w:left="0" w:firstLine="0"/>
        <w:outlineLvl w:val="4"/>
        <w:rPr>
          <w:lang w:val="en-AU"/>
        </w:rPr>
      </w:pPr>
      <w:r w:rsidRPr="003E76E7">
        <w:rPr>
          <w:lang w:val="en-AU"/>
        </w:rPr>
        <w:lastRenderedPageBreak/>
        <w:t>Cost Summary for Program 2.13 Defence Science and Technology</w:t>
      </w:r>
    </w:p>
    <w:p w14:paraId="45AC520F" w14:textId="3585B9FB" w:rsidR="007A3EA9" w:rsidRPr="003E76E7" w:rsidRDefault="00C96447" w:rsidP="00C4292D">
      <w:pPr>
        <w:spacing w:after="0"/>
      </w:pPr>
      <w:r w:rsidRPr="00C96447">
        <w:rPr>
          <w:noProof/>
          <w:lang w:val="en-AU"/>
        </w:rPr>
        <w:drawing>
          <wp:inline distT="0" distB="0" distL="0" distR="0" wp14:anchorId="6C0651B5" wp14:editId="44AEFED5">
            <wp:extent cx="5436235" cy="2904077"/>
            <wp:effectExtent l="0" t="0" r="0" b="0"/>
            <wp:docPr id="24575489" name="Picture 24575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436235" cy="2904077"/>
                    </a:xfrm>
                    <a:prstGeom prst="rect">
                      <a:avLst/>
                    </a:prstGeom>
                    <a:noFill/>
                    <a:ln>
                      <a:noFill/>
                    </a:ln>
                  </pic:spPr>
                </pic:pic>
              </a:graphicData>
            </a:graphic>
          </wp:inline>
        </w:drawing>
      </w:r>
    </w:p>
    <w:p w14:paraId="6C24E34C" w14:textId="77777777" w:rsidR="009D3404" w:rsidRPr="003E76E7" w:rsidRDefault="00170F79" w:rsidP="00C4292D">
      <w:pPr>
        <w:spacing w:before="0" w:after="0"/>
        <w:rPr>
          <w:rFonts w:ascii="Arial" w:hAnsi="Arial"/>
          <w:b/>
          <w:sz w:val="14"/>
          <w:szCs w:val="14"/>
          <w:lang w:val="en-AU"/>
        </w:rPr>
      </w:pPr>
      <w:r w:rsidRPr="003E76E7">
        <w:rPr>
          <w:rFonts w:ascii="Arial" w:hAnsi="Arial"/>
          <w:b/>
          <w:sz w:val="14"/>
          <w:szCs w:val="14"/>
          <w:lang w:val="en-AU"/>
        </w:rPr>
        <w:tab/>
      </w:r>
      <w:r w:rsidRPr="003E76E7">
        <w:rPr>
          <w:rFonts w:ascii="Arial" w:hAnsi="Arial"/>
          <w:b/>
          <w:sz w:val="14"/>
          <w:szCs w:val="14"/>
          <w:lang w:val="en-AU"/>
        </w:rPr>
        <w:tab/>
      </w:r>
      <w:r w:rsidRPr="003E76E7">
        <w:rPr>
          <w:rFonts w:ascii="Arial" w:hAnsi="Arial"/>
          <w:b/>
          <w:sz w:val="14"/>
          <w:szCs w:val="14"/>
          <w:lang w:val="en-AU"/>
        </w:rPr>
        <w:tab/>
      </w:r>
      <w:r w:rsidRPr="003E76E7">
        <w:rPr>
          <w:rFonts w:ascii="Arial" w:hAnsi="Arial"/>
          <w:b/>
          <w:sz w:val="14"/>
          <w:szCs w:val="14"/>
          <w:lang w:val="en-AU"/>
        </w:rPr>
        <w:tab/>
      </w:r>
      <w:r w:rsidRPr="003E76E7">
        <w:rPr>
          <w:rFonts w:ascii="Arial" w:hAnsi="Arial"/>
          <w:b/>
          <w:sz w:val="14"/>
          <w:szCs w:val="14"/>
          <w:lang w:val="en-AU"/>
        </w:rPr>
        <w:tab/>
      </w:r>
    </w:p>
    <w:p w14:paraId="4873BBCE" w14:textId="5F8428FA" w:rsidR="00CB045C" w:rsidRPr="003E76E7" w:rsidRDefault="00F51DAC" w:rsidP="00C4292D">
      <w:pPr>
        <w:spacing w:before="0" w:after="0"/>
        <w:rPr>
          <w:rFonts w:ascii="Arial" w:hAnsi="Arial"/>
          <w:b/>
          <w:sz w:val="14"/>
          <w:szCs w:val="14"/>
          <w:lang w:val="en-AU"/>
        </w:rPr>
      </w:pPr>
      <w:r w:rsidRPr="003E76E7">
        <w:rPr>
          <w:rFonts w:ascii="Arial" w:hAnsi="Arial"/>
          <w:b/>
          <w:sz w:val="14"/>
          <w:szCs w:val="14"/>
          <w:lang w:val="en-AU"/>
        </w:rPr>
        <w:t>Note</w:t>
      </w:r>
    </w:p>
    <w:p w14:paraId="3F7366BE" w14:textId="7F92C643" w:rsidR="0080791E" w:rsidRPr="003E76E7" w:rsidRDefault="00A37A36" w:rsidP="00C4292D">
      <w:pPr>
        <w:pStyle w:val="ListParagraph"/>
        <w:numPr>
          <w:ilvl w:val="0"/>
          <w:numId w:val="119"/>
        </w:numPr>
        <w:spacing w:before="0" w:after="0"/>
        <w:ind w:left="284" w:hanging="284"/>
        <w:rPr>
          <w:rFonts w:ascii="Arial" w:hAnsi="Arial"/>
          <w:sz w:val="14"/>
          <w:szCs w:val="14"/>
          <w:lang w:val="en-AU"/>
        </w:rPr>
      </w:pPr>
      <w:r w:rsidRPr="003E76E7">
        <w:rPr>
          <w:rFonts w:ascii="Arial" w:hAnsi="Arial"/>
          <w:sz w:val="14"/>
          <w:szCs w:val="14"/>
          <w:lang w:val="en-AU"/>
        </w:rPr>
        <w:t>Total program funded</w:t>
      </w:r>
      <w:r w:rsidR="0080791E" w:rsidRPr="003E76E7">
        <w:rPr>
          <w:rFonts w:ascii="Arial" w:hAnsi="Arial"/>
          <w:sz w:val="14"/>
          <w:szCs w:val="14"/>
          <w:lang w:val="en-AU"/>
        </w:rPr>
        <w:t xml:space="preserve"> expenditure includes operating expenses and capital expenditure funded by appropriation and </w:t>
      </w:r>
      <w:r w:rsidR="0080791E" w:rsidRPr="003E76E7">
        <w:rPr>
          <w:rFonts w:ascii="Arial" w:hAnsi="Arial"/>
          <w:sz w:val="14"/>
          <w:szCs w:val="14"/>
          <w:lang w:val="en-AU"/>
        </w:rPr>
        <w:br/>
        <w:t>own source revenue. This excludes expenses not requiring appropriation.</w:t>
      </w:r>
      <w:r w:rsidR="0080791E" w:rsidRPr="003E76E7">
        <w:rPr>
          <w:rFonts w:ascii="Arial" w:hAnsi="Arial"/>
          <w:sz w:val="14"/>
          <w:szCs w:val="14"/>
          <w:lang w:val="en-AU"/>
        </w:rPr>
        <w:tab/>
      </w:r>
      <w:r w:rsidR="0080791E" w:rsidRPr="003E76E7">
        <w:rPr>
          <w:rFonts w:ascii="Arial" w:hAnsi="Arial"/>
          <w:sz w:val="14"/>
          <w:szCs w:val="14"/>
          <w:lang w:val="en-AU"/>
        </w:rPr>
        <w:tab/>
      </w:r>
      <w:r w:rsidR="0080791E" w:rsidRPr="003E76E7">
        <w:rPr>
          <w:rFonts w:ascii="Arial" w:hAnsi="Arial"/>
          <w:sz w:val="14"/>
          <w:szCs w:val="14"/>
          <w:lang w:val="en-AU"/>
        </w:rPr>
        <w:tab/>
      </w:r>
      <w:r w:rsidR="0080791E" w:rsidRPr="003E76E7">
        <w:rPr>
          <w:rFonts w:ascii="Arial" w:hAnsi="Arial"/>
          <w:sz w:val="14"/>
          <w:szCs w:val="14"/>
          <w:lang w:val="en-AU"/>
        </w:rPr>
        <w:tab/>
      </w:r>
      <w:r w:rsidR="0080791E" w:rsidRPr="003E76E7">
        <w:rPr>
          <w:rFonts w:ascii="Arial" w:hAnsi="Arial"/>
          <w:sz w:val="14"/>
          <w:szCs w:val="14"/>
          <w:lang w:val="en-AU"/>
        </w:rPr>
        <w:tab/>
      </w:r>
    </w:p>
    <w:p w14:paraId="1AF8A2E2" w14:textId="195562E3" w:rsidR="00F51DAC" w:rsidRPr="003E76E7" w:rsidRDefault="003A0A8B" w:rsidP="00C4292D">
      <w:pPr>
        <w:spacing w:before="0" w:after="0"/>
        <w:ind w:left="284" w:hanging="284"/>
        <w:rPr>
          <w:rFonts w:ascii="Arial" w:hAnsi="Arial"/>
          <w:sz w:val="14"/>
          <w:szCs w:val="14"/>
          <w:lang w:val="en-AU"/>
        </w:rPr>
      </w:pPr>
      <w:r w:rsidRPr="003E76E7">
        <w:rPr>
          <w:rFonts w:ascii="Arial" w:hAnsi="Arial"/>
          <w:sz w:val="14"/>
          <w:szCs w:val="14"/>
          <w:lang w:val="en-AU"/>
        </w:rPr>
        <w:tab/>
      </w:r>
      <w:r w:rsidRPr="003E76E7">
        <w:rPr>
          <w:rFonts w:ascii="Arial" w:hAnsi="Arial"/>
          <w:sz w:val="14"/>
          <w:szCs w:val="14"/>
          <w:lang w:val="en-AU"/>
        </w:rPr>
        <w:tab/>
      </w:r>
      <w:r w:rsidRPr="003E76E7">
        <w:rPr>
          <w:rFonts w:ascii="Arial" w:hAnsi="Arial"/>
          <w:sz w:val="14"/>
          <w:szCs w:val="14"/>
          <w:lang w:val="en-AU"/>
        </w:rPr>
        <w:tab/>
      </w:r>
      <w:r w:rsidRPr="003E76E7">
        <w:rPr>
          <w:rFonts w:ascii="Arial" w:hAnsi="Arial"/>
          <w:sz w:val="14"/>
          <w:szCs w:val="14"/>
          <w:lang w:val="en-AU"/>
        </w:rPr>
        <w:tab/>
      </w:r>
      <w:r w:rsidRPr="003E76E7">
        <w:rPr>
          <w:rFonts w:ascii="Arial" w:hAnsi="Arial"/>
          <w:sz w:val="14"/>
          <w:szCs w:val="14"/>
          <w:lang w:val="en-AU"/>
        </w:rPr>
        <w:tab/>
      </w:r>
    </w:p>
    <w:p w14:paraId="4F8D71CC" w14:textId="77777777" w:rsidR="007A3EA9" w:rsidRPr="003E76E7" w:rsidRDefault="007A3EA9" w:rsidP="00C4292D">
      <w:pPr>
        <w:spacing w:before="0" w:after="0"/>
        <w:outlineLvl w:val="5"/>
        <w:rPr>
          <w:color w:val="FFFFFF"/>
          <w:sz w:val="2"/>
          <w:szCs w:val="2"/>
        </w:rPr>
      </w:pPr>
      <w:r w:rsidRPr="003E76E7">
        <w:rPr>
          <w:lang w:val="en-AU"/>
        </w:rPr>
        <w:br w:type="page"/>
      </w:r>
      <w:r w:rsidR="002E4F76" w:rsidRPr="003E76E7">
        <w:rPr>
          <w:color w:val="FFFFFF"/>
          <w:sz w:val="2"/>
          <w:szCs w:val="2"/>
        </w:rPr>
        <w:lastRenderedPageBreak/>
        <w:t>Program 2.14: Defence Intelligence</w:t>
      </w:r>
    </w:p>
    <w:tbl>
      <w:tblPr>
        <w:tblW w:w="4852"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1822"/>
        <w:gridCol w:w="3145"/>
        <w:gridCol w:w="3306"/>
        <w:gridCol w:w="25"/>
      </w:tblGrid>
      <w:tr w:rsidR="00F7100A" w:rsidRPr="003E76E7" w14:paraId="1C8A9D01" w14:textId="77777777" w:rsidTr="00487C49">
        <w:trPr>
          <w:gridAfter w:val="1"/>
          <w:wAfter w:w="23" w:type="dxa"/>
        </w:trPr>
        <w:tc>
          <w:tcPr>
            <w:tcW w:w="7587" w:type="dxa"/>
            <w:gridSpan w:val="3"/>
            <w:tcBorders>
              <w:bottom w:val="single" w:sz="4" w:space="0" w:color="auto"/>
            </w:tcBorders>
            <w:shd w:val="clear" w:color="auto" w:fill="CCCCCC"/>
          </w:tcPr>
          <w:p w14:paraId="005373B5" w14:textId="77777777" w:rsidR="00F7100A" w:rsidRPr="003E76E7" w:rsidRDefault="00F7100A" w:rsidP="00C4292D">
            <w:pPr>
              <w:pStyle w:val="Heading5"/>
              <w:spacing w:before="60" w:after="60"/>
            </w:pPr>
            <w:r w:rsidRPr="003E76E7">
              <w:t>Program 2.14: Defence Intelligence</w:t>
            </w:r>
          </w:p>
        </w:tc>
      </w:tr>
      <w:tr w:rsidR="00F7100A" w:rsidRPr="003E76E7" w14:paraId="3BB7908A" w14:textId="77777777" w:rsidTr="00487C49">
        <w:trPr>
          <w:gridAfter w:val="1"/>
          <w:wAfter w:w="23" w:type="dxa"/>
          <w:trHeight w:val="170"/>
        </w:trPr>
        <w:tc>
          <w:tcPr>
            <w:tcW w:w="7587" w:type="dxa"/>
            <w:gridSpan w:val="3"/>
            <w:tcBorders>
              <w:left w:val="nil"/>
              <w:bottom w:val="single" w:sz="4" w:space="0" w:color="auto"/>
              <w:right w:val="nil"/>
            </w:tcBorders>
            <w:shd w:val="clear" w:color="auto" w:fill="auto"/>
          </w:tcPr>
          <w:p w14:paraId="0CB5F653" w14:textId="77777777" w:rsidR="00F7100A" w:rsidRPr="003E76E7" w:rsidRDefault="00F7100A" w:rsidP="00C4292D">
            <w:pPr>
              <w:pStyle w:val="Heading5"/>
              <w:spacing w:before="0" w:after="0"/>
              <w:rPr>
                <w:sz w:val="16"/>
                <w:szCs w:val="16"/>
              </w:rPr>
            </w:pPr>
          </w:p>
        </w:tc>
      </w:tr>
      <w:tr w:rsidR="00F7100A" w:rsidRPr="003E76E7" w14:paraId="520DE418" w14:textId="77777777" w:rsidTr="00487C49">
        <w:tblPrEx>
          <w:shd w:val="clear" w:color="auto" w:fill="auto"/>
          <w:tblLook w:val="04A0" w:firstRow="1" w:lastRow="0" w:firstColumn="1" w:lastColumn="0" w:noHBand="0" w:noVBand="1"/>
        </w:tblPrEx>
        <w:trPr>
          <w:tblHeader/>
        </w:trPr>
        <w:tc>
          <w:tcPr>
            <w:tcW w:w="7610" w:type="dxa"/>
            <w:gridSpan w:val="4"/>
            <w:shd w:val="clear" w:color="auto" w:fill="E6E6E6"/>
          </w:tcPr>
          <w:p w14:paraId="0C30D56E" w14:textId="77777777" w:rsidR="00F7100A" w:rsidRPr="003E76E7" w:rsidRDefault="00F7100A" w:rsidP="00C4292D">
            <w:pPr>
              <w:tabs>
                <w:tab w:val="left" w:pos="709"/>
              </w:tabs>
              <w:spacing w:before="60" w:after="0"/>
              <w:rPr>
                <w:rFonts w:ascii="Arial" w:hAnsi="Arial"/>
                <w:sz w:val="16"/>
                <w:szCs w:val="16"/>
              </w:rPr>
            </w:pPr>
            <w:r w:rsidRPr="003E76E7">
              <w:rPr>
                <w:rFonts w:ascii="Arial" w:hAnsi="Arial"/>
                <w:b/>
                <w:sz w:val="16"/>
                <w:szCs w:val="16"/>
              </w:rPr>
              <w:t>Program 2.14</w:t>
            </w:r>
            <w:r w:rsidRPr="003E76E7">
              <w:rPr>
                <w:rFonts w:ascii="Arial" w:hAnsi="Arial"/>
                <w:sz w:val="16"/>
                <w:szCs w:val="16"/>
              </w:rPr>
              <w:t xml:space="preserve"> </w:t>
            </w:r>
            <w:r w:rsidRPr="003E76E7">
              <w:rPr>
                <w:rFonts w:ascii="Arial" w:hAnsi="Arial"/>
                <w:b/>
                <w:sz w:val="16"/>
                <w:szCs w:val="16"/>
              </w:rPr>
              <w:t>Objective</w:t>
            </w:r>
          </w:p>
          <w:p w14:paraId="48788187" w14:textId="77777777" w:rsidR="00F7100A" w:rsidRPr="003E76E7" w:rsidRDefault="00F7100A" w:rsidP="00C4292D">
            <w:pPr>
              <w:tabs>
                <w:tab w:val="left" w:pos="709"/>
              </w:tabs>
              <w:spacing w:before="60" w:after="60"/>
              <w:jc w:val="both"/>
              <w:rPr>
                <w:rFonts w:ascii="Arial" w:hAnsi="Arial"/>
                <w:sz w:val="16"/>
                <w:szCs w:val="16"/>
              </w:rPr>
            </w:pPr>
            <w:r w:rsidRPr="003E76E7">
              <w:rPr>
                <w:rFonts w:ascii="Arial" w:hAnsi="Arial"/>
                <w:sz w:val="16"/>
                <w:szCs w:val="16"/>
              </w:rPr>
              <w:t>Deliver high-quality and timely intelligence services that achieve Government intelligence priorities.</w:t>
            </w:r>
          </w:p>
        </w:tc>
      </w:tr>
      <w:tr w:rsidR="00F7100A" w:rsidRPr="003E76E7" w14:paraId="40492E56" w14:textId="77777777" w:rsidTr="00487C49">
        <w:tblPrEx>
          <w:shd w:val="clear" w:color="auto" w:fill="auto"/>
          <w:tblLook w:val="04A0" w:firstRow="1" w:lastRow="0" w:firstColumn="1" w:lastColumn="0" w:noHBand="0" w:noVBand="1"/>
        </w:tblPrEx>
        <w:trPr>
          <w:trHeight w:val="312"/>
        </w:trPr>
        <w:tc>
          <w:tcPr>
            <w:tcW w:w="1671" w:type="dxa"/>
            <w:tcBorders>
              <w:bottom w:val="single" w:sz="4" w:space="0" w:color="auto"/>
            </w:tcBorders>
          </w:tcPr>
          <w:p w14:paraId="79F45491" w14:textId="77777777" w:rsidR="00F7100A" w:rsidRPr="003E76E7" w:rsidRDefault="00F7100A" w:rsidP="00C4292D">
            <w:pPr>
              <w:tabs>
                <w:tab w:val="left" w:pos="709"/>
              </w:tabs>
              <w:spacing w:before="60" w:after="60"/>
              <w:rPr>
                <w:rFonts w:ascii="Arial" w:hAnsi="Arial"/>
                <w:b/>
                <w:color w:val="000000"/>
                <w:sz w:val="16"/>
                <w:szCs w:val="16"/>
              </w:rPr>
            </w:pPr>
            <w:r w:rsidRPr="003E76E7">
              <w:rPr>
                <w:rFonts w:ascii="Arial" w:hAnsi="Arial"/>
                <w:b/>
                <w:color w:val="000000"/>
                <w:sz w:val="16"/>
                <w:szCs w:val="16"/>
              </w:rPr>
              <w:t>Key Activities</w:t>
            </w:r>
          </w:p>
        </w:tc>
        <w:tc>
          <w:tcPr>
            <w:tcW w:w="5939" w:type="dxa"/>
            <w:gridSpan w:val="3"/>
            <w:tcBorders>
              <w:bottom w:val="single" w:sz="4" w:space="0" w:color="auto"/>
            </w:tcBorders>
          </w:tcPr>
          <w:p w14:paraId="2D5D3570" w14:textId="77777777" w:rsidR="00F7100A" w:rsidRPr="003E76E7" w:rsidRDefault="00F7100A" w:rsidP="00C4292D">
            <w:pPr>
              <w:tabs>
                <w:tab w:val="left" w:pos="709"/>
              </w:tabs>
              <w:spacing w:before="60" w:after="60"/>
              <w:rPr>
                <w:rFonts w:ascii="Arial" w:hAnsi="Arial"/>
                <w:bCs/>
                <w:color w:val="000000"/>
                <w:sz w:val="16"/>
                <w:szCs w:val="16"/>
                <w:lang w:val="en-AU"/>
              </w:rPr>
            </w:pPr>
            <w:r w:rsidRPr="003E76E7">
              <w:rPr>
                <w:rFonts w:ascii="Arial" w:hAnsi="Arial"/>
                <w:bCs/>
                <w:color w:val="000000"/>
                <w:sz w:val="16"/>
                <w:szCs w:val="16"/>
                <w:lang w:val="en-AU"/>
              </w:rPr>
              <w:t>This program is achieved through the following activities:</w:t>
            </w:r>
          </w:p>
          <w:p w14:paraId="4C7E404C" w14:textId="77777777" w:rsidR="00082A97" w:rsidRPr="003E76E7" w:rsidRDefault="00082A97" w:rsidP="00C4292D">
            <w:pPr>
              <w:tabs>
                <w:tab w:val="left" w:pos="343"/>
              </w:tabs>
              <w:spacing w:before="60" w:after="60"/>
              <w:rPr>
                <w:rFonts w:ascii="Arial" w:hAnsi="Arial"/>
                <w:sz w:val="16"/>
                <w:szCs w:val="16"/>
                <w:lang w:val="en-AU"/>
              </w:rPr>
            </w:pPr>
            <w:r w:rsidRPr="003E76E7">
              <w:rPr>
                <w:rFonts w:ascii="Arial" w:hAnsi="Arial"/>
                <w:b/>
                <w:sz w:val="16"/>
                <w:szCs w:val="16"/>
                <w:lang w:val="en-AU"/>
              </w:rPr>
              <w:t xml:space="preserve">3. Enable intelligence-informed decision-making. </w:t>
            </w:r>
          </w:p>
          <w:p w14:paraId="53B0CA2E" w14:textId="1257E9D1" w:rsidR="00F7100A" w:rsidRPr="003E76E7" w:rsidRDefault="00082A97" w:rsidP="00C4292D">
            <w:pPr>
              <w:tabs>
                <w:tab w:val="left" w:pos="343"/>
              </w:tabs>
              <w:spacing w:before="60" w:after="60"/>
              <w:rPr>
                <w:rFonts w:ascii="Arial" w:hAnsi="Arial"/>
                <w:i/>
                <w:color w:val="000000"/>
                <w:sz w:val="16"/>
                <w:szCs w:val="16"/>
              </w:rPr>
            </w:pPr>
            <w:r w:rsidRPr="003E76E7">
              <w:rPr>
                <w:rFonts w:ascii="Arial" w:hAnsi="Arial"/>
                <w:b/>
                <w:sz w:val="16"/>
                <w:szCs w:val="16"/>
                <w:lang w:val="en-AU"/>
              </w:rPr>
              <w:t>6. Deliver future capability</w:t>
            </w:r>
            <w:r w:rsidRPr="003E76E7">
              <w:rPr>
                <w:rFonts w:ascii="Arial" w:hAnsi="Arial"/>
                <w:sz w:val="16"/>
                <w:szCs w:val="16"/>
                <w:lang w:val="en-AU"/>
              </w:rPr>
              <w:t>.</w:t>
            </w:r>
          </w:p>
        </w:tc>
      </w:tr>
      <w:tr w:rsidR="00F7100A" w:rsidRPr="003E76E7" w14:paraId="5BDB68B4" w14:textId="77777777" w:rsidTr="00487C49">
        <w:tblPrEx>
          <w:shd w:val="clear" w:color="auto" w:fill="auto"/>
          <w:tblLook w:val="04A0" w:firstRow="1" w:lastRow="0" w:firstColumn="1" w:lastColumn="0" w:noHBand="0" w:noVBand="1"/>
        </w:tblPrEx>
        <w:trPr>
          <w:trHeight w:val="100"/>
        </w:trPr>
        <w:tc>
          <w:tcPr>
            <w:tcW w:w="1671" w:type="dxa"/>
            <w:tcBorders>
              <w:top w:val="single" w:sz="4" w:space="0" w:color="auto"/>
              <w:bottom w:val="single" w:sz="4" w:space="0" w:color="auto"/>
              <w:right w:val="single" w:sz="4" w:space="0" w:color="auto"/>
            </w:tcBorders>
          </w:tcPr>
          <w:p w14:paraId="52837B19" w14:textId="77777777" w:rsidR="00F7100A" w:rsidRPr="003E76E7" w:rsidRDefault="00F7100A" w:rsidP="00C4292D">
            <w:pPr>
              <w:tabs>
                <w:tab w:val="left" w:pos="709"/>
              </w:tabs>
              <w:spacing w:before="60" w:after="60"/>
              <w:rPr>
                <w:rFonts w:ascii="Arial" w:hAnsi="Arial"/>
                <w:color w:val="000000"/>
                <w:sz w:val="16"/>
                <w:szCs w:val="16"/>
              </w:rPr>
            </w:pPr>
            <w:r w:rsidRPr="003E76E7">
              <w:rPr>
                <w:rFonts w:ascii="Arial" w:hAnsi="Arial"/>
                <w:b/>
                <w:color w:val="000000"/>
                <w:sz w:val="16"/>
                <w:szCs w:val="16"/>
              </w:rPr>
              <w:t>Year</w:t>
            </w:r>
          </w:p>
        </w:tc>
        <w:tc>
          <w:tcPr>
            <w:tcW w:w="2884" w:type="dxa"/>
            <w:tcBorders>
              <w:top w:val="single" w:sz="4" w:space="0" w:color="auto"/>
              <w:left w:val="single" w:sz="4" w:space="0" w:color="auto"/>
              <w:bottom w:val="single" w:sz="4" w:space="0" w:color="auto"/>
              <w:right w:val="single" w:sz="4" w:space="0" w:color="auto"/>
            </w:tcBorders>
          </w:tcPr>
          <w:p w14:paraId="19165077" w14:textId="3D0E8B8B" w:rsidR="00F7100A" w:rsidRPr="003E76E7" w:rsidRDefault="00AD14EC" w:rsidP="00C4292D">
            <w:pPr>
              <w:tabs>
                <w:tab w:val="left" w:pos="709"/>
              </w:tabs>
              <w:spacing w:before="60" w:after="60"/>
              <w:rPr>
                <w:rFonts w:ascii="Arial" w:hAnsi="Arial"/>
                <w:color w:val="000000"/>
              </w:rPr>
            </w:pPr>
            <w:r w:rsidRPr="003E76E7">
              <w:rPr>
                <w:rFonts w:ascii="Arial" w:hAnsi="Arial"/>
                <w:b/>
                <w:color w:val="000000"/>
                <w:sz w:val="16"/>
                <w:szCs w:val="16"/>
              </w:rPr>
              <w:t>Performance Measures</w:t>
            </w:r>
          </w:p>
        </w:tc>
        <w:tc>
          <w:tcPr>
            <w:tcW w:w="3055" w:type="dxa"/>
            <w:gridSpan w:val="2"/>
            <w:tcBorders>
              <w:top w:val="single" w:sz="4" w:space="0" w:color="auto"/>
              <w:left w:val="single" w:sz="4" w:space="0" w:color="auto"/>
              <w:bottom w:val="single" w:sz="4" w:space="0" w:color="auto"/>
            </w:tcBorders>
          </w:tcPr>
          <w:p w14:paraId="0819ABAB" w14:textId="77777777" w:rsidR="00F7100A" w:rsidRPr="003E76E7" w:rsidRDefault="00F7100A" w:rsidP="00C4292D">
            <w:pPr>
              <w:tabs>
                <w:tab w:val="left" w:pos="709"/>
              </w:tabs>
              <w:spacing w:before="60" w:after="60"/>
              <w:rPr>
                <w:rFonts w:ascii="Arial" w:hAnsi="Arial"/>
                <w:i/>
                <w:color w:val="000000"/>
                <w:sz w:val="16"/>
                <w:szCs w:val="16"/>
              </w:rPr>
            </w:pPr>
            <w:r w:rsidRPr="003E76E7">
              <w:rPr>
                <w:rFonts w:ascii="Arial" w:hAnsi="Arial"/>
                <w:b/>
                <w:color w:val="000000"/>
                <w:sz w:val="16"/>
                <w:szCs w:val="16"/>
              </w:rPr>
              <w:t>Expected Performance Results</w:t>
            </w:r>
          </w:p>
        </w:tc>
      </w:tr>
      <w:tr w:rsidR="00082A97" w:rsidRPr="003E76E7" w14:paraId="702A54BE" w14:textId="77777777" w:rsidTr="000E1A17">
        <w:trPr>
          <w:trHeight w:val="305"/>
        </w:trPr>
        <w:tc>
          <w:tcPr>
            <w:tcW w:w="1671" w:type="dxa"/>
            <w:vMerge w:val="restart"/>
            <w:tcBorders>
              <w:top w:val="single" w:sz="4" w:space="0" w:color="auto"/>
              <w:right w:val="single" w:sz="4" w:space="0" w:color="auto"/>
            </w:tcBorders>
          </w:tcPr>
          <w:p w14:paraId="0B4CBA54" w14:textId="77777777" w:rsidR="00082A97" w:rsidRPr="003E76E7" w:rsidRDefault="00082A97" w:rsidP="00C4292D">
            <w:pPr>
              <w:tabs>
                <w:tab w:val="left" w:pos="709"/>
              </w:tabs>
              <w:spacing w:before="0" w:after="0"/>
              <w:rPr>
                <w:rFonts w:ascii="Arial" w:hAnsi="Arial"/>
                <w:color w:val="000000"/>
                <w:sz w:val="16"/>
                <w:szCs w:val="16"/>
              </w:rPr>
            </w:pPr>
            <w:r w:rsidRPr="003E76E7">
              <w:rPr>
                <w:rFonts w:ascii="Arial" w:hAnsi="Arial"/>
                <w:color w:val="000000"/>
                <w:sz w:val="16"/>
                <w:szCs w:val="16"/>
              </w:rPr>
              <w:t>Current Year</w:t>
            </w:r>
          </w:p>
          <w:p w14:paraId="1994E270" w14:textId="28FE1561" w:rsidR="00082A97" w:rsidRPr="003E76E7" w:rsidRDefault="00082A97" w:rsidP="00C4292D">
            <w:pPr>
              <w:tabs>
                <w:tab w:val="left" w:pos="709"/>
              </w:tabs>
              <w:spacing w:before="0" w:after="0"/>
              <w:rPr>
                <w:rFonts w:ascii="Arial" w:hAnsi="Arial"/>
                <w:color w:val="000000"/>
                <w:sz w:val="16"/>
                <w:szCs w:val="16"/>
              </w:rPr>
            </w:pPr>
            <w:r w:rsidRPr="003E76E7">
              <w:rPr>
                <w:rFonts w:ascii="Arial" w:hAnsi="Arial"/>
                <w:color w:val="000000"/>
                <w:sz w:val="16"/>
                <w:szCs w:val="16"/>
              </w:rPr>
              <w:t>2025-26</w:t>
            </w:r>
            <w:r w:rsidR="003C0ED5" w:rsidRPr="003E76E7">
              <w:rPr>
                <w:rFonts w:ascii="Arial" w:hAnsi="Arial"/>
                <w:color w:val="000000"/>
                <w:sz w:val="16"/>
                <w:szCs w:val="16"/>
              </w:rPr>
              <w:t xml:space="preserve"> </w:t>
            </w:r>
            <w:r w:rsidR="003C0ED5" w:rsidRPr="003E76E7">
              <w:rPr>
                <w:rFonts w:ascii="Arial" w:hAnsi="Arial"/>
                <w:color w:val="000000"/>
                <w:sz w:val="16"/>
                <w:szCs w:val="16"/>
                <w:vertAlign w:val="superscript"/>
              </w:rPr>
              <w:t>[a]</w:t>
            </w:r>
          </w:p>
        </w:tc>
        <w:tc>
          <w:tcPr>
            <w:tcW w:w="2884" w:type="dxa"/>
            <w:tcBorders>
              <w:top w:val="single" w:sz="4" w:space="0" w:color="auto"/>
              <w:left w:val="single" w:sz="4" w:space="0" w:color="auto"/>
              <w:bottom w:val="single" w:sz="4" w:space="0" w:color="auto"/>
              <w:right w:val="single" w:sz="4" w:space="0" w:color="auto"/>
            </w:tcBorders>
          </w:tcPr>
          <w:p w14:paraId="7FBFA5D2" w14:textId="281C8081" w:rsidR="00082A97" w:rsidRPr="003E76E7" w:rsidRDefault="00082A97" w:rsidP="00C4292D">
            <w:pPr>
              <w:tabs>
                <w:tab w:val="left" w:pos="709"/>
              </w:tabs>
              <w:spacing w:before="60" w:after="60"/>
              <w:rPr>
                <w:rFonts w:ascii="Arial" w:hAnsi="Arial"/>
                <w:color w:val="000000"/>
                <w:sz w:val="16"/>
                <w:szCs w:val="16"/>
              </w:rPr>
            </w:pPr>
            <w:r w:rsidRPr="003E76E7">
              <w:rPr>
                <w:rFonts w:ascii="Arial" w:hAnsi="Arial"/>
                <w:sz w:val="16"/>
                <w:szCs w:val="16"/>
                <w:lang w:val="en-AU"/>
              </w:rPr>
              <w:t>3.1: Defence key stakeholder satisfaction of the alignment and impact of Defence Intelligence Enterprise intelligence assessments and products.</w:t>
            </w:r>
          </w:p>
        </w:tc>
        <w:tc>
          <w:tcPr>
            <w:tcW w:w="3055" w:type="dxa"/>
            <w:gridSpan w:val="2"/>
            <w:tcBorders>
              <w:top w:val="single" w:sz="4" w:space="0" w:color="auto"/>
              <w:left w:val="single" w:sz="4" w:space="0" w:color="auto"/>
              <w:bottom w:val="single" w:sz="4" w:space="0" w:color="auto"/>
            </w:tcBorders>
          </w:tcPr>
          <w:p w14:paraId="29DCDF2B" w14:textId="77777777" w:rsidR="00082A97" w:rsidRPr="003E76E7" w:rsidRDefault="00082A97" w:rsidP="00C4292D">
            <w:pPr>
              <w:tabs>
                <w:tab w:val="left" w:pos="709"/>
              </w:tabs>
              <w:spacing w:before="60" w:after="60"/>
              <w:ind w:left="2"/>
              <w:rPr>
                <w:rFonts w:ascii="Arial" w:eastAsia="Calibri" w:hAnsi="Arial"/>
                <w:sz w:val="16"/>
                <w:szCs w:val="16"/>
                <w:lang w:eastAsia="en-US"/>
              </w:rPr>
            </w:pPr>
            <w:r w:rsidRPr="003E76E7">
              <w:rPr>
                <w:rFonts w:ascii="Arial" w:eastAsia="Calibri" w:hAnsi="Arial"/>
                <w:sz w:val="16"/>
                <w:szCs w:val="16"/>
                <w:lang w:eastAsia="en-US"/>
              </w:rPr>
              <w:t>Defence maintains alignment of Defence Intelligence Enterprise intelligence assessments and products against the Defence Intelligence Prioritisation Framework and key stakeholders report a positive impact of Defence Intelligence Enterprise intelligence assessments and products to their decision-making.</w:t>
            </w:r>
          </w:p>
          <w:p w14:paraId="77F0E912" w14:textId="44A14BAB" w:rsidR="00082A97" w:rsidRPr="003E76E7" w:rsidRDefault="00082A97" w:rsidP="00C4292D">
            <w:pPr>
              <w:tabs>
                <w:tab w:val="left" w:pos="709"/>
              </w:tabs>
              <w:spacing w:before="60" w:after="60"/>
              <w:jc w:val="right"/>
              <w:rPr>
                <w:rFonts w:ascii="Arial" w:hAnsi="Arial"/>
                <w:i/>
                <w:color w:val="000000"/>
                <w:sz w:val="16"/>
                <w:szCs w:val="16"/>
              </w:rPr>
            </w:pPr>
            <w:r w:rsidRPr="003E76E7">
              <w:rPr>
                <w:rFonts w:ascii="Arial" w:eastAsia="Calibri" w:hAnsi="Arial"/>
                <w:i/>
                <w:sz w:val="16"/>
                <w:szCs w:val="16"/>
                <w:lang w:val="en-AU" w:eastAsia="en-US"/>
              </w:rPr>
              <w:t>Expected to be achieved.</w:t>
            </w:r>
          </w:p>
        </w:tc>
      </w:tr>
      <w:tr w:rsidR="00487C49" w:rsidRPr="003E76E7" w14:paraId="68156B37" w14:textId="77777777" w:rsidTr="00A211F5">
        <w:trPr>
          <w:trHeight w:val="1090"/>
        </w:trPr>
        <w:tc>
          <w:tcPr>
            <w:tcW w:w="1671" w:type="dxa"/>
            <w:vMerge/>
            <w:tcBorders>
              <w:bottom w:val="single" w:sz="4" w:space="0" w:color="auto"/>
              <w:right w:val="single" w:sz="4" w:space="0" w:color="auto"/>
            </w:tcBorders>
          </w:tcPr>
          <w:p w14:paraId="2301EAF2" w14:textId="77777777" w:rsidR="00487C49" w:rsidRPr="003E76E7" w:rsidRDefault="00487C49" w:rsidP="00C4292D">
            <w:pPr>
              <w:tabs>
                <w:tab w:val="left" w:pos="709"/>
              </w:tabs>
              <w:spacing w:before="60" w:after="60"/>
              <w:rPr>
                <w:rFonts w:ascii="Arial" w:hAnsi="Arial"/>
                <w:color w:val="000000"/>
                <w:sz w:val="16"/>
                <w:szCs w:val="16"/>
              </w:rPr>
            </w:pPr>
          </w:p>
        </w:tc>
        <w:tc>
          <w:tcPr>
            <w:tcW w:w="2884" w:type="dxa"/>
            <w:tcBorders>
              <w:top w:val="single" w:sz="4" w:space="0" w:color="auto"/>
              <w:left w:val="single" w:sz="4" w:space="0" w:color="auto"/>
              <w:bottom w:val="single" w:sz="4" w:space="0" w:color="auto"/>
              <w:right w:val="single" w:sz="4" w:space="0" w:color="auto"/>
            </w:tcBorders>
            <w:shd w:val="clear" w:color="auto" w:fill="auto"/>
          </w:tcPr>
          <w:p w14:paraId="1B9F0B60" w14:textId="70D8330E" w:rsidR="00487C49" w:rsidRPr="003E76E7" w:rsidRDefault="00082A97" w:rsidP="00C4292D">
            <w:pPr>
              <w:autoSpaceDE w:val="0"/>
              <w:autoSpaceDN w:val="0"/>
              <w:adjustRightInd w:val="0"/>
              <w:spacing w:before="60" w:after="0"/>
              <w:rPr>
                <w:rFonts w:ascii="Arial" w:hAnsi="Arial"/>
                <w:color w:val="000000"/>
                <w:sz w:val="16"/>
                <w:szCs w:val="16"/>
              </w:rPr>
            </w:pPr>
            <w:r w:rsidRPr="003E76E7">
              <w:rPr>
                <w:rFonts w:ascii="Arial" w:hAnsi="Arial"/>
                <w:sz w:val="16"/>
                <w:szCs w:val="16"/>
                <w:lang w:val="en-AU"/>
              </w:rPr>
              <w:t>6.1: Defence is delivering the right future capability at the right time within the Integrated Investment Program to ensure it is equipped to respond to future security challenges as directed by the National Defence Strategy.</w:t>
            </w:r>
          </w:p>
        </w:tc>
        <w:tc>
          <w:tcPr>
            <w:tcW w:w="3055" w:type="dxa"/>
            <w:gridSpan w:val="2"/>
            <w:tcBorders>
              <w:top w:val="single" w:sz="4" w:space="0" w:color="auto"/>
              <w:left w:val="single" w:sz="4" w:space="0" w:color="auto"/>
              <w:bottom w:val="single" w:sz="4" w:space="0" w:color="auto"/>
            </w:tcBorders>
            <w:shd w:val="clear" w:color="auto" w:fill="auto"/>
          </w:tcPr>
          <w:p w14:paraId="293D8589" w14:textId="2DDFFB72" w:rsidR="00082A97" w:rsidRPr="003E76E7" w:rsidRDefault="00082A97" w:rsidP="00C4292D">
            <w:pPr>
              <w:tabs>
                <w:tab w:val="left" w:pos="709"/>
              </w:tabs>
              <w:spacing w:before="60" w:after="60"/>
              <w:rPr>
                <w:rFonts w:ascii="Arial" w:hAnsi="Arial"/>
                <w:sz w:val="16"/>
                <w:szCs w:val="16"/>
                <w:lang w:val="en-AU"/>
              </w:rPr>
            </w:pPr>
            <w:r w:rsidRPr="003E76E7">
              <w:rPr>
                <w:rFonts w:ascii="Arial" w:hAnsi="Arial"/>
                <w:sz w:val="16"/>
                <w:szCs w:val="16"/>
                <w:lang w:val="en-AU"/>
              </w:rPr>
              <w:t>80 per cent or more of approved Integrated Investment Program projects across all domains are on track to deliver within Government approved scope, schedule, and cost (including contingency).</w:t>
            </w:r>
          </w:p>
          <w:p w14:paraId="4B647626" w14:textId="0E8E83C1" w:rsidR="00487C49" w:rsidRPr="003E76E7" w:rsidRDefault="00E5190E" w:rsidP="00C4292D">
            <w:pPr>
              <w:tabs>
                <w:tab w:val="left" w:pos="709"/>
              </w:tabs>
              <w:spacing w:before="60" w:after="60"/>
              <w:jc w:val="right"/>
              <w:rPr>
                <w:rFonts w:ascii="Arial" w:hAnsi="Arial"/>
                <w:sz w:val="16"/>
                <w:szCs w:val="16"/>
              </w:rPr>
            </w:pPr>
            <w:r w:rsidRPr="003E76E7">
              <w:rPr>
                <w:rFonts w:ascii="Arial" w:hAnsi="Arial"/>
                <w:i/>
                <w:sz w:val="16"/>
                <w:szCs w:val="16"/>
                <w:lang w:val="en-AU"/>
              </w:rPr>
              <w:t>Expected to be achieved</w:t>
            </w:r>
            <w:r w:rsidR="002913A3" w:rsidRPr="003E76E7">
              <w:rPr>
                <w:rFonts w:ascii="Arial" w:hAnsi="Arial"/>
                <w:i/>
                <w:sz w:val="16"/>
                <w:szCs w:val="16"/>
                <w:lang w:val="en-AU"/>
              </w:rPr>
              <w:t>.</w:t>
            </w:r>
          </w:p>
        </w:tc>
      </w:tr>
      <w:tr w:rsidR="00487C49" w:rsidRPr="003E76E7" w14:paraId="41A29C3B" w14:textId="77777777" w:rsidTr="00487C49">
        <w:tblPrEx>
          <w:shd w:val="clear" w:color="auto" w:fill="auto"/>
          <w:tblLook w:val="04A0" w:firstRow="1" w:lastRow="0" w:firstColumn="1" w:lastColumn="0" w:noHBand="0" w:noVBand="1"/>
        </w:tblPrEx>
        <w:trPr>
          <w:trHeight w:val="258"/>
        </w:trPr>
        <w:tc>
          <w:tcPr>
            <w:tcW w:w="1671" w:type="dxa"/>
            <w:tcBorders>
              <w:top w:val="single" w:sz="4" w:space="0" w:color="auto"/>
              <w:bottom w:val="single" w:sz="4" w:space="0" w:color="auto"/>
              <w:right w:val="single" w:sz="4" w:space="0" w:color="auto"/>
            </w:tcBorders>
          </w:tcPr>
          <w:p w14:paraId="18BF0DE6" w14:textId="77777777" w:rsidR="00487C49" w:rsidRPr="003E76E7" w:rsidRDefault="00487C49" w:rsidP="00C4292D">
            <w:pPr>
              <w:tabs>
                <w:tab w:val="left" w:pos="709"/>
              </w:tabs>
              <w:spacing w:before="60" w:after="60"/>
              <w:rPr>
                <w:rFonts w:ascii="Arial" w:hAnsi="Arial"/>
                <w:b/>
                <w:color w:val="000000"/>
                <w:sz w:val="16"/>
                <w:szCs w:val="16"/>
              </w:rPr>
            </w:pPr>
            <w:r w:rsidRPr="003E76E7">
              <w:rPr>
                <w:rFonts w:ascii="Arial" w:hAnsi="Arial"/>
                <w:b/>
                <w:color w:val="000000"/>
                <w:sz w:val="16"/>
                <w:szCs w:val="16"/>
              </w:rPr>
              <w:t>Year</w:t>
            </w:r>
          </w:p>
        </w:tc>
        <w:tc>
          <w:tcPr>
            <w:tcW w:w="2884" w:type="dxa"/>
            <w:tcBorders>
              <w:top w:val="single" w:sz="4" w:space="0" w:color="auto"/>
              <w:left w:val="single" w:sz="4" w:space="0" w:color="auto"/>
              <w:bottom w:val="single" w:sz="4" w:space="0" w:color="auto"/>
              <w:right w:val="single" w:sz="4" w:space="0" w:color="auto"/>
            </w:tcBorders>
          </w:tcPr>
          <w:p w14:paraId="74850020" w14:textId="59F199DE" w:rsidR="00487C49" w:rsidRPr="003E76E7" w:rsidRDefault="00AD14EC" w:rsidP="00C4292D">
            <w:pPr>
              <w:tabs>
                <w:tab w:val="left" w:pos="709"/>
                <w:tab w:val="center" w:pos="1818"/>
              </w:tabs>
              <w:spacing w:before="60" w:after="60"/>
              <w:rPr>
                <w:rFonts w:ascii="Arial" w:hAnsi="Arial"/>
                <w:b/>
                <w:color w:val="000000"/>
                <w:sz w:val="16"/>
                <w:szCs w:val="16"/>
              </w:rPr>
            </w:pPr>
            <w:r w:rsidRPr="003E76E7">
              <w:rPr>
                <w:rFonts w:ascii="Arial" w:hAnsi="Arial"/>
                <w:b/>
                <w:color w:val="000000"/>
                <w:sz w:val="16"/>
                <w:szCs w:val="16"/>
              </w:rPr>
              <w:t>Performance Measures</w:t>
            </w:r>
          </w:p>
        </w:tc>
        <w:tc>
          <w:tcPr>
            <w:tcW w:w="3055" w:type="dxa"/>
            <w:gridSpan w:val="2"/>
            <w:tcBorders>
              <w:top w:val="single" w:sz="4" w:space="0" w:color="auto"/>
              <w:left w:val="single" w:sz="4" w:space="0" w:color="auto"/>
              <w:bottom w:val="single" w:sz="4" w:space="0" w:color="auto"/>
            </w:tcBorders>
          </w:tcPr>
          <w:p w14:paraId="2D62C815" w14:textId="77777777" w:rsidR="00487C49" w:rsidRPr="003E76E7" w:rsidRDefault="00487C49" w:rsidP="00C4292D">
            <w:pPr>
              <w:tabs>
                <w:tab w:val="left" w:pos="709"/>
              </w:tabs>
              <w:spacing w:before="60" w:after="60"/>
              <w:rPr>
                <w:rFonts w:ascii="Arial" w:hAnsi="Arial"/>
                <w:b/>
                <w:color w:val="000000"/>
                <w:sz w:val="16"/>
                <w:szCs w:val="16"/>
              </w:rPr>
            </w:pPr>
            <w:r w:rsidRPr="003E76E7">
              <w:rPr>
                <w:rFonts w:ascii="Arial" w:hAnsi="Arial"/>
                <w:b/>
                <w:color w:val="000000"/>
                <w:sz w:val="16"/>
                <w:szCs w:val="16"/>
              </w:rPr>
              <w:t>Planned Performance Results</w:t>
            </w:r>
          </w:p>
        </w:tc>
      </w:tr>
      <w:tr w:rsidR="00082A97" w:rsidRPr="003E76E7" w14:paraId="7391EB21" w14:textId="77777777" w:rsidTr="000E1A17">
        <w:trPr>
          <w:trHeight w:val="320"/>
        </w:trPr>
        <w:tc>
          <w:tcPr>
            <w:tcW w:w="1671" w:type="dxa"/>
            <w:vMerge w:val="restart"/>
            <w:tcBorders>
              <w:top w:val="single" w:sz="4" w:space="0" w:color="auto"/>
              <w:right w:val="single" w:sz="4" w:space="0" w:color="auto"/>
            </w:tcBorders>
          </w:tcPr>
          <w:p w14:paraId="16504BAB" w14:textId="77777777" w:rsidR="00082A97" w:rsidRPr="003E76E7" w:rsidRDefault="00082A97" w:rsidP="00C4292D">
            <w:pPr>
              <w:tabs>
                <w:tab w:val="left" w:pos="709"/>
              </w:tabs>
              <w:spacing w:before="0" w:after="0"/>
              <w:rPr>
                <w:rFonts w:ascii="Arial" w:hAnsi="Arial"/>
                <w:color w:val="000000"/>
                <w:sz w:val="16"/>
                <w:szCs w:val="16"/>
              </w:rPr>
            </w:pPr>
            <w:r w:rsidRPr="003E76E7">
              <w:rPr>
                <w:rFonts w:ascii="Arial" w:hAnsi="Arial"/>
                <w:color w:val="000000"/>
                <w:sz w:val="16"/>
                <w:szCs w:val="16"/>
              </w:rPr>
              <w:t>Budget Year</w:t>
            </w:r>
          </w:p>
          <w:p w14:paraId="2173967F" w14:textId="24A8C087" w:rsidR="00082A97" w:rsidRPr="003E76E7" w:rsidRDefault="00082A97" w:rsidP="00C4292D">
            <w:pPr>
              <w:tabs>
                <w:tab w:val="left" w:pos="709"/>
              </w:tabs>
              <w:spacing w:before="0" w:after="0"/>
              <w:rPr>
                <w:rFonts w:ascii="Arial" w:hAnsi="Arial"/>
                <w:color w:val="000000"/>
                <w:sz w:val="16"/>
                <w:szCs w:val="16"/>
              </w:rPr>
            </w:pPr>
            <w:r w:rsidRPr="003E76E7">
              <w:rPr>
                <w:rFonts w:ascii="Arial" w:hAnsi="Arial"/>
                <w:color w:val="000000"/>
                <w:sz w:val="16"/>
                <w:szCs w:val="16"/>
              </w:rPr>
              <w:t xml:space="preserve">2026-27 </w:t>
            </w:r>
            <w:r w:rsidRPr="003E76E7">
              <w:rPr>
                <w:rFonts w:ascii="Arial" w:hAnsi="Arial"/>
                <w:color w:val="000000"/>
                <w:sz w:val="16"/>
                <w:szCs w:val="16"/>
                <w:vertAlign w:val="superscript"/>
              </w:rPr>
              <w:t>[</w:t>
            </w:r>
            <w:r w:rsidR="003C0ED5" w:rsidRPr="003E76E7">
              <w:rPr>
                <w:rFonts w:ascii="Arial" w:hAnsi="Arial"/>
                <w:color w:val="000000"/>
                <w:sz w:val="16"/>
                <w:szCs w:val="16"/>
                <w:vertAlign w:val="superscript"/>
              </w:rPr>
              <w:t>b</w:t>
            </w:r>
            <w:r w:rsidRPr="003E76E7">
              <w:rPr>
                <w:rFonts w:ascii="Arial" w:hAnsi="Arial"/>
                <w:color w:val="000000"/>
                <w:sz w:val="16"/>
                <w:szCs w:val="16"/>
                <w:vertAlign w:val="superscript"/>
              </w:rPr>
              <w:t>]</w:t>
            </w:r>
          </w:p>
        </w:tc>
        <w:tc>
          <w:tcPr>
            <w:tcW w:w="2884" w:type="dxa"/>
            <w:tcBorders>
              <w:top w:val="single" w:sz="4" w:space="0" w:color="auto"/>
              <w:left w:val="single" w:sz="4" w:space="0" w:color="auto"/>
              <w:bottom w:val="single" w:sz="4" w:space="0" w:color="auto"/>
              <w:right w:val="single" w:sz="4" w:space="0" w:color="auto"/>
            </w:tcBorders>
          </w:tcPr>
          <w:p w14:paraId="6A614287" w14:textId="1ADF6DE2" w:rsidR="00082A97" w:rsidRPr="003E76E7" w:rsidRDefault="00082A97" w:rsidP="00C4292D">
            <w:pPr>
              <w:tabs>
                <w:tab w:val="left" w:pos="709"/>
              </w:tabs>
              <w:spacing w:before="60" w:after="60"/>
              <w:rPr>
                <w:rFonts w:ascii="Arial" w:hAnsi="Arial"/>
                <w:color w:val="000000"/>
                <w:sz w:val="16"/>
                <w:szCs w:val="16"/>
              </w:rPr>
            </w:pPr>
            <w:r w:rsidRPr="003E76E7">
              <w:rPr>
                <w:rFonts w:ascii="Arial" w:hAnsi="Arial"/>
                <w:sz w:val="16"/>
                <w:szCs w:val="16"/>
                <w:lang w:val="en-AU"/>
              </w:rPr>
              <w:t>3.1: Defence key stakeholder satisfaction of the alignment and impact of Defence Intelligence Enterprise intelligence assessments and products.</w:t>
            </w:r>
          </w:p>
        </w:tc>
        <w:tc>
          <w:tcPr>
            <w:tcW w:w="3055" w:type="dxa"/>
            <w:gridSpan w:val="2"/>
            <w:tcBorders>
              <w:top w:val="single" w:sz="4" w:space="0" w:color="auto"/>
              <w:left w:val="single" w:sz="4" w:space="0" w:color="auto"/>
              <w:bottom w:val="single" w:sz="4" w:space="0" w:color="auto"/>
            </w:tcBorders>
          </w:tcPr>
          <w:p w14:paraId="30421E52" w14:textId="08873D50" w:rsidR="00082A97" w:rsidRPr="003E76E7" w:rsidRDefault="00082A97" w:rsidP="00C4292D">
            <w:pPr>
              <w:tabs>
                <w:tab w:val="left" w:pos="709"/>
              </w:tabs>
              <w:spacing w:before="60" w:after="60"/>
              <w:rPr>
                <w:rFonts w:ascii="Arial" w:hAnsi="Arial"/>
                <w:i/>
                <w:color w:val="000000"/>
                <w:sz w:val="16"/>
                <w:szCs w:val="16"/>
              </w:rPr>
            </w:pPr>
            <w:r w:rsidRPr="003E76E7">
              <w:rPr>
                <w:rFonts w:ascii="Arial" w:eastAsia="Calibri" w:hAnsi="Arial"/>
                <w:sz w:val="16"/>
                <w:szCs w:val="16"/>
                <w:lang w:eastAsia="en-US"/>
              </w:rPr>
              <w:t>Defence maintains alignment of Defence Intelligence Enterprise intelligence assessments and products against the Defence Intelligence Prioritisation Framework and key stakeholders report a positive impact of Defence Intelligence Enterprise intelligence assessments and products to their decision-making.</w:t>
            </w:r>
          </w:p>
        </w:tc>
      </w:tr>
      <w:tr w:rsidR="00082A97" w:rsidRPr="003E76E7" w14:paraId="3D9DF4D9" w14:textId="77777777" w:rsidTr="00A211F5">
        <w:trPr>
          <w:trHeight w:val="1222"/>
        </w:trPr>
        <w:tc>
          <w:tcPr>
            <w:tcW w:w="1671" w:type="dxa"/>
            <w:vMerge/>
            <w:tcBorders>
              <w:bottom w:val="dotted" w:sz="4" w:space="0" w:color="auto"/>
              <w:right w:val="single" w:sz="4" w:space="0" w:color="auto"/>
            </w:tcBorders>
          </w:tcPr>
          <w:p w14:paraId="3FF64BCC" w14:textId="77777777" w:rsidR="00082A97" w:rsidRPr="003E76E7" w:rsidRDefault="00082A97" w:rsidP="00C4292D">
            <w:pPr>
              <w:tabs>
                <w:tab w:val="left" w:pos="709"/>
              </w:tabs>
              <w:spacing w:before="60" w:after="60"/>
              <w:rPr>
                <w:rFonts w:ascii="Arial" w:hAnsi="Arial"/>
                <w:color w:val="000000"/>
                <w:sz w:val="16"/>
                <w:szCs w:val="16"/>
              </w:rPr>
            </w:pPr>
          </w:p>
        </w:tc>
        <w:tc>
          <w:tcPr>
            <w:tcW w:w="2884" w:type="dxa"/>
            <w:tcBorders>
              <w:top w:val="single" w:sz="4" w:space="0" w:color="auto"/>
              <w:left w:val="single" w:sz="4" w:space="0" w:color="auto"/>
              <w:bottom w:val="single" w:sz="4" w:space="0" w:color="auto"/>
              <w:right w:val="single" w:sz="4" w:space="0" w:color="auto"/>
            </w:tcBorders>
          </w:tcPr>
          <w:p w14:paraId="66C69FDB" w14:textId="4747E11B" w:rsidR="00082A97" w:rsidRPr="003E76E7" w:rsidRDefault="00082A97" w:rsidP="00C4292D">
            <w:pPr>
              <w:autoSpaceDE w:val="0"/>
              <w:autoSpaceDN w:val="0"/>
              <w:adjustRightInd w:val="0"/>
              <w:spacing w:before="60" w:after="0"/>
              <w:rPr>
                <w:rFonts w:ascii="Arial" w:hAnsi="Arial"/>
                <w:color w:val="000000"/>
                <w:sz w:val="16"/>
                <w:szCs w:val="16"/>
              </w:rPr>
            </w:pPr>
            <w:r w:rsidRPr="003E76E7">
              <w:rPr>
                <w:rFonts w:ascii="Arial" w:hAnsi="Arial"/>
                <w:sz w:val="16"/>
                <w:szCs w:val="16"/>
                <w:lang w:val="en-AU"/>
              </w:rPr>
              <w:t>6.1: Defence is delivering the right future capability at the right time within the Integrated Investment Program to ensure it is equipped to respond to future security challenges as directed by the National Defence Strategy.</w:t>
            </w:r>
          </w:p>
        </w:tc>
        <w:tc>
          <w:tcPr>
            <w:tcW w:w="3055" w:type="dxa"/>
            <w:gridSpan w:val="2"/>
            <w:tcBorders>
              <w:top w:val="single" w:sz="4" w:space="0" w:color="auto"/>
              <w:left w:val="single" w:sz="4" w:space="0" w:color="auto"/>
              <w:bottom w:val="single" w:sz="4" w:space="0" w:color="auto"/>
            </w:tcBorders>
          </w:tcPr>
          <w:p w14:paraId="6CEF9116" w14:textId="2B93A7BF" w:rsidR="00082A97" w:rsidRPr="003E76E7" w:rsidRDefault="00082A97" w:rsidP="00C4292D">
            <w:pPr>
              <w:tabs>
                <w:tab w:val="left" w:pos="709"/>
              </w:tabs>
              <w:spacing w:before="60" w:after="60"/>
              <w:rPr>
                <w:rFonts w:ascii="Arial" w:hAnsi="Arial"/>
                <w:sz w:val="16"/>
                <w:szCs w:val="16"/>
              </w:rPr>
            </w:pPr>
            <w:r w:rsidRPr="003E76E7">
              <w:rPr>
                <w:rFonts w:ascii="Arial" w:hAnsi="Arial"/>
                <w:sz w:val="16"/>
                <w:szCs w:val="16"/>
                <w:lang w:val="en-AU"/>
              </w:rPr>
              <w:t>80 per cent or more of approved Integrated Investment Program projects across all domains are on track to deliver within Government approved scope, schedule, and cost (including contingency).</w:t>
            </w:r>
          </w:p>
        </w:tc>
      </w:tr>
      <w:tr w:rsidR="003C0ED5" w:rsidRPr="003E76E7" w14:paraId="7D18805E" w14:textId="77777777" w:rsidTr="003A20B0">
        <w:tblPrEx>
          <w:shd w:val="clear" w:color="auto" w:fill="auto"/>
          <w:tblLook w:val="04A0" w:firstRow="1" w:lastRow="0" w:firstColumn="1" w:lastColumn="0" w:noHBand="0" w:noVBand="1"/>
        </w:tblPrEx>
        <w:trPr>
          <w:trHeight w:val="258"/>
        </w:trPr>
        <w:tc>
          <w:tcPr>
            <w:tcW w:w="1671" w:type="dxa"/>
            <w:tcBorders>
              <w:top w:val="single" w:sz="4" w:space="0" w:color="auto"/>
              <w:bottom w:val="single" w:sz="4" w:space="0" w:color="auto"/>
              <w:right w:val="single" w:sz="4" w:space="0" w:color="auto"/>
            </w:tcBorders>
          </w:tcPr>
          <w:p w14:paraId="2602033F" w14:textId="77777777" w:rsidR="003C0ED5" w:rsidRPr="003E76E7" w:rsidRDefault="003C0ED5" w:rsidP="00C4292D">
            <w:pPr>
              <w:tabs>
                <w:tab w:val="left" w:pos="709"/>
              </w:tabs>
              <w:spacing w:before="60" w:after="60"/>
              <w:rPr>
                <w:rFonts w:ascii="Arial" w:hAnsi="Arial"/>
                <w:b/>
                <w:color w:val="000000"/>
                <w:sz w:val="16"/>
                <w:szCs w:val="16"/>
              </w:rPr>
            </w:pPr>
            <w:r w:rsidRPr="003E76E7">
              <w:rPr>
                <w:rFonts w:ascii="Arial" w:hAnsi="Arial"/>
                <w:b/>
                <w:color w:val="000000"/>
                <w:sz w:val="16"/>
                <w:szCs w:val="16"/>
              </w:rPr>
              <w:t>Year</w:t>
            </w:r>
          </w:p>
        </w:tc>
        <w:tc>
          <w:tcPr>
            <w:tcW w:w="2884" w:type="dxa"/>
            <w:tcBorders>
              <w:top w:val="single" w:sz="4" w:space="0" w:color="auto"/>
              <w:left w:val="single" w:sz="4" w:space="0" w:color="auto"/>
              <w:bottom w:val="single" w:sz="4" w:space="0" w:color="auto"/>
              <w:right w:val="single" w:sz="4" w:space="0" w:color="auto"/>
            </w:tcBorders>
          </w:tcPr>
          <w:p w14:paraId="36434F98" w14:textId="4DBD2340" w:rsidR="003C0ED5" w:rsidRPr="003E76E7" w:rsidRDefault="00AD14EC" w:rsidP="00C4292D">
            <w:pPr>
              <w:tabs>
                <w:tab w:val="left" w:pos="709"/>
                <w:tab w:val="center" w:pos="1818"/>
              </w:tabs>
              <w:spacing w:before="60" w:after="60"/>
              <w:rPr>
                <w:rFonts w:ascii="Arial" w:hAnsi="Arial"/>
                <w:b/>
                <w:color w:val="000000"/>
                <w:sz w:val="16"/>
                <w:szCs w:val="16"/>
              </w:rPr>
            </w:pPr>
            <w:r w:rsidRPr="003E76E7">
              <w:rPr>
                <w:rFonts w:ascii="Arial" w:hAnsi="Arial"/>
                <w:b/>
                <w:color w:val="000000"/>
                <w:sz w:val="16"/>
                <w:szCs w:val="16"/>
              </w:rPr>
              <w:t>Performance Measures</w:t>
            </w:r>
          </w:p>
        </w:tc>
        <w:tc>
          <w:tcPr>
            <w:tcW w:w="3055" w:type="dxa"/>
            <w:gridSpan w:val="2"/>
            <w:tcBorders>
              <w:top w:val="single" w:sz="4" w:space="0" w:color="auto"/>
              <w:left w:val="single" w:sz="4" w:space="0" w:color="auto"/>
              <w:bottom w:val="single" w:sz="4" w:space="0" w:color="auto"/>
            </w:tcBorders>
          </w:tcPr>
          <w:p w14:paraId="4F514D8A" w14:textId="77777777" w:rsidR="003C0ED5" w:rsidRPr="003E76E7" w:rsidRDefault="003C0ED5" w:rsidP="00C4292D">
            <w:pPr>
              <w:tabs>
                <w:tab w:val="left" w:pos="709"/>
              </w:tabs>
              <w:spacing w:before="60" w:after="60"/>
              <w:rPr>
                <w:rFonts w:ascii="Arial" w:hAnsi="Arial"/>
                <w:b/>
                <w:color w:val="000000"/>
                <w:sz w:val="16"/>
                <w:szCs w:val="16"/>
              </w:rPr>
            </w:pPr>
            <w:r w:rsidRPr="003E76E7">
              <w:rPr>
                <w:rFonts w:ascii="Arial" w:hAnsi="Arial"/>
                <w:b/>
                <w:color w:val="000000"/>
                <w:sz w:val="16"/>
                <w:szCs w:val="16"/>
              </w:rPr>
              <w:t>Planned Performance Results</w:t>
            </w:r>
          </w:p>
        </w:tc>
      </w:tr>
      <w:tr w:rsidR="00082A97" w:rsidRPr="003E76E7" w14:paraId="1D0E0F17" w14:textId="77777777" w:rsidTr="000E1A17">
        <w:trPr>
          <w:trHeight w:val="491"/>
        </w:trPr>
        <w:tc>
          <w:tcPr>
            <w:tcW w:w="1671" w:type="dxa"/>
            <w:tcBorders>
              <w:top w:val="single" w:sz="4" w:space="0" w:color="auto"/>
              <w:bottom w:val="single" w:sz="4" w:space="0" w:color="auto"/>
              <w:right w:val="single" w:sz="4" w:space="0" w:color="auto"/>
            </w:tcBorders>
            <w:vAlign w:val="center"/>
          </w:tcPr>
          <w:p w14:paraId="6FC70C69" w14:textId="77777777" w:rsidR="00082A97" w:rsidRPr="003E76E7" w:rsidRDefault="00082A97" w:rsidP="00C4292D">
            <w:pPr>
              <w:tabs>
                <w:tab w:val="left" w:pos="709"/>
              </w:tabs>
              <w:spacing w:before="0" w:after="0"/>
              <w:rPr>
                <w:rFonts w:ascii="Arial" w:hAnsi="Arial"/>
                <w:color w:val="000000"/>
                <w:sz w:val="16"/>
                <w:szCs w:val="16"/>
              </w:rPr>
            </w:pPr>
            <w:r w:rsidRPr="003E76E7">
              <w:rPr>
                <w:rFonts w:ascii="Arial" w:hAnsi="Arial"/>
                <w:color w:val="000000"/>
                <w:sz w:val="16"/>
                <w:szCs w:val="16"/>
              </w:rPr>
              <w:t>Forward Estimates</w:t>
            </w:r>
          </w:p>
          <w:p w14:paraId="42340158" w14:textId="0BA4D4C9" w:rsidR="00082A97" w:rsidRPr="003E76E7" w:rsidRDefault="00082A97" w:rsidP="00C4292D">
            <w:pPr>
              <w:tabs>
                <w:tab w:val="left" w:pos="709"/>
              </w:tabs>
              <w:spacing w:before="0" w:after="0"/>
              <w:rPr>
                <w:rFonts w:ascii="Arial" w:hAnsi="Arial"/>
                <w:b/>
                <w:color w:val="000000"/>
                <w:sz w:val="16"/>
                <w:szCs w:val="16"/>
              </w:rPr>
            </w:pPr>
            <w:r w:rsidRPr="003E76E7">
              <w:rPr>
                <w:rFonts w:ascii="Arial" w:hAnsi="Arial"/>
                <w:color w:val="000000"/>
                <w:sz w:val="16"/>
                <w:szCs w:val="16"/>
              </w:rPr>
              <w:t>2027-30</w:t>
            </w:r>
          </w:p>
        </w:tc>
        <w:tc>
          <w:tcPr>
            <w:tcW w:w="2884" w:type="dxa"/>
            <w:tcBorders>
              <w:top w:val="single" w:sz="4" w:space="0" w:color="auto"/>
              <w:left w:val="single" w:sz="4" w:space="0" w:color="auto"/>
              <w:bottom w:val="single" w:sz="4" w:space="0" w:color="auto"/>
              <w:right w:val="single" w:sz="4" w:space="0" w:color="auto"/>
            </w:tcBorders>
            <w:vAlign w:val="center"/>
          </w:tcPr>
          <w:p w14:paraId="602467B5" w14:textId="5A97032E" w:rsidR="00082A97" w:rsidRPr="003E76E7" w:rsidRDefault="00082A97" w:rsidP="00C4292D">
            <w:pPr>
              <w:tabs>
                <w:tab w:val="left" w:pos="709"/>
              </w:tabs>
              <w:spacing w:before="60" w:after="60"/>
              <w:rPr>
                <w:rFonts w:ascii="Arial" w:hAnsi="Arial"/>
                <w:b/>
                <w:color w:val="000000"/>
                <w:sz w:val="16"/>
                <w:szCs w:val="16"/>
              </w:rPr>
            </w:pPr>
            <w:r w:rsidRPr="003E76E7">
              <w:rPr>
                <w:rFonts w:ascii="Arial" w:hAnsi="Arial"/>
                <w:color w:val="000000"/>
                <w:sz w:val="16"/>
                <w:szCs w:val="16"/>
              </w:rPr>
              <w:t>As per 2026-27.</w:t>
            </w:r>
          </w:p>
        </w:tc>
        <w:tc>
          <w:tcPr>
            <w:tcW w:w="3055" w:type="dxa"/>
            <w:gridSpan w:val="2"/>
            <w:tcBorders>
              <w:top w:val="single" w:sz="4" w:space="0" w:color="auto"/>
              <w:left w:val="single" w:sz="4" w:space="0" w:color="auto"/>
              <w:bottom w:val="single" w:sz="4" w:space="0" w:color="auto"/>
            </w:tcBorders>
            <w:vAlign w:val="center"/>
          </w:tcPr>
          <w:p w14:paraId="6FAB6351" w14:textId="6E61EFC6" w:rsidR="00082A97" w:rsidRPr="003E76E7" w:rsidRDefault="00082A97" w:rsidP="00C4292D">
            <w:pPr>
              <w:tabs>
                <w:tab w:val="left" w:pos="709"/>
              </w:tabs>
              <w:spacing w:before="60" w:after="60"/>
              <w:rPr>
                <w:rFonts w:ascii="Arial" w:hAnsi="Arial"/>
                <w:b/>
                <w:color w:val="000000"/>
                <w:sz w:val="16"/>
                <w:szCs w:val="16"/>
              </w:rPr>
            </w:pPr>
            <w:r w:rsidRPr="003E76E7">
              <w:rPr>
                <w:rFonts w:ascii="Arial" w:hAnsi="Arial"/>
                <w:color w:val="000000"/>
                <w:sz w:val="16"/>
                <w:szCs w:val="16"/>
              </w:rPr>
              <w:t>As per 2026-27.</w:t>
            </w:r>
          </w:p>
        </w:tc>
      </w:tr>
      <w:tr w:rsidR="00082A97" w:rsidRPr="003E76E7" w14:paraId="3C567EFE" w14:textId="77777777" w:rsidTr="00487C49">
        <w:tblPrEx>
          <w:shd w:val="clear" w:color="auto" w:fill="auto"/>
          <w:tblLook w:val="04A0" w:firstRow="1" w:lastRow="0" w:firstColumn="1" w:lastColumn="0" w:noHBand="0" w:noVBand="1"/>
        </w:tblPrEx>
        <w:trPr>
          <w:trHeight w:val="291"/>
        </w:trPr>
        <w:tc>
          <w:tcPr>
            <w:tcW w:w="7610" w:type="dxa"/>
            <w:gridSpan w:val="4"/>
            <w:tcBorders>
              <w:top w:val="single" w:sz="4" w:space="0" w:color="auto"/>
            </w:tcBorders>
          </w:tcPr>
          <w:p w14:paraId="3F65B827" w14:textId="669B60BC" w:rsidR="00082A97" w:rsidRPr="003E76E7" w:rsidRDefault="00082A97" w:rsidP="00C4292D">
            <w:pPr>
              <w:tabs>
                <w:tab w:val="left" w:pos="709"/>
              </w:tabs>
              <w:spacing w:before="60" w:after="60"/>
              <w:rPr>
                <w:rFonts w:ascii="Arial" w:eastAsia="Cambria" w:hAnsi="Arial"/>
                <w:bCs/>
                <w:iCs/>
                <w:color w:val="000000"/>
                <w:spacing w:val="-6"/>
                <w:sz w:val="16"/>
                <w:szCs w:val="16"/>
                <w:lang w:val="x-none"/>
              </w:rPr>
            </w:pPr>
            <w:r w:rsidRPr="003E76E7">
              <w:rPr>
                <w:rFonts w:ascii="Arial" w:hAnsi="Arial"/>
                <w:color w:val="000000"/>
                <w:sz w:val="16"/>
                <w:szCs w:val="16"/>
              </w:rPr>
              <w:t>Material changes to Program 2.14 resulting from 2026-27 Budget Measures:</w:t>
            </w:r>
            <w:r w:rsidRPr="003E76E7">
              <w:rPr>
                <w:rStyle w:val="BodyTextChar"/>
                <w:rFonts w:ascii="Arial" w:hAnsi="Arial"/>
                <w:bCs/>
                <w:iCs/>
                <w:color w:val="000000"/>
                <w:spacing w:val="-6"/>
                <w:sz w:val="16"/>
                <w:szCs w:val="16"/>
              </w:rPr>
              <w:t xml:space="preserve"> Nil.</w:t>
            </w:r>
          </w:p>
        </w:tc>
      </w:tr>
    </w:tbl>
    <w:p w14:paraId="5D52B368" w14:textId="77777777" w:rsidR="00F7100A" w:rsidRPr="003E76E7" w:rsidRDefault="00F7100A" w:rsidP="00C4292D">
      <w:pPr>
        <w:pStyle w:val="TableHeading"/>
        <w:spacing w:before="0" w:after="0"/>
        <w:rPr>
          <w:sz w:val="14"/>
          <w:szCs w:val="16"/>
        </w:rPr>
      </w:pPr>
    </w:p>
    <w:p w14:paraId="1F15A1C0" w14:textId="5D88DEA1" w:rsidR="00082A97" w:rsidRPr="003E76E7" w:rsidRDefault="00082A97" w:rsidP="00C4292D">
      <w:pPr>
        <w:pStyle w:val="TableHeading"/>
        <w:spacing w:before="0" w:after="0"/>
        <w:rPr>
          <w:sz w:val="14"/>
          <w:szCs w:val="14"/>
        </w:rPr>
      </w:pPr>
      <w:r w:rsidRPr="003E76E7">
        <w:rPr>
          <w:sz w:val="14"/>
          <w:szCs w:val="14"/>
        </w:rPr>
        <w:t>Note</w:t>
      </w:r>
      <w:r w:rsidR="003C0ED5" w:rsidRPr="003E76E7">
        <w:rPr>
          <w:sz w:val="14"/>
          <w:szCs w:val="14"/>
        </w:rPr>
        <w:t>s</w:t>
      </w:r>
    </w:p>
    <w:p w14:paraId="1BEB01D8" w14:textId="0C614A60" w:rsidR="00082A97" w:rsidRPr="003E76E7" w:rsidRDefault="00082A97" w:rsidP="00C4292D">
      <w:pPr>
        <w:pStyle w:val="TableHeading"/>
        <w:numPr>
          <w:ilvl w:val="0"/>
          <w:numId w:val="29"/>
        </w:numPr>
        <w:tabs>
          <w:tab w:val="left" w:pos="284"/>
        </w:tabs>
        <w:spacing w:before="0" w:after="0"/>
        <w:ind w:left="284" w:hanging="284"/>
        <w:rPr>
          <w:b w:val="0"/>
          <w:sz w:val="14"/>
          <w:szCs w:val="14"/>
        </w:rPr>
      </w:pPr>
      <w:r w:rsidRPr="003E76E7">
        <w:rPr>
          <w:b w:val="0"/>
          <w:sz w:val="14"/>
          <w:szCs w:val="14"/>
        </w:rPr>
        <w:t xml:space="preserve">Performance Measures 3.1 and 6.1 have been amended for 2025-26, as published in the </w:t>
      </w:r>
      <w:r w:rsidRPr="003E76E7">
        <w:rPr>
          <w:b w:val="0"/>
          <w:i/>
          <w:sz w:val="14"/>
          <w:szCs w:val="14"/>
        </w:rPr>
        <w:t>2025-29 Defence Corporate Plan.</w:t>
      </w:r>
    </w:p>
    <w:p w14:paraId="21B26CB3" w14:textId="77777777" w:rsidR="00082A97" w:rsidRPr="003E76E7" w:rsidRDefault="00082A97" w:rsidP="00C4292D">
      <w:pPr>
        <w:pStyle w:val="TableHeading"/>
        <w:numPr>
          <w:ilvl w:val="0"/>
          <w:numId w:val="29"/>
        </w:numPr>
        <w:tabs>
          <w:tab w:val="left" w:pos="284"/>
        </w:tabs>
        <w:spacing w:before="0" w:after="0"/>
        <w:ind w:left="284" w:hanging="284"/>
        <w:rPr>
          <w:b w:val="0"/>
          <w:sz w:val="14"/>
          <w:szCs w:val="14"/>
        </w:rPr>
      </w:pPr>
      <w:r w:rsidRPr="003E76E7">
        <w:rPr>
          <w:b w:val="0"/>
          <w:sz w:val="14"/>
          <w:szCs w:val="14"/>
        </w:rPr>
        <w:tab/>
      </w:r>
      <w:r w:rsidRPr="003E76E7">
        <w:rPr>
          <w:b w:val="0"/>
          <w:sz w:val="14"/>
          <w:szCs w:val="14"/>
          <w:lang w:val="en-AU"/>
        </w:rPr>
        <w:t>In accordance with Defence’s Enterprise Performance Framework, Defence is undertaking materiality assessments that may result in updates to the 2026-27 performance information in the 2026-30 Defence Corporate Plan, if required.</w:t>
      </w:r>
    </w:p>
    <w:p w14:paraId="12836FD6" w14:textId="456BCF3E" w:rsidR="002E3856" w:rsidRPr="003E76E7" w:rsidRDefault="002E3856" w:rsidP="00C4292D">
      <w:pPr>
        <w:pStyle w:val="TableHeading"/>
        <w:tabs>
          <w:tab w:val="left" w:pos="284"/>
        </w:tabs>
        <w:spacing w:before="0" w:after="0"/>
        <w:ind w:left="284"/>
        <w:rPr>
          <w:b w:val="0"/>
          <w:sz w:val="14"/>
          <w:szCs w:val="14"/>
        </w:rPr>
      </w:pPr>
    </w:p>
    <w:p w14:paraId="57661D16" w14:textId="77777777" w:rsidR="007A3EA9" w:rsidRPr="003E76E7" w:rsidRDefault="00933FBD" w:rsidP="00C4292D">
      <w:pPr>
        <w:pStyle w:val="TableHeading"/>
        <w:numPr>
          <w:ilvl w:val="0"/>
          <w:numId w:val="61"/>
        </w:numPr>
        <w:spacing w:before="100"/>
        <w:ind w:left="0" w:firstLine="0"/>
        <w:outlineLvl w:val="4"/>
      </w:pPr>
      <w:r w:rsidRPr="003E76E7">
        <w:rPr>
          <w:sz w:val="14"/>
          <w:szCs w:val="14"/>
        </w:rPr>
        <w:br w:type="page"/>
      </w:r>
      <w:r w:rsidR="007A3EA9" w:rsidRPr="003E76E7">
        <w:rPr>
          <w:lang w:val="en-AU"/>
        </w:rPr>
        <w:lastRenderedPageBreak/>
        <w:t>Cost Summary for Program 2.1</w:t>
      </w:r>
      <w:r w:rsidR="004F08EA" w:rsidRPr="003E76E7">
        <w:rPr>
          <w:lang w:val="en-AU"/>
        </w:rPr>
        <w:t>4</w:t>
      </w:r>
      <w:r w:rsidR="007A3EA9" w:rsidRPr="003E76E7">
        <w:rPr>
          <w:lang w:val="en-AU"/>
        </w:rPr>
        <w:t xml:space="preserve"> Defence </w:t>
      </w:r>
      <w:r w:rsidR="004F08EA" w:rsidRPr="003E76E7">
        <w:rPr>
          <w:lang w:val="en-AU"/>
        </w:rPr>
        <w:t>Intelligence</w:t>
      </w:r>
    </w:p>
    <w:p w14:paraId="0376C59D" w14:textId="3CBD852B" w:rsidR="007A3EA9" w:rsidRPr="003E76E7" w:rsidRDefault="00C96447" w:rsidP="00C4292D">
      <w:pPr>
        <w:spacing w:after="0"/>
      </w:pPr>
      <w:r w:rsidRPr="00C96447">
        <w:rPr>
          <w:noProof/>
          <w:lang w:val="en-AU"/>
        </w:rPr>
        <w:drawing>
          <wp:inline distT="0" distB="0" distL="0" distR="0" wp14:anchorId="657D62C9" wp14:editId="7654F6B2">
            <wp:extent cx="5436235" cy="2816821"/>
            <wp:effectExtent l="0" t="0" r="0" b="3175"/>
            <wp:docPr id="24575490" name="Picture 24575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436235" cy="2816821"/>
                    </a:xfrm>
                    <a:prstGeom prst="rect">
                      <a:avLst/>
                    </a:prstGeom>
                    <a:noFill/>
                    <a:ln>
                      <a:noFill/>
                    </a:ln>
                  </pic:spPr>
                </pic:pic>
              </a:graphicData>
            </a:graphic>
          </wp:inline>
        </w:drawing>
      </w:r>
    </w:p>
    <w:p w14:paraId="7C0A4B79" w14:textId="77777777" w:rsidR="009D3404" w:rsidRPr="003E76E7" w:rsidRDefault="009D3404" w:rsidP="00C4292D">
      <w:pPr>
        <w:spacing w:before="0" w:after="0"/>
        <w:rPr>
          <w:rFonts w:ascii="Arial" w:hAnsi="Arial"/>
          <w:b/>
          <w:sz w:val="14"/>
          <w:szCs w:val="14"/>
          <w:lang w:val="en-AU"/>
        </w:rPr>
      </w:pPr>
    </w:p>
    <w:p w14:paraId="3A9FD1E0" w14:textId="4B8658D2" w:rsidR="00F51DAC" w:rsidRPr="003E76E7" w:rsidRDefault="00F51DAC" w:rsidP="00C4292D">
      <w:pPr>
        <w:spacing w:before="0" w:after="0"/>
        <w:rPr>
          <w:rFonts w:ascii="Arial" w:hAnsi="Arial"/>
          <w:b/>
          <w:sz w:val="14"/>
          <w:szCs w:val="14"/>
          <w:lang w:val="en-AU"/>
        </w:rPr>
      </w:pPr>
      <w:r w:rsidRPr="003E76E7">
        <w:rPr>
          <w:rFonts w:ascii="Arial" w:hAnsi="Arial"/>
          <w:b/>
          <w:sz w:val="14"/>
          <w:szCs w:val="14"/>
          <w:lang w:val="en-AU"/>
        </w:rPr>
        <w:t>Note</w:t>
      </w:r>
    </w:p>
    <w:p w14:paraId="0A8DE2B3" w14:textId="1EDD98DE" w:rsidR="0080791E" w:rsidRPr="003E76E7" w:rsidRDefault="00A37A36" w:rsidP="00C4292D">
      <w:pPr>
        <w:pStyle w:val="ListParagraph"/>
        <w:numPr>
          <w:ilvl w:val="0"/>
          <w:numId w:val="120"/>
        </w:numPr>
        <w:spacing w:before="0" w:after="0"/>
        <w:ind w:left="284" w:hanging="284"/>
        <w:rPr>
          <w:rFonts w:ascii="Arial" w:hAnsi="Arial"/>
          <w:sz w:val="14"/>
          <w:szCs w:val="14"/>
          <w:lang w:val="en-AU"/>
        </w:rPr>
      </w:pPr>
      <w:r w:rsidRPr="003E76E7">
        <w:rPr>
          <w:rFonts w:ascii="Arial" w:hAnsi="Arial"/>
          <w:sz w:val="14"/>
          <w:szCs w:val="14"/>
          <w:lang w:val="en-AU"/>
        </w:rPr>
        <w:t>Total program funded</w:t>
      </w:r>
      <w:r w:rsidR="0080791E" w:rsidRPr="003E76E7">
        <w:rPr>
          <w:rFonts w:ascii="Arial" w:hAnsi="Arial"/>
          <w:sz w:val="14"/>
          <w:szCs w:val="14"/>
          <w:lang w:val="en-AU"/>
        </w:rPr>
        <w:t xml:space="preserve"> expenditure includes operating expenses and capital expenditure funded by appropriation and </w:t>
      </w:r>
      <w:r w:rsidR="0080791E" w:rsidRPr="003E76E7">
        <w:rPr>
          <w:rFonts w:ascii="Arial" w:hAnsi="Arial"/>
          <w:sz w:val="14"/>
          <w:szCs w:val="14"/>
          <w:lang w:val="en-AU"/>
        </w:rPr>
        <w:br/>
        <w:t>own source revenue. This excludes expenses not requiring appropriation.</w:t>
      </w:r>
      <w:r w:rsidR="0080791E" w:rsidRPr="003E76E7">
        <w:rPr>
          <w:rFonts w:ascii="Arial" w:hAnsi="Arial"/>
          <w:sz w:val="14"/>
          <w:szCs w:val="14"/>
          <w:lang w:val="en-AU"/>
        </w:rPr>
        <w:tab/>
      </w:r>
      <w:r w:rsidR="0080791E" w:rsidRPr="003E76E7">
        <w:rPr>
          <w:rFonts w:ascii="Arial" w:hAnsi="Arial"/>
          <w:sz w:val="14"/>
          <w:szCs w:val="14"/>
          <w:lang w:val="en-AU"/>
        </w:rPr>
        <w:tab/>
      </w:r>
      <w:r w:rsidR="0080791E" w:rsidRPr="003E76E7">
        <w:rPr>
          <w:rFonts w:ascii="Arial" w:hAnsi="Arial"/>
          <w:sz w:val="14"/>
          <w:szCs w:val="14"/>
          <w:lang w:val="en-AU"/>
        </w:rPr>
        <w:tab/>
      </w:r>
      <w:r w:rsidR="0080791E" w:rsidRPr="003E76E7">
        <w:rPr>
          <w:rFonts w:ascii="Arial" w:hAnsi="Arial"/>
          <w:sz w:val="14"/>
          <w:szCs w:val="14"/>
          <w:lang w:val="en-AU"/>
        </w:rPr>
        <w:tab/>
      </w:r>
      <w:r w:rsidR="0080791E" w:rsidRPr="003E76E7">
        <w:rPr>
          <w:rFonts w:ascii="Arial" w:hAnsi="Arial"/>
          <w:sz w:val="14"/>
          <w:szCs w:val="14"/>
          <w:lang w:val="en-AU"/>
        </w:rPr>
        <w:tab/>
      </w:r>
    </w:p>
    <w:p w14:paraId="20434B7A" w14:textId="39BC1791" w:rsidR="00F51DAC" w:rsidRPr="003E76E7" w:rsidRDefault="00F51DAC" w:rsidP="00C4292D">
      <w:pPr>
        <w:spacing w:before="0" w:after="0"/>
        <w:ind w:left="284" w:hanging="284"/>
        <w:rPr>
          <w:rFonts w:ascii="Arial" w:hAnsi="Arial"/>
          <w:sz w:val="14"/>
          <w:szCs w:val="14"/>
          <w:lang w:val="en-AU"/>
        </w:rPr>
      </w:pPr>
    </w:p>
    <w:p w14:paraId="50B35DA3" w14:textId="4F7AE3C7" w:rsidR="005403E1" w:rsidRPr="003E76E7" w:rsidRDefault="005403E1" w:rsidP="00C4292D">
      <w:pPr>
        <w:pStyle w:val="TableHeading"/>
        <w:numPr>
          <w:ilvl w:val="0"/>
          <w:numId w:val="61"/>
        </w:numPr>
        <w:spacing w:before="100"/>
        <w:ind w:left="0" w:firstLine="0"/>
        <w:outlineLvl w:val="4"/>
        <w:rPr>
          <w:lang w:val="en-AU"/>
        </w:rPr>
      </w:pPr>
      <w:r w:rsidRPr="003E76E7">
        <w:rPr>
          <w:lang w:val="en-AU"/>
        </w:rPr>
        <w:t>Defence Intelligence Deliverables (Hydrographic Products and Services)</w:t>
      </w:r>
    </w:p>
    <w:p w14:paraId="38812994" w14:textId="77777777" w:rsidR="00A27F9B" w:rsidRPr="003E76E7" w:rsidRDefault="00A27F9B" w:rsidP="00C4292D">
      <w:pPr>
        <w:spacing w:before="0" w:after="0"/>
        <w:rPr>
          <w:sz w:val="4"/>
          <w:lang w:val="en-AU"/>
        </w:rPr>
      </w:pPr>
    </w:p>
    <w:tbl>
      <w:tblPr>
        <w:tblW w:w="4891"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4"/>
        <w:gridCol w:w="1112"/>
        <w:gridCol w:w="1112"/>
        <w:gridCol w:w="1112"/>
        <w:gridCol w:w="1112"/>
        <w:gridCol w:w="1113"/>
      </w:tblGrid>
      <w:tr w:rsidR="000D48CA" w:rsidRPr="003E76E7" w14:paraId="31420D89" w14:textId="77777777" w:rsidTr="000E1A17">
        <w:tc>
          <w:tcPr>
            <w:tcW w:w="2570" w:type="dxa"/>
            <w:shd w:val="clear" w:color="auto" w:fill="auto"/>
          </w:tcPr>
          <w:p w14:paraId="0C1C19A6" w14:textId="77777777" w:rsidR="000D48CA" w:rsidRPr="003E76E7" w:rsidRDefault="000D48CA" w:rsidP="00C4292D">
            <w:pPr>
              <w:rPr>
                <w:rFonts w:ascii="Arial" w:hAnsi="Arial"/>
                <w:b/>
                <w:sz w:val="16"/>
                <w:szCs w:val="16"/>
              </w:rPr>
            </w:pPr>
            <w:r w:rsidRPr="003E76E7">
              <w:rPr>
                <w:rFonts w:ascii="Arial" w:hAnsi="Arial"/>
                <w:b/>
                <w:sz w:val="16"/>
                <w:szCs w:val="16"/>
              </w:rPr>
              <w:t>Deliverables</w:t>
            </w:r>
          </w:p>
        </w:tc>
        <w:tc>
          <w:tcPr>
            <w:tcW w:w="1020" w:type="dxa"/>
            <w:shd w:val="clear" w:color="auto" w:fill="auto"/>
            <w:vAlign w:val="bottom"/>
          </w:tcPr>
          <w:p w14:paraId="2D10AA35" w14:textId="134CF196" w:rsidR="000D48CA" w:rsidRPr="003E76E7" w:rsidRDefault="00EC2836" w:rsidP="00C4292D">
            <w:pPr>
              <w:pStyle w:val="TableTextHeadingRight"/>
              <w:rPr>
                <w:sz w:val="16"/>
                <w:szCs w:val="16"/>
              </w:rPr>
            </w:pPr>
            <w:r w:rsidRPr="003E76E7">
              <w:rPr>
                <w:sz w:val="16"/>
                <w:szCs w:val="16"/>
              </w:rPr>
              <w:t>202</w:t>
            </w:r>
            <w:r w:rsidR="008429E1" w:rsidRPr="003E76E7">
              <w:rPr>
                <w:sz w:val="16"/>
                <w:szCs w:val="16"/>
              </w:rPr>
              <w:t>5</w:t>
            </w:r>
            <w:r w:rsidRPr="003E76E7">
              <w:rPr>
                <w:sz w:val="16"/>
                <w:szCs w:val="16"/>
              </w:rPr>
              <w:t>-2</w:t>
            </w:r>
            <w:r w:rsidR="008429E1" w:rsidRPr="003E76E7">
              <w:rPr>
                <w:sz w:val="16"/>
                <w:szCs w:val="16"/>
              </w:rPr>
              <w:t>6</w:t>
            </w:r>
            <w:r w:rsidRPr="003E76E7">
              <w:rPr>
                <w:sz w:val="16"/>
                <w:szCs w:val="16"/>
              </w:rPr>
              <w:t xml:space="preserve"> Estimated Actual</w:t>
            </w:r>
          </w:p>
        </w:tc>
        <w:tc>
          <w:tcPr>
            <w:tcW w:w="1020" w:type="dxa"/>
            <w:shd w:val="clear" w:color="auto" w:fill="auto"/>
            <w:vAlign w:val="bottom"/>
          </w:tcPr>
          <w:p w14:paraId="735E6FDE" w14:textId="1CE779E1" w:rsidR="000D48CA" w:rsidRPr="003E76E7" w:rsidRDefault="000D48CA" w:rsidP="00C4292D">
            <w:pPr>
              <w:pStyle w:val="TableTextHeadingRight"/>
              <w:rPr>
                <w:sz w:val="16"/>
                <w:szCs w:val="16"/>
              </w:rPr>
            </w:pPr>
            <w:r w:rsidRPr="003E76E7">
              <w:rPr>
                <w:sz w:val="16"/>
                <w:szCs w:val="16"/>
              </w:rPr>
              <w:t>202</w:t>
            </w:r>
            <w:r w:rsidR="008429E1" w:rsidRPr="003E76E7">
              <w:rPr>
                <w:sz w:val="16"/>
                <w:szCs w:val="16"/>
              </w:rPr>
              <w:t>6</w:t>
            </w:r>
            <w:r w:rsidRPr="003E76E7">
              <w:rPr>
                <w:sz w:val="16"/>
                <w:szCs w:val="16"/>
              </w:rPr>
              <w:t>-2</w:t>
            </w:r>
            <w:r w:rsidR="008429E1" w:rsidRPr="003E76E7">
              <w:rPr>
                <w:sz w:val="16"/>
                <w:szCs w:val="16"/>
              </w:rPr>
              <w:t>7</w:t>
            </w:r>
            <w:r w:rsidRPr="003E76E7">
              <w:rPr>
                <w:sz w:val="16"/>
                <w:szCs w:val="16"/>
              </w:rPr>
              <w:t xml:space="preserve"> Budget Estimate</w:t>
            </w:r>
          </w:p>
        </w:tc>
        <w:tc>
          <w:tcPr>
            <w:tcW w:w="1020" w:type="dxa"/>
            <w:shd w:val="clear" w:color="auto" w:fill="auto"/>
            <w:vAlign w:val="bottom"/>
          </w:tcPr>
          <w:p w14:paraId="08F695D5" w14:textId="6566826F" w:rsidR="000D48CA" w:rsidRPr="003E76E7" w:rsidRDefault="000D48CA" w:rsidP="00C4292D">
            <w:pPr>
              <w:pStyle w:val="TableTextHeadingRight"/>
              <w:rPr>
                <w:sz w:val="16"/>
                <w:szCs w:val="16"/>
              </w:rPr>
            </w:pPr>
            <w:r w:rsidRPr="003E76E7">
              <w:rPr>
                <w:sz w:val="16"/>
                <w:szCs w:val="16"/>
              </w:rPr>
              <w:t>202</w:t>
            </w:r>
            <w:r w:rsidR="008429E1" w:rsidRPr="003E76E7">
              <w:rPr>
                <w:sz w:val="16"/>
                <w:szCs w:val="16"/>
              </w:rPr>
              <w:t>7</w:t>
            </w:r>
            <w:r w:rsidRPr="003E76E7">
              <w:rPr>
                <w:sz w:val="16"/>
                <w:szCs w:val="16"/>
              </w:rPr>
              <w:t>-2</w:t>
            </w:r>
            <w:r w:rsidR="008429E1" w:rsidRPr="003E76E7">
              <w:rPr>
                <w:sz w:val="16"/>
                <w:szCs w:val="16"/>
              </w:rPr>
              <w:t>8</w:t>
            </w:r>
            <w:r w:rsidRPr="003E76E7">
              <w:rPr>
                <w:sz w:val="16"/>
                <w:szCs w:val="16"/>
              </w:rPr>
              <w:t xml:space="preserve"> Forward Estimate</w:t>
            </w:r>
          </w:p>
        </w:tc>
        <w:tc>
          <w:tcPr>
            <w:tcW w:w="1020" w:type="dxa"/>
            <w:shd w:val="clear" w:color="auto" w:fill="auto"/>
            <w:vAlign w:val="bottom"/>
          </w:tcPr>
          <w:p w14:paraId="76DEBB5B" w14:textId="3C35FEBE" w:rsidR="000D48CA" w:rsidRPr="003E76E7" w:rsidRDefault="000D48CA" w:rsidP="00C4292D">
            <w:pPr>
              <w:pStyle w:val="TableTextHeadingRight"/>
              <w:rPr>
                <w:sz w:val="16"/>
                <w:szCs w:val="16"/>
              </w:rPr>
            </w:pPr>
            <w:r w:rsidRPr="003E76E7">
              <w:rPr>
                <w:sz w:val="16"/>
                <w:szCs w:val="16"/>
              </w:rPr>
              <w:t>2</w:t>
            </w:r>
            <w:r w:rsidR="00120363" w:rsidRPr="003E76E7">
              <w:rPr>
                <w:sz w:val="16"/>
                <w:szCs w:val="16"/>
              </w:rPr>
              <w:t>02</w:t>
            </w:r>
            <w:r w:rsidR="008429E1" w:rsidRPr="003E76E7">
              <w:rPr>
                <w:sz w:val="16"/>
                <w:szCs w:val="16"/>
              </w:rPr>
              <w:t>8</w:t>
            </w:r>
            <w:r w:rsidRPr="003E76E7">
              <w:rPr>
                <w:sz w:val="16"/>
                <w:szCs w:val="16"/>
              </w:rPr>
              <w:t>-2</w:t>
            </w:r>
            <w:r w:rsidR="008429E1" w:rsidRPr="003E76E7">
              <w:rPr>
                <w:sz w:val="16"/>
                <w:szCs w:val="16"/>
              </w:rPr>
              <w:t>9</w:t>
            </w:r>
            <w:r w:rsidRPr="003E76E7">
              <w:rPr>
                <w:sz w:val="16"/>
                <w:szCs w:val="16"/>
              </w:rPr>
              <w:t xml:space="preserve"> Forward Estimate</w:t>
            </w:r>
          </w:p>
        </w:tc>
        <w:tc>
          <w:tcPr>
            <w:tcW w:w="1021" w:type="dxa"/>
            <w:shd w:val="clear" w:color="auto" w:fill="auto"/>
            <w:vAlign w:val="bottom"/>
          </w:tcPr>
          <w:p w14:paraId="59C68DFD" w14:textId="511BA9F8" w:rsidR="000D48CA" w:rsidRPr="003E76E7" w:rsidRDefault="000D48CA" w:rsidP="00C4292D">
            <w:pPr>
              <w:pStyle w:val="TableTextHeadingRight"/>
              <w:rPr>
                <w:sz w:val="16"/>
                <w:szCs w:val="16"/>
              </w:rPr>
            </w:pPr>
            <w:r w:rsidRPr="003E76E7">
              <w:rPr>
                <w:sz w:val="16"/>
                <w:szCs w:val="16"/>
              </w:rPr>
              <w:t>202</w:t>
            </w:r>
            <w:r w:rsidR="008429E1" w:rsidRPr="003E76E7">
              <w:rPr>
                <w:sz w:val="16"/>
                <w:szCs w:val="16"/>
              </w:rPr>
              <w:t>9</w:t>
            </w:r>
            <w:r w:rsidRPr="003E76E7">
              <w:rPr>
                <w:sz w:val="16"/>
                <w:szCs w:val="16"/>
              </w:rPr>
              <w:t>-</w:t>
            </w:r>
            <w:r w:rsidR="008429E1" w:rsidRPr="003E76E7">
              <w:rPr>
                <w:sz w:val="16"/>
                <w:szCs w:val="16"/>
              </w:rPr>
              <w:t>30</w:t>
            </w:r>
            <w:r w:rsidRPr="003E76E7">
              <w:rPr>
                <w:sz w:val="16"/>
                <w:szCs w:val="16"/>
              </w:rPr>
              <w:t xml:space="preserve"> Forward Estimate</w:t>
            </w:r>
          </w:p>
        </w:tc>
      </w:tr>
      <w:tr w:rsidR="00747DA4" w:rsidRPr="003E76E7" w14:paraId="0F1077EF" w14:textId="77777777" w:rsidTr="000E1A17">
        <w:tc>
          <w:tcPr>
            <w:tcW w:w="2570" w:type="dxa"/>
            <w:shd w:val="clear" w:color="auto" w:fill="auto"/>
            <w:vAlign w:val="center"/>
          </w:tcPr>
          <w:p w14:paraId="4E0E0674" w14:textId="35B6CC35" w:rsidR="00747DA4" w:rsidRPr="003E76E7" w:rsidRDefault="00747DA4" w:rsidP="00C4292D">
            <w:pPr>
              <w:ind w:left="-57" w:right="-57"/>
              <w:rPr>
                <w:rFonts w:ascii="Arial" w:hAnsi="Arial"/>
                <w:sz w:val="16"/>
                <w:szCs w:val="16"/>
              </w:rPr>
            </w:pPr>
            <w:r w:rsidRPr="003E76E7">
              <w:rPr>
                <w:rFonts w:ascii="Arial" w:eastAsia="Calibri" w:hAnsi="Arial"/>
                <w:sz w:val="16"/>
                <w:szCs w:val="16"/>
                <w:lang w:eastAsia="en-US"/>
              </w:rPr>
              <w:t>Maritime Safety Updates</w:t>
            </w:r>
            <w:r w:rsidRPr="003E76E7">
              <w:rPr>
                <w:rFonts w:ascii="Arial" w:hAnsi="Arial"/>
                <w:sz w:val="16"/>
                <w:szCs w:val="16"/>
                <w:vertAlign w:val="superscript"/>
                <w:lang w:eastAsia="en-US"/>
              </w:rPr>
              <w:t xml:space="preserve"> [a]</w:t>
            </w:r>
          </w:p>
        </w:tc>
        <w:tc>
          <w:tcPr>
            <w:tcW w:w="1020" w:type="dxa"/>
            <w:shd w:val="clear" w:color="auto" w:fill="auto"/>
            <w:vAlign w:val="center"/>
          </w:tcPr>
          <w:p w14:paraId="0B1A6723" w14:textId="38FAF9A4" w:rsidR="00747DA4" w:rsidRPr="003E76E7" w:rsidRDefault="00747DA4" w:rsidP="00C4292D">
            <w:pPr>
              <w:jc w:val="right"/>
              <w:rPr>
                <w:rFonts w:ascii="Arial" w:hAnsi="Arial"/>
                <w:sz w:val="16"/>
                <w:szCs w:val="16"/>
              </w:rPr>
            </w:pPr>
            <w:r w:rsidRPr="003E76E7">
              <w:rPr>
                <w:rFonts w:ascii="Arial" w:hAnsi="Arial"/>
                <w:sz w:val="16"/>
                <w:szCs w:val="16"/>
              </w:rPr>
              <w:t>100%</w:t>
            </w:r>
          </w:p>
        </w:tc>
        <w:tc>
          <w:tcPr>
            <w:tcW w:w="1020" w:type="dxa"/>
            <w:shd w:val="clear" w:color="auto" w:fill="auto"/>
            <w:vAlign w:val="center"/>
          </w:tcPr>
          <w:p w14:paraId="0EF358C6" w14:textId="0F47D0F6" w:rsidR="00747DA4" w:rsidRPr="003E76E7" w:rsidRDefault="00747DA4" w:rsidP="00C4292D">
            <w:pPr>
              <w:jc w:val="right"/>
              <w:rPr>
                <w:rFonts w:ascii="Arial" w:hAnsi="Arial"/>
                <w:sz w:val="16"/>
                <w:szCs w:val="16"/>
              </w:rPr>
            </w:pPr>
            <w:r w:rsidRPr="003E76E7">
              <w:rPr>
                <w:rFonts w:ascii="Arial" w:hAnsi="Arial"/>
                <w:sz w:val="16"/>
                <w:szCs w:val="16"/>
              </w:rPr>
              <w:t>100%</w:t>
            </w:r>
          </w:p>
        </w:tc>
        <w:tc>
          <w:tcPr>
            <w:tcW w:w="1020" w:type="dxa"/>
            <w:shd w:val="clear" w:color="auto" w:fill="auto"/>
            <w:vAlign w:val="center"/>
          </w:tcPr>
          <w:p w14:paraId="28A15A1B" w14:textId="512832AD" w:rsidR="00747DA4" w:rsidRPr="003E76E7" w:rsidRDefault="00747DA4" w:rsidP="00C4292D">
            <w:pPr>
              <w:jc w:val="right"/>
              <w:rPr>
                <w:rFonts w:ascii="Arial" w:hAnsi="Arial"/>
                <w:sz w:val="16"/>
                <w:szCs w:val="16"/>
              </w:rPr>
            </w:pPr>
            <w:r w:rsidRPr="003E76E7">
              <w:rPr>
                <w:rFonts w:ascii="Arial" w:hAnsi="Arial"/>
                <w:sz w:val="16"/>
                <w:szCs w:val="16"/>
              </w:rPr>
              <w:t>100%</w:t>
            </w:r>
          </w:p>
        </w:tc>
        <w:tc>
          <w:tcPr>
            <w:tcW w:w="1020" w:type="dxa"/>
            <w:shd w:val="clear" w:color="auto" w:fill="auto"/>
            <w:vAlign w:val="center"/>
          </w:tcPr>
          <w:p w14:paraId="510A7DCC" w14:textId="0E2CF15D" w:rsidR="00747DA4" w:rsidRPr="003E76E7" w:rsidRDefault="00747DA4" w:rsidP="00C4292D">
            <w:pPr>
              <w:jc w:val="right"/>
              <w:rPr>
                <w:rFonts w:ascii="Arial" w:hAnsi="Arial"/>
                <w:sz w:val="16"/>
                <w:szCs w:val="16"/>
              </w:rPr>
            </w:pPr>
            <w:r w:rsidRPr="003E76E7">
              <w:rPr>
                <w:rFonts w:ascii="Arial" w:hAnsi="Arial"/>
                <w:sz w:val="16"/>
                <w:szCs w:val="16"/>
              </w:rPr>
              <w:t>100%</w:t>
            </w:r>
          </w:p>
        </w:tc>
        <w:tc>
          <w:tcPr>
            <w:tcW w:w="1021" w:type="dxa"/>
            <w:shd w:val="clear" w:color="auto" w:fill="auto"/>
            <w:vAlign w:val="center"/>
          </w:tcPr>
          <w:p w14:paraId="1A88D999" w14:textId="4F46506F" w:rsidR="00747DA4" w:rsidRPr="003E76E7" w:rsidRDefault="00747DA4" w:rsidP="00C4292D">
            <w:pPr>
              <w:jc w:val="right"/>
              <w:rPr>
                <w:rFonts w:ascii="Arial" w:hAnsi="Arial"/>
                <w:sz w:val="16"/>
                <w:szCs w:val="16"/>
              </w:rPr>
            </w:pPr>
            <w:r w:rsidRPr="003E76E7">
              <w:rPr>
                <w:rFonts w:ascii="Arial" w:hAnsi="Arial"/>
                <w:sz w:val="16"/>
                <w:szCs w:val="16"/>
              </w:rPr>
              <w:t>100%</w:t>
            </w:r>
          </w:p>
        </w:tc>
      </w:tr>
      <w:tr w:rsidR="00747DA4" w:rsidRPr="003E76E7" w14:paraId="710CB0EA" w14:textId="77777777" w:rsidTr="000E1A17">
        <w:tc>
          <w:tcPr>
            <w:tcW w:w="2570" w:type="dxa"/>
            <w:shd w:val="clear" w:color="auto" w:fill="auto"/>
            <w:vAlign w:val="center"/>
          </w:tcPr>
          <w:p w14:paraId="05D5CBE4" w14:textId="6AF99835" w:rsidR="00747DA4" w:rsidRPr="003E76E7" w:rsidRDefault="00747DA4" w:rsidP="00C4292D">
            <w:pPr>
              <w:ind w:left="-57" w:right="-57"/>
              <w:rPr>
                <w:rFonts w:ascii="Arial" w:hAnsi="Arial"/>
                <w:sz w:val="16"/>
                <w:szCs w:val="16"/>
              </w:rPr>
            </w:pPr>
            <w:r w:rsidRPr="003E76E7">
              <w:rPr>
                <w:rFonts w:ascii="Arial" w:hAnsi="Arial"/>
                <w:sz w:val="16"/>
                <w:szCs w:val="16"/>
                <w:lang w:eastAsia="en-US"/>
              </w:rPr>
              <w:t>Charting Projects</w:t>
            </w:r>
            <w:r w:rsidRPr="003E76E7">
              <w:rPr>
                <w:rFonts w:ascii="Arial" w:hAnsi="Arial"/>
                <w:sz w:val="16"/>
                <w:szCs w:val="16"/>
                <w:vertAlign w:val="superscript"/>
                <w:lang w:eastAsia="en-US"/>
              </w:rPr>
              <w:t xml:space="preserve"> [b]</w:t>
            </w:r>
          </w:p>
        </w:tc>
        <w:tc>
          <w:tcPr>
            <w:tcW w:w="1020" w:type="dxa"/>
            <w:shd w:val="clear" w:color="auto" w:fill="auto"/>
            <w:vAlign w:val="center"/>
          </w:tcPr>
          <w:p w14:paraId="75FBA8EA" w14:textId="6D344071" w:rsidR="00747DA4" w:rsidRPr="003E76E7" w:rsidRDefault="00747DA4" w:rsidP="00C4292D">
            <w:pPr>
              <w:jc w:val="right"/>
              <w:rPr>
                <w:rFonts w:ascii="Arial" w:hAnsi="Arial"/>
                <w:sz w:val="16"/>
                <w:szCs w:val="16"/>
              </w:rPr>
            </w:pPr>
            <w:r w:rsidRPr="003E76E7">
              <w:rPr>
                <w:rFonts w:ascii="Arial" w:hAnsi="Arial"/>
                <w:sz w:val="16"/>
                <w:szCs w:val="16"/>
              </w:rPr>
              <w:t>15</w:t>
            </w:r>
          </w:p>
        </w:tc>
        <w:tc>
          <w:tcPr>
            <w:tcW w:w="1020" w:type="dxa"/>
            <w:shd w:val="clear" w:color="auto" w:fill="auto"/>
            <w:vAlign w:val="center"/>
          </w:tcPr>
          <w:p w14:paraId="528C16F6" w14:textId="08993015" w:rsidR="00747DA4" w:rsidRPr="003E76E7" w:rsidRDefault="00747DA4" w:rsidP="00C4292D">
            <w:pPr>
              <w:jc w:val="right"/>
              <w:rPr>
                <w:rFonts w:ascii="Arial" w:hAnsi="Arial"/>
                <w:sz w:val="16"/>
                <w:szCs w:val="16"/>
              </w:rPr>
            </w:pPr>
            <w:r w:rsidRPr="003E76E7">
              <w:rPr>
                <w:rFonts w:ascii="Arial" w:hAnsi="Arial"/>
                <w:sz w:val="16"/>
                <w:szCs w:val="16"/>
              </w:rPr>
              <w:t>15</w:t>
            </w:r>
          </w:p>
        </w:tc>
        <w:tc>
          <w:tcPr>
            <w:tcW w:w="1020" w:type="dxa"/>
            <w:shd w:val="clear" w:color="auto" w:fill="auto"/>
            <w:vAlign w:val="center"/>
          </w:tcPr>
          <w:p w14:paraId="6359C23E" w14:textId="77D64102" w:rsidR="00747DA4" w:rsidRPr="003E76E7" w:rsidRDefault="00747DA4" w:rsidP="00C4292D">
            <w:pPr>
              <w:jc w:val="right"/>
              <w:rPr>
                <w:rFonts w:ascii="Arial" w:hAnsi="Arial"/>
                <w:sz w:val="16"/>
                <w:szCs w:val="16"/>
              </w:rPr>
            </w:pPr>
            <w:r w:rsidRPr="003E76E7">
              <w:rPr>
                <w:rFonts w:ascii="Arial" w:hAnsi="Arial"/>
                <w:sz w:val="16"/>
                <w:szCs w:val="16"/>
              </w:rPr>
              <w:t>15</w:t>
            </w:r>
          </w:p>
        </w:tc>
        <w:tc>
          <w:tcPr>
            <w:tcW w:w="1020" w:type="dxa"/>
            <w:shd w:val="clear" w:color="auto" w:fill="auto"/>
            <w:vAlign w:val="center"/>
          </w:tcPr>
          <w:p w14:paraId="057DAD6D" w14:textId="7188F072" w:rsidR="00747DA4" w:rsidRPr="003E76E7" w:rsidRDefault="00747DA4" w:rsidP="00C4292D">
            <w:pPr>
              <w:jc w:val="right"/>
              <w:rPr>
                <w:rFonts w:ascii="Arial" w:hAnsi="Arial"/>
                <w:sz w:val="16"/>
                <w:szCs w:val="16"/>
              </w:rPr>
            </w:pPr>
            <w:r w:rsidRPr="003E76E7">
              <w:rPr>
                <w:rFonts w:ascii="Arial" w:hAnsi="Arial"/>
                <w:sz w:val="16"/>
                <w:szCs w:val="16"/>
              </w:rPr>
              <w:t>15</w:t>
            </w:r>
          </w:p>
        </w:tc>
        <w:tc>
          <w:tcPr>
            <w:tcW w:w="1021" w:type="dxa"/>
            <w:shd w:val="clear" w:color="auto" w:fill="auto"/>
            <w:vAlign w:val="center"/>
          </w:tcPr>
          <w:p w14:paraId="4172ED76" w14:textId="1DACB7EE" w:rsidR="00747DA4" w:rsidRPr="003E76E7" w:rsidRDefault="00747DA4" w:rsidP="00C4292D">
            <w:pPr>
              <w:jc w:val="right"/>
              <w:rPr>
                <w:rFonts w:ascii="Arial" w:hAnsi="Arial"/>
                <w:sz w:val="16"/>
                <w:szCs w:val="16"/>
              </w:rPr>
            </w:pPr>
            <w:r w:rsidRPr="003E76E7">
              <w:rPr>
                <w:rFonts w:ascii="Arial" w:hAnsi="Arial"/>
                <w:sz w:val="16"/>
                <w:szCs w:val="16"/>
              </w:rPr>
              <w:t>15</w:t>
            </w:r>
          </w:p>
        </w:tc>
      </w:tr>
      <w:tr w:rsidR="00747DA4" w:rsidRPr="003E76E7" w14:paraId="2B34AE8D" w14:textId="77777777" w:rsidTr="000E1A17">
        <w:tc>
          <w:tcPr>
            <w:tcW w:w="2570" w:type="dxa"/>
            <w:shd w:val="clear" w:color="auto" w:fill="auto"/>
            <w:vAlign w:val="center"/>
          </w:tcPr>
          <w:p w14:paraId="0EEBF42D" w14:textId="2AAB2B68" w:rsidR="00747DA4" w:rsidRPr="003E76E7" w:rsidRDefault="00747DA4" w:rsidP="00C4292D">
            <w:pPr>
              <w:ind w:left="-57" w:right="-57"/>
              <w:rPr>
                <w:rFonts w:ascii="Arial" w:hAnsi="Arial"/>
                <w:sz w:val="16"/>
                <w:szCs w:val="16"/>
              </w:rPr>
            </w:pPr>
            <w:r w:rsidRPr="003E76E7">
              <w:rPr>
                <w:rFonts w:ascii="Arial" w:hAnsi="Arial"/>
                <w:sz w:val="16"/>
                <w:szCs w:val="16"/>
                <w:lang w:eastAsia="en-US"/>
              </w:rPr>
              <w:t>Nautical Publications</w:t>
            </w:r>
            <w:r w:rsidRPr="003E76E7">
              <w:rPr>
                <w:rFonts w:ascii="Arial" w:hAnsi="Arial"/>
                <w:sz w:val="16"/>
                <w:szCs w:val="16"/>
                <w:vertAlign w:val="superscript"/>
                <w:lang w:eastAsia="en-US"/>
              </w:rPr>
              <w:t xml:space="preserve"> [c]</w:t>
            </w:r>
          </w:p>
        </w:tc>
        <w:tc>
          <w:tcPr>
            <w:tcW w:w="1020" w:type="dxa"/>
            <w:shd w:val="clear" w:color="auto" w:fill="auto"/>
            <w:vAlign w:val="center"/>
          </w:tcPr>
          <w:p w14:paraId="0D031CDF" w14:textId="2D7D3608" w:rsidR="00747DA4" w:rsidRPr="003E76E7" w:rsidRDefault="00747DA4" w:rsidP="00C4292D">
            <w:pPr>
              <w:jc w:val="right"/>
              <w:rPr>
                <w:rFonts w:ascii="Arial" w:hAnsi="Arial"/>
                <w:sz w:val="16"/>
                <w:szCs w:val="16"/>
              </w:rPr>
            </w:pPr>
            <w:r w:rsidRPr="003E76E7">
              <w:rPr>
                <w:rFonts w:ascii="Arial" w:hAnsi="Arial"/>
                <w:sz w:val="16"/>
                <w:szCs w:val="16"/>
              </w:rPr>
              <w:t>30</w:t>
            </w:r>
          </w:p>
        </w:tc>
        <w:tc>
          <w:tcPr>
            <w:tcW w:w="1020" w:type="dxa"/>
            <w:shd w:val="clear" w:color="auto" w:fill="auto"/>
            <w:vAlign w:val="center"/>
          </w:tcPr>
          <w:p w14:paraId="4B77452B" w14:textId="378EAB0C" w:rsidR="00747DA4" w:rsidRPr="003E76E7" w:rsidRDefault="00747DA4" w:rsidP="00C4292D">
            <w:pPr>
              <w:jc w:val="right"/>
              <w:rPr>
                <w:rFonts w:ascii="Arial" w:hAnsi="Arial"/>
                <w:sz w:val="16"/>
                <w:szCs w:val="16"/>
              </w:rPr>
            </w:pPr>
            <w:r w:rsidRPr="003E76E7">
              <w:rPr>
                <w:rFonts w:ascii="Arial" w:hAnsi="Arial"/>
                <w:sz w:val="16"/>
                <w:szCs w:val="16"/>
              </w:rPr>
              <w:t>30</w:t>
            </w:r>
          </w:p>
        </w:tc>
        <w:tc>
          <w:tcPr>
            <w:tcW w:w="1020" w:type="dxa"/>
            <w:shd w:val="clear" w:color="auto" w:fill="auto"/>
            <w:vAlign w:val="center"/>
          </w:tcPr>
          <w:p w14:paraId="39A55844" w14:textId="7744B28A" w:rsidR="00747DA4" w:rsidRPr="003E76E7" w:rsidRDefault="00747DA4" w:rsidP="00C4292D">
            <w:pPr>
              <w:jc w:val="right"/>
              <w:rPr>
                <w:rFonts w:ascii="Arial" w:hAnsi="Arial"/>
                <w:sz w:val="16"/>
                <w:szCs w:val="16"/>
              </w:rPr>
            </w:pPr>
            <w:r w:rsidRPr="003E76E7">
              <w:rPr>
                <w:rFonts w:ascii="Arial" w:hAnsi="Arial"/>
                <w:sz w:val="16"/>
                <w:szCs w:val="16"/>
              </w:rPr>
              <w:t>30</w:t>
            </w:r>
          </w:p>
        </w:tc>
        <w:tc>
          <w:tcPr>
            <w:tcW w:w="1020" w:type="dxa"/>
            <w:shd w:val="clear" w:color="auto" w:fill="auto"/>
            <w:vAlign w:val="center"/>
          </w:tcPr>
          <w:p w14:paraId="1737F3C9" w14:textId="21824767" w:rsidR="00747DA4" w:rsidRPr="003E76E7" w:rsidRDefault="00747DA4" w:rsidP="00C4292D">
            <w:pPr>
              <w:jc w:val="right"/>
              <w:rPr>
                <w:rFonts w:ascii="Arial" w:hAnsi="Arial"/>
                <w:sz w:val="16"/>
                <w:szCs w:val="16"/>
              </w:rPr>
            </w:pPr>
            <w:r w:rsidRPr="003E76E7">
              <w:rPr>
                <w:rFonts w:ascii="Arial" w:hAnsi="Arial"/>
                <w:sz w:val="16"/>
                <w:szCs w:val="16"/>
              </w:rPr>
              <w:t>31</w:t>
            </w:r>
          </w:p>
        </w:tc>
        <w:tc>
          <w:tcPr>
            <w:tcW w:w="1021" w:type="dxa"/>
            <w:shd w:val="clear" w:color="auto" w:fill="auto"/>
            <w:vAlign w:val="center"/>
          </w:tcPr>
          <w:p w14:paraId="589019A5" w14:textId="68201C3D" w:rsidR="00747DA4" w:rsidRPr="003E76E7" w:rsidRDefault="00747DA4" w:rsidP="00C4292D">
            <w:pPr>
              <w:jc w:val="right"/>
              <w:rPr>
                <w:rFonts w:ascii="Arial" w:hAnsi="Arial"/>
                <w:sz w:val="16"/>
                <w:szCs w:val="16"/>
              </w:rPr>
            </w:pPr>
            <w:r w:rsidRPr="003E76E7">
              <w:rPr>
                <w:rFonts w:ascii="Arial" w:hAnsi="Arial"/>
                <w:sz w:val="16"/>
                <w:szCs w:val="16"/>
              </w:rPr>
              <w:t>30</w:t>
            </w:r>
          </w:p>
        </w:tc>
      </w:tr>
      <w:tr w:rsidR="00747DA4" w:rsidRPr="003E76E7" w14:paraId="250EC0E5" w14:textId="77777777" w:rsidTr="000E1A17">
        <w:trPr>
          <w:trHeight w:val="70"/>
        </w:trPr>
        <w:tc>
          <w:tcPr>
            <w:tcW w:w="2570" w:type="dxa"/>
            <w:shd w:val="clear" w:color="auto" w:fill="auto"/>
            <w:vAlign w:val="center"/>
          </w:tcPr>
          <w:p w14:paraId="1F19285F" w14:textId="4BBC80D9" w:rsidR="00747DA4" w:rsidRPr="003E76E7" w:rsidRDefault="00747DA4" w:rsidP="00C4292D">
            <w:pPr>
              <w:ind w:left="-57" w:right="-57"/>
              <w:rPr>
                <w:rFonts w:ascii="Arial" w:hAnsi="Arial"/>
                <w:sz w:val="16"/>
                <w:szCs w:val="16"/>
              </w:rPr>
            </w:pPr>
            <w:r w:rsidRPr="003E76E7">
              <w:rPr>
                <w:rFonts w:ascii="Arial" w:hAnsi="Arial"/>
                <w:sz w:val="16"/>
                <w:szCs w:val="16"/>
                <w:lang w:eastAsia="en-US"/>
              </w:rPr>
              <w:t>Survey Projects</w:t>
            </w:r>
            <w:r w:rsidRPr="003E76E7">
              <w:rPr>
                <w:rFonts w:ascii="Arial" w:hAnsi="Arial"/>
                <w:sz w:val="16"/>
                <w:szCs w:val="16"/>
                <w:vertAlign w:val="superscript"/>
                <w:lang w:eastAsia="en-US"/>
              </w:rPr>
              <w:t xml:space="preserve"> [d]</w:t>
            </w:r>
          </w:p>
        </w:tc>
        <w:tc>
          <w:tcPr>
            <w:tcW w:w="1020" w:type="dxa"/>
            <w:shd w:val="clear" w:color="auto" w:fill="auto"/>
            <w:vAlign w:val="center"/>
          </w:tcPr>
          <w:p w14:paraId="232E937D" w14:textId="1DFA0A38" w:rsidR="00747DA4" w:rsidRPr="003E76E7" w:rsidRDefault="00747DA4" w:rsidP="00C4292D">
            <w:pPr>
              <w:jc w:val="right"/>
              <w:rPr>
                <w:rFonts w:ascii="Arial" w:hAnsi="Arial"/>
                <w:sz w:val="16"/>
                <w:szCs w:val="16"/>
              </w:rPr>
            </w:pPr>
            <w:r w:rsidRPr="003E76E7">
              <w:rPr>
                <w:rFonts w:ascii="Arial" w:hAnsi="Arial"/>
                <w:sz w:val="16"/>
                <w:szCs w:val="16"/>
              </w:rPr>
              <w:t>10</w:t>
            </w:r>
          </w:p>
        </w:tc>
        <w:tc>
          <w:tcPr>
            <w:tcW w:w="1020" w:type="dxa"/>
            <w:shd w:val="clear" w:color="auto" w:fill="auto"/>
            <w:vAlign w:val="center"/>
          </w:tcPr>
          <w:p w14:paraId="4CDCE71E" w14:textId="1C66CAFB" w:rsidR="00747DA4" w:rsidRPr="003E76E7" w:rsidRDefault="00747DA4" w:rsidP="00C4292D">
            <w:pPr>
              <w:jc w:val="right"/>
              <w:rPr>
                <w:rFonts w:ascii="Arial" w:hAnsi="Arial"/>
                <w:sz w:val="16"/>
                <w:szCs w:val="16"/>
              </w:rPr>
            </w:pPr>
            <w:r w:rsidRPr="003E76E7">
              <w:rPr>
                <w:rFonts w:ascii="Arial" w:hAnsi="Arial"/>
                <w:sz w:val="16"/>
                <w:szCs w:val="16"/>
              </w:rPr>
              <w:t>13</w:t>
            </w:r>
          </w:p>
        </w:tc>
        <w:tc>
          <w:tcPr>
            <w:tcW w:w="1020" w:type="dxa"/>
            <w:shd w:val="clear" w:color="auto" w:fill="auto"/>
            <w:vAlign w:val="center"/>
          </w:tcPr>
          <w:p w14:paraId="519B5964" w14:textId="2E85C159" w:rsidR="00747DA4" w:rsidRPr="003E76E7" w:rsidRDefault="00747DA4" w:rsidP="00C4292D">
            <w:pPr>
              <w:jc w:val="right"/>
              <w:rPr>
                <w:rFonts w:ascii="Arial" w:hAnsi="Arial"/>
                <w:sz w:val="16"/>
                <w:szCs w:val="16"/>
              </w:rPr>
            </w:pPr>
            <w:r w:rsidRPr="003E76E7">
              <w:rPr>
                <w:rFonts w:ascii="Arial" w:hAnsi="Arial"/>
                <w:sz w:val="16"/>
                <w:szCs w:val="16"/>
              </w:rPr>
              <w:t>13</w:t>
            </w:r>
          </w:p>
        </w:tc>
        <w:tc>
          <w:tcPr>
            <w:tcW w:w="1020" w:type="dxa"/>
            <w:shd w:val="clear" w:color="auto" w:fill="auto"/>
            <w:vAlign w:val="center"/>
          </w:tcPr>
          <w:p w14:paraId="4FC135F5" w14:textId="5C5735B8" w:rsidR="00747DA4" w:rsidRPr="003E76E7" w:rsidRDefault="00747DA4" w:rsidP="00C4292D">
            <w:pPr>
              <w:jc w:val="right"/>
              <w:rPr>
                <w:rFonts w:ascii="Arial" w:hAnsi="Arial"/>
                <w:sz w:val="16"/>
                <w:szCs w:val="16"/>
              </w:rPr>
            </w:pPr>
            <w:r w:rsidRPr="003E76E7">
              <w:rPr>
                <w:rFonts w:ascii="Arial" w:hAnsi="Arial"/>
                <w:sz w:val="16"/>
                <w:szCs w:val="16"/>
              </w:rPr>
              <w:t>13</w:t>
            </w:r>
          </w:p>
        </w:tc>
        <w:tc>
          <w:tcPr>
            <w:tcW w:w="1021" w:type="dxa"/>
            <w:shd w:val="clear" w:color="auto" w:fill="auto"/>
            <w:vAlign w:val="center"/>
          </w:tcPr>
          <w:p w14:paraId="423FCFAC" w14:textId="3F068111" w:rsidR="00747DA4" w:rsidRPr="003E76E7" w:rsidRDefault="00747DA4" w:rsidP="00C4292D">
            <w:pPr>
              <w:jc w:val="right"/>
              <w:rPr>
                <w:rFonts w:ascii="Arial" w:hAnsi="Arial"/>
                <w:sz w:val="16"/>
                <w:szCs w:val="16"/>
              </w:rPr>
            </w:pPr>
            <w:r w:rsidRPr="003E76E7">
              <w:rPr>
                <w:rFonts w:ascii="Arial" w:hAnsi="Arial"/>
                <w:sz w:val="16"/>
                <w:szCs w:val="16"/>
              </w:rPr>
              <w:t>13</w:t>
            </w:r>
          </w:p>
        </w:tc>
      </w:tr>
    </w:tbl>
    <w:p w14:paraId="5A41E182" w14:textId="77777777" w:rsidR="005403E1" w:rsidRPr="003E76E7" w:rsidRDefault="005403E1" w:rsidP="00C4292D">
      <w:pPr>
        <w:pStyle w:val="TableHeading"/>
        <w:spacing w:before="0" w:after="0"/>
        <w:rPr>
          <w:sz w:val="14"/>
          <w:szCs w:val="16"/>
        </w:rPr>
      </w:pPr>
    </w:p>
    <w:p w14:paraId="2C750EFF" w14:textId="77777777" w:rsidR="000D48CA" w:rsidRPr="003E76E7" w:rsidRDefault="005403E1" w:rsidP="00C4292D">
      <w:pPr>
        <w:spacing w:before="0" w:after="0"/>
        <w:rPr>
          <w:rFonts w:ascii="Arial" w:hAnsi="Arial"/>
          <w:b/>
          <w:sz w:val="14"/>
          <w:szCs w:val="14"/>
        </w:rPr>
      </w:pPr>
      <w:r w:rsidRPr="003E76E7">
        <w:rPr>
          <w:sz w:val="16"/>
          <w:szCs w:val="16"/>
          <w:lang w:val="en-AU"/>
        </w:rPr>
        <w:tab/>
      </w:r>
      <w:r w:rsidR="000D48CA" w:rsidRPr="003E76E7">
        <w:rPr>
          <w:rFonts w:ascii="Arial" w:hAnsi="Arial"/>
          <w:b/>
          <w:sz w:val="14"/>
          <w:szCs w:val="14"/>
        </w:rPr>
        <w:t>Notes</w:t>
      </w:r>
    </w:p>
    <w:p w14:paraId="344B7917" w14:textId="50110B21" w:rsidR="00534370" w:rsidRPr="003E76E7" w:rsidRDefault="00534370" w:rsidP="00C4292D">
      <w:pPr>
        <w:numPr>
          <w:ilvl w:val="0"/>
          <w:numId w:val="25"/>
        </w:numPr>
        <w:tabs>
          <w:tab w:val="left" w:pos="57"/>
          <w:tab w:val="left" w:pos="284"/>
        </w:tabs>
        <w:spacing w:before="0" w:after="0"/>
        <w:ind w:left="284" w:hanging="284"/>
        <w:rPr>
          <w:rFonts w:ascii="Arial" w:hAnsi="Arial"/>
          <w:sz w:val="14"/>
          <w:szCs w:val="14"/>
          <w:lang w:val="en-AU"/>
        </w:rPr>
      </w:pPr>
      <w:r w:rsidRPr="003E76E7">
        <w:rPr>
          <w:rFonts w:ascii="Arial" w:hAnsi="Arial"/>
          <w:sz w:val="14"/>
          <w:szCs w:val="14"/>
          <w:lang w:val="en-AU"/>
        </w:rPr>
        <w:t xml:space="preserve">Maritime Safety Updates (MSU) are urgent safety-critical revisions to nautical charts and publications or other hydrographic products and services. All Priority 1 MSU will be applied to product and released within the agreed 20-day timeframe with a PB Statements </w:t>
      </w:r>
      <w:r w:rsidR="006A24A9" w:rsidRPr="003E76E7">
        <w:rPr>
          <w:rFonts w:ascii="Arial" w:hAnsi="Arial"/>
          <w:sz w:val="14"/>
          <w:szCs w:val="14"/>
          <w:lang w:val="en-AU"/>
        </w:rPr>
        <w:t>t</w:t>
      </w:r>
      <w:r w:rsidR="00616A60" w:rsidRPr="003E76E7">
        <w:rPr>
          <w:rFonts w:ascii="Arial" w:hAnsi="Arial"/>
          <w:sz w:val="14"/>
          <w:szCs w:val="14"/>
          <w:lang w:val="en-AU"/>
        </w:rPr>
        <w:t xml:space="preserve">arget of 100 per </w:t>
      </w:r>
      <w:r w:rsidRPr="003E76E7">
        <w:rPr>
          <w:rFonts w:ascii="Arial" w:hAnsi="Arial"/>
          <w:sz w:val="14"/>
          <w:szCs w:val="14"/>
          <w:lang w:val="en-AU"/>
        </w:rPr>
        <w:t>cent achievement. The exa</w:t>
      </w:r>
      <w:r w:rsidR="00FE5A03">
        <w:rPr>
          <w:rFonts w:ascii="Arial" w:hAnsi="Arial"/>
          <w:sz w:val="14"/>
          <w:szCs w:val="14"/>
          <w:lang w:val="en-AU"/>
        </w:rPr>
        <w:t>ct figure for 2025-26 was 99.57 per cent</w:t>
      </w:r>
      <w:r w:rsidRPr="003E76E7">
        <w:rPr>
          <w:rFonts w:ascii="Arial" w:hAnsi="Arial"/>
          <w:sz w:val="14"/>
          <w:szCs w:val="14"/>
          <w:lang w:val="en-AU"/>
        </w:rPr>
        <w:t>, as two MSU publications were delayed due to the publication schedule, or competing MSU priorities.</w:t>
      </w:r>
    </w:p>
    <w:p w14:paraId="4E71302F" w14:textId="77777777" w:rsidR="00534370" w:rsidRPr="003E76E7" w:rsidRDefault="00534370" w:rsidP="00C4292D">
      <w:pPr>
        <w:numPr>
          <w:ilvl w:val="0"/>
          <w:numId w:val="25"/>
        </w:numPr>
        <w:tabs>
          <w:tab w:val="left" w:pos="57"/>
          <w:tab w:val="left" w:pos="284"/>
        </w:tabs>
        <w:spacing w:before="0" w:after="0"/>
        <w:ind w:left="284" w:hanging="284"/>
        <w:rPr>
          <w:rFonts w:ascii="Arial" w:hAnsi="Arial"/>
          <w:sz w:val="14"/>
          <w:szCs w:val="14"/>
          <w:lang w:val="en-AU"/>
        </w:rPr>
      </w:pPr>
      <w:r w:rsidRPr="003E76E7">
        <w:rPr>
          <w:rFonts w:ascii="Arial" w:hAnsi="Arial"/>
          <w:sz w:val="14"/>
          <w:szCs w:val="14"/>
          <w:lang w:val="en-AU"/>
        </w:rPr>
        <w:t>A Charting Project includes all charting activities involved in compiling and publishing all paper and electronic charts or other charting services, for a particular geographic area. When all affected products are updated through different charting activities a Charting Project is considered complete.</w:t>
      </w:r>
    </w:p>
    <w:p w14:paraId="67526A31" w14:textId="3B7D075A" w:rsidR="00534370" w:rsidRPr="003E76E7" w:rsidRDefault="00534370" w:rsidP="00C4292D">
      <w:pPr>
        <w:numPr>
          <w:ilvl w:val="0"/>
          <w:numId w:val="25"/>
        </w:numPr>
        <w:tabs>
          <w:tab w:val="left" w:pos="57"/>
          <w:tab w:val="left" w:pos="284"/>
        </w:tabs>
        <w:spacing w:before="0" w:after="0"/>
        <w:ind w:left="284" w:hanging="284"/>
        <w:rPr>
          <w:rFonts w:ascii="Arial" w:hAnsi="Arial"/>
          <w:sz w:val="14"/>
          <w:szCs w:val="14"/>
          <w:lang w:val="en-AU"/>
        </w:rPr>
      </w:pPr>
      <w:r w:rsidRPr="003E76E7">
        <w:rPr>
          <w:rFonts w:ascii="Arial" w:hAnsi="Arial"/>
          <w:sz w:val="14"/>
          <w:szCs w:val="14"/>
          <w:lang w:val="en-AU"/>
        </w:rPr>
        <w:t xml:space="preserve">The Nautical Publications produced are 25 fortnightly Notices to Mariners and </w:t>
      </w:r>
      <w:r w:rsidR="006A24A9" w:rsidRPr="003E76E7">
        <w:rPr>
          <w:rFonts w:ascii="Arial" w:hAnsi="Arial"/>
          <w:sz w:val="14"/>
          <w:szCs w:val="14"/>
          <w:lang w:val="en-AU"/>
        </w:rPr>
        <w:t>four</w:t>
      </w:r>
      <w:r w:rsidRPr="003E76E7">
        <w:rPr>
          <w:rFonts w:ascii="Arial" w:hAnsi="Arial"/>
          <w:sz w:val="14"/>
          <w:szCs w:val="14"/>
          <w:lang w:val="en-AU"/>
        </w:rPr>
        <w:t xml:space="preserve"> annual tidal publications. Variation to 2025-26 estimate of plus </w:t>
      </w:r>
      <w:r w:rsidR="00D34381" w:rsidRPr="003E76E7">
        <w:rPr>
          <w:rFonts w:ascii="Arial" w:hAnsi="Arial"/>
          <w:sz w:val="14"/>
          <w:szCs w:val="14"/>
          <w:lang w:val="en-AU"/>
        </w:rPr>
        <w:t>one</w:t>
      </w:r>
      <w:r w:rsidRPr="003E76E7">
        <w:rPr>
          <w:rFonts w:ascii="Arial" w:hAnsi="Arial"/>
          <w:sz w:val="14"/>
          <w:szCs w:val="14"/>
          <w:lang w:val="en-AU"/>
        </w:rPr>
        <w:t xml:space="preserve">, as a new edition of the Mariner’s Handbook for Australian Waters (AHP20) will be produced. Estimate for </w:t>
      </w:r>
      <w:r w:rsidR="00891511" w:rsidRPr="003E76E7">
        <w:rPr>
          <w:rFonts w:ascii="Arial" w:hAnsi="Arial"/>
          <w:sz w:val="14"/>
          <w:szCs w:val="14"/>
          <w:lang w:val="en-AU"/>
        </w:rPr>
        <w:br/>
      </w:r>
      <w:r w:rsidRPr="003E76E7">
        <w:rPr>
          <w:rFonts w:ascii="Arial" w:hAnsi="Arial"/>
          <w:sz w:val="14"/>
          <w:szCs w:val="14"/>
          <w:lang w:val="en-AU"/>
        </w:rPr>
        <w:t xml:space="preserve">2026-27 includes a new edition of the Chart and Publication Maintenance Handbook (AHP24). Forward </w:t>
      </w:r>
      <w:r w:rsidR="00D34381" w:rsidRPr="003E76E7">
        <w:rPr>
          <w:rFonts w:ascii="Arial" w:hAnsi="Arial"/>
          <w:sz w:val="14"/>
          <w:szCs w:val="14"/>
          <w:lang w:val="en-AU"/>
        </w:rPr>
        <w:t>E</w:t>
      </w:r>
      <w:r w:rsidRPr="003E76E7">
        <w:rPr>
          <w:rFonts w:ascii="Arial" w:hAnsi="Arial"/>
          <w:sz w:val="14"/>
          <w:szCs w:val="14"/>
          <w:lang w:val="en-AU"/>
        </w:rPr>
        <w:t>stimates include the planned shift to annual publication for AHP20.</w:t>
      </w:r>
    </w:p>
    <w:p w14:paraId="5FC0C1F3" w14:textId="55C18F9B" w:rsidR="00534370" w:rsidRPr="003E76E7" w:rsidRDefault="00534370" w:rsidP="00C4292D">
      <w:pPr>
        <w:numPr>
          <w:ilvl w:val="0"/>
          <w:numId w:val="25"/>
        </w:numPr>
        <w:tabs>
          <w:tab w:val="left" w:pos="57"/>
          <w:tab w:val="left" w:pos="284"/>
        </w:tabs>
        <w:spacing w:before="0" w:after="0"/>
        <w:ind w:left="284" w:hanging="284"/>
        <w:rPr>
          <w:rFonts w:ascii="Arial" w:hAnsi="Arial"/>
          <w:sz w:val="14"/>
          <w:szCs w:val="14"/>
          <w:lang w:val="en-AU"/>
        </w:rPr>
      </w:pPr>
      <w:r w:rsidRPr="003E76E7">
        <w:rPr>
          <w:rFonts w:ascii="Arial" w:hAnsi="Arial"/>
          <w:sz w:val="14"/>
          <w:szCs w:val="14"/>
          <w:lang w:val="en-AU"/>
        </w:rPr>
        <w:t>Survey Projects are major hydrographic surveys, contract executed to support the Australian Hydrographic Office (AHO) national survey function under The</w:t>
      </w:r>
      <w:r w:rsidRPr="003E76E7">
        <w:rPr>
          <w:rFonts w:ascii="Arial" w:hAnsi="Arial"/>
          <w:i/>
          <w:sz w:val="14"/>
          <w:szCs w:val="14"/>
          <w:lang w:val="en-AU"/>
        </w:rPr>
        <w:t xml:space="preserve"> Navigation Act 2012</w:t>
      </w:r>
      <w:r w:rsidRPr="003E76E7">
        <w:rPr>
          <w:rFonts w:ascii="Arial" w:hAnsi="Arial"/>
          <w:sz w:val="14"/>
          <w:szCs w:val="14"/>
          <w:lang w:val="en-AU"/>
        </w:rPr>
        <w:t xml:space="preserve">. The HydroScheme Industry Partnership Program (HIPP) enables the AHO to undertake focused hydrographic survey data collection using commercial arrangements. Survey Project rate of effort is aligned with the annual </w:t>
      </w:r>
      <w:r w:rsidRPr="003E76E7">
        <w:rPr>
          <w:rFonts w:ascii="Arial" w:hAnsi="Arial"/>
          <w:bCs/>
          <w:sz w:val="14"/>
          <w:szCs w:val="14"/>
        </w:rPr>
        <w:t>HIPP budget guidance and available personnel to manage the planning and oversight of scheduled surveys.</w:t>
      </w:r>
      <w:r w:rsidRPr="003E76E7">
        <w:rPr>
          <w:b/>
          <w:bCs/>
          <w:sz w:val="14"/>
          <w:szCs w:val="14"/>
        </w:rPr>
        <w:t xml:space="preserve"> </w:t>
      </w:r>
      <w:r w:rsidR="00A11424" w:rsidRPr="003E76E7">
        <w:rPr>
          <w:b/>
          <w:bCs/>
          <w:sz w:val="14"/>
          <w:szCs w:val="14"/>
        </w:rPr>
        <w:br/>
      </w:r>
      <w:r w:rsidRPr="003E76E7">
        <w:rPr>
          <w:rFonts w:ascii="Arial" w:hAnsi="Arial"/>
          <w:bCs/>
          <w:sz w:val="14"/>
          <w:szCs w:val="14"/>
        </w:rPr>
        <w:t xml:space="preserve">HIPP Phase 2 commenced 1 July 2024 and is funded to 2033-34. </w:t>
      </w:r>
    </w:p>
    <w:p w14:paraId="4B279399" w14:textId="7F215FF9" w:rsidR="00113820" w:rsidRPr="003E76E7" w:rsidRDefault="00113820" w:rsidP="00C4292D">
      <w:pPr>
        <w:spacing w:before="0" w:after="0"/>
        <w:rPr>
          <w:rFonts w:ascii="Arial" w:hAnsi="Arial"/>
          <w:sz w:val="14"/>
          <w:szCs w:val="14"/>
          <w:lang w:val="en-AU"/>
        </w:rPr>
      </w:pPr>
      <w:r w:rsidRPr="003E76E7">
        <w:rPr>
          <w:rFonts w:ascii="Arial" w:hAnsi="Arial"/>
          <w:sz w:val="14"/>
          <w:szCs w:val="14"/>
          <w:lang w:val="en-AU"/>
        </w:rPr>
        <w:br w:type="page"/>
      </w:r>
    </w:p>
    <w:p w14:paraId="5A71D592" w14:textId="77777777" w:rsidR="004535B1" w:rsidRPr="003E76E7" w:rsidRDefault="004535B1" w:rsidP="00C4292D">
      <w:pPr>
        <w:spacing w:before="0" w:after="0"/>
        <w:outlineLvl w:val="5"/>
        <w:rPr>
          <w:color w:val="FFFFFF"/>
          <w:sz w:val="2"/>
          <w:szCs w:val="2"/>
        </w:rPr>
      </w:pPr>
      <w:r w:rsidRPr="003E76E7">
        <w:rPr>
          <w:color w:val="FFFFFF"/>
          <w:sz w:val="2"/>
          <w:szCs w:val="2"/>
        </w:rPr>
        <w:lastRenderedPageBreak/>
        <w:t>Program 2.15: Naval Shipbuilding and Sustainment</w:t>
      </w:r>
    </w:p>
    <w:tbl>
      <w:tblPr>
        <w:tblW w:w="5000" w:type="pct"/>
        <w:tblInd w:w="-5" w:type="dxa"/>
        <w:tblBorders>
          <w:top w:val="single" w:sz="4" w:space="0" w:color="auto"/>
          <w:left w:val="single" w:sz="4" w:space="0" w:color="auto"/>
          <w:bottom w:val="single" w:sz="4" w:space="0" w:color="auto"/>
          <w:right w:val="single" w:sz="4" w:space="0" w:color="auto"/>
          <w:insideV w:val="single" w:sz="4" w:space="0" w:color="auto"/>
        </w:tblBorders>
        <w:shd w:val="clear" w:color="auto" w:fill="CCCCCC"/>
        <w:tblLook w:val="01E0" w:firstRow="1" w:lastRow="1" w:firstColumn="1" w:lastColumn="1" w:noHBand="0" w:noVBand="0"/>
      </w:tblPr>
      <w:tblGrid>
        <w:gridCol w:w="1927"/>
        <w:gridCol w:w="3107"/>
        <w:gridCol w:w="3517"/>
      </w:tblGrid>
      <w:tr w:rsidR="00F7100A" w:rsidRPr="003E76E7" w14:paraId="1AF1AB68" w14:textId="77777777" w:rsidTr="00A211F5">
        <w:tc>
          <w:tcPr>
            <w:tcW w:w="8551" w:type="dxa"/>
            <w:gridSpan w:val="3"/>
            <w:tcBorders>
              <w:top w:val="single" w:sz="4" w:space="0" w:color="auto"/>
              <w:bottom w:val="single" w:sz="4" w:space="0" w:color="auto"/>
            </w:tcBorders>
            <w:shd w:val="clear" w:color="auto" w:fill="CCCCCC"/>
          </w:tcPr>
          <w:p w14:paraId="5C1B35F4" w14:textId="77777777" w:rsidR="00F7100A" w:rsidRPr="003E76E7" w:rsidRDefault="00F7100A" w:rsidP="00C4292D">
            <w:pPr>
              <w:pStyle w:val="Heading5"/>
              <w:spacing w:before="60" w:after="60"/>
            </w:pPr>
            <w:r w:rsidRPr="003E76E7">
              <w:t>Program 2.15: Naval Shipbuilding and Sustainment</w:t>
            </w:r>
          </w:p>
        </w:tc>
      </w:tr>
      <w:tr w:rsidR="00F7100A" w:rsidRPr="003E76E7" w14:paraId="52AC958E" w14:textId="77777777" w:rsidTr="00A211F5">
        <w:trPr>
          <w:trHeight w:val="170"/>
        </w:trPr>
        <w:tc>
          <w:tcPr>
            <w:tcW w:w="8551" w:type="dxa"/>
            <w:gridSpan w:val="3"/>
            <w:tcBorders>
              <w:top w:val="single" w:sz="4" w:space="0" w:color="auto"/>
              <w:left w:val="nil"/>
              <w:bottom w:val="dotted" w:sz="4" w:space="0" w:color="auto"/>
              <w:right w:val="nil"/>
            </w:tcBorders>
            <w:shd w:val="clear" w:color="auto" w:fill="auto"/>
          </w:tcPr>
          <w:p w14:paraId="44497F7C" w14:textId="77777777" w:rsidR="00F7100A" w:rsidRPr="003E76E7" w:rsidRDefault="00F7100A" w:rsidP="00C4292D">
            <w:pPr>
              <w:pStyle w:val="Heading5"/>
              <w:spacing w:before="0" w:after="0"/>
              <w:rPr>
                <w:sz w:val="16"/>
                <w:szCs w:val="16"/>
              </w:rPr>
            </w:pPr>
          </w:p>
        </w:tc>
      </w:tr>
      <w:tr w:rsidR="00F7100A" w:rsidRPr="003E76E7" w14:paraId="4939C6F8" w14:textId="77777777" w:rsidTr="00A211F5">
        <w:tblPrEx>
          <w:shd w:val="clear" w:color="auto" w:fill="auto"/>
          <w:tblLook w:val="04A0" w:firstRow="1" w:lastRow="0" w:firstColumn="1" w:lastColumn="0" w:noHBand="0" w:noVBand="1"/>
        </w:tblPrEx>
        <w:trPr>
          <w:tblHeader/>
        </w:trPr>
        <w:tc>
          <w:tcPr>
            <w:tcW w:w="8551" w:type="dxa"/>
            <w:gridSpan w:val="3"/>
            <w:tcBorders>
              <w:top w:val="single" w:sz="4" w:space="0" w:color="auto"/>
              <w:bottom w:val="single" w:sz="4" w:space="0" w:color="auto"/>
            </w:tcBorders>
            <w:shd w:val="clear" w:color="auto" w:fill="E6E6E6"/>
          </w:tcPr>
          <w:p w14:paraId="41F25CCD" w14:textId="77777777" w:rsidR="00F7100A" w:rsidRPr="003E76E7" w:rsidRDefault="00F7100A" w:rsidP="00C4292D">
            <w:pPr>
              <w:tabs>
                <w:tab w:val="left" w:pos="709"/>
              </w:tabs>
              <w:spacing w:before="60" w:after="60"/>
              <w:rPr>
                <w:rFonts w:ascii="Arial" w:hAnsi="Arial"/>
                <w:b/>
                <w:sz w:val="16"/>
                <w:szCs w:val="16"/>
              </w:rPr>
            </w:pPr>
            <w:r w:rsidRPr="003E76E7">
              <w:rPr>
                <w:rFonts w:ascii="Arial" w:hAnsi="Arial"/>
                <w:b/>
                <w:sz w:val="16"/>
                <w:szCs w:val="16"/>
              </w:rPr>
              <w:t>Program 2.15</w:t>
            </w:r>
            <w:r w:rsidRPr="003E76E7">
              <w:rPr>
                <w:rFonts w:ascii="Arial" w:hAnsi="Arial"/>
                <w:sz w:val="16"/>
                <w:szCs w:val="16"/>
              </w:rPr>
              <w:t xml:space="preserve"> </w:t>
            </w:r>
            <w:r w:rsidRPr="003E76E7">
              <w:rPr>
                <w:rFonts w:ascii="Arial" w:hAnsi="Arial"/>
                <w:b/>
                <w:sz w:val="16"/>
                <w:szCs w:val="16"/>
              </w:rPr>
              <w:t>Objective</w:t>
            </w:r>
          </w:p>
          <w:p w14:paraId="09DEF3C0" w14:textId="77777777" w:rsidR="00F7100A" w:rsidRPr="003E76E7" w:rsidRDefault="00F7100A" w:rsidP="00C4292D">
            <w:pPr>
              <w:tabs>
                <w:tab w:val="left" w:pos="709"/>
              </w:tabs>
              <w:spacing w:before="0" w:after="60"/>
              <w:rPr>
                <w:rFonts w:ascii="Arial" w:hAnsi="Arial"/>
                <w:sz w:val="16"/>
                <w:szCs w:val="16"/>
              </w:rPr>
            </w:pPr>
            <w:r w:rsidRPr="003E76E7">
              <w:rPr>
                <w:rFonts w:ascii="Arial" w:hAnsi="Arial"/>
                <w:sz w:val="16"/>
                <w:szCs w:val="16"/>
              </w:rPr>
              <w:t>To deliver maritime capability through the acquisition and sustainment of naval vessels for Navy and Army, while supporting the development of continuous naval shipbuilding key enablers in Australia, including the development of a secure, sovereign industrial base, infrastructure, and an appropriately skilled and experienced workforce.</w:t>
            </w:r>
          </w:p>
        </w:tc>
      </w:tr>
      <w:tr w:rsidR="00321534" w:rsidRPr="003E76E7" w14:paraId="665D0847" w14:textId="77777777" w:rsidTr="00A211F5">
        <w:tblPrEx>
          <w:shd w:val="clear" w:color="auto" w:fill="auto"/>
          <w:tblLook w:val="04A0" w:firstRow="1" w:lastRow="0" w:firstColumn="1" w:lastColumn="0" w:noHBand="0" w:noVBand="1"/>
        </w:tblPrEx>
        <w:trPr>
          <w:trHeight w:val="312"/>
        </w:trPr>
        <w:tc>
          <w:tcPr>
            <w:tcW w:w="1927" w:type="dxa"/>
            <w:tcBorders>
              <w:top w:val="single" w:sz="4" w:space="0" w:color="auto"/>
              <w:bottom w:val="single" w:sz="4" w:space="0" w:color="auto"/>
            </w:tcBorders>
          </w:tcPr>
          <w:p w14:paraId="4892F71A" w14:textId="61CEA883" w:rsidR="00321534" w:rsidRPr="003E76E7" w:rsidRDefault="00321534" w:rsidP="00C4292D">
            <w:pPr>
              <w:tabs>
                <w:tab w:val="left" w:pos="709"/>
              </w:tabs>
              <w:spacing w:before="60" w:after="60"/>
              <w:rPr>
                <w:rFonts w:ascii="Arial" w:hAnsi="Arial"/>
                <w:b/>
                <w:color w:val="000000"/>
                <w:sz w:val="16"/>
                <w:szCs w:val="16"/>
              </w:rPr>
            </w:pPr>
            <w:r w:rsidRPr="003E76E7">
              <w:rPr>
                <w:rFonts w:ascii="Arial" w:hAnsi="Arial"/>
                <w:b/>
                <w:color w:val="000000"/>
                <w:sz w:val="16"/>
                <w:szCs w:val="16"/>
              </w:rPr>
              <w:t>Key Activities</w:t>
            </w:r>
            <w:r w:rsidR="003C0ED5" w:rsidRPr="003E76E7">
              <w:rPr>
                <w:rFonts w:ascii="Arial" w:hAnsi="Arial"/>
                <w:b/>
                <w:color w:val="000000"/>
                <w:sz w:val="16"/>
                <w:szCs w:val="16"/>
              </w:rPr>
              <w:t xml:space="preserve"> </w:t>
            </w:r>
            <w:r w:rsidR="003C0ED5" w:rsidRPr="003E76E7">
              <w:rPr>
                <w:rFonts w:ascii="Arial" w:hAnsi="Arial"/>
                <w:b/>
                <w:color w:val="000000"/>
                <w:sz w:val="16"/>
                <w:szCs w:val="16"/>
                <w:vertAlign w:val="superscript"/>
              </w:rPr>
              <w:t>[a]</w:t>
            </w:r>
          </w:p>
        </w:tc>
        <w:tc>
          <w:tcPr>
            <w:tcW w:w="6624" w:type="dxa"/>
            <w:gridSpan w:val="2"/>
            <w:tcBorders>
              <w:top w:val="single" w:sz="4" w:space="0" w:color="auto"/>
              <w:bottom w:val="single" w:sz="4" w:space="0" w:color="auto"/>
            </w:tcBorders>
            <w:shd w:val="clear" w:color="auto" w:fill="auto"/>
          </w:tcPr>
          <w:p w14:paraId="491E8693" w14:textId="77777777" w:rsidR="00321534" w:rsidRPr="003E76E7" w:rsidRDefault="00321534" w:rsidP="00C4292D">
            <w:pPr>
              <w:tabs>
                <w:tab w:val="left" w:pos="709"/>
              </w:tabs>
              <w:spacing w:before="60" w:after="60"/>
              <w:rPr>
                <w:rFonts w:ascii="Arial" w:hAnsi="Arial"/>
                <w:bCs/>
                <w:color w:val="000000"/>
                <w:sz w:val="16"/>
                <w:szCs w:val="16"/>
                <w:lang w:val="en-AU"/>
              </w:rPr>
            </w:pPr>
            <w:r w:rsidRPr="003E76E7">
              <w:rPr>
                <w:rFonts w:ascii="Arial" w:hAnsi="Arial"/>
                <w:bCs/>
                <w:color w:val="000000"/>
                <w:sz w:val="16"/>
                <w:szCs w:val="16"/>
                <w:lang w:val="en-AU"/>
              </w:rPr>
              <w:t>This program is achieved through the following activities:</w:t>
            </w:r>
          </w:p>
          <w:p w14:paraId="62E0034E" w14:textId="77777777" w:rsidR="00082A97" w:rsidRPr="003E76E7" w:rsidRDefault="00082A97" w:rsidP="00C4292D">
            <w:pPr>
              <w:tabs>
                <w:tab w:val="left" w:pos="343"/>
              </w:tabs>
              <w:spacing w:before="60" w:after="60"/>
              <w:rPr>
                <w:rFonts w:ascii="Arial" w:hAnsi="Arial"/>
                <w:b/>
                <w:sz w:val="16"/>
                <w:szCs w:val="16"/>
                <w:lang w:val="en-AU"/>
              </w:rPr>
            </w:pPr>
            <w:r w:rsidRPr="003E76E7">
              <w:rPr>
                <w:rFonts w:ascii="Arial" w:hAnsi="Arial"/>
                <w:b/>
                <w:sz w:val="16"/>
                <w:szCs w:val="16"/>
                <w:lang w:val="en-AU"/>
              </w:rPr>
              <w:t>6. Deliver future capability</w:t>
            </w:r>
            <w:r w:rsidRPr="003E76E7">
              <w:rPr>
                <w:rFonts w:ascii="Arial" w:hAnsi="Arial"/>
                <w:sz w:val="16"/>
                <w:szCs w:val="16"/>
                <w:lang w:val="en-AU"/>
              </w:rPr>
              <w:t xml:space="preserve">. </w:t>
            </w:r>
          </w:p>
          <w:p w14:paraId="0D9D4B43" w14:textId="42182156" w:rsidR="00321534" w:rsidRPr="003E76E7" w:rsidRDefault="00082A97" w:rsidP="00C4292D">
            <w:pPr>
              <w:tabs>
                <w:tab w:val="left" w:pos="709"/>
              </w:tabs>
              <w:spacing w:before="60" w:after="60"/>
              <w:rPr>
                <w:rFonts w:ascii="Arial" w:hAnsi="Arial"/>
                <w:i/>
                <w:color w:val="000000"/>
                <w:sz w:val="16"/>
                <w:szCs w:val="16"/>
              </w:rPr>
            </w:pPr>
            <w:r w:rsidRPr="003E76E7">
              <w:rPr>
                <w:rFonts w:ascii="Arial" w:hAnsi="Arial"/>
                <w:b/>
                <w:sz w:val="16"/>
                <w:szCs w:val="16"/>
                <w:lang w:val="en-AU"/>
              </w:rPr>
              <w:t>7. Defence advances Australia’s interests through a strengthened sovereign defence industrial base.</w:t>
            </w:r>
          </w:p>
        </w:tc>
      </w:tr>
      <w:tr w:rsidR="00F7100A" w:rsidRPr="003E76E7" w14:paraId="2CB783DC" w14:textId="77777777" w:rsidTr="00A211F5">
        <w:tblPrEx>
          <w:shd w:val="clear" w:color="auto" w:fill="auto"/>
          <w:tblLook w:val="04A0" w:firstRow="1" w:lastRow="0" w:firstColumn="1" w:lastColumn="0" w:noHBand="0" w:noVBand="1"/>
        </w:tblPrEx>
        <w:trPr>
          <w:trHeight w:val="100"/>
        </w:trPr>
        <w:tc>
          <w:tcPr>
            <w:tcW w:w="1927" w:type="dxa"/>
            <w:tcBorders>
              <w:top w:val="single" w:sz="4" w:space="0" w:color="auto"/>
              <w:bottom w:val="single" w:sz="4" w:space="0" w:color="auto"/>
            </w:tcBorders>
          </w:tcPr>
          <w:p w14:paraId="1A137BD0" w14:textId="77777777" w:rsidR="00F7100A" w:rsidRPr="003E76E7" w:rsidRDefault="00F7100A" w:rsidP="00C4292D">
            <w:pPr>
              <w:tabs>
                <w:tab w:val="left" w:pos="709"/>
              </w:tabs>
              <w:spacing w:before="60" w:after="60"/>
              <w:rPr>
                <w:rFonts w:ascii="Arial" w:hAnsi="Arial"/>
                <w:color w:val="000000"/>
                <w:sz w:val="16"/>
                <w:szCs w:val="16"/>
              </w:rPr>
            </w:pPr>
            <w:r w:rsidRPr="003E76E7">
              <w:rPr>
                <w:rFonts w:ascii="Arial" w:hAnsi="Arial"/>
                <w:b/>
                <w:color w:val="000000"/>
                <w:sz w:val="16"/>
                <w:szCs w:val="16"/>
              </w:rPr>
              <w:t>Year</w:t>
            </w:r>
          </w:p>
        </w:tc>
        <w:tc>
          <w:tcPr>
            <w:tcW w:w="3107" w:type="dxa"/>
            <w:tcBorders>
              <w:top w:val="single" w:sz="4" w:space="0" w:color="auto"/>
              <w:bottom w:val="single" w:sz="4" w:space="0" w:color="auto"/>
            </w:tcBorders>
          </w:tcPr>
          <w:p w14:paraId="7881A33D" w14:textId="6397E865" w:rsidR="00F7100A" w:rsidRPr="003E76E7" w:rsidRDefault="00AD14EC" w:rsidP="00C4292D">
            <w:pPr>
              <w:tabs>
                <w:tab w:val="left" w:pos="709"/>
              </w:tabs>
              <w:spacing w:before="60" w:after="60"/>
              <w:rPr>
                <w:rFonts w:ascii="Arial" w:hAnsi="Arial"/>
                <w:color w:val="000000"/>
              </w:rPr>
            </w:pPr>
            <w:r w:rsidRPr="003E76E7">
              <w:rPr>
                <w:rFonts w:ascii="Arial" w:hAnsi="Arial"/>
                <w:b/>
                <w:color w:val="000000"/>
                <w:sz w:val="16"/>
                <w:szCs w:val="16"/>
              </w:rPr>
              <w:t>Performance Measures</w:t>
            </w:r>
          </w:p>
        </w:tc>
        <w:tc>
          <w:tcPr>
            <w:tcW w:w="3517" w:type="dxa"/>
            <w:tcBorders>
              <w:top w:val="single" w:sz="4" w:space="0" w:color="auto"/>
              <w:bottom w:val="single" w:sz="4" w:space="0" w:color="auto"/>
            </w:tcBorders>
          </w:tcPr>
          <w:p w14:paraId="206062B5" w14:textId="77777777" w:rsidR="00F7100A" w:rsidRPr="003E76E7" w:rsidRDefault="00F7100A" w:rsidP="00C4292D">
            <w:pPr>
              <w:tabs>
                <w:tab w:val="left" w:pos="709"/>
              </w:tabs>
              <w:spacing w:before="60" w:after="60"/>
              <w:rPr>
                <w:rFonts w:ascii="Arial" w:hAnsi="Arial"/>
                <w:i/>
                <w:color w:val="000000"/>
                <w:sz w:val="16"/>
                <w:szCs w:val="16"/>
              </w:rPr>
            </w:pPr>
            <w:r w:rsidRPr="003E76E7">
              <w:rPr>
                <w:rFonts w:ascii="Arial" w:hAnsi="Arial"/>
                <w:b/>
                <w:color w:val="000000"/>
                <w:sz w:val="16"/>
                <w:szCs w:val="16"/>
              </w:rPr>
              <w:t>Expected Performance Results</w:t>
            </w:r>
          </w:p>
        </w:tc>
      </w:tr>
      <w:tr w:rsidR="00082A97" w:rsidRPr="003E76E7" w14:paraId="089E51A8" w14:textId="77777777" w:rsidTr="00A211F5">
        <w:tblPrEx>
          <w:shd w:val="clear" w:color="auto" w:fill="auto"/>
          <w:tblLook w:val="04A0" w:firstRow="1" w:lastRow="0" w:firstColumn="1" w:lastColumn="0" w:noHBand="0" w:noVBand="1"/>
        </w:tblPrEx>
        <w:trPr>
          <w:trHeight w:val="620"/>
        </w:trPr>
        <w:tc>
          <w:tcPr>
            <w:tcW w:w="1927" w:type="dxa"/>
            <w:vMerge w:val="restart"/>
            <w:tcBorders>
              <w:top w:val="single" w:sz="4" w:space="0" w:color="auto"/>
              <w:bottom w:val="single" w:sz="4" w:space="0" w:color="auto"/>
            </w:tcBorders>
          </w:tcPr>
          <w:p w14:paraId="174A5B0D" w14:textId="77777777" w:rsidR="00082A97" w:rsidRPr="003E76E7" w:rsidRDefault="00082A97" w:rsidP="00C4292D">
            <w:pPr>
              <w:tabs>
                <w:tab w:val="left" w:pos="709"/>
              </w:tabs>
              <w:spacing w:before="0" w:after="0"/>
              <w:rPr>
                <w:rFonts w:ascii="Arial" w:hAnsi="Arial"/>
                <w:color w:val="000000"/>
                <w:sz w:val="16"/>
                <w:szCs w:val="16"/>
              </w:rPr>
            </w:pPr>
            <w:r w:rsidRPr="003E76E7">
              <w:rPr>
                <w:rFonts w:ascii="Arial" w:hAnsi="Arial"/>
                <w:color w:val="000000"/>
                <w:sz w:val="16"/>
                <w:szCs w:val="16"/>
              </w:rPr>
              <w:t>Current Year</w:t>
            </w:r>
          </w:p>
          <w:p w14:paraId="1A93CA2E" w14:textId="41C6EFA7" w:rsidR="00082A97" w:rsidRPr="003E76E7" w:rsidRDefault="00082A97" w:rsidP="00C4292D">
            <w:pPr>
              <w:tabs>
                <w:tab w:val="left" w:pos="709"/>
              </w:tabs>
              <w:spacing w:before="0" w:after="0"/>
              <w:rPr>
                <w:rFonts w:ascii="Arial" w:hAnsi="Arial"/>
                <w:color w:val="000000"/>
                <w:sz w:val="16"/>
                <w:szCs w:val="16"/>
              </w:rPr>
            </w:pPr>
            <w:r w:rsidRPr="003E76E7">
              <w:rPr>
                <w:rFonts w:ascii="Arial" w:hAnsi="Arial"/>
                <w:color w:val="000000"/>
                <w:sz w:val="16"/>
                <w:szCs w:val="16"/>
              </w:rPr>
              <w:t>2025-26</w:t>
            </w:r>
            <w:r w:rsidR="003C0ED5" w:rsidRPr="003E76E7">
              <w:rPr>
                <w:rFonts w:ascii="Arial" w:hAnsi="Arial"/>
                <w:color w:val="000000"/>
                <w:sz w:val="16"/>
                <w:szCs w:val="16"/>
              </w:rPr>
              <w:t xml:space="preserve"> </w:t>
            </w:r>
            <w:r w:rsidR="003C0ED5" w:rsidRPr="003E76E7">
              <w:rPr>
                <w:rFonts w:ascii="Arial" w:hAnsi="Arial"/>
                <w:color w:val="000000"/>
                <w:sz w:val="16"/>
                <w:szCs w:val="16"/>
                <w:vertAlign w:val="superscript"/>
              </w:rPr>
              <w:t>[b]</w:t>
            </w:r>
          </w:p>
        </w:tc>
        <w:tc>
          <w:tcPr>
            <w:tcW w:w="3107" w:type="dxa"/>
            <w:tcBorders>
              <w:top w:val="single" w:sz="4" w:space="0" w:color="auto"/>
              <w:bottom w:val="single" w:sz="4" w:space="0" w:color="auto"/>
            </w:tcBorders>
          </w:tcPr>
          <w:p w14:paraId="32C012FD" w14:textId="70F04AE9" w:rsidR="00082A97" w:rsidRPr="003E76E7" w:rsidRDefault="00082A97" w:rsidP="00C4292D">
            <w:pPr>
              <w:tabs>
                <w:tab w:val="left" w:pos="709"/>
              </w:tabs>
              <w:spacing w:before="60" w:after="60"/>
              <w:rPr>
                <w:rFonts w:ascii="Arial" w:hAnsi="Arial"/>
                <w:color w:val="000000"/>
                <w:sz w:val="16"/>
                <w:szCs w:val="16"/>
              </w:rPr>
            </w:pPr>
            <w:r w:rsidRPr="003E76E7">
              <w:rPr>
                <w:rFonts w:ascii="Arial" w:hAnsi="Arial"/>
                <w:sz w:val="16"/>
                <w:szCs w:val="16"/>
                <w:lang w:val="en-AU"/>
              </w:rPr>
              <w:t>6.1: Defence is delivering the right future capability at the right time within the Integrated Investment Program to ensure it is equipped to respond to future security challenges as directed by the National Defence Strategy.</w:t>
            </w:r>
          </w:p>
        </w:tc>
        <w:tc>
          <w:tcPr>
            <w:tcW w:w="3517" w:type="dxa"/>
            <w:tcBorders>
              <w:top w:val="single" w:sz="4" w:space="0" w:color="auto"/>
              <w:bottom w:val="single" w:sz="4" w:space="0" w:color="auto"/>
            </w:tcBorders>
          </w:tcPr>
          <w:p w14:paraId="602D2296" w14:textId="77777777" w:rsidR="00082A97" w:rsidRPr="003E76E7" w:rsidRDefault="00082A97" w:rsidP="00C4292D">
            <w:pPr>
              <w:tabs>
                <w:tab w:val="left" w:pos="709"/>
              </w:tabs>
              <w:spacing w:before="60" w:after="60"/>
              <w:rPr>
                <w:rFonts w:ascii="Arial" w:hAnsi="Arial"/>
                <w:sz w:val="16"/>
                <w:szCs w:val="16"/>
                <w:lang w:val="en-AU"/>
              </w:rPr>
            </w:pPr>
            <w:r w:rsidRPr="003E76E7">
              <w:rPr>
                <w:rFonts w:ascii="Arial" w:hAnsi="Arial"/>
                <w:sz w:val="16"/>
                <w:szCs w:val="16"/>
                <w:lang w:val="en-AU"/>
              </w:rPr>
              <w:t>80 per cent or more of approved Integrated Investment Program projects across all domains are on track to deliver within Government approved scope, schedule, and cost (including contingency).</w:t>
            </w:r>
          </w:p>
          <w:p w14:paraId="19205660" w14:textId="7B8815B6" w:rsidR="00082A97" w:rsidRPr="003E76E7" w:rsidRDefault="00E5190E" w:rsidP="00C4292D">
            <w:pPr>
              <w:tabs>
                <w:tab w:val="left" w:pos="709"/>
              </w:tabs>
              <w:spacing w:before="60" w:after="60"/>
              <w:jc w:val="right"/>
              <w:rPr>
                <w:rFonts w:ascii="Arial" w:hAnsi="Arial"/>
                <w:i/>
                <w:sz w:val="16"/>
                <w:szCs w:val="16"/>
              </w:rPr>
            </w:pPr>
            <w:r w:rsidRPr="003E76E7">
              <w:rPr>
                <w:rFonts w:ascii="Arial" w:hAnsi="Arial"/>
                <w:i/>
                <w:sz w:val="16"/>
                <w:szCs w:val="16"/>
                <w:lang w:val="en-AU"/>
              </w:rPr>
              <w:t>Expected to be achieved</w:t>
            </w:r>
            <w:r w:rsidR="002913A3" w:rsidRPr="003E76E7">
              <w:rPr>
                <w:rFonts w:ascii="Arial" w:hAnsi="Arial"/>
                <w:i/>
                <w:sz w:val="16"/>
                <w:szCs w:val="16"/>
                <w:lang w:val="en-AU"/>
              </w:rPr>
              <w:t>.</w:t>
            </w:r>
          </w:p>
        </w:tc>
      </w:tr>
      <w:tr w:rsidR="00082A97" w:rsidRPr="003E76E7" w14:paraId="1EACBBC5" w14:textId="77777777" w:rsidTr="00A211F5">
        <w:tblPrEx>
          <w:shd w:val="clear" w:color="auto" w:fill="auto"/>
          <w:tblLook w:val="04A0" w:firstRow="1" w:lastRow="0" w:firstColumn="1" w:lastColumn="0" w:noHBand="0" w:noVBand="1"/>
        </w:tblPrEx>
        <w:trPr>
          <w:trHeight w:val="620"/>
        </w:trPr>
        <w:tc>
          <w:tcPr>
            <w:tcW w:w="1927" w:type="dxa"/>
            <w:vMerge/>
            <w:tcBorders>
              <w:top w:val="single" w:sz="4" w:space="0" w:color="auto"/>
              <w:bottom w:val="single" w:sz="4" w:space="0" w:color="auto"/>
            </w:tcBorders>
          </w:tcPr>
          <w:p w14:paraId="3CAF5706" w14:textId="77777777" w:rsidR="00082A97" w:rsidRPr="003E76E7" w:rsidRDefault="00082A97" w:rsidP="00C4292D">
            <w:pPr>
              <w:tabs>
                <w:tab w:val="left" w:pos="709"/>
              </w:tabs>
              <w:spacing w:before="0" w:after="0"/>
              <w:rPr>
                <w:rFonts w:ascii="Arial" w:hAnsi="Arial"/>
                <w:color w:val="000000"/>
                <w:sz w:val="16"/>
                <w:szCs w:val="16"/>
              </w:rPr>
            </w:pPr>
          </w:p>
        </w:tc>
        <w:tc>
          <w:tcPr>
            <w:tcW w:w="3107" w:type="dxa"/>
            <w:tcBorders>
              <w:top w:val="single" w:sz="4" w:space="0" w:color="auto"/>
              <w:bottom w:val="single" w:sz="4" w:space="0" w:color="auto"/>
            </w:tcBorders>
          </w:tcPr>
          <w:p w14:paraId="2DAA557A" w14:textId="11C9330B" w:rsidR="00082A97" w:rsidRPr="003E76E7" w:rsidRDefault="00082A97" w:rsidP="00C4292D">
            <w:pPr>
              <w:autoSpaceDE w:val="0"/>
              <w:autoSpaceDN w:val="0"/>
              <w:adjustRightInd w:val="0"/>
              <w:spacing w:before="60" w:after="0"/>
              <w:rPr>
                <w:rFonts w:ascii="Arial" w:hAnsi="Arial"/>
                <w:sz w:val="16"/>
                <w:szCs w:val="16"/>
                <w:lang w:val="en-AU"/>
              </w:rPr>
            </w:pPr>
            <w:r w:rsidRPr="003E76E7">
              <w:rPr>
                <w:rFonts w:ascii="Arial" w:hAnsi="Arial"/>
                <w:sz w:val="16"/>
                <w:szCs w:val="16"/>
                <w:lang w:val="en-AU"/>
              </w:rPr>
              <w:t xml:space="preserve">7.1: Defence strengthens the sovereign defence industrial base through investment and domestic manufacture. </w:t>
            </w:r>
          </w:p>
        </w:tc>
        <w:tc>
          <w:tcPr>
            <w:tcW w:w="3517" w:type="dxa"/>
            <w:tcBorders>
              <w:top w:val="single" w:sz="4" w:space="0" w:color="auto"/>
              <w:bottom w:val="single" w:sz="4" w:space="0" w:color="auto"/>
            </w:tcBorders>
          </w:tcPr>
          <w:p w14:paraId="078C819D" w14:textId="715CED86" w:rsidR="00082A97" w:rsidRPr="003E76E7" w:rsidRDefault="00082A97" w:rsidP="00C4292D">
            <w:pPr>
              <w:spacing w:before="0" w:after="60"/>
              <w:rPr>
                <w:rFonts w:ascii="Arial" w:hAnsi="Arial"/>
                <w:color w:val="000000"/>
                <w:sz w:val="16"/>
                <w:szCs w:val="16"/>
              </w:rPr>
            </w:pPr>
            <w:r w:rsidRPr="003E76E7">
              <w:rPr>
                <w:rFonts w:ascii="Arial" w:hAnsi="Arial"/>
                <w:color w:val="000000"/>
                <w:sz w:val="16"/>
                <w:szCs w:val="16"/>
                <w:lang w:val="en-AU"/>
              </w:rPr>
              <w:t xml:space="preserve">Defence awards </w:t>
            </w:r>
            <w:r w:rsidRPr="003E76E7">
              <w:rPr>
                <w:rFonts w:ascii="Arial" w:hAnsi="Arial"/>
                <w:color w:val="000000"/>
                <w:sz w:val="16"/>
                <w:szCs w:val="16"/>
              </w:rPr>
              <w:t xml:space="preserve">95 per cent or more of the Defence Industry Development Grant Program budgeted allocation; increases the number of companies exporting and value of exports; increases the direct economic contribution to the Australian economy; maintains investment in innovation, science and technology to deliver defence priorities; </w:t>
            </w:r>
            <w:r w:rsidR="00E5190E" w:rsidRPr="003E76E7">
              <w:rPr>
                <w:rFonts w:ascii="Arial" w:hAnsi="Arial"/>
                <w:color w:val="000000"/>
                <w:sz w:val="16"/>
                <w:szCs w:val="16"/>
              </w:rPr>
              <w:t>commences manufacture of Guided Multiple Launch Rocket System by 31 December 2025</w:t>
            </w:r>
            <w:r w:rsidRPr="003E76E7">
              <w:rPr>
                <w:rFonts w:ascii="Arial" w:hAnsi="Arial"/>
                <w:color w:val="000000"/>
                <w:sz w:val="16"/>
                <w:szCs w:val="16"/>
              </w:rPr>
              <w:t>; and meets industrial uplift milestones for the Continuous Naval Shipbuilding Program.</w:t>
            </w:r>
          </w:p>
          <w:p w14:paraId="172918E5" w14:textId="0A9E0D29" w:rsidR="00082A97" w:rsidRPr="003E76E7" w:rsidRDefault="00D013CE" w:rsidP="00C4292D">
            <w:pPr>
              <w:tabs>
                <w:tab w:val="left" w:pos="709"/>
              </w:tabs>
              <w:spacing w:before="60" w:after="60"/>
              <w:jc w:val="right"/>
              <w:rPr>
                <w:rFonts w:ascii="Arial" w:hAnsi="Arial"/>
                <w:sz w:val="16"/>
                <w:szCs w:val="16"/>
                <w:lang w:val="en-AU"/>
              </w:rPr>
            </w:pPr>
            <w:r w:rsidRPr="003E76E7">
              <w:rPr>
                <w:rFonts w:ascii="Arial" w:hAnsi="Arial"/>
                <w:i/>
                <w:sz w:val="16"/>
                <w:szCs w:val="16"/>
              </w:rPr>
              <w:t>Expected to be partially achieved</w:t>
            </w:r>
            <w:r>
              <w:rPr>
                <w:rFonts w:ascii="Arial" w:hAnsi="Arial"/>
                <w:i/>
                <w:sz w:val="16"/>
                <w:szCs w:val="16"/>
              </w:rPr>
              <w:t>.</w:t>
            </w:r>
          </w:p>
        </w:tc>
      </w:tr>
      <w:tr w:rsidR="00012B09" w:rsidRPr="003E76E7" w14:paraId="4E990AE0" w14:textId="77777777" w:rsidTr="00A211F5">
        <w:tblPrEx>
          <w:shd w:val="clear" w:color="auto" w:fill="auto"/>
          <w:tblLook w:val="04A0" w:firstRow="1" w:lastRow="0" w:firstColumn="1" w:lastColumn="0" w:noHBand="0" w:noVBand="1"/>
        </w:tblPrEx>
        <w:trPr>
          <w:trHeight w:val="258"/>
        </w:trPr>
        <w:tc>
          <w:tcPr>
            <w:tcW w:w="1927" w:type="dxa"/>
            <w:tcBorders>
              <w:top w:val="single" w:sz="4" w:space="0" w:color="auto"/>
              <w:bottom w:val="single" w:sz="4" w:space="0" w:color="auto"/>
            </w:tcBorders>
          </w:tcPr>
          <w:p w14:paraId="63AC3F58" w14:textId="77777777" w:rsidR="00012B09" w:rsidRPr="003E76E7" w:rsidRDefault="00012B09" w:rsidP="00C4292D">
            <w:pPr>
              <w:tabs>
                <w:tab w:val="left" w:pos="709"/>
              </w:tabs>
              <w:spacing w:before="60" w:after="60"/>
              <w:rPr>
                <w:rFonts w:ascii="Arial" w:hAnsi="Arial"/>
                <w:b/>
                <w:color w:val="000000"/>
                <w:sz w:val="16"/>
                <w:szCs w:val="16"/>
              </w:rPr>
            </w:pPr>
            <w:r w:rsidRPr="003E76E7">
              <w:rPr>
                <w:rFonts w:ascii="Arial" w:hAnsi="Arial"/>
                <w:b/>
                <w:color w:val="000000"/>
                <w:sz w:val="16"/>
                <w:szCs w:val="16"/>
              </w:rPr>
              <w:t>Year</w:t>
            </w:r>
          </w:p>
        </w:tc>
        <w:tc>
          <w:tcPr>
            <w:tcW w:w="3107" w:type="dxa"/>
            <w:tcBorders>
              <w:top w:val="single" w:sz="4" w:space="0" w:color="auto"/>
              <w:bottom w:val="single" w:sz="4" w:space="0" w:color="auto"/>
            </w:tcBorders>
          </w:tcPr>
          <w:p w14:paraId="6206F772" w14:textId="55BB64E6" w:rsidR="00012B09" w:rsidRPr="003E76E7" w:rsidRDefault="00AD14EC" w:rsidP="00C4292D">
            <w:pPr>
              <w:tabs>
                <w:tab w:val="left" w:pos="709"/>
                <w:tab w:val="center" w:pos="1818"/>
              </w:tabs>
              <w:spacing w:before="60" w:after="60"/>
              <w:rPr>
                <w:rFonts w:ascii="Arial" w:hAnsi="Arial"/>
                <w:b/>
                <w:color w:val="000000"/>
                <w:sz w:val="16"/>
                <w:szCs w:val="16"/>
              </w:rPr>
            </w:pPr>
            <w:r w:rsidRPr="003E76E7">
              <w:rPr>
                <w:rFonts w:ascii="Arial" w:hAnsi="Arial"/>
                <w:b/>
                <w:color w:val="000000"/>
                <w:sz w:val="16"/>
                <w:szCs w:val="16"/>
              </w:rPr>
              <w:t>Performance Measures</w:t>
            </w:r>
          </w:p>
        </w:tc>
        <w:tc>
          <w:tcPr>
            <w:tcW w:w="3517" w:type="dxa"/>
            <w:tcBorders>
              <w:top w:val="single" w:sz="4" w:space="0" w:color="auto"/>
              <w:bottom w:val="single" w:sz="4" w:space="0" w:color="auto"/>
            </w:tcBorders>
          </w:tcPr>
          <w:p w14:paraId="404FC082" w14:textId="77777777" w:rsidR="00012B09" w:rsidRPr="003E76E7" w:rsidRDefault="00012B09" w:rsidP="00C4292D">
            <w:pPr>
              <w:tabs>
                <w:tab w:val="left" w:pos="709"/>
              </w:tabs>
              <w:spacing w:before="60" w:after="60"/>
              <w:rPr>
                <w:rFonts w:ascii="Arial" w:hAnsi="Arial"/>
                <w:b/>
                <w:color w:val="000000"/>
                <w:sz w:val="16"/>
                <w:szCs w:val="16"/>
              </w:rPr>
            </w:pPr>
            <w:r w:rsidRPr="003E76E7">
              <w:rPr>
                <w:rFonts w:ascii="Arial" w:hAnsi="Arial"/>
                <w:b/>
                <w:color w:val="000000"/>
                <w:sz w:val="16"/>
                <w:szCs w:val="16"/>
              </w:rPr>
              <w:t>Planned Performance Results</w:t>
            </w:r>
          </w:p>
        </w:tc>
      </w:tr>
      <w:tr w:rsidR="006A24A9" w:rsidRPr="003E76E7" w14:paraId="54B2D1E6" w14:textId="77777777" w:rsidTr="00A211F5">
        <w:tblPrEx>
          <w:shd w:val="clear" w:color="auto" w:fill="auto"/>
          <w:tblLook w:val="04A0" w:firstRow="1" w:lastRow="0" w:firstColumn="1" w:lastColumn="0" w:noHBand="0" w:noVBand="1"/>
        </w:tblPrEx>
        <w:trPr>
          <w:trHeight w:val="642"/>
        </w:trPr>
        <w:tc>
          <w:tcPr>
            <w:tcW w:w="1927" w:type="dxa"/>
            <w:vMerge w:val="restart"/>
            <w:tcBorders>
              <w:top w:val="single" w:sz="4" w:space="0" w:color="auto"/>
            </w:tcBorders>
          </w:tcPr>
          <w:p w14:paraId="6043106F" w14:textId="77777777" w:rsidR="006A24A9" w:rsidRPr="003E76E7" w:rsidRDefault="006A24A9" w:rsidP="00C4292D">
            <w:pPr>
              <w:tabs>
                <w:tab w:val="left" w:pos="709"/>
              </w:tabs>
              <w:spacing w:before="0" w:after="0"/>
              <w:rPr>
                <w:rFonts w:ascii="Arial" w:hAnsi="Arial"/>
                <w:color w:val="000000"/>
                <w:sz w:val="16"/>
                <w:szCs w:val="16"/>
              </w:rPr>
            </w:pPr>
            <w:r w:rsidRPr="003E76E7">
              <w:rPr>
                <w:rFonts w:ascii="Arial" w:hAnsi="Arial"/>
                <w:color w:val="000000"/>
                <w:sz w:val="16"/>
                <w:szCs w:val="16"/>
              </w:rPr>
              <w:t>Budget Year</w:t>
            </w:r>
          </w:p>
          <w:p w14:paraId="07DA6318" w14:textId="111AAF36" w:rsidR="006A24A9" w:rsidRPr="003E76E7" w:rsidRDefault="006A24A9" w:rsidP="00C4292D">
            <w:pPr>
              <w:tabs>
                <w:tab w:val="left" w:pos="709"/>
              </w:tabs>
              <w:spacing w:before="0" w:after="0"/>
              <w:rPr>
                <w:rFonts w:ascii="Arial" w:hAnsi="Arial"/>
                <w:color w:val="000000"/>
                <w:sz w:val="16"/>
                <w:szCs w:val="16"/>
              </w:rPr>
            </w:pPr>
            <w:r w:rsidRPr="003E76E7">
              <w:rPr>
                <w:rFonts w:ascii="Arial" w:hAnsi="Arial"/>
                <w:color w:val="000000"/>
                <w:sz w:val="16"/>
                <w:szCs w:val="16"/>
              </w:rPr>
              <w:t xml:space="preserve">2026-27 </w:t>
            </w:r>
            <w:r w:rsidRPr="003E76E7">
              <w:rPr>
                <w:rFonts w:ascii="Arial" w:hAnsi="Arial"/>
                <w:color w:val="000000"/>
                <w:sz w:val="16"/>
                <w:szCs w:val="16"/>
                <w:vertAlign w:val="superscript"/>
              </w:rPr>
              <w:t>[</w:t>
            </w:r>
            <w:r w:rsidR="003C0ED5" w:rsidRPr="003E76E7">
              <w:rPr>
                <w:rFonts w:ascii="Arial" w:hAnsi="Arial"/>
                <w:color w:val="000000"/>
                <w:sz w:val="16"/>
                <w:szCs w:val="16"/>
                <w:vertAlign w:val="superscript"/>
              </w:rPr>
              <w:t>c</w:t>
            </w:r>
            <w:r w:rsidRPr="003E76E7">
              <w:rPr>
                <w:rFonts w:ascii="Arial" w:hAnsi="Arial"/>
                <w:color w:val="000000"/>
                <w:sz w:val="16"/>
                <w:szCs w:val="16"/>
                <w:vertAlign w:val="superscript"/>
              </w:rPr>
              <w:t>]</w:t>
            </w:r>
          </w:p>
        </w:tc>
        <w:tc>
          <w:tcPr>
            <w:tcW w:w="3107" w:type="dxa"/>
            <w:tcBorders>
              <w:top w:val="single" w:sz="4" w:space="0" w:color="auto"/>
              <w:bottom w:val="single" w:sz="4" w:space="0" w:color="auto"/>
            </w:tcBorders>
          </w:tcPr>
          <w:p w14:paraId="6018515B" w14:textId="39286583" w:rsidR="006A24A9" w:rsidRPr="003E76E7" w:rsidRDefault="006A24A9" w:rsidP="00C4292D">
            <w:pPr>
              <w:tabs>
                <w:tab w:val="left" w:pos="709"/>
              </w:tabs>
              <w:spacing w:before="60" w:after="60"/>
              <w:rPr>
                <w:rFonts w:ascii="Arial" w:hAnsi="Arial"/>
                <w:color w:val="000000"/>
                <w:sz w:val="16"/>
                <w:szCs w:val="16"/>
              </w:rPr>
            </w:pPr>
            <w:r w:rsidRPr="003E76E7">
              <w:rPr>
                <w:rFonts w:ascii="Arial" w:hAnsi="Arial"/>
                <w:sz w:val="16"/>
                <w:szCs w:val="16"/>
                <w:lang w:val="en-AU"/>
              </w:rPr>
              <w:t>6.1: Defence is delivering the right future capability at the right time within the Integrated Investment Program to ensure it is equipped to respond to future security challenges as directed by the National Defence Strategy.</w:t>
            </w:r>
          </w:p>
        </w:tc>
        <w:tc>
          <w:tcPr>
            <w:tcW w:w="3517" w:type="dxa"/>
            <w:tcBorders>
              <w:top w:val="single" w:sz="4" w:space="0" w:color="auto"/>
              <w:bottom w:val="single" w:sz="4" w:space="0" w:color="auto"/>
            </w:tcBorders>
          </w:tcPr>
          <w:p w14:paraId="38C76678" w14:textId="5DCB320C" w:rsidR="006A24A9" w:rsidRPr="003E76E7" w:rsidRDefault="006A24A9" w:rsidP="00C4292D">
            <w:pPr>
              <w:tabs>
                <w:tab w:val="left" w:pos="709"/>
              </w:tabs>
              <w:spacing w:before="60" w:after="60"/>
              <w:rPr>
                <w:rFonts w:ascii="Arial" w:hAnsi="Arial"/>
                <w:sz w:val="16"/>
                <w:szCs w:val="16"/>
              </w:rPr>
            </w:pPr>
            <w:r w:rsidRPr="003E76E7">
              <w:rPr>
                <w:rFonts w:ascii="Arial" w:hAnsi="Arial"/>
                <w:sz w:val="16"/>
                <w:szCs w:val="16"/>
                <w:lang w:val="en-AU"/>
              </w:rPr>
              <w:t>80 per cent or more of approved Integrated Investment Program projects across all domains are on track to deliver within Government approved scope, schedule, and cost (including contingency).</w:t>
            </w:r>
          </w:p>
        </w:tc>
      </w:tr>
      <w:tr w:rsidR="006A24A9" w:rsidRPr="003E76E7" w14:paraId="4934ECB1" w14:textId="77777777" w:rsidTr="00A211F5">
        <w:tblPrEx>
          <w:shd w:val="clear" w:color="auto" w:fill="auto"/>
          <w:tblLook w:val="04A0" w:firstRow="1" w:lastRow="0" w:firstColumn="1" w:lastColumn="0" w:noHBand="0" w:noVBand="1"/>
        </w:tblPrEx>
        <w:trPr>
          <w:trHeight w:val="642"/>
        </w:trPr>
        <w:tc>
          <w:tcPr>
            <w:tcW w:w="1927" w:type="dxa"/>
            <w:vMerge/>
            <w:tcBorders>
              <w:bottom w:val="single" w:sz="4" w:space="0" w:color="auto"/>
            </w:tcBorders>
          </w:tcPr>
          <w:p w14:paraId="31A9C11D" w14:textId="77777777" w:rsidR="006A24A9" w:rsidRPr="003E76E7" w:rsidRDefault="006A24A9" w:rsidP="00C4292D">
            <w:pPr>
              <w:tabs>
                <w:tab w:val="left" w:pos="709"/>
              </w:tabs>
              <w:spacing w:before="0" w:after="0"/>
              <w:rPr>
                <w:rFonts w:ascii="Arial" w:hAnsi="Arial"/>
                <w:color w:val="000000"/>
                <w:sz w:val="16"/>
                <w:szCs w:val="16"/>
              </w:rPr>
            </w:pPr>
          </w:p>
        </w:tc>
        <w:tc>
          <w:tcPr>
            <w:tcW w:w="3107" w:type="dxa"/>
            <w:tcBorders>
              <w:top w:val="single" w:sz="4" w:space="0" w:color="auto"/>
              <w:bottom w:val="single" w:sz="4" w:space="0" w:color="auto"/>
            </w:tcBorders>
          </w:tcPr>
          <w:p w14:paraId="58623C91" w14:textId="574BDFEF" w:rsidR="006A24A9" w:rsidRPr="003E76E7" w:rsidRDefault="006A24A9" w:rsidP="00C4292D">
            <w:pPr>
              <w:tabs>
                <w:tab w:val="left" w:pos="709"/>
              </w:tabs>
              <w:spacing w:before="60" w:after="60"/>
              <w:rPr>
                <w:rFonts w:ascii="Arial" w:hAnsi="Arial"/>
                <w:color w:val="000000"/>
                <w:sz w:val="16"/>
                <w:szCs w:val="16"/>
              </w:rPr>
            </w:pPr>
            <w:r w:rsidRPr="003E76E7">
              <w:rPr>
                <w:rFonts w:ascii="Arial" w:hAnsi="Arial"/>
                <w:sz w:val="16"/>
                <w:szCs w:val="16"/>
                <w:lang w:val="en-AU"/>
              </w:rPr>
              <w:t xml:space="preserve">7.1: Defence strengthens the sovereign defence industrial base through investment and domestic manufacture. </w:t>
            </w:r>
          </w:p>
        </w:tc>
        <w:tc>
          <w:tcPr>
            <w:tcW w:w="3517" w:type="dxa"/>
            <w:tcBorders>
              <w:top w:val="single" w:sz="4" w:space="0" w:color="auto"/>
              <w:bottom w:val="single" w:sz="4" w:space="0" w:color="auto"/>
            </w:tcBorders>
          </w:tcPr>
          <w:p w14:paraId="4BBA6802" w14:textId="4F27BAB5" w:rsidR="006A24A9" w:rsidRPr="003E76E7" w:rsidRDefault="006A24A9" w:rsidP="00C4292D">
            <w:pPr>
              <w:tabs>
                <w:tab w:val="left" w:pos="709"/>
              </w:tabs>
              <w:spacing w:before="60" w:after="60"/>
              <w:rPr>
                <w:rFonts w:ascii="Arial" w:hAnsi="Arial"/>
                <w:sz w:val="16"/>
                <w:szCs w:val="16"/>
              </w:rPr>
            </w:pPr>
            <w:r w:rsidRPr="003E76E7">
              <w:rPr>
                <w:rFonts w:ascii="Arial" w:hAnsi="Arial"/>
                <w:color w:val="000000"/>
                <w:sz w:val="16"/>
                <w:szCs w:val="16"/>
                <w:lang w:val="en-AU"/>
              </w:rPr>
              <w:t xml:space="preserve">Defence awards </w:t>
            </w:r>
            <w:r w:rsidRPr="003E76E7">
              <w:rPr>
                <w:rFonts w:ascii="Arial" w:hAnsi="Arial"/>
                <w:color w:val="000000"/>
                <w:sz w:val="16"/>
                <w:szCs w:val="16"/>
              </w:rPr>
              <w:t>95 per cent or more of the Defence Industry Development Grant Program budgeted allocation; increases the number of companies exporting and value of exports; increases the direct economic contribution to the Australian economy; maintains investment in innovation, science and technology to deliver defence priorities; supports the development of the domestic manufacture of guided weapons, explosive ordnance and munitions; and meets industrial uplift milestones for the Continuous Naval Shipbuilding Program.</w:t>
            </w:r>
          </w:p>
        </w:tc>
      </w:tr>
      <w:tr w:rsidR="00A30B2C" w:rsidRPr="003E76E7" w14:paraId="4AABA3E2" w14:textId="77777777" w:rsidTr="001D6B09">
        <w:trPr>
          <w:trHeight w:val="60"/>
        </w:trPr>
        <w:tc>
          <w:tcPr>
            <w:tcW w:w="1927" w:type="dxa"/>
            <w:tcBorders>
              <w:bottom w:val="single" w:sz="4" w:space="0" w:color="auto"/>
            </w:tcBorders>
            <w:vAlign w:val="center"/>
          </w:tcPr>
          <w:p w14:paraId="7D033E38" w14:textId="110DC801" w:rsidR="00A30B2C" w:rsidRPr="003E76E7" w:rsidRDefault="00A30B2C" w:rsidP="00C4292D">
            <w:pPr>
              <w:tabs>
                <w:tab w:val="left" w:pos="709"/>
              </w:tabs>
              <w:spacing w:before="0" w:after="0"/>
              <w:rPr>
                <w:rFonts w:ascii="Arial" w:hAnsi="Arial"/>
                <w:color w:val="000000"/>
                <w:sz w:val="16"/>
                <w:szCs w:val="16"/>
              </w:rPr>
            </w:pPr>
            <w:r w:rsidRPr="003E76E7">
              <w:rPr>
                <w:rFonts w:ascii="Arial" w:hAnsi="Arial"/>
                <w:b/>
                <w:color w:val="000000"/>
                <w:sz w:val="16"/>
                <w:szCs w:val="16"/>
              </w:rPr>
              <w:t>Year</w:t>
            </w:r>
          </w:p>
        </w:tc>
        <w:tc>
          <w:tcPr>
            <w:tcW w:w="3107" w:type="dxa"/>
            <w:tcBorders>
              <w:top w:val="single" w:sz="4" w:space="0" w:color="auto"/>
              <w:bottom w:val="single" w:sz="4" w:space="0" w:color="auto"/>
            </w:tcBorders>
            <w:vAlign w:val="center"/>
          </w:tcPr>
          <w:p w14:paraId="0076E59B" w14:textId="58BE7660" w:rsidR="00A30B2C" w:rsidRPr="003E76E7" w:rsidRDefault="00A30B2C" w:rsidP="00C4292D">
            <w:pPr>
              <w:tabs>
                <w:tab w:val="left" w:pos="709"/>
              </w:tabs>
              <w:spacing w:before="60" w:after="60"/>
              <w:rPr>
                <w:rFonts w:ascii="Arial" w:hAnsi="Arial"/>
                <w:sz w:val="16"/>
                <w:szCs w:val="16"/>
                <w:lang w:val="en-AU"/>
              </w:rPr>
            </w:pPr>
            <w:r w:rsidRPr="003E76E7">
              <w:rPr>
                <w:rFonts w:ascii="Arial" w:hAnsi="Arial"/>
                <w:b/>
                <w:color w:val="000000"/>
                <w:sz w:val="16"/>
                <w:szCs w:val="16"/>
              </w:rPr>
              <w:t>Performance Measures</w:t>
            </w:r>
          </w:p>
        </w:tc>
        <w:tc>
          <w:tcPr>
            <w:tcW w:w="3517" w:type="dxa"/>
            <w:tcBorders>
              <w:top w:val="single" w:sz="4" w:space="0" w:color="auto"/>
              <w:bottom w:val="single" w:sz="4" w:space="0" w:color="auto"/>
            </w:tcBorders>
          </w:tcPr>
          <w:p w14:paraId="6C531724" w14:textId="31F5731B" w:rsidR="00A30B2C" w:rsidRPr="003E76E7" w:rsidRDefault="00A30B2C" w:rsidP="00C4292D">
            <w:pPr>
              <w:tabs>
                <w:tab w:val="left" w:pos="709"/>
              </w:tabs>
              <w:spacing w:before="60" w:after="60"/>
              <w:rPr>
                <w:rFonts w:ascii="Arial" w:hAnsi="Arial"/>
                <w:color w:val="000000"/>
                <w:sz w:val="16"/>
                <w:szCs w:val="16"/>
                <w:lang w:val="en-AU"/>
              </w:rPr>
            </w:pPr>
            <w:r w:rsidRPr="003E76E7">
              <w:rPr>
                <w:rFonts w:ascii="Arial" w:hAnsi="Arial"/>
                <w:b/>
                <w:color w:val="000000"/>
                <w:sz w:val="16"/>
                <w:szCs w:val="16"/>
              </w:rPr>
              <w:t>Planned Performance Results</w:t>
            </w:r>
          </w:p>
        </w:tc>
      </w:tr>
      <w:tr w:rsidR="00A30B2C" w:rsidRPr="003E76E7" w14:paraId="49B2A7DB" w14:textId="77777777" w:rsidTr="00A211F5">
        <w:tblPrEx>
          <w:shd w:val="clear" w:color="auto" w:fill="auto"/>
          <w:tblLook w:val="04A0" w:firstRow="1" w:lastRow="0" w:firstColumn="1" w:lastColumn="0" w:noHBand="0" w:noVBand="1"/>
        </w:tblPrEx>
        <w:trPr>
          <w:trHeight w:val="483"/>
        </w:trPr>
        <w:tc>
          <w:tcPr>
            <w:tcW w:w="1927" w:type="dxa"/>
            <w:tcBorders>
              <w:bottom w:val="single" w:sz="4" w:space="0" w:color="auto"/>
            </w:tcBorders>
            <w:vAlign w:val="center"/>
          </w:tcPr>
          <w:p w14:paraId="1DD01A91" w14:textId="77777777" w:rsidR="00A30B2C" w:rsidRPr="003E76E7" w:rsidRDefault="00A30B2C" w:rsidP="00C4292D">
            <w:pPr>
              <w:keepNext/>
              <w:keepLines/>
              <w:tabs>
                <w:tab w:val="left" w:pos="709"/>
              </w:tabs>
              <w:spacing w:before="0" w:after="0"/>
              <w:rPr>
                <w:rFonts w:ascii="Arial" w:hAnsi="Arial"/>
                <w:color w:val="000000"/>
                <w:sz w:val="16"/>
                <w:szCs w:val="16"/>
              </w:rPr>
            </w:pPr>
            <w:r w:rsidRPr="003E76E7">
              <w:rPr>
                <w:rFonts w:ascii="Arial" w:hAnsi="Arial"/>
                <w:color w:val="000000"/>
                <w:sz w:val="16"/>
                <w:szCs w:val="16"/>
              </w:rPr>
              <w:t>Forward Estimates</w:t>
            </w:r>
          </w:p>
          <w:p w14:paraId="35BAF862" w14:textId="5397F069" w:rsidR="00A30B2C" w:rsidRPr="003E76E7" w:rsidRDefault="00A30B2C" w:rsidP="00C4292D">
            <w:pPr>
              <w:tabs>
                <w:tab w:val="left" w:pos="709"/>
              </w:tabs>
              <w:spacing w:before="0" w:after="0"/>
              <w:rPr>
                <w:rFonts w:ascii="Arial" w:hAnsi="Arial"/>
                <w:color w:val="000000"/>
                <w:sz w:val="16"/>
                <w:szCs w:val="16"/>
              </w:rPr>
            </w:pPr>
            <w:r w:rsidRPr="003E76E7">
              <w:rPr>
                <w:rFonts w:ascii="Arial" w:hAnsi="Arial"/>
                <w:color w:val="000000"/>
                <w:sz w:val="16"/>
                <w:szCs w:val="16"/>
              </w:rPr>
              <w:t>2027-30</w:t>
            </w:r>
          </w:p>
        </w:tc>
        <w:tc>
          <w:tcPr>
            <w:tcW w:w="3107" w:type="dxa"/>
            <w:tcBorders>
              <w:top w:val="single" w:sz="4" w:space="0" w:color="auto"/>
              <w:bottom w:val="single" w:sz="4" w:space="0" w:color="auto"/>
            </w:tcBorders>
            <w:vAlign w:val="center"/>
          </w:tcPr>
          <w:p w14:paraId="60D794ED" w14:textId="06EECDC8" w:rsidR="00A30B2C" w:rsidRPr="003E76E7" w:rsidRDefault="00A30B2C" w:rsidP="00C4292D">
            <w:pPr>
              <w:tabs>
                <w:tab w:val="left" w:pos="709"/>
              </w:tabs>
              <w:spacing w:before="60" w:after="60"/>
              <w:rPr>
                <w:rFonts w:ascii="Arial" w:hAnsi="Arial"/>
                <w:sz w:val="16"/>
                <w:szCs w:val="16"/>
                <w:lang w:val="en-AU"/>
              </w:rPr>
            </w:pPr>
            <w:r w:rsidRPr="003E76E7">
              <w:rPr>
                <w:rFonts w:ascii="Arial" w:hAnsi="Arial"/>
                <w:color w:val="000000"/>
                <w:sz w:val="16"/>
                <w:szCs w:val="16"/>
              </w:rPr>
              <w:t>As per 2026-27.</w:t>
            </w:r>
          </w:p>
        </w:tc>
        <w:tc>
          <w:tcPr>
            <w:tcW w:w="3517" w:type="dxa"/>
            <w:tcBorders>
              <w:top w:val="single" w:sz="4" w:space="0" w:color="auto"/>
              <w:bottom w:val="single" w:sz="4" w:space="0" w:color="auto"/>
            </w:tcBorders>
            <w:vAlign w:val="center"/>
          </w:tcPr>
          <w:p w14:paraId="49793352" w14:textId="2ECB4F24" w:rsidR="00A30B2C" w:rsidRPr="003E76E7" w:rsidRDefault="00A30B2C" w:rsidP="00C4292D">
            <w:pPr>
              <w:tabs>
                <w:tab w:val="left" w:pos="709"/>
              </w:tabs>
              <w:spacing w:before="60" w:after="60"/>
              <w:rPr>
                <w:rFonts w:ascii="Arial" w:hAnsi="Arial"/>
                <w:color w:val="000000"/>
                <w:sz w:val="16"/>
                <w:szCs w:val="16"/>
                <w:lang w:val="en-AU"/>
              </w:rPr>
            </w:pPr>
            <w:r w:rsidRPr="003E76E7">
              <w:rPr>
                <w:rFonts w:ascii="Arial" w:hAnsi="Arial"/>
                <w:color w:val="000000"/>
                <w:sz w:val="16"/>
                <w:szCs w:val="16"/>
              </w:rPr>
              <w:t>As per 2026-27.</w:t>
            </w:r>
          </w:p>
        </w:tc>
      </w:tr>
      <w:tr w:rsidR="00082A97" w:rsidRPr="003E76E7" w14:paraId="225A27C4" w14:textId="77777777" w:rsidTr="00A211F5">
        <w:tblPrEx>
          <w:shd w:val="clear" w:color="auto" w:fill="auto"/>
          <w:tblLook w:val="04A0" w:firstRow="1" w:lastRow="0" w:firstColumn="1" w:lastColumn="0" w:noHBand="0" w:noVBand="1"/>
        </w:tblPrEx>
        <w:trPr>
          <w:trHeight w:val="291"/>
        </w:trPr>
        <w:tc>
          <w:tcPr>
            <w:tcW w:w="8551" w:type="dxa"/>
            <w:gridSpan w:val="3"/>
            <w:tcBorders>
              <w:top w:val="single" w:sz="4" w:space="0" w:color="auto"/>
              <w:bottom w:val="single" w:sz="4" w:space="0" w:color="auto"/>
            </w:tcBorders>
          </w:tcPr>
          <w:p w14:paraId="3C04E1E0" w14:textId="6E2C38AD" w:rsidR="00082A97" w:rsidRPr="003E76E7" w:rsidRDefault="00082A97" w:rsidP="00C4292D">
            <w:pPr>
              <w:tabs>
                <w:tab w:val="left" w:pos="709"/>
              </w:tabs>
              <w:spacing w:before="60" w:after="60"/>
              <w:rPr>
                <w:rFonts w:ascii="Arial" w:eastAsia="Cambria" w:hAnsi="Arial"/>
                <w:bCs/>
                <w:iCs/>
                <w:color w:val="000000"/>
                <w:spacing w:val="-6"/>
                <w:sz w:val="16"/>
                <w:szCs w:val="16"/>
                <w:lang w:val="x-none"/>
              </w:rPr>
            </w:pPr>
            <w:r w:rsidRPr="003E76E7">
              <w:rPr>
                <w:rFonts w:ascii="Arial" w:hAnsi="Arial"/>
                <w:color w:val="000000"/>
                <w:sz w:val="16"/>
                <w:szCs w:val="16"/>
              </w:rPr>
              <w:t>Material changes to Program 2.15 resulting from 2026-27 Budget Measures:</w:t>
            </w:r>
            <w:r w:rsidRPr="003E76E7">
              <w:rPr>
                <w:rStyle w:val="BodyTextChar"/>
                <w:rFonts w:ascii="Arial" w:hAnsi="Arial"/>
                <w:bCs/>
                <w:iCs/>
                <w:color w:val="000000"/>
                <w:spacing w:val="-6"/>
                <w:sz w:val="16"/>
                <w:szCs w:val="16"/>
              </w:rPr>
              <w:t xml:space="preserve"> Nil.</w:t>
            </w:r>
          </w:p>
        </w:tc>
      </w:tr>
    </w:tbl>
    <w:p w14:paraId="77B4586D" w14:textId="77777777" w:rsidR="00F7100A" w:rsidRPr="003E76E7" w:rsidRDefault="00F7100A" w:rsidP="00C4292D">
      <w:pPr>
        <w:pStyle w:val="TableHeading"/>
        <w:spacing w:before="0" w:after="0"/>
        <w:rPr>
          <w:sz w:val="14"/>
          <w:szCs w:val="16"/>
        </w:rPr>
      </w:pPr>
    </w:p>
    <w:p w14:paraId="5CB13FB6" w14:textId="510962C7" w:rsidR="00F7100A" w:rsidRPr="003E76E7" w:rsidRDefault="00F7100A" w:rsidP="00C4292D">
      <w:pPr>
        <w:pStyle w:val="TableHeading"/>
        <w:spacing w:before="0" w:after="0"/>
        <w:rPr>
          <w:sz w:val="14"/>
          <w:szCs w:val="14"/>
        </w:rPr>
      </w:pPr>
      <w:r w:rsidRPr="003E76E7">
        <w:rPr>
          <w:sz w:val="14"/>
          <w:szCs w:val="14"/>
        </w:rPr>
        <w:t>Note</w:t>
      </w:r>
      <w:r w:rsidR="00BC1946" w:rsidRPr="003E76E7">
        <w:rPr>
          <w:sz w:val="14"/>
          <w:szCs w:val="14"/>
        </w:rPr>
        <w:t>s</w:t>
      </w:r>
    </w:p>
    <w:p w14:paraId="71279D51" w14:textId="77777777" w:rsidR="00082A97" w:rsidRPr="003E76E7" w:rsidRDefault="00082A97" w:rsidP="00C4292D">
      <w:pPr>
        <w:pStyle w:val="TableHeading"/>
        <w:numPr>
          <w:ilvl w:val="0"/>
          <w:numId w:val="86"/>
        </w:numPr>
        <w:tabs>
          <w:tab w:val="left" w:pos="0"/>
          <w:tab w:val="left" w:pos="284"/>
        </w:tabs>
        <w:spacing w:before="0" w:after="0"/>
        <w:rPr>
          <w:b w:val="0"/>
          <w:sz w:val="14"/>
          <w:szCs w:val="14"/>
          <w:lang w:val="en-AU"/>
        </w:rPr>
      </w:pPr>
      <w:r w:rsidRPr="003E76E7">
        <w:rPr>
          <w:b w:val="0"/>
          <w:sz w:val="14"/>
          <w:szCs w:val="14"/>
          <w:lang w:val="en-AU"/>
        </w:rPr>
        <w:t xml:space="preserve">Key activity 7 has been amended for 2025-26, as published in the </w:t>
      </w:r>
      <w:r w:rsidRPr="003E76E7">
        <w:rPr>
          <w:b w:val="0"/>
          <w:i/>
          <w:sz w:val="14"/>
          <w:szCs w:val="14"/>
          <w:lang w:val="en-AU"/>
        </w:rPr>
        <w:t>2025-29 Defence Corporate Plan.</w:t>
      </w:r>
      <w:r w:rsidRPr="003E76E7">
        <w:rPr>
          <w:b w:val="0"/>
          <w:sz w:val="14"/>
          <w:szCs w:val="14"/>
          <w:lang w:val="en-AU"/>
        </w:rPr>
        <w:t xml:space="preserve"> </w:t>
      </w:r>
    </w:p>
    <w:p w14:paraId="17CB3300" w14:textId="72269A1A" w:rsidR="00082A97" w:rsidRPr="003E76E7" w:rsidRDefault="00082A97" w:rsidP="00C4292D">
      <w:pPr>
        <w:pStyle w:val="TableHeading"/>
        <w:numPr>
          <w:ilvl w:val="0"/>
          <w:numId w:val="86"/>
        </w:numPr>
        <w:tabs>
          <w:tab w:val="left" w:pos="0"/>
          <w:tab w:val="left" w:pos="284"/>
        </w:tabs>
        <w:spacing w:before="0" w:after="0"/>
        <w:ind w:left="284" w:hanging="284"/>
        <w:rPr>
          <w:b w:val="0"/>
          <w:sz w:val="14"/>
          <w:szCs w:val="14"/>
          <w:lang w:val="en-AU"/>
        </w:rPr>
      </w:pPr>
      <w:r w:rsidRPr="003E76E7">
        <w:rPr>
          <w:b w:val="0"/>
          <w:sz w:val="14"/>
          <w:szCs w:val="14"/>
          <w:lang w:val="en-AU"/>
        </w:rPr>
        <w:t xml:space="preserve">Performance Measures 6.1 and 7.1 have been amended for 2025-26, as published in the </w:t>
      </w:r>
      <w:r w:rsidRPr="003E76E7">
        <w:rPr>
          <w:b w:val="0"/>
          <w:i/>
          <w:sz w:val="14"/>
          <w:szCs w:val="14"/>
          <w:lang w:val="en-AU"/>
        </w:rPr>
        <w:t>2025-29 Defence Corporate Plan</w:t>
      </w:r>
      <w:r w:rsidR="00C23CD1" w:rsidRPr="003E76E7">
        <w:rPr>
          <w:b w:val="0"/>
          <w:i/>
          <w:sz w:val="14"/>
          <w:szCs w:val="14"/>
          <w:lang w:val="en-AU"/>
        </w:rPr>
        <w:t>.</w:t>
      </w:r>
    </w:p>
    <w:p w14:paraId="6970432A" w14:textId="635D0502" w:rsidR="00082A97" w:rsidRPr="003E76E7" w:rsidRDefault="00082A97" w:rsidP="00C4292D">
      <w:pPr>
        <w:pStyle w:val="TableHeading"/>
        <w:numPr>
          <w:ilvl w:val="0"/>
          <w:numId w:val="86"/>
        </w:numPr>
        <w:tabs>
          <w:tab w:val="left" w:pos="0"/>
          <w:tab w:val="left" w:pos="284"/>
        </w:tabs>
        <w:spacing w:before="0" w:after="0"/>
        <w:ind w:left="284" w:hanging="284"/>
        <w:rPr>
          <w:b w:val="0"/>
          <w:sz w:val="14"/>
          <w:szCs w:val="14"/>
          <w:lang w:val="en-AU"/>
        </w:rPr>
      </w:pPr>
      <w:r w:rsidRPr="003E76E7">
        <w:rPr>
          <w:b w:val="0"/>
          <w:sz w:val="14"/>
          <w:szCs w:val="14"/>
          <w:lang w:val="en-AU"/>
        </w:rPr>
        <w:t xml:space="preserve">In accordance with Defence’s Enterprise Performance Framework, Defence is undertaking materiality assessments that may result in updates to the 2026-27 performance information in the 2026-30 Defence Corporate Plan, if required. </w:t>
      </w:r>
    </w:p>
    <w:p w14:paraId="0295F865" w14:textId="77777777" w:rsidR="008C7CFD" w:rsidRPr="003E76E7" w:rsidRDefault="008C7CFD" w:rsidP="00C4292D">
      <w:pPr>
        <w:rPr>
          <w:lang w:val="en-AU"/>
        </w:rPr>
      </w:pPr>
    </w:p>
    <w:p w14:paraId="14BB1843" w14:textId="7ED9CD13" w:rsidR="00F220CD" w:rsidRPr="003E76E7" w:rsidRDefault="00F220CD" w:rsidP="00C4292D">
      <w:pPr>
        <w:pStyle w:val="TableHeading"/>
        <w:numPr>
          <w:ilvl w:val="0"/>
          <w:numId w:val="61"/>
        </w:numPr>
        <w:spacing w:before="100"/>
        <w:ind w:left="0" w:firstLine="0"/>
        <w:outlineLvl w:val="4"/>
        <w:rPr>
          <w:lang w:val="en-AU"/>
        </w:rPr>
      </w:pPr>
      <w:r w:rsidRPr="003E76E7">
        <w:rPr>
          <w:lang w:val="en-AU"/>
        </w:rPr>
        <w:lastRenderedPageBreak/>
        <w:t>Cost Summary for Program 2.15 Naval Shipbuilding and Sustainment</w:t>
      </w:r>
    </w:p>
    <w:p w14:paraId="689E6C5F" w14:textId="7EAFE918" w:rsidR="00A75507" w:rsidRPr="003E76E7" w:rsidRDefault="00C96447" w:rsidP="00C4292D">
      <w:pPr>
        <w:spacing w:after="0"/>
      </w:pPr>
      <w:r w:rsidRPr="00C96447">
        <w:rPr>
          <w:noProof/>
          <w:lang w:val="en-AU"/>
        </w:rPr>
        <w:drawing>
          <wp:inline distT="0" distB="0" distL="0" distR="0" wp14:anchorId="7B7D8CD3" wp14:editId="3A4EBCA6">
            <wp:extent cx="5436235" cy="2908828"/>
            <wp:effectExtent l="0" t="0" r="0" b="6350"/>
            <wp:docPr id="24575492" name="Picture 24575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436235" cy="2908828"/>
                    </a:xfrm>
                    <a:prstGeom prst="rect">
                      <a:avLst/>
                    </a:prstGeom>
                    <a:noFill/>
                    <a:ln>
                      <a:noFill/>
                    </a:ln>
                  </pic:spPr>
                </pic:pic>
              </a:graphicData>
            </a:graphic>
          </wp:inline>
        </w:drawing>
      </w:r>
    </w:p>
    <w:p w14:paraId="286E8E07" w14:textId="77777777" w:rsidR="008C7CFD" w:rsidRPr="003E76E7" w:rsidRDefault="008C7CFD" w:rsidP="00C4292D">
      <w:pPr>
        <w:spacing w:before="0" w:after="0"/>
        <w:rPr>
          <w:rFonts w:ascii="Arial" w:hAnsi="Arial"/>
          <w:b/>
          <w:sz w:val="14"/>
          <w:szCs w:val="14"/>
        </w:rPr>
      </w:pPr>
    </w:p>
    <w:p w14:paraId="2C813CC0" w14:textId="3B64E33E" w:rsidR="00F51DAC" w:rsidRPr="003E76E7" w:rsidRDefault="00F51DAC" w:rsidP="00C4292D">
      <w:pPr>
        <w:spacing w:before="0" w:after="0"/>
        <w:rPr>
          <w:rFonts w:ascii="Arial" w:hAnsi="Arial"/>
          <w:b/>
          <w:sz w:val="14"/>
          <w:szCs w:val="14"/>
        </w:rPr>
      </w:pPr>
      <w:r w:rsidRPr="003E76E7">
        <w:rPr>
          <w:rFonts w:ascii="Arial" w:hAnsi="Arial"/>
          <w:b/>
          <w:sz w:val="14"/>
          <w:szCs w:val="14"/>
        </w:rPr>
        <w:t>Note</w:t>
      </w:r>
    </w:p>
    <w:p w14:paraId="70B38BEB" w14:textId="0E2486A2" w:rsidR="00220532" w:rsidRPr="003E76E7" w:rsidRDefault="00A37A36" w:rsidP="00C4292D">
      <w:pPr>
        <w:pStyle w:val="ListParagraph"/>
        <w:numPr>
          <w:ilvl w:val="0"/>
          <w:numId w:val="121"/>
        </w:numPr>
        <w:spacing w:before="0" w:after="0"/>
        <w:ind w:left="284" w:hanging="284"/>
        <w:rPr>
          <w:rFonts w:ascii="Arial" w:hAnsi="Arial"/>
          <w:sz w:val="14"/>
          <w:szCs w:val="14"/>
          <w:lang w:val="en-AU"/>
        </w:rPr>
      </w:pPr>
      <w:r w:rsidRPr="003E76E7">
        <w:rPr>
          <w:rFonts w:ascii="Arial" w:hAnsi="Arial"/>
          <w:sz w:val="14"/>
          <w:szCs w:val="14"/>
          <w:lang w:val="en-AU"/>
        </w:rPr>
        <w:t>Total program funded</w:t>
      </w:r>
      <w:r w:rsidR="00220532" w:rsidRPr="003E76E7">
        <w:rPr>
          <w:rFonts w:ascii="Arial" w:hAnsi="Arial"/>
          <w:sz w:val="14"/>
          <w:szCs w:val="14"/>
          <w:lang w:val="en-AU"/>
        </w:rPr>
        <w:t xml:space="preserve"> expenditure includes operating expenses and capital expenditure funded by appropriation and </w:t>
      </w:r>
      <w:r w:rsidR="00220532" w:rsidRPr="003E76E7">
        <w:rPr>
          <w:rFonts w:ascii="Arial" w:hAnsi="Arial"/>
          <w:sz w:val="14"/>
          <w:szCs w:val="14"/>
          <w:lang w:val="en-AU"/>
        </w:rPr>
        <w:br/>
        <w:t>own source revenue. This excludes expenses not requiring appropriation.</w:t>
      </w:r>
      <w:r w:rsidR="00220532" w:rsidRPr="003E76E7">
        <w:rPr>
          <w:rFonts w:ascii="Arial" w:hAnsi="Arial"/>
          <w:sz w:val="14"/>
          <w:szCs w:val="14"/>
          <w:lang w:val="en-AU"/>
        </w:rPr>
        <w:tab/>
      </w:r>
      <w:r w:rsidR="00220532" w:rsidRPr="003E76E7">
        <w:rPr>
          <w:rFonts w:ascii="Arial" w:hAnsi="Arial"/>
          <w:sz w:val="14"/>
          <w:szCs w:val="14"/>
          <w:lang w:val="en-AU"/>
        </w:rPr>
        <w:tab/>
      </w:r>
      <w:r w:rsidR="00220532" w:rsidRPr="003E76E7">
        <w:rPr>
          <w:rFonts w:ascii="Arial" w:hAnsi="Arial"/>
          <w:sz w:val="14"/>
          <w:szCs w:val="14"/>
          <w:lang w:val="en-AU"/>
        </w:rPr>
        <w:tab/>
      </w:r>
      <w:r w:rsidR="00220532" w:rsidRPr="003E76E7">
        <w:rPr>
          <w:rFonts w:ascii="Arial" w:hAnsi="Arial"/>
          <w:sz w:val="14"/>
          <w:szCs w:val="14"/>
          <w:lang w:val="en-AU"/>
        </w:rPr>
        <w:tab/>
      </w:r>
      <w:r w:rsidR="00220532" w:rsidRPr="003E76E7">
        <w:rPr>
          <w:rFonts w:ascii="Arial" w:hAnsi="Arial"/>
          <w:sz w:val="14"/>
          <w:szCs w:val="14"/>
          <w:lang w:val="en-AU"/>
        </w:rPr>
        <w:tab/>
      </w:r>
    </w:p>
    <w:p w14:paraId="75045721" w14:textId="1ABAFB67" w:rsidR="00F51DAC" w:rsidRPr="003E76E7" w:rsidRDefault="00F51DAC" w:rsidP="00C4292D">
      <w:pPr>
        <w:spacing w:before="0" w:after="0"/>
        <w:ind w:left="284" w:hanging="284"/>
        <w:rPr>
          <w:rFonts w:ascii="Arial" w:hAnsi="Arial"/>
          <w:sz w:val="14"/>
          <w:szCs w:val="14"/>
        </w:rPr>
      </w:pPr>
    </w:p>
    <w:p w14:paraId="428F94D5" w14:textId="77777777" w:rsidR="004535B1" w:rsidRPr="003E76E7" w:rsidRDefault="00F220CD" w:rsidP="00C4292D">
      <w:pPr>
        <w:spacing w:before="0" w:after="0"/>
        <w:outlineLvl w:val="5"/>
        <w:rPr>
          <w:color w:val="FFFFFF"/>
          <w:sz w:val="2"/>
          <w:szCs w:val="2"/>
        </w:rPr>
      </w:pPr>
      <w:r w:rsidRPr="003E76E7">
        <w:rPr>
          <w:b/>
          <w:szCs w:val="16"/>
          <w:lang w:val="en-AU"/>
        </w:rPr>
        <w:br w:type="page"/>
      </w:r>
    </w:p>
    <w:p w14:paraId="194D955C" w14:textId="77777777" w:rsidR="004535B1" w:rsidRPr="003E76E7" w:rsidRDefault="004535B1" w:rsidP="00C4292D">
      <w:pPr>
        <w:spacing w:before="0" w:after="0"/>
        <w:outlineLvl w:val="5"/>
        <w:rPr>
          <w:color w:val="FFFFFF"/>
          <w:sz w:val="2"/>
          <w:szCs w:val="2"/>
        </w:rPr>
      </w:pPr>
      <w:r w:rsidRPr="003E76E7">
        <w:rPr>
          <w:color w:val="FFFFFF"/>
          <w:sz w:val="2"/>
          <w:szCs w:val="2"/>
        </w:rPr>
        <w:lastRenderedPageBreak/>
        <w:t>Program 2.16: Nuclear Powered Submarines</w:t>
      </w:r>
    </w:p>
    <w:tbl>
      <w:tblPr>
        <w:tblW w:w="497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8501"/>
      </w:tblGrid>
      <w:tr w:rsidR="00F7100A" w:rsidRPr="003E76E7" w14:paraId="335AA422" w14:textId="77777777" w:rsidTr="00A211F5">
        <w:tc>
          <w:tcPr>
            <w:tcW w:w="7797" w:type="dxa"/>
            <w:tcBorders>
              <w:left w:val="single" w:sz="4" w:space="0" w:color="auto"/>
              <w:bottom w:val="single" w:sz="4" w:space="0" w:color="auto"/>
              <w:right w:val="single" w:sz="4" w:space="0" w:color="auto"/>
            </w:tcBorders>
            <w:shd w:val="clear" w:color="auto" w:fill="CCCCCC"/>
          </w:tcPr>
          <w:p w14:paraId="5067A610" w14:textId="77777777" w:rsidR="00F7100A" w:rsidRPr="003E76E7" w:rsidRDefault="00F7100A" w:rsidP="00C4292D">
            <w:pPr>
              <w:pStyle w:val="Heading5"/>
              <w:spacing w:before="60" w:after="60"/>
            </w:pPr>
            <w:r w:rsidRPr="003E76E7">
              <w:t>Program 2.16: Nuclear-Powered Submarines</w:t>
            </w:r>
          </w:p>
        </w:tc>
      </w:tr>
    </w:tbl>
    <w:p w14:paraId="1A643B99" w14:textId="77777777" w:rsidR="00AD3193" w:rsidRPr="003E76E7" w:rsidRDefault="00AD3193" w:rsidP="00C4292D">
      <w:pPr>
        <w:spacing w:before="0" w:after="0"/>
        <w:rPr>
          <w:sz w:val="16"/>
          <w:szCs w:val="16"/>
        </w:rPr>
      </w:pPr>
    </w:p>
    <w:tbl>
      <w:tblPr>
        <w:tblW w:w="497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144"/>
        <w:gridCol w:w="3406"/>
      </w:tblGrid>
      <w:tr w:rsidR="00F7100A" w:rsidRPr="003E76E7" w14:paraId="6E90248A" w14:textId="77777777" w:rsidTr="0084135C">
        <w:tc>
          <w:tcPr>
            <w:tcW w:w="8501" w:type="dxa"/>
            <w:gridSpan w:val="3"/>
            <w:tcBorders>
              <w:left w:val="single" w:sz="4" w:space="0" w:color="auto"/>
              <w:right w:val="single" w:sz="4" w:space="0" w:color="auto"/>
            </w:tcBorders>
            <w:shd w:val="clear" w:color="auto" w:fill="E6E6E6"/>
          </w:tcPr>
          <w:p w14:paraId="07AF74B2" w14:textId="77777777" w:rsidR="00F7100A" w:rsidRPr="003E76E7" w:rsidRDefault="00F7100A" w:rsidP="00C4292D">
            <w:pPr>
              <w:tabs>
                <w:tab w:val="left" w:pos="709"/>
              </w:tabs>
              <w:spacing w:before="60" w:after="60"/>
              <w:rPr>
                <w:rFonts w:ascii="Arial" w:hAnsi="Arial"/>
                <w:b/>
                <w:sz w:val="15"/>
                <w:szCs w:val="15"/>
              </w:rPr>
            </w:pPr>
            <w:r w:rsidRPr="003E76E7">
              <w:rPr>
                <w:rFonts w:ascii="Arial" w:hAnsi="Arial"/>
                <w:b/>
                <w:sz w:val="15"/>
                <w:szCs w:val="15"/>
              </w:rPr>
              <w:t>Program 2.16 Objective</w:t>
            </w:r>
          </w:p>
          <w:p w14:paraId="711C87BC" w14:textId="1DF29CD3" w:rsidR="00F7100A" w:rsidRPr="003E76E7" w:rsidRDefault="00F7100A" w:rsidP="00A840DD">
            <w:pPr>
              <w:pStyle w:val="quotation1"/>
              <w:spacing w:after="60" w:line="240" w:lineRule="auto"/>
              <w:ind w:left="0"/>
              <w:rPr>
                <w:rFonts w:eastAsia="Times New Roman"/>
                <w:sz w:val="15"/>
                <w:szCs w:val="15"/>
                <w:lang w:val="en-US"/>
              </w:rPr>
            </w:pPr>
            <w:r w:rsidRPr="003E76E7">
              <w:rPr>
                <w:rFonts w:eastAsia="Times New Roman"/>
                <w:sz w:val="15"/>
                <w:szCs w:val="15"/>
                <w:lang w:val="en-US"/>
              </w:rPr>
              <w:t>Protect and advance Australia’s national interests through the acquisition, delivery, construction, technical governance, sustainment and disposal of Australia’s nuclear-powered submarine capability, via the AUKUS partnership, as directed by Government.</w:t>
            </w:r>
          </w:p>
        </w:tc>
      </w:tr>
      <w:tr w:rsidR="00F7100A" w:rsidRPr="003E76E7" w14:paraId="5E1F361E" w14:textId="77777777" w:rsidTr="0084135C">
        <w:trPr>
          <w:trHeight w:val="312"/>
        </w:trPr>
        <w:tc>
          <w:tcPr>
            <w:tcW w:w="1951" w:type="dxa"/>
            <w:tcBorders>
              <w:left w:val="single" w:sz="4" w:space="0" w:color="auto"/>
              <w:bottom w:val="single" w:sz="4" w:space="0" w:color="auto"/>
            </w:tcBorders>
          </w:tcPr>
          <w:p w14:paraId="2AD6BC0B" w14:textId="3472FCAE" w:rsidR="00F7100A" w:rsidRPr="003E76E7" w:rsidRDefault="00F7100A" w:rsidP="00C4292D">
            <w:pPr>
              <w:tabs>
                <w:tab w:val="left" w:pos="709"/>
              </w:tabs>
              <w:spacing w:before="60" w:after="60"/>
              <w:rPr>
                <w:rFonts w:ascii="Arial" w:hAnsi="Arial"/>
                <w:b/>
                <w:color w:val="000000"/>
                <w:sz w:val="15"/>
                <w:szCs w:val="15"/>
              </w:rPr>
            </w:pPr>
            <w:r w:rsidRPr="003E76E7">
              <w:rPr>
                <w:rFonts w:ascii="Arial" w:hAnsi="Arial"/>
                <w:b/>
                <w:color w:val="000000"/>
                <w:sz w:val="15"/>
                <w:szCs w:val="15"/>
              </w:rPr>
              <w:t>Key Activities</w:t>
            </w:r>
            <w:r w:rsidR="003C0ED5" w:rsidRPr="003E76E7">
              <w:rPr>
                <w:rFonts w:ascii="Arial" w:hAnsi="Arial"/>
                <w:b/>
                <w:color w:val="000000"/>
                <w:sz w:val="15"/>
                <w:szCs w:val="15"/>
              </w:rPr>
              <w:t xml:space="preserve"> </w:t>
            </w:r>
            <w:r w:rsidR="003C0ED5" w:rsidRPr="003E76E7">
              <w:rPr>
                <w:rFonts w:ascii="Arial" w:hAnsi="Arial"/>
                <w:b/>
                <w:color w:val="000000"/>
                <w:sz w:val="15"/>
                <w:szCs w:val="15"/>
                <w:vertAlign w:val="superscript"/>
              </w:rPr>
              <w:t>[a]</w:t>
            </w:r>
          </w:p>
        </w:tc>
        <w:tc>
          <w:tcPr>
            <w:tcW w:w="6550" w:type="dxa"/>
            <w:gridSpan w:val="2"/>
            <w:tcBorders>
              <w:bottom w:val="single" w:sz="4" w:space="0" w:color="auto"/>
              <w:right w:val="single" w:sz="4" w:space="0" w:color="auto"/>
            </w:tcBorders>
          </w:tcPr>
          <w:p w14:paraId="0AF8B9DB" w14:textId="77777777" w:rsidR="00B41377" w:rsidRPr="003E76E7" w:rsidRDefault="00B41377" w:rsidP="00C4292D">
            <w:pPr>
              <w:tabs>
                <w:tab w:val="left" w:pos="709"/>
              </w:tabs>
              <w:spacing w:before="60" w:after="60"/>
              <w:rPr>
                <w:rFonts w:ascii="Arial" w:hAnsi="Arial"/>
                <w:bCs/>
                <w:color w:val="000000"/>
                <w:sz w:val="15"/>
                <w:szCs w:val="15"/>
                <w:lang w:val="en-AU"/>
              </w:rPr>
            </w:pPr>
            <w:r w:rsidRPr="003E76E7">
              <w:rPr>
                <w:rFonts w:ascii="Arial" w:hAnsi="Arial"/>
                <w:bCs/>
                <w:color w:val="000000"/>
                <w:sz w:val="15"/>
                <w:szCs w:val="15"/>
                <w:lang w:val="en-AU"/>
              </w:rPr>
              <w:t>This program is achieved through the following activities:</w:t>
            </w:r>
          </w:p>
          <w:p w14:paraId="703AFFB0" w14:textId="77777777" w:rsidR="0084135C" w:rsidRPr="003E76E7" w:rsidRDefault="0084135C" w:rsidP="00C4292D">
            <w:pPr>
              <w:tabs>
                <w:tab w:val="left" w:pos="343"/>
              </w:tabs>
              <w:spacing w:before="60" w:after="60"/>
              <w:rPr>
                <w:rFonts w:ascii="Arial" w:hAnsi="Arial"/>
                <w:b/>
                <w:sz w:val="15"/>
                <w:szCs w:val="15"/>
                <w:lang w:val="en-AU"/>
              </w:rPr>
            </w:pPr>
            <w:r w:rsidRPr="003E76E7">
              <w:rPr>
                <w:rFonts w:ascii="Arial" w:hAnsi="Arial"/>
                <w:b/>
                <w:sz w:val="15"/>
                <w:szCs w:val="15"/>
                <w:lang w:val="en-AU"/>
              </w:rPr>
              <w:t>4. Defence invests in its people through recruitment and retention, growth in skills and capabilities, improved culture, mental health and wellbeing support, and support to ADF families.</w:t>
            </w:r>
          </w:p>
          <w:p w14:paraId="6E7F30B9" w14:textId="77777777" w:rsidR="00172963" w:rsidRPr="003E76E7" w:rsidRDefault="00172963" w:rsidP="00C4292D">
            <w:pPr>
              <w:tabs>
                <w:tab w:val="left" w:pos="343"/>
              </w:tabs>
              <w:spacing w:before="60" w:after="60"/>
              <w:rPr>
                <w:rFonts w:ascii="Arial" w:hAnsi="Arial"/>
                <w:b/>
                <w:sz w:val="15"/>
                <w:szCs w:val="15"/>
                <w:lang w:val="en-AU"/>
              </w:rPr>
            </w:pPr>
            <w:r w:rsidRPr="003E76E7">
              <w:rPr>
                <w:rFonts w:ascii="Arial" w:hAnsi="Arial"/>
                <w:b/>
                <w:sz w:val="15"/>
                <w:szCs w:val="15"/>
                <w:lang w:val="en-AU"/>
              </w:rPr>
              <w:t>6. Deliver future capability</w:t>
            </w:r>
            <w:r w:rsidRPr="003E76E7">
              <w:rPr>
                <w:rFonts w:ascii="Arial" w:hAnsi="Arial"/>
                <w:sz w:val="15"/>
                <w:szCs w:val="15"/>
                <w:lang w:val="en-AU"/>
              </w:rPr>
              <w:t xml:space="preserve">. </w:t>
            </w:r>
          </w:p>
          <w:p w14:paraId="02505024" w14:textId="28B28047" w:rsidR="00F7100A" w:rsidRPr="003E76E7" w:rsidRDefault="00172963" w:rsidP="00C4292D">
            <w:pPr>
              <w:tabs>
                <w:tab w:val="left" w:pos="343"/>
              </w:tabs>
              <w:spacing w:before="60" w:after="60"/>
              <w:rPr>
                <w:rFonts w:ascii="Arial" w:hAnsi="Arial"/>
                <w:i/>
                <w:color w:val="000000"/>
                <w:sz w:val="15"/>
                <w:szCs w:val="15"/>
              </w:rPr>
            </w:pPr>
            <w:r w:rsidRPr="003E76E7">
              <w:rPr>
                <w:rFonts w:ascii="Arial" w:hAnsi="Arial"/>
                <w:b/>
                <w:sz w:val="15"/>
                <w:szCs w:val="15"/>
                <w:lang w:val="en-AU"/>
              </w:rPr>
              <w:t>7. Defence advances Australia’s interests through a strengthened sovereign defence industrial base.</w:t>
            </w:r>
          </w:p>
        </w:tc>
      </w:tr>
      <w:tr w:rsidR="00F7100A" w:rsidRPr="003E76E7" w14:paraId="5132E7AB" w14:textId="77777777" w:rsidTr="0084135C">
        <w:trPr>
          <w:trHeight w:val="100"/>
        </w:trPr>
        <w:tc>
          <w:tcPr>
            <w:tcW w:w="1951" w:type="dxa"/>
            <w:tcBorders>
              <w:top w:val="single" w:sz="4" w:space="0" w:color="auto"/>
              <w:left w:val="single" w:sz="4" w:space="0" w:color="auto"/>
              <w:bottom w:val="single" w:sz="4" w:space="0" w:color="auto"/>
              <w:right w:val="single" w:sz="4" w:space="0" w:color="auto"/>
            </w:tcBorders>
          </w:tcPr>
          <w:p w14:paraId="6E6C00D8" w14:textId="77777777" w:rsidR="00F7100A" w:rsidRPr="003E76E7" w:rsidRDefault="00F7100A" w:rsidP="00C4292D">
            <w:pPr>
              <w:tabs>
                <w:tab w:val="left" w:pos="709"/>
              </w:tabs>
              <w:spacing w:before="60" w:after="60"/>
              <w:rPr>
                <w:rFonts w:ascii="Arial" w:hAnsi="Arial"/>
                <w:color w:val="000000"/>
                <w:sz w:val="15"/>
                <w:szCs w:val="15"/>
              </w:rPr>
            </w:pPr>
            <w:r w:rsidRPr="003E76E7">
              <w:rPr>
                <w:rFonts w:ascii="Arial" w:hAnsi="Arial"/>
                <w:b/>
                <w:color w:val="000000"/>
                <w:sz w:val="15"/>
                <w:szCs w:val="15"/>
              </w:rPr>
              <w:t>Year</w:t>
            </w:r>
          </w:p>
        </w:tc>
        <w:tc>
          <w:tcPr>
            <w:tcW w:w="3144" w:type="dxa"/>
            <w:tcBorders>
              <w:top w:val="single" w:sz="4" w:space="0" w:color="auto"/>
              <w:left w:val="single" w:sz="4" w:space="0" w:color="auto"/>
              <w:bottom w:val="single" w:sz="4" w:space="0" w:color="auto"/>
              <w:right w:val="single" w:sz="4" w:space="0" w:color="auto"/>
            </w:tcBorders>
          </w:tcPr>
          <w:p w14:paraId="406962DE" w14:textId="3B356923" w:rsidR="00F7100A" w:rsidRPr="003E76E7" w:rsidRDefault="00AD14EC" w:rsidP="00C4292D">
            <w:pPr>
              <w:tabs>
                <w:tab w:val="left" w:pos="709"/>
              </w:tabs>
              <w:spacing w:before="60" w:after="60"/>
              <w:rPr>
                <w:rFonts w:ascii="Arial" w:hAnsi="Arial"/>
                <w:color w:val="000000"/>
                <w:sz w:val="15"/>
                <w:szCs w:val="15"/>
              </w:rPr>
            </w:pPr>
            <w:r w:rsidRPr="003E76E7">
              <w:rPr>
                <w:rFonts w:ascii="Arial" w:hAnsi="Arial"/>
                <w:b/>
                <w:color w:val="000000"/>
                <w:sz w:val="15"/>
                <w:szCs w:val="15"/>
              </w:rPr>
              <w:t>Performance Measures</w:t>
            </w:r>
          </w:p>
        </w:tc>
        <w:tc>
          <w:tcPr>
            <w:tcW w:w="3406" w:type="dxa"/>
            <w:tcBorders>
              <w:top w:val="single" w:sz="4" w:space="0" w:color="auto"/>
              <w:left w:val="single" w:sz="4" w:space="0" w:color="auto"/>
              <w:bottom w:val="single" w:sz="4" w:space="0" w:color="auto"/>
              <w:right w:val="single" w:sz="4" w:space="0" w:color="auto"/>
            </w:tcBorders>
          </w:tcPr>
          <w:p w14:paraId="2602B6FE" w14:textId="77777777" w:rsidR="00F7100A" w:rsidRPr="003E76E7" w:rsidRDefault="00F7100A" w:rsidP="00C4292D">
            <w:pPr>
              <w:tabs>
                <w:tab w:val="left" w:pos="709"/>
              </w:tabs>
              <w:spacing w:before="60" w:after="60"/>
              <w:rPr>
                <w:rFonts w:ascii="Arial" w:hAnsi="Arial"/>
                <w:i/>
                <w:color w:val="000000"/>
                <w:sz w:val="15"/>
                <w:szCs w:val="15"/>
              </w:rPr>
            </w:pPr>
            <w:r w:rsidRPr="003E76E7">
              <w:rPr>
                <w:rFonts w:ascii="Arial" w:hAnsi="Arial"/>
                <w:b/>
                <w:color w:val="000000"/>
                <w:sz w:val="15"/>
                <w:szCs w:val="15"/>
              </w:rPr>
              <w:t>Expected Performance Results</w:t>
            </w:r>
          </w:p>
        </w:tc>
      </w:tr>
      <w:tr w:rsidR="00015840" w:rsidRPr="003E76E7" w14:paraId="56ABB7B1" w14:textId="77777777" w:rsidTr="0084135C">
        <w:trPr>
          <w:trHeight w:val="620"/>
        </w:trPr>
        <w:tc>
          <w:tcPr>
            <w:tcW w:w="1951" w:type="dxa"/>
            <w:vMerge w:val="restart"/>
            <w:tcBorders>
              <w:top w:val="single" w:sz="4" w:space="0" w:color="auto"/>
              <w:left w:val="single" w:sz="4" w:space="0" w:color="auto"/>
              <w:right w:val="single" w:sz="4" w:space="0" w:color="auto"/>
            </w:tcBorders>
          </w:tcPr>
          <w:p w14:paraId="282CB12C" w14:textId="77777777" w:rsidR="00015840" w:rsidRPr="003E76E7" w:rsidRDefault="00015840" w:rsidP="00C4292D">
            <w:pPr>
              <w:tabs>
                <w:tab w:val="left" w:pos="709"/>
              </w:tabs>
              <w:spacing w:before="0" w:after="0"/>
              <w:rPr>
                <w:rFonts w:ascii="Arial" w:hAnsi="Arial"/>
                <w:color w:val="000000"/>
                <w:sz w:val="15"/>
                <w:szCs w:val="15"/>
              </w:rPr>
            </w:pPr>
            <w:r w:rsidRPr="003E76E7">
              <w:rPr>
                <w:rFonts w:ascii="Arial" w:hAnsi="Arial"/>
                <w:color w:val="000000"/>
                <w:sz w:val="15"/>
                <w:szCs w:val="15"/>
              </w:rPr>
              <w:t>Current Year</w:t>
            </w:r>
          </w:p>
          <w:p w14:paraId="246F57FC" w14:textId="4557F5BD" w:rsidR="00015840" w:rsidRPr="003E76E7" w:rsidRDefault="00015840" w:rsidP="00C4292D">
            <w:pPr>
              <w:tabs>
                <w:tab w:val="left" w:pos="709"/>
              </w:tabs>
              <w:spacing w:before="0" w:after="0"/>
              <w:rPr>
                <w:rFonts w:ascii="Arial" w:hAnsi="Arial"/>
                <w:color w:val="000000"/>
                <w:sz w:val="15"/>
                <w:szCs w:val="15"/>
              </w:rPr>
            </w:pPr>
            <w:r w:rsidRPr="003E76E7">
              <w:rPr>
                <w:rFonts w:ascii="Arial" w:hAnsi="Arial"/>
                <w:color w:val="000000"/>
                <w:sz w:val="15"/>
                <w:szCs w:val="15"/>
              </w:rPr>
              <w:t xml:space="preserve">2025-26 </w:t>
            </w:r>
            <w:r w:rsidRPr="003E76E7">
              <w:rPr>
                <w:rFonts w:ascii="Arial" w:hAnsi="Arial"/>
                <w:color w:val="000000"/>
                <w:sz w:val="15"/>
                <w:szCs w:val="15"/>
                <w:vertAlign w:val="superscript"/>
              </w:rPr>
              <w:t>[b]</w:t>
            </w:r>
          </w:p>
        </w:tc>
        <w:tc>
          <w:tcPr>
            <w:tcW w:w="3144" w:type="dxa"/>
            <w:tcBorders>
              <w:top w:val="single" w:sz="4" w:space="0" w:color="auto"/>
              <w:left w:val="single" w:sz="4" w:space="0" w:color="auto"/>
              <w:bottom w:val="single" w:sz="4" w:space="0" w:color="auto"/>
              <w:right w:val="single" w:sz="4" w:space="0" w:color="auto"/>
            </w:tcBorders>
          </w:tcPr>
          <w:p w14:paraId="5E8F11F2" w14:textId="4F9F1EC2" w:rsidR="00015840" w:rsidRPr="003E76E7" w:rsidRDefault="00015840" w:rsidP="00C4292D">
            <w:pPr>
              <w:autoSpaceDE w:val="0"/>
              <w:autoSpaceDN w:val="0"/>
              <w:adjustRightInd w:val="0"/>
              <w:spacing w:before="60" w:after="0"/>
              <w:rPr>
                <w:rFonts w:ascii="Arial" w:hAnsi="Arial"/>
                <w:sz w:val="15"/>
                <w:szCs w:val="15"/>
                <w:lang w:val="en-AU"/>
              </w:rPr>
            </w:pPr>
            <w:r w:rsidRPr="003E76E7">
              <w:rPr>
                <w:rFonts w:ascii="Arial" w:hAnsi="Arial"/>
                <w:sz w:val="15"/>
                <w:szCs w:val="15"/>
                <w:lang w:val="en-AU"/>
              </w:rPr>
              <w:t>4.1: Defence recruits and retains an ADF and APS workforce to support the Defence mission.</w:t>
            </w:r>
          </w:p>
        </w:tc>
        <w:tc>
          <w:tcPr>
            <w:tcW w:w="3406" w:type="dxa"/>
            <w:tcBorders>
              <w:top w:val="single" w:sz="4" w:space="0" w:color="auto"/>
              <w:left w:val="single" w:sz="4" w:space="0" w:color="auto"/>
              <w:bottom w:val="single" w:sz="4" w:space="0" w:color="auto"/>
              <w:right w:val="single" w:sz="4" w:space="0" w:color="auto"/>
            </w:tcBorders>
          </w:tcPr>
          <w:p w14:paraId="266BE473" w14:textId="035C2AE4" w:rsidR="00015840" w:rsidRPr="003E76E7" w:rsidRDefault="00015840" w:rsidP="00C4292D">
            <w:pPr>
              <w:spacing w:before="60" w:after="60"/>
              <w:rPr>
                <w:rFonts w:ascii="Arial" w:hAnsi="Arial"/>
                <w:sz w:val="15"/>
                <w:szCs w:val="15"/>
              </w:rPr>
            </w:pPr>
            <w:r w:rsidRPr="003E76E7">
              <w:rPr>
                <w:rFonts w:ascii="Arial" w:hAnsi="Arial"/>
                <w:sz w:val="15"/>
                <w:szCs w:val="15"/>
              </w:rPr>
              <w:t xml:space="preserve">Defence achieves the ADF and APS Budgeted Workforce Requirement as set out in the </w:t>
            </w:r>
            <w:r w:rsidRPr="003E76E7">
              <w:rPr>
                <w:rFonts w:ascii="Arial" w:hAnsi="Arial"/>
                <w:sz w:val="15"/>
                <w:szCs w:val="15"/>
              </w:rPr>
              <w:br/>
            </w:r>
            <w:r w:rsidRPr="003E76E7">
              <w:rPr>
                <w:rFonts w:ascii="Arial" w:hAnsi="Arial"/>
                <w:i/>
                <w:sz w:val="15"/>
                <w:szCs w:val="15"/>
              </w:rPr>
              <w:t>Portfolio Budget Statements</w:t>
            </w:r>
            <w:r w:rsidR="003D1053">
              <w:rPr>
                <w:rFonts w:ascii="Arial" w:hAnsi="Arial"/>
                <w:i/>
                <w:sz w:val="15"/>
                <w:szCs w:val="15"/>
              </w:rPr>
              <w:t xml:space="preserve"> </w:t>
            </w:r>
            <w:r w:rsidR="003D1053" w:rsidRPr="003E76E7">
              <w:rPr>
                <w:rFonts w:ascii="Arial" w:hAnsi="Arial"/>
                <w:i/>
                <w:sz w:val="15"/>
                <w:szCs w:val="15"/>
              </w:rPr>
              <w:t xml:space="preserve">2025-26 </w:t>
            </w:r>
            <w:r w:rsidRPr="003E76E7">
              <w:rPr>
                <w:rFonts w:ascii="Arial" w:hAnsi="Arial"/>
                <w:sz w:val="15"/>
                <w:szCs w:val="15"/>
              </w:rPr>
              <w:t>and the net flow of the ADF and APS workforce over a 12 month period is trending positive and is positioning Defence to achieve the Budgeted Workforce Requirement over the Forward Estimates.</w:t>
            </w:r>
          </w:p>
          <w:p w14:paraId="31B061FB" w14:textId="1427DFCE" w:rsidR="00015840" w:rsidRPr="003E76E7" w:rsidRDefault="00015840" w:rsidP="00C4292D">
            <w:pPr>
              <w:tabs>
                <w:tab w:val="left" w:pos="709"/>
              </w:tabs>
              <w:spacing w:before="60" w:after="60"/>
              <w:jc w:val="right"/>
              <w:rPr>
                <w:rFonts w:ascii="Arial" w:hAnsi="Arial"/>
                <w:sz w:val="15"/>
                <w:szCs w:val="15"/>
                <w:lang w:val="en-AU"/>
              </w:rPr>
            </w:pPr>
            <w:r w:rsidRPr="003E76E7">
              <w:rPr>
                <w:rFonts w:ascii="Arial" w:hAnsi="Arial"/>
                <w:i/>
                <w:sz w:val="15"/>
                <w:szCs w:val="15"/>
              </w:rPr>
              <w:t>Expected to be partially achieved.</w:t>
            </w:r>
          </w:p>
        </w:tc>
      </w:tr>
      <w:tr w:rsidR="00015840" w:rsidRPr="003E76E7" w14:paraId="2579A246" w14:textId="77777777" w:rsidTr="0084135C">
        <w:trPr>
          <w:trHeight w:val="620"/>
        </w:trPr>
        <w:tc>
          <w:tcPr>
            <w:tcW w:w="1951" w:type="dxa"/>
            <w:vMerge/>
            <w:tcBorders>
              <w:left w:val="single" w:sz="4" w:space="0" w:color="auto"/>
              <w:right w:val="single" w:sz="4" w:space="0" w:color="auto"/>
            </w:tcBorders>
          </w:tcPr>
          <w:p w14:paraId="277D9C01" w14:textId="5CAA1FC6" w:rsidR="00015840" w:rsidRPr="003E76E7" w:rsidRDefault="00015840" w:rsidP="00C4292D">
            <w:pPr>
              <w:tabs>
                <w:tab w:val="left" w:pos="709"/>
              </w:tabs>
              <w:spacing w:before="0" w:after="0"/>
              <w:rPr>
                <w:rFonts w:ascii="Arial" w:hAnsi="Arial"/>
                <w:color w:val="000000"/>
                <w:sz w:val="15"/>
                <w:szCs w:val="15"/>
              </w:rPr>
            </w:pPr>
          </w:p>
        </w:tc>
        <w:tc>
          <w:tcPr>
            <w:tcW w:w="3144" w:type="dxa"/>
            <w:tcBorders>
              <w:top w:val="single" w:sz="4" w:space="0" w:color="auto"/>
              <w:left w:val="single" w:sz="4" w:space="0" w:color="auto"/>
              <w:bottom w:val="single" w:sz="4" w:space="0" w:color="auto"/>
              <w:right w:val="single" w:sz="4" w:space="0" w:color="auto"/>
            </w:tcBorders>
          </w:tcPr>
          <w:p w14:paraId="18D699FF" w14:textId="58C19503" w:rsidR="00015840" w:rsidRPr="003E76E7" w:rsidRDefault="00015840" w:rsidP="00C4292D">
            <w:pPr>
              <w:autoSpaceDE w:val="0"/>
              <w:autoSpaceDN w:val="0"/>
              <w:adjustRightInd w:val="0"/>
              <w:spacing w:before="60" w:after="0"/>
              <w:rPr>
                <w:rFonts w:ascii="Arial" w:hAnsi="Arial"/>
                <w:sz w:val="15"/>
                <w:szCs w:val="15"/>
                <w:lang w:val="en-AU"/>
              </w:rPr>
            </w:pPr>
            <w:r w:rsidRPr="003E76E7">
              <w:rPr>
                <w:rFonts w:ascii="Arial" w:hAnsi="Arial"/>
                <w:sz w:val="15"/>
                <w:szCs w:val="15"/>
                <w:lang w:val="en-AU"/>
              </w:rPr>
              <w:t>4.2: Defence grows the necessary skills and capabilities to enable the Defence mission.</w:t>
            </w:r>
          </w:p>
        </w:tc>
        <w:tc>
          <w:tcPr>
            <w:tcW w:w="3406" w:type="dxa"/>
            <w:tcBorders>
              <w:top w:val="single" w:sz="4" w:space="0" w:color="auto"/>
              <w:left w:val="single" w:sz="4" w:space="0" w:color="auto"/>
              <w:bottom w:val="single" w:sz="4" w:space="0" w:color="auto"/>
              <w:right w:val="single" w:sz="4" w:space="0" w:color="auto"/>
            </w:tcBorders>
          </w:tcPr>
          <w:p w14:paraId="157E7041" w14:textId="77777777" w:rsidR="00015840" w:rsidRPr="003E76E7" w:rsidRDefault="00015840" w:rsidP="00C4292D">
            <w:pPr>
              <w:spacing w:before="60" w:after="60"/>
              <w:rPr>
                <w:rFonts w:ascii="Arial" w:hAnsi="Arial"/>
                <w:sz w:val="15"/>
                <w:szCs w:val="15"/>
                <w:lang w:val="en-AU"/>
              </w:rPr>
            </w:pPr>
            <w:r w:rsidRPr="003E76E7">
              <w:rPr>
                <w:rFonts w:ascii="Arial" w:hAnsi="Arial"/>
                <w:sz w:val="15"/>
                <w:szCs w:val="15"/>
                <w:lang w:val="en-AU"/>
              </w:rPr>
              <w:t>The Defence workforce has the technical skills required to deliver the National Defence Strategy, as measured through achieving a full workforce against each of the ADF and APS Strategic Workforce Segments, the net flow of the ADF and APS Strategic Workforce Segments over the financial year, measured against the Budgeted Workforce Requirement, will enable Defence to achieve its future technical skill requirements, and the Australian Submarine Agency are staffed with the required ADF personnel to deliver the Nuclear-Powered Submarine Program.</w:t>
            </w:r>
          </w:p>
          <w:p w14:paraId="7BDE97FC" w14:textId="09D82637" w:rsidR="00015840" w:rsidRPr="00D013CE" w:rsidRDefault="00D013CE" w:rsidP="00C4292D">
            <w:pPr>
              <w:tabs>
                <w:tab w:val="left" w:pos="709"/>
              </w:tabs>
              <w:spacing w:before="60" w:after="60"/>
              <w:jc w:val="right"/>
              <w:rPr>
                <w:rFonts w:ascii="Arial" w:hAnsi="Arial"/>
                <w:sz w:val="15"/>
                <w:szCs w:val="15"/>
                <w:lang w:val="en-AU"/>
              </w:rPr>
            </w:pPr>
            <w:r w:rsidRPr="00D013CE">
              <w:rPr>
                <w:rFonts w:ascii="Arial" w:hAnsi="Arial"/>
                <w:i/>
                <w:sz w:val="15"/>
                <w:szCs w:val="15"/>
              </w:rPr>
              <w:t>Expected to be partially achieved.</w:t>
            </w:r>
          </w:p>
        </w:tc>
      </w:tr>
      <w:tr w:rsidR="00015840" w:rsidRPr="003E76E7" w14:paraId="3FD9C73C" w14:textId="77777777" w:rsidTr="002F2585">
        <w:trPr>
          <w:trHeight w:val="620"/>
        </w:trPr>
        <w:tc>
          <w:tcPr>
            <w:tcW w:w="1951" w:type="dxa"/>
            <w:vMerge/>
            <w:tcBorders>
              <w:left w:val="single" w:sz="4" w:space="0" w:color="auto"/>
              <w:right w:val="single" w:sz="4" w:space="0" w:color="auto"/>
            </w:tcBorders>
          </w:tcPr>
          <w:p w14:paraId="7300DCA6" w14:textId="33FDFD73" w:rsidR="00015840" w:rsidRPr="003E76E7" w:rsidRDefault="00015840" w:rsidP="00C4292D">
            <w:pPr>
              <w:tabs>
                <w:tab w:val="left" w:pos="709"/>
              </w:tabs>
              <w:spacing w:before="0" w:after="0"/>
              <w:rPr>
                <w:rFonts w:ascii="Arial" w:hAnsi="Arial"/>
                <w:color w:val="000000"/>
                <w:sz w:val="15"/>
                <w:szCs w:val="15"/>
              </w:rPr>
            </w:pPr>
          </w:p>
        </w:tc>
        <w:tc>
          <w:tcPr>
            <w:tcW w:w="3144" w:type="dxa"/>
            <w:tcBorders>
              <w:top w:val="single" w:sz="4" w:space="0" w:color="auto"/>
              <w:left w:val="single" w:sz="4" w:space="0" w:color="auto"/>
              <w:bottom w:val="single" w:sz="4" w:space="0" w:color="auto"/>
              <w:right w:val="single" w:sz="4" w:space="0" w:color="auto"/>
            </w:tcBorders>
          </w:tcPr>
          <w:p w14:paraId="031DCC23" w14:textId="125A655B" w:rsidR="00015840" w:rsidRPr="003E76E7" w:rsidRDefault="00015840" w:rsidP="00C4292D">
            <w:pPr>
              <w:autoSpaceDE w:val="0"/>
              <w:autoSpaceDN w:val="0"/>
              <w:adjustRightInd w:val="0"/>
              <w:spacing w:before="60" w:after="0"/>
              <w:rPr>
                <w:rFonts w:ascii="Arial" w:hAnsi="Arial"/>
                <w:sz w:val="15"/>
                <w:szCs w:val="15"/>
                <w:lang w:val="en-AU"/>
              </w:rPr>
            </w:pPr>
            <w:r w:rsidRPr="003E76E7">
              <w:rPr>
                <w:rFonts w:ascii="Arial" w:hAnsi="Arial"/>
                <w:sz w:val="15"/>
                <w:szCs w:val="15"/>
                <w:lang w:val="en-AU"/>
              </w:rPr>
              <w:t>4.3: The Defence values and behaviours enable our people to deliver against the Defence mission.</w:t>
            </w:r>
          </w:p>
        </w:tc>
        <w:tc>
          <w:tcPr>
            <w:tcW w:w="3406" w:type="dxa"/>
            <w:tcBorders>
              <w:top w:val="single" w:sz="4" w:space="0" w:color="auto"/>
              <w:left w:val="single" w:sz="4" w:space="0" w:color="auto"/>
              <w:bottom w:val="single" w:sz="4" w:space="0" w:color="auto"/>
              <w:right w:val="single" w:sz="4" w:space="0" w:color="auto"/>
            </w:tcBorders>
          </w:tcPr>
          <w:p w14:paraId="30EF0789" w14:textId="71521BFB" w:rsidR="00015840" w:rsidRPr="003E76E7" w:rsidRDefault="00015840" w:rsidP="00C4292D">
            <w:pPr>
              <w:spacing w:before="60" w:after="60"/>
              <w:rPr>
                <w:rFonts w:ascii="Arial" w:hAnsi="Arial"/>
                <w:sz w:val="15"/>
                <w:szCs w:val="15"/>
              </w:rPr>
            </w:pPr>
            <w:r w:rsidRPr="003E76E7">
              <w:rPr>
                <w:rFonts w:ascii="Arial" w:hAnsi="Arial"/>
                <w:sz w:val="15"/>
                <w:szCs w:val="15"/>
              </w:rPr>
              <w:t>All ADF and Defence APS personnel believe appropriate action will be taken if they report an incident of unacceptable behaviour in the preceding 12 months, no ADF and Defence APS personnel have experienced unacceptable behaviour in the preceding 12 months, and all ADF and Defence APS personnel view that Defence values are being used in their work area.</w:t>
            </w:r>
          </w:p>
          <w:p w14:paraId="292D09B2" w14:textId="47DB7326" w:rsidR="00015840" w:rsidRPr="00D013CE" w:rsidRDefault="00C4447C" w:rsidP="00C4292D">
            <w:pPr>
              <w:tabs>
                <w:tab w:val="left" w:pos="709"/>
              </w:tabs>
              <w:spacing w:before="60" w:after="60"/>
              <w:jc w:val="right"/>
              <w:rPr>
                <w:rFonts w:ascii="Arial" w:hAnsi="Arial"/>
                <w:sz w:val="15"/>
                <w:szCs w:val="15"/>
                <w:lang w:val="en-AU"/>
              </w:rPr>
            </w:pPr>
            <w:r w:rsidRPr="00D013CE">
              <w:rPr>
                <w:rFonts w:ascii="Arial" w:hAnsi="Arial"/>
                <w:i/>
                <w:sz w:val="15"/>
                <w:szCs w:val="15"/>
              </w:rPr>
              <w:t>Expected to be not achieved.</w:t>
            </w:r>
          </w:p>
        </w:tc>
      </w:tr>
      <w:tr w:rsidR="00015840" w:rsidRPr="003E76E7" w14:paraId="1A71592B" w14:textId="77777777" w:rsidTr="0084135C">
        <w:trPr>
          <w:trHeight w:val="620"/>
        </w:trPr>
        <w:tc>
          <w:tcPr>
            <w:tcW w:w="1951" w:type="dxa"/>
            <w:vMerge/>
            <w:tcBorders>
              <w:left w:val="single" w:sz="4" w:space="0" w:color="auto"/>
              <w:bottom w:val="single" w:sz="4" w:space="0" w:color="auto"/>
              <w:right w:val="single" w:sz="4" w:space="0" w:color="auto"/>
            </w:tcBorders>
          </w:tcPr>
          <w:p w14:paraId="28A00F2F" w14:textId="40EDE6EE" w:rsidR="00015840" w:rsidRPr="003E76E7" w:rsidRDefault="00015840" w:rsidP="00C4292D">
            <w:pPr>
              <w:tabs>
                <w:tab w:val="left" w:pos="709"/>
              </w:tabs>
              <w:spacing w:before="0" w:after="0"/>
              <w:rPr>
                <w:rFonts w:ascii="Arial" w:hAnsi="Arial"/>
                <w:color w:val="000000"/>
                <w:sz w:val="15"/>
                <w:szCs w:val="15"/>
              </w:rPr>
            </w:pPr>
          </w:p>
        </w:tc>
        <w:tc>
          <w:tcPr>
            <w:tcW w:w="3144" w:type="dxa"/>
            <w:tcBorders>
              <w:top w:val="single" w:sz="4" w:space="0" w:color="auto"/>
              <w:left w:val="single" w:sz="4" w:space="0" w:color="auto"/>
              <w:bottom w:val="single" w:sz="4" w:space="0" w:color="auto"/>
              <w:right w:val="single" w:sz="4" w:space="0" w:color="auto"/>
            </w:tcBorders>
          </w:tcPr>
          <w:p w14:paraId="1F7340EA" w14:textId="74551DDB" w:rsidR="00015840" w:rsidRPr="003E76E7" w:rsidRDefault="00015840" w:rsidP="00C4292D">
            <w:pPr>
              <w:autoSpaceDE w:val="0"/>
              <w:autoSpaceDN w:val="0"/>
              <w:adjustRightInd w:val="0"/>
              <w:spacing w:before="60" w:after="0"/>
              <w:rPr>
                <w:rFonts w:ascii="Arial" w:hAnsi="Arial"/>
                <w:sz w:val="15"/>
                <w:szCs w:val="15"/>
                <w:lang w:val="en-AU"/>
              </w:rPr>
            </w:pPr>
            <w:r w:rsidRPr="003E76E7">
              <w:rPr>
                <w:rFonts w:ascii="Arial" w:hAnsi="Arial"/>
                <w:sz w:val="15"/>
                <w:szCs w:val="15"/>
                <w:lang w:val="en-AU"/>
              </w:rPr>
              <w:t>4.4: Defence supports ADF members and their families by providing access to support services and programs having regard to lifetime wellbeing.</w:t>
            </w:r>
          </w:p>
        </w:tc>
        <w:tc>
          <w:tcPr>
            <w:tcW w:w="3406" w:type="dxa"/>
            <w:tcBorders>
              <w:top w:val="single" w:sz="4" w:space="0" w:color="auto"/>
              <w:left w:val="single" w:sz="4" w:space="0" w:color="auto"/>
              <w:bottom w:val="single" w:sz="4" w:space="0" w:color="auto"/>
              <w:right w:val="single" w:sz="4" w:space="0" w:color="auto"/>
            </w:tcBorders>
          </w:tcPr>
          <w:p w14:paraId="00675EE3" w14:textId="48A7F032" w:rsidR="00015840" w:rsidRPr="003E76E7" w:rsidRDefault="00015840" w:rsidP="00C4292D">
            <w:pPr>
              <w:tabs>
                <w:tab w:val="left" w:pos="709"/>
              </w:tabs>
              <w:spacing w:before="60" w:after="60"/>
              <w:rPr>
                <w:rFonts w:ascii="Arial" w:hAnsi="Arial"/>
                <w:sz w:val="15"/>
                <w:szCs w:val="15"/>
                <w:lang w:val="en-AU"/>
              </w:rPr>
            </w:pPr>
            <w:r w:rsidRPr="003E76E7">
              <w:rPr>
                <w:rFonts w:ascii="Arial" w:hAnsi="Arial"/>
                <w:sz w:val="15"/>
                <w:szCs w:val="15"/>
                <w:lang w:val="en-AU"/>
              </w:rPr>
              <w:t xml:space="preserve">At least 75 per cent of eligible full-time ADF members and their families are registered with the ADF Family Health Program, </w:t>
            </w:r>
            <w:r w:rsidRPr="003E76E7">
              <w:rPr>
                <w:rFonts w:ascii="Arial" w:hAnsi="Arial"/>
                <w:sz w:val="15"/>
                <w:szCs w:val="15"/>
                <w:lang w:val="en-AU"/>
              </w:rPr>
              <w:br/>
              <w:t xml:space="preserve">100 per cent of the support services of the Partner Assistance Employment Program, Education Assistance Scheme, and Special Accommodation for Emergencies Scheme are provided to full-time ADF and their families in accordance with identified service delivery timeframes, there is an increase in the percentage of Defence suicide prevention training participants who assess that the training is practical, tailored and informed by lived experience, and 100 per cent of </w:t>
            </w:r>
            <w:r w:rsidR="00432109" w:rsidRPr="003E76E7">
              <w:rPr>
                <w:rFonts w:ascii="Arial" w:hAnsi="Arial"/>
                <w:sz w:val="15"/>
                <w:szCs w:val="15"/>
                <w:lang w:val="en-AU"/>
              </w:rPr>
              <w:br/>
            </w:r>
            <w:r w:rsidRPr="003E76E7">
              <w:rPr>
                <w:rFonts w:ascii="Arial" w:hAnsi="Arial"/>
                <w:sz w:val="15"/>
                <w:szCs w:val="15"/>
                <w:lang w:val="en-AU"/>
              </w:rPr>
              <w:t xml:space="preserve">Defence-led, Government-agreed recommendations from the Royal Commission into Defence and Veteran Suicide Final Report are complete, or </w:t>
            </w:r>
            <w:r w:rsidRPr="003E76E7">
              <w:rPr>
                <w:rFonts w:ascii="Arial" w:hAnsi="Arial"/>
                <w:sz w:val="15"/>
                <w:szCs w:val="15"/>
                <w:lang w:val="en-AU"/>
              </w:rPr>
              <w:br/>
              <w:t>on-track.</w:t>
            </w:r>
          </w:p>
          <w:p w14:paraId="238E0562" w14:textId="18AFD58D" w:rsidR="00015840" w:rsidRPr="003E76E7" w:rsidRDefault="00015840" w:rsidP="00C4292D">
            <w:pPr>
              <w:spacing w:before="60" w:after="60"/>
              <w:jc w:val="right"/>
              <w:rPr>
                <w:rFonts w:ascii="Arial" w:hAnsi="Arial"/>
                <w:sz w:val="15"/>
                <w:szCs w:val="15"/>
              </w:rPr>
            </w:pPr>
            <w:r w:rsidRPr="003E76E7">
              <w:rPr>
                <w:rFonts w:ascii="Arial" w:hAnsi="Arial"/>
                <w:i/>
                <w:sz w:val="15"/>
                <w:szCs w:val="15"/>
                <w:lang w:val="en-AU"/>
              </w:rPr>
              <w:t>Expected to be substantially achieved.</w:t>
            </w:r>
          </w:p>
        </w:tc>
      </w:tr>
    </w:tbl>
    <w:p w14:paraId="0422B3FF" w14:textId="5A7B3D62" w:rsidR="0084135C" w:rsidRPr="003E76E7" w:rsidRDefault="0084135C" w:rsidP="00C4292D">
      <w:pPr>
        <w:rPr>
          <w:rFonts w:ascii="Arial" w:hAnsi="Arial"/>
          <w:sz w:val="2"/>
          <w:szCs w:val="2"/>
        </w:rPr>
      </w:pPr>
    </w:p>
    <w:tbl>
      <w:tblPr>
        <w:tblW w:w="497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144"/>
        <w:gridCol w:w="3406"/>
      </w:tblGrid>
      <w:tr w:rsidR="0084135C" w:rsidRPr="003E76E7" w14:paraId="51F6F54B" w14:textId="77777777" w:rsidTr="00067733">
        <w:trPr>
          <w:trHeight w:val="283"/>
        </w:trPr>
        <w:tc>
          <w:tcPr>
            <w:tcW w:w="1951" w:type="dxa"/>
            <w:tcBorders>
              <w:top w:val="single" w:sz="4" w:space="0" w:color="auto"/>
              <w:left w:val="single" w:sz="4" w:space="0" w:color="auto"/>
              <w:right w:val="single" w:sz="4" w:space="0" w:color="auto"/>
            </w:tcBorders>
            <w:vAlign w:val="center"/>
          </w:tcPr>
          <w:p w14:paraId="7637B9E4" w14:textId="4EC78B0D" w:rsidR="0084135C" w:rsidRPr="003E76E7" w:rsidRDefault="0084135C" w:rsidP="00C4292D">
            <w:pPr>
              <w:tabs>
                <w:tab w:val="left" w:pos="709"/>
              </w:tabs>
              <w:spacing w:before="0" w:after="0"/>
              <w:rPr>
                <w:rFonts w:ascii="Arial" w:hAnsi="Arial"/>
                <w:color w:val="000000"/>
                <w:sz w:val="15"/>
                <w:szCs w:val="15"/>
              </w:rPr>
            </w:pPr>
            <w:r w:rsidRPr="003E76E7">
              <w:rPr>
                <w:rFonts w:ascii="Arial" w:hAnsi="Arial"/>
                <w:b/>
                <w:color w:val="000000"/>
                <w:sz w:val="15"/>
                <w:szCs w:val="15"/>
              </w:rPr>
              <w:t>Year</w:t>
            </w:r>
          </w:p>
        </w:tc>
        <w:tc>
          <w:tcPr>
            <w:tcW w:w="3144" w:type="dxa"/>
            <w:tcBorders>
              <w:top w:val="single" w:sz="4" w:space="0" w:color="auto"/>
              <w:left w:val="single" w:sz="4" w:space="0" w:color="auto"/>
              <w:bottom w:val="single" w:sz="4" w:space="0" w:color="auto"/>
              <w:right w:val="single" w:sz="4" w:space="0" w:color="auto"/>
            </w:tcBorders>
            <w:vAlign w:val="center"/>
          </w:tcPr>
          <w:p w14:paraId="52E345CE" w14:textId="582E40D9" w:rsidR="0084135C" w:rsidRPr="003E76E7" w:rsidRDefault="0084135C" w:rsidP="00C4292D">
            <w:pPr>
              <w:autoSpaceDE w:val="0"/>
              <w:autoSpaceDN w:val="0"/>
              <w:adjustRightInd w:val="0"/>
              <w:spacing w:before="0" w:after="0"/>
              <w:rPr>
                <w:rFonts w:ascii="Arial" w:hAnsi="Arial"/>
                <w:sz w:val="15"/>
                <w:szCs w:val="15"/>
                <w:lang w:val="en-AU"/>
              </w:rPr>
            </w:pPr>
            <w:r w:rsidRPr="003E76E7">
              <w:rPr>
                <w:rFonts w:ascii="Arial" w:hAnsi="Arial"/>
                <w:b/>
                <w:color w:val="000000"/>
                <w:sz w:val="15"/>
                <w:szCs w:val="15"/>
              </w:rPr>
              <w:t>Performance Measures</w:t>
            </w:r>
          </w:p>
        </w:tc>
        <w:tc>
          <w:tcPr>
            <w:tcW w:w="3406" w:type="dxa"/>
            <w:tcBorders>
              <w:top w:val="single" w:sz="4" w:space="0" w:color="auto"/>
              <w:left w:val="single" w:sz="4" w:space="0" w:color="auto"/>
              <w:bottom w:val="single" w:sz="4" w:space="0" w:color="auto"/>
              <w:right w:val="single" w:sz="4" w:space="0" w:color="auto"/>
            </w:tcBorders>
            <w:vAlign w:val="center"/>
          </w:tcPr>
          <w:p w14:paraId="73F9D1EA" w14:textId="017A977B" w:rsidR="0084135C" w:rsidRPr="003E76E7" w:rsidRDefault="0084135C" w:rsidP="00C4292D">
            <w:pPr>
              <w:tabs>
                <w:tab w:val="left" w:pos="709"/>
              </w:tabs>
              <w:spacing w:before="0" w:after="0"/>
              <w:rPr>
                <w:rFonts w:ascii="Arial" w:hAnsi="Arial"/>
                <w:sz w:val="15"/>
                <w:szCs w:val="15"/>
                <w:lang w:val="en-AU"/>
              </w:rPr>
            </w:pPr>
            <w:r w:rsidRPr="003E76E7">
              <w:rPr>
                <w:rFonts w:ascii="Arial" w:hAnsi="Arial"/>
                <w:b/>
                <w:color w:val="000000"/>
                <w:sz w:val="15"/>
                <w:szCs w:val="15"/>
              </w:rPr>
              <w:t>Expected Performance Results</w:t>
            </w:r>
          </w:p>
        </w:tc>
      </w:tr>
      <w:tr w:rsidR="00432109" w:rsidRPr="003E76E7" w14:paraId="355E6033" w14:textId="77777777" w:rsidTr="0084135C">
        <w:trPr>
          <w:trHeight w:val="620"/>
        </w:trPr>
        <w:tc>
          <w:tcPr>
            <w:tcW w:w="1951" w:type="dxa"/>
            <w:vMerge w:val="restart"/>
            <w:tcBorders>
              <w:left w:val="single" w:sz="4" w:space="0" w:color="auto"/>
              <w:right w:val="single" w:sz="4" w:space="0" w:color="auto"/>
            </w:tcBorders>
          </w:tcPr>
          <w:p w14:paraId="6909C5D6" w14:textId="77777777" w:rsidR="00432109" w:rsidRPr="003E76E7" w:rsidRDefault="00432109" w:rsidP="00C4292D">
            <w:pPr>
              <w:tabs>
                <w:tab w:val="left" w:pos="709"/>
              </w:tabs>
              <w:spacing w:before="0" w:after="0"/>
              <w:rPr>
                <w:rFonts w:ascii="Arial" w:hAnsi="Arial"/>
                <w:color w:val="000000"/>
                <w:sz w:val="15"/>
                <w:szCs w:val="15"/>
              </w:rPr>
            </w:pPr>
            <w:r w:rsidRPr="003E76E7">
              <w:rPr>
                <w:rFonts w:ascii="Arial" w:hAnsi="Arial"/>
                <w:color w:val="000000"/>
                <w:sz w:val="15"/>
                <w:szCs w:val="15"/>
              </w:rPr>
              <w:t>Current Year</w:t>
            </w:r>
          </w:p>
          <w:p w14:paraId="5D6D39FC" w14:textId="36F7A0EC" w:rsidR="00432109" w:rsidRPr="003E76E7" w:rsidRDefault="00432109" w:rsidP="00C4292D">
            <w:pPr>
              <w:tabs>
                <w:tab w:val="left" w:pos="709"/>
              </w:tabs>
              <w:spacing w:before="0" w:after="0"/>
              <w:rPr>
                <w:rFonts w:ascii="Arial" w:hAnsi="Arial"/>
                <w:color w:val="000000"/>
                <w:sz w:val="15"/>
                <w:szCs w:val="15"/>
              </w:rPr>
            </w:pPr>
            <w:r w:rsidRPr="003E76E7">
              <w:rPr>
                <w:rFonts w:ascii="Arial" w:hAnsi="Arial"/>
                <w:color w:val="000000"/>
                <w:sz w:val="15"/>
                <w:szCs w:val="15"/>
              </w:rPr>
              <w:t xml:space="preserve">2025-26 </w:t>
            </w:r>
            <w:r w:rsidRPr="003E76E7">
              <w:rPr>
                <w:rFonts w:ascii="Arial" w:hAnsi="Arial"/>
                <w:color w:val="000000"/>
                <w:sz w:val="15"/>
                <w:szCs w:val="15"/>
                <w:vertAlign w:val="superscript"/>
              </w:rPr>
              <w:t>[b]</w:t>
            </w:r>
          </w:p>
        </w:tc>
        <w:tc>
          <w:tcPr>
            <w:tcW w:w="3144" w:type="dxa"/>
            <w:tcBorders>
              <w:top w:val="single" w:sz="4" w:space="0" w:color="auto"/>
              <w:left w:val="single" w:sz="4" w:space="0" w:color="auto"/>
              <w:bottom w:val="single" w:sz="4" w:space="0" w:color="auto"/>
              <w:right w:val="single" w:sz="4" w:space="0" w:color="auto"/>
            </w:tcBorders>
          </w:tcPr>
          <w:p w14:paraId="4256645E" w14:textId="6E4D98D5" w:rsidR="00432109" w:rsidRPr="003E76E7" w:rsidRDefault="00432109" w:rsidP="00C4292D">
            <w:pPr>
              <w:autoSpaceDE w:val="0"/>
              <w:autoSpaceDN w:val="0"/>
              <w:adjustRightInd w:val="0"/>
              <w:spacing w:before="60" w:after="0"/>
              <w:rPr>
                <w:rFonts w:ascii="Arial" w:hAnsi="Arial"/>
                <w:color w:val="000000"/>
                <w:sz w:val="15"/>
                <w:szCs w:val="15"/>
              </w:rPr>
            </w:pPr>
            <w:r w:rsidRPr="003E76E7">
              <w:rPr>
                <w:rFonts w:ascii="Arial" w:hAnsi="Arial"/>
                <w:sz w:val="15"/>
                <w:szCs w:val="15"/>
                <w:lang w:val="en-AU"/>
              </w:rPr>
              <w:t>6.1: Defence is delivering the right future capability at the right time within the Integrated Investment Program to ensure it is equipped to respond to future security challenges as directed by the National Defence Strategy.</w:t>
            </w:r>
          </w:p>
        </w:tc>
        <w:tc>
          <w:tcPr>
            <w:tcW w:w="3406" w:type="dxa"/>
            <w:tcBorders>
              <w:top w:val="single" w:sz="4" w:space="0" w:color="auto"/>
              <w:left w:val="single" w:sz="4" w:space="0" w:color="auto"/>
              <w:bottom w:val="single" w:sz="4" w:space="0" w:color="auto"/>
              <w:right w:val="single" w:sz="4" w:space="0" w:color="auto"/>
            </w:tcBorders>
          </w:tcPr>
          <w:p w14:paraId="50639CD1" w14:textId="77777777" w:rsidR="00432109" w:rsidRPr="003E76E7" w:rsidRDefault="00432109" w:rsidP="00C4292D">
            <w:pPr>
              <w:tabs>
                <w:tab w:val="left" w:pos="709"/>
              </w:tabs>
              <w:spacing w:before="60" w:after="60"/>
              <w:rPr>
                <w:rFonts w:ascii="Arial" w:hAnsi="Arial"/>
                <w:sz w:val="15"/>
                <w:szCs w:val="15"/>
                <w:lang w:val="en-AU"/>
              </w:rPr>
            </w:pPr>
            <w:r w:rsidRPr="003E76E7">
              <w:rPr>
                <w:rFonts w:ascii="Arial" w:hAnsi="Arial"/>
                <w:sz w:val="15"/>
                <w:szCs w:val="15"/>
                <w:lang w:val="en-AU"/>
              </w:rPr>
              <w:t>80 per cent or more of approved Integrated Investment Program projects across all domains are on track to deliver within Government approved scope, schedule, and cost (including contingency).</w:t>
            </w:r>
          </w:p>
          <w:p w14:paraId="6F4E995C" w14:textId="124B62FB" w:rsidR="00432109" w:rsidRPr="003E76E7" w:rsidRDefault="00432109" w:rsidP="00C4292D">
            <w:pPr>
              <w:tabs>
                <w:tab w:val="left" w:pos="709"/>
              </w:tabs>
              <w:spacing w:before="60" w:after="60"/>
              <w:jc w:val="right"/>
              <w:rPr>
                <w:rFonts w:ascii="Arial" w:hAnsi="Arial"/>
                <w:i/>
                <w:sz w:val="15"/>
                <w:szCs w:val="15"/>
              </w:rPr>
            </w:pPr>
            <w:r w:rsidRPr="003E76E7">
              <w:rPr>
                <w:rFonts w:ascii="Arial" w:hAnsi="Arial"/>
                <w:i/>
                <w:sz w:val="15"/>
                <w:szCs w:val="15"/>
                <w:lang w:val="en-AU"/>
              </w:rPr>
              <w:t>Expected to be achieved.</w:t>
            </w:r>
          </w:p>
        </w:tc>
      </w:tr>
      <w:tr w:rsidR="00432109" w:rsidRPr="003E76E7" w14:paraId="7613C846" w14:textId="77777777" w:rsidTr="0084135C">
        <w:trPr>
          <w:trHeight w:val="620"/>
        </w:trPr>
        <w:tc>
          <w:tcPr>
            <w:tcW w:w="1951" w:type="dxa"/>
            <w:vMerge/>
            <w:tcBorders>
              <w:left w:val="single" w:sz="4" w:space="0" w:color="auto"/>
              <w:bottom w:val="single" w:sz="4" w:space="0" w:color="auto"/>
              <w:right w:val="single" w:sz="4" w:space="0" w:color="auto"/>
            </w:tcBorders>
          </w:tcPr>
          <w:p w14:paraId="009D4F16" w14:textId="77777777" w:rsidR="00432109" w:rsidRPr="003E76E7" w:rsidRDefault="00432109" w:rsidP="00C4292D">
            <w:pPr>
              <w:tabs>
                <w:tab w:val="left" w:pos="709"/>
              </w:tabs>
              <w:spacing w:before="0" w:after="0"/>
              <w:rPr>
                <w:rFonts w:ascii="Arial" w:hAnsi="Arial"/>
                <w:color w:val="000000"/>
                <w:sz w:val="15"/>
                <w:szCs w:val="15"/>
              </w:rPr>
            </w:pPr>
          </w:p>
        </w:tc>
        <w:tc>
          <w:tcPr>
            <w:tcW w:w="3144" w:type="dxa"/>
            <w:tcBorders>
              <w:top w:val="single" w:sz="4" w:space="0" w:color="auto"/>
              <w:left w:val="single" w:sz="4" w:space="0" w:color="auto"/>
              <w:bottom w:val="single" w:sz="4" w:space="0" w:color="auto"/>
              <w:right w:val="single" w:sz="4" w:space="0" w:color="auto"/>
            </w:tcBorders>
          </w:tcPr>
          <w:p w14:paraId="2DEFA834" w14:textId="2BAFACCD" w:rsidR="00432109" w:rsidRPr="003E76E7" w:rsidRDefault="00432109" w:rsidP="00C4292D">
            <w:pPr>
              <w:autoSpaceDE w:val="0"/>
              <w:autoSpaceDN w:val="0"/>
              <w:adjustRightInd w:val="0"/>
              <w:spacing w:before="60" w:after="0"/>
              <w:rPr>
                <w:rFonts w:ascii="Arial" w:hAnsi="Arial"/>
                <w:sz w:val="15"/>
                <w:szCs w:val="15"/>
                <w:lang w:val="en-AU"/>
              </w:rPr>
            </w:pPr>
            <w:r w:rsidRPr="003E76E7">
              <w:rPr>
                <w:rFonts w:ascii="Arial" w:hAnsi="Arial"/>
                <w:sz w:val="15"/>
                <w:szCs w:val="15"/>
                <w:lang w:val="en-AU"/>
              </w:rPr>
              <w:t xml:space="preserve">7.1: Defence strengthens the sovereign defence industrial base through investment and domestic manufacture. </w:t>
            </w:r>
          </w:p>
        </w:tc>
        <w:tc>
          <w:tcPr>
            <w:tcW w:w="3406" w:type="dxa"/>
            <w:tcBorders>
              <w:top w:val="single" w:sz="4" w:space="0" w:color="auto"/>
              <w:left w:val="single" w:sz="4" w:space="0" w:color="auto"/>
              <w:bottom w:val="single" w:sz="4" w:space="0" w:color="auto"/>
              <w:right w:val="single" w:sz="4" w:space="0" w:color="auto"/>
            </w:tcBorders>
          </w:tcPr>
          <w:p w14:paraId="1CD89A9B" w14:textId="10AC86BD" w:rsidR="00432109" w:rsidRPr="003E76E7" w:rsidRDefault="00432109" w:rsidP="00C4292D">
            <w:pPr>
              <w:spacing w:before="0" w:after="60"/>
              <w:rPr>
                <w:rFonts w:ascii="Arial" w:hAnsi="Arial"/>
                <w:color w:val="000000"/>
                <w:sz w:val="15"/>
                <w:szCs w:val="15"/>
              </w:rPr>
            </w:pPr>
            <w:r w:rsidRPr="003E76E7">
              <w:rPr>
                <w:rFonts w:ascii="Arial" w:hAnsi="Arial"/>
                <w:color w:val="000000"/>
                <w:sz w:val="15"/>
                <w:szCs w:val="15"/>
                <w:lang w:val="en-AU"/>
              </w:rPr>
              <w:t xml:space="preserve">Defence awards </w:t>
            </w:r>
            <w:r w:rsidRPr="003E76E7">
              <w:rPr>
                <w:rFonts w:ascii="Arial" w:hAnsi="Arial"/>
                <w:color w:val="000000"/>
                <w:sz w:val="15"/>
                <w:szCs w:val="15"/>
              </w:rPr>
              <w:t xml:space="preserve">95 per cent or more of the Defence Industry Development Grant Program budgeted allocation; increases the number of companies exporting and value of exports; increases the direct economic contribution to the Australian economy; maintains investment in innovation, science and technology to deliver defence priorities; commences manufacture of Guided Multiple Launch Rocket System by </w:t>
            </w:r>
            <w:r w:rsidRPr="003E76E7">
              <w:rPr>
                <w:rFonts w:ascii="Arial" w:hAnsi="Arial"/>
                <w:color w:val="000000"/>
                <w:sz w:val="15"/>
                <w:szCs w:val="15"/>
              </w:rPr>
              <w:br/>
              <w:t>31 December 2025; and meets industrial uplift milestones for the Continuous Naval Shipbuilding Program.</w:t>
            </w:r>
          </w:p>
          <w:p w14:paraId="59A3A592" w14:textId="18A8245A" w:rsidR="00432109" w:rsidRPr="00D013CE" w:rsidRDefault="00D013CE" w:rsidP="00C4292D">
            <w:pPr>
              <w:tabs>
                <w:tab w:val="left" w:pos="709"/>
              </w:tabs>
              <w:spacing w:before="60" w:after="60"/>
              <w:jc w:val="right"/>
              <w:rPr>
                <w:rFonts w:ascii="Arial" w:hAnsi="Arial"/>
                <w:sz w:val="15"/>
                <w:szCs w:val="15"/>
                <w:lang w:val="en-AU"/>
              </w:rPr>
            </w:pPr>
            <w:r w:rsidRPr="00D013CE">
              <w:rPr>
                <w:rFonts w:ascii="Arial" w:hAnsi="Arial"/>
                <w:i/>
                <w:sz w:val="15"/>
                <w:szCs w:val="15"/>
              </w:rPr>
              <w:t>Expected to be partially achieved.</w:t>
            </w:r>
          </w:p>
        </w:tc>
      </w:tr>
      <w:tr w:rsidR="0084135C" w:rsidRPr="003E76E7" w14:paraId="33934B13" w14:textId="77777777" w:rsidTr="0084135C">
        <w:trPr>
          <w:trHeight w:val="258"/>
        </w:trPr>
        <w:tc>
          <w:tcPr>
            <w:tcW w:w="1951" w:type="dxa"/>
            <w:tcBorders>
              <w:top w:val="single" w:sz="4" w:space="0" w:color="auto"/>
              <w:left w:val="single" w:sz="4" w:space="0" w:color="auto"/>
              <w:bottom w:val="single" w:sz="4" w:space="0" w:color="auto"/>
              <w:right w:val="single" w:sz="4" w:space="0" w:color="auto"/>
            </w:tcBorders>
          </w:tcPr>
          <w:p w14:paraId="6FF71765" w14:textId="77777777" w:rsidR="0084135C" w:rsidRPr="003E76E7" w:rsidRDefault="0084135C" w:rsidP="00C4292D">
            <w:pPr>
              <w:tabs>
                <w:tab w:val="left" w:pos="709"/>
              </w:tabs>
              <w:spacing w:before="60" w:after="60"/>
              <w:rPr>
                <w:rFonts w:ascii="Arial" w:hAnsi="Arial"/>
                <w:b/>
                <w:color w:val="000000"/>
                <w:sz w:val="15"/>
                <w:szCs w:val="15"/>
              </w:rPr>
            </w:pPr>
            <w:r w:rsidRPr="003E76E7">
              <w:rPr>
                <w:rFonts w:ascii="Arial" w:hAnsi="Arial"/>
                <w:b/>
                <w:color w:val="000000"/>
                <w:sz w:val="15"/>
                <w:szCs w:val="15"/>
              </w:rPr>
              <w:t>Year</w:t>
            </w:r>
          </w:p>
        </w:tc>
        <w:tc>
          <w:tcPr>
            <w:tcW w:w="3144" w:type="dxa"/>
            <w:tcBorders>
              <w:top w:val="single" w:sz="4" w:space="0" w:color="auto"/>
              <w:left w:val="single" w:sz="4" w:space="0" w:color="auto"/>
              <w:bottom w:val="single" w:sz="4" w:space="0" w:color="auto"/>
              <w:right w:val="single" w:sz="4" w:space="0" w:color="auto"/>
            </w:tcBorders>
          </w:tcPr>
          <w:p w14:paraId="7549622B" w14:textId="0B0F2E7F" w:rsidR="0084135C" w:rsidRPr="003E76E7" w:rsidRDefault="0084135C" w:rsidP="00C4292D">
            <w:pPr>
              <w:tabs>
                <w:tab w:val="left" w:pos="709"/>
                <w:tab w:val="center" w:pos="1818"/>
              </w:tabs>
              <w:spacing w:before="60" w:after="60"/>
              <w:rPr>
                <w:rFonts w:ascii="Arial" w:hAnsi="Arial"/>
                <w:b/>
                <w:color w:val="000000"/>
                <w:sz w:val="15"/>
                <w:szCs w:val="15"/>
              </w:rPr>
            </w:pPr>
            <w:r w:rsidRPr="003E76E7">
              <w:rPr>
                <w:rFonts w:ascii="Arial" w:hAnsi="Arial"/>
                <w:b/>
                <w:color w:val="000000"/>
                <w:sz w:val="15"/>
                <w:szCs w:val="15"/>
              </w:rPr>
              <w:t>Performance Measures</w:t>
            </w:r>
          </w:p>
        </w:tc>
        <w:tc>
          <w:tcPr>
            <w:tcW w:w="3406" w:type="dxa"/>
            <w:tcBorders>
              <w:top w:val="single" w:sz="4" w:space="0" w:color="auto"/>
              <w:left w:val="single" w:sz="4" w:space="0" w:color="auto"/>
              <w:bottom w:val="single" w:sz="4" w:space="0" w:color="auto"/>
              <w:right w:val="single" w:sz="4" w:space="0" w:color="auto"/>
            </w:tcBorders>
          </w:tcPr>
          <w:p w14:paraId="1B47FBCB" w14:textId="77777777" w:rsidR="0084135C" w:rsidRPr="003E76E7" w:rsidRDefault="0084135C" w:rsidP="00C4292D">
            <w:pPr>
              <w:tabs>
                <w:tab w:val="left" w:pos="709"/>
              </w:tabs>
              <w:spacing w:before="60" w:after="60"/>
              <w:rPr>
                <w:rFonts w:ascii="Arial" w:hAnsi="Arial"/>
                <w:b/>
                <w:color w:val="000000"/>
                <w:sz w:val="15"/>
                <w:szCs w:val="15"/>
              </w:rPr>
            </w:pPr>
            <w:r w:rsidRPr="003E76E7">
              <w:rPr>
                <w:rFonts w:ascii="Arial" w:hAnsi="Arial"/>
                <w:b/>
                <w:color w:val="000000"/>
                <w:sz w:val="15"/>
                <w:szCs w:val="15"/>
              </w:rPr>
              <w:t>Planned Performance Results</w:t>
            </w:r>
          </w:p>
        </w:tc>
      </w:tr>
      <w:tr w:rsidR="00C4447C" w:rsidRPr="003E76E7" w14:paraId="650D110E" w14:textId="77777777" w:rsidTr="0084135C">
        <w:trPr>
          <w:trHeight w:val="642"/>
        </w:trPr>
        <w:tc>
          <w:tcPr>
            <w:tcW w:w="1951" w:type="dxa"/>
            <w:vMerge w:val="restart"/>
            <w:tcBorders>
              <w:top w:val="single" w:sz="4" w:space="0" w:color="auto"/>
              <w:left w:val="single" w:sz="4" w:space="0" w:color="auto"/>
              <w:right w:val="single" w:sz="4" w:space="0" w:color="auto"/>
            </w:tcBorders>
          </w:tcPr>
          <w:p w14:paraId="2F12305D" w14:textId="77777777" w:rsidR="00C4447C" w:rsidRPr="003E76E7" w:rsidRDefault="00C4447C" w:rsidP="00C4292D">
            <w:pPr>
              <w:tabs>
                <w:tab w:val="left" w:pos="709"/>
              </w:tabs>
              <w:spacing w:before="0" w:after="0"/>
              <w:rPr>
                <w:rFonts w:ascii="Arial" w:hAnsi="Arial"/>
                <w:color w:val="000000"/>
                <w:sz w:val="15"/>
                <w:szCs w:val="15"/>
              </w:rPr>
            </w:pPr>
            <w:r w:rsidRPr="003E76E7">
              <w:rPr>
                <w:rFonts w:ascii="Arial" w:hAnsi="Arial"/>
                <w:color w:val="000000"/>
                <w:sz w:val="15"/>
                <w:szCs w:val="15"/>
              </w:rPr>
              <w:t>Budget Year</w:t>
            </w:r>
          </w:p>
          <w:p w14:paraId="144B2566" w14:textId="48DD611B" w:rsidR="00C4447C" w:rsidRPr="003E76E7" w:rsidRDefault="00C4447C" w:rsidP="00C4292D">
            <w:pPr>
              <w:tabs>
                <w:tab w:val="left" w:pos="709"/>
              </w:tabs>
              <w:spacing w:before="0" w:after="0"/>
              <w:rPr>
                <w:rFonts w:ascii="Arial" w:hAnsi="Arial"/>
                <w:color w:val="000000"/>
                <w:sz w:val="15"/>
                <w:szCs w:val="15"/>
              </w:rPr>
            </w:pPr>
            <w:r w:rsidRPr="003E76E7">
              <w:rPr>
                <w:rFonts w:ascii="Arial" w:hAnsi="Arial"/>
                <w:color w:val="000000"/>
                <w:sz w:val="15"/>
                <w:szCs w:val="15"/>
              </w:rPr>
              <w:t xml:space="preserve">2026-27 </w:t>
            </w:r>
            <w:r w:rsidRPr="003E76E7">
              <w:rPr>
                <w:rFonts w:ascii="Arial" w:hAnsi="Arial"/>
                <w:color w:val="000000"/>
                <w:sz w:val="15"/>
                <w:szCs w:val="15"/>
                <w:vertAlign w:val="superscript"/>
              </w:rPr>
              <w:t>[c]</w:t>
            </w:r>
          </w:p>
        </w:tc>
        <w:tc>
          <w:tcPr>
            <w:tcW w:w="3144" w:type="dxa"/>
            <w:tcBorders>
              <w:top w:val="single" w:sz="4" w:space="0" w:color="auto"/>
              <w:left w:val="single" w:sz="4" w:space="0" w:color="auto"/>
              <w:bottom w:val="single" w:sz="4" w:space="0" w:color="auto"/>
              <w:right w:val="single" w:sz="4" w:space="0" w:color="auto"/>
            </w:tcBorders>
          </w:tcPr>
          <w:p w14:paraId="21E663DF" w14:textId="40AA4C5B" w:rsidR="00C4447C" w:rsidRPr="003E76E7" w:rsidRDefault="00C4447C" w:rsidP="00C4292D">
            <w:pPr>
              <w:tabs>
                <w:tab w:val="left" w:pos="709"/>
              </w:tabs>
              <w:spacing w:before="60" w:after="60"/>
              <w:rPr>
                <w:rFonts w:ascii="Arial" w:hAnsi="Arial"/>
                <w:sz w:val="15"/>
                <w:szCs w:val="15"/>
                <w:lang w:val="en-AU"/>
              </w:rPr>
            </w:pPr>
            <w:r w:rsidRPr="003E76E7">
              <w:rPr>
                <w:rFonts w:ascii="Arial" w:hAnsi="Arial"/>
                <w:sz w:val="15"/>
                <w:szCs w:val="15"/>
                <w:lang w:val="en-AU"/>
              </w:rPr>
              <w:t>4.1: Defence recruits and retains an ADF and APS workforce to support the Defence mission.</w:t>
            </w:r>
          </w:p>
        </w:tc>
        <w:tc>
          <w:tcPr>
            <w:tcW w:w="3406" w:type="dxa"/>
            <w:tcBorders>
              <w:top w:val="single" w:sz="4" w:space="0" w:color="auto"/>
              <w:left w:val="single" w:sz="4" w:space="0" w:color="auto"/>
              <w:bottom w:val="single" w:sz="4" w:space="0" w:color="auto"/>
              <w:right w:val="single" w:sz="4" w:space="0" w:color="auto"/>
            </w:tcBorders>
          </w:tcPr>
          <w:p w14:paraId="1E9213C4" w14:textId="60401DEB" w:rsidR="00C4447C" w:rsidRPr="003E76E7" w:rsidRDefault="00C4447C" w:rsidP="00C4292D">
            <w:pPr>
              <w:tabs>
                <w:tab w:val="left" w:pos="709"/>
              </w:tabs>
              <w:spacing w:before="60" w:after="60"/>
              <w:rPr>
                <w:rFonts w:ascii="Arial" w:hAnsi="Arial"/>
                <w:sz w:val="15"/>
                <w:szCs w:val="15"/>
                <w:lang w:val="en-AU"/>
              </w:rPr>
            </w:pPr>
            <w:r w:rsidRPr="003E76E7">
              <w:rPr>
                <w:rFonts w:ascii="Arial" w:hAnsi="Arial"/>
                <w:sz w:val="15"/>
                <w:szCs w:val="15"/>
              </w:rPr>
              <w:t>Defence achieves the ADF and APS Budgeted Workforce Requirement as set out in the Portfolio Budget Statements and the net flow of the ADF and APS workforce over a 12 month period is trending positive and is positioning Defence to achieve the Budgeted Workforce Requirement over the Forward Estimates.</w:t>
            </w:r>
          </w:p>
        </w:tc>
      </w:tr>
      <w:tr w:rsidR="00C4447C" w:rsidRPr="003E76E7" w14:paraId="624C4304" w14:textId="77777777" w:rsidTr="0084135C">
        <w:trPr>
          <w:trHeight w:val="642"/>
        </w:trPr>
        <w:tc>
          <w:tcPr>
            <w:tcW w:w="1951" w:type="dxa"/>
            <w:vMerge/>
            <w:tcBorders>
              <w:left w:val="single" w:sz="4" w:space="0" w:color="auto"/>
              <w:right w:val="single" w:sz="4" w:space="0" w:color="auto"/>
            </w:tcBorders>
          </w:tcPr>
          <w:p w14:paraId="3D8CB089" w14:textId="77777777" w:rsidR="00C4447C" w:rsidRPr="003E76E7" w:rsidRDefault="00C4447C" w:rsidP="00C4292D">
            <w:pPr>
              <w:tabs>
                <w:tab w:val="left" w:pos="709"/>
              </w:tabs>
              <w:spacing w:before="0" w:after="0"/>
              <w:rPr>
                <w:rFonts w:ascii="Arial" w:hAnsi="Arial"/>
                <w:color w:val="000000"/>
                <w:sz w:val="15"/>
                <w:szCs w:val="15"/>
              </w:rPr>
            </w:pPr>
          </w:p>
        </w:tc>
        <w:tc>
          <w:tcPr>
            <w:tcW w:w="3144" w:type="dxa"/>
            <w:tcBorders>
              <w:top w:val="single" w:sz="4" w:space="0" w:color="auto"/>
              <w:left w:val="single" w:sz="4" w:space="0" w:color="auto"/>
              <w:bottom w:val="single" w:sz="4" w:space="0" w:color="auto"/>
              <w:right w:val="single" w:sz="4" w:space="0" w:color="auto"/>
            </w:tcBorders>
          </w:tcPr>
          <w:p w14:paraId="595D5AC0" w14:textId="16C89891" w:rsidR="00C4447C" w:rsidRPr="003E76E7" w:rsidRDefault="00C4447C" w:rsidP="00C4292D">
            <w:pPr>
              <w:tabs>
                <w:tab w:val="left" w:pos="709"/>
              </w:tabs>
              <w:spacing w:before="60" w:after="60"/>
              <w:rPr>
                <w:rFonts w:ascii="Arial" w:hAnsi="Arial"/>
                <w:sz w:val="15"/>
                <w:szCs w:val="15"/>
                <w:lang w:val="en-AU"/>
              </w:rPr>
            </w:pPr>
            <w:r w:rsidRPr="003E76E7">
              <w:rPr>
                <w:rFonts w:ascii="Arial" w:hAnsi="Arial"/>
                <w:sz w:val="15"/>
                <w:szCs w:val="15"/>
                <w:lang w:val="en-AU"/>
              </w:rPr>
              <w:t>4.2: Defence grows the necessary skills and capabilities to enable the Defence mission.</w:t>
            </w:r>
          </w:p>
        </w:tc>
        <w:tc>
          <w:tcPr>
            <w:tcW w:w="3406" w:type="dxa"/>
            <w:tcBorders>
              <w:top w:val="single" w:sz="4" w:space="0" w:color="auto"/>
              <w:left w:val="single" w:sz="4" w:space="0" w:color="auto"/>
              <w:bottom w:val="single" w:sz="4" w:space="0" w:color="auto"/>
              <w:right w:val="single" w:sz="4" w:space="0" w:color="auto"/>
            </w:tcBorders>
          </w:tcPr>
          <w:p w14:paraId="6D6F4F90" w14:textId="28919E23" w:rsidR="00C4447C" w:rsidRPr="003E76E7" w:rsidRDefault="00C4447C" w:rsidP="00C4292D">
            <w:pPr>
              <w:tabs>
                <w:tab w:val="left" w:pos="709"/>
              </w:tabs>
              <w:spacing w:before="60" w:after="60"/>
              <w:rPr>
                <w:rFonts w:ascii="Arial" w:hAnsi="Arial"/>
                <w:sz w:val="15"/>
                <w:szCs w:val="15"/>
                <w:lang w:val="en-AU"/>
              </w:rPr>
            </w:pPr>
            <w:r w:rsidRPr="003E76E7">
              <w:rPr>
                <w:rFonts w:ascii="Arial" w:hAnsi="Arial"/>
                <w:sz w:val="15"/>
                <w:szCs w:val="15"/>
                <w:lang w:val="en-AU"/>
              </w:rPr>
              <w:t>The Defence workforce has the technical skills required to deliver the National Defence Strategy, as measured through achieving a full workforce against each of the ADF and APS Strategic Workforce Segments, the net flow of the ADF and APS Strategic Workforce Segments over the financial year, measured against the Budgeted Workforce Requirement, will enable Defence to achieve its future technical skill requirements, and the Australian Submarine Agency are staffed with the required ADF personnel to deliver the Nuclear-Powered Submarine Program.</w:t>
            </w:r>
          </w:p>
        </w:tc>
      </w:tr>
      <w:tr w:rsidR="00C4447C" w:rsidRPr="003E76E7" w14:paraId="3EAEE617" w14:textId="77777777" w:rsidTr="0084135C">
        <w:trPr>
          <w:trHeight w:val="642"/>
        </w:trPr>
        <w:tc>
          <w:tcPr>
            <w:tcW w:w="1951" w:type="dxa"/>
            <w:vMerge/>
            <w:tcBorders>
              <w:left w:val="single" w:sz="4" w:space="0" w:color="auto"/>
              <w:right w:val="single" w:sz="4" w:space="0" w:color="auto"/>
            </w:tcBorders>
          </w:tcPr>
          <w:p w14:paraId="6DB9CB85" w14:textId="77777777" w:rsidR="00C4447C" w:rsidRPr="003E76E7" w:rsidRDefault="00C4447C" w:rsidP="00C4292D">
            <w:pPr>
              <w:tabs>
                <w:tab w:val="left" w:pos="709"/>
              </w:tabs>
              <w:spacing w:before="0" w:after="0"/>
              <w:rPr>
                <w:rFonts w:ascii="Arial" w:hAnsi="Arial"/>
                <w:color w:val="000000"/>
                <w:sz w:val="15"/>
                <w:szCs w:val="15"/>
              </w:rPr>
            </w:pPr>
          </w:p>
        </w:tc>
        <w:tc>
          <w:tcPr>
            <w:tcW w:w="3144" w:type="dxa"/>
            <w:tcBorders>
              <w:top w:val="single" w:sz="4" w:space="0" w:color="auto"/>
              <w:left w:val="single" w:sz="4" w:space="0" w:color="auto"/>
              <w:bottom w:val="single" w:sz="4" w:space="0" w:color="auto"/>
              <w:right w:val="single" w:sz="4" w:space="0" w:color="auto"/>
            </w:tcBorders>
          </w:tcPr>
          <w:p w14:paraId="0BC1AF8C" w14:textId="737782AF" w:rsidR="00C4447C" w:rsidRPr="003E76E7" w:rsidRDefault="00C4447C" w:rsidP="00C4292D">
            <w:pPr>
              <w:tabs>
                <w:tab w:val="left" w:pos="709"/>
              </w:tabs>
              <w:spacing w:before="60" w:after="60"/>
              <w:rPr>
                <w:rFonts w:ascii="Arial" w:hAnsi="Arial"/>
                <w:sz w:val="15"/>
                <w:szCs w:val="15"/>
                <w:lang w:val="en-AU"/>
              </w:rPr>
            </w:pPr>
            <w:r w:rsidRPr="003E76E7">
              <w:rPr>
                <w:rFonts w:ascii="Arial" w:hAnsi="Arial"/>
                <w:sz w:val="15"/>
                <w:szCs w:val="15"/>
                <w:lang w:val="en-AU"/>
              </w:rPr>
              <w:t>4.3: The Defence values and behaviours enable our people to deliver against the Defence mission.</w:t>
            </w:r>
          </w:p>
        </w:tc>
        <w:tc>
          <w:tcPr>
            <w:tcW w:w="3406" w:type="dxa"/>
            <w:tcBorders>
              <w:top w:val="single" w:sz="4" w:space="0" w:color="auto"/>
              <w:left w:val="single" w:sz="4" w:space="0" w:color="auto"/>
              <w:bottom w:val="single" w:sz="4" w:space="0" w:color="auto"/>
              <w:right w:val="single" w:sz="4" w:space="0" w:color="auto"/>
            </w:tcBorders>
          </w:tcPr>
          <w:p w14:paraId="207835A6" w14:textId="4ADD6265" w:rsidR="00C4447C" w:rsidRPr="003E76E7" w:rsidRDefault="00C4447C" w:rsidP="00C4292D">
            <w:pPr>
              <w:tabs>
                <w:tab w:val="left" w:pos="709"/>
              </w:tabs>
              <w:spacing w:before="60" w:after="60"/>
              <w:rPr>
                <w:rFonts w:ascii="Arial" w:hAnsi="Arial"/>
                <w:sz w:val="15"/>
                <w:szCs w:val="15"/>
                <w:lang w:val="en-AU"/>
              </w:rPr>
            </w:pPr>
            <w:r w:rsidRPr="003E76E7">
              <w:rPr>
                <w:rFonts w:ascii="Arial" w:hAnsi="Arial"/>
                <w:sz w:val="15"/>
                <w:szCs w:val="15"/>
              </w:rPr>
              <w:t>All ADF and Defence APS personnel believe appropriate action will be taken if they report an incident of unacceptable behaviour in the preceding 12 months, no ADF and Defence APS personnel have experienced unacceptable behaviour in the preceding 12 months, and all ADF and Defence APS personnel view that Defence values are being used in their work area.</w:t>
            </w:r>
          </w:p>
        </w:tc>
      </w:tr>
      <w:tr w:rsidR="00C4447C" w:rsidRPr="003E76E7" w14:paraId="5CCED437" w14:textId="77777777" w:rsidTr="0084135C">
        <w:trPr>
          <w:trHeight w:val="642"/>
        </w:trPr>
        <w:tc>
          <w:tcPr>
            <w:tcW w:w="1951" w:type="dxa"/>
            <w:vMerge/>
            <w:tcBorders>
              <w:left w:val="single" w:sz="4" w:space="0" w:color="auto"/>
              <w:right w:val="single" w:sz="4" w:space="0" w:color="auto"/>
            </w:tcBorders>
          </w:tcPr>
          <w:p w14:paraId="56BDD074" w14:textId="77777777" w:rsidR="00C4447C" w:rsidRPr="003E76E7" w:rsidRDefault="00C4447C" w:rsidP="00C4292D">
            <w:pPr>
              <w:tabs>
                <w:tab w:val="left" w:pos="709"/>
              </w:tabs>
              <w:spacing w:before="0" w:after="0"/>
              <w:rPr>
                <w:rFonts w:ascii="Arial" w:hAnsi="Arial"/>
                <w:color w:val="000000"/>
                <w:sz w:val="15"/>
                <w:szCs w:val="15"/>
              </w:rPr>
            </w:pPr>
          </w:p>
        </w:tc>
        <w:tc>
          <w:tcPr>
            <w:tcW w:w="3144" w:type="dxa"/>
            <w:tcBorders>
              <w:top w:val="single" w:sz="4" w:space="0" w:color="auto"/>
              <w:left w:val="single" w:sz="4" w:space="0" w:color="auto"/>
              <w:bottom w:val="single" w:sz="4" w:space="0" w:color="auto"/>
              <w:right w:val="single" w:sz="4" w:space="0" w:color="auto"/>
            </w:tcBorders>
          </w:tcPr>
          <w:p w14:paraId="4AF2D2A6" w14:textId="46502AC3" w:rsidR="00C4447C" w:rsidRPr="003E76E7" w:rsidRDefault="00C4447C" w:rsidP="00C4292D">
            <w:pPr>
              <w:tabs>
                <w:tab w:val="left" w:pos="709"/>
              </w:tabs>
              <w:spacing w:before="60" w:after="60"/>
              <w:rPr>
                <w:rFonts w:ascii="Arial" w:hAnsi="Arial"/>
                <w:sz w:val="15"/>
                <w:szCs w:val="15"/>
                <w:lang w:val="en-AU"/>
              </w:rPr>
            </w:pPr>
            <w:r w:rsidRPr="003E76E7">
              <w:rPr>
                <w:rFonts w:ascii="Arial" w:hAnsi="Arial"/>
                <w:sz w:val="15"/>
                <w:szCs w:val="15"/>
                <w:lang w:val="en-AU"/>
              </w:rPr>
              <w:t>4.4: Defence supports ADF members and their families by providing access to support services and programs having regard to lifetime wellbeing.</w:t>
            </w:r>
          </w:p>
        </w:tc>
        <w:tc>
          <w:tcPr>
            <w:tcW w:w="3406" w:type="dxa"/>
            <w:tcBorders>
              <w:top w:val="single" w:sz="4" w:space="0" w:color="auto"/>
              <w:left w:val="single" w:sz="4" w:space="0" w:color="auto"/>
              <w:bottom w:val="single" w:sz="4" w:space="0" w:color="auto"/>
              <w:right w:val="single" w:sz="4" w:space="0" w:color="auto"/>
            </w:tcBorders>
          </w:tcPr>
          <w:p w14:paraId="60880258" w14:textId="0C8563D1" w:rsidR="00C4447C" w:rsidRPr="003E76E7" w:rsidRDefault="00C4447C" w:rsidP="00C4292D">
            <w:pPr>
              <w:tabs>
                <w:tab w:val="left" w:pos="709"/>
              </w:tabs>
              <w:spacing w:before="60" w:after="60"/>
              <w:rPr>
                <w:rFonts w:ascii="Arial" w:hAnsi="Arial"/>
                <w:sz w:val="15"/>
                <w:szCs w:val="15"/>
                <w:lang w:val="en-AU"/>
              </w:rPr>
            </w:pPr>
            <w:r w:rsidRPr="003E76E7">
              <w:rPr>
                <w:rFonts w:ascii="Arial" w:hAnsi="Arial"/>
                <w:sz w:val="15"/>
                <w:szCs w:val="15"/>
                <w:lang w:val="en-AU"/>
              </w:rPr>
              <w:t xml:space="preserve">At least 75 per cent of eligible full-time ADF members and their families are registered with the ADF Family Health Program, 100 per cent of the support services of the Partner Assistance Employment Program, Education Assistance Scheme, and Special Accommodation for Emergencies Scheme are provided to full-time ADF and their families in accordance with identified service delivery timeframes, there is an increase in the percentage of Defence suicide prevention training participants who assess that the training is practical, tailored and informed by lived experience, and 100 per cent of </w:t>
            </w:r>
            <w:r w:rsidRPr="003E76E7">
              <w:rPr>
                <w:rFonts w:ascii="Arial" w:hAnsi="Arial"/>
                <w:sz w:val="15"/>
                <w:szCs w:val="15"/>
                <w:lang w:val="en-AU"/>
              </w:rPr>
              <w:br/>
              <w:t>Defence-led, Government-agreed recommendations from the Royal Commission into Defence and Veteran Suicide Final Report are complete, or on-track.</w:t>
            </w:r>
          </w:p>
        </w:tc>
      </w:tr>
    </w:tbl>
    <w:p w14:paraId="41A1814E" w14:textId="77777777" w:rsidR="0084135C" w:rsidRPr="003E76E7" w:rsidRDefault="0084135C" w:rsidP="00C4292D">
      <w:pPr>
        <w:rPr>
          <w:rFonts w:ascii="Arial" w:hAnsi="Arial"/>
          <w:sz w:val="15"/>
          <w:szCs w:val="15"/>
        </w:rPr>
      </w:pPr>
      <w:r w:rsidRPr="003E76E7">
        <w:rPr>
          <w:rFonts w:ascii="Arial" w:hAnsi="Arial"/>
          <w:sz w:val="15"/>
          <w:szCs w:val="15"/>
        </w:rPr>
        <w:br w:type="page"/>
      </w:r>
    </w:p>
    <w:tbl>
      <w:tblPr>
        <w:tblW w:w="497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144"/>
        <w:gridCol w:w="3406"/>
      </w:tblGrid>
      <w:tr w:rsidR="00432109" w:rsidRPr="003E76E7" w14:paraId="66F6D606" w14:textId="77777777" w:rsidTr="001D6B09">
        <w:trPr>
          <w:trHeight w:val="132"/>
        </w:trPr>
        <w:tc>
          <w:tcPr>
            <w:tcW w:w="1951" w:type="dxa"/>
            <w:tcBorders>
              <w:left w:val="single" w:sz="4" w:space="0" w:color="auto"/>
              <w:right w:val="single" w:sz="4" w:space="0" w:color="auto"/>
            </w:tcBorders>
          </w:tcPr>
          <w:p w14:paraId="7460D18D" w14:textId="7AF860D3" w:rsidR="00432109" w:rsidRPr="003E76E7" w:rsidRDefault="00432109" w:rsidP="00C4292D">
            <w:pPr>
              <w:tabs>
                <w:tab w:val="left" w:pos="709"/>
              </w:tabs>
              <w:spacing w:before="0" w:after="0"/>
              <w:rPr>
                <w:rFonts w:ascii="Arial" w:hAnsi="Arial"/>
                <w:color w:val="000000"/>
                <w:sz w:val="15"/>
                <w:szCs w:val="15"/>
              </w:rPr>
            </w:pPr>
            <w:r w:rsidRPr="003E76E7">
              <w:rPr>
                <w:rFonts w:ascii="Arial" w:hAnsi="Arial"/>
                <w:b/>
                <w:color w:val="000000"/>
                <w:sz w:val="15"/>
                <w:szCs w:val="15"/>
              </w:rPr>
              <w:lastRenderedPageBreak/>
              <w:t>Year</w:t>
            </w:r>
          </w:p>
        </w:tc>
        <w:tc>
          <w:tcPr>
            <w:tcW w:w="3144" w:type="dxa"/>
            <w:tcBorders>
              <w:top w:val="single" w:sz="4" w:space="0" w:color="auto"/>
              <w:left w:val="single" w:sz="4" w:space="0" w:color="auto"/>
              <w:bottom w:val="single" w:sz="4" w:space="0" w:color="auto"/>
              <w:right w:val="single" w:sz="4" w:space="0" w:color="auto"/>
            </w:tcBorders>
          </w:tcPr>
          <w:p w14:paraId="4153FC38" w14:textId="25A77A23" w:rsidR="00432109" w:rsidRPr="003E76E7" w:rsidRDefault="00432109" w:rsidP="00C4292D">
            <w:pPr>
              <w:tabs>
                <w:tab w:val="left" w:pos="709"/>
              </w:tabs>
              <w:spacing w:before="60" w:after="60"/>
              <w:rPr>
                <w:rFonts w:ascii="Arial" w:hAnsi="Arial"/>
                <w:sz w:val="15"/>
                <w:szCs w:val="15"/>
                <w:lang w:val="en-AU"/>
              </w:rPr>
            </w:pPr>
            <w:r w:rsidRPr="003E76E7">
              <w:rPr>
                <w:rFonts w:ascii="Arial" w:hAnsi="Arial"/>
                <w:b/>
                <w:color w:val="000000"/>
                <w:sz w:val="15"/>
                <w:szCs w:val="15"/>
              </w:rPr>
              <w:t>Performance Measures</w:t>
            </w:r>
          </w:p>
        </w:tc>
        <w:tc>
          <w:tcPr>
            <w:tcW w:w="3406" w:type="dxa"/>
            <w:tcBorders>
              <w:top w:val="single" w:sz="4" w:space="0" w:color="auto"/>
              <w:left w:val="single" w:sz="4" w:space="0" w:color="auto"/>
              <w:bottom w:val="single" w:sz="4" w:space="0" w:color="auto"/>
              <w:right w:val="single" w:sz="4" w:space="0" w:color="auto"/>
            </w:tcBorders>
          </w:tcPr>
          <w:p w14:paraId="4DFFBCB2" w14:textId="25055161" w:rsidR="00432109" w:rsidRPr="003E76E7" w:rsidRDefault="00432109" w:rsidP="00C4292D">
            <w:pPr>
              <w:tabs>
                <w:tab w:val="left" w:pos="709"/>
              </w:tabs>
              <w:spacing w:before="60" w:after="60"/>
              <w:rPr>
                <w:rFonts w:ascii="Arial" w:hAnsi="Arial"/>
                <w:sz w:val="15"/>
                <w:szCs w:val="15"/>
                <w:lang w:val="en-AU"/>
              </w:rPr>
            </w:pPr>
            <w:r w:rsidRPr="003E76E7">
              <w:rPr>
                <w:rFonts w:ascii="Arial" w:hAnsi="Arial"/>
                <w:b/>
                <w:color w:val="000000"/>
                <w:sz w:val="15"/>
                <w:szCs w:val="15"/>
              </w:rPr>
              <w:t>Planned Performance Results</w:t>
            </w:r>
          </w:p>
        </w:tc>
      </w:tr>
      <w:tr w:rsidR="00432109" w:rsidRPr="003E76E7" w14:paraId="1F86491C" w14:textId="77777777" w:rsidTr="0084135C">
        <w:trPr>
          <w:trHeight w:val="642"/>
        </w:trPr>
        <w:tc>
          <w:tcPr>
            <w:tcW w:w="1951" w:type="dxa"/>
            <w:vMerge w:val="restart"/>
            <w:tcBorders>
              <w:left w:val="single" w:sz="4" w:space="0" w:color="auto"/>
              <w:right w:val="single" w:sz="4" w:space="0" w:color="auto"/>
            </w:tcBorders>
          </w:tcPr>
          <w:p w14:paraId="47CEFBB6" w14:textId="77777777" w:rsidR="00432109" w:rsidRPr="003E76E7" w:rsidRDefault="00432109" w:rsidP="00C4292D">
            <w:pPr>
              <w:tabs>
                <w:tab w:val="left" w:pos="709"/>
              </w:tabs>
              <w:spacing w:before="0" w:after="0"/>
              <w:rPr>
                <w:rFonts w:ascii="Arial" w:hAnsi="Arial"/>
                <w:color w:val="000000"/>
                <w:sz w:val="15"/>
                <w:szCs w:val="15"/>
              </w:rPr>
            </w:pPr>
            <w:r w:rsidRPr="003E76E7">
              <w:rPr>
                <w:rFonts w:ascii="Arial" w:hAnsi="Arial"/>
                <w:color w:val="000000"/>
                <w:sz w:val="15"/>
                <w:szCs w:val="15"/>
              </w:rPr>
              <w:t>Budget Year</w:t>
            </w:r>
          </w:p>
          <w:p w14:paraId="7736AD38" w14:textId="6FE31CA7" w:rsidR="00432109" w:rsidRPr="003E76E7" w:rsidRDefault="00432109" w:rsidP="00C4292D">
            <w:pPr>
              <w:tabs>
                <w:tab w:val="left" w:pos="709"/>
              </w:tabs>
              <w:spacing w:before="0" w:after="0"/>
              <w:rPr>
                <w:rFonts w:ascii="Arial" w:hAnsi="Arial"/>
                <w:color w:val="000000"/>
                <w:sz w:val="15"/>
                <w:szCs w:val="15"/>
              </w:rPr>
            </w:pPr>
            <w:r w:rsidRPr="003E76E7">
              <w:rPr>
                <w:rFonts w:ascii="Arial" w:hAnsi="Arial"/>
                <w:color w:val="000000"/>
                <w:sz w:val="15"/>
                <w:szCs w:val="15"/>
              </w:rPr>
              <w:t xml:space="preserve">2026-27 </w:t>
            </w:r>
            <w:r w:rsidRPr="003E76E7">
              <w:rPr>
                <w:rFonts w:ascii="Arial" w:hAnsi="Arial"/>
                <w:color w:val="000000"/>
                <w:sz w:val="15"/>
                <w:szCs w:val="15"/>
                <w:vertAlign w:val="superscript"/>
              </w:rPr>
              <w:t>[</w:t>
            </w:r>
            <w:r w:rsidR="00C4447C" w:rsidRPr="003E76E7">
              <w:rPr>
                <w:rFonts w:ascii="Arial" w:hAnsi="Arial"/>
                <w:color w:val="000000"/>
                <w:sz w:val="15"/>
                <w:szCs w:val="15"/>
                <w:vertAlign w:val="superscript"/>
              </w:rPr>
              <w:t>c</w:t>
            </w:r>
            <w:r w:rsidRPr="003E76E7">
              <w:rPr>
                <w:rFonts w:ascii="Arial" w:hAnsi="Arial"/>
                <w:color w:val="000000"/>
                <w:sz w:val="15"/>
                <w:szCs w:val="15"/>
                <w:vertAlign w:val="superscript"/>
              </w:rPr>
              <w:t>]</w:t>
            </w:r>
          </w:p>
        </w:tc>
        <w:tc>
          <w:tcPr>
            <w:tcW w:w="3144" w:type="dxa"/>
            <w:tcBorders>
              <w:top w:val="single" w:sz="4" w:space="0" w:color="auto"/>
              <w:left w:val="single" w:sz="4" w:space="0" w:color="auto"/>
              <w:bottom w:val="single" w:sz="4" w:space="0" w:color="auto"/>
              <w:right w:val="single" w:sz="4" w:space="0" w:color="auto"/>
            </w:tcBorders>
          </w:tcPr>
          <w:p w14:paraId="07A02233" w14:textId="46972D16" w:rsidR="00432109" w:rsidRPr="003E76E7" w:rsidRDefault="00432109" w:rsidP="00C4292D">
            <w:pPr>
              <w:tabs>
                <w:tab w:val="left" w:pos="709"/>
              </w:tabs>
              <w:spacing w:before="60" w:after="60"/>
              <w:rPr>
                <w:rFonts w:ascii="Arial" w:hAnsi="Arial"/>
                <w:sz w:val="15"/>
                <w:szCs w:val="15"/>
                <w:lang w:val="en-AU"/>
              </w:rPr>
            </w:pPr>
            <w:r w:rsidRPr="003E76E7">
              <w:rPr>
                <w:rFonts w:ascii="Arial" w:hAnsi="Arial"/>
                <w:sz w:val="15"/>
                <w:szCs w:val="15"/>
                <w:lang w:val="en-AU"/>
              </w:rPr>
              <w:t>6.1: Defence is delivering the right future capability at the right time within the Integrated Investment Program to ensure it is equipped to respond to future security challenges as directed by the National Defence Strategy.</w:t>
            </w:r>
          </w:p>
        </w:tc>
        <w:tc>
          <w:tcPr>
            <w:tcW w:w="3406" w:type="dxa"/>
            <w:tcBorders>
              <w:top w:val="single" w:sz="4" w:space="0" w:color="auto"/>
              <w:left w:val="single" w:sz="4" w:space="0" w:color="auto"/>
              <w:bottom w:val="single" w:sz="4" w:space="0" w:color="auto"/>
              <w:right w:val="single" w:sz="4" w:space="0" w:color="auto"/>
            </w:tcBorders>
          </w:tcPr>
          <w:p w14:paraId="0D2A0173" w14:textId="30A9728B" w:rsidR="00432109" w:rsidRPr="003E76E7" w:rsidRDefault="00432109" w:rsidP="00C4292D">
            <w:pPr>
              <w:tabs>
                <w:tab w:val="left" w:pos="709"/>
              </w:tabs>
              <w:spacing w:before="60" w:after="60"/>
              <w:rPr>
                <w:rFonts w:ascii="Arial" w:hAnsi="Arial"/>
                <w:sz w:val="15"/>
                <w:szCs w:val="15"/>
              </w:rPr>
            </w:pPr>
            <w:r w:rsidRPr="003E76E7">
              <w:rPr>
                <w:rFonts w:ascii="Arial" w:hAnsi="Arial"/>
                <w:sz w:val="15"/>
                <w:szCs w:val="15"/>
                <w:lang w:val="en-AU"/>
              </w:rPr>
              <w:t>80 per cent or more of approved Integrated Investment Program projects across all domains are on track to deliver within Government approved scope, schedule, and cost (including contingency).</w:t>
            </w:r>
          </w:p>
        </w:tc>
      </w:tr>
      <w:tr w:rsidR="00432109" w:rsidRPr="003E76E7" w14:paraId="0E800F08" w14:textId="77777777" w:rsidTr="0084135C">
        <w:trPr>
          <w:trHeight w:val="642"/>
        </w:trPr>
        <w:tc>
          <w:tcPr>
            <w:tcW w:w="1951" w:type="dxa"/>
            <w:vMerge/>
            <w:tcBorders>
              <w:left w:val="single" w:sz="4" w:space="0" w:color="auto"/>
              <w:bottom w:val="single" w:sz="4" w:space="0" w:color="auto"/>
              <w:right w:val="single" w:sz="4" w:space="0" w:color="auto"/>
            </w:tcBorders>
          </w:tcPr>
          <w:p w14:paraId="4BA0BBF1" w14:textId="77777777" w:rsidR="00432109" w:rsidRPr="003E76E7" w:rsidRDefault="00432109" w:rsidP="00C4292D">
            <w:pPr>
              <w:tabs>
                <w:tab w:val="left" w:pos="709"/>
              </w:tabs>
              <w:spacing w:before="0" w:after="0"/>
              <w:rPr>
                <w:rFonts w:ascii="Arial" w:hAnsi="Arial"/>
                <w:color w:val="000000"/>
                <w:sz w:val="15"/>
                <w:szCs w:val="15"/>
              </w:rPr>
            </w:pPr>
          </w:p>
        </w:tc>
        <w:tc>
          <w:tcPr>
            <w:tcW w:w="3144" w:type="dxa"/>
            <w:tcBorders>
              <w:top w:val="single" w:sz="4" w:space="0" w:color="auto"/>
              <w:left w:val="single" w:sz="4" w:space="0" w:color="auto"/>
              <w:bottom w:val="single" w:sz="4" w:space="0" w:color="auto"/>
              <w:right w:val="single" w:sz="4" w:space="0" w:color="auto"/>
            </w:tcBorders>
          </w:tcPr>
          <w:p w14:paraId="7056EE38" w14:textId="6F9C1842" w:rsidR="00432109" w:rsidRPr="003E76E7" w:rsidRDefault="00432109" w:rsidP="00C4292D">
            <w:pPr>
              <w:tabs>
                <w:tab w:val="left" w:pos="709"/>
              </w:tabs>
              <w:spacing w:before="60" w:after="60"/>
              <w:rPr>
                <w:rFonts w:ascii="Arial" w:hAnsi="Arial"/>
                <w:sz w:val="15"/>
                <w:szCs w:val="15"/>
                <w:lang w:val="en-AU"/>
              </w:rPr>
            </w:pPr>
            <w:r w:rsidRPr="003E76E7">
              <w:rPr>
                <w:rFonts w:ascii="Arial" w:hAnsi="Arial"/>
                <w:sz w:val="15"/>
                <w:szCs w:val="15"/>
                <w:lang w:val="en-AU"/>
              </w:rPr>
              <w:t xml:space="preserve">7.1: Defence strengthens the sovereign defence industrial base through investment and domestic manufacture. </w:t>
            </w:r>
          </w:p>
        </w:tc>
        <w:tc>
          <w:tcPr>
            <w:tcW w:w="3406" w:type="dxa"/>
            <w:tcBorders>
              <w:top w:val="single" w:sz="4" w:space="0" w:color="auto"/>
              <w:left w:val="single" w:sz="4" w:space="0" w:color="auto"/>
              <w:bottom w:val="single" w:sz="4" w:space="0" w:color="auto"/>
              <w:right w:val="single" w:sz="4" w:space="0" w:color="auto"/>
            </w:tcBorders>
          </w:tcPr>
          <w:p w14:paraId="51FDBE72" w14:textId="2F2AB177" w:rsidR="00432109" w:rsidRPr="003E76E7" w:rsidRDefault="00432109" w:rsidP="00C4292D">
            <w:pPr>
              <w:tabs>
                <w:tab w:val="left" w:pos="709"/>
              </w:tabs>
              <w:spacing w:before="60" w:after="60"/>
              <w:rPr>
                <w:rFonts w:ascii="Arial" w:hAnsi="Arial"/>
                <w:sz w:val="15"/>
                <w:szCs w:val="15"/>
              </w:rPr>
            </w:pPr>
            <w:r w:rsidRPr="003E76E7">
              <w:rPr>
                <w:rFonts w:ascii="Arial" w:hAnsi="Arial"/>
                <w:color w:val="000000"/>
                <w:sz w:val="15"/>
                <w:szCs w:val="15"/>
                <w:lang w:val="en-AU"/>
              </w:rPr>
              <w:t xml:space="preserve">Defence awards </w:t>
            </w:r>
            <w:r w:rsidRPr="003E76E7">
              <w:rPr>
                <w:rFonts w:ascii="Arial" w:hAnsi="Arial"/>
                <w:color w:val="000000"/>
                <w:sz w:val="15"/>
                <w:szCs w:val="15"/>
              </w:rPr>
              <w:t>95 per cent or more of the Defence Industry Development Grant Program budgeted allocation; increases the number of companies exporting and value of exports; increases the direct economic contribution to the Australian economy; maintains investment in innovation, science and technology to deliver defence priorities; supports the development of the domestic manufacture of guided weapons, explosive ordnance and munitions; and meets industrial uplift milestones for the Continuous Naval Shipbuilding Program.</w:t>
            </w:r>
          </w:p>
        </w:tc>
      </w:tr>
      <w:tr w:rsidR="0084135C" w:rsidRPr="003E76E7" w14:paraId="115DBF12" w14:textId="77777777" w:rsidTr="0084135C">
        <w:trPr>
          <w:trHeight w:val="271"/>
        </w:trPr>
        <w:tc>
          <w:tcPr>
            <w:tcW w:w="1951" w:type="dxa"/>
            <w:tcBorders>
              <w:top w:val="single" w:sz="4" w:space="0" w:color="auto"/>
              <w:left w:val="single" w:sz="4" w:space="0" w:color="auto"/>
              <w:bottom w:val="single" w:sz="4" w:space="0" w:color="auto"/>
              <w:right w:val="single" w:sz="4" w:space="0" w:color="auto"/>
            </w:tcBorders>
            <w:vAlign w:val="center"/>
          </w:tcPr>
          <w:p w14:paraId="40600352" w14:textId="7A16B424" w:rsidR="0084135C" w:rsidRPr="003E76E7" w:rsidRDefault="0084135C" w:rsidP="00C4292D">
            <w:pPr>
              <w:keepNext/>
              <w:keepLines/>
              <w:tabs>
                <w:tab w:val="left" w:pos="709"/>
              </w:tabs>
              <w:spacing w:before="0" w:after="0"/>
              <w:rPr>
                <w:rFonts w:ascii="Arial" w:hAnsi="Arial"/>
                <w:color w:val="000000"/>
                <w:sz w:val="15"/>
                <w:szCs w:val="15"/>
              </w:rPr>
            </w:pPr>
            <w:r w:rsidRPr="003E76E7">
              <w:rPr>
                <w:rFonts w:ascii="Arial" w:hAnsi="Arial"/>
                <w:b/>
                <w:color w:val="000000"/>
                <w:sz w:val="15"/>
                <w:szCs w:val="15"/>
              </w:rPr>
              <w:t>Year</w:t>
            </w:r>
          </w:p>
        </w:tc>
        <w:tc>
          <w:tcPr>
            <w:tcW w:w="3144" w:type="dxa"/>
            <w:tcBorders>
              <w:top w:val="single" w:sz="4" w:space="0" w:color="auto"/>
              <w:left w:val="single" w:sz="4" w:space="0" w:color="auto"/>
              <w:bottom w:val="single" w:sz="4" w:space="0" w:color="auto"/>
              <w:right w:val="single" w:sz="4" w:space="0" w:color="auto"/>
            </w:tcBorders>
            <w:vAlign w:val="center"/>
          </w:tcPr>
          <w:p w14:paraId="3E6C3F93" w14:textId="62E69357" w:rsidR="0084135C" w:rsidRPr="003E76E7" w:rsidRDefault="0084135C" w:rsidP="00C4292D">
            <w:pPr>
              <w:tabs>
                <w:tab w:val="left" w:pos="709"/>
              </w:tabs>
              <w:spacing w:before="60" w:after="60"/>
              <w:rPr>
                <w:rFonts w:ascii="Arial" w:hAnsi="Arial"/>
                <w:color w:val="000000"/>
                <w:sz w:val="15"/>
                <w:szCs w:val="15"/>
              </w:rPr>
            </w:pPr>
            <w:r w:rsidRPr="003E76E7">
              <w:rPr>
                <w:rFonts w:ascii="Arial" w:hAnsi="Arial"/>
                <w:b/>
                <w:color w:val="000000"/>
                <w:sz w:val="15"/>
                <w:szCs w:val="15"/>
              </w:rPr>
              <w:t>Performance Measures</w:t>
            </w:r>
          </w:p>
        </w:tc>
        <w:tc>
          <w:tcPr>
            <w:tcW w:w="3406" w:type="dxa"/>
            <w:tcBorders>
              <w:top w:val="single" w:sz="4" w:space="0" w:color="auto"/>
              <w:left w:val="single" w:sz="4" w:space="0" w:color="auto"/>
              <w:bottom w:val="single" w:sz="4" w:space="0" w:color="auto"/>
              <w:right w:val="single" w:sz="4" w:space="0" w:color="auto"/>
            </w:tcBorders>
            <w:vAlign w:val="center"/>
          </w:tcPr>
          <w:p w14:paraId="59CFBBA0" w14:textId="15874BF9" w:rsidR="0084135C" w:rsidRPr="003E76E7" w:rsidRDefault="0084135C" w:rsidP="00C4292D">
            <w:pPr>
              <w:tabs>
                <w:tab w:val="left" w:pos="709"/>
              </w:tabs>
              <w:spacing w:before="60" w:after="60"/>
              <w:rPr>
                <w:rFonts w:ascii="Arial" w:hAnsi="Arial"/>
                <w:color w:val="000000"/>
                <w:sz w:val="15"/>
                <w:szCs w:val="15"/>
              </w:rPr>
            </w:pPr>
            <w:r w:rsidRPr="003E76E7">
              <w:rPr>
                <w:rFonts w:ascii="Arial" w:hAnsi="Arial"/>
                <w:b/>
                <w:color w:val="000000"/>
                <w:sz w:val="15"/>
                <w:szCs w:val="15"/>
              </w:rPr>
              <w:t>Planned Performance Results</w:t>
            </w:r>
          </w:p>
        </w:tc>
      </w:tr>
      <w:tr w:rsidR="0084135C" w:rsidRPr="003E76E7" w14:paraId="59885C9A" w14:textId="77777777" w:rsidTr="0084135C">
        <w:trPr>
          <w:trHeight w:val="491"/>
        </w:trPr>
        <w:tc>
          <w:tcPr>
            <w:tcW w:w="1951" w:type="dxa"/>
            <w:tcBorders>
              <w:top w:val="single" w:sz="4" w:space="0" w:color="auto"/>
              <w:left w:val="single" w:sz="4" w:space="0" w:color="auto"/>
              <w:bottom w:val="single" w:sz="4" w:space="0" w:color="auto"/>
              <w:right w:val="single" w:sz="4" w:space="0" w:color="auto"/>
            </w:tcBorders>
            <w:vAlign w:val="center"/>
          </w:tcPr>
          <w:p w14:paraId="0F5DB901" w14:textId="77777777" w:rsidR="0084135C" w:rsidRPr="003E76E7" w:rsidRDefault="0084135C" w:rsidP="00C4292D">
            <w:pPr>
              <w:keepNext/>
              <w:keepLines/>
              <w:tabs>
                <w:tab w:val="left" w:pos="709"/>
              </w:tabs>
              <w:spacing w:before="0" w:after="0"/>
              <w:rPr>
                <w:rFonts w:ascii="Arial" w:hAnsi="Arial"/>
                <w:color w:val="000000"/>
                <w:sz w:val="15"/>
                <w:szCs w:val="15"/>
              </w:rPr>
            </w:pPr>
            <w:r w:rsidRPr="003E76E7">
              <w:rPr>
                <w:rFonts w:ascii="Arial" w:hAnsi="Arial"/>
                <w:color w:val="000000"/>
                <w:sz w:val="15"/>
                <w:szCs w:val="15"/>
              </w:rPr>
              <w:t>Forward Estimates</w:t>
            </w:r>
          </w:p>
          <w:p w14:paraId="198F1450" w14:textId="78E384FC" w:rsidR="0084135C" w:rsidRPr="003E76E7" w:rsidRDefault="0084135C" w:rsidP="00C4292D">
            <w:pPr>
              <w:tabs>
                <w:tab w:val="left" w:pos="709"/>
              </w:tabs>
              <w:spacing w:before="0" w:after="0"/>
              <w:rPr>
                <w:rFonts w:ascii="Arial" w:hAnsi="Arial"/>
                <w:b/>
                <w:color w:val="000000"/>
                <w:sz w:val="15"/>
                <w:szCs w:val="15"/>
              </w:rPr>
            </w:pPr>
            <w:r w:rsidRPr="003E76E7">
              <w:rPr>
                <w:rFonts w:ascii="Arial" w:hAnsi="Arial"/>
                <w:color w:val="000000"/>
                <w:sz w:val="15"/>
                <w:szCs w:val="15"/>
              </w:rPr>
              <w:t>2027-30</w:t>
            </w:r>
          </w:p>
        </w:tc>
        <w:tc>
          <w:tcPr>
            <w:tcW w:w="3144" w:type="dxa"/>
            <w:tcBorders>
              <w:top w:val="single" w:sz="4" w:space="0" w:color="auto"/>
              <w:left w:val="single" w:sz="4" w:space="0" w:color="auto"/>
              <w:bottom w:val="single" w:sz="4" w:space="0" w:color="auto"/>
              <w:right w:val="single" w:sz="4" w:space="0" w:color="auto"/>
            </w:tcBorders>
            <w:vAlign w:val="center"/>
          </w:tcPr>
          <w:p w14:paraId="210AF657" w14:textId="41B0C363" w:rsidR="0084135C" w:rsidRPr="003E76E7" w:rsidRDefault="0084135C" w:rsidP="00C4292D">
            <w:pPr>
              <w:tabs>
                <w:tab w:val="left" w:pos="709"/>
              </w:tabs>
              <w:spacing w:before="60" w:after="60"/>
              <w:rPr>
                <w:rFonts w:ascii="Arial" w:hAnsi="Arial"/>
                <w:b/>
                <w:color w:val="000000"/>
                <w:sz w:val="15"/>
                <w:szCs w:val="15"/>
              </w:rPr>
            </w:pPr>
            <w:r w:rsidRPr="003E76E7">
              <w:rPr>
                <w:rFonts w:ascii="Arial" w:hAnsi="Arial"/>
                <w:color w:val="000000"/>
                <w:sz w:val="15"/>
                <w:szCs w:val="15"/>
              </w:rPr>
              <w:t>As per 2026-27.</w:t>
            </w:r>
          </w:p>
        </w:tc>
        <w:tc>
          <w:tcPr>
            <w:tcW w:w="3406" w:type="dxa"/>
            <w:tcBorders>
              <w:top w:val="single" w:sz="4" w:space="0" w:color="auto"/>
              <w:left w:val="single" w:sz="4" w:space="0" w:color="auto"/>
              <w:bottom w:val="single" w:sz="4" w:space="0" w:color="auto"/>
              <w:right w:val="single" w:sz="4" w:space="0" w:color="auto"/>
            </w:tcBorders>
            <w:vAlign w:val="center"/>
          </w:tcPr>
          <w:p w14:paraId="3C9920B4" w14:textId="35448010" w:rsidR="0084135C" w:rsidRPr="003E76E7" w:rsidRDefault="0084135C" w:rsidP="00C4292D">
            <w:pPr>
              <w:tabs>
                <w:tab w:val="left" w:pos="709"/>
              </w:tabs>
              <w:spacing w:before="60" w:after="60"/>
              <w:rPr>
                <w:rFonts w:ascii="Arial" w:hAnsi="Arial"/>
                <w:b/>
                <w:color w:val="000000"/>
                <w:sz w:val="15"/>
                <w:szCs w:val="15"/>
              </w:rPr>
            </w:pPr>
            <w:r w:rsidRPr="003E76E7">
              <w:rPr>
                <w:rFonts w:ascii="Arial" w:hAnsi="Arial"/>
                <w:color w:val="000000"/>
                <w:sz w:val="15"/>
                <w:szCs w:val="15"/>
              </w:rPr>
              <w:t>As per 2026-27.</w:t>
            </w:r>
          </w:p>
        </w:tc>
      </w:tr>
      <w:tr w:rsidR="0084135C" w:rsidRPr="003E76E7" w14:paraId="67FDAA37" w14:textId="77777777" w:rsidTr="0084135C">
        <w:trPr>
          <w:trHeight w:val="291"/>
        </w:trPr>
        <w:tc>
          <w:tcPr>
            <w:tcW w:w="8501" w:type="dxa"/>
            <w:gridSpan w:val="3"/>
            <w:tcBorders>
              <w:top w:val="single" w:sz="4" w:space="0" w:color="auto"/>
              <w:left w:val="single" w:sz="4" w:space="0" w:color="auto"/>
              <w:right w:val="single" w:sz="4" w:space="0" w:color="auto"/>
            </w:tcBorders>
          </w:tcPr>
          <w:p w14:paraId="5F555729" w14:textId="59C1913F" w:rsidR="0084135C" w:rsidRPr="003E76E7" w:rsidRDefault="0084135C" w:rsidP="00C4292D">
            <w:pPr>
              <w:tabs>
                <w:tab w:val="left" w:pos="709"/>
              </w:tabs>
              <w:spacing w:before="60" w:after="60"/>
              <w:rPr>
                <w:rFonts w:ascii="Arial" w:hAnsi="Arial"/>
                <w:bCs/>
                <w:iCs/>
                <w:color w:val="000000"/>
                <w:spacing w:val="-6"/>
                <w:sz w:val="15"/>
                <w:szCs w:val="15"/>
              </w:rPr>
            </w:pPr>
            <w:r w:rsidRPr="003E76E7">
              <w:rPr>
                <w:rFonts w:ascii="Arial" w:hAnsi="Arial"/>
                <w:color w:val="000000"/>
                <w:sz w:val="15"/>
                <w:szCs w:val="15"/>
              </w:rPr>
              <w:t>Material changes to Program 2.16 resulting from 2026-27 Budget Measures: Nil.</w:t>
            </w:r>
          </w:p>
        </w:tc>
      </w:tr>
    </w:tbl>
    <w:p w14:paraId="108E80BF" w14:textId="77777777" w:rsidR="00BC1946" w:rsidRPr="003E76E7" w:rsidRDefault="00BC1946" w:rsidP="00C4292D">
      <w:pPr>
        <w:spacing w:before="0" w:after="0"/>
        <w:rPr>
          <w:rFonts w:ascii="Arial" w:hAnsi="Arial"/>
          <w:sz w:val="14"/>
        </w:rPr>
      </w:pPr>
    </w:p>
    <w:p w14:paraId="5A390D6E" w14:textId="25138F81" w:rsidR="00F7100A" w:rsidRPr="003E76E7" w:rsidRDefault="00F7100A" w:rsidP="00C4292D">
      <w:pPr>
        <w:pStyle w:val="TableHeading"/>
        <w:spacing w:before="0" w:after="0"/>
        <w:rPr>
          <w:sz w:val="14"/>
          <w:szCs w:val="14"/>
        </w:rPr>
      </w:pPr>
      <w:r w:rsidRPr="003E76E7">
        <w:rPr>
          <w:sz w:val="14"/>
          <w:szCs w:val="14"/>
        </w:rPr>
        <w:t>Note</w:t>
      </w:r>
      <w:r w:rsidR="00BC1946" w:rsidRPr="003E76E7">
        <w:rPr>
          <w:sz w:val="14"/>
          <w:szCs w:val="14"/>
        </w:rPr>
        <w:t>s</w:t>
      </w:r>
    </w:p>
    <w:p w14:paraId="51AC7222" w14:textId="77777777" w:rsidR="00172963" w:rsidRPr="003E76E7" w:rsidRDefault="00172963" w:rsidP="00C4292D">
      <w:pPr>
        <w:pStyle w:val="TableHeading"/>
        <w:numPr>
          <w:ilvl w:val="0"/>
          <w:numId w:val="87"/>
        </w:numPr>
        <w:tabs>
          <w:tab w:val="left" w:pos="0"/>
          <w:tab w:val="left" w:pos="284"/>
        </w:tabs>
        <w:spacing w:before="0" w:after="0"/>
        <w:rPr>
          <w:b w:val="0"/>
          <w:sz w:val="14"/>
          <w:szCs w:val="14"/>
          <w:lang w:val="en-AU"/>
        </w:rPr>
      </w:pPr>
      <w:r w:rsidRPr="003E76E7">
        <w:rPr>
          <w:b w:val="0"/>
          <w:sz w:val="14"/>
          <w:szCs w:val="14"/>
          <w:lang w:val="en-AU"/>
        </w:rPr>
        <w:t xml:space="preserve">Key activity 7 has been amended for 2025-26, as published in the </w:t>
      </w:r>
      <w:r w:rsidRPr="003E76E7">
        <w:rPr>
          <w:b w:val="0"/>
          <w:i/>
          <w:sz w:val="14"/>
          <w:szCs w:val="14"/>
          <w:lang w:val="en-AU"/>
        </w:rPr>
        <w:t>2025-29 Defence Corporate Plan.</w:t>
      </w:r>
      <w:r w:rsidRPr="003E76E7">
        <w:rPr>
          <w:b w:val="0"/>
          <w:sz w:val="14"/>
          <w:szCs w:val="14"/>
          <w:lang w:val="en-AU"/>
        </w:rPr>
        <w:t xml:space="preserve"> </w:t>
      </w:r>
    </w:p>
    <w:p w14:paraId="41784D0A" w14:textId="47AD4870" w:rsidR="0084135C" w:rsidRPr="003E76E7" w:rsidRDefault="00172963" w:rsidP="003E76E7">
      <w:pPr>
        <w:pStyle w:val="TableHeading"/>
        <w:numPr>
          <w:ilvl w:val="0"/>
          <w:numId w:val="87"/>
        </w:numPr>
        <w:tabs>
          <w:tab w:val="left" w:pos="0"/>
          <w:tab w:val="left" w:pos="284"/>
        </w:tabs>
        <w:spacing w:before="0" w:after="0"/>
        <w:ind w:left="284" w:hanging="284"/>
        <w:rPr>
          <w:b w:val="0"/>
          <w:i/>
          <w:sz w:val="14"/>
          <w:szCs w:val="14"/>
          <w:lang w:val="en-AU"/>
        </w:rPr>
      </w:pPr>
      <w:r w:rsidRPr="003E76E7">
        <w:rPr>
          <w:b w:val="0"/>
          <w:sz w:val="14"/>
          <w:szCs w:val="14"/>
          <w:lang w:val="en-AU"/>
        </w:rPr>
        <w:t xml:space="preserve">Performance Measures 6.1 and 7.1 have been amended for 2025-26, as published in the </w:t>
      </w:r>
      <w:r w:rsidRPr="003E76E7">
        <w:rPr>
          <w:b w:val="0"/>
          <w:i/>
          <w:sz w:val="14"/>
          <w:szCs w:val="14"/>
          <w:lang w:val="en-AU"/>
        </w:rPr>
        <w:t>2025-29 Defence Corporate Plan</w:t>
      </w:r>
      <w:r w:rsidR="00C23CD1" w:rsidRPr="003E76E7">
        <w:rPr>
          <w:b w:val="0"/>
          <w:i/>
          <w:sz w:val="14"/>
          <w:szCs w:val="14"/>
          <w:lang w:val="en-AU"/>
        </w:rPr>
        <w:t>.</w:t>
      </w:r>
    </w:p>
    <w:p w14:paraId="1AC981D1" w14:textId="42AF669E" w:rsidR="00172963" w:rsidRPr="003E76E7" w:rsidRDefault="00172963" w:rsidP="00C4292D">
      <w:pPr>
        <w:pStyle w:val="TableHeading"/>
        <w:numPr>
          <w:ilvl w:val="0"/>
          <w:numId w:val="87"/>
        </w:numPr>
        <w:tabs>
          <w:tab w:val="left" w:pos="0"/>
          <w:tab w:val="left" w:pos="284"/>
        </w:tabs>
        <w:spacing w:before="0" w:after="0"/>
        <w:ind w:left="284" w:hanging="284"/>
        <w:rPr>
          <w:b w:val="0"/>
          <w:sz w:val="14"/>
          <w:szCs w:val="14"/>
          <w:lang w:val="en-AU"/>
        </w:rPr>
      </w:pPr>
      <w:r w:rsidRPr="003E76E7">
        <w:rPr>
          <w:b w:val="0"/>
          <w:sz w:val="14"/>
          <w:szCs w:val="14"/>
          <w:lang w:val="en-AU"/>
        </w:rPr>
        <w:t>In accordance with Defence’s Enterprise Performance Framework, Defence is undertaking materiality assessments that may</w:t>
      </w:r>
      <w:r w:rsidR="00A46C55" w:rsidRPr="003E76E7">
        <w:rPr>
          <w:b w:val="0"/>
          <w:sz w:val="14"/>
          <w:szCs w:val="14"/>
          <w:lang w:val="en-AU"/>
        </w:rPr>
        <w:t xml:space="preserve"> </w:t>
      </w:r>
      <w:r w:rsidRPr="003E76E7">
        <w:rPr>
          <w:b w:val="0"/>
          <w:sz w:val="14"/>
          <w:szCs w:val="14"/>
          <w:lang w:val="en-AU"/>
        </w:rPr>
        <w:t xml:space="preserve">result in updates to the 2026-27 performance information in the 2026-30 Defence Corporate Plan, if required. </w:t>
      </w:r>
    </w:p>
    <w:p w14:paraId="561F9A95" w14:textId="0B120E05" w:rsidR="00220532" w:rsidRPr="003E76E7" w:rsidRDefault="00220532" w:rsidP="00C4292D">
      <w:pPr>
        <w:spacing w:before="0" w:after="0"/>
        <w:rPr>
          <w:b/>
        </w:rPr>
      </w:pPr>
    </w:p>
    <w:p w14:paraId="76F28A5C" w14:textId="76DE9D25" w:rsidR="00837542" w:rsidRPr="003E76E7" w:rsidRDefault="00837542" w:rsidP="00C4292D">
      <w:pPr>
        <w:pStyle w:val="TableHeading"/>
        <w:numPr>
          <w:ilvl w:val="0"/>
          <w:numId w:val="61"/>
        </w:numPr>
        <w:spacing w:before="100"/>
        <w:ind w:left="0" w:firstLine="0"/>
        <w:outlineLvl w:val="4"/>
        <w:rPr>
          <w:lang w:val="en-AU"/>
        </w:rPr>
      </w:pPr>
      <w:r w:rsidRPr="003E76E7">
        <w:rPr>
          <w:lang w:val="en-AU"/>
        </w:rPr>
        <w:t>Cost Summary for Program 2.16 Nuclear</w:t>
      </w:r>
      <w:r w:rsidR="00DD539A" w:rsidRPr="003E76E7">
        <w:rPr>
          <w:lang w:val="en-AU"/>
        </w:rPr>
        <w:t>-</w:t>
      </w:r>
      <w:r w:rsidRPr="003E76E7">
        <w:rPr>
          <w:lang w:val="en-AU"/>
        </w:rPr>
        <w:t>Powered Submarines</w:t>
      </w:r>
      <w:r w:rsidR="0049456D" w:rsidRPr="003E76E7">
        <w:rPr>
          <w:lang w:val="en-AU"/>
        </w:rPr>
        <w:t xml:space="preserve"> </w:t>
      </w:r>
    </w:p>
    <w:p w14:paraId="5500EDBC" w14:textId="539C56FE" w:rsidR="00656D60" w:rsidRPr="003E76E7" w:rsidRDefault="00C96447" w:rsidP="00C4292D">
      <w:pPr>
        <w:spacing w:after="0"/>
        <w:rPr>
          <w:rFonts w:ascii="Arial" w:hAnsi="Arial"/>
          <w:b/>
          <w:sz w:val="14"/>
          <w:szCs w:val="14"/>
        </w:rPr>
      </w:pPr>
      <w:r w:rsidRPr="00C96447">
        <w:rPr>
          <w:noProof/>
          <w:lang w:val="en-AU"/>
        </w:rPr>
        <w:drawing>
          <wp:inline distT="0" distB="0" distL="0" distR="0" wp14:anchorId="30BE0308" wp14:editId="4B2B5B22">
            <wp:extent cx="5436235" cy="2891118"/>
            <wp:effectExtent l="0" t="0" r="0" b="5080"/>
            <wp:docPr id="24575494" name="Picture 24575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436235" cy="2891118"/>
                    </a:xfrm>
                    <a:prstGeom prst="rect">
                      <a:avLst/>
                    </a:prstGeom>
                    <a:noFill/>
                    <a:ln>
                      <a:noFill/>
                    </a:ln>
                  </pic:spPr>
                </pic:pic>
              </a:graphicData>
            </a:graphic>
          </wp:inline>
        </w:drawing>
      </w:r>
    </w:p>
    <w:p w14:paraId="000C62B5" w14:textId="77777777" w:rsidR="009D3404" w:rsidRPr="003E76E7" w:rsidRDefault="009D3404" w:rsidP="00C4292D">
      <w:pPr>
        <w:spacing w:before="0" w:after="0"/>
        <w:rPr>
          <w:rFonts w:ascii="Arial" w:hAnsi="Arial"/>
          <w:b/>
          <w:sz w:val="14"/>
          <w:szCs w:val="14"/>
        </w:rPr>
      </w:pPr>
    </w:p>
    <w:p w14:paraId="2686BADF" w14:textId="70978669" w:rsidR="00220532" w:rsidRPr="003E76E7" w:rsidRDefault="00220532" w:rsidP="00C4292D">
      <w:pPr>
        <w:spacing w:before="0" w:after="0"/>
        <w:rPr>
          <w:rFonts w:ascii="Arial" w:hAnsi="Arial"/>
          <w:b/>
          <w:sz w:val="14"/>
          <w:szCs w:val="14"/>
        </w:rPr>
      </w:pPr>
      <w:r w:rsidRPr="003E76E7">
        <w:rPr>
          <w:rFonts w:ascii="Arial" w:hAnsi="Arial"/>
          <w:b/>
          <w:sz w:val="14"/>
          <w:szCs w:val="14"/>
        </w:rPr>
        <w:t>Note</w:t>
      </w:r>
    </w:p>
    <w:p w14:paraId="19BBD355" w14:textId="7F7ED8D9" w:rsidR="00220532" w:rsidRPr="003E76E7" w:rsidRDefault="00A37A36" w:rsidP="00C4292D">
      <w:pPr>
        <w:pStyle w:val="ListParagraph"/>
        <w:numPr>
          <w:ilvl w:val="0"/>
          <w:numId w:val="122"/>
        </w:numPr>
        <w:spacing w:before="0" w:after="0"/>
        <w:ind w:left="284" w:hanging="284"/>
        <w:rPr>
          <w:rFonts w:ascii="Arial" w:hAnsi="Arial"/>
          <w:sz w:val="14"/>
          <w:szCs w:val="14"/>
          <w:lang w:val="en-AU"/>
        </w:rPr>
      </w:pPr>
      <w:r w:rsidRPr="003E76E7">
        <w:rPr>
          <w:rFonts w:ascii="Arial" w:hAnsi="Arial"/>
          <w:sz w:val="14"/>
          <w:szCs w:val="14"/>
          <w:lang w:val="en-AU"/>
        </w:rPr>
        <w:t>Total program funded</w:t>
      </w:r>
      <w:r w:rsidR="00220532" w:rsidRPr="003E76E7">
        <w:rPr>
          <w:rFonts w:ascii="Arial" w:hAnsi="Arial"/>
          <w:sz w:val="14"/>
          <w:szCs w:val="14"/>
          <w:lang w:val="en-AU"/>
        </w:rPr>
        <w:t xml:space="preserve"> expenditure includes operating expenses and capital expenditure funded by appropriation and </w:t>
      </w:r>
      <w:r w:rsidR="00220532" w:rsidRPr="003E76E7">
        <w:rPr>
          <w:rFonts w:ascii="Arial" w:hAnsi="Arial"/>
          <w:sz w:val="14"/>
          <w:szCs w:val="14"/>
          <w:lang w:val="en-AU"/>
        </w:rPr>
        <w:br/>
        <w:t>own source revenue. This excludes expenses not requiring appropriation.</w:t>
      </w:r>
      <w:r w:rsidR="00220532" w:rsidRPr="003E76E7">
        <w:rPr>
          <w:rFonts w:ascii="Arial" w:hAnsi="Arial"/>
          <w:sz w:val="14"/>
          <w:szCs w:val="14"/>
          <w:lang w:val="en-AU"/>
        </w:rPr>
        <w:tab/>
      </w:r>
      <w:r w:rsidR="00220532" w:rsidRPr="003E76E7">
        <w:rPr>
          <w:rFonts w:ascii="Arial" w:hAnsi="Arial"/>
          <w:sz w:val="14"/>
          <w:szCs w:val="14"/>
          <w:lang w:val="en-AU"/>
        </w:rPr>
        <w:tab/>
      </w:r>
      <w:r w:rsidR="00220532" w:rsidRPr="003E76E7">
        <w:rPr>
          <w:rFonts w:ascii="Arial" w:hAnsi="Arial"/>
          <w:sz w:val="14"/>
          <w:szCs w:val="14"/>
          <w:lang w:val="en-AU"/>
        </w:rPr>
        <w:tab/>
      </w:r>
      <w:r w:rsidR="00220532" w:rsidRPr="003E76E7">
        <w:rPr>
          <w:rFonts w:ascii="Arial" w:hAnsi="Arial"/>
          <w:sz w:val="14"/>
          <w:szCs w:val="14"/>
          <w:lang w:val="en-AU"/>
        </w:rPr>
        <w:tab/>
      </w:r>
      <w:r w:rsidR="00220532" w:rsidRPr="003E76E7">
        <w:rPr>
          <w:rFonts w:ascii="Arial" w:hAnsi="Arial"/>
          <w:sz w:val="14"/>
          <w:szCs w:val="14"/>
          <w:lang w:val="en-AU"/>
        </w:rPr>
        <w:tab/>
      </w:r>
    </w:p>
    <w:p w14:paraId="23CA5E78" w14:textId="77777777" w:rsidR="00F51DAC" w:rsidRPr="003E76E7" w:rsidRDefault="00A12678" w:rsidP="00C4292D">
      <w:pPr>
        <w:pStyle w:val="BodyText"/>
        <w:spacing w:before="0" w:after="0"/>
        <w:ind w:left="284" w:hanging="284"/>
        <w:rPr>
          <w:rFonts w:ascii="Arial" w:hAnsi="Arial"/>
          <w:sz w:val="14"/>
          <w:szCs w:val="14"/>
        </w:rPr>
      </w:pPr>
      <w:r w:rsidRPr="003E76E7">
        <w:rPr>
          <w:rFonts w:ascii="Arial" w:hAnsi="Arial"/>
          <w:sz w:val="14"/>
          <w:szCs w:val="14"/>
        </w:rPr>
        <w:tab/>
      </w:r>
      <w:r w:rsidRPr="003E76E7">
        <w:rPr>
          <w:rFonts w:ascii="Arial" w:hAnsi="Arial"/>
          <w:sz w:val="14"/>
          <w:szCs w:val="14"/>
        </w:rPr>
        <w:tab/>
      </w:r>
      <w:r w:rsidRPr="003E76E7">
        <w:rPr>
          <w:rFonts w:ascii="Arial" w:hAnsi="Arial"/>
          <w:sz w:val="14"/>
          <w:szCs w:val="14"/>
        </w:rPr>
        <w:tab/>
      </w:r>
      <w:r w:rsidRPr="003E76E7">
        <w:rPr>
          <w:rFonts w:ascii="Arial" w:hAnsi="Arial"/>
          <w:sz w:val="14"/>
          <w:szCs w:val="14"/>
        </w:rPr>
        <w:tab/>
      </w:r>
      <w:r w:rsidRPr="003E76E7">
        <w:rPr>
          <w:rFonts w:ascii="Arial" w:hAnsi="Arial"/>
          <w:sz w:val="14"/>
          <w:szCs w:val="14"/>
        </w:rPr>
        <w:tab/>
      </w:r>
    </w:p>
    <w:p w14:paraId="2596F909" w14:textId="77777777" w:rsidR="00222A72" w:rsidRPr="003E76E7" w:rsidRDefault="00222A72" w:rsidP="00C4292D">
      <w:pPr>
        <w:spacing w:before="0" w:after="0"/>
        <w:outlineLvl w:val="5"/>
        <w:rPr>
          <w:color w:val="FFFFFF"/>
          <w:sz w:val="2"/>
          <w:szCs w:val="2"/>
        </w:rPr>
      </w:pPr>
      <w:r w:rsidRPr="003E76E7">
        <w:rPr>
          <w:rFonts w:ascii="Arial" w:hAnsi="Arial"/>
          <w:sz w:val="14"/>
          <w:szCs w:val="14"/>
        </w:rPr>
        <w:br w:type="page"/>
      </w:r>
      <w:r w:rsidRPr="003E76E7">
        <w:rPr>
          <w:color w:val="FFFFFF"/>
          <w:sz w:val="2"/>
          <w:szCs w:val="2"/>
        </w:rPr>
        <w:lastRenderedPageBreak/>
        <w:t>Program 2.19: Defence Trusts and Joint Accounts</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8551"/>
      </w:tblGrid>
      <w:tr w:rsidR="00F7100A" w:rsidRPr="003E76E7" w14:paraId="4B04AD86" w14:textId="77777777" w:rsidTr="00E0479C">
        <w:tc>
          <w:tcPr>
            <w:tcW w:w="7938" w:type="dxa"/>
            <w:tcBorders>
              <w:bottom w:val="single" w:sz="4" w:space="0" w:color="auto"/>
            </w:tcBorders>
            <w:shd w:val="clear" w:color="auto" w:fill="CCCCCC"/>
          </w:tcPr>
          <w:p w14:paraId="2BDCA723" w14:textId="77777777" w:rsidR="00F7100A" w:rsidRPr="003E76E7" w:rsidRDefault="00F7100A" w:rsidP="00C4292D">
            <w:pPr>
              <w:pStyle w:val="Heading5"/>
              <w:spacing w:before="60" w:after="60"/>
            </w:pPr>
            <w:r w:rsidRPr="003E76E7">
              <w:rPr>
                <w:b w:val="0"/>
                <w:szCs w:val="16"/>
                <w:lang w:val="en-AU"/>
              </w:rPr>
              <w:br w:type="page"/>
            </w:r>
            <w:r w:rsidRPr="003E76E7">
              <w:t>Program 2.19: Defence Trusts and Joint Accounts</w:t>
            </w:r>
          </w:p>
        </w:tc>
      </w:tr>
    </w:tbl>
    <w:p w14:paraId="49065183" w14:textId="77777777" w:rsidR="00F7100A" w:rsidRPr="003E76E7" w:rsidRDefault="00F7100A" w:rsidP="00C4292D">
      <w:pPr>
        <w:pStyle w:val="TableHeading"/>
        <w:numPr>
          <w:ilvl w:val="0"/>
          <w:numId w:val="61"/>
        </w:numPr>
        <w:spacing w:before="100"/>
        <w:ind w:left="0" w:firstLine="0"/>
        <w:outlineLvl w:val="4"/>
        <w:rPr>
          <w:lang w:val="en-AU"/>
        </w:rPr>
      </w:pPr>
      <w:r w:rsidRPr="003E76E7">
        <w:rPr>
          <w:lang w:val="en-AU"/>
        </w:rPr>
        <w:t>Cost Summary for Program 2.19 Defence Trusts and Joint Accounts</w:t>
      </w:r>
    </w:p>
    <w:p w14:paraId="1271E1C3" w14:textId="197A959B" w:rsidR="00F7100A" w:rsidRPr="003E76E7" w:rsidRDefault="00C96447" w:rsidP="00C4292D">
      <w:pPr>
        <w:spacing w:after="0"/>
      </w:pPr>
      <w:r w:rsidRPr="00C96447">
        <w:rPr>
          <w:noProof/>
          <w:lang w:val="en-AU"/>
        </w:rPr>
        <w:drawing>
          <wp:inline distT="0" distB="0" distL="0" distR="0" wp14:anchorId="611F109F" wp14:editId="78B2128A">
            <wp:extent cx="5436235" cy="2799110"/>
            <wp:effectExtent l="0" t="0" r="0" b="1270"/>
            <wp:docPr id="24575497" name="Picture 24575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436235" cy="2799110"/>
                    </a:xfrm>
                    <a:prstGeom prst="rect">
                      <a:avLst/>
                    </a:prstGeom>
                    <a:noFill/>
                    <a:ln>
                      <a:noFill/>
                    </a:ln>
                  </pic:spPr>
                </pic:pic>
              </a:graphicData>
            </a:graphic>
          </wp:inline>
        </w:drawing>
      </w:r>
    </w:p>
    <w:p w14:paraId="089A7B51" w14:textId="77777777" w:rsidR="009D3404" w:rsidRPr="003E76E7" w:rsidRDefault="009D3404" w:rsidP="00C4292D">
      <w:pPr>
        <w:tabs>
          <w:tab w:val="left" w:pos="284"/>
        </w:tabs>
        <w:spacing w:before="0" w:after="0"/>
        <w:rPr>
          <w:rFonts w:ascii="Arial" w:hAnsi="Arial"/>
          <w:b/>
          <w:sz w:val="14"/>
          <w:szCs w:val="14"/>
        </w:rPr>
      </w:pPr>
    </w:p>
    <w:p w14:paraId="237470F9" w14:textId="06E7E074" w:rsidR="00F7100A" w:rsidRPr="003E76E7" w:rsidRDefault="00F7100A" w:rsidP="00C4292D">
      <w:pPr>
        <w:tabs>
          <w:tab w:val="left" w:pos="284"/>
        </w:tabs>
        <w:spacing w:before="0" w:after="0"/>
        <w:rPr>
          <w:rFonts w:ascii="Arial" w:hAnsi="Arial"/>
          <w:b/>
          <w:sz w:val="14"/>
          <w:szCs w:val="14"/>
        </w:rPr>
      </w:pPr>
      <w:r w:rsidRPr="003E76E7">
        <w:rPr>
          <w:rFonts w:ascii="Arial" w:hAnsi="Arial"/>
          <w:b/>
          <w:sz w:val="14"/>
          <w:szCs w:val="14"/>
        </w:rPr>
        <w:t>Note</w:t>
      </w:r>
    </w:p>
    <w:p w14:paraId="451ED3B4" w14:textId="257627CF" w:rsidR="00F7100A" w:rsidRPr="003E76E7" w:rsidRDefault="00A96407" w:rsidP="00C4292D">
      <w:pPr>
        <w:tabs>
          <w:tab w:val="left" w:pos="284"/>
        </w:tabs>
        <w:spacing w:before="0" w:after="0"/>
        <w:ind w:left="284" w:hanging="284"/>
        <w:rPr>
          <w:rFonts w:ascii="Arial" w:hAnsi="Arial"/>
          <w:sz w:val="14"/>
          <w:szCs w:val="14"/>
        </w:rPr>
      </w:pPr>
      <w:r w:rsidRPr="003E76E7">
        <w:rPr>
          <w:rFonts w:ascii="Arial" w:hAnsi="Arial"/>
          <w:sz w:val="14"/>
          <w:szCs w:val="14"/>
        </w:rPr>
        <w:t>a.</w:t>
      </w:r>
      <w:r w:rsidRPr="003E76E7">
        <w:rPr>
          <w:rFonts w:ascii="Arial" w:hAnsi="Arial"/>
          <w:sz w:val="14"/>
          <w:szCs w:val="14"/>
        </w:rPr>
        <w:tab/>
      </w:r>
      <w:r w:rsidR="00A37A36" w:rsidRPr="003E76E7">
        <w:rPr>
          <w:rFonts w:ascii="Arial" w:hAnsi="Arial"/>
          <w:sz w:val="14"/>
          <w:szCs w:val="14"/>
        </w:rPr>
        <w:t>Total program funded</w:t>
      </w:r>
      <w:r w:rsidR="00FC373F" w:rsidRPr="003E76E7">
        <w:rPr>
          <w:rFonts w:ascii="Arial" w:hAnsi="Arial"/>
          <w:sz w:val="14"/>
          <w:szCs w:val="14"/>
        </w:rPr>
        <w:t xml:space="preserve"> expenditure includes operating expenses and capital expenditure funded by own source revenue. This excludes expenses not requiring appropriation.</w:t>
      </w:r>
      <w:r w:rsidR="00FC373F" w:rsidRPr="003E76E7">
        <w:rPr>
          <w:rFonts w:ascii="Arial" w:hAnsi="Arial"/>
          <w:sz w:val="14"/>
          <w:szCs w:val="14"/>
        </w:rPr>
        <w:tab/>
      </w:r>
      <w:r w:rsidR="00FC373F" w:rsidRPr="003E76E7">
        <w:rPr>
          <w:rFonts w:ascii="Arial" w:hAnsi="Arial"/>
          <w:sz w:val="14"/>
          <w:szCs w:val="14"/>
        </w:rPr>
        <w:tab/>
      </w:r>
      <w:r w:rsidR="00FC373F" w:rsidRPr="003E76E7">
        <w:rPr>
          <w:rFonts w:ascii="Arial" w:hAnsi="Arial"/>
          <w:sz w:val="14"/>
          <w:szCs w:val="14"/>
        </w:rPr>
        <w:tab/>
      </w:r>
      <w:r w:rsidR="00FC373F" w:rsidRPr="003E76E7">
        <w:rPr>
          <w:rFonts w:ascii="Arial" w:hAnsi="Arial"/>
          <w:sz w:val="14"/>
          <w:szCs w:val="14"/>
        </w:rPr>
        <w:tab/>
      </w:r>
      <w:r w:rsidR="00FC373F" w:rsidRPr="003E76E7">
        <w:rPr>
          <w:rFonts w:ascii="Arial" w:hAnsi="Arial"/>
          <w:sz w:val="14"/>
          <w:szCs w:val="14"/>
        </w:rPr>
        <w:tab/>
      </w:r>
      <w:r w:rsidR="00855CD3" w:rsidRPr="003E76E7">
        <w:rPr>
          <w:rFonts w:ascii="Arial" w:hAnsi="Arial"/>
          <w:sz w:val="14"/>
          <w:szCs w:val="14"/>
        </w:rPr>
        <w:tab/>
      </w:r>
      <w:r w:rsidR="00855CD3" w:rsidRPr="003E76E7">
        <w:rPr>
          <w:rFonts w:ascii="Arial" w:hAnsi="Arial"/>
          <w:sz w:val="14"/>
          <w:szCs w:val="14"/>
        </w:rPr>
        <w:tab/>
      </w:r>
      <w:r w:rsidR="00855CD3" w:rsidRPr="003E76E7">
        <w:rPr>
          <w:rFonts w:ascii="Arial" w:hAnsi="Arial"/>
          <w:sz w:val="14"/>
          <w:szCs w:val="14"/>
        </w:rPr>
        <w:tab/>
      </w:r>
      <w:r w:rsidR="00855CD3" w:rsidRPr="003E76E7">
        <w:rPr>
          <w:rFonts w:ascii="Arial" w:hAnsi="Arial"/>
          <w:sz w:val="14"/>
          <w:szCs w:val="14"/>
        </w:rPr>
        <w:tab/>
      </w:r>
      <w:r w:rsidR="00855CD3" w:rsidRPr="003E76E7">
        <w:rPr>
          <w:rFonts w:ascii="Arial" w:hAnsi="Arial"/>
          <w:sz w:val="14"/>
          <w:szCs w:val="14"/>
        </w:rPr>
        <w:tab/>
      </w:r>
      <w:r w:rsidR="00F7100A" w:rsidRPr="003E76E7">
        <w:rPr>
          <w:rFonts w:ascii="Arial" w:hAnsi="Arial"/>
          <w:sz w:val="14"/>
          <w:szCs w:val="14"/>
        </w:rPr>
        <w:tab/>
      </w:r>
    </w:p>
    <w:p w14:paraId="4AAC72A9" w14:textId="77777777" w:rsidR="00FB0BB6" w:rsidRPr="003E76E7" w:rsidRDefault="00FB0BB6" w:rsidP="00C4292D">
      <w:pPr>
        <w:spacing w:before="0" w:after="0"/>
        <w:outlineLvl w:val="5"/>
        <w:rPr>
          <w:color w:val="FFFFFF"/>
          <w:sz w:val="2"/>
          <w:szCs w:val="2"/>
        </w:rPr>
      </w:pPr>
      <w:r w:rsidRPr="003E76E7">
        <w:rPr>
          <w:rFonts w:ascii="Arial" w:hAnsi="Arial"/>
          <w:sz w:val="14"/>
          <w:szCs w:val="14"/>
        </w:rPr>
        <w:br w:type="page"/>
      </w:r>
      <w:r w:rsidRPr="003E76E7">
        <w:rPr>
          <w:color w:val="FFFFFF"/>
          <w:sz w:val="2"/>
          <w:szCs w:val="2"/>
        </w:rPr>
        <w:lastRenderedPageBreak/>
        <w:t>Administered Program 2.20: Defence Force Superannuation Benefits</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1883"/>
        <w:gridCol w:w="3032"/>
        <w:gridCol w:w="3636"/>
      </w:tblGrid>
      <w:tr w:rsidR="00F7100A" w:rsidRPr="003E76E7" w14:paraId="24BB4D3E" w14:textId="77777777" w:rsidTr="00A211F5">
        <w:tc>
          <w:tcPr>
            <w:tcW w:w="8551" w:type="dxa"/>
            <w:gridSpan w:val="3"/>
            <w:tcBorders>
              <w:bottom w:val="single" w:sz="4" w:space="0" w:color="auto"/>
            </w:tcBorders>
            <w:shd w:val="clear" w:color="auto" w:fill="CCCCCC"/>
          </w:tcPr>
          <w:p w14:paraId="54B7A82B" w14:textId="77777777" w:rsidR="00F7100A" w:rsidRPr="003E76E7" w:rsidRDefault="00F7100A" w:rsidP="00C4292D">
            <w:pPr>
              <w:pStyle w:val="Heading5"/>
              <w:spacing w:before="60" w:after="60"/>
            </w:pPr>
            <w:r w:rsidRPr="003E76E7">
              <w:rPr>
                <w:sz w:val="14"/>
                <w:szCs w:val="14"/>
              </w:rPr>
              <w:br w:type="page"/>
            </w:r>
            <w:r w:rsidRPr="003E76E7">
              <w:t>Administered Program 2.20: Defence Force Superannuation Benefits</w:t>
            </w:r>
          </w:p>
        </w:tc>
      </w:tr>
      <w:tr w:rsidR="00F7100A" w:rsidRPr="003E76E7" w14:paraId="4BBCDD99" w14:textId="77777777" w:rsidTr="00A211F5">
        <w:tc>
          <w:tcPr>
            <w:tcW w:w="8551" w:type="dxa"/>
            <w:gridSpan w:val="3"/>
            <w:tcBorders>
              <w:top w:val="single" w:sz="4" w:space="0" w:color="auto"/>
              <w:left w:val="nil"/>
              <w:bottom w:val="single" w:sz="4" w:space="0" w:color="auto"/>
              <w:right w:val="nil"/>
            </w:tcBorders>
            <w:shd w:val="clear" w:color="auto" w:fill="auto"/>
          </w:tcPr>
          <w:p w14:paraId="408F1246" w14:textId="77777777" w:rsidR="00F7100A" w:rsidRPr="003E76E7" w:rsidRDefault="00F7100A" w:rsidP="00C4292D">
            <w:pPr>
              <w:pStyle w:val="Heading5"/>
              <w:spacing w:before="0" w:after="0"/>
              <w:rPr>
                <w:sz w:val="16"/>
                <w:szCs w:val="16"/>
              </w:rPr>
            </w:pPr>
          </w:p>
        </w:tc>
      </w:tr>
      <w:tr w:rsidR="00F7100A" w:rsidRPr="003E76E7" w14:paraId="271F3004" w14:textId="77777777" w:rsidTr="00A211F5">
        <w:trPr>
          <w:tblHeader/>
        </w:trPr>
        <w:tc>
          <w:tcPr>
            <w:tcW w:w="8551" w:type="dxa"/>
            <w:gridSpan w:val="3"/>
            <w:tcBorders>
              <w:top w:val="single" w:sz="4" w:space="0" w:color="auto"/>
            </w:tcBorders>
            <w:shd w:val="clear" w:color="auto" w:fill="E6E6E6"/>
          </w:tcPr>
          <w:p w14:paraId="110C0B73" w14:textId="77777777" w:rsidR="00367BBF" w:rsidRPr="003E76E7" w:rsidRDefault="00367BBF" w:rsidP="00C4292D">
            <w:pPr>
              <w:tabs>
                <w:tab w:val="left" w:pos="709"/>
              </w:tabs>
              <w:spacing w:before="60" w:after="60"/>
              <w:rPr>
                <w:rFonts w:ascii="Arial" w:hAnsi="Arial"/>
                <w:sz w:val="16"/>
                <w:szCs w:val="16"/>
                <w:lang w:val="en-AU"/>
              </w:rPr>
            </w:pPr>
            <w:r w:rsidRPr="003E76E7">
              <w:rPr>
                <w:rFonts w:ascii="Arial" w:hAnsi="Arial"/>
                <w:b/>
                <w:sz w:val="16"/>
                <w:szCs w:val="16"/>
                <w:lang w:val="en-AU"/>
              </w:rPr>
              <w:t>Administered Program 2.20</w:t>
            </w:r>
            <w:r w:rsidRPr="003E76E7">
              <w:rPr>
                <w:rFonts w:ascii="Arial" w:hAnsi="Arial"/>
                <w:sz w:val="16"/>
                <w:szCs w:val="16"/>
                <w:lang w:val="en-AU"/>
              </w:rPr>
              <w:t xml:space="preserve"> </w:t>
            </w:r>
            <w:r w:rsidRPr="003E76E7">
              <w:rPr>
                <w:rFonts w:ascii="Arial" w:hAnsi="Arial"/>
                <w:b/>
                <w:sz w:val="16"/>
                <w:szCs w:val="16"/>
                <w:lang w:val="en-AU"/>
              </w:rPr>
              <w:t>Objective</w:t>
            </w:r>
          </w:p>
          <w:p w14:paraId="0F721869" w14:textId="1FFD57C3" w:rsidR="00F7100A" w:rsidRPr="003E76E7" w:rsidRDefault="00367BBF" w:rsidP="00C4292D">
            <w:pPr>
              <w:tabs>
                <w:tab w:val="left" w:pos="709"/>
              </w:tabs>
              <w:spacing w:before="0" w:after="60"/>
              <w:rPr>
                <w:rFonts w:ascii="Arial" w:hAnsi="Arial"/>
                <w:sz w:val="16"/>
                <w:szCs w:val="16"/>
              </w:rPr>
            </w:pPr>
            <w:r w:rsidRPr="003E76E7">
              <w:rPr>
                <w:rFonts w:ascii="Arial" w:hAnsi="Arial"/>
                <w:sz w:val="16"/>
                <w:szCs w:val="16"/>
                <w:lang w:val="en-AU"/>
              </w:rPr>
              <w:t>To administer and report member and employer contributions paid during the year to the Defence Force Retirement and Death Benefits (DFRDB) scheme, the Military Superannuation and Benefits Scheme (MSBS) and ADF Super. It accounts for the liability for these schemes plus the Defence Forces Retirement Benefits (DFRB) scheme and the statutory death and invalidity scheme, ADF Cover. This program includes payment of the MSBS Retention Benefit.</w:t>
            </w:r>
          </w:p>
        </w:tc>
      </w:tr>
      <w:tr w:rsidR="00F7100A" w:rsidRPr="003E76E7" w14:paraId="2B75B9C8" w14:textId="77777777" w:rsidTr="00A211F5">
        <w:trPr>
          <w:trHeight w:val="312"/>
        </w:trPr>
        <w:tc>
          <w:tcPr>
            <w:tcW w:w="1883" w:type="dxa"/>
            <w:tcBorders>
              <w:bottom w:val="single" w:sz="4" w:space="0" w:color="auto"/>
            </w:tcBorders>
            <w:shd w:val="clear" w:color="auto" w:fill="auto"/>
          </w:tcPr>
          <w:p w14:paraId="7281C1F2" w14:textId="77777777" w:rsidR="00F7100A" w:rsidRPr="003E76E7" w:rsidRDefault="00F7100A" w:rsidP="00C4292D">
            <w:pPr>
              <w:tabs>
                <w:tab w:val="left" w:pos="709"/>
              </w:tabs>
              <w:spacing w:before="60" w:after="60"/>
              <w:rPr>
                <w:rFonts w:ascii="Arial" w:hAnsi="Arial"/>
                <w:b/>
                <w:color w:val="000000"/>
                <w:sz w:val="16"/>
                <w:szCs w:val="16"/>
              </w:rPr>
            </w:pPr>
            <w:r w:rsidRPr="003E76E7">
              <w:rPr>
                <w:rFonts w:ascii="Arial" w:hAnsi="Arial"/>
                <w:b/>
                <w:color w:val="000000"/>
                <w:sz w:val="16"/>
                <w:szCs w:val="16"/>
              </w:rPr>
              <w:t>Key Activit</w:t>
            </w:r>
            <w:r w:rsidR="00B41377" w:rsidRPr="003E76E7">
              <w:rPr>
                <w:rFonts w:ascii="Arial" w:hAnsi="Arial"/>
                <w:b/>
                <w:color w:val="000000"/>
                <w:sz w:val="16"/>
                <w:szCs w:val="16"/>
              </w:rPr>
              <w:t>y</w:t>
            </w:r>
          </w:p>
        </w:tc>
        <w:tc>
          <w:tcPr>
            <w:tcW w:w="6668" w:type="dxa"/>
            <w:gridSpan w:val="2"/>
            <w:tcBorders>
              <w:bottom w:val="single" w:sz="4" w:space="0" w:color="auto"/>
            </w:tcBorders>
            <w:shd w:val="clear" w:color="auto" w:fill="auto"/>
          </w:tcPr>
          <w:p w14:paraId="393789C6" w14:textId="77777777" w:rsidR="00367BBF" w:rsidRPr="003E76E7" w:rsidRDefault="00367BBF" w:rsidP="00C4292D">
            <w:pPr>
              <w:tabs>
                <w:tab w:val="left" w:pos="709"/>
              </w:tabs>
              <w:spacing w:before="60" w:after="60"/>
              <w:rPr>
                <w:rFonts w:ascii="Arial" w:hAnsi="Arial"/>
                <w:bCs/>
                <w:color w:val="000000"/>
                <w:sz w:val="16"/>
                <w:szCs w:val="16"/>
                <w:lang w:val="en-AU"/>
              </w:rPr>
            </w:pPr>
            <w:r w:rsidRPr="003E76E7">
              <w:rPr>
                <w:rFonts w:ascii="Arial" w:hAnsi="Arial"/>
                <w:bCs/>
                <w:color w:val="000000"/>
                <w:sz w:val="16"/>
                <w:szCs w:val="16"/>
                <w:lang w:val="en-AU"/>
              </w:rPr>
              <w:t>This program will be achieved through the following activity:</w:t>
            </w:r>
          </w:p>
          <w:p w14:paraId="7E2D507D" w14:textId="0865C52B" w:rsidR="00F7100A" w:rsidRPr="003E76E7" w:rsidRDefault="00367BBF" w:rsidP="00C4292D">
            <w:pPr>
              <w:tabs>
                <w:tab w:val="left" w:pos="343"/>
              </w:tabs>
              <w:spacing w:before="60" w:after="120"/>
              <w:rPr>
                <w:rFonts w:ascii="Arial" w:hAnsi="Arial"/>
                <w:i/>
                <w:color w:val="000000"/>
                <w:sz w:val="16"/>
                <w:szCs w:val="16"/>
              </w:rPr>
            </w:pPr>
            <w:r w:rsidRPr="003E76E7">
              <w:rPr>
                <w:rFonts w:ascii="Arial" w:hAnsi="Arial"/>
                <w:b/>
                <w:sz w:val="16"/>
                <w:szCs w:val="16"/>
                <w:lang w:val="en-AU"/>
              </w:rPr>
              <w:t>4. Defence invests in its people through recruitment and retention, growth in skills and capabilities, improved culture, mental health and wellbeing support, and support to ADF families.</w:t>
            </w:r>
          </w:p>
        </w:tc>
      </w:tr>
      <w:tr w:rsidR="00F7100A" w:rsidRPr="003E76E7" w14:paraId="544FCB41" w14:textId="77777777" w:rsidTr="00A211F5">
        <w:tblPrEx>
          <w:shd w:val="clear" w:color="auto" w:fill="auto"/>
          <w:tblLook w:val="04A0" w:firstRow="1" w:lastRow="0" w:firstColumn="1" w:lastColumn="0" w:noHBand="0" w:noVBand="1"/>
        </w:tblPrEx>
        <w:trPr>
          <w:trHeight w:val="100"/>
        </w:trPr>
        <w:tc>
          <w:tcPr>
            <w:tcW w:w="1883" w:type="dxa"/>
            <w:tcBorders>
              <w:top w:val="single" w:sz="4" w:space="0" w:color="auto"/>
              <w:bottom w:val="single" w:sz="4" w:space="0" w:color="auto"/>
              <w:right w:val="single" w:sz="4" w:space="0" w:color="auto"/>
            </w:tcBorders>
          </w:tcPr>
          <w:p w14:paraId="5E64F68F" w14:textId="77777777" w:rsidR="00F7100A" w:rsidRPr="003E76E7" w:rsidRDefault="00F7100A" w:rsidP="00C4292D">
            <w:pPr>
              <w:tabs>
                <w:tab w:val="left" w:pos="709"/>
              </w:tabs>
              <w:spacing w:before="60" w:after="60"/>
              <w:rPr>
                <w:rFonts w:ascii="Arial" w:hAnsi="Arial"/>
                <w:color w:val="000000"/>
                <w:sz w:val="16"/>
                <w:szCs w:val="16"/>
              </w:rPr>
            </w:pPr>
            <w:r w:rsidRPr="003E76E7">
              <w:rPr>
                <w:rFonts w:ascii="Arial" w:hAnsi="Arial"/>
                <w:b/>
                <w:color w:val="000000"/>
                <w:sz w:val="16"/>
                <w:szCs w:val="16"/>
              </w:rPr>
              <w:t>Year</w:t>
            </w:r>
          </w:p>
        </w:tc>
        <w:tc>
          <w:tcPr>
            <w:tcW w:w="3032" w:type="dxa"/>
            <w:tcBorders>
              <w:top w:val="single" w:sz="4" w:space="0" w:color="auto"/>
              <w:left w:val="single" w:sz="4" w:space="0" w:color="auto"/>
              <w:bottom w:val="single" w:sz="4" w:space="0" w:color="auto"/>
              <w:right w:val="single" w:sz="4" w:space="0" w:color="auto"/>
            </w:tcBorders>
          </w:tcPr>
          <w:p w14:paraId="6253C209" w14:textId="5E009875" w:rsidR="00F7100A" w:rsidRPr="003E76E7" w:rsidRDefault="00AD14EC" w:rsidP="00C4292D">
            <w:pPr>
              <w:tabs>
                <w:tab w:val="left" w:pos="709"/>
              </w:tabs>
              <w:spacing w:before="60" w:after="60"/>
              <w:rPr>
                <w:rFonts w:ascii="Arial" w:hAnsi="Arial"/>
                <w:color w:val="000000"/>
              </w:rPr>
            </w:pPr>
            <w:r w:rsidRPr="003E76E7">
              <w:rPr>
                <w:rFonts w:ascii="Arial" w:hAnsi="Arial"/>
                <w:b/>
                <w:color w:val="000000"/>
                <w:sz w:val="16"/>
                <w:szCs w:val="16"/>
              </w:rPr>
              <w:t>Performance Measures</w:t>
            </w:r>
          </w:p>
        </w:tc>
        <w:tc>
          <w:tcPr>
            <w:tcW w:w="3636" w:type="dxa"/>
            <w:tcBorders>
              <w:top w:val="single" w:sz="4" w:space="0" w:color="auto"/>
              <w:left w:val="single" w:sz="4" w:space="0" w:color="auto"/>
              <w:bottom w:val="single" w:sz="4" w:space="0" w:color="auto"/>
            </w:tcBorders>
          </w:tcPr>
          <w:p w14:paraId="4247B74D" w14:textId="77777777" w:rsidR="00F7100A" w:rsidRPr="003E76E7" w:rsidRDefault="00F7100A" w:rsidP="00C4292D">
            <w:pPr>
              <w:tabs>
                <w:tab w:val="left" w:pos="709"/>
              </w:tabs>
              <w:spacing w:before="60" w:after="60"/>
              <w:rPr>
                <w:rFonts w:ascii="Arial" w:hAnsi="Arial"/>
                <w:i/>
                <w:color w:val="000000"/>
                <w:sz w:val="16"/>
                <w:szCs w:val="16"/>
              </w:rPr>
            </w:pPr>
            <w:r w:rsidRPr="003E76E7">
              <w:rPr>
                <w:rFonts w:ascii="Arial" w:hAnsi="Arial"/>
                <w:b/>
                <w:color w:val="000000"/>
                <w:sz w:val="16"/>
                <w:szCs w:val="16"/>
              </w:rPr>
              <w:t>Expected Performance Results</w:t>
            </w:r>
          </w:p>
        </w:tc>
      </w:tr>
      <w:tr w:rsidR="00172963" w:rsidRPr="003E76E7" w14:paraId="5290E23E" w14:textId="77777777" w:rsidTr="00A211F5">
        <w:tblPrEx>
          <w:shd w:val="clear" w:color="auto" w:fill="auto"/>
          <w:tblLook w:val="04A0" w:firstRow="1" w:lastRow="0" w:firstColumn="1" w:lastColumn="0" w:noHBand="0" w:noVBand="1"/>
        </w:tblPrEx>
        <w:trPr>
          <w:trHeight w:val="305"/>
        </w:trPr>
        <w:tc>
          <w:tcPr>
            <w:tcW w:w="1883" w:type="dxa"/>
            <w:vMerge w:val="restart"/>
            <w:tcBorders>
              <w:top w:val="single" w:sz="4" w:space="0" w:color="auto"/>
              <w:left w:val="single" w:sz="4" w:space="0" w:color="auto"/>
              <w:right w:val="single" w:sz="4" w:space="0" w:color="auto"/>
            </w:tcBorders>
          </w:tcPr>
          <w:p w14:paraId="143564FE" w14:textId="77777777" w:rsidR="00172963" w:rsidRPr="003E76E7" w:rsidRDefault="00172963" w:rsidP="00C4292D">
            <w:pPr>
              <w:tabs>
                <w:tab w:val="left" w:pos="709"/>
              </w:tabs>
              <w:spacing w:before="0" w:after="0"/>
              <w:rPr>
                <w:rFonts w:ascii="Arial" w:hAnsi="Arial"/>
                <w:color w:val="000000"/>
                <w:sz w:val="16"/>
                <w:szCs w:val="16"/>
              </w:rPr>
            </w:pPr>
            <w:r w:rsidRPr="003E76E7">
              <w:rPr>
                <w:rFonts w:ascii="Arial" w:hAnsi="Arial"/>
                <w:color w:val="000000"/>
                <w:sz w:val="16"/>
                <w:szCs w:val="16"/>
              </w:rPr>
              <w:t>Current Year</w:t>
            </w:r>
          </w:p>
          <w:p w14:paraId="5F7018B9" w14:textId="1F930E45" w:rsidR="00172963" w:rsidRPr="003E76E7" w:rsidRDefault="00172963" w:rsidP="00C4292D">
            <w:pPr>
              <w:tabs>
                <w:tab w:val="left" w:pos="709"/>
              </w:tabs>
              <w:spacing w:before="0" w:after="0"/>
              <w:rPr>
                <w:rFonts w:ascii="Arial" w:hAnsi="Arial"/>
                <w:color w:val="000000"/>
                <w:sz w:val="16"/>
                <w:szCs w:val="16"/>
              </w:rPr>
            </w:pPr>
            <w:r w:rsidRPr="003E76E7">
              <w:rPr>
                <w:rFonts w:ascii="Arial" w:hAnsi="Arial"/>
                <w:color w:val="000000"/>
                <w:sz w:val="16"/>
                <w:szCs w:val="16"/>
              </w:rPr>
              <w:t xml:space="preserve">2025-26 </w:t>
            </w:r>
            <w:r w:rsidRPr="003E76E7">
              <w:rPr>
                <w:rFonts w:ascii="Arial" w:hAnsi="Arial"/>
                <w:color w:val="000000"/>
                <w:sz w:val="16"/>
                <w:szCs w:val="16"/>
                <w:vertAlign w:val="superscript"/>
              </w:rPr>
              <w:t>[a]</w:t>
            </w:r>
          </w:p>
        </w:tc>
        <w:tc>
          <w:tcPr>
            <w:tcW w:w="3032" w:type="dxa"/>
            <w:tcBorders>
              <w:top w:val="single" w:sz="4" w:space="0" w:color="auto"/>
              <w:left w:val="single" w:sz="4" w:space="0" w:color="auto"/>
              <w:bottom w:val="single" w:sz="4" w:space="0" w:color="auto"/>
              <w:right w:val="single" w:sz="4" w:space="0" w:color="auto"/>
            </w:tcBorders>
          </w:tcPr>
          <w:p w14:paraId="6A7150BD" w14:textId="7E8B1484" w:rsidR="00172963" w:rsidRPr="003E76E7" w:rsidRDefault="00172963" w:rsidP="00C4292D">
            <w:pPr>
              <w:tabs>
                <w:tab w:val="left" w:pos="709"/>
              </w:tabs>
              <w:spacing w:before="60" w:after="60"/>
              <w:rPr>
                <w:rFonts w:ascii="Arial" w:hAnsi="Arial"/>
                <w:sz w:val="16"/>
                <w:szCs w:val="16"/>
                <w:lang w:val="en-AU"/>
              </w:rPr>
            </w:pPr>
            <w:r w:rsidRPr="003E76E7">
              <w:rPr>
                <w:rFonts w:ascii="Arial" w:hAnsi="Arial"/>
                <w:sz w:val="16"/>
                <w:szCs w:val="16"/>
                <w:lang w:val="en-AU"/>
              </w:rPr>
              <w:t>4.1: Defence recruits and retains an ADF and APS workforce to support the Defence mission.</w:t>
            </w:r>
          </w:p>
        </w:tc>
        <w:tc>
          <w:tcPr>
            <w:tcW w:w="3636" w:type="dxa"/>
            <w:tcBorders>
              <w:top w:val="single" w:sz="4" w:space="0" w:color="auto"/>
              <w:left w:val="single" w:sz="4" w:space="0" w:color="auto"/>
              <w:bottom w:val="single" w:sz="4" w:space="0" w:color="auto"/>
              <w:right w:val="single" w:sz="4" w:space="0" w:color="auto"/>
            </w:tcBorders>
          </w:tcPr>
          <w:p w14:paraId="4171A297" w14:textId="3BDE4D42" w:rsidR="002913A3" w:rsidRPr="003E76E7" w:rsidRDefault="00172963" w:rsidP="00C4292D">
            <w:pPr>
              <w:spacing w:before="60" w:after="60"/>
              <w:rPr>
                <w:rFonts w:ascii="Arial" w:hAnsi="Arial"/>
                <w:sz w:val="16"/>
                <w:szCs w:val="16"/>
              </w:rPr>
            </w:pPr>
            <w:r w:rsidRPr="003E76E7">
              <w:rPr>
                <w:rFonts w:ascii="Arial" w:hAnsi="Arial"/>
                <w:sz w:val="16"/>
                <w:szCs w:val="16"/>
              </w:rPr>
              <w:t xml:space="preserve">Defence achieves the ADF and APS Budgeted Workforce Requirement as set out in the </w:t>
            </w:r>
            <w:r w:rsidR="00473A08" w:rsidRPr="003E76E7">
              <w:rPr>
                <w:rFonts w:ascii="Arial" w:hAnsi="Arial"/>
                <w:sz w:val="16"/>
                <w:szCs w:val="16"/>
              </w:rPr>
              <w:br/>
            </w:r>
            <w:r w:rsidRPr="003E76E7">
              <w:rPr>
                <w:rFonts w:ascii="Arial" w:hAnsi="Arial"/>
                <w:i/>
                <w:sz w:val="16"/>
                <w:szCs w:val="16"/>
              </w:rPr>
              <w:t>Portfolio Budget Statements</w:t>
            </w:r>
            <w:r w:rsidR="003D1053">
              <w:rPr>
                <w:rFonts w:ascii="Arial" w:hAnsi="Arial"/>
                <w:i/>
                <w:sz w:val="16"/>
                <w:szCs w:val="16"/>
              </w:rPr>
              <w:t xml:space="preserve"> </w:t>
            </w:r>
            <w:r w:rsidR="003D1053" w:rsidRPr="003E76E7">
              <w:rPr>
                <w:rFonts w:ascii="Arial" w:hAnsi="Arial"/>
                <w:i/>
                <w:sz w:val="16"/>
                <w:szCs w:val="16"/>
              </w:rPr>
              <w:t>2025-26</w:t>
            </w:r>
            <w:r w:rsidRPr="003E76E7">
              <w:rPr>
                <w:rFonts w:ascii="Arial" w:hAnsi="Arial"/>
                <w:sz w:val="16"/>
                <w:szCs w:val="16"/>
              </w:rPr>
              <w:t xml:space="preserve"> and the net flow of the ADF and APS workforce over a 12 month period is trending positive and is positioning Defence to achieve the Budgeted Workforce Requirement over the </w:t>
            </w:r>
            <w:r w:rsidR="00D34381" w:rsidRPr="003E76E7">
              <w:rPr>
                <w:rFonts w:ascii="Arial" w:hAnsi="Arial"/>
                <w:sz w:val="16"/>
                <w:szCs w:val="16"/>
              </w:rPr>
              <w:t>F</w:t>
            </w:r>
            <w:r w:rsidRPr="003E76E7">
              <w:rPr>
                <w:rFonts w:ascii="Arial" w:hAnsi="Arial"/>
                <w:sz w:val="16"/>
                <w:szCs w:val="16"/>
              </w:rPr>
              <w:t xml:space="preserve">orward </w:t>
            </w:r>
            <w:r w:rsidR="00D34381" w:rsidRPr="003E76E7">
              <w:rPr>
                <w:rFonts w:ascii="Arial" w:hAnsi="Arial"/>
                <w:sz w:val="16"/>
                <w:szCs w:val="16"/>
              </w:rPr>
              <w:t>E</w:t>
            </w:r>
            <w:r w:rsidRPr="003E76E7">
              <w:rPr>
                <w:rFonts w:ascii="Arial" w:hAnsi="Arial"/>
                <w:sz w:val="16"/>
                <w:szCs w:val="16"/>
              </w:rPr>
              <w:t>stimates.</w:t>
            </w:r>
          </w:p>
          <w:p w14:paraId="040BC4FD" w14:textId="513EB7F8" w:rsidR="00172963" w:rsidRPr="003E76E7" w:rsidRDefault="00172963" w:rsidP="00C4292D">
            <w:pPr>
              <w:spacing w:before="60" w:after="60"/>
              <w:jc w:val="right"/>
              <w:rPr>
                <w:i/>
              </w:rPr>
            </w:pPr>
            <w:r w:rsidRPr="003E76E7">
              <w:rPr>
                <w:rFonts w:ascii="Arial" w:hAnsi="Arial"/>
                <w:i/>
                <w:sz w:val="16"/>
                <w:szCs w:val="16"/>
              </w:rPr>
              <w:t>Expected to be partially achieved.</w:t>
            </w:r>
          </w:p>
        </w:tc>
      </w:tr>
      <w:tr w:rsidR="00172963" w:rsidRPr="003E76E7" w14:paraId="3D5D4F9B" w14:textId="77777777" w:rsidTr="00A211F5">
        <w:tblPrEx>
          <w:shd w:val="clear" w:color="auto" w:fill="auto"/>
          <w:tblLook w:val="04A0" w:firstRow="1" w:lastRow="0" w:firstColumn="1" w:lastColumn="0" w:noHBand="0" w:noVBand="1"/>
        </w:tblPrEx>
        <w:trPr>
          <w:trHeight w:val="305"/>
        </w:trPr>
        <w:tc>
          <w:tcPr>
            <w:tcW w:w="1883" w:type="dxa"/>
            <w:vMerge/>
            <w:tcBorders>
              <w:left w:val="single" w:sz="4" w:space="0" w:color="auto"/>
              <w:right w:val="single" w:sz="4" w:space="0" w:color="auto"/>
            </w:tcBorders>
          </w:tcPr>
          <w:p w14:paraId="1B44578A" w14:textId="77777777" w:rsidR="00172963" w:rsidRPr="003E76E7" w:rsidRDefault="00172963" w:rsidP="00C4292D">
            <w:pPr>
              <w:tabs>
                <w:tab w:val="left" w:pos="709"/>
              </w:tabs>
              <w:spacing w:before="0" w:after="0"/>
              <w:rPr>
                <w:rFonts w:ascii="Arial" w:hAnsi="Arial"/>
                <w:color w:val="000000"/>
                <w:sz w:val="16"/>
                <w:szCs w:val="16"/>
              </w:rPr>
            </w:pPr>
          </w:p>
        </w:tc>
        <w:tc>
          <w:tcPr>
            <w:tcW w:w="3032" w:type="dxa"/>
            <w:tcBorders>
              <w:top w:val="single" w:sz="4" w:space="0" w:color="auto"/>
              <w:left w:val="single" w:sz="4" w:space="0" w:color="auto"/>
              <w:bottom w:val="single" w:sz="4" w:space="0" w:color="auto"/>
              <w:right w:val="single" w:sz="4" w:space="0" w:color="auto"/>
            </w:tcBorders>
          </w:tcPr>
          <w:p w14:paraId="27DF1C01" w14:textId="6E248047" w:rsidR="00172963" w:rsidRPr="003E76E7" w:rsidRDefault="00172963" w:rsidP="00C4292D">
            <w:pPr>
              <w:tabs>
                <w:tab w:val="left" w:pos="709"/>
              </w:tabs>
              <w:spacing w:before="60" w:after="60"/>
              <w:rPr>
                <w:rFonts w:ascii="Arial" w:hAnsi="Arial"/>
                <w:sz w:val="16"/>
                <w:szCs w:val="16"/>
                <w:lang w:val="en-AU"/>
              </w:rPr>
            </w:pPr>
            <w:r w:rsidRPr="003E76E7">
              <w:rPr>
                <w:rFonts w:ascii="Arial" w:hAnsi="Arial"/>
                <w:sz w:val="16"/>
                <w:szCs w:val="16"/>
                <w:lang w:val="en-AU"/>
              </w:rPr>
              <w:t>4.2: Defence grows the necessary skills and capabilities to enable the Defence mission.</w:t>
            </w:r>
          </w:p>
        </w:tc>
        <w:tc>
          <w:tcPr>
            <w:tcW w:w="3636" w:type="dxa"/>
            <w:tcBorders>
              <w:top w:val="single" w:sz="4" w:space="0" w:color="auto"/>
              <w:left w:val="single" w:sz="4" w:space="0" w:color="auto"/>
              <w:bottom w:val="single" w:sz="4" w:space="0" w:color="auto"/>
              <w:right w:val="single" w:sz="4" w:space="0" w:color="auto"/>
            </w:tcBorders>
          </w:tcPr>
          <w:p w14:paraId="012D487C" w14:textId="77777777" w:rsidR="00172963" w:rsidRPr="003E76E7" w:rsidRDefault="00172963" w:rsidP="00C4292D">
            <w:pPr>
              <w:spacing w:before="60" w:after="60"/>
              <w:rPr>
                <w:rFonts w:ascii="Arial" w:hAnsi="Arial"/>
                <w:sz w:val="16"/>
                <w:szCs w:val="16"/>
                <w:lang w:val="en-AU"/>
              </w:rPr>
            </w:pPr>
            <w:r w:rsidRPr="003E76E7">
              <w:rPr>
                <w:rFonts w:ascii="Arial" w:hAnsi="Arial"/>
                <w:sz w:val="16"/>
                <w:szCs w:val="16"/>
                <w:lang w:val="en-AU"/>
              </w:rPr>
              <w:t>The Defence workforce has the technical skills required to deliver the National Defence Strategy, as measured through achieving a full workforce against each of the ADF and APS Strategic Workforce Segments, the net flow of the ADF and APS Strategic Workforce Segments over the financial year, measured against the Budgeted Workforce Requirement, will enable Defence to achieve its future technical skill requirements, and the Australian Submarine Agency are staffed with the required ADF personnel to deliver the Nuclear-Powered Submarine Program.</w:t>
            </w:r>
          </w:p>
          <w:p w14:paraId="460B5F8C" w14:textId="64CEDAAD" w:rsidR="00172963" w:rsidRPr="003E76E7" w:rsidRDefault="00D013CE" w:rsidP="00C4292D">
            <w:pPr>
              <w:spacing w:before="60" w:after="60"/>
              <w:jc w:val="right"/>
              <w:rPr>
                <w:rFonts w:ascii="Arial" w:hAnsi="Arial"/>
                <w:color w:val="000000"/>
                <w:sz w:val="16"/>
                <w:szCs w:val="16"/>
              </w:rPr>
            </w:pPr>
            <w:r w:rsidRPr="003E76E7">
              <w:rPr>
                <w:rFonts w:ascii="Arial" w:hAnsi="Arial"/>
                <w:i/>
                <w:sz w:val="16"/>
                <w:szCs w:val="16"/>
              </w:rPr>
              <w:t>Expected to be partially achieved</w:t>
            </w:r>
            <w:r>
              <w:rPr>
                <w:rFonts w:ascii="Arial" w:hAnsi="Arial"/>
                <w:i/>
                <w:sz w:val="16"/>
                <w:szCs w:val="16"/>
              </w:rPr>
              <w:t>.</w:t>
            </w:r>
          </w:p>
        </w:tc>
      </w:tr>
      <w:tr w:rsidR="00172963" w:rsidRPr="003E76E7" w14:paraId="3CB35FD3" w14:textId="77777777" w:rsidTr="00A211F5">
        <w:tblPrEx>
          <w:shd w:val="clear" w:color="auto" w:fill="auto"/>
          <w:tblLook w:val="04A0" w:firstRow="1" w:lastRow="0" w:firstColumn="1" w:lastColumn="0" w:noHBand="0" w:noVBand="1"/>
        </w:tblPrEx>
        <w:trPr>
          <w:trHeight w:val="305"/>
        </w:trPr>
        <w:tc>
          <w:tcPr>
            <w:tcW w:w="1883" w:type="dxa"/>
            <w:vMerge/>
            <w:tcBorders>
              <w:left w:val="single" w:sz="4" w:space="0" w:color="auto"/>
              <w:bottom w:val="single" w:sz="4" w:space="0" w:color="auto"/>
              <w:right w:val="single" w:sz="4" w:space="0" w:color="auto"/>
            </w:tcBorders>
          </w:tcPr>
          <w:p w14:paraId="3FC3CDAB" w14:textId="77777777" w:rsidR="00172963" w:rsidRPr="003E76E7" w:rsidRDefault="00172963" w:rsidP="00C4292D">
            <w:pPr>
              <w:tabs>
                <w:tab w:val="left" w:pos="709"/>
              </w:tabs>
              <w:spacing w:before="0" w:after="0"/>
              <w:rPr>
                <w:rFonts w:ascii="Arial" w:hAnsi="Arial"/>
                <w:color w:val="000000"/>
                <w:sz w:val="16"/>
                <w:szCs w:val="16"/>
              </w:rPr>
            </w:pPr>
          </w:p>
        </w:tc>
        <w:tc>
          <w:tcPr>
            <w:tcW w:w="3032" w:type="dxa"/>
            <w:tcBorders>
              <w:top w:val="single" w:sz="4" w:space="0" w:color="auto"/>
              <w:left w:val="single" w:sz="4" w:space="0" w:color="auto"/>
              <w:bottom w:val="single" w:sz="4" w:space="0" w:color="auto"/>
              <w:right w:val="single" w:sz="4" w:space="0" w:color="auto"/>
            </w:tcBorders>
          </w:tcPr>
          <w:p w14:paraId="55B5E339" w14:textId="6FE13D75" w:rsidR="00172963" w:rsidRPr="003E76E7" w:rsidRDefault="00172963" w:rsidP="00C4292D">
            <w:pPr>
              <w:tabs>
                <w:tab w:val="left" w:pos="709"/>
              </w:tabs>
              <w:spacing w:before="60" w:after="60"/>
              <w:rPr>
                <w:rFonts w:ascii="Arial" w:hAnsi="Arial"/>
                <w:sz w:val="16"/>
                <w:szCs w:val="16"/>
                <w:lang w:val="en-AU"/>
              </w:rPr>
            </w:pPr>
            <w:r w:rsidRPr="003E76E7">
              <w:rPr>
                <w:rFonts w:ascii="Arial" w:hAnsi="Arial"/>
                <w:sz w:val="16"/>
                <w:szCs w:val="16"/>
                <w:lang w:val="en-AU"/>
              </w:rPr>
              <w:t>4.3: The Defence values and behaviours enable our people to deliver against the Defence mission.</w:t>
            </w:r>
          </w:p>
        </w:tc>
        <w:tc>
          <w:tcPr>
            <w:tcW w:w="3636" w:type="dxa"/>
            <w:tcBorders>
              <w:top w:val="single" w:sz="4" w:space="0" w:color="auto"/>
              <w:left w:val="single" w:sz="4" w:space="0" w:color="auto"/>
              <w:bottom w:val="single" w:sz="4" w:space="0" w:color="auto"/>
              <w:right w:val="single" w:sz="4" w:space="0" w:color="auto"/>
            </w:tcBorders>
          </w:tcPr>
          <w:p w14:paraId="73DD434D" w14:textId="77777777" w:rsidR="00172963" w:rsidRPr="003E76E7" w:rsidRDefault="00172963" w:rsidP="00C4292D">
            <w:pPr>
              <w:spacing w:before="60" w:after="60"/>
              <w:rPr>
                <w:rFonts w:ascii="Arial" w:hAnsi="Arial"/>
                <w:sz w:val="16"/>
                <w:szCs w:val="16"/>
              </w:rPr>
            </w:pPr>
            <w:r w:rsidRPr="003E76E7">
              <w:rPr>
                <w:rFonts w:ascii="Arial" w:hAnsi="Arial"/>
                <w:sz w:val="16"/>
                <w:szCs w:val="16"/>
              </w:rPr>
              <w:t>All ADF and Defence APS personnel believe appropriate action will be taken if they report an incident of unacceptable behaviour in the preceding 12 months, no ADF and Defence APS personnel have experienced unacceptable behaviour in the preceding 12 months, and all ADF and Defence APS personnel view that Defence values are being used in their work area.</w:t>
            </w:r>
          </w:p>
          <w:p w14:paraId="13D710FC" w14:textId="38C30FB5" w:rsidR="00172963" w:rsidRPr="003E76E7" w:rsidRDefault="00C4447C" w:rsidP="00C4292D">
            <w:pPr>
              <w:spacing w:before="60" w:after="60"/>
              <w:jc w:val="right"/>
              <w:rPr>
                <w:rFonts w:ascii="Arial" w:hAnsi="Arial"/>
                <w:i/>
                <w:sz w:val="16"/>
                <w:szCs w:val="16"/>
                <w:lang w:val="en-AU"/>
              </w:rPr>
            </w:pPr>
            <w:r w:rsidRPr="003E76E7">
              <w:rPr>
                <w:rFonts w:ascii="Arial" w:hAnsi="Arial"/>
                <w:i/>
                <w:sz w:val="16"/>
                <w:szCs w:val="16"/>
              </w:rPr>
              <w:t>Expected to be not achieved.</w:t>
            </w:r>
          </w:p>
        </w:tc>
      </w:tr>
      <w:tr w:rsidR="002D69E1" w:rsidRPr="003E76E7" w14:paraId="79A30BD1" w14:textId="77777777" w:rsidTr="00A211F5">
        <w:tblPrEx>
          <w:shd w:val="clear" w:color="auto" w:fill="auto"/>
          <w:tblLook w:val="04A0" w:firstRow="1" w:lastRow="0" w:firstColumn="1" w:lastColumn="0" w:noHBand="0" w:noVBand="1"/>
        </w:tblPrEx>
        <w:trPr>
          <w:trHeight w:val="305"/>
        </w:trPr>
        <w:tc>
          <w:tcPr>
            <w:tcW w:w="1883" w:type="dxa"/>
            <w:tcBorders>
              <w:top w:val="single" w:sz="4" w:space="0" w:color="auto"/>
              <w:left w:val="single" w:sz="4" w:space="0" w:color="auto"/>
              <w:bottom w:val="single" w:sz="4" w:space="0" w:color="auto"/>
              <w:right w:val="single" w:sz="4" w:space="0" w:color="auto"/>
            </w:tcBorders>
            <w:vAlign w:val="center"/>
          </w:tcPr>
          <w:p w14:paraId="48537E73" w14:textId="3DDE724B" w:rsidR="002D69E1" w:rsidRPr="003E76E7" w:rsidRDefault="002D69E1" w:rsidP="00C4292D">
            <w:pPr>
              <w:pageBreakBefore/>
              <w:tabs>
                <w:tab w:val="left" w:pos="709"/>
              </w:tabs>
              <w:spacing w:before="0" w:after="0"/>
              <w:rPr>
                <w:rFonts w:ascii="Arial" w:hAnsi="Arial"/>
                <w:color w:val="000000"/>
                <w:sz w:val="16"/>
                <w:szCs w:val="16"/>
              </w:rPr>
            </w:pPr>
            <w:r w:rsidRPr="003E76E7">
              <w:rPr>
                <w:rFonts w:ascii="Arial" w:hAnsi="Arial"/>
                <w:b/>
                <w:color w:val="000000"/>
                <w:sz w:val="16"/>
                <w:szCs w:val="16"/>
              </w:rPr>
              <w:lastRenderedPageBreak/>
              <w:t>Year</w:t>
            </w:r>
          </w:p>
        </w:tc>
        <w:tc>
          <w:tcPr>
            <w:tcW w:w="3032" w:type="dxa"/>
            <w:tcBorders>
              <w:top w:val="single" w:sz="4" w:space="0" w:color="auto"/>
              <w:left w:val="single" w:sz="4" w:space="0" w:color="auto"/>
              <w:bottom w:val="single" w:sz="4" w:space="0" w:color="auto"/>
              <w:right w:val="single" w:sz="4" w:space="0" w:color="auto"/>
            </w:tcBorders>
            <w:vAlign w:val="center"/>
          </w:tcPr>
          <w:p w14:paraId="4626DBB1" w14:textId="57E5B145" w:rsidR="002D69E1" w:rsidRPr="003E76E7" w:rsidRDefault="00AD14EC" w:rsidP="00C4292D">
            <w:pPr>
              <w:tabs>
                <w:tab w:val="left" w:pos="709"/>
              </w:tabs>
              <w:spacing w:before="60" w:after="60"/>
              <w:rPr>
                <w:rFonts w:ascii="Arial" w:hAnsi="Arial"/>
                <w:sz w:val="16"/>
                <w:szCs w:val="16"/>
                <w:lang w:val="en-AU"/>
              </w:rPr>
            </w:pPr>
            <w:r w:rsidRPr="003E76E7">
              <w:rPr>
                <w:rFonts w:ascii="Arial" w:hAnsi="Arial"/>
                <w:b/>
                <w:color w:val="000000"/>
                <w:sz w:val="16"/>
                <w:szCs w:val="16"/>
              </w:rPr>
              <w:t>Performance Measures</w:t>
            </w:r>
          </w:p>
        </w:tc>
        <w:tc>
          <w:tcPr>
            <w:tcW w:w="3636" w:type="dxa"/>
            <w:tcBorders>
              <w:top w:val="single" w:sz="4" w:space="0" w:color="auto"/>
              <w:left w:val="single" w:sz="4" w:space="0" w:color="auto"/>
              <w:bottom w:val="single" w:sz="4" w:space="0" w:color="auto"/>
              <w:right w:val="single" w:sz="4" w:space="0" w:color="auto"/>
            </w:tcBorders>
            <w:vAlign w:val="center"/>
          </w:tcPr>
          <w:p w14:paraId="5BC6EDF1" w14:textId="62B2B329" w:rsidR="002D69E1" w:rsidRPr="003E76E7" w:rsidRDefault="002D69E1" w:rsidP="00C4292D">
            <w:pPr>
              <w:tabs>
                <w:tab w:val="left" w:pos="709"/>
              </w:tabs>
              <w:spacing w:before="60" w:after="60"/>
              <w:rPr>
                <w:rFonts w:ascii="Arial" w:hAnsi="Arial"/>
                <w:sz w:val="16"/>
                <w:szCs w:val="16"/>
                <w:lang w:val="en-AU"/>
              </w:rPr>
            </w:pPr>
            <w:r w:rsidRPr="003E76E7">
              <w:rPr>
                <w:rFonts w:ascii="Arial" w:hAnsi="Arial"/>
                <w:b/>
                <w:color w:val="000000"/>
                <w:sz w:val="16"/>
                <w:szCs w:val="16"/>
              </w:rPr>
              <w:t>Expected Performance Results</w:t>
            </w:r>
          </w:p>
        </w:tc>
      </w:tr>
      <w:tr w:rsidR="00172963" w:rsidRPr="003E76E7" w14:paraId="1FC99F98" w14:textId="77777777" w:rsidTr="00A211F5">
        <w:tblPrEx>
          <w:shd w:val="clear" w:color="auto" w:fill="auto"/>
          <w:tblLook w:val="04A0" w:firstRow="1" w:lastRow="0" w:firstColumn="1" w:lastColumn="0" w:noHBand="0" w:noVBand="1"/>
        </w:tblPrEx>
        <w:trPr>
          <w:trHeight w:val="305"/>
        </w:trPr>
        <w:tc>
          <w:tcPr>
            <w:tcW w:w="1883" w:type="dxa"/>
            <w:tcBorders>
              <w:top w:val="single" w:sz="4" w:space="0" w:color="auto"/>
              <w:left w:val="single" w:sz="4" w:space="0" w:color="auto"/>
              <w:bottom w:val="single" w:sz="4" w:space="0" w:color="auto"/>
              <w:right w:val="single" w:sz="4" w:space="0" w:color="auto"/>
            </w:tcBorders>
          </w:tcPr>
          <w:p w14:paraId="7C85093A" w14:textId="77777777" w:rsidR="00172963" w:rsidRPr="003E76E7" w:rsidRDefault="00172963" w:rsidP="00C4292D">
            <w:pPr>
              <w:tabs>
                <w:tab w:val="left" w:pos="709"/>
              </w:tabs>
              <w:spacing w:before="0" w:after="0"/>
              <w:rPr>
                <w:rFonts w:ascii="Arial" w:hAnsi="Arial"/>
                <w:color w:val="000000"/>
                <w:sz w:val="16"/>
                <w:szCs w:val="16"/>
              </w:rPr>
            </w:pPr>
            <w:r w:rsidRPr="003E76E7">
              <w:rPr>
                <w:rFonts w:ascii="Arial" w:hAnsi="Arial"/>
                <w:color w:val="000000"/>
                <w:sz w:val="16"/>
                <w:szCs w:val="16"/>
              </w:rPr>
              <w:t>Current Year</w:t>
            </w:r>
          </w:p>
          <w:p w14:paraId="486FF80B" w14:textId="57812F7E" w:rsidR="00172963" w:rsidRPr="003E76E7" w:rsidRDefault="00172963" w:rsidP="00C4292D">
            <w:pPr>
              <w:tabs>
                <w:tab w:val="left" w:pos="709"/>
              </w:tabs>
              <w:spacing w:before="0" w:after="0"/>
              <w:rPr>
                <w:rFonts w:ascii="Arial" w:hAnsi="Arial"/>
                <w:color w:val="000000"/>
                <w:sz w:val="16"/>
                <w:szCs w:val="16"/>
              </w:rPr>
            </w:pPr>
            <w:r w:rsidRPr="003E76E7">
              <w:rPr>
                <w:rFonts w:ascii="Arial" w:hAnsi="Arial"/>
                <w:color w:val="000000"/>
                <w:sz w:val="16"/>
                <w:szCs w:val="16"/>
              </w:rPr>
              <w:t xml:space="preserve">2025-26 </w:t>
            </w:r>
            <w:r w:rsidRPr="003E76E7">
              <w:rPr>
                <w:rFonts w:ascii="Arial" w:hAnsi="Arial"/>
                <w:color w:val="000000"/>
                <w:sz w:val="16"/>
                <w:szCs w:val="16"/>
                <w:vertAlign w:val="superscript"/>
              </w:rPr>
              <w:t>[a]</w:t>
            </w:r>
          </w:p>
        </w:tc>
        <w:tc>
          <w:tcPr>
            <w:tcW w:w="3032" w:type="dxa"/>
            <w:tcBorders>
              <w:top w:val="single" w:sz="4" w:space="0" w:color="auto"/>
              <w:left w:val="single" w:sz="4" w:space="0" w:color="auto"/>
              <w:bottom w:val="single" w:sz="4" w:space="0" w:color="auto"/>
              <w:right w:val="single" w:sz="4" w:space="0" w:color="auto"/>
            </w:tcBorders>
          </w:tcPr>
          <w:p w14:paraId="0A8BA866" w14:textId="46B76918" w:rsidR="00172963" w:rsidRPr="003E76E7" w:rsidRDefault="00172963" w:rsidP="00C4292D">
            <w:pPr>
              <w:tabs>
                <w:tab w:val="left" w:pos="709"/>
              </w:tabs>
              <w:spacing w:before="60" w:after="60"/>
              <w:rPr>
                <w:rFonts w:ascii="Arial" w:hAnsi="Arial"/>
                <w:sz w:val="16"/>
                <w:szCs w:val="16"/>
                <w:lang w:val="en-AU"/>
              </w:rPr>
            </w:pPr>
            <w:r w:rsidRPr="003E76E7">
              <w:rPr>
                <w:rFonts w:ascii="Arial" w:hAnsi="Arial"/>
                <w:sz w:val="16"/>
                <w:szCs w:val="16"/>
                <w:lang w:val="en-AU"/>
              </w:rPr>
              <w:t>4.4: Defence supports ADF members and their families by providing access to support services and programs having regard to lifetime wellbeing.</w:t>
            </w:r>
          </w:p>
        </w:tc>
        <w:tc>
          <w:tcPr>
            <w:tcW w:w="3636" w:type="dxa"/>
            <w:tcBorders>
              <w:top w:val="single" w:sz="4" w:space="0" w:color="auto"/>
              <w:left w:val="single" w:sz="4" w:space="0" w:color="auto"/>
              <w:bottom w:val="single" w:sz="4" w:space="0" w:color="auto"/>
              <w:right w:val="single" w:sz="4" w:space="0" w:color="auto"/>
            </w:tcBorders>
          </w:tcPr>
          <w:p w14:paraId="45FB30BE" w14:textId="77777777" w:rsidR="00172963" w:rsidRPr="003E76E7" w:rsidRDefault="00172963" w:rsidP="00C4292D">
            <w:pPr>
              <w:tabs>
                <w:tab w:val="left" w:pos="709"/>
              </w:tabs>
              <w:spacing w:before="60" w:after="60"/>
              <w:rPr>
                <w:rFonts w:ascii="Arial" w:hAnsi="Arial"/>
                <w:sz w:val="16"/>
                <w:szCs w:val="16"/>
                <w:lang w:val="en-AU"/>
              </w:rPr>
            </w:pPr>
            <w:r w:rsidRPr="003E76E7">
              <w:rPr>
                <w:rFonts w:ascii="Arial" w:hAnsi="Arial"/>
                <w:sz w:val="16"/>
                <w:szCs w:val="16"/>
                <w:lang w:val="en-AU"/>
              </w:rPr>
              <w:t>At least 75 per cent of eligible full-time ADF members and their families are registered with the ADF Family Health Program, 100 per cent of the support services of the Partner Assistance Employment Program, Education Assistance Scheme, and Special Accommodation for Emergencies Scheme are provided to full-time ADF and their families in accordance with identified service delivery timeframes, there is an increase in the percentage of Defence suicide prevention training participants who assess that the training is practical, tailored and informed by lived experience, and 100 per cent of Defence-led, Government-agreed recommendations from the Royal Commission into Defence and Veteran Suicide Final Report are complete, or on-track.</w:t>
            </w:r>
          </w:p>
          <w:p w14:paraId="55FB2BBC" w14:textId="5C00309A" w:rsidR="00172963" w:rsidRPr="003E76E7" w:rsidRDefault="00172963" w:rsidP="00C4292D">
            <w:pPr>
              <w:tabs>
                <w:tab w:val="left" w:pos="709"/>
              </w:tabs>
              <w:spacing w:before="60" w:after="60"/>
              <w:jc w:val="right"/>
              <w:rPr>
                <w:rFonts w:ascii="Arial" w:hAnsi="Arial"/>
                <w:i/>
                <w:sz w:val="16"/>
                <w:szCs w:val="16"/>
                <w:lang w:val="en-AU"/>
              </w:rPr>
            </w:pPr>
            <w:r w:rsidRPr="003E76E7">
              <w:rPr>
                <w:rFonts w:ascii="Arial" w:hAnsi="Arial"/>
                <w:i/>
                <w:sz w:val="16"/>
                <w:szCs w:val="16"/>
                <w:lang w:val="en-AU"/>
              </w:rPr>
              <w:t>Expected to be substantially achieved.</w:t>
            </w:r>
          </w:p>
        </w:tc>
      </w:tr>
      <w:tr w:rsidR="002D69E1" w:rsidRPr="003E76E7" w14:paraId="48C6F3F7" w14:textId="77777777" w:rsidTr="00A211F5">
        <w:tblPrEx>
          <w:shd w:val="clear" w:color="auto" w:fill="auto"/>
          <w:tblLook w:val="04A0" w:firstRow="1" w:lastRow="0" w:firstColumn="1" w:lastColumn="0" w:noHBand="0" w:noVBand="1"/>
        </w:tblPrEx>
        <w:trPr>
          <w:trHeight w:val="258"/>
        </w:trPr>
        <w:tc>
          <w:tcPr>
            <w:tcW w:w="1883" w:type="dxa"/>
            <w:tcBorders>
              <w:top w:val="single" w:sz="4" w:space="0" w:color="auto"/>
              <w:bottom w:val="single" w:sz="4" w:space="0" w:color="auto"/>
              <w:right w:val="single" w:sz="4" w:space="0" w:color="auto"/>
            </w:tcBorders>
          </w:tcPr>
          <w:p w14:paraId="14FC4AF6" w14:textId="77777777" w:rsidR="002D69E1" w:rsidRPr="003E76E7" w:rsidRDefault="002D69E1" w:rsidP="00C4292D">
            <w:pPr>
              <w:tabs>
                <w:tab w:val="left" w:pos="709"/>
              </w:tabs>
              <w:spacing w:before="60" w:after="60"/>
              <w:rPr>
                <w:rFonts w:ascii="Arial" w:hAnsi="Arial"/>
                <w:b/>
                <w:color w:val="000000"/>
                <w:sz w:val="16"/>
                <w:szCs w:val="16"/>
              </w:rPr>
            </w:pPr>
            <w:r w:rsidRPr="003E76E7">
              <w:rPr>
                <w:rFonts w:ascii="Arial" w:hAnsi="Arial"/>
                <w:b/>
                <w:color w:val="000000"/>
                <w:sz w:val="16"/>
                <w:szCs w:val="16"/>
              </w:rPr>
              <w:t>Year</w:t>
            </w:r>
          </w:p>
        </w:tc>
        <w:tc>
          <w:tcPr>
            <w:tcW w:w="3032" w:type="dxa"/>
            <w:tcBorders>
              <w:top w:val="single" w:sz="4" w:space="0" w:color="auto"/>
              <w:left w:val="single" w:sz="4" w:space="0" w:color="auto"/>
              <w:bottom w:val="single" w:sz="4" w:space="0" w:color="auto"/>
              <w:right w:val="single" w:sz="4" w:space="0" w:color="auto"/>
            </w:tcBorders>
          </w:tcPr>
          <w:p w14:paraId="2DD47072" w14:textId="21CE8C12" w:rsidR="002D69E1" w:rsidRPr="003E76E7" w:rsidRDefault="00AD14EC" w:rsidP="00C4292D">
            <w:pPr>
              <w:tabs>
                <w:tab w:val="left" w:pos="709"/>
                <w:tab w:val="center" w:pos="1818"/>
              </w:tabs>
              <w:spacing w:before="60" w:after="60"/>
              <w:rPr>
                <w:rFonts w:ascii="Arial" w:hAnsi="Arial"/>
                <w:b/>
                <w:color w:val="000000"/>
                <w:sz w:val="16"/>
                <w:szCs w:val="16"/>
              </w:rPr>
            </w:pPr>
            <w:r w:rsidRPr="003E76E7">
              <w:rPr>
                <w:rFonts w:ascii="Arial" w:hAnsi="Arial"/>
                <w:b/>
                <w:color w:val="000000"/>
                <w:sz w:val="16"/>
                <w:szCs w:val="16"/>
              </w:rPr>
              <w:t>Performance Measures</w:t>
            </w:r>
          </w:p>
        </w:tc>
        <w:tc>
          <w:tcPr>
            <w:tcW w:w="3636" w:type="dxa"/>
            <w:tcBorders>
              <w:top w:val="single" w:sz="4" w:space="0" w:color="auto"/>
              <w:left w:val="single" w:sz="4" w:space="0" w:color="auto"/>
              <w:bottom w:val="single" w:sz="4" w:space="0" w:color="auto"/>
            </w:tcBorders>
          </w:tcPr>
          <w:p w14:paraId="49EA9E47" w14:textId="77777777" w:rsidR="002D69E1" w:rsidRPr="003E76E7" w:rsidRDefault="002D69E1" w:rsidP="00C4292D">
            <w:pPr>
              <w:tabs>
                <w:tab w:val="left" w:pos="709"/>
              </w:tabs>
              <w:spacing w:before="60" w:after="60"/>
              <w:rPr>
                <w:rFonts w:ascii="Arial" w:hAnsi="Arial"/>
                <w:b/>
                <w:color w:val="000000"/>
                <w:sz w:val="16"/>
                <w:szCs w:val="16"/>
              </w:rPr>
            </w:pPr>
            <w:r w:rsidRPr="003E76E7">
              <w:rPr>
                <w:rFonts w:ascii="Arial" w:hAnsi="Arial"/>
                <w:b/>
                <w:color w:val="000000"/>
                <w:sz w:val="16"/>
                <w:szCs w:val="16"/>
              </w:rPr>
              <w:t>Planned Performance Results</w:t>
            </w:r>
          </w:p>
        </w:tc>
      </w:tr>
      <w:tr w:rsidR="009D27EF" w:rsidRPr="003E76E7" w14:paraId="4DD8A396" w14:textId="77777777" w:rsidTr="00A211F5">
        <w:tblPrEx>
          <w:shd w:val="clear" w:color="auto" w:fill="auto"/>
          <w:tblLook w:val="04A0" w:firstRow="1" w:lastRow="0" w:firstColumn="1" w:lastColumn="0" w:noHBand="0" w:noVBand="1"/>
        </w:tblPrEx>
        <w:trPr>
          <w:trHeight w:val="320"/>
        </w:trPr>
        <w:tc>
          <w:tcPr>
            <w:tcW w:w="1883" w:type="dxa"/>
            <w:vMerge w:val="restart"/>
            <w:tcBorders>
              <w:top w:val="single" w:sz="4" w:space="0" w:color="auto"/>
              <w:left w:val="single" w:sz="4" w:space="0" w:color="auto"/>
              <w:right w:val="single" w:sz="4" w:space="0" w:color="auto"/>
            </w:tcBorders>
          </w:tcPr>
          <w:p w14:paraId="138A3355" w14:textId="77777777" w:rsidR="009D27EF" w:rsidRPr="003E76E7" w:rsidRDefault="009D27EF" w:rsidP="00C4292D">
            <w:pPr>
              <w:tabs>
                <w:tab w:val="left" w:pos="709"/>
              </w:tabs>
              <w:spacing w:before="0" w:after="0"/>
              <w:rPr>
                <w:rFonts w:ascii="Arial" w:hAnsi="Arial"/>
                <w:color w:val="000000"/>
                <w:sz w:val="16"/>
                <w:szCs w:val="16"/>
              </w:rPr>
            </w:pPr>
            <w:r w:rsidRPr="003E76E7">
              <w:rPr>
                <w:rFonts w:ascii="Arial" w:hAnsi="Arial"/>
                <w:color w:val="000000"/>
                <w:sz w:val="16"/>
                <w:szCs w:val="16"/>
              </w:rPr>
              <w:t>Budget Year</w:t>
            </w:r>
          </w:p>
          <w:p w14:paraId="573942FF" w14:textId="2E3E51EB" w:rsidR="009D27EF" w:rsidRPr="003E76E7" w:rsidRDefault="009D27EF" w:rsidP="00C4292D">
            <w:pPr>
              <w:tabs>
                <w:tab w:val="left" w:pos="709"/>
              </w:tabs>
              <w:spacing w:before="0" w:after="0"/>
              <w:rPr>
                <w:rFonts w:ascii="Arial" w:hAnsi="Arial"/>
                <w:color w:val="000000"/>
                <w:sz w:val="16"/>
                <w:szCs w:val="16"/>
              </w:rPr>
            </w:pPr>
            <w:r w:rsidRPr="003E76E7">
              <w:rPr>
                <w:rFonts w:ascii="Arial" w:hAnsi="Arial"/>
                <w:color w:val="000000"/>
                <w:sz w:val="16"/>
                <w:szCs w:val="16"/>
              </w:rPr>
              <w:t xml:space="preserve">2026-27 </w:t>
            </w:r>
            <w:r w:rsidRPr="003E76E7">
              <w:rPr>
                <w:rFonts w:ascii="Arial" w:hAnsi="Arial"/>
                <w:color w:val="000000"/>
                <w:sz w:val="16"/>
                <w:szCs w:val="16"/>
                <w:vertAlign w:val="superscript"/>
              </w:rPr>
              <w:t>[</w:t>
            </w:r>
            <w:r w:rsidR="00C4447C" w:rsidRPr="003E76E7">
              <w:rPr>
                <w:rFonts w:ascii="Arial" w:hAnsi="Arial"/>
                <w:color w:val="000000"/>
                <w:sz w:val="16"/>
                <w:szCs w:val="16"/>
                <w:vertAlign w:val="superscript"/>
              </w:rPr>
              <w:t>b</w:t>
            </w:r>
            <w:r w:rsidRPr="003E76E7">
              <w:rPr>
                <w:rFonts w:ascii="Arial" w:hAnsi="Arial"/>
                <w:color w:val="000000"/>
                <w:sz w:val="16"/>
                <w:szCs w:val="16"/>
                <w:vertAlign w:val="superscript"/>
              </w:rPr>
              <w:t>]</w:t>
            </w:r>
          </w:p>
          <w:p w14:paraId="37E00D3C" w14:textId="2C3B5982" w:rsidR="009D27EF" w:rsidRPr="003E76E7" w:rsidRDefault="009D27EF" w:rsidP="00C4292D">
            <w:pPr>
              <w:tabs>
                <w:tab w:val="left" w:pos="709"/>
              </w:tabs>
              <w:spacing w:before="0" w:after="0"/>
              <w:rPr>
                <w:rFonts w:ascii="Arial" w:hAnsi="Arial"/>
                <w:color w:val="000000"/>
                <w:sz w:val="16"/>
                <w:szCs w:val="16"/>
              </w:rPr>
            </w:pPr>
          </w:p>
        </w:tc>
        <w:tc>
          <w:tcPr>
            <w:tcW w:w="3032" w:type="dxa"/>
            <w:tcBorders>
              <w:top w:val="single" w:sz="4" w:space="0" w:color="auto"/>
              <w:left w:val="single" w:sz="4" w:space="0" w:color="auto"/>
              <w:bottom w:val="single" w:sz="4" w:space="0" w:color="auto"/>
              <w:right w:val="single" w:sz="4" w:space="0" w:color="auto"/>
            </w:tcBorders>
          </w:tcPr>
          <w:p w14:paraId="296889F8" w14:textId="0B6D34F7" w:rsidR="009D27EF" w:rsidRPr="003E76E7" w:rsidRDefault="009D27EF" w:rsidP="00C4292D">
            <w:pPr>
              <w:tabs>
                <w:tab w:val="left" w:pos="709"/>
              </w:tabs>
              <w:spacing w:before="60" w:after="60"/>
              <w:rPr>
                <w:rFonts w:ascii="Arial" w:hAnsi="Arial"/>
                <w:sz w:val="16"/>
                <w:szCs w:val="16"/>
                <w:lang w:val="en-AU"/>
              </w:rPr>
            </w:pPr>
            <w:r w:rsidRPr="003E76E7">
              <w:rPr>
                <w:rFonts w:ascii="Arial" w:hAnsi="Arial"/>
                <w:sz w:val="16"/>
                <w:szCs w:val="16"/>
                <w:lang w:val="en-AU"/>
              </w:rPr>
              <w:t>4.1: Defence recruits and retains an ADF and APS workforce to support the Defence mission.</w:t>
            </w:r>
          </w:p>
        </w:tc>
        <w:tc>
          <w:tcPr>
            <w:tcW w:w="3636" w:type="dxa"/>
            <w:tcBorders>
              <w:top w:val="single" w:sz="4" w:space="0" w:color="auto"/>
              <w:left w:val="single" w:sz="4" w:space="0" w:color="auto"/>
              <w:bottom w:val="single" w:sz="4" w:space="0" w:color="auto"/>
              <w:right w:val="single" w:sz="4" w:space="0" w:color="auto"/>
            </w:tcBorders>
          </w:tcPr>
          <w:p w14:paraId="2A81BA66" w14:textId="4A6C837A" w:rsidR="009D27EF" w:rsidRPr="003E76E7" w:rsidRDefault="009D27EF" w:rsidP="00C4292D">
            <w:pPr>
              <w:tabs>
                <w:tab w:val="left" w:pos="709"/>
              </w:tabs>
              <w:spacing w:before="60" w:after="60"/>
              <w:rPr>
                <w:rFonts w:ascii="Arial" w:hAnsi="Arial"/>
                <w:sz w:val="16"/>
                <w:szCs w:val="16"/>
                <w:lang w:val="en-AU"/>
              </w:rPr>
            </w:pPr>
            <w:r w:rsidRPr="003E76E7">
              <w:rPr>
                <w:rFonts w:ascii="Arial" w:hAnsi="Arial"/>
                <w:sz w:val="16"/>
                <w:szCs w:val="16"/>
              </w:rPr>
              <w:t>Defence achieves the ADF and APS Budgeted Workforce Requirement as set out in the Portfolio Budget Statements and the net flow of the ADF and APS workforce over a 12 month period is trending positive and is positioning Defence to achieve the Budgeted Workforce Requirement over the Forward Estimates.</w:t>
            </w:r>
          </w:p>
        </w:tc>
      </w:tr>
      <w:tr w:rsidR="009D27EF" w:rsidRPr="003E76E7" w14:paraId="078B09D3" w14:textId="77777777" w:rsidTr="00C666CE">
        <w:tblPrEx>
          <w:shd w:val="clear" w:color="auto" w:fill="auto"/>
          <w:tblLook w:val="04A0" w:firstRow="1" w:lastRow="0" w:firstColumn="1" w:lastColumn="0" w:noHBand="0" w:noVBand="1"/>
        </w:tblPrEx>
        <w:trPr>
          <w:trHeight w:val="320"/>
        </w:trPr>
        <w:tc>
          <w:tcPr>
            <w:tcW w:w="1883" w:type="dxa"/>
            <w:vMerge/>
            <w:tcBorders>
              <w:left w:val="single" w:sz="4" w:space="0" w:color="auto"/>
              <w:right w:val="single" w:sz="4" w:space="0" w:color="auto"/>
            </w:tcBorders>
          </w:tcPr>
          <w:p w14:paraId="2EFF1BC0" w14:textId="77777777" w:rsidR="009D27EF" w:rsidRPr="003E76E7" w:rsidRDefault="009D27EF" w:rsidP="00C4292D">
            <w:pPr>
              <w:tabs>
                <w:tab w:val="left" w:pos="709"/>
              </w:tabs>
              <w:spacing w:before="0" w:after="0"/>
              <w:rPr>
                <w:rFonts w:ascii="Arial" w:hAnsi="Arial"/>
                <w:color w:val="000000"/>
                <w:sz w:val="16"/>
                <w:szCs w:val="16"/>
              </w:rPr>
            </w:pPr>
          </w:p>
        </w:tc>
        <w:tc>
          <w:tcPr>
            <w:tcW w:w="3032" w:type="dxa"/>
            <w:tcBorders>
              <w:top w:val="single" w:sz="4" w:space="0" w:color="auto"/>
              <w:left w:val="single" w:sz="4" w:space="0" w:color="auto"/>
              <w:bottom w:val="single" w:sz="4" w:space="0" w:color="auto"/>
              <w:right w:val="single" w:sz="4" w:space="0" w:color="auto"/>
            </w:tcBorders>
          </w:tcPr>
          <w:p w14:paraId="0BD86C45" w14:textId="1029E5C8" w:rsidR="009D27EF" w:rsidRPr="003E76E7" w:rsidRDefault="009D27EF" w:rsidP="00C4292D">
            <w:pPr>
              <w:tabs>
                <w:tab w:val="left" w:pos="709"/>
              </w:tabs>
              <w:spacing w:before="60" w:after="60"/>
              <w:rPr>
                <w:rFonts w:ascii="Arial" w:hAnsi="Arial"/>
                <w:sz w:val="16"/>
                <w:szCs w:val="16"/>
                <w:lang w:val="en-AU"/>
              </w:rPr>
            </w:pPr>
            <w:r w:rsidRPr="003E76E7">
              <w:rPr>
                <w:rFonts w:ascii="Arial" w:hAnsi="Arial"/>
                <w:sz w:val="16"/>
                <w:szCs w:val="16"/>
                <w:lang w:val="en-AU"/>
              </w:rPr>
              <w:t>4.2: Defence grows the necessary skills and capabilities to enable the Defence mission.</w:t>
            </w:r>
          </w:p>
        </w:tc>
        <w:tc>
          <w:tcPr>
            <w:tcW w:w="3636" w:type="dxa"/>
            <w:tcBorders>
              <w:top w:val="single" w:sz="4" w:space="0" w:color="auto"/>
              <w:left w:val="single" w:sz="4" w:space="0" w:color="auto"/>
              <w:bottom w:val="single" w:sz="4" w:space="0" w:color="auto"/>
              <w:right w:val="single" w:sz="4" w:space="0" w:color="auto"/>
            </w:tcBorders>
          </w:tcPr>
          <w:p w14:paraId="08BE4C8A" w14:textId="3260D364" w:rsidR="009D27EF" w:rsidRPr="003E76E7" w:rsidRDefault="009D27EF" w:rsidP="00C4292D">
            <w:pPr>
              <w:tabs>
                <w:tab w:val="left" w:pos="709"/>
              </w:tabs>
              <w:spacing w:before="60" w:after="60"/>
              <w:rPr>
                <w:rFonts w:ascii="Arial" w:hAnsi="Arial"/>
                <w:sz w:val="16"/>
                <w:szCs w:val="16"/>
              </w:rPr>
            </w:pPr>
            <w:r w:rsidRPr="003E76E7">
              <w:rPr>
                <w:rFonts w:ascii="Arial" w:hAnsi="Arial"/>
                <w:sz w:val="16"/>
                <w:szCs w:val="16"/>
                <w:lang w:val="en-AU"/>
              </w:rPr>
              <w:t>The Defence workforce has the technical skills required to deliver the National Defence Strategy, as measured through achieving a full workforce against each of the ADF and APS Strategic Workforce Segments, the net flow of the ADF and APS Strategic Workforce Segments over the financial year, measured against the Budgeted Workforce Requirement, will enable Defence to achieve its future technical skill requirements, and the Australian Submarine Agency are staffed with the required ADF personnel to deliver the Nuclear-Powered Submarine Program.</w:t>
            </w:r>
          </w:p>
        </w:tc>
      </w:tr>
      <w:tr w:rsidR="009D27EF" w:rsidRPr="003E76E7" w14:paraId="667CA2FA" w14:textId="77777777" w:rsidTr="00C666CE">
        <w:tblPrEx>
          <w:shd w:val="clear" w:color="auto" w:fill="auto"/>
          <w:tblLook w:val="04A0" w:firstRow="1" w:lastRow="0" w:firstColumn="1" w:lastColumn="0" w:noHBand="0" w:noVBand="1"/>
        </w:tblPrEx>
        <w:trPr>
          <w:trHeight w:val="320"/>
        </w:trPr>
        <w:tc>
          <w:tcPr>
            <w:tcW w:w="1883" w:type="dxa"/>
            <w:vMerge/>
            <w:tcBorders>
              <w:left w:val="single" w:sz="4" w:space="0" w:color="auto"/>
              <w:right w:val="single" w:sz="4" w:space="0" w:color="auto"/>
            </w:tcBorders>
          </w:tcPr>
          <w:p w14:paraId="4558343D" w14:textId="77777777" w:rsidR="009D27EF" w:rsidRPr="003E76E7" w:rsidRDefault="009D27EF" w:rsidP="00C4292D">
            <w:pPr>
              <w:tabs>
                <w:tab w:val="left" w:pos="709"/>
              </w:tabs>
              <w:spacing w:before="0" w:after="0"/>
              <w:rPr>
                <w:rFonts w:ascii="Arial" w:hAnsi="Arial"/>
                <w:color w:val="000000"/>
                <w:sz w:val="16"/>
                <w:szCs w:val="16"/>
              </w:rPr>
            </w:pPr>
          </w:p>
        </w:tc>
        <w:tc>
          <w:tcPr>
            <w:tcW w:w="3032" w:type="dxa"/>
            <w:tcBorders>
              <w:top w:val="single" w:sz="4" w:space="0" w:color="auto"/>
              <w:left w:val="single" w:sz="4" w:space="0" w:color="auto"/>
              <w:bottom w:val="single" w:sz="4" w:space="0" w:color="auto"/>
              <w:right w:val="single" w:sz="4" w:space="0" w:color="auto"/>
            </w:tcBorders>
          </w:tcPr>
          <w:p w14:paraId="63D8D855" w14:textId="479A83D6" w:rsidR="009D27EF" w:rsidRPr="003E76E7" w:rsidRDefault="009D27EF" w:rsidP="00C4292D">
            <w:pPr>
              <w:tabs>
                <w:tab w:val="left" w:pos="709"/>
              </w:tabs>
              <w:spacing w:before="60" w:after="60"/>
              <w:rPr>
                <w:rFonts w:ascii="Arial" w:hAnsi="Arial"/>
                <w:sz w:val="16"/>
                <w:szCs w:val="16"/>
                <w:lang w:val="en-AU"/>
              </w:rPr>
            </w:pPr>
            <w:r w:rsidRPr="003E76E7">
              <w:rPr>
                <w:rFonts w:ascii="Arial" w:hAnsi="Arial"/>
                <w:sz w:val="16"/>
                <w:szCs w:val="16"/>
                <w:lang w:val="en-AU"/>
              </w:rPr>
              <w:t>4.3: The Defence values and behaviours enable our people to deliver against the Defence mission.</w:t>
            </w:r>
          </w:p>
        </w:tc>
        <w:tc>
          <w:tcPr>
            <w:tcW w:w="3636" w:type="dxa"/>
            <w:tcBorders>
              <w:top w:val="single" w:sz="4" w:space="0" w:color="auto"/>
              <w:left w:val="single" w:sz="4" w:space="0" w:color="auto"/>
              <w:bottom w:val="single" w:sz="4" w:space="0" w:color="auto"/>
              <w:right w:val="single" w:sz="4" w:space="0" w:color="auto"/>
            </w:tcBorders>
          </w:tcPr>
          <w:p w14:paraId="10F01C5C" w14:textId="0DC080C9" w:rsidR="009D27EF" w:rsidRPr="003E76E7" w:rsidRDefault="009D27EF" w:rsidP="00C4292D">
            <w:pPr>
              <w:tabs>
                <w:tab w:val="left" w:pos="709"/>
              </w:tabs>
              <w:spacing w:before="60" w:after="60"/>
              <w:rPr>
                <w:rFonts w:ascii="Arial" w:hAnsi="Arial"/>
                <w:sz w:val="16"/>
                <w:szCs w:val="16"/>
              </w:rPr>
            </w:pPr>
            <w:r w:rsidRPr="003E76E7">
              <w:rPr>
                <w:rFonts w:ascii="Arial" w:hAnsi="Arial"/>
                <w:sz w:val="16"/>
                <w:szCs w:val="16"/>
              </w:rPr>
              <w:t>All ADF and Defence APS personnel believe appropriate action will be taken if they report an incident of unacceptable behaviour in the preceding 12 months, no ADF and Defence APS personnel have experienced unacceptable behaviour in the preceding 12 months, and all ADF and Defence APS personnel view that Defence values are being used in their work area.</w:t>
            </w:r>
          </w:p>
        </w:tc>
      </w:tr>
      <w:tr w:rsidR="009D27EF" w:rsidRPr="003E76E7" w14:paraId="17058D37" w14:textId="77777777" w:rsidTr="00C666CE">
        <w:tblPrEx>
          <w:shd w:val="clear" w:color="auto" w:fill="auto"/>
          <w:tblLook w:val="04A0" w:firstRow="1" w:lastRow="0" w:firstColumn="1" w:lastColumn="0" w:noHBand="0" w:noVBand="1"/>
        </w:tblPrEx>
        <w:trPr>
          <w:trHeight w:val="320"/>
        </w:trPr>
        <w:tc>
          <w:tcPr>
            <w:tcW w:w="1883" w:type="dxa"/>
            <w:vMerge/>
            <w:tcBorders>
              <w:left w:val="single" w:sz="4" w:space="0" w:color="auto"/>
              <w:bottom w:val="single" w:sz="4" w:space="0" w:color="auto"/>
              <w:right w:val="single" w:sz="4" w:space="0" w:color="auto"/>
            </w:tcBorders>
          </w:tcPr>
          <w:p w14:paraId="72DA327C" w14:textId="77777777" w:rsidR="009D27EF" w:rsidRPr="003E76E7" w:rsidRDefault="009D27EF" w:rsidP="00C4292D">
            <w:pPr>
              <w:tabs>
                <w:tab w:val="left" w:pos="709"/>
              </w:tabs>
              <w:spacing w:before="0" w:after="0"/>
              <w:rPr>
                <w:rFonts w:ascii="Arial" w:hAnsi="Arial"/>
                <w:color w:val="000000"/>
                <w:sz w:val="16"/>
                <w:szCs w:val="16"/>
              </w:rPr>
            </w:pPr>
          </w:p>
        </w:tc>
        <w:tc>
          <w:tcPr>
            <w:tcW w:w="3032" w:type="dxa"/>
            <w:tcBorders>
              <w:top w:val="single" w:sz="4" w:space="0" w:color="auto"/>
              <w:left w:val="single" w:sz="4" w:space="0" w:color="auto"/>
              <w:bottom w:val="single" w:sz="4" w:space="0" w:color="auto"/>
              <w:right w:val="single" w:sz="4" w:space="0" w:color="auto"/>
            </w:tcBorders>
          </w:tcPr>
          <w:p w14:paraId="37CFA866" w14:textId="16109878" w:rsidR="009D27EF" w:rsidRPr="003E76E7" w:rsidRDefault="009D27EF" w:rsidP="00C4292D">
            <w:pPr>
              <w:tabs>
                <w:tab w:val="left" w:pos="709"/>
              </w:tabs>
              <w:spacing w:before="60" w:after="60"/>
              <w:rPr>
                <w:rFonts w:ascii="Arial" w:hAnsi="Arial"/>
                <w:sz w:val="16"/>
                <w:szCs w:val="16"/>
                <w:lang w:val="en-AU"/>
              </w:rPr>
            </w:pPr>
            <w:r w:rsidRPr="003E76E7">
              <w:rPr>
                <w:rFonts w:ascii="Arial" w:hAnsi="Arial"/>
                <w:sz w:val="16"/>
                <w:szCs w:val="16"/>
                <w:lang w:val="en-AU"/>
              </w:rPr>
              <w:t>4.4: Defence supports ADF members and their families by providing access to support services and programs having regard to lifetime wellbeing.</w:t>
            </w:r>
          </w:p>
        </w:tc>
        <w:tc>
          <w:tcPr>
            <w:tcW w:w="3636" w:type="dxa"/>
            <w:tcBorders>
              <w:top w:val="single" w:sz="4" w:space="0" w:color="auto"/>
              <w:left w:val="single" w:sz="4" w:space="0" w:color="auto"/>
              <w:bottom w:val="single" w:sz="4" w:space="0" w:color="auto"/>
              <w:right w:val="single" w:sz="4" w:space="0" w:color="auto"/>
            </w:tcBorders>
          </w:tcPr>
          <w:p w14:paraId="347C1384" w14:textId="4A966727" w:rsidR="009D27EF" w:rsidRPr="003E76E7" w:rsidRDefault="009D27EF" w:rsidP="00C4292D">
            <w:pPr>
              <w:tabs>
                <w:tab w:val="left" w:pos="709"/>
              </w:tabs>
              <w:spacing w:before="60" w:after="60"/>
              <w:rPr>
                <w:rFonts w:ascii="Arial" w:hAnsi="Arial"/>
                <w:sz w:val="16"/>
                <w:szCs w:val="16"/>
              </w:rPr>
            </w:pPr>
            <w:r w:rsidRPr="003E76E7">
              <w:rPr>
                <w:rFonts w:ascii="Arial" w:hAnsi="Arial"/>
                <w:sz w:val="16"/>
                <w:szCs w:val="16"/>
                <w:lang w:val="en-AU"/>
              </w:rPr>
              <w:t>At least 75 per cent of eligible full-time ADF members and their families are registered with the ADF Family Health Program, 100 per cent of the support services of the Partner Assistance Employment Program, Education Assistance Scheme, and Special Accommodation for Emergencies Scheme are provided to full-time ADF and their families in accordance with identified service delivery timeframes, there is an increase in the percentage of Defence suicide prevention training participants who assess that the training is practical, tailored and informed by lived experience, and 100 per cent of Defence-led, Government-agreed recommendations from the Royal Commission into Defence and Veteran Suicide Final Report are complete, or on-track.</w:t>
            </w:r>
          </w:p>
        </w:tc>
      </w:tr>
    </w:tbl>
    <w:p w14:paraId="00299033" w14:textId="77777777" w:rsidR="00B311F7" w:rsidRPr="003E76E7" w:rsidRDefault="00B311F7" w:rsidP="00C4292D">
      <w:r w:rsidRPr="003E76E7">
        <w:br w:type="page"/>
      </w:r>
    </w:p>
    <w:tbl>
      <w:tblPr>
        <w:tblW w:w="4986"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1"/>
        <w:gridCol w:w="3124"/>
        <w:gridCol w:w="3592"/>
      </w:tblGrid>
      <w:tr w:rsidR="003C0ED5" w:rsidRPr="003E76E7" w14:paraId="6F8BB1F4" w14:textId="77777777" w:rsidTr="00A211F5">
        <w:trPr>
          <w:trHeight w:val="258"/>
        </w:trPr>
        <w:tc>
          <w:tcPr>
            <w:tcW w:w="1811" w:type="dxa"/>
            <w:tcBorders>
              <w:top w:val="single" w:sz="4" w:space="0" w:color="auto"/>
              <w:bottom w:val="single" w:sz="4" w:space="0" w:color="auto"/>
              <w:right w:val="single" w:sz="4" w:space="0" w:color="auto"/>
            </w:tcBorders>
            <w:vAlign w:val="center"/>
          </w:tcPr>
          <w:p w14:paraId="651F2D4F" w14:textId="77777777" w:rsidR="003C0ED5" w:rsidRPr="003E76E7" w:rsidRDefault="003C0ED5" w:rsidP="00C4292D">
            <w:pPr>
              <w:tabs>
                <w:tab w:val="left" w:pos="709"/>
              </w:tabs>
              <w:spacing w:before="60" w:after="60"/>
              <w:rPr>
                <w:rFonts w:ascii="Arial" w:hAnsi="Arial"/>
                <w:b/>
                <w:color w:val="000000"/>
                <w:sz w:val="16"/>
                <w:szCs w:val="16"/>
              </w:rPr>
            </w:pPr>
            <w:r w:rsidRPr="003E76E7">
              <w:rPr>
                <w:rFonts w:ascii="Arial" w:hAnsi="Arial"/>
                <w:b/>
                <w:color w:val="000000"/>
                <w:sz w:val="16"/>
                <w:szCs w:val="16"/>
              </w:rPr>
              <w:lastRenderedPageBreak/>
              <w:t>Year</w:t>
            </w:r>
          </w:p>
        </w:tc>
        <w:tc>
          <w:tcPr>
            <w:tcW w:w="3124" w:type="dxa"/>
            <w:tcBorders>
              <w:top w:val="single" w:sz="4" w:space="0" w:color="auto"/>
              <w:left w:val="single" w:sz="4" w:space="0" w:color="auto"/>
              <w:bottom w:val="single" w:sz="4" w:space="0" w:color="auto"/>
              <w:right w:val="single" w:sz="4" w:space="0" w:color="auto"/>
            </w:tcBorders>
            <w:vAlign w:val="center"/>
          </w:tcPr>
          <w:p w14:paraId="781A23C3" w14:textId="5D5761DE" w:rsidR="003C0ED5" w:rsidRPr="003E76E7" w:rsidRDefault="00AD14EC" w:rsidP="00C4292D">
            <w:pPr>
              <w:tabs>
                <w:tab w:val="left" w:pos="709"/>
                <w:tab w:val="center" w:pos="1818"/>
              </w:tabs>
              <w:spacing w:before="60" w:after="60"/>
              <w:rPr>
                <w:rFonts w:ascii="Arial" w:hAnsi="Arial"/>
                <w:b/>
                <w:color w:val="000000"/>
                <w:sz w:val="16"/>
                <w:szCs w:val="16"/>
              </w:rPr>
            </w:pPr>
            <w:r w:rsidRPr="003E76E7">
              <w:rPr>
                <w:rFonts w:ascii="Arial" w:hAnsi="Arial"/>
                <w:b/>
                <w:color w:val="000000"/>
                <w:sz w:val="16"/>
                <w:szCs w:val="16"/>
              </w:rPr>
              <w:t>Performance Measures</w:t>
            </w:r>
          </w:p>
        </w:tc>
        <w:tc>
          <w:tcPr>
            <w:tcW w:w="3592" w:type="dxa"/>
            <w:tcBorders>
              <w:top w:val="single" w:sz="4" w:space="0" w:color="auto"/>
              <w:left w:val="single" w:sz="4" w:space="0" w:color="auto"/>
              <w:bottom w:val="single" w:sz="4" w:space="0" w:color="auto"/>
            </w:tcBorders>
            <w:vAlign w:val="center"/>
          </w:tcPr>
          <w:p w14:paraId="1DDAD78B" w14:textId="77777777" w:rsidR="003C0ED5" w:rsidRPr="003E76E7" w:rsidRDefault="003C0ED5" w:rsidP="00C4292D">
            <w:pPr>
              <w:tabs>
                <w:tab w:val="left" w:pos="709"/>
              </w:tabs>
              <w:spacing w:before="60" w:after="60"/>
              <w:rPr>
                <w:rFonts w:ascii="Arial" w:hAnsi="Arial"/>
                <w:b/>
                <w:color w:val="000000"/>
                <w:sz w:val="16"/>
                <w:szCs w:val="16"/>
              </w:rPr>
            </w:pPr>
            <w:r w:rsidRPr="003E76E7">
              <w:rPr>
                <w:rFonts w:ascii="Arial" w:hAnsi="Arial"/>
                <w:b/>
                <w:color w:val="000000"/>
                <w:sz w:val="16"/>
                <w:szCs w:val="16"/>
              </w:rPr>
              <w:t>Planned Performance Results</w:t>
            </w:r>
          </w:p>
        </w:tc>
      </w:tr>
      <w:tr w:rsidR="008769A3" w:rsidRPr="003E76E7" w14:paraId="585C3E8D" w14:textId="77777777" w:rsidTr="00A211F5">
        <w:trPr>
          <w:trHeight w:val="491"/>
        </w:trPr>
        <w:tc>
          <w:tcPr>
            <w:tcW w:w="1811" w:type="dxa"/>
            <w:tcBorders>
              <w:top w:val="single" w:sz="4" w:space="0" w:color="auto"/>
              <w:bottom w:val="single" w:sz="4" w:space="0" w:color="auto"/>
              <w:right w:val="single" w:sz="4" w:space="0" w:color="auto"/>
            </w:tcBorders>
            <w:vAlign w:val="center"/>
          </w:tcPr>
          <w:p w14:paraId="0B729B0B" w14:textId="77777777" w:rsidR="008769A3" w:rsidRPr="003E76E7" w:rsidRDefault="008769A3" w:rsidP="00C4292D">
            <w:pPr>
              <w:tabs>
                <w:tab w:val="left" w:pos="709"/>
              </w:tabs>
              <w:spacing w:before="0" w:after="0"/>
              <w:rPr>
                <w:rFonts w:ascii="Arial" w:hAnsi="Arial"/>
                <w:color w:val="000000"/>
                <w:sz w:val="16"/>
                <w:szCs w:val="16"/>
              </w:rPr>
            </w:pPr>
            <w:r w:rsidRPr="003E76E7">
              <w:rPr>
                <w:rFonts w:ascii="Arial" w:hAnsi="Arial"/>
                <w:color w:val="000000"/>
                <w:sz w:val="16"/>
                <w:szCs w:val="16"/>
              </w:rPr>
              <w:t>Forward Estimates</w:t>
            </w:r>
          </w:p>
          <w:p w14:paraId="46B2A2C7" w14:textId="38229286" w:rsidR="008769A3" w:rsidRPr="003E76E7" w:rsidRDefault="008769A3" w:rsidP="00C4292D">
            <w:pPr>
              <w:tabs>
                <w:tab w:val="left" w:pos="709"/>
              </w:tabs>
              <w:spacing w:before="0" w:after="0"/>
              <w:rPr>
                <w:rFonts w:ascii="Arial" w:hAnsi="Arial"/>
                <w:b/>
                <w:color w:val="000000"/>
                <w:sz w:val="16"/>
                <w:szCs w:val="16"/>
              </w:rPr>
            </w:pPr>
            <w:r w:rsidRPr="003E76E7">
              <w:rPr>
                <w:rFonts w:ascii="Arial" w:hAnsi="Arial"/>
                <w:color w:val="000000"/>
                <w:sz w:val="16"/>
                <w:szCs w:val="16"/>
              </w:rPr>
              <w:t>2027-30</w:t>
            </w:r>
          </w:p>
        </w:tc>
        <w:tc>
          <w:tcPr>
            <w:tcW w:w="3124" w:type="dxa"/>
            <w:tcBorders>
              <w:top w:val="single" w:sz="4" w:space="0" w:color="auto"/>
              <w:left w:val="single" w:sz="4" w:space="0" w:color="auto"/>
              <w:bottom w:val="single" w:sz="4" w:space="0" w:color="auto"/>
              <w:right w:val="single" w:sz="4" w:space="0" w:color="auto"/>
            </w:tcBorders>
            <w:vAlign w:val="center"/>
          </w:tcPr>
          <w:p w14:paraId="4E1B8575" w14:textId="5372D050" w:rsidR="008769A3" w:rsidRPr="003E76E7" w:rsidRDefault="008769A3" w:rsidP="00C4292D">
            <w:pPr>
              <w:tabs>
                <w:tab w:val="left" w:pos="709"/>
              </w:tabs>
              <w:spacing w:before="60" w:after="60"/>
              <w:rPr>
                <w:rFonts w:ascii="Arial" w:hAnsi="Arial"/>
                <w:b/>
                <w:color w:val="000000"/>
                <w:sz w:val="16"/>
                <w:szCs w:val="16"/>
              </w:rPr>
            </w:pPr>
            <w:r w:rsidRPr="003E76E7">
              <w:rPr>
                <w:rFonts w:ascii="Arial" w:hAnsi="Arial"/>
                <w:color w:val="000000"/>
                <w:sz w:val="16"/>
                <w:szCs w:val="16"/>
              </w:rPr>
              <w:t>As per 2026-27.</w:t>
            </w:r>
          </w:p>
        </w:tc>
        <w:tc>
          <w:tcPr>
            <w:tcW w:w="3592" w:type="dxa"/>
            <w:tcBorders>
              <w:top w:val="single" w:sz="4" w:space="0" w:color="auto"/>
              <w:left w:val="single" w:sz="4" w:space="0" w:color="auto"/>
              <w:bottom w:val="single" w:sz="4" w:space="0" w:color="auto"/>
            </w:tcBorders>
            <w:vAlign w:val="center"/>
          </w:tcPr>
          <w:p w14:paraId="10DBB931" w14:textId="76AE73A3" w:rsidR="008769A3" w:rsidRPr="003E76E7" w:rsidRDefault="008769A3" w:rsidP="00C4292D">
            <w:pPr>
              <w:tabs>
                <w:tab w:val="left" w:pos="709"/>
              </w:tabs>
              <w:spacing w:before="60" w:after="60"/>
              <w:rPr>
                <w:rFonts w:ascii="Arial" w:hAnsi="Arial"/>
                <w:b/>
                <w:color w:val="000000"/>
                <w:sz w:val="16"/>
                <w:szCs w:val="16"/>
              </w:rPr>
            </w:pPr>
            <w:r w:rsidRPr="003E76E7">
              <w:rPr>
                <w:rFonts w:ascii="Arial" w:hAnsi="Arial"/>
                <w:color w:val="000000"/>
                <w:sz w:val="16"/>
                <w:szCs w:val="16"/>
              </w:rPr>
              <w:t>As per 2026-27.</w:t>
            </w:r>
          </w:p>
        </w:tc>
      </w:tr>
      <w:tr w:rsidR="008769A3" w:rsidRPr="003E76E7" w14:paraId="415CEC23" w14:textId="77777777" w:rsidTr="00A211F5">
        <w:trPr>
          <w:trHeight w:val="60"/>
        </w:trPr>
        <w:tc>
          <w:tcPr>
            <w:tcW w:w="8527" w:type="dxa"/>
            <w:gridSpan w:val="3"/>
            <w:tcBorders>
              <w:top w:val="single" w:sz="4" w:space="0" w:color="auto"/>
            </w:tcBorders>
          </w:tcPr>
          <w:p w14:paraId="65D89870" w14:textId="580984AB" w:rsidR="008769A3" w:rsidRPr="003E76E7" w:rsidRDefault="008769A3" w:rsidP="00C4292D">
            <w:pPr>
              <w:tabs>
                <w:tab w:val="left" w:pos="709"/>
              </w:tabs>
              <w:spacing w:before="60" w:after="60"/>
              <w:rPr>
                <w:rFonts w:ascii="Arial" w:eastAsia="Cambria" w:hAnsi="Arial"/>
                <w:bCs/>
                <w:iCs/>
                <w:color w:val="000000"/>
                <w:spacing w:val="-6"/>
                <w:sz w:val="16"/>
                <w:szCs w:val="16"/>
                <w:lang w:val="x-none"/>
              </w:rPr>
            </w:pPr>
            <w:r w:rsidRPr="003E76E7">
              <w:rPr>
                <w:rFonts w:ascii="Arial" w:hAnsi="Arial"/>
                <w:color w:val="000000"/>
                <w:sz w:val="16"/>
                <w:szCs w:val="16"/>
              </w:rPr>
              <w:t>Material changes to Program 2.20 resulting from 2026-27 Budget Measures:</w:t>
            </w:r>
            <w:r w:rsidRPr="003E76E7">
              <w:rPr>
                <w:rStyle w:val="BodyTextChar"/>
                <w:rFonts w:ascii="Arial" w:hAnsi="Arial"/>
                <w:bCs/>
                <w:iCs/>
                <w:color w:val="000000"/>
                <w:spacing w:val="-6"/>
                <w:sz w:val="16"/>
                <w:szCs w:val="16"/>
              </w:rPr>
              <w:t xml:space="preserve"> Nil.</w:t>
            </w:r>
          </w:p>
        </w:tc>
      </w:tr>
    </w:tbl>
    <w:p w14:paraId="24DBC053" w14:textId="77777777" w:rsidR="00F7100A" w:rsidRPr="003E76E7" w:rsidRDefault="00F7100A" w:rsidP="00C4292D">
      <w:pPr>
        <w:pStyle w:val="TableHeading"/>
        <w:spacing w:before="0" w:after="0"/>
        <w:rPr>
          <w:sz w:val="14"/>
          <w:szCs w:val="16"/>
        </w:rPr>
      </w:pPr>
    </w:p>
    <w:p w14:paraId="1D6E002E" w14:textId="77777777" w:rsidR="00F7100A" w:rsidRPr="003E76E7" w:rsidRDefault="00F7100A" w:rsidP="00C4292D">
      <w:pPr>
        <w:pStyle w:val="TableHeading"/>
        <w:spacing w:before="0" w:after="0"/>
        <w:ind w:left="142"/>
        <w:rPr>
          <w:sz w:val="14"/>
          <w:szCs w:val="14"/>
        </w:rPr>
      </w:pPr>
      <w:r w:rsidRPr="003E76E7">
        <w:rPr>
          <w:sz w:val="14"/>
          <w:szCs w:val="14"/>
        </w:rPr>
        <w:t>Note</w:t>
      </w:r>
      <w:r w:rsidR="00AF08A6" w:rsidRPr="003E76E7">
        <w:rPr>
          <w:sz w:val="14"/>
          <w:szCs w:val="14"/>
        </w:rPr>
        <w:t>s</w:t>
      </w:r>
    </w:p>
    <w:p w14:paraId="1569DAA9" w14:textId="4E7E9164" w:rsidR="00172963" w:rsidRPr="003E76E7" w:rsidRDefault="00172963" w:rsidP="00C4292D">
      <w:pPr>
        <w:pStyle w:val="TableHeading"/>
        <w:numPr>
          <w:ilvl w:val="0"/>
          <w:numId w:val="102"/>
        </w:numPr>
        <w:tabs>
          <w:tab w:val="left" w:pos="142"/>
          <w:tab w:val="left" w:pos="426"/>
        </w:tabs>
        <w:spacing w:before="0" w:after="0"/>
        <w:ind w:hanging="218"/>
        <w:rPr>
          <w:b w:val="0"/>
          <w:sz w:val="14"/>
          <w:szCs w:val="14"/>
          <w:lang w:val="en-AU"/>
        </w:rPr>
      </w:pPr>
      <w:r w:rsidRPr="003E76E7">
        <w:rPr>
          <w:b w:val="0"/>
          <w:sz w:val="14"/>
          <w:szCs w:val="14"/>
          <w:lang w:val="en-AU"/>
        </w:rPr>
        <w:t>Performance Measure 4.3</w:t>
      </w:r>
      <w:r w:rsidR="008769A3" w:rsidRPr="003E76E7">
        <w:rPr>
          <w:b w:val="0"/>
          <w:sz w:val="14"/>
          <w:szCs w:val="14"/>
          <w:lang w:val="en-AU"/>
        </w:rPr>
        <w:t xml:space="preserve"> </w:t>
      </w:r>
      <w:r w:rsidRPr="003E76E7">
        <w:rPr>
          <w:b w:val="0"/>
          <w:sz w:val="14"/>
          <w:szCs w:val="14"/>
          <w:lang w:val="en-AU"/>
        </w:rPr>
        <w:t xml:space="preserve">has been amended for 2025-26, as published in </w:t>
      </w:r>
      <w:r w:rsidRPr="003E76E7">
        <w:rPr>
          <w:b w:val="0"/>
          <w:i/>
          <w:sz w:val="14"/>
          <w:szCs w:val="14"/>
          <w:lang w:val="en-AU"/>
        </w:rPr>
        <w:t>2025-29 Defence Corporate Plan</w:t>
      </w:r>
      <w:r w:rsidRPr="003E76E7">
        <w:rPr>
          <w:b w:val="0"/>
          <w:sz w:val="14"/>
          <w:szCs w:val="14"/>
          <w:lang w:val="en-AU"/>
        </w:rPr>
        <w:t>.</w:t>
      </w:r>
    </w:p>
    <w:p w14:paraId="1ECBE6EB" w14:textId="15F5AD06" w:rsidR="00100F83" w:rsidRPr="003E76E7" w:rsidRDefault="00172963" w:rsidP="00C4292D">
      <w:pPr>
        <w:pStyle w:val="TableHeading"/>
        <w:numPr>
          <w:ilvl w:val="0"/>
          <w:numId w:val="102"/>
        </w:numPr>
        <w:tabs>
          <w:tab w:val="left" w:pos="142"/>
          <w:tab w:val="left" w:pos="426"/>
        </w:tabs>
        <w:spacing w:before="0" w:after="0"/>
        <w:ind w:hanging="218"/>
        <w:rPr>
          <w:b w:val="0"/>
          <w:sz w:val="14"/>
          <w:szCs w:val="14"/>
          <w:lang w:val="en-AU"/>
        </w:rPr>
      </w:pPr>
      <w:r w:rsidRPr="003E76E7">
        <w:rPr>
          <w:b w:val="0"/>
          <w:sz w:val="14"/>
          <w:szCs w:val="14"/>
          <w:lang w:val="en-AU"/>
        </w:rPr>
        <w:t>In accordance with Defence’s Enterprise Performance Framework, Defence is undertaking materiality assessments that may result in updates to the 2026-27 performance information in the 2026-30 Defence Corporate Plan, if required.</w:t>
      </w:r>
    </w:p>
    <w:p w14:paraId="0CFB8025" w14:textId="77777777" w:rsidR="00100F83" w:rsidRPr="003E76E7" w:rsidRDefault="00100F83" w:rsidP="00C4292D">
      <w:pPr>
        <w:rPr>
          <w:lang w:val="en-AU"/>
        </w:rPr>
      </w:pPr>
    </w:p>
    <w:p w14:paraId="556ED2FF" w14:textId="183117D4" w:rsidR="00077480" w:rsidRPr="003E76E7" w:rsidRDefault="00077480" w:rsidP="00C4292D">
      <w:pPr>
        <w:tabs>
          <w:tab w:val="left" w:pos="284"/>
        </w:tabs>
        <w:spacing w:before="0" w:after="0"/>
        <w:outlineLvl w:val="5"/>
        <w:rPr>
          <w:color w:val="FFFFFF"/>
          <w:sz w:val="2"/>
          <w:szCs w:val="2"/>
        </w:rPr>
      </w:pPr>
      <w:r w:rsidRPr="003E76E7">
        <w:br w:type="page"/>
      </w:r>
      <w:r w:rsidR="00DC2BC4" w:rsidRPr="003E76E7">
        <w:rPr>
          <w:color w:val="FFFFFF"/>
          <w:sz w:val="2"/>
          <w:szCs w:val="2"/>
        </w:rPr>
        <w:lastRenderedPageBreak/>
        <w:t>Administered Program 2.21: Defence Force Superannuation Nominal Interest</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1917"/>
        <w:gridCol w:w="3086"/>
        <w:gridCol w:w="3548"/>
      </w:tblGrid>
      <w:tr w:rsidR="00F7100A" w:rsidRPr="003E76E7" w14:paraId="27E18069" w14:textId="77777777" w:rsidTr="00A211F5">
        <w:tc>
          <w:tcPr>
            <w:tcW w:w="7938" w:type="dxa"/>
            <w:gridSpan w:val="3"/>
            <w:tcBorders>
              <w:top w:val="single" w:sz="4" w:space="0" w:color="auto"/>
              <w:bottom w:val="single" w:sz="4" w:space="0" w:color="auto"/>
            </w:tcBorders>
            <w:shd w:val="clear" w:color="auto" w:fill="CCCCCC"/>
          </w:tcPr>
          <w:p w14:paraId="17A173BB" w14:textId="42837AB7" w:rsidR="00F7100A" w:rsidRPr="003E76E7" w:rsidRDefault="00F7100A" w:rsidP="00C4292D">
            <w:pPr>
              <w:pStyle w:val="Heading5"/>
              <w:spacing w:before="60" w:after="60"/>
            </w:pPr>
            <w:r w:rsidRPr="003E76E7">
              <w:t>Administered Program 2.21: Defence Force Superannuation Nominal Interest</w:t>
            </w:r>
          </w:p>
        </w:tc>
      </w:tr>
      <w:tr w:rsidR="00F7100A" w:rsidRPr="003E76E7" w14:paraId="7D06E450" w14:textId="77777777" w:rsidTr="00A211F5">
        <w:trPr>
          <w:trHeight w:val="113"/>
        </w:trPr>
        <w:tc>
          <w:tcPr>
            <w:tcW w:w="7938" w:type="dxa"/>
            <w:gridSpan w:val="3"/>
            <w:tcBorders>
              <w:left w:val="nil"/>
              <w:bottom w:val="single" w:sz="4" w:space="0" w:color="auto"/>
              <w:right w:val="nil"/>
            </w:tcBorders>
            <w:shd w:val="clear" w:color="auto" w:fill="auto"/>
          </w:tcPr>
          <w:p w14:paraId="11080DD2" w14:textId="77777777" w:rsidR="00F7100A" w:rsidRPr="003E76E7" w:rsidRDefault="00F7100A" w:rsidP="00C4292D">
            <w:pPr>
              <w:pStyle w:val="Heading5"/>
              <w:spacing w:before="0" w:after="0"/>
              <w:rPr>
                <w:sz w:val="16"/>
                <w:szCs w:val="16"/>
              </w:rPr>
            </w:pPr>
          </w:p>
        </w:tc>
      </w:tr>
      <w:tr w:rsidR="00F7100A" w:rsidRPr="003E76E7" w14:paraId="53CAF236" w14:textId="77777777" w:rsidTr="00A211F5">
        <w:tblPrEx>
          <w:shd w:val="clear" w:color="auto" w:fill="auto"/>
          <w:tblLook w:val="04A0" w:firstRow="1" w:lastRow="0" w:firstColumn="1" w:lastColumn="0" w:noHBand="0" w:noVBand="1"/>
        </w:tblPrEx>
        <w:trPr>
          <w:tblHeader/>
        </w:trPr>
        <w:tc>
          <w:tcPr>
            <w:tcW w:w="7938" w:type="dxa"/>
            <w:gridSpan w:val="3"/>
            <w:shd w:val="clear" w:color="auto" w:fill="E6E6E6"/>
          </w:tcPr>
          <w:p w14:paraId="0C71C5A8" w14:textId="77777777" w:rsidR="00F7100A" w:rsidRPr="003E76E7" w:rsidRDefault="00F7100A" w:rsidP="00C4292D">
            <w:pPr>
              <w:tabs>
                <w:tab w:val="left" w:pos="709"/>
              </w:tabs>
              <w:spacing w:before="60" w:after="60"/>
              <w:rPr>
                <w:rFonts w:ascii="Arial" w:hAnsi="Arial"/>
                <w:sz w:val="16"/>
                <w:szCs w:val="16"/>
              </w:rPr>
            </w:pPr>
            <w:r w:rsidRPr="003E76E7">
              <w:rPr>
                <w:rFonts w:ascii="Arial" w:hAnsi="Arial"/>
                <w:b/>
                <w:sz w:val="16"/>
                <w:szCs w:val="16"/>
              </w:rPr>
              <w:t>Administered Program 2.21</w:t>
            </w:r>
            <w:r w:rsidRPr="003E76E7">
              <w:rPr>
                <w:rFonts w:ascii="Arial" w:hAnsi="Arial"/>
                <w:sz w:val="16"/>
                <w:szCs w:val="16"/>
              </w:rPr>
              <w:t xml:space="preserve"> </w:t>
            </w:r>
            <w:r w:rsidRPr="003E76E7">
              <w:rPr>
                <w:rFonts w:ascii="Arial" w:hAnsi="Arial"/>
                <w:b/>
                <w:sz w:val="16"/>
                <w:szCs w:val="16"/>
              </w:rPr>
              <w:t>Objective</w:t>
            </w:r>
          </w:p>
          <w:p w14:paraId="03B8636D" w14:textId="77777777" w:rsidR="00F7100A" w:rsidRPr="003E76E7" w:rsidRDefault="00F7100A" w:rsidP="00C4292D">
            <w:pPr>
              <w:tabs>
                <w:tab w:val="left" w:pos="709"/>
              </w:tabs>
              <w:spacing w:before="60" w:after="60"/>
              <w:jc w:val="both"/>
              <w:rPr>
                <w:rFonts w:ascii="Arial" w:hAnsi="Arial"/>
                <w:sz w:val="16"/>
                <w:szCs w:val="16"/>
              </w:rPr>
            </w:pPr>
            <w:r w:rsidRPr="003E76E7">
              <w:rPr>
                <w:rFonts w:ascii="Arial" w:hAnsi="Arial"/>
                <w:sz w:val="16"/>
                <w:szCs w:val="16"/>
                <w:lang w:val="en-AU"/>
              </w:rPr>
              <w:t>To administer nominal interest for the three defined benefit military superannuation schemes: the Defence Forces Retirement Benefits (DFRB) scheme, the Defence Force Retirement and Death Benefits (DFRDB) scheme and the Military Superannuation and Benefits Scheme (MSBS), as well as the statutory death and invalidity scheme, ADF Cover.</w:t>
            </w:r>
          </w:p>
        </w:tc>
      </w:tr>
      <w:tr w:rsidR="00F7100A" w:rsidRPr="003E76E7" w14:paraId="3FBB5FF2" w14:textId="77777777" w:rsidTr="00A211F5">
        <w:tblPrEx>
          <w:shd w:val="clear" w:color="auto" w:fill="auto"/>
          <w:tblLook w:val="04A0" w:firstRow="1" w:lastRow="0" w:firstColumn="1" w:lastColumn="0" w:noHBand="0" w:noVBand="1"/>
        </w:tblPrEx>
        <w:trPr>
          <w:trHeight w:val="312"/>
        </w:trPr>
        <w:tc>
          <w:tcPr>
            <w:tcW w:w="1779" w:type="dxa"/>
            <w:tcBorders>
              <w:bottom w:val="single" w:sz="4" w:space="0" w:color="auto"/>
            </w:tcBorders>
          </w:tcPr>
          <w:p w14:paraId="2BBAE280" w14:textId="77777777" w:rsidR="00F7100A" w:rsidRPr="003E76E7" w:rsidRDefault="00F7100A" w:rsidP="00C4292D">
            <w:pPr>
              <w:tabs>
                <w:tab w:val="left" w:pos="709"/>
              </w:tabs>
              <w:spacing w:before="60" w:after="60"/>
              <w:rPr>
                <w:rFonts w:ascii="Arial" w:hAnsi="Arial"/>
                <w:b/>
                <w:color w:val="000000"/>
                <w:sz w:val="16"/>
                <w:szCs w:val="16"/>
              </w:rPr>
            </w:pPr>
            <w:r w:rsidRPr="003E76E7">
              <w:rPr>
                <w:rFonts w:ascii="Arial" w:hAnsi="Arial"/>
                <w:b/>
                <w:color w:val="000000"/>
                <w:sz w:val="16"/>
                <w:szCs w:val="16"/>
              </w:rPr>
              <w:t>Key Activit</w:t>
            </w:r>
            <w:r w:rsidR="00F043DE" w:rsidRPr="003E76E7">
              <w:rPr>
                <w:rFonts w:ascii="Arial" w:hAnsi="Arial"/>
                <w:b/>
                <w:color w:val="000000"/>
                <w:sz w:val="16"/>
                <w:szCs w:val="16"/>
              </w:rPr>
              <w:t>y</w:t>
            </w:r>
          </w:p>
        </w:tc>
        <w:tc>
          <w:tcPr>
            <w:tcW w:w="6159" w:type="dxa"/>
            <w:gridSpan w:val="2"/>
            <w:tcBorders>
              <w:bottom w:val="single" w:sz="4" w:space="0" w:color="auto"/>
            </w:tcBorders>
          </w:tcPr>
          <w:p w14:paraId="3B901D05" w14:textId="77777777" w:rsidR="00F7100A" w:rsidRPr="003E76E7" w:rsidRDefault="00F7100A" w:rsidP="00C4292D">
            <w:pPr>
              <w:tabs>
                <w:tab w:val="left" w:pos="709"/>
              </w:tabs>
              <w:spacing w:before="60" w:after="60"/>
              <w:rPr>
                <w:rFonts w:ascii="Arial" w:hAnsi="Arial"/>
                <w:b/>
                <w:sz w:val="16"/>
                <w:szCs w:val="16"/>
                <w:lang w:val="en-AU"/>
              </w:rPr>
            </w:pPr>
            <w:r w:rsidRPr="003E76E7">
              <w:rPr>
                <w:rFonts w:ascii="Arial" w:hAnsi="Arial"/>
                <w:bCs/>
                <w:color w:val="000000"/>
                <w:sz w:val="16"/>
                <w:szCs w:val="16"/>
                <w:lang w:val="en-AU"/>
              </w:rPr>
              <w:t>This program will be achieved through the following activity:</w:t>
            </w:r>
          </w:p>
          <w:p w14:paraId="22B61E76" w14:textId="15FEC462" w:rsidR="00F7100A" w:rsidRPr="003E76E7" w:rsidRDefault="00F7100A" w:rsidP="00C4292D">
            <w:pPr>
              <w:tabs>
                <w:tab w:val="left" w:pos="343"/>
              </w:tabs>
              <w:spacing w:before="60" w:after="60"/>
              <w:rPr>
                <w:rFonts w:ascii="Arial" w:hAnsi="Arial"/>
                <w:i/>
                <w:color w:val="000000"/>
                <w:sz w:val="16"/>
                <w:szCs w:val="16"/>
              </w:rPr>
            </w:pPr>
            <w:r w:rsidRPr="003E76E7">
              <w:rPr>
                <w:rFonts w:ascii="Arial" w:hAnsi="Arial"/>
                <w:b/>
                <w:sz w:val="16"/>
                <w:szCs w:val="16"/>
                <w:lang w:val="en-AU"/>
              </w:rPr>
              <w:t xml:space="preserve">4. </w:t>
            </w:r>
            <w:r w:rsidR="00172963" w:rsidRPr="003E76E7">
              <w:rPr>
                <w:rFonts w:ascii="Arial" w:hAnsi="Arial"/>
                <w:b/>
                <w:sz w:val="16"/>
                <w:szCs w:val="16"/>
                <w:lang w:val="en-AU"/>
              </w:rPr>
              <w:t>Defence invests in its people through recruitment and retention, growth in skills and capabilities, improved culture, mental health and wellbeing support, and support to ADF families.</w:t>
            </w:r>
          </w:p>
        </w:tc>
      </w:tr>
      <w:tr w:rsidR="00F7100A" w:rsidRPr="003E76E7" w14:paraId="213EC7C7" w14:textId="77777777" w:rsidTr="00A211F5">
        <w:trPr>
          <w:trHeight w:val="100"/>
        </w:trPr>
        <w:tc>
          <w:tcPr>
            <w:tcW w:w="1779" w:type="dxa"/>
            <w:tcBorders>
              <w:top w:val="single" w:sz="4" w:space="0" w:color="auto"/>
              <w:bottom w:val="single" w:sz="4" w:space="0" w:color="auto"/>
              <w:right w:val="single" w:sz="4" w:space="0" w:color="auto"/>
            </w:tcBorders>
          </w:tcPr>
          <w:p w14:paraId="125CA0E8" w14:textId="77777777" w:rsidR="00F7100A" w:rsidRPr="003E76E7" w:rsidRDefault="00F7100A" w:rsidP="00C4292D">
            <w:pPr>
              <w:tabs>
                <w:tab w:val="left" w:pos="709"/>
              </w:tabs>
              <w:spacing w:before="60" w:after="60"/>
              <w:rPr>
                <w:rFonts w:ascii="Arial" w:hAnsi="Arial"/>
                <w:color w:val="000000"/>
                <w:sz w:val="16"/>
                <w:szCs w:val="16"/>
              </w:rPr>
            </w:pPr>
            <w:r w:rsidRPr="003E76E7">
              <w:rPr>
                <w:rFonts w:ascii="Arial" w:hAnsi="Arial"/>
                <w:b/>
                <w:color w:val="000000"/>
                <w:sz w:val="16"/>
                <w:szCs w:val="16"/>
              </w:rPr>
              <w:t>Year</w:t>
            </w:r>
          </w:p>
        </w:tc>
        <w:tc>
          <w:tcPr>
            <w:tcW w:w="2865" w:type="dxa"/>
            <w:tcBorders>
              <w:top w:val="single" w:sz="4" w:space="0" w:color="auto"/>
              <w:left w:val="single" w:sz="4" w:space="0" w:color="auto"/>
              <w:bottom w:val="single" w:sz="4" w:space="0" w:color="auto"/>
              <w:right w:val="single" w:sz="4" w:space="0" w:color="auto"/>
            </w:tcBorders>
          </w:tcPr>
          <w:p w14:paraId="06959D88" w14:textId="35FDDD5E" w:rsidR="00F7100A" w:rsidRPr="003E76E7" w:rsidRDefault="00AD14EC" w:rsidP="00C4292D">
            <w:pPr>
              <w:tabs>
                <w:tab w:val="left" w:pos="709"/>
              </w:tabs>
              <w:spacing w:before="60" w:after="60"/>
              <w:rPr>
                <w:rFonts w:ascii="Arial" w:hAnsi="Arial"/>
                <w:color w:val="000000"/>
              </w:rPr>
            </w:pPr>
            <w:r w:rsidRPr="003E76E7">
              <w:rPr>
                <w:rFonts w:ascii="Arial" w:hAnsi="Arial"/>
                <w:b/>
                <w:color w:val="000000"/>
                <w:sz w:val="16"/>
                <w:szCs w:val="16"/>
              </w:rPr>
              <w:t>Performance Measures</w:t>
            </w:r>
          </w:p>
        </w:tc>
        <w:tc>
          <w:tcPr>
            <w:tcW w:w="3294" w:type="dxa"/>
            <w:tcBorders>
              <w:top w:val="single" w:sz="4" w:space="0" w:color="auto"/>
              <w:left w:val="single" w:sz="4" w:space="0" w:color="auto"/>
              <w:bottom w:val="single" w:sz="4" w:space="0" w:color="auto"/>
            </w:tcBorders>
          </w:tcPr>
          <w:p w14:paraId="34C91531" w14:textId="77777777" w:rsidR="00F7100A" w:rsidRPr="003E76E7" w:rsidRDefault="00F7100A" w:rsidP="00C4292D">
            <w:pPr>
              <w:tabs>
                <w:tab w:val="left" w:pos="709"/>
              </w:tabs>
              <w:spacing w:before="60" w:after="60"/>
              <w:rPr>
                <w:rFonts w:ascii="Arial" w:hAnsi="Arial"/>
                <w:i/>
                <w:color w:val="000000"/>
                <w:sz w:val="16"/>
                <w:szCs w:val="16"/>
              </w:rPr>
            </w:pPr>
            <w:r w:rsidRPr="003E76E7">
              <w:rPr>
                <w:rFonts w:ascii="Arial" w:hAnsi="Arial"/>
                <w:b/>
                <w:color w:val="000000"/>
                <w:sz w:val="16"/>
                <w:szCs w:val="16"/>
              </w:rPr>
              <w:t>Expected Performance Results</w:t>
            </w:r>
          </w:p>
        </w:tc>
      </w:tr>
      <w:tr w:rsidR="00172963" w:rsidRPr="003E76E7" w14:paraId="46A62D02" w14:textId="77777777" w:rsidTr="00A211F5">
        <w:trPr>
          <w:trHeight w:val="305"/>
        </w:trPr>
        <w:tc>
          <w:tcPr>
            <w:tcW w:w="1779" w:type="dxa"/>
            <w:vMerge w:val="restart"/>
            <w:tcBorders>
              <w:top w:val="single" w:sz="4" w:space="0" w:color="auto"/>
              <w:left w:val="single" w:sz="4" w:space="0" w:color="auto"/>
              <w:right w:val="single" w:sz="4" w:space="0" w:color="auto"/>
            </w:tcBorders>
          </w:tcPr>
          <w:p w14:paraId="0082E202" w14:textId="77777777" w:rsidR="00172963" w:rsidRPr="003E76E7" w:rsidRDefault="00172963" w:rsidP="00C4292D">
            <w:pPr>
              <w:tabs>
                <w:tab w:val="left" w:pos="709"/>
              </w:tabs>
              <w:spacing w:before="0" w:after="0"/>
              <w:rPr>
                <w:rFonts w:ascii="Arial" w:hAnsi="Arial"/>
                <w:color w:val="000000"/>
                <w:sz w:val="16"/>
                <w:szCs w:val="16"/>
              </w:rPr>
            </w:pPr>
            <w:r w:rsidRPr="003E76E7">
              <w:rPr>
                <w:rFonts w:ascii="Arial" w:hAnsi="Arial"/>
                <w:color w:val="000000"/>
                <w:sz w:val="16"/>
                <w:szCs w:val="16"/>
              </w:rPr>
              <w:t>Current Year</w:t>
            </w:r>
          </w:p>
          <w:p w14:paraId="3825097E" w14:textId="03FFA5B4" w:rsidR="00172963" w:rsidRPr="003E76E7" w:rsidRDefault="00172963" w:rsidP="00C4292D">
            <w:pPr>
              <w:tabs>
                <w:tab w:val="left" w:pos="709"/>
              </w:tabs>
              <w:spacing w:before="0" w:after="0"/>
              <w:rPr>
                <w:rFonts w:ascii="Arial" w:hAnsi="Arial"/>
                <w:color w:val="000000"/>
                <w:sz w:val="16"/>
                <w:szCs w:val="16"/>
              </w:rPr>
            </w:pPr>
            <w:r w:rsidRPr="003E76E7">
              <w:rPr>
                <w:rFonts w:ascii="Arial" w:hAnsi="Arial"/>
                <w:color w:val="000000"/>
                <w:sz w:val="16"/>
                <w:szCs w:val="16"/>
              </w:rPr>
              <w:t xml:space="preserve">2025-26 </w:t>
            </w:r>
            <w:r w:rsidRPr="003E76E7">
              <w:rPr>
                <w:rFonts w:ascii="Arial" w:hAnsi="Arial"/>
                <w:color w:val="000000"/>
                <w:sz w:val="16"/>
                <w:szCs w:val="16"/>
                <w:vertAlign w:val="superscript"/>
              </w:rPr>
              <w:t>[a]</w:t>
            </w:r>
          </w:p>
        </w:tc>
        <w:tc>
          <w:tcPr>
            <w:tcW w:w="2865" w:type="dxa"/>
            <w:tcBorders>
              <w:top w:val="single" w:sz="4" w:space="0" w:color="auto"/>
              <w:left w:val="single" w:sz="4" w:space="0" w:color="auto"/>
              <w:bottom w:val="single" w:sz="4" w:space="0" w:color="auto"/>
              <w:right w:val="single" w:sz="4" w:space="0" w:color="auto"/>
            </w:tcBorders>
          </w:tcPr>
          <w:p w14:paraId="7FEA0B66" w14:textId="1D28A3AA" w:rsidR="00172963" w:rsidRPr="003E76E7" w:rsidRDefault="00172963" w:rsidP="00C4292D">
            <w:pPr>
              <w:tabs>
                <w:tab w:val="left" w:pos="709"/>
              </w:tabs>
              <w:spacing w:before="60" w:after="60"/>
              <w:rPr>
                <w:rFonts w:ascii="Arial" w:hAnsi="Arial"/>
                <w:sz w:val="16"/>
                <w:szCs w:val="16"/>
                <w:lang w:val="en-AU"/>
              </w:rPr>
            </w:pPr>
            <w:r w:rsidRPr="003E76E7">
              <w:rPr>
                <w:rFonts w:ascii="Arial" w:hAnsi="Arial"/>
                <w:sz w:val="16"/>
                <w:szCs w:val="16"/>
                <w:lang w:val="en-AU"/>
              </w:rPr>
              <w:t>4.1: Defence recruits and retains an ADF and APS workforce to support the Defence mission.</w:t>
            </w:r>
          </w:p>
        </w:tc>
        <w:tc>
          <w:tcPr>
            <w:tcW w:w="3294" w:type="dxa"/>
            <w:tcBorders>
              <w:top w:val="single" w:sz="4" w:space="0" w:color="auto"/>
              <w:left w:val="single" w:sz="4" w:space="0" w:color="auto"/>
              <w:bottom w:val="single" w:sz="4" w:space="0" w:color="auto"/>
              <w:right w:val="single" w:sz="4" w:space="0" w:color="auto"/>
            </w:tcBorders>
          </w:tcPr>
          <w:p w14:paraId="47025485" w14:textId="60CD77EE" w:rsidR="00172963" w:rsidRPr="003E76E7" w:rsidRDefault="00172963" w:rsidP="00C4292D">
            <w:pPr>
              <w:rPr>
                <w:rFonts w:ascii="Arial" w:hAnsi="Arial"/>
                <w:sz w:val="16"/>
                <w:szCs w:val="16"/>
              </w:rPr>
            </w:pPr>
            <w:r w:rsidRPr="003E76E7">
              <w:rPr>
                <w:rFonts w:ascii="Arial" w:hAnsi="Arial"/>
                <w:sz w:val="16"/>
                <w:szCs w:val="16"/>
              </w:rPr>
              <w:t xml:space="preserve">Defence achieves the ADF and APS Budgeted Workforce Requirement as set out in the </w:t>
            </w:r>
            <w:r w:rsidR="007859A7" w:rsidRPr="003E76E7">
              <w:rPr>
                <w:rFonts w:ascii="Arial" w:hAnsi="Arial"/>
                <w:sz w:val="16"/>
                <w:szCs w:val="16"/>
              </w:rPr>
              <w:br/>
            </w:r>
            <w:r w:rsidRPr="003E76E7">
              <w:rPr>
                <w:rFonts w:ascii="Arial" w:hAnsi="Arial"/>
                <w:i/>
                <w:sz w:val="16"/>
                <w:szCs w:val="16"/>
              </w:rPr>
              <w:t>Portfolio Budget Statements</w:t>
            </w:r>
            <w:r w:rsidR="003D1053">
              <w:rPr>
                <w:rFonts w:ascii="Arial" w:hAnsi="Arial"/>
                <w:i/>
                <w:sz w:val="16"/>
                <w:szCs w:val="16"/>
              </w:rPr>
              <w:t xml:space="preserve"> </w:t>
            </w:r>
            <w:r w:rsidR="003D1053" w:rsidRPr="003E76E7">
              <w:rPr>
                <w:rFonts w:ascii="Arial" w:hAnsi="Arial"/>
                <w:i/>
                <w:sz w:val="16"/>
                <w:szCs w:val="16"/>
              </w:rPr>
              <w:t xml:space="preserve">2025-26 </w:t>
            </w:r>
            <w:r w:rsidRPr="003E76E7">
              <w:rPr>
                <w:rFonts w:ascii="Arial" w:hAnsi="Arial"/>
                <w:sz w:val="16"/>
                <w:szCs w:val="16"/>
              </w:rPr>
              <w:t xml:space="preserve">and the net flow of the ADF and APS workforce over a </w:t>
            </w:r>
            <w:r w:rsidR="007859A7" w:rsidRPr="003E76E7">
              <w:rPr>
                <w:rFonts w:ascii="Arial" w:hAnsi="Arial"/>
                <w:sz w:val="16"/>
                <w:szCs w:val="16"/>
              </w:rPr>
              <w:br/>
            </w:r>
            <w:r w:rsidRPr="003E76E7">
              <w:rPr>
                <w:rFonts w:ascii="Arial" w:hAnsi="Arial"/>
                <w:sz w:val="16"/>
                <w:szCs w:val="16"/>
              </w:rPr>
              <w:t xml:space="preserve">12 month period is trending positive and is positioning Defence to achieve the Budgeted Workforce Requirement over the </w:t>
            </w:r>
            <w:r w:rsidR="00D34381" w:rsidRPr="003E76E7">
              <w:rPr>
                <w:rFonts w:ascii="Arial" w:hAnsi="Arial"/>
                <w:sz w:val="16"/>
                <w:szCs w:val="16"/>
              </w:rPr>
              <w:t>F</w:t>
            </w:r>
            <w:r w:rsidRPr="003E76E7">
              <w:rPr>
                <w:rFonts w:ascii="Arial" w:hAnsi="Arial"/>
                <w:sz w:val="16"/>
                <w:szCs w:val="16"/>
              </w:rPr>
              <w:t xml:space="preserve">orward </w:t>
            </w:r>
            <w:r w:rsidR="00D34381" w:rsidRPr="003E76E7">
              <w:rPr>
                <w:rFonts w:ascii="Arial" w:hAnsi="Arial"/>
                <w:sz w:val="16"/>
                <w:szCs w:val="16"/>
              </w:rPr>
              <w:t>E</w:t>
            </w:r>
            <w:r w:rsidRPr="003E76E7">
              <w:rPr>
                <w:rFonts w:ascii="Arial" w:hAnsi="Arial"/>
                <w:sz w:val="16"/>
                <w:szCs w:val="16"/>
              </w:rPr>
              <w:t>stimates.</w:t>
            </w:r>
          </w:p>
          <w:p w14:paraId="16794DB1" w14:textId="2587DBF8" w:rsidR="00172963" w:rsidRPr="003E76E7" w:rsidRDefault="00172963" w:rsidP="00C4292D">
            <w:pPr>
              <w:spacing w:before="0"/>
              <w:jc w:val="right"/>
              <w:rPr>
                <w:i/>
              </w:rPr>
            </w:pPr>
            <w:r w:rsidRPr="003E76E7">
              <w:rPr>
                <w:rFonts w:ascii="Arial" w:hAnsi="Arial"/>
                <w:i/>
                <w:sz w:val="16"/>
                <w:szCs w:val="16"/>
              </w:rPr>
              <w:t>Expected to be partially achieved.</w:t>
            </w:r>
          </w:p>
        </w:tc>
      </w:tr>
      <w:tr w:rsidR="00172963" w:rsidRPr="003E76E7" w14:paraId="1602FB71" w14:textId="77777777" w:rsidTr="00A211F5">
        <w:trPr>
          <w:trHeight w:val="305"/>
        </w:trPr>
        <w:tc>
          <w:tcPr>
            <w:tcW w:w="1779" w:type="dxa"/>
            <w:vMerge/>
            <w:tcBorders>
              <w:left w:val="single" w:sz="4" w:space="0" w:color="auto"/>
              <w:right w:val="single" w:sz="4" w:space="0" w:color="auto"/>
            </w:tcBorders>
          </w:tcPr>
          <w:p w14:paraId="701977EC" w14:textId="77777777" w:rsidR="00172963" w:rsidRPr="003E76E7" w:rsidRDefault="00172963" w:rsidP="00C4292D">
            <w:pPr>
              <w:tabs>
                <w:tab w:val="left" w:pos="709"/>
              </w:tabs>
              <w:spacing w:before="0" w:after="0"/>
              <w:rPr>
                <w:rFonts w:ascii="Arial" w:hAnsi="Arial"/>
                <w:color w:val="000000"/>
                <w:sz w:val="16"/>
                <w:szCs w:val="16"/>
              </w:rPr>
            </w:pPr>
          </w:p>
        </w:tc>
        <w:tc>
          <w:tcPr>
            <w:tcW w:w="2865" w:type="dxa"/>
            <w:tcBorders>
              <w:top w:val="single" w:sz="4" w:space="0" w:color="auto"/>
              <w:left w:val="single" w:sz="4" w:space="0" w:color="auto"/>
              <w:bottom w:val="single" w:sz="4" w:space="0" w:color="auto"/>
              <w:right w:val="single" w:sz="4" w:space="0" w:color="auto"/>
            </w:tcBorders>
          </w:tcPr>
          <w:p w14:paraId="1C1A7C8B" w14:textId="680E89A4" w:rsidR="00172963" w:rsidRPr="003E76E7" w:rsidRDefault="00172963" w:rsidP="00C4292D">
            <w:pPr>
              <w:tabs>
                <w:tab w:val="left" w:pos="709"/>
              </w:tabs>
              <w:spacing w:before="60" w:after="60"/>
              <w:rPr>
                <w:rFonts w:ascii="Arial" w:hAnsi="Arial"/>
                <w:sz w:val="16"/>
                <w:szCs w:val="16"/>
                <w:lang w:val="en-AU"/>
              </w:rPr>
            </w:pPr>
            <w:r w:rsidRPr="003E76E7">
              <w:rPr>
                <w:rFonts w:ascii="Arial" w:hAnsi="Arial"/>
                <w:sz w:val="16"/>
                <w:szCs w:val="16"/>
                <w:lang w:val="en-AU"/>
              </w:rPr>
              <w:t>4.2: Defence grows the necessary skills and capabilities to enable the Defence mission.</w:t>
            </w:r>
          </w:p>
        </w:tc>
        <w:tc>
          <w:tcPr>
            <w:tcW w:w="3294" w:type="dxa"/>
            <w:tcBorders>
              <w:top w:val="single" w:sz="4" w:space="0" w:color="auto"/>
              <w:left w:val="single" w:sz="4" w:space="0" w:color="auto"/>
              <w:bottom w:val="single" w:sz="4" w:space="0" w:color="auto"/>
              <w:right w:val="single" w:sz="4" w:space="0" w:color="auto"/>
            </w:tcBorders>
          </w:tcPr>
          <w:p w14:paraId="69CA4C22" w14:textId="1B828E70" w:rsidR="00172963" w:rsidRPr="003E76E7" w:rsidRDefault="00172963" w:rsidP="00C4292D">
            <w:pPr>
              <w:spacing w:before="0" w:after="60"/>
              <w:rPr>
                <w:rFonts w:ascii="Arial" w:hAnsi="Arial"/>
                <w:sz w:val="16"/>
                <w:szCs w:val="16"/>
                <w:lang w:val="en-AU"/>
              </w:rPr>
            </w:pPr>
            <w:r w:rsidRPr="003E76E7">
              <w:rPr>
                <w:rFonts w:ascii="Arial" w:hAnsi="Arial"/>
                <w:sz w:val="16"/>
                <w:szCs w:val="16"/>
                <w:lang w:val="en-AU"/>
              </w:rPr>
              <w:t xml:space="preserve">The Defence workforce has the technical skills required to deliver the National Defence Strategy, as measured through achieving a full workforce against each of the ADF and APS Strategic Workforce Segments, the net flow of the ADF and APS Strategic Workforce Segments over the financial year, measured against the Budgeted Workforce Requirement, will enable Defence to achieve its future technical skill requirements, and the Australian Submarine Agency are staffed with the required ADF personnel to deliver the </w:t>
            </w:r>
            <w:r w:rsidR="00374AEC" w:rsidRPr="003E76E7">
              <w:rPr>
                <w:rFonts w:ascii="Arial" w:hAnsi="Arial"/>
                <w:sz w:val="16"/>
                <w:szCs w:val="16"/>
                <w:lang w:val="en-AU"/>
              </w:rPr>
              <w:br/>
            </w:r>
            <w:r w:rsidRPr="003E76E7">
              <w:rPr>
                <w:rFonts w:ascii="Arial" w:hAnsi="Arial"/>
                <w:sz w:val="16"/>
                <w:szCs w:val="16"/>
                <w:lang w:val="en-AU"/>
              </w:rPr>
              <w:t>Nuclear-Powered Submarine Program.</w:t>
            </w:r>
          </w:p>
          <w:p w14:paraId="12710CC1" w14:textId="61D83535" w:rsidR="00172963" w:rsidRPr="003E76E7" w:rsidRDefault="00D013CE" w:rsidP="00C4292D">
            <w:pPr>
              <w:spacing w:after="60"/>
              <w:jc w:val="right"/>
              <w:rPr>
                <w:rFonts w:ascii="Arial" w:hAnsi="Arial"/>
                <w:color w:val="000000"/>
                <w:sz w:val="16"/>
                <w:szCs w:val="16"/>
              </w:rPr>
            </w:pPr>
            <w:r w:rsidRPr="003E76E7">
              <w:rPr>
                <w:rFonts w:ascii="Arial" w:hAnsi="Arial"/>
                <w:i/>
                <w:sz w:val="16"/>
                <w:szCs w:val="16"/>
              </w:rPr>
              <w:t>Expected to be partially achieved</w:t>
            </w:r>
            <w:r>
              <w:rPr>
                <w:rFonts w:ascii="Arial" w:hAnsi="Arial"/>
                <w:i/>
                <w:sz w:val="16"/>
                <w:szCs w:val="16"/>
              </w:rPr>
              <w:t>.</w:t>
            </w:r>
          </w:p>
        </w:tc>
      </w:tr>
      <w:tr w:rsidR="00172963" w:rsidRPr="003E76E7" w14:paraId="35B73DFC" w14:textId="77777777" w:rsidTr="00A211F5">
        <w:trPr>
          <w:trHeight w:val="305"/>
        </w:trPr>
        <w:tc>
          <w:tcPr>
            <w:tcW w:w="1779" w:type="dxa"/>
            <w:vMerge/>
            <w:tcBorders>
              <w:left w:val="single" w:sz="4" w:space="0" w:color="auto"/>
              <w:bottom w:val="single" w:sz="4" w:space="0" w:color="auto"/>
              <w:right w:val="single" w:sz="4" w:space="0" w:color="auto"/>
            </w:tcBorders>
          </w:tcPr>
          <w:p w14:paraId="0B74E1CA" w14:textId="77777777" w:rsidR="00172963" w:rsidRPr="003E76E7" w:rsidRDefault="00172963" w:rsidP="00C4292D">
            <w:pPr>
              <w:tabs>
                <w:tab w:val="left" w:pos="709"/>
              </w:tabs>
              <w:spacing w:before="0" w:after="0"/>
              <w:rPr>
                <w:rFonts w:ascii="Arial" w:hAnsi="Arial"/>
                <w:color w:val="000000"/>
                <w:sz w:val="16"/>
                <w:szCs w:val="16"/>
              </w:rPr>
            </w:pPr>
          </w:p>
        </w:tc>
        <w:tc>
          <w:tcPr>
            <w:tcW w:w="2865" w:type="dxa"/>
            <w:tcBorders>
              <w:top w:val="single" w:sz="4" w:space="0" w:color="auto"/>
              <w:left w:val="single" w:sz="4" w:space="0" w:color="auto"/>
              <w:bottom w:val="single" w:sz="4" w:space="0" w:color="auto"/>
              <w:right w:val="single" w:sz="4" w:space="0" w:color="auto"/>
            </w:tcBorders>
          </w:tcPr>
          <w:p w14:paraId="1E06BDA7" w14:textId="7746F91F" w:rsidR="00172963" w:rsidRPr="003E76E7" w:rsidRDefault="00172963" w:rsidP="00C4292D">
            <w:pPr>
              <w:tabs>
                <w:tab w:val="left" w:pos="709"/>
              </w:tabs>
              <w:spacing w:before="60" w:after="60"/>
              <w:rPr>
                <w:rFonts w:ascii="Arial" w:hAnsi="Arial"/>
                <w:sz w:val="16"/>
                <w:szCs w:val="16"/>
                <w:lang w:val="en-AU"/>
              </w:rPr>
            </w:pPr>
            <w:r w:rsidRPr="003E76E7">
              <w:rPr>
                <w:rFonts w:ascii="Arial" w:hAnsi="Arial"/>
                <w:sz w:val="16"/>
                <w:szCs w:val="16"/>
                <w:lang w:val="en-AU"/>
              </w:rPr>
              <w:t>4.3: The Defence values and behaviours enable our people to deliver against the Defence mission.</w:t>
            </w:r>
          </w:p>
        </w:tc>
        <w:tc>
          <w:tcPr>
            <w:tcW w:w="3294" w:type="dxa"/>
            <w:tcBorders>
              <w:top w:val="single" w:sz="4" w:space="0" w:color="auto"/>
              <w:left w:val="single" w:sz="4" w:space="0" w:color="auto"/>
              <w:bottom w:val="single" w:sz="4" w:space="0" w:color="auto"/>
              <w:right w:val="single" w:sz="4" w:space="0" w:color="auto"/>
            </w:tcBorders>
          </w:tcPr>
          <w:p w14:paraId="2A377D8B" w14:textId="1CCB3C57" w:rsidR="00172963" w:rsidRPr="003E76E7" w:rsidRDefault="00172963" w:rsidP="00C4292D">
            <w:pPr>
              <w:rPr>
                <w:rFonts w:ascii="Arial" w:hAnsi="Arial"/>
                <w:sz w:val="16"/>
                <w:szCs w:val="16"/>
              </w:rPr>
            </w:pPr>
            <w:r w:rsidRPr="003E76E7">
              <w:rPr>
                <w:rFonts w:ascii="Arial" w:hAnsi="Arial"/>
                <w:sz w:val="16"/>
                <w:szCs w:val="16"/>
              </w:rPr>
              <w:t xml:space="preserve">All ADF and Defence APS personnel believe appropriate action will be taken if they report an incident of unacceptable behaviour in the preceding 12 months, no ADF and Defence APS personnel have experienced unacceptable behaviour in the preceding </w:t>
            </w:r>
            <w:r w:rsidR="007859A7" w:rsidRPr="003E76E7">
              <w:rPr>
                <w:rFonts w:ascii="Arial" w:hAnsi="Arial"/>
                <w:sz w:val="16"/>
                <w:szCs w:val="16"/>
              </w:rPr>
              <w:br/>
            </w:r>
            <w:r w:rsidRPr="003E76E7">
              <w:rPr>
                <w:rFonts w:ascii="Arial" w:hAnsi="Arial"/>
                <w:sz w:val="16"/>
                <w:szCs w:val="16"/>
              </w:rPr>
              <w:t>12 months, and all ADF and Defence APS personnel view that Defence values are being used in their work area.</w:t>
            </w:r>
          </w:p>
          <w:p w14:paraId="251BC73D" w14:textId="3E011308" w:rsidR="00172963" w:rsidRPr="003E76E7" w:rsidRDefault="00C4447C" w:rsidP="003E76E7">
            <w:pPr>
              <w:spacing w:before="0" w:after="60"/>
              <w:jc w:val="right"/>
              <w:rPr>
                <w:rFonts w:ascii="Arial" w:hAnsi="Arial"/>
                <w:i/>
                <w:sz w:val="16"/>
                <w:szCs w:val="16"/>
                <w:vertAlign w:val="superscript"/>
                <w:lang w:val="en-AU"/>
              </w:rPr>
            </w:pPr>
            <w:r w:rsidRPr="003E76E7">
              <w:rPr>
                <w:rFonts w:ascii="Arial" w:hAnsi="Arial"/>
                <w:i/>
                <w:sz w:val="16"/>
                <w:szCs w:val="16"/>
              </w:rPr>
              <w:t>Expected to be not achieved.</w:t>
            </w:r>
          </w:p>
        </w:tc>
      </w:tr>
      <w:tr w:rsidR="008D3346" w:rsidRPr="003E76E7" w14:paraId="2F9774E2" w14:textId="77777777" w:rsidTr="00A211F5">
        <w:trPr>
          <w:trHeight w:val="305"/>
        </w:trPr>
        <w:tc>
          <w:tcPr>
            <w:tcW w:w="1779" w:type="dxa"/>
            <w:tcBorders>
              <w:top w:val="single" w:sz="4" w:space="0" w:color="auto"/>
              <w:left w:val="single" w:sz="4" w:space="0" w:color="auto"/>
              <w:bottom w:val="single" w:sz="4" w:space="0" w:color="auto"/>
              <w:right w:val="single" w:sz="4" w:space="0" w:color="auto"/>
            </w:tcBorders>
            <w:vAlign w:val="center"/>
          </w:tcPr>
          <w:p w14:paraId="2A400556" w14:textId="7558B42E" w:rsidR="008D3346" w:rsidRPr="003E76E7" w:rsidRDefault="008D3346" w:rsidP="00C4292D">
            <w:pPr>
              <w:pageBreakBefore/>
              <w:tabs>
                <w:tab w:val="left" w:pos="709"/>
              </w:tabs>
              <w:spacing w:before="0" w:after="0"/>
              <w:rPr>
                <w:rFonts w:ascii="Arial" w:hAnsi="Arial"/>
                <w:color w:val="000000"/>
                <w:sz w:val="16"/>
                <w:szCs w:val="16"/>
              </w:rPr>
            </w:pPr>
            <w:r w:rsidRPr="003E76E7">
              <w:rPr>
                <w:rFonts w:ascii="Arial" w:hAnsi="Arial"/>
                <w:b/>
                <w:color w:val="000000"/>
                <w:sz w:val="16"/>
                <w:szCs w:val="16"/>
              </w:rPr>
              <w:lastRenderedPageBreak/>
              <w:t>Year</w:t>
            </w:r>
          </w:p>
        </w:tc>
        <w:tc>
          <w:tcPr>
            <w:tcW w:w="2865" w:type="dxa"/>
            <w:tcBorders>
              <w:top w:val="single" w:sz="4" w:space="0" w:color="auto"/>
              <w:left w:val="single" w:sz="4" w:space="0" w:color="auto"/>
              <w:bottom w:val="single" w:sz="4" w:space="0" w:color="auto"/>
              <w:right w:val="single" w:sz="4" w:space="0" w:color="auto"/>
            </w:tcBorders>
            <w:vAlign w:val="center"/>
          </w:tcPr>
          <w:p w14:paraId="7519750D" w14:textId="67222774" w:rsidR="008D3346" w:rsidRPr="003E76E7" w:rsidRDefault="00AD14EC" w:rsidP="00C4292D">
            <w:pPr>
              <w:tabs>
                <w:tab w:val="left" w:pos="709"/>
              </w:tabs>
              <w:spacing w:before="60" w:after="60"/>
              <w:rPr>
                <w:rFonts w:ascii="Arial" w:hAnsi="Arial"/>
                <w:sz w:val="16"/>
                <w:szCs w:val="16"/>
                <w:lang w:val="en-AU"/>
              </w:rPr>
            </w:pPr>
            <w:r w:rsidRPr="003E76E7">
              <w:rPr>
                <w:rFonts w:ascii="Arial" w:hAnsi="Arial"/>
                <w:b/>
                <w:color w:val="000000"/>
                <w:sz w:val="16"/>
                <w:szCs w:val="16"/>
              </w:rPr>
              <w:t>Performance Measures</w:t>
            </w:r>
          </w:p>
        </w:tc>
        <w:tc>
          <w:tcPr>
            <w:tcW w:w="3294" w:type="dxa"/>
            <w:tcBorders>
              <w:top w:val="single" w:sz="4" w:space="0" w:color="auto"/>
              <w:left w:val="single" w:sz="4" w:space="0" w:color="auto"/>
              <w:bottom w:val="single" w:sz="4" w:space="0" w:color="auto"/>
              <w:right w:val="single" w:sz="4" w:space="0" w:color="auto"/>
            </w:tcBorders>
            <w:vAlign w:val="center"/>
          </w:tcPr>
          <w:p w14:paraId="6CAC787E" w14:textId="4D80D0B9" w:rsidR="008D3346" w:rsidRPr="003E76E7" w:rsidRDefault="008D3346" w:rsidP="00C4292D">
            <w:pPr>
              <w:tabs>
                <w:tab w:val="left" w:pos="709"/>
              </w:tabs>
              <w:spacing w:before="60" w:after="60"/>
              <w:rPr>
                <w:rFonts w:ascii="Arial" w:hAnsi="Arial"/>
                <w:sz w:val="16"/>
                <w:szCs w:val="16"/>
                <w:lang w:val="en-AU"/>
              </w:rPr>
            </w:pPr>
            <w:r w:rsidRPr="003E76E7">
              <w:rPr>
                <w:rFonts w:ascii="Arial" w:hAnsi="Arial"/>
                <w:b/>
                <w:color w:val="000000"/>
                <w:sz w:val="16"/>
                <w:szCs w:val="16"/>
              </w:rPr>
              <w:t>Expected Performance Results</w:t>
            </w:r>
          </w:p>
        </w:tc>
      </w:tr>
      <w:tr w:rsidR="00172963" w:rsidRPr="003E76E7" w14:paraId="3CF0FEA1" w14:textId="77777777" w:rsidTr="00A211F5">
        <w:tblPrEx>
          <w:shd w:val="clear" w:color="auto" w:fill="auto"/>
          <w:tblLook w:val="04A0" w:firstRow="1" w:lastRow="0" w:firstColumn="1" w:lastColumn="0" w:noHBand="0" w:noVBand="1"/>
        </w:tblPrEx>
        <w:trPr>
          <w:trHeight w:val="305"/>
        </w:trPr>
        <w:tc>
          <w:tcPr>
            <w:tcW w:w="1779" w:type="dxa"/>
            <w:tcBorders>
              <w:top w:val="single" w:sz="4" w:space="0" w:color="auto"/>
              <w:bottom w:val="single" w:sz="4" w:space="0" w:color="auto"/>
              <w:right w:val="single" w:sz="4" w:space="0" w:color="auto"/>
            </w:tcBorders>
          </w:tcPr>
          <w:p w14:paraId="3BB18947" w14:textId="77777777" w:rsidR="00172963" w:rsidRPr="003E76E7" w:rsidRDefault="00172963" w:rsidP="00C4292D">
            <w:pPr>
              <w:tabs>
                <w:tab w:val="left" w:pos="709"/>
              </w:tabs>
              <w:spacing w:before="0" w:after="0"/>
              <w:rPr>
                <w:rFonts w:ascii="Arial" w:hAnsi="Arial"/>
                <w:color w:val="000000"/>
                <w:sz w:val="16"/>
                <w:szCs w:val="16"/>
              </w:rPr>
            </w:pPr>
            <w:r w:rsidRPr="003E76E7">
              <w:rPr>
                <w:rFonts w:ascii="Arial" w:hAnsi="Arial"/>
                <w:color w:val="000000"/>
                <w:sz w:val="16"/>
                <w:szCs w:val="16"/>
              </w:rPr>
              <w:t>Current Year</w:t>
            </w:r>
          </w:p>
          <w:p w14:paraId="51D1C9AF" w14:textId="145324D9" w:rsidR="00172963" w:rsidRPr="003E76E7" w:rsidRDefault="00172963" w:rsidP="00C4292D">
            <w:pPr>
              <w:tabs>
                <w:tab w:val="left" w:pos="709"/>
              </w:tabs>
              <w:spacing w:before="60" w:after="60"/>
              <w:rPr>
                <w:rFonts w:ascii="Arial" w:hAnsi="Arial"/>
                <w:color w:val="000000"/>
                <w:sz w:val="16"/>
                <w:szCs w:val="16"/>
              </w:rPr>
            </w:pPr>
            <w:r w:rsidRPr="003E76E7">
              <w:rPr>
                <w:rFonts w:ascii="Arial" w:hAnsi="Arial"/>
                <w:color w:val="000000"/>
                <w:sz w:val="16"/>
                <w:szCs w:val="16"/>
              </w:rPr>
              <w:t xml:space="preserve">2025-26 </w:t>
            </w:r>
            <w:r w:rsidRPr="003E76E7">
              <w:rPr>
                <w:rFonts w:ascii="Arial" w:hAnsi="Arial"/>
                <w:color w:val="000000"/>
                <w:sz w:val="16"/>
                <w:szCs w:val="16"/>
                <w:vertAlign w:val="superscript"/>
              </w:rPr>
              <w:t>[a]</w:t>
            </w:r>
          </w:p>
        </w:tc>
        <w:tc>
          <w:tcPr>
            <w:tcW w:w="2865" w:type="dxa"/>
            <w:tcBorders>
              <w:top w:val="single" w:sz="4" w:space="0" w:color="auto"/>
              <w:left w:val="single" w:sz="4" w:space="0" w:color="auto"/>
              <w:bottom w:val="single" w:sz="4" w:space="0" w:color="auto"/>
              <w:right w:val="single" w:sz="4" w:space="0" w:color="auto"/>
            </w:tcBorders>
          </w:tcPr>
          <w:p w14:paraId="78330FF1" w14:textId="55D93FE5" w:rsidR="00172963" w:rsidRPr="003E76E7" w:rsidRDefault="00172963" w:rsidP="00C4292D">
            <w:pPr>
              <w:tabs>
                <w:tab w:val="left" w:pos="709"/>
              </w:tabs>
              <w:spacing w:before="60" w:after="60"/>
              <w:rPr>
                <w:rFonts w:ascii="Arial" w:hAnsi="Arial"/>
                <w:sz w:val="16"/>
                <w:szCs w:val="16"/>
                <w:lang w:val="en-AU"/>
              </w:rPr>
            </w:pPr>
            <w:r w:rsidRPr="003E76E7">
              <w:rPr>
                <w:rFonts w:ascii="Arial" w:hAnsi="Arial"/>
                <w:sz w:val="16"/>
                <w:szCs w:val="16"/>
                <w:lang w:val="en-AU"/>
              </w:rPr>
              <w:t>4.4: Defence supports ADF members and their families by providing access to support services and programs having regard to lifetime wellbeing.</w:t>
            </w:r>
          </w:p>
        </w:tc>
        <w:tc>
          <w:tcPr>
            <w:tcW w:w="3294" w:type="dxa"/>
            <w:tcBorders>
              <w:top w:val="single" w:sz="4" w:space="0" w:color="auto"/>
              <w:left w:val="single" w:sz="4" w:space="0" w:color="auto"/>
              <w:bottom w:val="single" w:sz="4" w:space="0" w:color="auto"/>
            </w:tcBorders>
          </w:tcPr>
          <w:p w14:paraId="3DB4725A" w14:textId="71137E9D" w:rsidR="00172963" w:rsidRPr="003E76E7" w:rsidRDefault="00172963" w:rsidP="00C4292D">
            <w:pPr>
              <w:tabs>
                <w:tab w:val="left" w:pos="709"/>
              </w:tabs>
              <w:spacing w:before="60" w:after="60"/>
              <w:rPr>
                <w:rFonts w:ascii="Arial" w:hAnsi="Arial"/>
                <w:sz w:val="16"/>
                <w:szCs w:val="16"/>
                <w:lang w:val="en-AU"/>
              </w:rPr>
            </w:pPr>
            <w:r w:rsidRPr="003E76E7">
              <w:rPr>
                <w:rFonts w:ascii="Arial" w:hAnsi="Arial"/>
                <w:sz w:val="16"/>
                <w:szCs w:val="16"/>
                <w:lang w:val="en-AU"/>
              </w:rPr>
              <w:t xml:space="preserve">At least 75 per cent of eligible full-time ADF members and their families are registered with the ADF Family Health Program, 100 per cent of the support services of the Partner Assistance Employment Program, Education Assistance Scheme, and Special Accommodation for Emergencies Scheme are provided to full-time ADF and their families in accordance with identified service delivery timeframes, there is an increase in the percentage of Defence suicide prevention training participants who assess that the training is practical, tailored and informed by lived experience, and 100 per cent of </w:t>
            </w:r>
            <w:r w:rsidR="007859A7" w:rsidRPr="003E76E7">
              <w:rPr>
                <w:rFonts w:ascii="Arial" w:hAnsi="Arial"/>
                <w:sz w:val="16"/>
                <w:szCs w:val="16"/>
                <w:lang w:val="en-AU"/>
              </w:rPr>
              <w:br/>
            </w:r>
            <w:r w:rsidRPr="003E76E7">
              <w:rPr>
                <w:rFonts w:ascii="Arial" w:hAnsi="Arial"/>
                <w:sz w:val="16"/>
                <w:szCs w:val="16"/>
                <w:lang w:val="en-AU"/>
              </w:rPr>
              <w:t>Defence-led, Government-agreed recommendations from the Royal Commission into Defence and Veteran Suicide Final Report are complete, or on-track.</w:t>
            </w:r>
          </w:p>
          <w:p w14:paraId="0AFA3C89" w14:textId="61A57C9D" w:rsidR="00172963" w:rsidRPr="003E76E7" w:rsidRDefault="00172963" w:rsidP="00C4292D">
            <w:pPr>
              <w:tabs>
                <w:tab w:val="left" w:pos="709"/>
              </w:tabs>
              <w:spacing w:before="60" w:after="60"/>
              <w:jc w:val="right"/>
              <w:rPr>
                <w:rFonts w:ascii="Arial" w:hAnsi="Arial"/>
                <w:i/>
                <w:sz w:val="16"/>
                <w:szCs w:val="16"/>
                <w:lang w:val="en-AU"/>
              </w:rPr>
            </w:pPr>
            <w:r w:rsidRPr="003E76E7">
              <w:rPr>
                <w:rFonts w:ascii="Arial" w:hAnsi="Arial"/>
                <w:i/>
                <w:sz w:val="16"/>
                <w:szCs w:val="16"/>
                <w:lang w:val="en-AU"/>
              </w:rPr>
              <w:t>Expected to be substantially achieved.</w:t>
            </w:r>
          </w:p>
        </w:tc>
      </w:tr>
      <w:tr w:rsidR="008D3346" w:rsidRPr="003E76E7" w14:paraId="5024D2B2" w14:textId="77777777" w:rsidTr="00A211F5">
        <w:tblPrEx>
          <w:shd w:val="clear" w:color="auto" w:fill="auto"/>
          <w:tblLook w:val="04A0" w:firstRow="1" w:lastRow="0" w:firstColumn="1" w:lastColumn="0" w:noHBand="0" w:noVBand="1"/>
        </w:tblPrEx>
        <w:trPr>
          <w:trHeight w:val="258"/>
        </w:trPr>
        <w:tc>
          <w:tcPr>
            <w:tcW w:w="1779" w:type="dxa"/>
            <w:tcBorders>
              <w:top w:val="single" w:sz="4" w:space="0" w:color="auto"/>
              <w:bottom w:val="single" w:sz="4" w:space="0" w:color="auto"/>
              <w:right w:val="single" w:sz="4" w:space="0" w:color="auto"/>
            </w:tcBorders>
          </w:tcPr>
          <w:p w14:paraId="04653C6F" w14:textId="77777777" w:rsidR="008D3346" w:rsidRPr="003E76E7" w:rsidRDefault="008D3346" w:rsidP="00C4292D">
            <w:pPr>
              <w:tabs>
                <w:tab w:val="left" w:pos="709"/>
              </w:tabs>
              <w:spacing w:before="60" w:after="60"/>
              <w:rPr>
                <w:rFonts w:ascii="Arial" w:hAnsi="Arial"/>
                <w:b/>
                <w:color w:val="000000"/>
                <w:sz w:val="16"/>
                <w:szCs w:val="16"/>
              </w:rPr>
            </w:pPr>
            <w:r w:rsidRPr="003E76E7">
              <w:rPr>
                <w:rFonts w:ascii="Arial" w:hAnsi="Arial"/>
                <w:b/>
                <w:color w:val="000000"/>
                <w:sz w:val="16"/>
                <w:szCs w:val="16"/>
              </w:rPr>
              <w:t>Year</w:t>
            </w:r>
          </w:p>
        </w:tc>
        <w:tc>
          <w:tcPr>
            <w:tcW w:w="2865" w:type="dxa"/>
            <w:tcBorders>
              <w:top w:val="single" w:sz="4" w:space="0" w:color="auto"/>
              <w:left w:val="single" w:sz="4" w:space="0" w:color="auto"/>
              <w:bottom w:val="single" w:sz="4" w:space="0" w:color="auto"/>
              <w:right w:val="single" w:sz="4" w:space="0" w:color="auto"/>
            </w:tcBorders>
          </w:tcPr>
          <w:p w14:paraId="3ACC2EEA" w14:textId="245071D9" w:rsidR="008D3346" w:rsidRPr="003E76E7" w:rsidRDefault="00AD14EC" w:rsidP="00C4292D">
            <w:pPr>
              <w:tabs>
                <w:tab w:val="left" w:pos="709"/>
                <w:tab w:val="center" w:pos="1818"/>
              </w:tabs>
              <w:spacing w:before="60" w:after="60"/>
              <w:rPr>
                <w:rFonts w:ascii="Arial" w:hAnsi="Arial"/>
                <w:b/>
                <w:color w:val="000000"/>
                <w:sz w:val="16"/>
                <w:szCs w:val="16"/>
              </w:rPr>
            </w:pPr>
            <w:r w:rsidRPr="003E76E7">
              <w:rPr>
                <w:rFonts w:ascii="Arial" w:hAnsi="Arial"/>
                <w:b/>
                <w:color w:val="000000"/>
                <w:sz w:val="16"/>
                <w:szCs w:val="16"/>
              </w:rPr>
              <w:t>Performance Measures</w:t>
            </w:r>
          </w:p>
        </w:tc>
        <w:tc>
          <w:tcPr>
            <w:tcW w:w="3294" w:type="dxa"/>
            <w:tcBorders>
              <w:top w:val="single" w:sz="4" w:space="0" w:color="auto"/>
              <w:left w:val="single" w:sz="4" w:space="0" w:color="auto"/>
              <w:bottom w:val="single" w:sz="4" w:space="0" w:color="auto"/>
            </w:tcBorders>
          </w:tcPr>
          <w:p w14:paraId="46309083" w14:textId="77777777" w:rsidR="008D3346" w:rsidRPr="003E76E7" w:rsidRDefault="008D3346" w:rsidP="00C4292D">
            <w:pPr>
              <w:tabs>
                <w:tab w:val="left" w:pos="709"/>
              </w:tabs>
              <w:spacing w:before="60" w:after="60"/>
              <w:rPr>
                <w:rFonts w:ascii="Arial" w:hAnsi="Arial"/>
                <w:b/>
                <w:color w:val="000000"/>
                <w:sz w:val="16"/>
                <w:szCs w:val="16"/>
              </w:rPr>
            </w:pPr>
            <w:r w:rsidRPr="003E76E7">
              <w:rPr>
                <w:rFonts w:ascii="Arial" w:hAnsi="Arial"/>
                <w:b/>
                <w:color w:val="000000"/>
                <w:sz w:val="16"/>
                <w:szCs w:val="16"/>
              </w:rPr>
              <w:t>Planned Performance Results</w:t>
            </w:r>
          </w:p>
        </w:tc>
      </w:tr>
      <w:tr w:rsidR="00172963" w:rsidRPr="003E76E7" w14:paraId="36546BC4" w14:textId="77777777" w:rsidTr="00A211F5">
        <w:trPr>
          <w:trHeight w:val="320"/>
        </w:trPr>
        <w:tc>
          <w:tcPr>
            <w:tcW w:w="1779" w:type="dxa"/>
            <w:vMerge w:val="restart"/>
            <w:tcBorders>
              <w:top w:val="single" w:sz="4" w:space="0" w:color="auto"/>
              <w:left w:val="single" w:sz="4" w:space="0" w:color="auto"/>
              <w:right w:val="single" w:sz="4" w:space="0" w:color="auto"/>
            </w:tcBorders>
          </w:tcPr>
          <w:p w14:paraId="2FB3E017" w14:textId="77777777" w:rsidR="00172963" w:rsidRPr="003E76E7" w:rsidRDefault="00172963" w:rsidP="00C4292D">
            <w:pPr>
              <w:tabs>
                <w:tab w:val="left" w:pos="709"/>
              </w:tabs>
              <w:spacing w:before="0" w:after="0"/>
              <w:rPr>
                <w:rFonts w:ascii="Arial" w:hAnsi="Arial"/>
                <w:color w:val="000000"/>
                <w:sz w:val="16"/>
                <w:szCs w:val="16"/>
              </w:rPr>
            </w:pPr>
            <w:r w:rsidRPr="003E76E7">
              <w:rPr>
                <w:rFonts w:ascii="Arial" w:hAnsi="Arial"/>
                <w:color w:val="000000"/>
                <w:sz w:val="16"/>
                <w:szCs w:val="16"/>
              </w:rPr>
              <w:t>Budget Year</w:t>
            </w:r>
          </w:p>
          <w:p w14:paraId="40D670E3" w14:textId="4A43EC1A" w:rsidR="00172963" w:rsidRPr="003E76E7" w:rsidRDefault="00172963" w:rsidP="00C4292D">
            <w:pPr>
              <w:tabs>
                <w:tab w:val="left" w:pos="709"/>
              </w:tabs>
              <w:spacing w:before="0" w:after="0"/>
              <w:rPr>
                <w:rFonts w:ascii="Arial" w:hAnsi="Arial"/>
                <w:color w:val="000000"/>
                <w:sz w:val="16"/>
                <w:szCs w:val="16"/>
              </w:rPr>
            </w:pPr>
            <w:r w:rsidRPr="003E76E7">
              <w:rPr>
                <w:rFonts w:ascii="Arial" w:hAnsi="Arial"/>
                <w:color w:val="000000"/>
                <w:sz w:val="16"/>
                <w:szCs w:val="16"/>
              </w:rPr>
              <w:t xml:space="preserve">2026-27 </w:t>
            </w:r>
            <w:r w:rsidRPr="003E76E7">
              <w:rPr>
                <w:rFonts w:ascii="Arial" w:hAnsi="Arial"/>
                <w:color w:val="000000"/>
                <w:sz w:val="16"/>
                <w:szCs w:val="16"/>
                <w:vertAlign w:val="superscript"/>
              </w:rPr>
              <w:t>[</w:t>
            </w:r>
            <w:r w:rsidR="00C4447C" w:rsidRPr="003E76E7">
              <w:rPr>
                <w:rFonts w:ascii="Arial" w:hAnsi="Arial"/>
                <w:color w:val="000000"/>
                <w:sz w:val="16"/>
                <w:szCs w:val="16"/>
                <w:vertAlign w:val="superscript"/>
              </w:rPr>
              <w:t>b</w:t>
            </w:r>
            <w:r w:rsidRPr="003E76E7">
              <w:rPr>
                <w:rFonts w:ascii="Arial" w:hAnsi="Arial"/>
                <w:color w:val="000000"/>
                <w:sz w:val="16"/>
                <w:szCs w:val="16"/>
                <w:vertAlign w:val="superscript"/>
              </w:rPr>
              <w:t>]</w:t>
            </w:r>
          </w:p>
          <w:p w14:paraId="22A89BA3" w14:textId="4E1AADFB" w:rsidR="00172963" w:rsidRPr="003E76E7" w:rsidRDefault="00172963" w:rsidP="00C4292D">
            <w:pPr>
              <w:tabs>
                <w:tab w:val="left" w:pos="709"/>
              </w:tabs>
              <w:spacing w:before="0" w:after="0"/>
              <w:rPr>
                <w:rFonts w:ascii="Arial" w:hAnsi="Arial"/>
                <w:color w:val="000000"/>
                <w:sz w:val="16"/>
                <w:szCs w:val="16"/>
              </w:rPr>
            </w:pPr>
          </w:p>
        </w:tc>
        <w:tc>
          <w:tcPr>
            <w:tcW w:w="2865" w:type="dxa"/>
            <w:tcBorders>
              <w:top w:val="single" w:sz="4" w:space="0" w:color="auto"/>
              <w:left w:val="single" w:sz="4" w:space="0" w:color="auto"/>
              <w:bottom w:val="single" w:sz="4" w:space="0" w:color="auto"/>
              <w:right w:val="single" w:sz="4" w:space="0" w:color="auto"/>
            </w:tcBorders>
          </w:tcPr>
          <w:p w14:paraId="3967886B" w14:textId="1C38DF24" w:rsidR="00172963" w:rsidRPr="003E76E7" w:rsidRDefault="00172963" w:rsidP="00C4292D">
            <w:pPr>
              <w:tabs>
                <w:tab w:val="left" w:pos="709"/>
              </w:tabs>
              <w:spacing w:before="60" w:after="60"/>
              <w:rPr>
                <w:rFonts w:ascii="Arial" w:hAnsi="Arial"/>
                <w:sz w:val="16"/>
                <w:szCs w:val="16"/>
                <w:lang w:val="en-AU"/>
              </w:rPr>
            </w:pPr>
            <w:r w:rsidRPr="003E76E7">
              <w:rPr>
                <w:rFonts w:ascii="Arial" w:hAnsi="Arial"/>
                <w:sz w:val="16"/>
                <w:szCs w:val="16"/>
                <w:lang w:val="en-AU"/>
              </w:rPr>
              <w:t>4.1: Defence recruits and retains an ADF and APS workforce to support the Defence mission.</w:t>
            </w:r>
          </w:p>
        </w:tc>
        <w:tc>
          <w:tcPr>
            <w:tcW w:w="3294" w:type="dxa"/>
            <w:tcBorders>
              <w:top w:val="single" w:sz="4" w:space="0" w:color="auto"/>
              <w:left w:val="single" w:sz="4" w:space="0" w:color="auto"/>
              <w:bottom w:val="single" w:sz="4" w:space="0" w:color="auto"/>
              <w:right w:val="single" w:sz="4" w:space="0" w:color="auto"/>
            </w:tcBorders>
          </w:tcPr>
          <w:p w14:paraId="53E9404B" w14:textId="3907F76E" w:rsidR="00172963" w:rsidRPr="003E76E7" w:rsidRDefault="00172963" w:rsidP="00C4292D">
            <w:pPr>
              <w:tabs>
                <w:tab w:val="left" w:pos="709"/>
              </w:tabs>
              <w:spacing w:before="60" w:after="60"/>
              <w:rPr>
                <w:rFonts w:ascii="Arial" w:hAnsi="Arial"/>
                <w:sz w:val="16"/>
                <w:szCs w:val="16"/>
                <w:lang w:val="en-AU"/>
              </w:rPr>
            </w:pPr>
            <w:r w:rsidRPr="003E76E7">
              <w:rPr>
                <w:rFonts w:ascii="Arial" w:hAnsi="Arial"/>
                <w:sz w:val="16"/>
                <w:szCs w:val="16"/>
              </w:rPr>
              <w:t xml:space="preserve">Defence achieves the ADF and APS Budgeted Workforce Requirement as set out in the Portfolio Budget Statements and the net flow of the ADF and APS workforce over a </w:t>
            </w:r>
            <w:r w:rsidR="007859A7" w:rsidRPr="003E76E7">
              <w:rPr>
                <w:rFonts w:ascii="Arial" w:hAnsi="Arial"/>
                <w:sz w:val="16"/>
                <w:szCs w:val="16"/>
              </w:rPr>
              <w:br/>
            </w:r>
            <w:r w:rsidRPr="003E76E7">
              <w:rPr>
                <w:rFonts w:ascii="Arial" w:hAnsi="Arial"/>
                <w:sz w:val="16"/>
                <w:szCs w:val="16"/>
              </w:rPr>
              <w:t xml:space="preserve">12 month period is trending positive and is positioning Defence to achieve the Budgeted Workforce Requirement over the </w:t>
            </w:r>
            <w:r w:rsidR="00D34381" w:rsidRPr="003E76E7">
              <w:rPr>
                <w:rFonts w:ascii="Arial" w:hAnsi="Arial"/>
                <w:sz w:val="16"/>
                <w:szCs w:val="16"/>
              </w:rPr>
              <w:t>F</w:t>
            </w:r>
            <w:r w:rsidRPr="003E76E7">
              <w:rPr>
                <w:rFonts w:ascii="Arial" w:hAnsi="Arial"/>
                <w:sz w:val="16"/>
                <w:szCs w:val="16"/>
              </w:rPr>
              <w:t xml:space="preserve">orward </w:t>
            </w:r>
            <w:r w:rsidR="00D34381" w:rsidRPr="003E76E7">
              <w:rPr>
                <w:rFonts w:ascii="Arial" w:hAnsi="Arial"/>
                <w:sz w:val="16"/>
                <w:szCs w:val="16"/>
              </w:rPr>
              <w:t>E</w:t>
            </w:r>
            <w:r w:rsidRPr="003E76E7">
              <w:rPr>
                <w:rFonts w:ascii="Arial" w:hAnsi="Arial"/>
                <w:sz w:val="16"/>
                <w:szCs w:val="16"/>
              </w:rPr>
              <w:t>stimates.</w:t>
            </w:r>
          </w:p>
        </w:tc>
      </w:tr>
      <w:tr w:rsidR="00172963" w:rsidRPr="003E76E7" w14:paraId="47CAD501" w14:textId="77777777" w:rsidTr="00A211F5">
        <w:trPr>
          <w:trHeight w:val="320"/>
        </w:trPr>
        <w:tc>
          <w:tcPr>
            <w:tcW w:w="1779" w:type="dxa"/>
            <w:vMerge/>
            <w:tcBorders>
              <w:top w:val="single" w:sz="4" w:space="0" w:color="auto"/>
              <w:left w:val="single" w:sz="4" w:space="0" w:color="auto"/>
              <w:right w:val="single" w:sz="4" w:space="0" w:color="auto"/>
            </w:tcBorders>
          </w:tcPr>
          <w:p w14:paraId="6265DC45" w14:textId="77777777" w:rsidR="00172963" w:rsidRPr="003E76E7" w:rsidRDefault="00172963" w:rsidP="00C4292D">
            <w:pPr>
              <w:tabs>
                <w:tab w:val="left" w:pos="709"/>
              </w:tabs>
              <w:spacing w:before="0" w:after="0"/>
              <w:rPr>
                <w:rFonts w:ascii="Arial" w:hAnsi="Arial"/>
                <w:color w:val="000000"/>
                <w:sz w:val="16"/>
                <w:szCs w:val="16"/>
              </w:rPr>
            </w:pPr>
          </w:p>
        </w:tc>
        <w:tc>
          <w:tcPr>
            <w:tcW w:w="2865" w:type="dxa"/>
            <w:tcBorders>
              <w:top w:val="single" w:sz="4" w:space="0" w:color="auto"/>
              <w:left w:val="single" w:sz="4" w:space="0" w:color="auto"/>
              <w:bottom w:val="single" w:sz="4" w:space="0" w:color="auto"/>
              <w:right w:val="single" w:sz="4" w:space="0" w:color="auto"/>
            </w:tcBorders>
          </w:tcPr>
          <w:p w14:paraId="78C03029" w14:textId="2829F5C4" w:rsidR="00172963" w:rsidRPr="003E76E7" w:rsidRDefault="00172963" w:rsidP="00C4292D">
            <w:pPr>
              <w:tabs>
                <w:tab w:val="left" w:pos="709"/>
              </w:tabs>
              <w:spacing w:before="60" w:after="60"/>
              <w:rPr>
                <w:rFonts w:ascii="Arial" w:hAnsi="Arial"/>
                <w:sz w:val="16"/>
                <w:szCs w:val="16"/>
                <w:lang w:val="en-AU"/>
              </w:rPr>
            </w:pPr>
            <w:r w:rsidRPr="003E76E7">
              <w:rPr>
                <w:rFonts w:ascii="Arial" w:hAnsi="Arial"/>
                <w:sz w:val="16"/>
                <w:szCs w:val="16"/>
                <w:lang w:val="en-AU"/>
              </w:rPr>
              <w:t>4.2: Defence grows the necessary skills and capabilities to enable the Defence mission.</w:t>
            </w:r>
          </w:p>
        </w:tc>
        <w:tc>
          <w:tcPr>
            <w:tcW w:w="3294" w:type="dxa"/>
            <w:tcBorders>
              <w:top w:val="single" w:sz="4" w:space="0" w:color="auto"/>
              <w:left w:val="single" w:sz="4" w:space="0" w:color="auto"/>
              <w:bottom w:val="single" w:sz="4" w:space="0" w:color="auto"/>
              <w:right w:val="single" w:sz="4" w:space="0" w:color="auto"/>
            </w:tcBorders>
          </w:tcPr>
          <w:p w14:paraId="000480B8" w14:textId="79AE98E6" w:rsidR="00172963" w:rsidRPr="003E76E7" w:rsidRDefault="00172963" w:rsidP="00C4292D">
            <w:pPr>
              <w:tabs>
                <w:tab w:val="left" w:pos="709"/>
              </w:tabs>
              <w:spacing w:before="60" w:after="60"/>
              <w:rPr>
                <w:rFonts w:ascii="Arial" w:hAnsi="Arial"/>
                <w:sz w:val="16"/>
                <w:szCs w:val="16"/>
                <w:lang w:val="en-AU"/>
              </w:rPr>
            </w:pPr>
            <w:r w:rsidRPr="003E76E7">
              <w:rPr>
                <w:rFonts w:ascii="Arial" w:hAnsi="Arial"/>
                <w:sz w:val="16"/>
                <w:szCs w:val="16"/>
                <w:lang w:val="en-AU"/>
              </w:rPr>
              <w:t xml:space="preserve">The Defence workforce has the technical skills required to deliver the National Defence Strategy, as measured through achieving a full workforce against each of the ADF and APS Strategic Workforce Segments, the net flow of the ADF and APS Strategic Workforce Segments over the financial year, measured against the Budgeted Workforce Requirement, will enable Defence to achieve its future technical skill requirements, and the Australian Submarine Agency are staffed with the required ADF personnel to deliver the </w:t>
            </w:r>
            <w:r w:rsidR="007859A7" w:rsidRPr="003E76E7">
              <w:rPr>
                <w:rFonts w:ascii="Arial" w:hAnsi="Arial"/>
                <w:sz w:val="16"/>
                <w:szCs w:val="16"/>
                <w:lang w:val="en-AU"/>
              </w:rPr>
              <w:br/>
            </w:r>
            <w:r w:rsidRPr="003E76E7">
              <w:rPr>
                <w:rFonts w:ascii="Arial" w:hAnsi="Arial"/>
                <w:sz w:val="16"/>
                <w:szCs w:val="16"/>
                <w:lang w:val="en-AU"/>
              </w:rPr>
              <w:t>Nuclear-Powered Submarine Program.</w:t>
            </w:r>
          </w:p>
        </w:tc>
      </w:tr>
      <w:tr w:rsidR="00172963" w:rsidRPr="003E76E7" w14:paraId="0D617381" w14:textId="77777777" w:rsidTr="00A211F5">
        <w:trPr>
          <w:trHeight w:val="320"/>
        </w:trPr>
        <w:tc>
          <w:tcPr>
            <w:tcW w:w="1779" w:type="dxa"/>
            <w:vMerge/>
            <w:tcBorders>
              <w:left w:val="single" w:sz="4" w:space="0" w:color="auto"/>
              <w:bottom w:val="single" w:sz="4" w:space="0" w:color="auto"/>
              <w:right w:val="single" w:sz="4" w:space="0" w:color="auto"/>
            </w:tcBorders>
          </w:tcPr>
          <w:p w14:paraId="5FB714F8" w14:textId="190A727A" w:rsidR="00172963" w:rsidRPr="003E76E7" w:rsidRDefault="00172963" w:rsidP="00C4292D">
            <w:pPr>
              <w:tabs>
                <w:tab w:val="left" w:pos="709"/>
              </w:tabs>
              <w:spacing w:before="0" w:after="0"/>
              <w:rPr>
                <w:rFonts w:ascii="Arial" w:hAnsi="Arial"/>
                <w:color w:val="000000"/>
                <w:sz w:val="16"/>
                <w:szCs w:val="16"/>
              </w:rPr>
            </w:pPr>
          </w:p>
        </w:tc>
        <w:tc>
          <w:tcPr>
            <w:tcW w:w="2865" w:type="dxa"/>
            <w:tcBorders>
              <w:top w:val="single" w:sz="4" w:space="0" w:color="auto"/>
              <w:left w:val="single" w:sz="4" w:space="0" w:color="auto"/>
              <w:bottom w:val="single" w:sz="4" w:space="0" w:color="auto"/>
              <w:right w:val="single" w:sz="4" w:space="0" w:color="auto"/>
            </w:tcBorders>
          </w:tcPr>
          <w:p w14:paraId="0DAC54F9" w14:textId="0988825F" w:rsidR="00172963" w:rsidRPr="003E76E7" w:rsidRDefault="00172963" w:rsidP="00C4292D">
            <w:pPr>
              <w:tabs>
                <w:tab w:val="left" w:pos="709"/>
              </w:tabs>
              <w:spacing w:before="60" w:after="60"/>
              <w:rPr>
                <w:rFonts w:ascii="Arial" w:hAnsi="Arial"/>
                <w:sz w:val="16"/>
                <w:szCs w:val="16"/>
                <w:lang w:val="en-AU"/>
              </w:rPr>
            </w:pPr>
            <w:r w:rsidRPr="003E76E7">
              <w:rPr>
                <w:rFonts w:ascii="Arial" w:hAnsi="Arial"/>
                <w:sz w:val="16"/>
                <w:szCs w:val="16"/>
                <w:lang w:val="en-AU"/>
              </w:rPr>
              <w:t>4.3: The Defence values and behaviours enable our people to deliver against the Defence mission.</w:t>
            </w:r>
          </w:p>
        </w:tc>
        <w:tc>
          <w:tcPr>
            <w:tcW w:w="3294" w:type="dxa"/>
            <w:tcBorders>
              <w:top w:val="single" w:sz="4" w:space="0" w:color="auto"/>
              <w:left w:val="single" w:sz="4" w:space="0" w:color="auto"/>
              <w:bottom w:val="single" w:sz="4" w:space="0" w:color="auto"/>
              <w:right w:val="single" w:sz="4" w:space="0" w:color="auto"/>
            </w:tcBorders>
          </w:tcPr>
          <w:p w14:paraId="274496FF" w14:textId="69CDA7DA" w:rsidR="00172963" w:rsidRPr="003E76E7" w:rsidRDefault="00172963" w:rsidP="00C4292D">
            <w:pPr>
              <w:tabs>
                <w:tab w:val="left" w:pos="709"/>
              </w:tabs>
              <w:spacing w:before="60" w:after="60"/>
              <w:rPr>
                <w:rFonts w:ascii="Arial" w:hAnsi="Arial"/>
                <w:i/>
                <w:sz w:val="16"/>
                <w:szCs w:val="16"/>
                <w:lang w:val="en-AU"/>
              </w:rPr>
            </w:pPr>
            <w:r w:rsidRPr="003E76E7">
              <w:rPr>
                <w:rFonts w:ascii="Arial" w:hAnsi="Arial"/>
                <w:sz w:val="16"/>
                <w:szCs w:val="16"/>
              </w:rPr>
              <w:t xml:space="preserve">All ADF and Defence APS personnel believe appropriate action will be taken if they report an incident of unacceptable behaviour in the preceding 12 months, no ADF and Defence APS personnel have experienced unacceptable behaviour in the preceding </w:t>
            </w:r>
            <w:r w:rsidR="007859A7" w:rsidRPr="003E76E7">
              <w:rPr>
                <w:rFonts w:ascii="Arial" w:hAnsi="Arial"/>
                <w:sz w:val="16"/>
                <w:szCs w:val="16"/>
              </w:rPr>
              <w:br/>
            </w:r>
            <w:r w:rsidRPr="003E76E7">
              <w:rPr>
                <w:rFonts w:ascii="Arial" w:hAnsi="Arial"/>
                <w:sz w:val="16"/>
                <w:szCs w:val="16"/>
              </w:rPr>
              <w:t>12 months, and all ADF and Defence APS personnel view that Defence values are being used in their work area.</w:t>
            </w:r>
          </w:p>
        </w:tc>
      </w:tr>
    </w:tbl>
    <w:p w14:paraId="5C1001FA" w14:textId="77777777" w:rsidR="00232C21" w:rsidRPr="003E76E7" w:rsidRDefault="00232C21" w:rsidP="00C4292D">
      <w:pPr>
        <w:spacing w:before="0" w:after="0"/>
      </w:pPr>
      <w:r w:rsidRPr="003E76E7">
        <w:br w:type="page"/>
      </w:r>
    </w:p>
    <w:tbl>
      <w:tblPr>
        <w:tblW w:w="492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9"/>
        <w:gridCol w:w="3124"/>
        <w:gridCol w:w="3363"/>
      </w:tblGrid>
      <w:tr w:rsidR="00232C21" w:rsidRPr="003E76E7" w14:paraId="4CC7B038" w14:textId="77777777" w:rsidTr="00A211F5">
        <w:trPr>
          <w:trHeight w:val="258"/>
        </w:trPr>
        <w:tc>
          <w:tcPr>
            <w:tcW w:w="1779" w:type="dxa"/>
            <w:tcBorders>
              <w:top w:val="single" w:sz="4" w:space="0" w:color="auto"/>
              <w:bottom w:val="single" w:sz="4" w:space="0" w:color="auto"/>
              <w:right w:val="single" w:sz="4" w:space="0" w:color="auto"/>
            </w:tcBorders>
          </w:tcPr>
          <w:p w14:paraId="2F6AF262" w14:textId="77777777" w:rsidR="00232C21" w:rsidRPr="003E76E7" w:rsidRDefault="00232C21" w:rsidP="00C4292D">
            <w:pPr>
              <w:tabs>
                <w:tab w:val="left" w:pos="709"/>
              </w:tabs>
              <w:spacing w:before="60" w:after="60"/>
              <w:rPr>
                <w:rFonts w:ascii="Arial" w:hAnsi="Arial"/>
                <w:b/>
                <w:color w:val="000000"/>
                <w:sz w:val="16"/>
                <w:szCs w:val="16"/>
              </w:rPr>
            </w:pPr>
            <w:r w:rsidRPr="003E76E7">
              <w:rPr>
                <w:rFonts w:ascii="Arial" w:hAnsi="Arial"/>
                <w:b/>
                <w:color w:val="000000"/>
                <w:sz w:val="16"/>
                <w:szCs w:val="16"/>
              </w:rPr>
              <w:lastRenderedPageBreak/>
              <w:t>Year</w:t>
            </w:r>
          </w:p>
        </w:tc>
        <w:tc>
          <w:tcPr>
            <w:tcW w:w="2865" w:type="dxa"/>
            <w:tcBorders>
              <w:top w:val="single" w:sz="4" w:space="0" w:color="auto"/>
              <w:left w:val="single" w:sz="4" w:space="0" w:color="auto"/>
              <w:bottom w:val="single" w:sz="4" w:space="0" w:color="auto"/>
              <w:right w:val="single" w:sz="4" w:space="0" w:color="auto"/>
            </w:tcBorders>
          </w:tcPr>
          <w:p w14:paraId="34E171A5" w14:textId="2ACD25A2" w:rsidR="00232C21" w:rsidRPr="003E76E7" w:rsidRDefault="00AD14EC" w:rsidP="00C4292D">
            <w:pPr>
              <w:tabs>
                <w:tab w:val="left" w:pos="709"/>
                <w:tab w:val="center" w:pos="1818"/>
              </w:tabs>
              <w:spacing w:before="60" w:after="60"/>
              <w:rPr>
                <w:rFonts w:ascii="Arial" w:hAnsi="Arial"/>
                <w:b/>
                <w:color w:val="000000"/>
                <w:sz w:val="16"/>
                <w:szCs w:val="16"/>
              </w:rPr>
            </w:pPr>
            <w:r w:rsidRPr="003E76E7">
              <w:rPr>
                <w:rFonts w:ascii="Arial" w:hAnsi="Arial"/>
                <w:b/>
                <w:color w:val="000000"/>
                <w:sz w:val="16"/>
                <w:szCs w:val="16"/>
              </w:rPr>
              <w:t>Performance Measures</w:t>
            </w:r>
          </w:p>
        </w:tc>
        <w:tc>
          <w:tcPr>
            <w:tcW w:w="3084" w:type="dxa"/>
            <w:tcBorders>
              <w:top w:val="single" w:sz="4" w:space="0" w:color="auto"/>
              <w:left w:val="single" w:sz="4" w:space="0" w:color="auto"/>
              <w:bottom w:val="single" w:sz="4" w:space="0" w:color="auto"/>
            </w:tcBorders>
          </w:tcPr>
          <w:p w14:paraId="47D18AD4" w14:textId="77777777" w:rsidR="00232C21" w:rsidRPr="003E76E7" w:rsidRDefault="00232C21" w:rsidP="00C4292D">
            <w:pPr>
              <w:tabs>
                <w:tab w:val="left" w:pos="709"/>
              </w:tabs>
              <w:spacing w:before="60" w:after="60"/>
              <w:rPr>
                <w:rFonts w:ascii="Arial" w:hAnsi="Arial"/>
                <w:b/>
                <w:color w:val="000000"/>
                <w:sz w:val="16"/>
                <w:szCs w:val="16"/>
              </w:rPr>
            </w:pPr>
            <w:r w:rsidRPr="003E76E7">
              <w:rPr>
                <w:rFonts w:ascii="Arial" w:hAnsi="Arial"/>
                <w:b/>
                <w:color w:val="000000"/>
                <w:sz w:val="16"/>
                <w:szCs w:val="16"/>
              </w:rPr>
              <w:t>Planned Performance Results</w:t>
            </w:r>
          </w:p>
        </w:tc>
      </w:tr>
      <w:tr w:rsidR="00172963" w:rsidRPr="003E76E7" w14:paraId="1E7ACE29" w14:textId="77777777" w:rsidTr="00A211F5">
        <w:tblPrEx>
          <w:shd w:val="clear" w:color="auto" w:fill="CCCCCC"/>
          <w:tblLook w:val="01E0" w:firstRow="1" w:lastRow="1" w:firstColumn="1" w:lastColumn="1" w:noHBand="0" w:noVBand="0"/>
        </w:tblPrEx>
        <w:trPr>
          <w:trHeight w:val="320"/>
        </w:trPr>
        <w:tc>
          <w:tcPr>
            <w:tcW w:w="1779" w:type="dxa"/>
            <w:tcBorders>
              <w:top w:val="single" w:sz="4" w:space="0" w:color="auto"/>
              <w:left w:val="single" w:sz="4" w:space="0" w:color="auto"/>
              <w:bottom w:val="single" w:sz="4" w:space="0" w:color="auto"/>
              <w:right w:val="single" w:sz="4" w:space="0" w:color="auto"/>
            </w:tcBorders>
          </w:tcPr>
          <w:p w14:paraId="5DD66453" w14:textId="77777777" w:rsidR="00232C21" w:rsidRPr="003E76E7" w:rsidRDefault="00232C21" w:rsidP="00C4292D">
            <w:pPr>
              <w:tabs>
                <w:tab w:val="left" w:pos="709"/>
              </w:tabs>
              <w:spacing w:before="0" w:after="0"/>
              <w:rPr>
                <w:rFonts w:ascii="Arial" w:hAnsi="Arial"/>
                <w:color w:val="000000"/>
                <w:sz w:val="16"/>
                <w:szCs w:val="16"/>
              </w:rPr>
            </w:pPr>
            <w:r w:rsidRPr="003E76E7">
              <w:rPr>
                <w:rFonts w:ascii="Arial" w:hAnsi="Arial"/>
                <w:color w:val="000000"/>
                <w:sz w:val="16"/>
                <w:szCs w:val="16"/>
              </w:rPr>
              <w:t>Budget Year</w:t>
            </w:r>
          </w:p>
          <w:p w14:paraId="04D39BAC" w14:textId="2AC58540" w:rsidR="00232C21" w:rsidRPr="003E76E7" w:rsidRDefault="00232C21" w:rsidP="00C4292D">
            <w:pPr>
              <w:tabs>
                <w:tab w:val="left" w:pos="709"/>
              </w:tabs>
              <w:spacing w:before="0" w:after="0"/>
              <w:rPr>
                <w:rFonts w:ascii="Arial" w:hAnsi="Arial"/>
                <w:color w:val="000000"/>
                <w:sz w:val="16"/>
                <w:szCs w:val="16"/>
              </w:rPr>
            </w:pPr>
            <w:r w:rsidRPr="003E76E7">
              <w:rPr>
                <w:rFonts w:ascii="Arial" w:hAnsi="Arial"/>
                <w:color w:val="000000"/>
                <w:sz w:val="16"/>
                <w:szCs w:val="16"/>
              </w:rPr>
              <w:t xml:space="preserve">2026-27 </w:t>
            </w:r>
            <w:r w:rsidRPr="003E76E7">
              <w:rPr>
                <w:rFonts w:ascii="Arial" w:hAnsi="Arial"/>
                <w:color w:val="000000"/>
                <w:sz w:val="16"/>
                <w:szCs w:val="16"/>
                <w:vertAlign w:val="superscript"/>
              </w:rPr>
              <w:t>[</w:t>
            </w:r>
            <w:r w:rsidR="00C4447C" w:rsidRPr="003E76E7">
              <w:rPr>
                <w:rFonts w:ascii="Arial" w:hAnsi="Arial"/>
                <w:color w:val="000000"/>
                <w:sz w:val="16"/>
                <w:szCs w:val="16"/>
                <w:vertAlign w:val="superscript"/>
              </w:rPr>
              <w:t>b</w:t>
            </w:r>
            <w:r w:rsidRPr="003E76E7">
              <w:rPr>
                <w:rFonts w:ascii="Arial" w:hAnsi="Arial"/>
                <w:color w:val="000000"/>
                <w:sz w:val="16"/>
                <w:szCs w:val="16"/>
                <w:vertAlign w:val="superscript"/>
              </w:rPr>
              <w:t>]</w:t>
            </w:r>
          </w:p>
          <w:p w14:paraId="57E394A6" w14:textId="10A92735" w:rsidR="00172963" w:rsidRPr="003E76E7" w:rsidRDefault="00172963" w:rsidP="00C4292D">
            <w:pPr>
              <w:tabs>
                <w:tab w:val="left" w:pos="709"/>
              </w:tabs>
              <w:spacing w:before="0" w:after="0"/>
              <w:rPr>
                <w:rFonts w:ascii="Arial" w:hAnsi="Arial"/>
                <w:color w:val="000000"/>
                <w:sz w:val="16"/>
                <w:szCs w:val="16"/>
              </w:rPr>
            </w:pPr>
          </w:p>
        </w:tc>
        <w:tc>
          <w:tcPr>
            <w:tcW w:w="2865" w:type="dxa"/>
            <w:tcBorders>
              <w:top w:val="single" w:sz="4" w:space="0" w:color="auto"/>
              <w:left w:val="single" w:sz="4" w:space="0" w:color="auto"/>
              <w:bottom w:val="single" w:sz="4" w:space="0" w:color="auto"/>
              <w:right w:val="single" w:sz="4" w:space="0" w:color="auto"/>
            </w:tcBorders>
          </w:tcPr>
          <w:p w14:paraId="50CA7EAB" w14:textId="3888FEF5" w:rsidR="00172963" w:rsidRPr="003E76E7" w:rsidRDefault="00172963" w:rsidP="00C4292D">
            <w:pPr>
              <w:tabs>
                <w:tab w:val="left" w:pos="709"/>
              </w:tabs>
              <w:spacing w:before="60" w:after="60"/>
              <w:rPr>
                <w:rFonts w:ascii="Arial" w:hAnsi="Arial"/>
                <w:sz w:val="16"/>
                <w:szCs w:val="16"/>
                <w:lang w:val="en-AU"/>
              </w:rPr>
            </w:pPr>
            <w:r w:rsidRPr="003E76E7">
              <w:rPr>
                <w:rFonts w:ascii="Arial" w:hAnsi="Arial"/>
                <w:sz w:val="16"/>
                <w:szCs w:val="16"/>
                <w:lang w:val="en-AU"/>
              </w:rPr>
              <w:t>4.4: Defence supports ADF members and their families by providing access to support services and programs having regard to lifetime wellbeing.</w:t>
            </w:r>
          </w:p>
        </w:tc>
        <w:tc>
          <w:tcPr>
            <w:tcW w:w="3084" w:type="dxa"/>
            <w:tcBorders>
              <w:top w:val="single" w:sz="4" w:space="0" w:color="auto"/>
              <w:left w:val="single" w:sz="4" w:space="0" w:color="auto"/>
              <w:bottom w:val="single" w:sz="4" w:space="0" w:color="auto"/>
              <w:right w:val="single" w:sz="4" w:space="0" w:color="auto"/>
            </w:tcBorders>
          </w:tcPr>
          <w:p w14:paraId="036A4236" w14:textId="06C03320" w:rsidR="00172963" w:rsidRPr="003E76E7" w:rsidRDefault="00172963" w:rsidP="004B16DA">
            <w:pPr>
              <w:tabs>
                <w:tab w:val="left" w:pos="709"/>
              </w:tabs>
              <w:spacing w:before="60" w:after="60"/>
              <w:rPr>
                <w:rFonts w:ascii="Arial" w:hAnsi="Arial"/>
                <w:sz w:val="16"/>
                <w:szCs w:val="16"/>
                <w:lang w:val="en-AU"/>
              </w:rPr>
            </w:pPr>
            <w:r w:rsidRPr="003E76E7">
              <w:rPr>
                <w:rFonts w:ascii="Arial" w:hAnsi="Arial"/>
                <w:sz w:val="16"/>
                <w:szCs w:val="16"/>
                <w:lang w:val="en-AU"/>
              </w:rPr>
              <w:t xml:space="preserve">At least 75 per cent of eligible full-time </w:t>
            </w:r>
            <w:r w:rsidR="004B16DA">
              <w:rPr>
                <w:rFonts w:ascii="Arial" w:hAnsi="Arial"/>
                <w:sz w:val="16"/>
                <w:szCs w:val="16"/>
                <w:lang w:val="en-AU"/>
              </w:rPr>
              <w:br/>
            </w:r>
            <w:r w:rsidRPr="003E76E7">
              <w:rPr>
                <w:rFonts w:ascii="Arial" w:hAnsi="Arial"/>
                <w:sz w:val="16"/>
                <w:szCs w:val="16"/>
                <w:lang w:val="en-AU"/>
              </w:rPr>
              <w:t xml:space="preserve">ADF members and their families are registered with the ADF Family Health Program, 100 per cent of the support services of the Partner Assistance Employment Program, Education Assistance Scheme, and Special Accommodation for Emergencies Scheme are provided to full-time ADF and their families in accordance with identified service delivery timeframes, there is an increase in the percentage of Defence suicide prevention training participants </w:t>
            </w:r>
            <w:r w:rsidR="004B16DA">
              <w:rPr>
                <w:rFonts w:ascii="Arial" w:hAnsi="Arial"/>
                <w:sz w:val="16"/>
                <w:szCs w:val="16"/>
                <w:lang w:val="en-AU"/>
              </w:rPr>
              <w:br/>
            </w:r>
            <w:r w:rsidRPr="003E76E7">
              <w:rPr>
                <w:rFonts w:ascii="Arial" w:hAnsi="Arial"/>
                <w:sz w:val="16"/>
                <w:szCs w:val="16"/>
                <w:lang w:val="en-AU"/>
              </w:rPr>
              <w:t>who assess that the training is practical, tailored and informed by lived experience, and 100 per cent of Defence-led, Government-agreed recommendations from the Royal Commission into Defence and Veteran</w:t>
            </w:r>
            <w:r w:rsidR="004B16DA">
              <w:rPr>
                <w:rFonts w:ascii="Arial" w:hAnsi="Arial"/>
                <w:sz w:val="16"/>
                <w:szCs w:val="16"/>
                <w:lang w:val="en-AU"/>
              </w:rPr>
              <w:t xml:space="preserve"> </w:t>
            </w:r>
            <w:r w:rsidRPr="003E76E7">
              <w:rPr>
                <w:rFonts w:ascii="Arial" w:hAnsi="Arial"/>
                <w:sz w:val="16"/>
                <w:szCs w:val="16"/>
                <w:lang w:val="en-AU"/>
              </w:rPr>
              <w:t>Su</w:t>
            </w:r>
            <w:r w:rsidR="004B16DA">
              <w:rPr>
                <w:rFonts w:ascii="Arial" w:hAnsi="Arial"/>
                <w:sz w:val="16"/>
                <w:szCs w:val="16"/>
                <w:lang w:val="en-AU"/>
              </w:rPr>
              <w:t>icide Final Report are complete</w:t>
            </w:r>
            <w:r w:rsidRPr="003E76E7">
              <w:rPr>
                <w:rFonts w:ascii="Arial" w:hAnsi="Arial"/>
                <w:sz w:val="16"/>
                <w:szCs w:val="16"/>
                <w:lang w:val="en-AU"/>
              </w:rPr>
              <w:t xml:space="preserve"> or on-track.</w:t>
            </w:r>
          </w:p>
        </w:tc>
      </w:tr>
      <w:tr w:rsidR="00232C21" w:rsidRPr="003E76E7" w14:paraId="76F6FA82" w14:textId="77777777" w:rsidTr="00A211F5">
        <w:trPr>
          <w:trHeight w:val="258"/>
        </w:trPr>
        <w:tc>
          <w:tcPr>
            <w:tcW w:w="1779" w:type="dxa"/>
            <w:tcBorders>
              <w:top w:val="single" w:sz="4" w:space="0" w:color="auto"/>
              <w:bottom w:val="single" w:sz="4" w:space="0" w:color="auto"/>
              <w:right w:val="single" w:sz="4" w:space="0" w:color="auto"/>
            </w:tcBorders>
            <w:vAlign w:val="center"/>
          </w:tcPr>
          <w:p w14:paraId="406DDBA6" w14:textId="77777777" w:rsidR="00232C21" w:rsidRPr="003E76E7" w:rsidRDefault="00232C21" w:rsidP="00C4292D">
            <w:pPr>
              <w:tabs>
                <w:tab w:val="left" w:pos="709"/>
              </w:tabs>
              <w:spacing w:before="60" w:after="60"/>
              <w:rPr>
                <w:rFonts w:ascii="Arial" w:hAnsi="Arial"/>
                <w:b/>
                <w:color w:val="000000"/>
                <w:sz w:val="16"/>
                <w:szCs w:val="16"/>
              </w:rPr>
            </w:pPr>
            <w:r w:rsidRPr="003E76E7">
              <w:rPr>
                <w:rFonts w:ascii="Arial" w:hAnsi="Arial"/>
                <w:b/>
                <w:color w:val="000000"/>
                <w:sz w:val="16"/>
                <w:szCs w:val="16"/>
              </w:rPr>
              <w:t>Year</w:t>
            </w:r>
          </w:p>
        </w:tc>
        <w:tc>
          <w:tcPr>
            <w:tcW w:w="2865" w:type="dxa"/>
            <w:tcBorders>
              <w:top w:val="single" w:sz="4" w:space="0" w:color="auto"/>
              <w:left w:val="single" w:sz="4" w:space="0" w:color="auto"/>
              <w:bottom w:val="single" w:sz="4" w:space="0" w:color="auto"/>
              <w:right w:val="single" w:sz="4" w:space="0" w:color="auto"/>
            </w:tcBorders>
            <w:vAlign w:val="center"/>
          </w:tcPr>
          <w:p w14:paraId="51903C68" w14:textId="7B829894" w:rsidR="00232C21" w:rsidRPr="003E76E7" w:rsidRDefault="00AD14EC" w:rsidP="00C4292D">
            <w:pPr>
              <w:tabs>
                <w:tab w:val="left" w:pos="709"/>
                <w:tab w:val="center" w:pos="1818"/>
              </w:tabs>
              <w:spacing w:before="60" w:after="60"/>
              <w:rPr>
                <w:rFonts w:ascii="Arial" w:hAnsi="Arial"/>
                <w:b/>
                <w:color w:val="000000"/>
                <w:sz w:val="16"/>
                <w:szCs w:val="16"/>
              </w:rPr>
            </w:pPr>
            <w:r w:rsidRPr="003E76E7">
              <w:rPr>
                <w:rFonts w:ascii="Arial" w:hAnsi="Arial"/>
                <w:b/>
                <w:color w:val="000000"/>
                <w:sz w:val="16"/>
                <w:szCs w:val="16"/>
              </w:rPr>
              <w:t>Performance Measures</w:t>
            </w:r>
          </w:p>
        </w:tc>
        <w:tc>
          <w:tcPr>
            <w:tcW w:w="3084" w:type="dxa"/>
            <w:tcBorders>
              <w:top w:val="single" w:sz="4" w:space="0" w:color="auto"/>
              <w:left w:val="single" w:sz="4" w:space="0" w:color="auto"/>
              <w:bottom w:val="single" w:sz="4" w:space="0" w:color="auto"/>
            </w:tcBorders>
            <w:vAlign w:val="center"/>
          </w:tcPr>
          <w:p w14:paraId="256A381A" w14:textId="77777777" w:rsidR="00232C21" w:rsidRPr="003E76E7" w:rsidRDefault="00232C21" w:rsidP="00C4292D">
            <w:pPr>
              <w:tabs>
                <w:tab w:val="left" w:pos="709"/>
              </w:tabs>
              <w:spacing w:before="60" w:after="60"/>
              <w:rPr>
                <w:rFonts w:ascii="Arial" w:hAnsi="Arial"/>
                <w:b/>
                <w:color w:val="000000"/>
                <w:sz w:val="16"/>
                <w:szCs w:val="16"/>
              </w:rPr>
            </w:pPr>
            <w:r w:rsidRPr="003E76E7">
              <w:rPr>
                <w:rFonts w:ascii="Arial" w:hAnsi="Arial"/>
                <w:b/>
                <w:color w:val="000000"/>
                <w:sz w:val="16"/>
                <w:szCs w:val="16"/>
              </w:rPr>
              <w:t>Planned Performance Results</w:t>
            </w:r>
          </w:p>
        </w:tc>
      </w:tr>
      <w:tr w:rsidR="00172963" w:rsidRPr="003E76E7" w14:paraId="0D4EC720" w14:textId="77777777" w:rsidTr="00A211F5">
        <w:trPr>
          <w:trHeight w:val="491"/>
        </w:trPr>
        <w:tc>
          <w:tcPr>
            <w:tcW w:w="1779" w:type="dxa"/>
            <w:tcBorders>
              <w:top w:val="single" w:sz="4" w:space="0" w:color="auto"/>
              <w:bottom w:val="single" w:sz="4" w:space="0" w:color="auto"/>
              <w:right w:val="single" w:sz="4" w:space="0" w:color="auto"/>
            </w:tcBorders>
            <w:vAlign w:val="center"/>
          </w:tcPr>
          <w:p w14:paraId="0467ABE8" w14:textId="77777777" w:rsidR="00172963" w:rsidRPr="003E76E7" w:rsidRDefault="00172963" w:rsidP="00C4292D">
            <w:pPr>
              <w:tabs>
                <w:tab w:val="left" w:pos="709"/>
              </w:tabs>
              <w:spacing w:before="0" w:after="0"/>
              <w:rPr>
                <w:rFonts w:ascii="Arial" w:hAnsi="Arial"/>
                <w:color w:val="000000"/>
                <w:sz w:val="16"/>
                <w:szCs w:val="16"/>
              </w:rPr>
            </w:pPr>
            <w:r w:rsidRPr="003E76E7">
              <w:rPr>
                <w:rFonts w:ascii="Arial" w:hAnsi="Arial"/>
                <w:color w:val="000000"/>
                <w:sz w:val="16"/>
                <w:szCs w:val="16"/>
              </w:rPr>
              <w:t>Forward Estimates</w:t>
            </w:r>
          </w:p>
          <w:p w14:paraId="183A9A5B" w14:textId="29F5C9A4" w:rsidR="00172963" w:rsidRPr="003E76E7" w:rsidRDefault="00172963" w:rsidP="00C4292D">
            <w:pPr>
              <w:tabs>
                <w:tab w:val="left" w:pos="709"/>
              </w:tabs>
              <w:spacing w:before="0" w:after="0"/>
              <w:rPr>
                <w:rFonts w:ascii="Arial" w:hAnsi="Arial"/>
                <w:b/>
                <w:color w:val="000000"/>
                <w:sz w:val="16"/>
                <w:szCs w:val="16"/>
              </w:rPr>
            </w:pPr>
            <w:r w:rsidRPr="003E76E7">
              <w:rPr>
                <w:rFonts w:ascii="Arial" w:hAnsi="Arial"/>
                <w:color w:val="000000"/>
                <w:sz w:val="16"/>
                <w:szCs w:val="16"/>
              </w:rPr>
              <w:t>2027-30</w:t>
            </w:r>
          </w:p>
        </w:tc>
        <w:tc>
          <w:tcPr>
            <w:tcW w:w="2865" w:type="dxa"/>
            <w:tcBorders>
              <w:top w:val="single" w:sz="4" w:space="0" w:color="auto"/>
              <w:left w:val="single" w:sz="4" w:space="0" w:color="auto"/>
              <w:bottom w:val="single" w:sz="4" w:space="0" w:color="auto"/>
              <w:right w:val="single" w:sz="4" w:space="0" w:color="auto"/>
            </w:tcBorders>
            <w:vAlign w:val="center"/>
          </w:tcPr>
          <w:p w14:paraId="1B405BF1" w14:textId="7A4BC581" w:rsidR="00172963" w:rsidRPr="003E76E7" w:rsidRDefault="00172963" w:rsidP="00C4292D">
            <w:pPr>
              <w:tabs>
                <w:tab w:val="left" w:pos="709"/>
              </w:tabs>
              <w:spacing w:before="60" w:after="60"/>
              <w:rPr>
                <w:rFonts w:ascii="Arial" w:hAnsi="Arial"/>
                <w:b/>
                <w:color w:val="000000"/>
                <w:sz w:val="16"/>
                <w:szCs w:val="16"/>
              </w:rPr>
            </w:pPr>
            <w:r w:rsidRPr="003E76E7">
              <w:rPr>
                <w:rFonts w:ascii="Arial" w:hAnsi="Arial"/>
                <w:color w:val="000000"/>
                <w:sz w:val="16"/>
                <w:szCs w:val="16"/>
              </w:rPr>
              <w:t>As per 2026-27.</w:t>
            </w:r>
          </w:p>
        </w:tc>
        <w:tc>
          <w:tcPr>
            <w:tcW w:w="3084" w:type="dxa"/>
            <w:tcBorders>
              <w:top w:val="single" w:sz="4" w:space="0" w:color="auto"/>
              <w:left w:val="single" w:sz="4" w:space="0" w:color="auto"/>
              <w:bottom w:val="single" w:sz="4" w:space="0" w:color="auto"/>
            </w:tcBorders>
            <w:vAlign w:val="center"/>
          </w:tcPr>
          <w:p w14:paraId="0F13FFF3" w14:textId="47E4E6D1" w:rsidR="00172963" w:rsidRPr="003E76E7" w:rsidRDefault="00172963" w:rsidP="00C4292D">
            <w:pPr>
              <w:tabs>
                <w:tab w:val="left" w:pos="709"/>
              </w:tabs>
              <w:spacing w:before="60" w:after="60"/>
              <w:rPr>
                <w:rFonts w:ascii="Arial" w:hAnsi="Arial"/>
                <w:b/>
                <w:color w:val="000000"/>
                <w:sz w:val="16"/>
                <w:szCs w:val="16"/>
              </w:rPr>
            </w:pPr>
            <w:r w:rsidRPr="003E76E7">
              <w:rPr>
                <w:rFonts w:ascii="Arial" w:hAnsi="Arial"/>
                <w:color w:val="000000"/>
                <w:sz w:val="16"/>
                <w:szCs w:val="16"/>
              </w:rPr>
              <w:t>As per 2026-27.</w:t>
            </w:r>
          </w:p>
        </w:tc>
      </w:tr>
      <w:tr w:rsidR="00172963" w:rsidRPr="003E76E7" w14:paraId="1F588A1E" w14:textId="77777777" w:rsidTr="00A211F5">
        <w:trPr>
          <w:trHeight w:val="291"/>
        </w:trPr>
        <w:tc>
          <w:tcPr>
            <w:tcW w:w="7728" w:type="dxa"/>
            <w:gridSpan w:val="3"/>
            <w:tcBorders>
              <w:top w:val="single" w:sz="4" w:space="0" w:color="auto"/>
              <w:bottom w:val="single" w:sz="4" w:space="0" w:color="auto"/>
            </w:tcBorders>
          </w:tcPr>
          <w:p w14:paraId="2239D2CB" w14:textId="01814CDE" w:rsidR="00172963" w:rsidRPr="003E76E7" w:rsidRDefault="00172963" w:rsidP="00C4292D">
            <w:pPr>
              <w:tabs>
                <w:tab w:val="left" w:pos="709"/>
              </w:tabs>
              <w:spacing w:before="60" w:after="60"/>
              <w:rPr>
                <w:rFonts w:ascii="Arial" w:eastAsia="Cambria" w:hAnsi="Arial"/>
                <w:bCs/>
                <w:iCs/>
                <w:color w:val="000000"/>
                <w:spacing w:val="-6"/>
                <w:sz w:val="16"/>
                <w:szCs w:val="16"/>
                <w:lang w:val="x-none"/>
              </w:rPr>
            </w:pPr>
            <w:r w:rsidRPr="003E76E7">
              <w:rPr>
                <w:rFonts w:ascii="Arial" w:hAnsi="Arial"/>
                <w:color w:val="000000"/>
                <w:sz w:val="16"/>
                <w:szCs w:val="16"/>
              </w:rPr>
              <w:t>Material changes to Program 2.21 resulting from 2026-27 Budget Measures:</w:t>
            </w:r>
            <w:r w:rsidRPr="003E76E7">
              <w:rPr>
                <w:rStyle w:val="BodyTextChar"/>
                <w:rFonts w:ascii="Arial" w:hAnsi="Arial"/>
                <w:bCs/>
                <w:iCs/>
                <w:color w:val="000000"/>
                <w:spacing w:val="-6"/>
                <w:sz w:val="16"/>
                <w:szCs w:val="16"/>
              </w:rPr>
              <w:t xml:space="preserve"> Nil.</w:t>
            </w:r>
          </w:p>
        </w:tc>
      </w:tr>
    </w:tbl>
    <w:p w14:paraId="22B7689B" w14:textId="77777777" w:rsidR="00F7100A" w:rsidRPr="003E76E7" w:rsidRDefault="00F7100A" w:rsidP="00C4292D">
      <w:pPr>
        <w:pStyle w:val="TableHeading"/>
        <w:spacing w:before="0" w:after="0"/>
        <w:rPr>
          <w:sz w:val="14"/>
          <w:szCs w:val="16"/>
        </w:rPr>
      </w:pPr>
    </w:p>
    <w:p w14:paraId="7134D5A0" w14:textId="77777777" w:rsidR="00F7100A" w:rsidRPr="003E76E7" w:rsidRDefault="00F7100A" w:rsidP="00C4292D">
      <w:pPr>
        <w:pStyle w:val="TableHeading"/>
        <w:spacing w:before="0" w:after="0"/>
        <w:rPr>
          <w:sz w:val="14"/>
          <w:szCs w:val="14"/>
        </w:rPr>
      </w:pPr>
      <w:r w:rsidRPr="003E76E7">
        <w:rPr>
          <w:sz w:val="14"/>
          <w:szCs w:val="14"/>
        </w:rPr>
        <w:t>Note</w:t>
      </w:r>
      <w:r w:rsidR="00AF08A6" w:rsidRPr="003E76E7">
        <w:rPr>
          <w:sz w:val="14"/>
          <w:szCs w:val="14"/>
        </w:rPr>
        <w:t>s</w:t>
      </w:r>
    </w:p>
    <w:p w14:paraId="2C9E2326" w14:textId="171DD0C6" w:rsidR="00172963" w:rsidRPr="003E76E7" w:rsidRDefault="00172963" w:rsidP="00C4292D">
      <w:pPr>
        <w:pStyle w:val="ListParagraph"/>
        <w:numPr>
          <w:ilvl w:val="0"/>
          <w:numId w:val="30"/>
        </w:numPr>
        <w:tabs>
          <w:tab w:val="left" w:pos="284"/>
        </w:tabs>
        <w:spacing w:before="0" w:after="0"/>
        <w:rPr>
          <w:rFonts w:ascii="Arial" w:hAnsi="Arial"/>
          <w:i/>
          <w:sz w:val="14"/>
          <w:szCs w:val="14"/>
        </w:rPr>
      </w:pPr>
      <w:r w:rsidRPr="003E76E7">
        <w:rPr>
          <w:rFonts w:ascii="Arial" w:hAnsi="Arial"/>
          <w:sz w:val="14"/>
          <w:szCs w:val="14"/>
        </w:rPr>
        <w:t>Performance Measure 4.3</w:t>
      </w:r>
      <w:r w:rsidR="00A57ACC" w:rsidRPr="003E76E7">
        <w:rPr>
          <w:rFonts w:ascii="Arial" w:hAnsi="Arial"/>
          <w:sz w:val="14"/>
          <w:szCs w:val="14"/>
        </w:rPr>
        <w:t xml:space="preserve"> </w:t>
      </w:r>
      <w:r w:rsidRPr="003E76E7">
        <w:rPr>
          <w:rFonts w:ascii="Arial" w:hAnsi="Arial"/>
          <w:sz w:val="14"/>
          <w:szCs w:val="14"/>
        </w:rPr>
        <w:t xml:space="preserve">has been amended for 2025-26, as published in </w:t>
      </w:r>
      <w:r w:rsidRPr="003E76E7">
        <w:rPr>
          <w:rFonts w:ascii="Arial" w:hAnsi="Arial"/>
          <w:i/>
          <w:sz w:val="14"/>
          <w:szCs w:val="14"/>
        </w:rPr>
        <w:t>2025-29 Defence Corporate Plan.</w:t>
      </w:r>
    </w:p>
    <w:p w14:paraId="6F7F6D09" w14:textId="77777777" w:rsidR="00100F83" w:rsidRPr="003E76E7" w:rsidRDefault="00172963" w:rsidP="00C4292D">
      <w:pPr>
        <w:pStyle w:val="TableHeading"/>
        <w:numPr>
          <w:ilvl w:val="0"/>
          <w:numId w:val="30"/>
        </w:numPr>
        <w:tabs>
          <w:tab w:val="left" w:pos="284"/>
        </w:tabs>
        <w:spacing w:before="0" w:after="0"/>
        <w:ind w:left="284" w:hanging="284"/>
        <w:rPr>
          <w:b w:val="0"/>
          <w:sz w:val="14"/>
          <w:szCs w:val="14"/>
          <w:lang w:val="en-AU"/>
        </w:rPr>
      </w:pPr>
      <w:r w:rsidRPr="003E76E7">
        <w:rPr>
          <w:b w:val="0"/>
          <w:sz w:val="14"/>
          <w:szCs w:val="14"/>
          <w:lang w:val="en-AU"/>
        </w:rPr>
        <w:t>In accordance with Defence’s Enterprise Performance Framework, Defence is undertaking materiality assessments that may result in updates to the 2026-27 performance information in the 2026-30 Defence Corporate Plan, if required.</w:t>
      </w:r>
    </w:p>
    <w:p w14:paraId="4349784C" w14:textId="0E6F5816" w:rsidR="008A23D4" w:rsidRPr="003E76E7" w:rsidRDefault="008A23D4" w:rsidP="00C4292D">
      <w:pPr>
        <w:pStyle w:val="TableHeading"/>
        <w:tabs>
          <w:tab w:val="left" w:pos="284"/>
        </w:tabs>
        <w:spacing w:before="0" w:after="0"/>
        <w:rPr>
          <w:b w:val="0"/>
          <w:szCs w:val="14"/>
        </w:rPr>
      </w:pPr>
    </w:p>
    <w:p w14:paraId="7498D692" w14:textId="42794329" w:rsidR="00F70553" w:rsidRPr="003E76E7" w:rsidRDefault="00462712" w:rsidP="00C4292D">
      <w:pPr>
        <w:pStyle w:val="TableHeading"/>
        <w:numPr>
          <w:ilvl w:val="0"/>
          <w:numId w:val="61"/>
        </w:numPr>
        <w:spacing w:before="100"/>
        <w:ind w:left="0" w:firstLine="0"/>
        <w:outlineLvl w:val="4"/>
        <w:rPr>
          <w:lang w:val="en-AU"/>
        </w:rPr>
      </w:pPr>
      <w:r w:rsidRPr="003E76E7">
        <w:rPr>
          <w:lang w:val="en-AU"/>
        </w:rPr>
        <w:t>Cost Summary for Program 2.20 Defence Force Superannuation Benefits and Cost Summary for Administered Program 2.21 Defence Force Superannuation Nominal Interest</w:t>
      </w:r>
    </w:p>
    <w:p w14:paraId="266C8C83" w14:textId="3017CAED" w:rsidR="00186BE0" w:rsidRPr="003E76E7" w:rsidRDefault="00616A60" w:rsidP="00C4292D">
      <w:pPr>
        <w:spacing w:after="0"/>
      </w:pPr>
      <w:r w:rsidRPr="003E76E7">
        <w:rPr>
          <w:noProof/>
          <w:lang w:val="en-AU"/>
        </w:rPr>
        <w:drawing>
          <wp:inline distT="0" distB="0" distL="0" distR="0" wp14:anchorId="1F52F6D4" wp14:editId="03F1FDAB">
            <wp:extent cx="5436235" cy="2468311"/>
            <wp:effectExtent l="0" t="0" r="0" b="8255"/>
            <wp:docPr id="8544" name="Picture 8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436235" cy="2468311"/>
                    </a:xfrm>
                    <a:prstGeom prst="rect">
                      <a:avLst/>
                    </a:prstGeom>
                    <a:noFill/>
                    <a:ln>
                      <a:noFill/>
                    </a:ln>
                  </pic:spPr>
                </pic:pic>
              </a:graphicData>
            </a:graphic>
          </wp:inline>
        </w:drawing>
      </w:r>
    </w:p>
    <w:p w14:paraId="2D573F9A" w14:textId="77777777" w:rsidR="00656D60" w:rsidRPr="003E76E7" w:rsidRDefault="00656D60" w:rsidP="00C4292D">
      <w:pPr>
        <w:spacing w:before="0" w:after="0"/>
        <w:rPr>
          <w:rFonts w:ascii="Arial" w:hAnsi="Arial"/>
          <w:b/>
          <w:sz w:val="14"/>
          <w:szCs w:val="14"/>
        </w:rPr>
      </w:pPr>
    </w:p>
    <w:p w14:paraId="072FD1C3" w14:textId="77777777" w:rsidR="00CB045C" w:rsidRPr="003E76E7" w:rsidRDefault="00AD4526" w:rsidP="00C4292D">
      <w:pPr>
        <w:tabs>
          <w:tab w:val="left" w:pos="284"/>
        </w:tabs>
        <w:spacing w:before="0" w:after="0"/>
        <w:ind w:left="284" w:hanging="284"/>
        <w:rPr>
          <w:rFonts w:ascii="Arial" w:hAnsi="Arial"/>
          <w:b/>
          <w:sz w:val="14"/>
          <w:szCs w:val="14"/>
        </w:rPr>
      </w:pPr>
      <w:r w:rsidRPr="003E76E7">
        <w:rPr>
          <w:rFonts w:ascii="Arial" w:hAnsi="Arial"/>
          <w:b/>
          <w:sz w:val="14"/>
          <w:szCs w:val="14"/>
        </w:rPr>
        <w:t>Notes</w:t>
      </w:r>
    </w:p>
    <w:p w14:paraId="675B01AD" w14:textId="134A58AE" w:rsidR="006D118C" w:rsidRPr="003E76E7" w:rsidRDefault="006D118C" w:rsidP="00C4292D">
      <w:pPr>
        <w:pStyle w:val="ListParagraph"/>
        <w:numPr>
          <w:ilvl w:val="1"/>
          <w:numId w:val="29"/>
        </w:numPr>
        <w:tabs>
          <w:tab w:val="left" w:pos="284"/>
        </w:tabs>
        <w:spacing w:before="0" w:after="0"/>
        <w:ind w:left="284" w:hanging="284"/>
        <w:rPr>
          <w:rFonts w:ascii="Arial" w:hAnsi="Arial"/>
          <w:sz w:val="14"/>
          <w:szCs w:val="14"/>
        </w:rPr>
      </w:pPr>
      <w:r w:rsidRPr="003E76E7">
        <w:rPr>
          <w:rFonts w:ascii="Arial" w:hAnsi="Arial"/>
          <w:sz w:val="14"/>
          <w:szCs w:val="14"/>
        </w:rPr>
        <w:t xml:space="preserve">Figures for 2025-26 have been calculated using the applicable AASB 119 interest rate. Forward years are estimated based on </w:t>
      </w:r>
      <w:r w:rsidR="009D27EF" w:rsidRPr="003E76E7">
        <w:rPr>
          <w:rFonts w:ascii="Arial" w:hAnsi="Arial"/>
          <w:sz w:val="14"/>
          <w:szCs w:val="14"/>
        </w:rPr>
        <w:br/>
      </w:r>
      <w:r w:rsidRPr="003E76E7">
        <w:rPr>
          <w:rFonts w:ascii="Arial" w:hAnsi="Arial"/>
          <w:sz w:val="14"/>
          <w:szCs w:val="14"/>
        </w:rPr>
        <w:t xml:space="preserve">the discount rate determined by the superannuation scheme actuaries in preparing the latest Long Term Cost Reports, being </w:t>
      </w:r>
      <w:r w:rsidR="009D27EF" w:rsidRPr="003E76E7">
        <w:rPr>
          <w:rFonts w:ascii="Arial" w:hAnsi="Arial"/>
          <w:sz w:val="14"/>
          <w:szCs w:val="14"/>
        </w:rPr>
        <w:br/>
      </w:r>
      <w:r w:rsidRPr="003E76E7">
        <w:rPr>
          <w:rFonts w:ascii="Arial" w:hAnsi="Arial"/>
          <w:sz w:val="14"/>
          <w:szCs w:val="14"/>
        </w:rPr>
        <w:t xml:space="preserve">CPI plus 2.5 per cent. </w:t>
      </w:r>
      <w:r w:rsidRPr="003E76E7">
        <w:rPr>
          <w:rFonts w:ascii="Arial" w:hAnsi="Arial"/>
          <w:sz w:val="14"/>
          <w:szCs w:val="14"/>
        </w:rPr>
        <w:tab/>
      </w:r>
      <w:r w:rsidRPr="003E76E7">
        <w:rPr>
          <w:rFonts w:ascii="Arial" w:hAnsi="Arial"/>
          <w:sz w:val="14"/>
          <w:szCs w:val="14"/>
        </w:rPr>
        <w:tab/>
      </w:r>
      <w:r w:rsidRPr="003E76E7">
        <w:rPr>
          <w:rFonts w:ascii="Arial" w:hAnsi="Arial"/>
          <w:sz w:val="14"/>
          <w:szCs w:val="14"/>
        </w:rPr>
        <w:tab/>
      </w:r>
      <w:r w:rsidRPr="003E76E7">
        <w:rPr>
          <w:rFonts w:ascii="Arial" w:hAnsi="Arial"/>
          <w:sz w:val="14"/>
          <w:szCs w:val="14"/>
        </w:rPr>
        <w:tab/>
      </w:r>
      <w:r w:rsidRPr="003E76E7">
        <w:rPr>
          <w:rFonts w:ascii="Arial" w:hAnsi="Arial"/>
          <w:sz w:val="14"/>
          <w:szCs w:val="14"/>
        </w:rPr>
        <w:tab/>
      </w:r>
    </w:p>
    <w:p w14:paraId="140E4046" w14:textId="01AC16A6" w:rsidR="00AD4526" w:rsidRPr="003E76E7" w:rsidRDefault="006D118C" w:rsidP="00C4292D">
      <w:pPr>
        <w:pStyle w:val="ListParagraph"/>
        <w:numPr>
          <w:ilvl w:val="1"/>
          <w:numId w:val="29"/>
        </w:numPr>
        <w:tabs>
          <w:tab w:val="left" w:pos="284"/>
        </w:tabs>
        <w:spacing w:before="0" w:after="0"/>
        <w:ind w:left="284" w:hanging="284"/>
        <w:rPr>
          <w:rFonts w:ascii="Arial" w:hAnsi="Arial"/>
          <w:sz w:val="14"/>
          <w:szCs w:val="14"/>
        </w:rPr>
      </w:pPr>
      <w:r w:rsidRPr="003E76E7">
        <w:rPr>
          <w:rFonts w:ascii="Arial" w:hAnsi="Arial"/>
          <w:sz w:val="14"/>
          <w:szCs w:val="14"/>
        </w:rPr>
        <w:t xml:space="preserve">Negative amounts denote revenue. </w:t>
      </w:r>
      <w:r w:rsidRPr="003E76E7">
        <w:rPr>
          <w:rFonts w:ascii="Arial" w:hAnsi="Arial"/>
          <w:sz w:val="14"/>
          <w:szCs w:val="14"/>
        </w:rPr>
        <w:tab/>
      </w:r>
      <w:r w:rsidRPr="003E76E7">
        <w:rPr>
          <w:rFonts w:ascii="Arial" w:hAnsi="Arial"/>
          <w:sz w:val="14"/>
          <w:szCs w:val="14"/>
        </w:rPr>
        <w:tab/>
      </w:r>
      <w:r w:rsidRPr="003E76E7">
        <w:rPr>
          <w:rFonts w:ascii="Arial" w:hAnsi="Arial"/>
          <w:sz w:val="14"/>
          <w:szCs w:val="14"/>
        </w:rPr>
        <w:tab/>
      </w:r>
      <w:r w:rsidRPr="003E76E7">
        <w:rPr>
          <w:rFonts w:ascii="Arial" w:hAnsi="Arial"/>
          <w:sz w:val="14"/>
          <w:szCs w:val="14"/>
        </w:rPr>
        <w:tab/>
      </w:r>
      <w:r w:rsidRPr="003E76E7">
        <w:rPr>
          <w:rFonts w:ascii="Arial" w:hAnsi="Arial"/>
          <w:sz w:val="14"/>
          <w:szCs w:val="14"/>
        </w:rPr>
        <w:tab/>
      </w:r>
    </w:p>
    <w:p w14:paraId="01C46A2A" w14:textId="77777777" w:rsidR="004A57C6" w:rsidRPr="003E76E7" w:rsidRDefault="00FA1512" w:rsidP="00C4292D">
      <w:pPr>
        <w:spacing w:before="0" w:after="0"/>
        <w:outlineLvl w:val="5"/>
        <w:rPr>
          <w:color w:val="FFFFFF"/>
          <w:sz w:val="2"/>
          <w:szCs w:val="2"/>
        </w:rPr>
      </w:pPr>
      <w:r w:rsidRPr="003E76E7">
        <w:rPr>
          <w:lang w:val="en-AU"/>
        </w:rPr>
        <w:br w:type="page"/>
      </w:r>
      <w:r w:rsidR="00777CE3" w:rsidRPr="003E76E7">
        <w:rPr>
          <w:color w:val="FFFFFF"/>
          <w:sz w:val="2"/>
          <w:szCs w:val="2"/>
        </w:rPr>
        <w:lastRenderedPageBreak/>
        <w:t>Administered Program 2.22</w:t>
      </w:r>
      <w:r w:rsidR="004A57C6" w:rsidRPr="003E76E7">
        <w:rPr>
          <w:color w:val="FFFFFF"/>
          <w:sz w:val="2"/>
          <w:szCs w:val="2"/>
        </w:rPr>
        <w:t>: Housing Assistance</w:t>
      </w:r>
    </w:p>
    <w:tbl>
      <w:tblPr>
        <w:tblW w:w="497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1939"/>
        <w:gridCol w:w="3124"/>
        <w:gridCol w:w="3438"/>
      </w:tblGrid>
      <w:tr w:rsidR="00F7100A" w:rsidRPr="003E76E7" w14:paraId="40C340DF" w14:textId="77777777" w:rsidTr="00A211F5">
        <w:tc>
          <w:tcPr>
            <w:tcW w:w="7797" w:type="dxa"/>
            <w:gridSpan w:val="3"/>
            <w:tcBorders>
              <w:bottom w:val="single" w:sz="4" w:space="0" w:color="auto"/>
            </w:tcBorders>
            <w:shd w:val="clear" w:color="auto" w:fill="CCCCCC"/>
          </w:tcPr>
          <w:p w14:paraId="67299197" w14:textId="77777777" w:rsidR="00F7100A" w:rsidRPr="003E76E7" w:rsidRDefault="00F7100A" w:rsidP="00C4292D">
            <w:pPr>
              <w:pStyle w:val="Heading5"/>
              <w:spacing w:before="60" w:after="60"/>
            </w:pPr>
            <w:r w:rsidRPr="003E76E7">
              <w:t>Administered Program 2.22: Housing Assistance</w:t>
            </w:r>
          </w:p>
        </w:tc>
      </w:tr>
      <w:tr w:rsidR="00F7100A" w:rsidRPr="003E76E7" w14:paraId="1B089532" w14:textId="77777777" w:rsidTr="00A211F5">
        <w:trPr>
          <w:trHeight w:val="170"/>
        </w:trPr>
        <w:tc>
          <w:tcPr>
            <w:tcW w:w="7797" w:type="dxa"/>
            <w:gridSpan w:val="3"/>
            <w:tcBorders>
              <w:top w:val="single" w:sz="4" w:space="0" w:color="auto"/>
              <w:left w:val="nil"/>
              <w:bottom w:val="single" w:sz="4" w:space="0" w:color="auto"/>
              <w:right w:val="nil"/>
            </w:tcBorders>
            <w:shd w:val="clear" w:color="auto" w:fill="auto"/>
          </w:tcPr>
          <w:p w14:paraId="1D9C94E3" w14:textId="77777777" w:rsidR="00F7100A" w:rsidRPr="003E76E7" w:rsidRDefault="00F7100A" w:rsidP="00C4292D">
            <w:pPr>
              <w:pStyle w:val="Heading5"/>
              <w:spacing w:before="0" w:after="0"/>
              <w:rPr>
                <w:sz w:val="16"/>
                <w:szCs w:val="16"/>
              </w:rPr>
            </w:pPr>
          </w:p>
        </w:tc>
      </w:tr>
      <w:tr w:rsidR="00F7100A" w:rsidRPr="003E76E7" w14:paraId="494483A4" w14:textId="77777777" w:rsidTr="00A211F5">
        <w:tblPrEx>
          <w:shd w:val="clear" w:color="auto" w:fill="auto"/>
          <w:tblLook w:val="04A0" w:firstRow="1" w:lastRow="0" w:firstColumn="1" w:lastColumn="0" w:noHBand="0" w:noVBand="1"/>
        </w:tblPrEx>
        <w:trPr>
          <w:tblHeader/>
        </w:trPr>
        <w:tc>
          <w:tcPr>
            <w:tcW w:w="7797" w:type="dxa"/>
            <w:gridSpan w:val="3"/>
            <w:tcBorders>
              <w:top w:val="single" w:sz="4" w:space="0" w:color="auto"/>
            </w:tcBorders>
            <w:shd w:val="clear" w:color="auto" w:fill="E6E6E6"/>
          </w:tcPr>
          <w:p w14:paraId="335052A4" w14:textId="77777777" w:rsidR="00F7100A" w:rsidRPr="003E76E7" w:rsidRDefault="00F7100A" w:rsidP="00C4292D">
            <w:pPr>
              <w:tabs>
                <w:tab w:val="left" w:pos="709"/>
              </w:tabs>
              <w:spacing w:before="60" w:after="60"/>
              <w:rPr>
                <w:rFonts w:ascii="Arial" w:hAnsi="Arial"/>
                <w:sz w:val="16"/>
                <w:szCs w:val="16"/>
                <w:lang w:val="en-AU"/>
              </w:rPr>
            </w:pPr>
            <w:r w:rsidRPr="003E76E7">
              <w:rPr>
                <w:rFonts w:ascii="Arial" w:hAnsi="Arial"/>
                <w:b/>
                <w:sz w:val="16"/>
                <w:szCs w:val="16"/>
                <w:lang w:val="en-AU"/>
              </w:rPr>
              <w:t>Administered Program 2.22</w:t>
            </w:r>
            <w:r w:rsidRPr="003E76E7">
              <w:rPr>
                <w:rFonts w:ascii="Arial" w:hAnsi="Arial"/>
                <w:sz w:val="16"/>
                <w:szCs w:val="16"/>
                <w:lang w:val="en-AU"/>
              </w:rPr>
              <w:t xml:space="preserve"> </w:t>
            </w:r>
            <w:r w:rsidRPr="003E76E7">
              <w:rPr>
                <w:rFonts w:ascii="Arial" w:hAnsi="Arial"/>
                <w:b/>
                <w:sz w:val="16"/>
                <w:szCs w:val="16"/>
                <w:lang w:val="en-AU"/>
              </w:rPr>
              <w:t>Objective</w:t>
            </w:r>
          </w:p>
          <w:p w14:paraId="2B7F2F40" w14:textId="015E10B5" w:rsidR="00F7100A" w:rsidRPr="003E76E7" w:rsidRDefault="00F7100A" w:rsidP="00C4292D">
            <w:pPr>
              <w:tabs>
                <w:tab w:val="left" w:pos="709"/>
              </w:tabs>
              <w:spacing w:before="60" w:after="60"/>
              <w:jc w:val="both"/>
              <w:rPr>
                <w:rFonts w:ascii="Arial" w:hAnsi="Arial"/>
                <w:sz w:val="16"/>
                <w:szCs w:val="16"/>
              </w:rPr>
            </w:pPr>
            <w:r w:rsidRPr="003E76E7">
              <w:rPr>
                <w:rFonts w:ascii="Arial" w:hAnsi="Arial"/>
                <w:sz w:val="16"/>
                <w:szCs w:val="16"/>
                <w:lang w:val="en-AU"/>
              </w:rPr>
              <w:t>The Defence Home Ownership Assistance Scheme (DHOAS) was established in order to support the Government’s retention and recruitment initiatives and influence ADF members’ decision to stay</w:t>
            </w:r>
            <w:r w:rsidR="00D92594">
              <w:rPr>
                <w:rFonts w:ascii="Arial" w:hAnsi="Arial"/>
                <w:sz w:val="16"/>
                <w:szCs w:val="16"/>
                <w:lang w:val="en-AU"/>
              </w:rPr>
              <w:t xml:space="preserve"> beyond critical career points. </w:t>
            </w:r>
            <w:r w:rsidRPr="003E76E7">
              <w:rPr>
                <w:rFonts w:ascii="Arial" w:hAnsi="Arial"/>
                <w:sz w:val="16"/>
                <w:szCs w:val="16"/>
                <w:lang w:val="en-AU"/>
              </w:rPr>
              <w:t>The scheme came into effect on 1 July 2008.</w:t>
            </w:r>
          </w:p>
        </w:tc>
      </w:tr>
      <w:tr w:rsidR="00F7100A" w:rsidRPr="003E76E7" w14:paraId="11045A44" w14:textId="77777777" w:rsidTr="00A211F5">
        <w:tblPrEx>
          <w:shd w:val="clear" w:color="auto" w:fill="auto"/>
          <w:tblLook w:val="04A0" w:firstRow="1" w:lastRow="0" w:firstColumn="1" w:lastColumn="0" w:noHBand="0" w:noVBand="1"/>
        </w:tblPrEx>
        <w:trPr>
          <w:trHeight w:val="312"/>
        </w:trPr>
        <w:tc>
          <w:tcPr>
            <w:tcW w:w="1779" w:type="dxa"/>
            <w:tcBorders>
              <w:bottom w:val="single" w:sz="4" w:space="0" w:color="auto"/>
            </w:tcBorders>
          </w:tcPr>
          <w:p w14:paraId="647AF8CD" w14:textId="77777777" w:rsidR="00F7100A" w:rsidRPr="003E76E7" w:rsidRDefault="00FF6EA0" w:rsidP="00C4292D">
            <w:pPr>
              <w:tabs>
                <w:tab w:val="left" w:pos="709"/>
              </w:tabs>
              <w:spacing w:before="60" w:after="60"/>
              <w:rPr>
                <w:rFonts w:ascii="Arial" w:hAnsi="Arial"/>
                <w:b/>
                <w:color w:val="000000"/>
                <w:sz w:val="16"/>
                <w:szCs w:val="16"/>
              </w:rPr>
            </w:pPr>
            <w:r w:rsidRPr="003E76E7">
              <w:rPr>
                <w:rFonts w:ascii="Arial" w:hAnsi="Arial"/>
                <w:b/>
                <w:color w:val="000000"/>
                <w:sz w:val="16"/>
                <w:szCs w:val="16"/>
              </w:rPr>
              <w:t>Key Activity</w:t>
            </w:r>
          </w:p>
        </w:tc>
        <w:tc>
          <w:tcPr>
            <w:tcW w:w="6018" w:type="dxa"/>
            <w:gridSpan w:val="2"/>
            <w:tcBorders>
              <w:bottom w:val="single" w:sz="4" w:space="0" w:color="auto"/>
            </w:tcBorders>
          </w:tcPr>
          <w:p w14:paraId="5CA7C296" w14:textId="77777777" w:rsidR="00F7100A" w:rsidRPr="003E76E7" w:rsidRDefault="00F7100A" w:rsidP="00C4292D">
            <w:pPr>
              <w:tabs>
                <w:tab w:val="left" w:pos="343"/>
              </w:tabs>
              <w:spacing w:before="60" w:after="60"/>
              <w:rPr>
                <w:rFonts w:ascii="Arial" w:hAnsi="Arial"/>
                <w:bCs/>
                <w:color w:val="000000"/>
                <w:sz w:val="16"/>
                <w:szCs w:val="16"/>
                <w:lang w:val="en-AU"/>
              </w:rPr>
            </w:pPr>
            <w:r w:rsidRPr="003E76E7">
              <w:rPr>
                <w:rFonts w:ascii="Arial" w:hAnsi="Arial"/>
                <w:bCs/>
                <w:color w:val="000000"/>
                <w:sz w:val="16"/>
                <w:szCs w:val="16"/>
                <w:lang w:val="en-AU"/>
              </w:rPr>
              <w:t>This program will be achieved through the following activity:</w:t>
            </w:r>
          </w:p>
          <w:p w14:paraId="2AE0E6D6" w14:textId="123C71B5" w:rsidR="00F7100A" w:rsidRPr="003E76E7" w:rsidRDefault="00F7100A" w:rsidP="00C4292D">
            <w:pPr>
              <w:tabs>
                <w:tab w:val="left" w:pos="343"/>
              </w:tabs>
              <w:spacing w:before="60" w:after="60"/>
              <w:rPr>
                <w:rFonts w:ascii="Arial" w:hAnsi="Arial"/>
                <w:bCs/>
                <w:color w:val="000000"/>
                <w:sz w:val="16"/>
                <w:szCs w:val="16"/>
              </w:rPr>
            </w:pPr>
            <w:r w:rsidRPr="003E76E7">
              <w:rPr>
                <w:rFonts w:ascii="Arial" w:hAnsi="Arial"/>
                <w:b/>
                <w:sz w:val="16"/>
                <w:szCs w:val="16"/>
                <w:lang w:val="en-AU"/>
              </w:rPr>
              <w:t xml:space="preserve">4. </w:t>
            </w:r>
            <w:r w:rsidR="00172963" w:rsidRPr="003E76E7">
              <w:rPr>
                <w:rFonts w:ascii="Arial" w:hAnsi="Arial"/>
                <w:b/>
                <w:sz w:val="16"/>
                <w:szCs w:val="16"/>
                <w:lang w:val="en-AU"/>
              </w:rPr>
              <w:t>Defence invests in its people through recruitment and retention, growth in skills and capabilities, improved culture, mental health and wellbeing support, and support to ADF families.</w:t>
            </w:r>
          </w:p>
        </w:tc>
      </w:tr>
      <w:tr w:rsidR="00F7100A" w:rsidRPr="003E76E7" w14:paraId="7469BBF8" w14:textId="77777777" w:rsidTr="00A211F5">
        <w:trPr>
          <w:trHeight w:val="100"/>
        </w:trPr>
        <w:tc>
          <w:tcPr>
            <w:tcW w:w="1779" w:type="dxa"/>
            <w:tcBorders>
              <w:top w:val="single" w:sz="4" w:space="0" w:color="auto"/>
              <w:bottom w:val="single" w:sz="4" w:space="0" w:color="auto"/>
              <w:right w:val="single" w:sz="4" w:space="0" w:color="auto"/>
            </w:tcBorders>
          </w:tcPr>
          <w:p w14:paraId="6F0790DB" w14:textId="77777777" w:rsidR="00F7100A" w:rsidRPr="003E76E7" w:rsidRDefault="00F7100A" w:rsidP="00C4292D">
            <w:pPr>
              <w:tabs>
                <w:tab w:val="left" w:pos="709"/>
              </w:tabs>
              <w:spacing w:before="60" w:after="60"/>
              <w:rPr>
                <w:rFonts w:ascii="Arial" w:hAnsi="Arial"/>
                <w:color w:val="000000"/>
                <w:sz w:val="16"/>
                <w:szCs w:val="16"/>
              </w:rPr>
            </w:pPr>
            <w:r w:rsidRPr="003E76E7">
              <w:rPr>
                <w:rFonts w:ascii="Arial" w:hAnsi="Arial"/>
                <w:b/>
                <w:color w:val="000000"/>
                <w:sz w:val="16"/>
                <w:szCs w:val="16"/>
              </w:rPr>
              <w:t>Year</w:t>
            </w:r>
          </w:p>
        </w:tc>
        <w:tc>
          <w:tcPr>
            <w:tcW w:w="2865" w:type="dxa"/>
            <w:tcBorders>
              <w:top w:val="single" w:sz="4" w:space="0" w:color="auto"/>
              <w:left w:val="single" w:sz="4" w:space="0" w:color="auto"/>
              <w:bottom w:val="single" w:sz="4" w:space="0" w:color="auto"/>
              <w:right w:val="single" w:sz="4" w:space="0" w:color="auto"/>
            </w:tcBorders>
          </w:tcPr>
          <w:p w14:paraId="104D1D91" w14:textId="6723B118" w:rsidR="00F7100A" w:rsidRPr="003E76E7" w:rsidRDefault="00AD14EC" w:rsidP="00C4292D">
            <w:pPr>
              <w:tabs>
                <w:tab w:val="left" w:pos="709"/>
              </w:tabs>
              <w:spacing w:before="60" w:after="60"/>
              <w:rPr>
                <w:rFonts w:ascii="Arial" w:hAnsi="Arial"/>
                <w:color w:val="000000"/>
              </w:rPr>
            </w:pPr>
            <w:r w:rsidRPr="003E76E7">
              <w:rPr>
                <w:rFonts w:ascii="Arial" w:hAnsi="Arial"/>
                <w:b/>
                <w:color w:val="000000"/>
                <w:sz w:val="16"/>
                <w:szCs w:val="16"/>
              </w:rPr>
              <w:t>Performance Measures</w:t>
            </w:r>
          </w:p>
        </w:tc>
        <w:tc>
          <w:tcPr>
            <w:tcW w:w="3153" w:type="dxa"/>
            <w:tcBorders>
              <w:top w:val="single" w:sz="4" w:space="0" w:color="auto"/>
              <w:left w:val="single" w:sz="4" w:space="0" w:color="auto"/>
              <w:bottom w:val="single" w:sz="4" w:space="0" w:color="auto"/>
            </w:tcBorders>
          </w:tcPr>
          <w:p w14:paraId="79740ED3" w14:textId="77777777" w:rsidR="00F7100A" w:rsidRPr="003E76E7" w:rsidRDefault="00F7100A" w:rsidP="00C4292D">
            <w:pPr>
              <w:tabs>
                <w:tab w:val="left" w:pos="709"/>
              </w:tabs>
              <w:spacing w:before="60" w:after="60"/>
              <w:rPr>
                <w:rFonts w:ascii="Arial" w:hAnsi="Arial"/>
                <w:i/>
                <w:color w:val="000000"/>
                <w:sz w:val="16"/>
                <w:szCs w:val="16"/>
              </w:rPr>
            </w:pPr>
            <w:r w:rsidRPr="003E76E7">
              <w:rPr>
                <w:rFonts w:ascii="Arial" w:hAnsi="Arial"/>
                <w:b/>
                <w:color w:val="000000"/>
                <w:sz w:val="16"/>
                <w:szCs w:val="16"/>
              </w:rPr>
              <w:t>Expected Performance Results</w:t>
            </w:r>
          </w:p>
        </w:tc>
      </w:tr>
      <w:tr w:rsidR="00172963" w:rsidRPr="003E76E7" w14:paraId="2AFF4D7D" w14:textId="77777777" w:rsidTr="00A211F5">
        <w:trPr>
          <w:trHeight w:val="305"/>
        </w:trPr>
        <w:tc>
          <w:tcPr>
            <w:tcW w:w="1779" w:type="dxa"/>
            <w:vMerge w:val="restart"/>
            <w:tcBorders>
              <w:top w:val="single" w:sz="4" w:space="0" w:color="auto"/>
              <w:left w:val="single" w:sz="4" w:space="0" w:color="auto"/>
              <w:right w:val="single" w:sz="4" w:space="0" w:color="auto"/>
            </w:tcBorders>
          </w:tcPr>
          <w:p w14:paraId="175D1B19" w14:textId="77777777" w:rsidR="00172963" w:rsidRPr="003E76E7" w:rsidRDefault="00172963" w:rsidP="00C4292D">
            <w:pPr>
              <w:tabs>
                <w:tab w:val="left" w:pos="709"/>
              </w:tabs>
              <w:spacing w:before="0" w:after="0"/>
              <w:rPr>
                <w:rFonts w:ascii="Arial" w:hAnsi="Arial"/>
                <w:color w:val="000000"/>
                <w:sz w:val="16"/>
                <w:szCs w:val="16"/>
              </w:rPr>
            </w:pPr>
            <w:r w:rsidRPr="003E76E7">
              <w:rPr>
                <w:rFonts w:ascii="Arial" w:hAnsi="Arial"/>
                <w:color w:val="000000"/>
                <w:sz w:val="16"/>
                <w:szCs w:val="16"/>
              </w:rPr>
              <w:t>Current Year</w:t>
            </w:r>
          </w:p>
          <w:p w14:paraId="69E54740" w14:textId="5C715BAB" w:rsidR="00172963" w:rsidRPr="003E76E7" w:rsidRDefault="00172963" w:rsidP="00C4292D">
            <w:pPr>
              <w:tabs>
                <w:tab w:val="left" w:pos="709"/>
              </w:tabs>
              <w:spacing w:before="0" w:after="0"/>
              <w:rPr>
                <w:rFonts w:ascii="Arial" w:hAnsi="Arial"/>
                <w:color w:val="000000"/>
                <w:sz w:val="16"/>
                <w:szCs w:val="16"/>
              </w:rPr>
            </w:pPr>
            <w:r w:rsidRPr="003E76E7">
              <w:rPr>
                <w:rFonts w:ascii="Arial" w:hAnsi="Arial"/>
                <w:color w:val="000000"/>
                <w:sz w:val="16"/>
                <w:szCs w:val="16"/>
              </w:rPr>
              <w:t xml:space="preserve">2025-26 </w:t>
            </w:r>
            <w:r w:rsidRPr="003E76E7">
              <w:rPr>
                <w:rFonts w:ascii="Arial" w:hAnsi="Arial"/>
                <w:color w:val="000000"/>
                <w:sz w:val="16"/>
                <w:szCs w:val="16"/>
                <w:vertAlign w:val="superscript"/>
              </w:rPr>
              <w:t>[a]</w:t>
            </w:r>
          </w:p>
        </w:tc>
        <w:tc>
          <w:tcPr>
            <w:tcW w:w="2865" w:type="dxa"/>
            <w:tcBorders>
              <w:top w:val="single" w:sz="4" w:space="0" w:color="auto"/>
              <w:left w:val="single" w:sz="4" w:space="0" w:color="auto"/>
              <w:bottom w:val="single" w:sz="4" w:space="0" w:color="auto"/>
              <w:right w:val="single" w:sz="4" w:space="0" w:color="auto"/>
            </w:tcBorders>
          </w:tcPr>
          <w:p w14:paraId="1BEB52CB" w14:textId="227BE0B4" w:rsidR="00172963" w:rsidRPr="003E76E7" w:rsidRDefault="00172963" w:rsidP="00C4292D">
            <w:pPr>
              <w:tabs>
                <w:tab w:val="left" w:pos="709"/>
              </w:tabs>
              <w:spacing w:before="60" w:after="60"/>
              <w:rPr>
                <w:rFonts w:ascii="Arial" w:hAnsi="Arial"/>
                <w:sz w:val="16"/>
                <w:szCs w:val="16"/>
                <w:lang w:val="en-AU"/>
              </w:rPr>
            </w:pPr>
            <w:r w:rsidRPr="003E76E7">
              <w:rPr>
                <w:rFonts w:ascii="Arial" w:hAnsi="Arial"/>
                <w:sz w:val="16"/>
                <w:szCs w:val="16"/>
                <w:lang w:val="en-AU"/>
              </w:rPr>
              <w:t>4.1: Defence recruits and retains an ADF and APS workforce to support the Defence mission.</w:t>
            </w:r>
          </w:p>
        </w:tc>
        <w:tc>
          <w:tcPr>
            <w:tcW w:w="3153" w:type="dxa"/>
            <w:tcBorders>
              <w:top w:val="single" w:sz="4" w:space="0" w:color="auto"/>
              <w:left w:val="single" w:sz="4" w:space="0" w:color="auto"/>
              <w:bottom w:val="single" w:sz="4" w:space="0" w:color="auto"/>
              <w:right w:val="single" w:sz="4" w:space="0" w:color="auto"/>
            </w:tcBorders>
          </w:tcPr>
          <w:p w14:paraId="451487F0" w14:textId="7B018ECF" w:rsidR="00172963" w:rsidRPr="003E76E7" w:rsidRDefault="00172963" w:rsidP="00C4292D">
            <w:pPr>
              <w:rPr>
                <w:rFonts w:ascii="Arial" w:hAnsi="Arial"/>
                <w:sz w:val="16"/>
                <w:szCs w:val="16"/>
              </w:rPr>
            </w:pPr>
            <w:r w:rsidRPr="003E76E7">
              <w:rPr>
                <w:rFonts w:ascii="Arial" w:hAnsi="Arial"/>
                <w:sz w:val="16"/>
                <w:szCs w:val="16"/>
              </w:rPr>
              <w:t xml:space="preserve">Defence achieves the ADF and APS Budgeted Workforce Requirement as set out in the </w:t>
            </w:r>
            <w:r w:rsidRPr="003E76E7">
              <w:rPr>
                <w:rFonts w:ascii="Arial" w:hAnsi="Arial"/>
                <w:i/>
                <w:sz w:val="16"/>
                <w:szCs w:val="16"/>
              </w:rPr>
              <w:t>Portfolio Budget Statements</w:t>
            </w:r>
            <w:r w:rsidR="003D1053">
              <w:rPr>
                <w:rFonts w:ascii="Arial" w:hAnsi="Arial"/>
                <w:i/>
                <w:sz w:val="16"/>
                <w:szCs w:val="16"/>
              </w:rPr>
              <w:t xml:space="preserve"> </w:t>
            </w:r>
            <w:r w:rsidR="003D1053" w:rsidRPr="003E76E7">
              <w:rPr>
                <w:rFonts w:ascii="Arial" w:hAnsi="Arial"/>
                <w:i/>
                <w:sz w:val="16"/>
                <w:szCs w:val="16"/>
              </w:rPr>
              <w:t>2025-26</w:t>
            </w:r>
            <w:r w:rsidRPr="003E76E7">
              <w:rPr>
                <w:rFonts w:ascii="Arial" w:hAnsi="Arial"/>
                <w:sz w:val="16"/>
                <w:szCs w:val="16"/>
              </w:rPr>
              <w:t xml:space="preserve"> and the net flow of the ADF and APS workforce over a 12 month period is trending positive and is positioning Defence to achieve the Budgeted Workforce Requirement over the </w:t>
            </w:r>
            <w:r w:rsidR="00D34381" w:rsidRPr="003E76E7">
              <w:rPr>
                <w:rFonts w:ascii="Arial" w:hAnsi="Arial"/>
                <w:sz w:val="16"/>
                <w:szCs w:val="16"/>
              </w:rPr>
              <w:t>F</w:t>
            </w:r>
            <w:r w:rsidRPr="003E76E7">
              <w:rPr>
                <w:rFonts w:ascii="Arial" w:hAnsi="Arial"/>
                <w:sz w:val="16"/>
                <w:szCs w:val="16"/>
              </w:rPr>
              <w:t xml:space="preserve">orward </w:t>
            </w:r>
            <w:r w:rsidR="00D34381" w:rsidRPr="003E76E7">
              <w:rPr>
                <w:rFonts w:ascii="Arial" w:hAnsi="Arial"/>
                <w:sz w:val="16"/>
                <w:szCs w:val="16"/>
              </w:rPr>
              <w:t>E</w:t>
            </w:r>
            <w:r w:rsidRPr="003E76E7">
              <w:rPr>
                <w:rFonts w:ascii="Arial" w:hAnsi="Arial"/>
                <w:sz w:val="16"/>
                <w:szCs w:val="16"/>
              </w:rPr>
              <w:t>stimates.</w:t>
            </w:r>
          </w:p>
          <w:p w14:paraId="3A640ACE" w14:textId="03CB11F0" w:rsidR="00172963" w:rsidRPr="003E76E7" w:rsidRDefault="00172963" w:rsidP="00C4292D">
            <w:pPr>
              <w:spacing w:before="0" w:after="60"/>
              <w:jc w:val="right"/>
              <w:rPr>
                <w:i/>
              </w:rPr>
            </w:pPr>
            <w:r w:rsidRPr="003E76E7">
              <w:rPr>
                <w:rFonts w:ascii="Arial" w:hAnsi="Arial"/>
                <w:i/>
                <w:sz w:val="16"/>
                <w:szCs w:val="16"/>
              </w:rPr>
              <w:t>Expected to be partially achieved.</w:t>
            </w:r>
          </w:p>
        </w:tc>
      </w:tr>
      <w:tr w:rsidR="00172963" w:rsidRPr="003E76E7" w14:paraId="7AA1F3A1" w14:textId="77777777" w:rsidTr="00A211F5">
        <w:trPr>
          <w:trHeight w:val="305"/>
        </w:trPr>
        <w:tc>
          <w:tcPr>
            <w:tcW w:w="1779" w:type="dxa"/>
            <w:vMerge/>
            <w:tcBorders>
              <w:left w:val="single" w:sz="4" w:space="0" w:color="auto"/>
              <w:right w:val="single" w:sz="4" w:space="0" w:color="auto"/>
            </w:tcBorders>
          </w:tcPr>
          <w:p w14:paraId="1F4C8748" w14:textId="77777777" w:rsidR="00172963" w:rsidRPr="003E76E7" w:rsidRDefault="00172963" w:rsidP="00C4292D">
            <w:pPr>
              <w:tabs>
                <w:tab w:val="left" w:pos="709"/>
              </w:tabs>
              <w:spacing w:before="0" w:after="0"/>
              <w:rPr>
                <w:rFonts w:ascii="Arial" w:hAnsi="Arial"/>
                <w:color w:val="000000"/>
                <w:sz w:val="16"/>
                <w:szCs w:val="16"/>
              </w:rPr>
            </w:pPr>
          </w:p>
        </w:tc>
        <w:tc>
          <w:tcPr>
            <w:tcW w:w="2865" w:type="dxa"/>
            <w:tcBorders>
              <w:top w:val="single" w:sz="4" w:space="0" w:color="auto"/>
              <w:left w:val="single" w:sz="4" w:space="0" w:color="auto"/>
              <w:bottom w:val="single" w:sz="4" w:space="0" w:color="auto"/>
              <w:right w:val="single" w:sz="4" w:space="0" w:color="auto"/>
            </w:tcBorders>
          </w:tcPr>
          <w:p w14:paraId="55EEAAF3" w14:textId="207BCADA" w:rsidR="00172963" w:rsidRPr="003E76E7" w:rsidRDefault="00172963" w:rsidP="00C4292D">
            <w:pPr>
              <w:tabs>
                <w:tab w:val="left" w:pos="709"/>
              </w:tabs>
              <w:spacing w:before="60" w:after="60"/>
              <w:rPr>
                <w:rFonts w:ascii="Arial" w:hAnsi="Arial"/>
                <w:sz w:val="16"/>
                <w:szCs w:val="16"/>
                <w:lang w:val="en-AU"/>
              </w:rPr>
            </w:pPr>
            <w:r w:rsidRPr="003E76E7">
              <w:rPr>
                <w:rFonts w:ascii="Arial" w:hAnsi="Arial"/>
                <w:sz w:val="16"/>
                <w:szCs w:val="16"/>
                <w:lang w:val="en-AU"/>
              </w:rPr>
              <w:t>4.2: Defence grows the necessary skills and capabilities to enable the Defence mission.</w:t>
            </w:r>
          </w:p>
        </w:tc>
        <w:tc>
          <w:tcPr>
            <w:tcW w:w="3153" w:type="dxa"/>
            <w:tcBorders>
              <w:top w:val="single" w:sz="4" w:space="0" w:color="auto"/>
              <w:left w:val="single" w:sz="4" w:space="0" w:color="auto"/>
              <w:bottom w:val="single" w:sz="4" w:space="0" w:color="auto"/>
              <w:right w:val="single" w:sz="4" w:space="0" w:color="auto"/>
            </w:tcBorders>
          </w:tcPr>
          <w:p w14:paraId="33B8006A" w14:textId="77777777" w:rsidR="00172963" w:rsidRPr="003E76E7" w:rsidRDefault="00172963" w:rsidP="00C4292D">
            <w:pPr>
              <w:rPr>
                <w:rFonts w:ascii="Arial" w:hAnsi="Arial"/>
                <w:sz w:val="16"/>
                <w:szCs w:val="16"/>
                <w:lang w:val="en-AU"/>
              </w:rPr>
            </w:pPr>
            <w:r w:rsidRPr="003E76E7">
              <w:rPr>
                <w:rFonts w:ascii="Arial" w:hAnsi="Arial"/>
                <w:sz w:val="16"/>
                <w:szCs w:val="16"/>
                <w:lang w:val="en-AU"/>
              </w:rPr>
              <w:t>The Defence workforce has the technical skills required to deliver the National Defence Strategy, as measured through achieving a full workforce against each of the ADF and APS Strategic Workforce Segments, the net flow of the ADF and APS Strategic Workforce Segments over the financial year, measured against the Budgeted Workforce Requirement, will enable Defence to achieve its future technical skill requirements, and the Australian Submarine Agency are staffed with the required ADF personnel to deliver the Nuclear-Powered Submarine Program.</w:t>
            </w:r>
          </w:p>
          <w:p w14:paraId="4DD4DFFE" w14:textId="2728F6F1" w:rsidR="00172963" w:rsidRPr="003E76E7" w:rsidRDefault="00D013CE" w:rsidP="00C4292D">
            <w:pPr>
              <w:spacing w:before="0" w:after="60"/>
              <w:jc w:val="right"/>
              <w:rPr>
                <w:rFonts w:ascii="Arial" w:hAnsi="Arial"/>
                <w:color w:val="000000"/>
                <w:sz w:val="16"/>
                <w:szCs w:val="16"/>
              </w:rPr>
            </w:pPr>
            <w:r w:rsidRPr="003E76E7">
              <w:rPr>
                <w:rFonts w:ascii="Arial" w:hAnsi="Arial"/>
                <w:i/>
                <w:sz w:val="16"/>
                <w:szCs w:val="16"/>
              </w:rPr>
              <w:t>Expected to be partially achieved</w:t>
            </w:r>
            <w:r>
              <w:rPr>
                <w:rFonts w:ascii="Arial" w:hAnsi="Arial"/>
                <w:i/>
                <w:sz w:val="16"/>
                <w:szCs w:val="16"/>
              </w:rPr>
              <w:t>.</w:t>
            </w:r>
          </w:p>
        </w:tc>
      </w:tr>
      <w:tr w:rsidR="00172963" w:rsidRPr="003E76E7" w14:paraId="7428D1EA" w14:textId="77777777" w:rsidTr="00A211F5">
        <w:trPr>
          <w:trHeight w:val="305"/>
        </w:trPr>
        <w:tc>
          <w:tcPr>
            <w:tcW w:w="1779" w:type="dxa"/>
            <w:vMerge/>
            <w:tcBorders>
              <w:left w:val="single" w:sz="4" w:space="0" w:color="auto"/>
              <w:bottom w:val="single" w:sz="4" w:space="0" w:color="auto"/>
              <w:right w:val="single" w:sz="4" w:space="0" w:color="auto"/>
            </w:tcBorders>
          </w:tcPr>
          <w:p w14:paraId="320C57F5" w14:textId="77777777" w:rsidR="00172963" w:rsidRPr="003E76E7" w:rsidRDefault="00172963" w:rsidP="00C4292D">
            <w:pPr>
              <w:tabs>
                <w:tab w:val="left" w:pos="709"/>
              </w:tabs>
              <w:spacing w:before="0" w:after="0"/>
              <w:rPr>
                <w:rFonts w:ascii="Arial" w:hAnsi="Arial"/>
                <w:color w:val="000000"/>
                <w:sz w:val="16"/>
                <w:szCs w:val="16"/>
              </w:rPr>
            </w:pPr>
          </w:p>
        </w:tc>
        <w:tc>
          <w:tcPr>
            <w:tcW w:w="2865" w:type="dxa"/>
            <w:tcBorders>
              <w:top w:val="single" w:sz="4" w:space="0" w:color="auto"/>
              <w:left w:val="single" w:sz="4" w:space="0" w:color="auto"/>
              <w:bottom w:val="single" w:sz="4" w:space="0" w:color="auto"/>
              <w:right w:val="single" w:sz="4" w:space="0" w:color="auto"/>
            </w:tcBorders>
          </w:tcPr>
          <w:p w14:paraId="1E971E35" w14:textId="3E39AF3F" w:rsidR="00172963" w:rsidRPr="003E76E7" w:rsidRDefault="00172963" w:rsidP="00C4292D">
            <w:pPr>
              <w:tabs>
                <w:tab w:val="left" w:pos="709"/>
              </w:tabs>
              <w:spacing w:before="60" w:after="60"/>
              <w:rPr>
                <w:rFonts w:ascii="Arial" w:hAnsi="Arial"/>
                <w:sz w:val="16"/>
                <w:szCs w:val="16"/>
                <w:lang w:val="en-AU"/>
              </w:rPr>
            </w:pPr>
            <w:r w:rsidRPr="003E76E7">
              <w:rPr>
                <w:rFonts w:ascii="Arial" w:hAnsi="Arial"/>
                <w:sz w:val="16"/>
                <w:szCs w:val="16"/>
                <w:lang w:val="en-AU"/>
              </w:rPr>
              <w:t>4.3: The Defence values and behaviours enable our people to deliver against the Defence mission.</w:t>
            </w:r>
          </w:p>
        </w:tc>
        <w:tc>
          <w:tcPr>
            <w:tcW w:w="3153" w:type="dxa"/>
            <w:tcBorders>
              <w:top w:val="single" w:sz="4" w:space="0" w:color="auto"/>
              <w:left w:val="single" w:sz="4" w:space="0" w:color="auto"/>
              <w:bottom w:val="single" w:sz="4" w:space="0" w:color="auto"/>
              <w:right w:val="single" w:sz="4" w:space="0" w:color="auto"/>
            </w:tcBorders>
          </w:tcPr>
          <w:p w14:paraId="6BC28909" w14:textId="63E1E4EC" w:rsidR="00172963" w:rsidRPr="003E76E7" w:rsidRDefault="00172963" w:rsidP="00C4292D">
            <w:pPr>
              <w:rPr>
                <w:rFonts w:ascii="Arial" w:hAnsi="Arial"/>
                <w:sz w:val="16"/>
                <w:szCs w:val="16"/>
              </w:rPr>
            </w:pPr>
            <w:r w:rsidRPr="003E76E7">
              <w:rPr>
                <w:rFonts w:ascii="Arial" w:hAnsi="Arial"/>
                <w:sz w:val="16"/>
                <w:szCs w:val="16"/>
              </w:rPr>
              <w:t xml:space="preserve">All ADF and Defence APS personnel believe appropriate action will be taken if they report an incident of unacceptable behaviour in the preceding 12 months, no ADF and Defence APS personnel have experienced unacceptable behaviour in the preceding </w:t>
            </w:r>
            <w:r w:rsidR="00100F83" w:rsidRPr="003E76E7">
              <w:rPr>
                <w:rFonts w:ascii="Arial" w:hAnsi="Arial"/>
                <w:sz w:val="16"/>
                <w:szCs w:val="16"/>
              </w:rPr>
              <w:br/>
            </w:r>
            <w:r w:rsidRPr="003E76E7">
              <w:rPr>
                <w:rFonts w:ascii="Arial" w:hAnsi="Arial"/>
                <w:sz w:val="16"/>
                <w:szCs w:val="16"/>
              </w:rPr>
              <w:t>12 months, and all ADF and Defence APS personnel view that Defence values are being used in their work area.</w:t>
            </w:r>
          </w:p>
          <w:p w14:paraId="7DFD295D" w14:textId="6CFF7ABA" w:rsidR="00172963" w:rsidRPr="003E76E7" w:rsidRDefault="00C4447C" w:rsidP="00C4292D">
            <w:pPr>
              <w:spacing w:before="0" w:after="60"/>
              <w:jc w:val="right"/>
              <w:rPr>
                <w:rFonts w:ascii="Arial" w:hAnsi="Arial"/>
                <w:i/>
                <w:sz w:val="16"/>
                <w:szCs w:val="16"/>
                <w:vertAlign w:val="superscript"/>
                <w:lang w:val="en-AU"/>
              </w:rPr>
            </w:pPr>
            <w:r w:rsidRPr="003E76E7">
              <w:rPr>
                <w:rFonts w:ascii="Arial" w:hAnsi="Arial"/>
                <w:i/>
                <w:sz w:val="16"/>
                <w:szCs w:val="16"/>
              </w:rPr>
              <w:t>Expected to be not achieved.</w:t>
            </w:r>
          </w:p>
        </w:tc>
      </w:tr>
      <w:tr w:rsidR="008D3346" w:rsidRPr="003E76E7" w14:paraId="3D91D8ED" w14:textId="77777777" w:rsidTr="00A211F5">
        <w:tblPrEx>
          <w:shd w:val="clear" w:color="auto" w:fill="auto"/>
          <w:tblLook w:val="04A0" w:firstRow="1" w:lastRow="0" w:firstColumn="1" w:lastColumn="0" w:noHBand="0" w:noVBand="1"/>
        </w:tblPrEx>
        <w:trPr>
          <w:trHeight w:val="305"/>
        </w:trPr>
        <w:tc>
          <w:tcPr>
            <w:tcW w:w="1779" w:type="dxa"/>
            <w:tcBorders>
              <w:top w:val="single" w:sz="4" w:space="0" w:color="auto"/>
              <w:left w:val="single" w:sz="4" w:space="0" w:color="auto"/>
              <w:bottom w:val="single" w:sz="4" w:space="0" w:color="auto"/>
              <w:right w:val="single" w:sz="4" w:space="0" w:color="auto"/>
            </w:tcBorders>
            <w:vAlign w:val="center"/>
          </w:tcPr>
          <w:p w14:paraId="4F95274D" w14:textId="676439C3" w:rsidR="008D3346" w:rsidRPr="003E76E7" w:rsidRDefault="008D3346" w:rsidP="00C4292D">
            <w:pPr>
              <w:pageBreakBefore/>
              <w:tabs>
                <w:tab w:val="left" w:pos="709"/>
              </w:tabs>
              <w:spacing w:before="0" w:after="0"/>
              <w:rPr>
                <w:rFonts w:ascii="Arial" w:hAnsi="Arial"/>
                <w:color w:val="000000"/>
                <w:sz w:val="16"/>
                <w:szCs w:val="16"/>
              </w:rPr>
            </w:pPr>
            <w:r w:rsidRPr="003E76E7">
              <w:rPr>
                <w:rFonts w:ascii="Arial" w:hAnsi="Arial"/>
                <w:b/>
                <w:color w:val="000000"/>
                <w:sz w:val="16"/>
                <w:szCs w:val="16"/>
              </w:rPr>
              <w:lastRenderedPageBreak/>
              <w:t>Year</w:t>
            </w:r>
          </w:p>
        </w:tc>
        <w:tc>
          <w:tcPr>
            <w:tcW w:w="2865" w:type="dxa"/>
            <w:tcBorders>
              <w:top w:val="single" w:sz="4" w:space="0" w:color="auto"/>
              <w:left w:val="single" w:sz="4" w:space="0" w:color="auto"/>
              <w:bottom w:val="single" w:sz="4" w:space="0" w:color="auto"/>
              <w:right w:val="single" w:sz="4" w:space="0" w:color="auto"/>
            </w:tcBorders>
            <w:vAlign w:val="center"/>
          </w:tcPr>
          <w:p w14:paraId="28119688" w14:textId="5F4DC3E7" w:rsidR="008D3346" w:rsidRPr="003E76E7" w:rsidRDefault="00AD14EC" w:rsidP="00C4292D">
            <w:pPr>
              <w:tabs>
                <w:tab w:val="left" w:pos="709"/>
              </w:tabs>
              <w:spacing w:before="60" w:after="60"/>
              <w:rPr>
                <w:rFonts w:ascii="Arial" w:hAnsi="Arial"/>
                <w:sz w:val="16"/>
                <w:szCs w:val="16"/>
                <w:lang w:val="en-AU"/>
              </w:rPr>
            </w:pPr>
            <w:r w:rsidRPr="003E76E7">
              <w:rPr>
                <w:rFonts w:ascii="Arial" w:hAnsi="Arial"/>
                <w:b/>
                <w:color w:val="000000"/>
                <w:sz w:val="16"/>
                <w:szCs w:val="16"/>
              </w:rPr>
              <w:t>Performance Measures</w:t>
            </w:r>
          </w:p>
        </w:tc>
        <w:tc>
          <w:tcPr>
            <w:tcW w:w="3153" w:type="dxa"/>
            <w:tcBorders>
              <w:top w:val="single" w:sz="4" w:space="0" w:color="auto"/>
              <w:left w:val="single" w:sz="4" w:space="0" w:color="auto"/>
              <w:bottom w:val="single" w:sz="4" w:space="0" w:color="auto"/>
              <w:right w:val="single" w:sz="4" w:space="0" w:color="auto"/>
            </w:tcBorders>
            <w:vAlign w:val="center"/>
          </w:tcPr>
          <w:p w14:paraId="45C8A5EA" w14:textId="6BF24398" w:rsidR="008D3346" w:rsidRPr="003E76E7" w:rsidRDefault="008D3346" w:rsidP="00C4292D">
            <w:pPr>
              <w:tabs>
                <w:tab w:val="left" w:pos="709"/>
              </w:tabs>
              <w:spacing w:before="60" w:after="60"/>
              <w:rPr>
                <w:rFonts w:ascii="Arial" w:hAnsi="Arial"/>
                <w:sz w:val="16"/>
                <w:szCs w:val="16"/>
                <w:lang w:val="en-AU"/>
              </w:rPr>
            </w:pPr>
            <w:r w:rsidRPr="003E76E7">
              <w:rPr>
                <w:rFonts w:ascii="Arial" w:hAnsi="Arial"/>
                <w:b/>
                <w:color w:val="000000"/>
                <w:sz w:val="16"/>
                <w:szCs w:val="16"/>
              </w:rPr>
              <w:t>Expected Performance Results</w:t>
            </w:r>
          </w:p>
        </w:tc>
      </w:tr>
      <w:tr w:rsidR="008F7508" w:rsidRPr="003E76E7" w14:paraId="5CB63701" w14:textId="77777777" w:rsidTr="00A211F5">
        <w:tblPrEx>
          <w:shd w:val="clear" w:color="auto" w:fill="auto"/>
          <w:tblLook w:val="04A0" w:firstRow="1" w:lastRow="0" w:firstColumn="1" w:lastColumn="0" w:noHBand="0" w:noVBand="1"/>
        </w:tblPrEx>
        <w:trPr>
          <w:trHeight w:val="305"/>
        </w:trPr>
        <w:tc>
          <w:tcPr>
            <w:tcW w:w="1779" w:type="dxa"/>
            <w:tcBorders>
              <w:top w:val="single" w:sz="4" w:space="0" w:color="auto"/>
              <w:left w:val="single" w:sz="4" w:space="0" w:color="auto"/>
              <w:bottom w:val="single" w:sz="4" w:space="0" w:color="auto"/>
              <w:right w:val="single" w:sz="4" w:space="0" w:color="auto"/>
            </w:tcBorders>
          </w:tcPr>
          <w:p w14:paraId="3A3BAEB0" w14:textId="77777777" w:rsidR="008F7508" w:rsidRPr="003E76E7" w:rsidRDefault="008F7508" w:rsidP="00C4292D">
            <w:pPr>
              <w:tabs>
                <w:tab w:val="left" w:pos="709"/>
              </w:tabs>
              <w:spacing w:before="0" w:after="0"/>
              <w:rPr>
                <w:rFonts w:ascii="Arial" w:hAnsi="Arial"/>
                <w:color w:val="000000"/>
                <w:sz w:val="16"/>
                <w:szCs w:val="16"/>
              </w:rPr>
            </w:pPr>
            <w:r w:rsidRPr="003E76E7">
              <w:rPr>
                <w:rFonts w:ascii="Arial" w:hAnsi="Arial"/>
                <w:color w:val="000000"/>
                <w:sz w:val="16"/>
                <w:szCs w:val="16"/>
              </w:rPr>
              <w:t>Current Year</w:t>
            </w:r>
          </w:p>
          <w:p w14:paraId="5D09E508" w14:textId="218ED218" w:rsidR="008F7508" w:rsidRPr="003E76E7" w:rsidRDefault="008F7508" w:rsidP="00C4292D">
            <w:pPr>
              <w:tabs>
                <w:tab w:val="left" w:pos="709"/>
              </w:tabs>
              <w:spacing w:before="0" w:after="0"/>
              <w:rPr>
                <w:rFonts w:ascii="Arial" w:hAnsi="Arial"/>
                <w:color w:val="000000"/>
                <w:sz w:val="16"/>
                <w:szCs w:val="16"/>
              </w:rPr>
            </w:pPr>
            <w:r w:rsidRPr="003E76E7">
              <w:rPr>
                <w:rFonts w:ascii="Arial" w:hAnsi="Arial"/>
                <w:color w:val="000000"/>
                <w:sz w:val="16"/>
                <w:szCs w:val="16"/>
              </w:rPr>
              <w:t xml:space="preserve">2025-26 </w:t>
            </w:r>
            <w:r w:rsidRPr="003E76E7">
              <w:rPr>
                <w:rFonts w:ascii="Arial" w:hAnsi="Arial"/>
                <w:color w:val="000000"/>
                <w:sz w:val="16"/>
                <w:szCs w:val="16"/>
                <w:vertAlign w:val="superscript"/>
              </w:rPr>
              <w:t>[a]</w:t>
            </w:r>
          </w:p>
        </w:tc>
        <w:tc>
          <w:tcPr>
            <w:tcW w:w="2865" w:type="dxa"/>
            <w:tcBorders>
              <w:top w:val="single" w:sz="4" w:space="0" w:color="auto"/>
              <w:left w:val="single" w:sz="4" w:space="0" w:color="auto"/>
              <w:bottom w:val="single" w:sz="4" w:space="0" w:color="auto"/>
              <w:right w:val="single" w:sz="4" w:space="0" w:color="auto"/>
            </w:tcBorders>
          </w:tcPr>
          <w:p w14:paraId="5FA45AD1" w14:textId="272DD281" w:rsidR="008F7508" w:rsidRPr="003E76E7" w:rsidRDefault="008F7508" w:rsidP="00C4292D">
            <w:pPr>
              <w:tabs>
                <w:tab w:val="left" w:pos="709"/>
              </w:tabs>
              <w:spacing w:before="60" w:after="60"/>
              <w:rPr>
                <w:rFonts w:ascii="Arial" w:hAnsi="Arial"/>
                <w:sz w:val="16"/>
                <w:szCs w:val="16"/>
                <w:lang w:val="en-AU"/>
              </w:rPr>
            </w:pPr>
            <w:r w:rsidRPr="003E76E7">
              <w:rPr>
                <w:rFonts w:ascii="Arial" w:hAnsi="Arial"/>
                <w:sz w:val="16"/>
                <w:szCs w:val="16"/>
                <w:lang w:val="en-AU"/>
              </w:rPr>
              <w:t>4.4: Defence supports ADF members and their families by providing access to support services and programs having regard to lifetime wellbeing.</w:t>
            </w:r>
          </w:p>
        </w:tc>
        <w:tc>
          <w:tcPr>
            <w:tcW w:w="3153" w:type="dxa"/>
            <w:tcBorders>
              <w:top w:val="single" w:sz="4" w:space="0" w:color="auto"/>
              <w:left w:val="single" w:sz="4" w:space="0" w:color="auto"/>
              <w:bottom w:val="single" w:sz="4" w:space="0" w:color="auto"/>
              <w:right w:val="single" w:sz="4" w:space="0" w:color="auto"/>
            </w:tcBorders>
          </w:tcPr>
          <w:p w14:paraId="3A3C0186" w14:textId="5239E1CB" w:rsidR="008F7508" w:rsidRPr="003E76E7" w:rsidRDefault="008F7508" w:rsidP="00C4292D">
            <w:pPr>
              <w:tabs>
                <w:tab w:val="left" w:pos="709"/>
              </w:tabs>
              <w:spacing w:before="60" w:after="60"/>
              <w:rPr>
                <w:rFonts w:ascii="Arial" w:hAnsi="Arial"/>
                <w:sz w:val="16"/>
                <w:szCs w:val="16"/>
                <w:lang w:val="en-AU"/>
              </w:rPr>
            </w:pPr>
            <w:r w:rsidRPr="003E76E7">
              <w:rPr>
                <w:rFonts w:ascii="Arial" w:hAnsi="Arial"/>
                <w:sz w:val="16"/>
                <w:szCs w:val="16"/>
                <w:lang w:val="en-AU"/>
              </w:rPr>
              <w:t xml:space="preserve">At least 75 per cent of eligible full-time ADF members and their families are registered with the ADF Family Health Program, </w:t>
            </w:r>
            <w:r w:rsidR="00D90B88" w:rsidRPr="003E76E7">
              <w:rPr>
                <w:rFonts w:ascii="Arial" w:hAnsi="Arial"/>
                <w:sz w:val="16"/>
                <w:szCs w:val="16"/>
                <w:lang w:val="en-AU"/>
              </w:rPr>
              <w:br/>
            </w:r>
            <w:r w:rsidRPr="003E76E7">
              <w:rPr>
                <w:rFonts w:ascii="Arial" w:hAnsi="Arial"/>
                <w:sz w:val="16"/>
                <w:szCs w:val="16"/>
                <w:lang w:val="en-AU"/>
              </w:rPr>
              <w:t xml:space="preserve">100 per cent of the support services of the Partner Assistance Employment Program, Education Assistance Scheme, and Special Accommodation for Emergencies Scheme are provided to full-time ADF and their families in accordance with identified service delivery timeframes, there is an increase in the percentage of Defence suicide prevention training participants who assess that the training is practical, tailored and informed by lived experience, and 100 per cent of Defence-led, Government-agreed recommendations from the Royal Commission into Defence and Veteran Suicide Final Report are complete, or </w:t>
            </w:r>
            <w:r w:rsidR="00100F83" w:rsidRPr="003E76E7">
              <w:rPr>
                <w:rFonts w:ascii="Arial" w:hAnsi="Arial"/>
                <w:sz w:val="16"/>
                <w:szCs w:val="16"/>
                <w:lang w:val="en-AU"/>
              </w:rPr>
              <w:br/>
            </w:r>
            <w:r w:rsidRPr="003E76E7">
              <w:rPr>
                <w:rFonts w:ascii="Arial" w:hAnsi="Arial"/>
                <w:sz w:val="16"/>
                <w:szCs w:val="16"/>
                <w:lang w:val="en-AU"/>
              </w:rPr>
              <w:t>on-track.</w:t>
            </w:r>
          </w:p>
          <w:p w14:paraId="1E98886B" w14:textId="20C8A984" w:rsidR="008F7508" w:rsidRPr="003E76E7" w:rsidRDefault="008F7508" w:rsidP="00C4292D">
            <w:pPr>
              <w:tabs>
                <w:tab w:val="left" w:pos="709"/>
              </w:tabs>
              <w:spacing w:before="60" w:after="60"/>
              <w:jc w:val="right"/>
              <w:rPr>
                <w:rFonts w:ascii="Arial" w:hAnsi="Arial"/>
                <w:i/>
                <w:sz w:val="16"/>
                <w:szCs w:val="16"/>
                <w:lang w:val="en-AU"/>
              </w:rPr>
            </w:pPr>
            <w:r w:rsidRPr="003E76E7">
              <w:rPr>
                <w:rFonts w:ascii="Arial" w:hAnsi="Arial"/>
                <w:i/>
                <w:sz w:val="16"/>
                <w:szCs w:val="16"/>
                <w:lang w:val="en-AU"/>
              </w:rPr>
              <w:t>Expected to be substantially achieved.</w:t>
            </w:r>
          </w:p>
        </w:tc>
      </w:tr>
      <w:tr w:rsidR="008D3346" w:rsidRPr="003E76E7" w14:paraId="1BB9453E" w14:textId="77777777" w:rsidTr="00A211F5">
        <w:tblPrEx>
          <w:shd w:val="clear" w:color="auto" w:fill="auto"/>
          <w:tblLook w:val="04A0" w:firstRow="1" w:lastRow="0" w:firstColumn="1" w:lastColumn="0" w:noHBand="0" w:noVBand="1"/>
        </w:tblPrEx>
        <w:trPr>
          <w:trHeight w:val="258"/>
        </w:trPr>
        <w:tc>
          <w:tcPr>
            <w:tcW w:w="1779" w:type="dxa"/>
            <w:tcBorders>
              <w:top w:val="single" w:sz="4" w:space="0" w:color="auto"/>
              <w:bottom w:val="single" w:sz="4" w:space="0" w:color="auto"/>
              <w:right w:val="single" w:sz="4" w:space="0" w:color="auto"/>
            </w:tcBorders>
          </w:tcPr>
          <w:p w14:paraId="5568FBCD" w14:textId="77777777" w:rsidR="008D3346" w:rsidRPr="003E76E7" w:rsidRDefault="008D3346" w:rsidP="00C4292D">
            <w:pPr>
              <w:tabs>
                <w:tab w:val="left" w:pos="709"/>
              </w:tabs>
              <w:spacing w:before="60" w:after="60"/>
              <w:rPr>
                <w:rFonts w:ascii="Arial" w:hAnsi="Arial"/>
                <w:b/>
                <w:color w:val="000000"/>
                <w:sz w:val="16"/>
                <w:szCs w:val="16"/>
              </w:rPr>
            </w:pPr>
            <w:r w:rsidRPr="003E76E7">
              <w:rPr>
                <w:rFonts w:ascii="Arial" w:hAnsi="Arial"/>
                <w:b/>
                <w:color w:val="000000"/>
                <w:sz w:val="16"/>
                <w:szCs w:val="16"/>
              </w:rPr>
              <w:t>Year</w:t>
            </w:r>
          </w:p>
        </w:tc>
        <w:tc>
          <w:tcPr>
            <w:tcW w:w="2865" w:type="dxa"/>
            <w:tcBorders>
              <w:top w:val="single" w:sz="4" w:space="0" w:color="auto"/>
              <w:left w:val="single" w:sz="4" w:space="0" w:color="auto"/>
              <w:bottom w:val="single" w:sz="4" w:space="0" w:color="auto"/>
              <w:right w:val="single" w:sz="4" w:space="0" w:color="auto"/>
            </w:tcBorders>
          </w:tcPr>
          <w:p w14:paraId="3790CA87" w14:textId="45615B1F" w:rsidR="008D3346" w:rsidRPr="003E76E7" w:rsidRDefault="00AD14EC" w:rsidP="00C4292D">
            <w:pPr>
              <w:tabs>
                <w:tab w:val="left" w:pos="709"/>
                <w:tab w:val="center" w:pos="1818"/>
              </w:tabs>
              <w:spacing w:before="60" w:after="60"/>
              <w:rPr>
                <w:rFonts w:ascii="Arial" w:hAnsi="Arial"/>
                <w:b/>
                <w:color w:val="000000"/>
                <w:sz w:val="16"/>
                <w:szCs w:val="16"/>
              </w:rPr>
            </w:pPr>
            <w:r w:rsidRPr="003E76E7">
              <w:rPr>
                <w:rFonts w:ascii="Arial" w:hAnsi="Arial"/>
                <w:b/>
                <w:color w:val="000000"/>
                <w:sz w:val="16"/>
                <w:szCs w:val="16"/>
              </w:rPr>
              <w:t>Performance Measures</w:t>
            </w:r>
          </w:p>
        </w:tc>
        <w:tc>
          <w:tcPr>
            <w:tcW w:w="3153" w:type="dxa"/>
            <w:tcBorders>
              <w:top w:val="single" w:sz="4" w:space="0" w:color="auto"/>
              <w:left w:val="single" w:sz="4" w:space="0" w:color="auto"/>
              <w:bottom w:val="single" w:sz="4" w:space="0" w:color="auto"/>
            </w:tcBorders>
          </w:tcPr>
          <w:p w14:paraId="48B67BD4" w14:textId="77777777" w:rsidR="008D3346" w:rsidRPr="003E76E7" w:rsidRDefault="008D3346" w:rsidP="00C4292D">
            <w:pPr>
              <w:tabs>
                <w:tab w:val="left" w:pos="709"/>
              </w:tabs>
              <w:spacing w:before="60" w:after="60"/>
              <w:rPr>
                <w:rFonts w:ascii="Arial" w:hAnsi="Arial"/>
                <w:b/>
                <w:color w:val="000000"/>
                <w:sz w:val="16"/>
                <w:szCs w:val="16"/>
              </w:rPr>
            </w:pPr>
            <w:r w:rsidRPr="003E76E7">
              <w:rPr>
                <w:rFonts w:ascii="Arial" w:hAnsi="Arial"/>
                <w:b/>
                <w:color w:val="000000"/>
                <w:sz w:val="16"/>
                <w:szCs w:val="16"/>
              </w:rPr>
              <w:t>Planned Performance Results</w:t>
            </w:r>
          </w:p>
        </w:tc>
      </w:tr>
      <w:tr w:rsidR="008F7508" w:rsidRPr="003E76E7" w14:paraId="1CFFCE83" w14:textId="77777777" w:rsidTr="00A211F5">
        <w:trPr>
          <w:trHeight w:val="543"/>
        </w:trPr>
        <w:tc>
          <w:tcPr>
            <w:tcW w:w="1779" w:type="dxa"/>
            <w:vMerge w:val="restart"/>
            <w:tcBorders>
              <w:top w:val="single" w:sz="4" w:space="0" w:color="auto"/>
              <w:right w:val="single" w:sz="4" w:space="0" w:color="auto"/>
            </w:tcBorders>
          </w:tcPr>
          <w:p w14:paraId="2DA20B1B" w14:textId="77777777" w:rsidR="008F7508" w:rsidRPr="003E76E7" w:rsidRDefault="008F7508" w:rsidP="00C4292D">
            <w:pPr>
              <w:tabs>
                <w:tab w:val="left" w:pos="709"/>
              </w:tabs>
              <w:spacing w:before="0" w:after="0"/>
              <w:rPr>
                <w:rFonts w:ascii="Arial" w:hAnsi="Arial"/>
                <w:color w:val="000000"/>
                <w:sz w:val="16"/>
                <w:szCs w:val="16"/>
              </w:rPr>
            </w:pPr>
            <w:r w:rsidRPr="003E76E7">
              <w:rPr>
                <w:rFonts w:ascii="Arial" w:hAnsi="Arial"/>
                <w:color w:val="000000"/>
                <w:sz w:val="16"/>
                <w:szCs w:val="16"/>
              </w:rPr>
              <w:t>Budget Year</w:t>
            </w:r>
          </w:p>
          <w:p w14:paraId="3C90CB66" w14:textId="20142855" w:rsidR="008F7508" w:rsidRPr="003E76E7" w:rsidRDefault="008F7508" w:rsidP="00C4292D">
            <w:pPr>
              <w:tabs>
                <w:tab w:val="left" w:pos="709"/>
              </w:tabs>
              <w:spacing w:before="0" w:after="0"/>
              <w:rPr>
                <w:rFonts w:ascii="Arial" w:hAnsi="Arial"/>
                <w:color w:val="000000"/>
                <w:sz w:val="16"/>
                <w:szCs w:val="16"/>
              </w:rPr>
            </w:pPr>
            <w:r w:rsidRPr="003E76E7">
              <w:rPr>
                <w:rFonts w:ascii="Arial" w:hAnsi="Arial"/>
                <w:color w:val="000000"/>
                <w:sz w:val="16"/>
                <w:szCs w:val="16"/>
              </w:rPr>
              <w:t xml:space="preserve">2026-27 </w:t>
            </w:r>
            <w:r w:rsidRPr="003E76E7">
              <w:rPr>
                <w:rFonts w:ascii="Arial" w:hAnsi="Arial"/>
                <w:color w:val="000000"/>
                <w:sz w:val="16"/>
                <w:szCs w:val="16"/>
                <w:vertAlign w:val="superscript"/>
              </w:rPr>
              <w:t>[</w:t>
            </w:r>
            <w:r w:rsidR="00C4447C" w:rsidRPr="003E76E7">
              <w:rPr>
                <w:rFonts w:ascii="Arial" w:hAnsi="Arial"/>
                <w:color w:val="000000"/>
                <w:sz w:val="16"/>
                <w:szCs w:val="16"/>
                <w:vertAlign w:val="superscript"/>
              </w:rPr>
              <w:t>b</w:t>
            </w:r>
            <w:r w:rsidRPr="003E76E7">
              <w:rPr>
                <w:rFonts w:ascii="Arial" w:hAnsi="Arial"/>
                <w:color w:val="000000"/>
                <w:sz w:val="16"/>
                <w:szCs w:val="16"/>
                <w:vertAlign w:val="superscript"/>
              </w:rPr>
              <w:t>]</w:t>
            </w:r>
          </w:p>
        </w:tc>
        <w:tc>
          <w:tcPr>
            <w:tcW w:w="2865" w:type="dxa"/>
            <w:tcBorders>
              <w:top w:val="single" w:sz="4" w:space="0" w:color="auto"/>
              <w:left w:val="single" w:sz="4" w:space="0" w:color="auto"/>
              <w:bottom w:val="single" w:sz="4" w:space="0" w:color="auto"/>
              <w:right w:val="single" w:sz="4" w:space="0" w:color="auto"/>
            </w:tcBorders>
          </w:tcPr>
          <w:p w14:paraId="19D7D190" w14:textId="0A872C4B" w:rsidR="008F7508" w:rsidRPr="003E76E7" w:rsidRDefault="008F7508" w:rsidP="00C4292D">
            <w:pPr>
              <w:tabs>
                <w:tab w:val="left" w:pos="709"/>
              </w:tabs>
              <w:spacing w:before="60" w:after="60"/>
              <w:rPr>
                <w:rFonts w:ascii="Arial" w:hAnsi="Arial"/>
                <w:sz w:val="16"/>
                <w:szCs w:val="16"/>
                <w:lang w:val="en-AU"/>
              </w:rPr>
            </w:pPr>
            <w:r w:rsidRPr="003E76E7">
              <w:rPr>
                <w:rFonts w:ascii="Arial" w:hAnsi="Arial"/>
                <w:sz w:val="16"/>
                <w:szCs w:val="16"/>
                <w:lang w:val="en-AU"/>
              </w:rPr>
              <w:t>4.1: Defence recruits and retains an ADF and APS workforce to support the Defence mission.</w:t>
            </w:r>
          </w:p>
        </w:tc>
        <w:tc>
          <w:tcPr>
            <w:tcW w:w="3153" w:type="dxa"/>
            <w:tcBorders>
              <w:top w:val="single" w:sz="4" w:space="0" w:color="auto"/>
              <w:left w:val="single" w:sz="4" w:space="0" w:color="auto"/>
              <w:bottom w:val="single" w:sz="4" w:space="0" w:color="auto"/>
            </w:tcBorders>
          </w:tcPr>
          <w:p w14:paraId="078F3C0F" w14:textId="0BED6DEE" w:rsidR="008F7508" w:rsidRPr="003E76E7" w:rsidRDefault="008F7508" w:rsidP="00C4292D">
            <w:pPr>
              <w:tabs>
                <w:tab w:val="left" w:pos="709"/>
              </w:tabs>
              <w:spacing w:before="60" w:after="60"/>
              <w:rPr>
                <w:rFonts w:ascii="Arial" w:hAnsi="Arial"/>
                <w:sz w:val="16"/>
                <w:szCs w:val="16"/>
                <w:lang w:val="en-AU"/>
              </w:rPr>
            </w:pPr>
            <w:r w:rsidRPr="003E76E7">
              <w:rPr>
                <w:rFonts w:ascii="Arial" w:hAnsi="Arial"/>
                <w:sz w:val="16"/>
                <w:szCs w:val="16"/>
              </w:rPr>
              <w:t xml:space="preserve">Defence achieves the ADF and APS Budgeted Workforce Requirement as set out in the Portfolio Budget Statements and the net flow of the ADF and APS workforce over a 12 month period is trending positive and is positioning Defence to achieve the Budgeted Workforce Requirement over the </w:t>
            </w:r>
            <w:r w:rsidR="00D34381" w:rsidRPr="003E76E7">
              <w:rPr>
                <w:rFonts w:ascii="Arial" w:hAnsi="Arial"/>
                <w:sz w:val="16"/>
                <w:szCs w:val="16"/>
              </w:rPr>
              <w:t>F</w:t>
            </w:r>
            <w:r w:rsidRPr="003E76E7">
              <w:rPr>
                <w:rFonts w:ascii="Arial" w:hAnsi="Arial"/>
                <w:sz w:val="16"/>
                <w:szCs w:val="16"/>
              </w:rPr>
              <w:t xml:space="preserve">orward </w:t>
            </w:r>
            <w:r w:rsidR="00D34381" w:rsidRPr="003E76E7">
              <w:rPr>
                <w:rFonts w:ascii="Arial" w:hAnsi="Arial"/>
                <w:sz w:val="16"/>
                <w:szCs w:val="16"/>
              </w:rPr>
              <w:t>E</w:t>
            </w:r>
            <w:r w:rsidRPr="003E76E7">
              <w:rPr>
                <w:rFonts w:ascii="Arial" w:hAnsi="Arial"/>
                <w:sz w:val="16"/>
                <w:szCs w:val="16"/>
              </w:rPr>
              <w:t>stimates.</w:t>
            </w:r>
          </w:p>
        </w:tc>
      </w:tr>
      <w:tr w:rsidR="008F7508" w:rsidRPr="003E76E7" w14:paraId="3C2AC4E5" w14:textId="77777777" w:rsidTr="00A211F5">
        <w:trPr>
          <w:trHeight w:val="693"/>
        </w:trPr>
        <w:tc>
          <w:tcPr>
            <w:tcW w:w="1779" w:type="dxa"/>
            <w:vMerge/>
            <w:tcBorders>
              <w:right w:val="single" w:sz="4" w:space="0" w:color="auto"/>
            </w:tcBorders>
          </w:tcPr>
          <w:p w14:paraId="0736975C" w14:textId="26C99EE0" w:rsidR="008F7508" w:rsidRPr="003E76E7" w:rsidRDefault="008F7508" w:rsidP="00C4292D">
            <w:pPr>
              <w:tabs>
                <w:tab w:val="left" w:pos="709"/>
              </w:tabs>
              <w:spacing w:before="0" w:after="0"/>
              <w:rPr>
                <w:rFonts w:ascii="Arial" w:hAnsi="Arial"/>
                <w:b/>
                <w:color w:val="000000"/>
                <w:sz w:val="16"/>
                <w:szCs w:val="16"/>
              </w:rPr>
            </w:pPr>
          </w:p>
        </w:tc>
        <w:tc>
          <w:tcPr>
            <w:tcW w:w="2865" w:type="dxa"/>
            <w:tcBorders>
              <w:top w:val="single" w:sz="4" w:space="0" w:color="auto"/>
              <w:left w:val="single" w:sz="4" w:space="0" w:color="auto"/>
              <w:bottom w:val="single" w:sz="4" w:space="0" w:color="auto"/>
              <w:right w:val="single" w:sz="4" w:space="0" w:color="auto"/>
            </w:tcBorders>
          </w:tcPr>
          <w:p w14:paraId="54594E02" w14:textId="61C82185" w:rsidR="008F7508" w:rsidRPr="003E76E7" w:rsidRDefault="008F7508" w:rsidP="00C4292D">
            <w:pPr>
              <w:tabs>
                <w:tab w:val="left" w:pos="709"/>
                <w:tab w:val="center" w:pos="1818"/>
              </w:tabs>
              <w:spacing w:before="60" w:after="60"/>
              <w:rPr>
                <w:rFonts w:ascii="Arial" w:hAnsi="Arial"/>
                <w:b/>
                <w:color w:val="000000"/>
                <w:sz w:val="16"/>
                <w:szCs w:val="16"/>
              </w:rPr>
            </w:pPr>
            <w:r w:rsidRPr="003E76E7">
              <w:rPr>
                <w:rFonts w:ascii="Arial" w:hAnsi="Arial"/>
                <w:sz w:val="16"/>
                <w:szCs w:val="16"/>
                <w:lang w:val="en-AU"/>
              </w:rPr>
              <w:t>4.2: Defence grows the necessary skills and capabilities to enable the Defence mission.</w:t>
            </w:r>
          </w:p>
        </w:tc>
        <w:tc>
          <w:tcPr>
            <w:tcW w:w="3153" w:type="dxa"/>
            <w:tcBorders>
              <w:top w:val="single" w:sz="4" w:space="0" w:color="auto"/>
              <w:left w:val="single" w:sz="4" w:space="0" w:color="auto"/>
              <w:bottom w:val="single" w:sz="4" w:space="0" w:color="auto"/>
            </w:tcBorders>
          </w:tcPr>
          <w:p w14:paraId="0112754D" w14:textId="55BAC9A6" w:rsidR="008F7508" w:rsidRPr="003E76E7" w:rsidRDefault="008F7508" w:rsidP="00C4292D">
            <w:pPr>
              <w:tabs>
                <w:tab w:val="left" w:pos="709"/>
              </w:tabs>
              <w:spacing w:before="60" w:after="60"/>
              <w:rPr>
                <w:rFonts w:ascii="Arial" w:hAnsi="Arial"/>
                <w:b/>
                <w:color w:val="000000"/>
                <w:sz w:val="16"/>
                <w:szCs w:val="16"/>
              </w:rPr>
            </w:pPr>
            <w:r w:rsidRPr="003E76E7">
              <w:rPr>
                <w:rFonts w:ascii="Arial" w:hAnsi="Arial"/>
                <w:sz w:val="16"/>
                <w:szCs w:val="16"/>
                <w:lang w:val="en-AU"/>
              </w:rPr>
              <w:t>The Defence workforce has the technical skills required to deliver the National Defence Strategy, as measured through achieving a full workforce against each of the ADF and APS Strategic Workforce Segments, the net flow of the ADF and APS Strategic Workforce Segments over the financial year, measured against the Budgeted Workforce Requirement, will enable Defence to achieve its future technical skill requirements, and the Australian Submarine Agency are staffed with the required ADF personnel to deliver the Nuclear-Powered Submarine Program.</w:t>
            </w:r>
          </w:p>
        </w:tc>
      </w:tr>
      <w:tr w:rsidR="008F7508" w:rsidRPr="003E76E7" w14:paraId="6C6CAF01" w14:textId="77777777" w:rsidTr="00A211F5">
        <w:trPr>
          <w:trHeight w:val="649"/>
        </w:trPr>
        <w:tc>
          <w:tcPr>
            <w:tcW w:w="1779" w:type="dxa"/>
            <w:vMerge/>
            <w:tcBorders>
              <w:right w:val="single" w:sz="4" w:space="0" w:color="auto"/>
            </w:tcBorders>
          </w:tcPr>
          <w:p w14:paraId="2533E253" w14:textId="321398FE" w:rsidR="008F7508" w:rsidRPr="003E76E7" w:rsidRDefault="008F7508" w:rsidP="00C4292D">
            <w:pPr>
              <w:tabs>
                <w:tab w:val="left" w:pos="709"/>
              </w:tabs>
              <w:spacing w:before="0" w:after="0"/>
              <w:rPr>
                <w:rFonts w:ascii="Arial" w:hAnsi="Arial"/>
                <w:color w:val="000000"/>
                <w:sz w:val="16"/>
                <w:szCs w:val="16"/>
              </w:rPr>
            </w:pPr>
          </w:p>
        </w:tc>
        <w:tc>
          <w:tcPr>
            <w:tcW w:w="2865" w:type="dxa"/>
            <w:tcBorders>
              <w:top w:val="single" w:sz="4" w:space="0" w:color="auto"/>
              <w:left w:val="single" w:sz="4" w:space="0" w:color="auto"/>
              <w:bottom w:val="single" w:sz="4" w:space="0" w:color="auto"/>
              <w:right w:val="single" w:sz="4" w:space="0" w:color="auto"/>
            </w:tcBorders>
          </w:tcPr>
          <w:p w14:paraId="527E44AC" w14:textId="79D6D971" w:rsidR="008F7508" w:rsidRPr="003E76E7" w:rsidRDefault="008F7508" w:rsidP="00C4292D">
            <w:pPr>
              <w:tabs>
                <w:tab w:val="left" w:pos="709"/>
              </w:tabs>
              <w:spacing w:before="60" w:after="60"/>
              <w:rPr>
                <w:rFonts w:ascii="Arial" w:hAnsi="Arial"/>
                <w:sz w:val="16"/>
                <w:szCs w:val="16"/>
                <w:lang w:val="en-AU"/>
              </w:rPr>
            </w:pPr>
            <w:r w:rsidRPr="003E76E7">
              <w:rPr>
                <w:rFonts w:ascii="Arial" w:hAnsi="Arial"/>
                <w:sz w:val="16"/>
                <w:szCs w:val="16"/>
                <w:lang w:val="en-AU"/>
              </w:rPr>
              <w:t>4.3: The Defence values and behaviours enable our people to deliver against the Defence mission.</w:t>
            </w:r>
          </w:p>
        </w:tc>
        <w:tc>
          <w:tcPr>
            <w:tcW w:w="3153" w:type="dxa"/>
            <w:tcBorders>
              <w:top w:val="single" w:sz="4" w:space="0" w:color="auto"/>
              <w:left w:val="single" w:sz="4" w:space="0" w:color="auto"/>
              <w:bottom w:val="single" w:sz="4" w:space="0" w:color="auto"/>
            </w:tcBorders>
          </w:tcPr>
          <w:p w14:paraId="511D4F01" w14:textId="18BA25C8" w:rsidR="008F7508" w:rsidRPr="003E76E7" w:rsidRDefault="008F7508" w:rsidP="00C4292D">
            <w:pPr>
              <w:tabs>
                <w:tab w:val="left" w:pos="709"/>
              </w:tabs>
              <w:spacing w:before="60" w:after="60"/>
              <w:rPr>
                <w:rFonts w:ascii="Arial" w:hAnsi="Arial"/>
                <w:sz w:val="16"/>
                <w:szCs w:val="16"/>
                <w:lang w:val="en-AU"/>
              </w:rPr>
            </w:pPr>
            <w:r w:rsidRPr="003E76E7">
              <w:rPr>
                <w:rFonts w:ascii="Arial" w:hAnsi="Arial"/>
                <w:sz w:val="16"/>
                <w:szCs w:val="16"/>
              </w:rPr>
              <w:t xml:space="preserve">All ADF and Defence APS personnel believe appropriate action will be taken if they report an incident of unacceptable behaviour in the preceding 12 months, no ADF and Defence APS personnel have experienced unacceptable behaviour in the preceding </w:t>
            </w:r>
            <w:r w:rsidR="00100F83" w:rsidRPr="003E76E7">
              <w:rPr>
                <w:rFonts w:ascii="Arial" w:hAnsi="Arial"/>
                <w:sz w:val="16"/>
                <w:szCs w:val="16"/>
              </w:rPr>
              <w:br/>
            </w:r>
            <w:r w:rsidRPr="003E76E7">
              <w:rPr>
                <w:rFonts w:ascii="Arial" w:hAnsi="Arial"/>
                <w:sz w:val="16"/>
                <w:szCs w:val="16"/>
              </w:rPr>
              <w:t>12 months, and all ADF and Defence APS personnel view that Defence values are being used in their work area.</w:t>
            </w:r>
          </w:p>
        </w:tc>
      </w:tr>
    </w:tbl>
    <w:p w14:paraId="4CBB786F" w14:textId="77777777" w:rsidR="003C250B" w:rsidRPr="003E76E7" w:rsidRDefault="003C250B" w:rsidP="00C4292D">
      <w:r w:rsidRPr="003E76E7">
        <w:br w:type="page"/>
      </w:r>
    </w:p>
    <w:tbl>
      <w:tblPr>
        <w:tblW w:w="4896"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1"/>
        <w:gridCol w:w="3124"/>
        <w:gridCol w:w="3438"/>
      </w:tblGrid>
      <w:tr w:rsidR="003C250B" w:rsidRPr="003E76E7" w14:paraId="4889A6D7" w14:textId="77777777" w:rsidTr="00A211F5">
        <w:trPr>
          <w:trHeight w:val="279"/>
        </w:trPr>
        <w:tc>
          <w:tcPr>
            <w:tcW w:w="1661" w:type="dxa"/>
            <w:tcBorders>
              <w:bottom w:val="single" w:sz="4" w:space="0" w:color="auto"/>
              <w:right w:val="single" w:sz="4" w:space="0" w:color="auto"/>
            </w:tcBorders>
            <w:vAlign w:val="center"/>
          </w:tcPr>
          <w:p w14:paraId="549DF250" w14:textId="54ABE704" w:rsidR="003C250B" w:rsidRPr="003E76E7" w:rsidRDefault="003C250B" w:rsidP="00C4292D">
            <w:pPr>
              <w:tabs>
                <w:tab w:val="left" w:pos="709"/>
              </w:tabs>
              <w:spacing w:before="0" w:after="0"/>
              <w:rPr>
                <w:rFonts w:ascii="Arial" w:hAnsi="Arial"/>
                <w:color w:val="000000"/>
                <w:sz w:val="16"/>
                <w:szCs w:val="16"/>
              </w:rPr>
            </w:pPr>
            <w:r w:rsidRPr="003E76E7">
              <w:rPr>
                <w:rFonts w:ascii="Arial" w:hAnsi="Arial"/>
                <w:b/>
                <w:color w:val="000000"/>
                <w:sz w:val="16"/>
                <w:szCs w:val="16"/>
              </w:rPr>
              <w:lastRenderedPageBreak/>
              <w:t>Year</w:t>
            </w:r>
          </w:p>
        </w:tc>
        <w:tc>
          <w:tcPr>
            <w:tcW w:w="2865" w:type="dxa"/>
            <w:tcBorders>
              <w:top w:val="single" w:sz="4" w:space="0" w:color="auto"/>
              <w:left w:val="single" w:sz="4" w:space="0" w:color="auto"/>
              <w:bottom w:val="single" w:sz="4" w:space="0" w:color="auto"/>
              <w:right w:val="single" w:sz="4" w:space="0" w:color="auto"/>
            </w:tcBorders>
            <w:vAlign w:val="center"/>
          </w:tcPr>
          <w:p w14:paraId="4A65C28D" w14:textId="36A69E05" w:rsidR="003C250B" w:rsidRPr="003E76E7" w:rsidRDefault="00AD14EC" w:rsidP="00C4292D">
            <w:pPr>
              <w:tabs>
                <w:tab w:val="left" w:pos="709"/>
              </w:tabs>
              <w:spacing w:before="60" w:after="60"/>
              <w:rPr>
                <w:rFonts w:ascii="Arial" w:hAnsi="Arial"/>
                <w:sz w:val="16"/>
                <w:szCs w:val="16"/>
                <w:lang w:val="en-AU"/>
              </w:rPr>
            </w:pPr>
            <w:r w:rsidRPr="003E76E7">
              <w:rPr>
                <w:rFonts w:ascii="Arial" w:hAnsi="Arial"/>
                <w:b/>
                <w:color w:val="000000"/>
                <w:sz w:val="16"/>
                <w:szCs w:val="16"/>
              </w:rPr>
              <w:t>Performance Measures</w:t>
            </w:r>
          </w:p>
        </w:tc>
        <w:tc>
          <w:tcPr>
            <w:tcW w:w="3153" w:type="dxa"/>
            <w:tcBorders>
              <w:top w:val="single" w:sz="4" w:space="0" w:color="auto"/>
              <w:left w:val="single" w:sz="4" w:space="0" w:color="auto"/>
              <w:bottom w:val="single" w:sz="4" w:space="0" w:color="auto"/>
            </w:tcBorders>
            <w:vAlign w:val="center"/>
          </w:tcPr>
          <w:p w14:paraId="3CE56CBF" w14:textId="2BF1F086" w:rsidR="003C250B" w:rsidRPr="003E76E7" w:rsidRDefault="003C250B" w:rsidP="00C4292D">
            <w:pPr>
              <w:tabs>
                <w:tab w:val="left" w:pos="709"/>
              </w:tabs>
              <w:spacing w:before="60" w:after="60"/>
              <w:rPr>
                <w:rFonts w:ascii="Arial" w:hAnsi="Arial"/>
                <w:sz w:val="16"/>
                <w:szCs w:val="16"/>
                <w:lang w:val="en-AU"/>
              </w:rPr>
            </w:pPr>
            <w:r w:rsidRPr="003E76E7">
              <w:rPr>
                <w:rFonts w:ascii="Arial" w:hAnsi="Arial"/>
                <w:b/>
                <w:color w:val="000000"/>
                <w:sz w:val="16"/>
                <w:szCs w:val="16"/>
              </w:rPr>
              <w:t>Planned Performance Results</w:t>
            </w:r>
          </w:p>
        </w:tc>
      </w:tr>
      <w:tr w:rsidR="008F7508" w:rsidRPr="003E76E7" w14:paraId="2B0A3F45" w14:textId="77777777" w:rsidTr="00A211F5">
        <w:trPr>
          <w:trHeight w:val="1126"/>
        </w:trPr>
        <w:tc>
          <w:tcPr>
            <w:tcW w:w="1661" w:type="dxa"/>
            <w:tcBorders>
              <w:bottom w:val="single" w:sz="4" w:space="0" w:color="auto"/>
              <w:right w:val="single" w:sz="4" w:space="0" w:color="auto"/>
            </w:tcBorders>
          </w:tcPr>
          <w:p w14:paraId="7971D89E" w14:textId="77777777" w:rsidR="00232C21" w:rsidRPr="003E76E7" w:rsidRDefault="00232C21" w:rsidP="00C4292D">
            <w:pPr>
              <w:tabs>
                <w:tab w:val="left" w:pos="709"/>
              </w:tabs>
              <w:spacing w:before="0" w:after="0"/>
              <w:rPr>
                <w:rFonts w:ascii="Arial" w:hAnsi="Arial"/>
                <w:color w:val="000000"/>
                <w:sz w:val="16"/>
                <w:szCs w:val="16"/>
              </w:rPr>
            </w:pPr>
            <w:r w:rsidRPr="003E76E7">
              <w:rPr>
                <w:rFonts w:ascii="Arial" w:hAnsi="Arial"/>
                <w:color w:val="000000"/>
                <w:sz w:val="16"/>
                <w:szCs w:val="16"/>
              </w:rPr>
              <w:t>Budget Year</w:t>
            </w:r>
          </w:p>
          <w:p w14:paraId="2082AACF" w14:textId="405C1AF9" w:rsidR="008F7508" w:rsidRPr="003E76E7" w:rsidRDefault="00232C21" w:rsidP="00C4292D">
            <w:pPr>
              <w:tabs>
                <w:tab w:val="left" w:pos="709"/>
              </w:tabs>
              <w:spacing w:before="0" w:after="0"/>
              <w:rPr>
                <w:rFonts w:ascii="Arial" w:hAnsi="Arial"/>
                <w:color w:val="000000"/>
                <w:sz w:val="16"/>
                <w:szCs w:val="16"/>
              </w:rPr>
            </w:pPr>
            <w:r w:rsidRPr="003E76E7">
              <w:rPr>
                <w:rFonts w:ascii="Arial" w:hAnsi="Arial"/>
                <w:color w:val="000000"/>
                <w:sz w:val="16"/>
                <w:szCs w:val="16"/>
              </w:rPr>
              <w:t xml:space="preserve">2026-27 </w:t>
            </w:r>
            <w:r w:rsidRPr="003E76E7">
              <w:rPr>
                <w:rFonts w:ascii="Arial" w:hAnsi="Arial"/>
                <w:color w:val="000000"/>
                <w:sz w:val="16"/>
                <w:szCs w:val="16"/>
                <w:vertAlign w:val="superscript"/>
              </w:rPr>
              <w:t>[</w:t>
            </w:r>
            <w:r w:rsidR="00C4447C" w:rsidRPr="003E76E7">
              <w:rPr>
                <w:rFonts w:ascii="Arial" w:hAnsi="Arial"/>
                <w:color w:val="000000"/>
                <w:sz w:val="16"/>
                <w:szCs w:val="16"/>
                <w:vertAlign w:val="superscript"/>
              </w:rPr>
              <w:t>b</w:t>
            </w:r>
            <w:r w:rsidRPr="003E76E7">
              <w:rPr>
                <w:rFonts w:ascii="Arial" w:hAnsi="Arial"/>
                <w:color w:val="000000"/>
                <w:sz w:val="16"/>
                <w:szCs w:val="16"/>
                <w:vertAlign w:val="superscript"/>
              </w:rPr>
              <w:t>]</w:t>
            </w:r>
          </w:p>
        </w:tc>
        <w:tc>
          <w:tcPr>
            <w:tcW w:w="2865" w:type="dxa"/>
            <w:tcBorders>
              <w:top w:val="single" w:sz="4" w:space="0" w:color="auto"/>
              <w:left w:val="single" w:sz="4" w:space="0" w:color="auto"/>
              <w:bottom w:val="single" w:sz="4" w:space="0" w:color="auto"/>
              <w:right w:val="single" w:sz="4" w:space="0" w:color="auto"/>
            </w:tcBorders>
          </w:tcPr>
          <w:p w14:paraId="4FDF7AF9" w14:textId="12B521A0" w:rsidR="008F7508" w:rsidRPr="003E76E7" w:rsidRDefault="008F7508" w:rsidP="00C4292D">
            <w:pPr>
              <w:tabs>
                <w:tab w:val="left" w:pos="709"/>
              </w:tabs>
              <w:spacing w:before="60" w:after="60"/>
              <w:rPr>
                <w:rFonts w:ascii="Arial" w:hAnsi="Arial"/>
                <w:sz w:val="16"/>
                <w:szCs w:val="16"/>
                <w:lang w:val="en-AU"/>
              </w:rPr>
            </w:pPr>
            <w:r w:rsidRPr="003E76E7">
              <w:rPr>
                <w:rFonts w:ascii="Arial" w:hAnsi="Arial"/>
                <w:sz w:val="16"/>
                <w:szCs w:val="16"/>
                <w:lang w:val="en-AU"/>
              </w:rPr>
              <w:t>4.4: Defence supports ADF members and their families by providing access to support services and programs having regard to lifetime wellbeing.</w:t>
            </w:r>
          </w:p>
        </w:tc>
        <w:tc>
          <w:tcPr>
            <w:tcW w:w="3153" w:type="dxa"/>
            <w:tcBorders>
              <w:top w:val="single" w:sz="4" w:space="0" w:color="auto"/>
              <w:left w:val="single" w:sz="4" w:space="0" w:color="auto"/>
              <w:bottom w:val="single" w:sz="4" w:space="0" w:color="auto"/>
            </w:tcBorders>
          </w:tcPr>
          <w:p w14:paraId="4B7D9000" w14:textId="1FA90D6C" w:rsidR="008F7508" w:rsidRPr="003E76E7" w:rsidRDefault="008F7508" w:rsidP="00C4292D">
            <w:pPr>
              <w:tabs>
                <w:tab w:val="left" w:pos="709"/>
              </w:tabs>
              <w:spacing w:before="60" w:after="60"/>
              <w:rPr>
                <w:rFonts w:ascii="Arial" w:hAnsi="Arial"/>
                <w:sz w:val="16"/>
                <w:szCs w:val="16"/>
                <w:lang w:val="en-AU"/>
              </w:rPr>
            </w:pPr>
            <w:r w:rsidRPr="003E76E7">
              <w:rPr>
                <w:rFonts w:ascii="Arial" w:hAnsi="Arial"/>
                <w:sz w:val="16"/>
                <w:szCs w:val="16"/>
                <w:lang w:val="en-AU"/>
              </w:rPr>
              <w:t xml:space="preserve">At least 75 per cent of eligible full-time ADF members and their families are registered with the ADF Family Health Program, </w:t>
            </w:r>
            <w:r w:rsidR="007859A7" w:rsidRPr="003E76E7">
              <w:rPr>
                <w:rFonts w:ascii="Arial" w:hAnsi="Arial"/>
                <w:sz w:val="16"/>
                <w:szCs w:val="16"/>
                <w:lang w:val="en-AU"/>
              </w:rPr>
              <w:br/>
            </w:r>
            <w:r w:rsidRPr="003E76E7">
              <w:rPr>
                <w:rFonts w:ascii="Arial" w:hAnsi="Arial"/>
                <w:sz w:val="16"/>
                <w:szCs w:val="16"/>
                <w:lang w:val="en-AU"/>
              </w:rPr>
              <w:t xml:space="preserve">100 per cent of the support services of the Partner Assistance Employment Program, Education Assistance Scheme, and Special Accommodation for Emergencies Scheme are provided to full-time ADF and their families in accordance with identified service delivery timeframes, there is an increase in the percentage of Defence suicide prevention training participants who assess that the training is practical, tailored and informed by lived experience, and 100 per cent of Defence-led, Government-agreed recommendations from the Royal Commission into Defence and Veteran Suicide Final Report are complete, or </w:t>
            </w:r>
            <w:r w:rsidR="00100F83" w:rsidRPr="003E76E7">
              <w:rPr>
                <w:rFonts w:ascii="Arial" w:hAnsi="Arial"/>
                <w:sz w:val="16"/>
                <w:szCs w:val="16"/>
                <w:lang w:val="en-AU"/>
              </w:rPr>
              <w:br/>
            </w:r>
            <w:r w:rsidRPr="003E76E7">
              <w:rPr>
                <w:rFonts w:ascii="Arial" w:hAnsi="Arial"/>
                <w:sz w:val="16"/>
                <w:szCs w:val="16"/>
                <w:lang w:val="en-AU"/>
              </w:rPr>
              <w:t>on-track.</w:t>
            </w:r>
          </w:p>
        </w:tc>
      </w:tr>
      <w:tr w:rsidR="003C250B" w:rsidRPr="003E76E7" w14:paraId="686E168A" w14:textId="77777777" w:rsidTr="00A211F5">
        <w:trPr>
          <w:trHeight w:val="60"/>
        </w:trPr>
        <w:tc>
          <w:tcPr>
            <w:tcW w:w="1661" w:type="dxa"/>
            <w:tcBorders>
              <w:bottom w:val="single" w:sz="4" w:space="0" w:color="auto"/>
              <w:right w:val="single" w:sz="4" w:space="0" w:color="auto"/>
            </w:tcBorders>
            <w:vAlign w:val="center"/>
          </w:tcPr>
          <w:p w14:paraId="7AD89622" w14:textId="7098070E" w:rsidR="003C250B" w:rsidRPr="003E76E7" w:rsidRDefault="003C250B" w:rsidP="00C4292D">
            <w:pPr>
              <w:tabs>
                <w:tab w:val="left" w:pos="709"/>
              </w:tabs>
              <w:spacing w:before="0" w:after="0"/>
              <w:rPr>
                <w:rFonts w:ascii="Arial" w:hAnsi="Arial"/>
                <w:color w:val="000000"/>
                <w:sz w:val="16"/>
                <w:szCs w:val="16"/>
              </w:rPr>
            </w:pPr>
            <w:r w:rsidRPr="003E76E7">
              <w:rPr>
                <w:rFonts w:ascii="Arial" w:hAnsi="Arial"/>
                <w:b/>
                <w:color w:val="000000"/>
                <w:sz w:val="16"/>
                <w:szCs w:val="16"/>
              </w:rPr>
              <w:t>Year</w:t>
            </w:r>
          </w:p>
        </w:tc>
        <w:tc>
          <w:tcPr>
            <w:tcW w:w="2865" w:type="dxa"/>
            <w:tcBorders>
              <w:top w:val="single" w:sz="4" w:space="0" w:color="auto"/>
              <w:left w:val="single" w:sz="4" w:space="0" w:color="auto"/>
              <w:bottom w:val="single" w:sz="4" w:space="0" w:color="auto"/>
              <w:right w:val="single" w:sz="4" w:space="0" w:color="auto"/>
            </w:tcBorders>
            <w:vAlign w:val="center"/>
          </w:tcPr>
          <w:p w14:paraId="62048744" w14:textId="7DC5BD85" w:rsidR="003C250B" w:rsidRPr="003E76E7" w:rsidRDefault="00AD14EC" w:rsidP="00C4292D">
            <w:pPr>
              <w:tabs>
                <w:tab w:val="left" w:pos="709"/>
              </w:tabs>
              <w:spacing w:before="60" w:after="60"/>
              <w:rPr>
                <w:rFonts w:ascii="Arial" w:hAnsi="Arial"/>
                <w:sz w:val="16"/>
                <w:szCs w:val="16"/>
                <w:lang w:val="en-AU"/>
              </w:rPr>
            </w:pPr>
            <w:r w:rsidRPr="003E76E7">
              <w:rPr>
                <w:rFonts w:ascii="Arial" w:hAnsi="Arial"/>
                <w:b/>
                <w:color w:val="000000"/>
                <w:sz w:val="16"/>
                <w:szCs w:val="16"/>
              </w:rPr>
              <w:t>Performance Measures</w:t>
            </w:r>
          </w:p>
        </w:tc>
        <w:tc>
          <w:tcPr>
            <w:tcW w:w="3153" w:type="dxa"/>
            <w:tcBorders>
              <w:top w:val="single" w:sz="4" w:space="0" w:color="auto"/>
              <w:left w:val="single" w:sz="4" w:space="0" w:color="auto"/>
              <w:bottom w:val="single" w:sz="4" w:space="0" w:color="auto"/>
            </w:tcBorders>
            <w:vAlign w:val="center"/>
          </w:tcPr>
          <w:p w14:paraId="62C631B7" w14:textId="0A8D7FBD" w:rsidR="003C250B" w:rsidRPr="003E76E7" w:rsidRDefault="003C250B" w:rsidP="00C4292D">
            <w:pPr>
              <w:tabs>
                <w:tab w:val="left" w:pos="709"/>
              </w:tabs>
              <w:spacing w:before="60" w:after="60"/>
              <w:rPr>
                <w:rFonts w:ascii="Arial" w:hAnsi="Arial"/>
                <w:sz w:val="16"/>
                <w:szCs w:val="16"/>
                <w:lang w:val="en-AU"/>
              </w:rPr>
            </w:pPr>
            <w:r w:rsidRPr="003E76E7">
              <w:rPr>
                <w:rFonts w:ascii="Arial" w:hAnsi="Arial"/>
                <w:b/>
                <w:color w:val="000000"/>
                <w:sz w:val="16"/>
                <w:szCs w:val="16"/>
              </w:rPr>
              <w:t>Expected Performance Results</w:t>
            </w:r>
          </w:p>
        </w:tc>
      </w:tr>
      <w:tr w:rsidR="003C250B" w:rsidRPr="003E76E7" w14:paraId="22D9D8CE" w14:textId="77777777" w:rsidTr="00A211F5">
        <w:trPr>
          <w:trHeight w:val="472"/>
        </w:trPr>
        <w:tc>
          <w:tcPr>
            <w:tcW w:w="1661" w:type="dxa"/>
            <w:tcBorders>
              <w:bottom w:val="single" w:sz="4" w:space="0" w:color="auto"/>
              <w:right w:val="single" w:sz="4" w:space="0" w:color="auto"/>
            </w:tcBorders>
            <w:vAlign w:val="center"/>
          </w:tcPr>
          <w:p w14:paraId="7A1E56EC" w14:textId="77777777" w:rsidR="003C250B" w:rsidRPr="003E76E7" w:rsidRDefault="003C250B" w:rsidP="00C4292D">
            <w:pPr>
              <w:tabs>
                <w:tab w:val="left" w:pos="709"/>
              </w:tabs>
              <w:spacing w:before="0" w:after="0"/>
              <w:rPr>
                <w:rFonts w:ascii="Arial" w:hAnsi="Arial"/>
                <w:color w:val="000000"/>
                <w:sz w:val="16"/>
                <w:szCs w:val="16"/>
              </w:rPr>
            </w:pPr>
            <w:r w:rsidRPr="003E76E7">
              <w:rPr>
                <w:rFonts w:ascii="Arial" w:hAnsi="Arial"/>
                <w:color w:val="000000"/>
                <w:sz w:val="16"/>
                <w:szCs w:val="16"/>
              </w:rPr>
              <w:t>Forward Estimates</w:t>
            </w:r>
          </w:p>
          <w:p w14:paraId="5810B521" w14:textId="78F992A4" w:rsidR="003C250B" w:rsidRPr="003E76E7" w:rsidRDefault="003C250B" w:rsidP="00C4292D">
            <w:pPr>
              <w:tabs>
                <w:tab w:val="left" w:pos="709"/>
              </w:tabs>
              <w:spacing w:before="0" w:after="0"/>
              <w:rPr>
                <w:rFonts w:ascii="Arial" w:hAnsi="Arial"/>
                <w:b/>
                <w:color w:val="000000"/>
                <w:sz w:val="16"/>
                <w:szCs w:val="16"/>
              </w:rPr>
            </w:pPr>
            <w:r w:rsidRPr="003E76E7">
              <w:rPr>
                <w:rFonts w:ascii="Arial" w:hAnsi="Arial"/>
                <w:color w:val="000000"/>
                <w:sz w:val="16"/>
                <w:szCs w:val="16"/>
              </w:rPr>
              <w:t>2027-30</w:t>
            </w:r>
          </w:p>
        </w:tc>
        <w:tc>
          <w:tcPr>
            <w:tcW w:w="2865" w:type="dxa"/>
            <w:tcBorders>
              <w:top w:val="single" w:sz="4" w:space="0" w:color="auto"/>
              <w:left w:val="single" w:sz="4" w:space="0" w:color="auto"/>
              <w:bottom w:val="single" w:sz="4" w:space="0" w:color="auto"/>
              <w:right w:val="single" w:sz="4" w:space="0" w:color="auto"/>
            </w:tcBorders>
            <w:vAlign w:val="center"/>
          </w:tcPr>
          <w:p w14:paraId="14019C44" w14:textId="197BA7F9" w:rsidR="003C250B" w:rsidRPr="003E76E7" w:rsidRDefault="003C250B" w:rsidP="00C4292D">
            <w:pPr>
              <w:tabs>
                <w:tab w:val="left" w:pos="709"/>
              </w:tabs>
              <w:spacing w:before="60" w:after="60"/>
              <w:rPr>
                <w:rFonts w:ascii="Arial" w:hAnsi="Arial"/>
                <w:b/>
                <w:color w:val="000000"/>
                <w:sz w:val="16"/>
                <w:szCs w:val="16"/>
              </w:rPr>
            </w:pPr>
            <w:r w:rsidRPr="003E76E7">
              <w:rPr>
                <w:rFonts w:ascii="Arial" w:hAnsi="Arial"/>
                <w:color w:val="000000"/>
                <w:sz w:val="16"/>
                <w:szCs w:val="16"/>
              </w:rPr>
              <w:t>As per 2026-27.</w:t>
            </w:r>
          </w:p>
        </w:tc>
        <w:tc>
          <w:tcPr>
            <w:tcW w:w="3153" w:type="dxa"/>
            <w:tcBorders>
              <w:top w:val="single" w:sz="4" w:space="0" w:color="auto"/>
              <w:left w:val="single" w:sz="4" w:space="0" w:color="auto"/>
              <w:bottom w:val="single" w:sz="4" w:space="0" w:color="auto"/>
            </w:tcBorders>
            <w:vAlign w:val="center"/>
          </w:tcPr>
          <w:p w14:paraId="1CD4980C" w14:textId="37E7C1D1" w:rsidR="003C250B" w:rsidRPr="003E76E7" w:rsidRDefault="003C250B" w:rsidP="00C4292D">
            <w:pPr>
              <w:tabs>
                <w:tab w:val="left" w:pos="709"/>
              </w:tabs>
              <w:spacing w:before="60" w:after="60"/>
              <w:rPr>
                <w:rFonts w:ascii="Arial" w:hAnsi="Arial"/>
                <w:b/>
                <w:color w:val="000000"/>
                <w:sz w:val="16"/>
                <w:szCs w:val="16"/>
              </w:rPr>
            </w:pPr>
            <w:r w:rsidRPr="003E76E7">
              <w:rPr>
                <w:rFonts w:ascii="Arial" w:hAnsi="Arial"/>
                <w:color w:val="000000"/>
                <w:sz w:val="16"/>
                <w:szCs w:val="16"/>
              </w:rPr>
              <w:t>As per 2026-27.</w:t>
            </w:r>
          </w:p>
        </w:tc>
      </w:tr>
      <w:tr w:rsidR="003C250B" w:rsidRPr="003E76E7" w14:paraId="63B755FE" w14:textId="77777777" w:rsidTr="00A211F5">
        <w:trPr>
          <w:trHeight w:val="60"/>
        </w:trPr>
        <w:tc>
          <w:tcPr>
            <w:tcW w:w="7679" w:type="dxa"/>
            <w:gridSpan w:val="3"/>
            <w:tcBorders>
              <w:bottom w:val="single" w:sz="4" w:space="0" w:color="auto"/>
            </w:tcBorders>
          </w:tcPr>
          <w:p w14:paraId="17744CE9" w14:textId="0F166ECA" w:rsidR="003C250B" w:rsidRPr="003E76E7" w:rsidRDefault="003C250B" w:rsidP="00C4292D">
            <w:pPr>
              <w:tabs>
                <w:tab w:val="left" w:pos="709"/>
              </w:tabs>
              <w:spacing w:before="60" w:after="60"/>
              <w:rPr>
                <w:rFonts w:ascii="Arial" w:hAnsi="Arial"/>
                <w:b/>
                <w:color w:val="000000"/>
                <w:sz w:val="16"/>
                <w:szCs w:val="16"/>
              </w:rPr>
            </w:pPr>
            <w:r w:rsidRPr="003E76E7">
              <w:rPr>
                <w:rFonts w:ascii="Arial" w:hAnsi="Arial"/>
                <w:color w:val="000000"/>
                <w:sz w:val="16"/>
                <w:szCs w:val="16"/>
              </w:rPr>
              <w:t>Material changes to Program 2.22 resulting from 2026-27 Budget Measures: Nil.</w:t>
            </w:r>
          </w:p>
        </w:tc>
      </w:tr>
    </w:tbl>
    <w:p w14:paraId="5F4436D1" w14:textId="77777777" w:rsidR="00F7100A" w:rsidRPr="003E76E7" w:rsidRDefault="00F7100A" w:rsidP="00C4292D">
      <w:pPr>
        <w:pStyle w:val="TableHeading"/>
        <w:spacing w:before="0" w:after="0"/>
        <w:rPr>
          <w:sz w:val="14"/>
          <w:szCs w:val="16"/>
        </w:rPr>
      </w:pPr>
    </w:p>
    <w:p w14:paraId="56F7DA9F" w14:textId="77777777" w:rsidR="00F7100A" w:rsidRPr="003E76E7" w:rsidRDefault="00F7100A" w:rsidP="00C4292D">
      <w:pPr>
        <w:pStyle w:val="TableHeading"/>
        <w:spacing w:before="0" w:after="0"/>
        <w:ind w:left="284" w:hanging="142"/>
        <w:rPr>
          <w:sz w:val="14"/>
          <w:szCs w:val="14"/>
        </w:rPr>
      </w:pPr>
      <w:r w:rsidRPr="003E76E7">
        <w:rPr>
          <w:sz w:val="14"/>
          <w:szCs w:val="14"/>
        </w:rPr>
        <w:t>Note</w:t>
      </w:r>
      <w:r w:rsidR="00AF08A6" w:rsidRPr="003E76E7">
        <w:rPr>
          <w:sz w:val="14"/>
          <w:szCs w:val="14"/>
        </w:rPr>
        <w:t>s</w:t>
      </w:r>
    </w:p>
    <w:p w14:paraId="2D125E74" w14:textId="5CB9EB0E" w:rsidR="00D90B88" w:rsidRPr="003E76E7" w:rsidRDefault="008F7508" w:rsidP="003E76E7">
      <w:pPr>
        <w:pStyle w:val="ListParagraph"/>
        <w:numPr>
          <w:ilvl w:val="0"/>
          <w:numId w:val="52"/>
        </w:numPr>
        <w:tabs>
          <w:tab w:val="left" w:pos="426"/>
        </w:tabs>
        <w:spacing w:before="0" w:after="0"/>
        <w:ind w:left="426" w:hanging="284"/>
        <w:rPr>
          <w:rFonts w:ascii="Arial" w:hAnsi="Arial"/>
          <w:sz w:val="14"/>
          <w:szCs w:val="14"/>
        </w:rPr>
      </w:pPr>
      <w:r w:rsidRPr="003E76E7">
        <w:rPr>
          <w:rFonts w:ascii="Arial" w:hAnsi="Arial"/>
          <w:sz w:val="14"/>
          <w:szCs w:val="14"/>
        </w:rPr>
        <w:t>Performance Measure 4.3</w:t>
      </w:r>
      <w:r w:rsidR="00145D38" w:rsidRPr="003E76E7">
        <w:rPr>
          <w:rFonts w:ascii="Arial" w:hAnsi="Arial"/>
          <w:sz w:val="14"/>
          <w:szCs w:val="14"/>
        </w:rPr>
        <w:t xml:space="preserve"> </w:t>
      </w:r>
      <w:r w:rsidRPr="003E76E7">
        <w:rPr>
          <w:rFonts w:ascii="Arial" w:hAnsi="Arial"/>
          <w:sz w:val="14"/>
          <w:szCs w:val="14"/>
        </w:rPr>
        <w:t xml:space="preserve">has been amended for 2025-26, as published in </w:t>
      </w:r>
      <w:r w:rsidRPr="003E76E7">
        <w:rPr>
          <w:rFonts w:ascii="Arial" w:hAnsi="Arial"/>
          <w:i/>
          <w:sz w:val="14"/>
          <w:szCs w:val="14"/>
        </w:rPr>
        <w:t>2025-29 Defence Corporate Plan.</w:t>
      </w:r>
    </w:p>
    <w:p w14:paraId="46C71B5A" w14:textId="77777777" w:rsidR="00100F83" w:rsidRPr="003E76E7" w:rsidRDefault="008F7508" w:rsidP="00C4292D">
      <w:pPr>
        <w:pStyle w:val="ListParagraph"/>
        <w:numPr>
          <w:ilvl w:val="0"/>
          <w:numId w:val="52"/>
        </w:numPr>
        <w:tabs>
          <w:tab w:val="left" w:pos="426"/>
        </w:tabs>
        <w:spacing w:before="0" w:after="0"/>
        <w:ind w:left="426" w:hanging="284"/>
        <w:rPr>
          <w:rFonts w:ascii="Arial" w:hAnsi="Arial"/>
          <w:sz w:val="14"/>
          <w:szCs w:val="14"/>
        </w:rPr>
      </w:pPr>
      <w:r w:rsidRPr="003E76E7">
        <w:rPr>
          <w:rFonts w:ascii="Arial" w:hAnsi="Arial"/>
          <w:sz w:val="14"/>
          <w:szCs w:val="14"/>
        </w:rPr>
        <w:t>In accordance with Defence’s Enterprise Performance Framework, Defence is undertaking materiality assessments that may result in updates to the 2026-27 performance information in the 2026-30 Defence Corporate Plan, if required.</w:t>
      </w:r>
    </w:p>
    <w:p w14:paraId="40E890E9" w14:textId="77777777" w:rsidR="00F0724F" w:rsidRPr="003E76E7" w:rsidRDefault="00F0724F" w:rsidP="00C4292D">
      <w:pPr>
        <w:pStyle w:val="TableHeading"/>
        <w:tabs>
          <w:tab w:val="left" w:pos="284"/>
        </w:tabs>
        <w:spacing w:before="0" w:after="0"/>
        <w:rPr>
          <w:sz w:val="14"/>
        </w:rPr>
      </w:pPr>
    </w:p>
    <w:p w14:paraId="0143CA34" w14:textId="0F000E62" w:rsidR="00F70553" w:rsidRPr="003E76E7" w:rsidRDefault="00F70553" w:rsidP="00C4292D">
      <w:pPr>
        <w:pStyle w:val="TableHeading"/>
        <w:numPr>
          <w:ilvl w:val="0"/>
          <w:numId w:val="61"/>
        </w:numPr>
        <w:spacing w:before="100"/>
        <w:ind w:left="0" w:firstLine="0"/>
        <w:outlineLvl w:val="4"/>
        <w:rPr>
          <w:lang w:val="en-AU"/>
        </w:rPr>
      </w:pPr>
      <w:r w:rsidRPr="003E76E7">
        <w:rPr>
          <w:lang w:val="en-AU"/>
        </w:rPr>
        <w:t>Cost Summary for Administered Program 2</w:t>
      </w:r>
      <w:r w:rsidR="005F39C7" w:rsidRPr="003E76E7">
        <w:rPr>
          <w:lang w:val="en-AU"/>
        </w:rPr>
        <w:t>.</w:t>
      </w:r>
      <w:r w:rsidR="00126610" w:rsidRPr="003E76E7">
        <w:rPr>
          <w:lang w:val="en-AU"/>
        </w:rPr>
        <w:t>22</w:t>
      </w:r>
      <w:r w:rsidR="005F39C7" w:rsidRPr="003E76E7">
        <w:rPr>
          <w:lang w:val="en-AU"/>
        </w:rPr>
        <w:t xml:space="preserve"> Housing Assistance</w:t>
      </w:r>
    </w:p>
    <w:p w14:paraId="20B0ED7B" w14:textId="2C36C06F" w:rsidR="00D3202A" w:rsidRPr="003E76E7" w:rsidRDefault="00616A60" w:rsidP="00C4292D">
      <w:pPr>
        <w:spacing w:after="0"/>
      </w:pPr>
      <w:r w:rsidRPr="003E76E7">
        <w:rPr>
          <w:noProof/>
          <w:lang w:val="en-AU"/>
        </w:rPr>
        <w:drawing>
          <wp:inline distT="0" distB="0" distL="0" distR="0" wp14:anchorId="762C963F" wp14:editId="7BFBFC5C">
            <wp:extent cx="5436235" cy="2244158"/>
            <wp:effectExtent l="0" t="0" r="0" b="3810"/>
            <wp:docPr id="8545" name="Picture 8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436235" cy="2244158"/>
                    </a:xfrm>
                    <a:prstGeom prst="rect">
                      <a:avLst/>
                    </a:prstGeom>
                    <a:noFill/>
                    <a:ln>
                      <a:noFill/>
                    </a:ln>
                  </pic:spPr>
                </pic:pic>
              </a:graphicData>
            </a:graphic>
          </wp:inline>
        </w:drawing>
      </w:r>
    </w:p>
    <w:p w14:paraId="3E935131" w14:textId="77777777" w:rsidR="00C11436" w:rsidRPr="003E76E7" w:rsidRDefault="00C11436" w:rsidP="00C4292D">
      <w:pPr>
        <w:spacing w:before="0" w:after="0"/>
        <w:rPr>
          <w:rFonts w:ascii="Arial" w:hAnsi="Arial"/>
          <w:b/>
          <w:sz w:val="14"/>
          <w:szCs w:val="14"/>
          <w:lang w:val="en-AU"/>
        </w:rPr>
      </w:pPr>
    </w:p>
    <w:p w14:paraId="349E8B0C" w14:textId="77777777" w:rsidR="000D2EB8" w:rsidRPr="003E76E7" w:rsidRDefault="000D2EB8" w:rsidP="00C4292D">
      <w:pPr>
        <w:spacing w:before="0" w:after="0"/>
        <w:rPr>
          <w:rFonts w:ascii="Arial" w:hAnsi="Arial"/>
          <w:b/>
          <w:sz w:val="14"/>
          <w:szCs w:val="14"/>
          <w:lang w:val="en-AU"/>
        </w:rPr>
      </w:pPr>
      <w:r w:rsidRPr="003E76E7">
        <w:rPr>
          <w:rFonts w:ascii="Arial" w:hAnsi="Arial"/>
          <w:b/>
          <w:sz w:val="14"/>
          <w:szCs w:val="14"/>
          <w:lang w:val="en-AU"/>
        </w:rPr>
        <w:t>Notes</w:t>
      </w:r>
    </w:p>
    <w:p w14:paraId="75EA4CC6" w14:textId="2E9EF6A3" w:rsidR="006D118C" w:rsidRPr="003E76E7" w:rsidRDefault="006D118C" w:rsidP="00C4292D">
      <w:pPr>
        <w:pStyle w:val="ListParagraph"/>
        <w:numPr>
          <w:ilvl w:val="0"/>
          <w:numId w:val="123"/>
        </w:numPr>
        <w:spacing w:before="0" w:after="0"/>
        <w:ind w:left="284" w:hanging="284"/>
        <w:rPr>
          <w:rFonts w:ascii="Arial" w:hAnsi="Arial"/>
          <w:sz w:val="14"/>
          <w:szCs w:val="14"/>
          <w:lang w:val="en-AU"/>
        </w:rPr>
      </w:pPr>
      <w:r w:rsidRPr="003E76E7">
        <w:rPr>
          <w:rFonts w:ascii="Arial" w:hAnsi="Arial"/>
          <w:sz w:val="14"/>
          <w:szCs w:val="14"/>
          <w:lang w:val="en-AU"/>
        </w:rPr>
        <w:t xml:space="preserve">Negative amounts denote revenue. </w:t>
      </w:r>
      <w:r w:rsidRPr="003E76E7">
        <w:rPr>
          <w:rFonts w:ascii="Arial" w:hAnsi="Arial"/>
          <w:sz w:val="14"/>
          <w:szCs w:val="14"/>
          <w:lang w:val="en-AU"/>
        </w:rPr>
        <w:tab/>
      </w:r>
      <w:r w:rsidRPr="003E76E7">
        <w:rPr>
          <w:rFonts w:ascii="Arial" w:hAnsi="Arial"/>
          <w:sz w:val="14"/>
          <w:szCs w:val="14"/>
          <w:lang w:val="en-AU"/>
        </w:rPr>
        <w:tab/>
      </w:r>
      <w:r w:rsidRPr="003E76E7">
        <w:rPr>
          <w:rFonts w:ascii="Arial" w:hAnsi="Arial"/>
          <w:sz w:val="14"/>
          <w:szCs w:val="14"/>
          <w:lang w:val="en-AU"/>
        </w:rPr>
        <w:tab/>
      </w:r>
      <w:r w:rsidRPr="003E76E7">
        <w:rPr>
          <w:rFonts w:ascii="Arial" w:hAnsi="Arial"/>
          <w:sz w:val="14"/>
          <w:szCs w:val="14"/>
          <w:lang w:val="en-AU"/>
        </w:rPr>
        <w:tab/>
      </w:r>
      <w:r w:rsidRPr="003E76E7">
        <w:rPr>
          <w:rFonts w:ascii="Arial" w:hAnsi="Arial"/>
          <w:sz w:val="14"/>
          <w:szCs w:val="14"/>
          <w:lang w:val="en-AU"/>
        </w:rPr>
        <w:tab/>
      </w:r>
    </w:p>
    <w:p w14:paraId="41491D08" w14:textId="6FA34474" w:rsidR="00BA1388" w:rsidRPr="003E76E7" w:rsidRDefault="006D118C" w:rsidP="00C4292D">
      <w:pPr>
        <w:pStyle w:val="ListParagraph"/>
        <w:numPr>
          <w:ilvl w:val="0"/>
          <w:numId w:val="123"/>
        </w:numPr>
        <w:spacing w:before="0" w:after="0"/>
        <w:ind w:left="284" w:hanging="284"/>
        <w:rPr>
          <w:rFonts w:ascii="Arial" w:hAnsi="Arial"/>
          <w:sz w:val="14"/>
          <w:szCs w:val="14"/>
          <w:lang w:val="en-AU"/>
        </w:rPr>
      </w:pPr>
      <w:r w:rsidRPr="003E76E7">
        <w:rPr>
          <w:rFonts w:ascii="Arial" w:hAnsi="Arial"/>
          <w:sz w:val="14"/>
          <w:szCs w:val="14"/>
          <w:lang w:val="en-AU"/>
        </w:rPr>
        <w:t>Licence fees are charged to home loan providers under the D</w:t>
      </w:r>
      <w:r w:rsidR="009D3404" w:rsidRPr="003E76E7">
        <w:rPr>
          <w:rFonts w:ascii="Arial" w:hAnsi="Arial"/>
          <w:sz w:val="14"/>
          <w:szCs w:val="14"/>
          <w:lang w:val="en-AU"/>
        </w:rPr>
        <w:t>HOAS</w:t>
      </w:r>
      <w:r w:rsidRPr="003E76E7">
        <w:rPr>
          <w:rFonts w:ascii="Arial" w:hAnsi="Arial"/>
          <w:sz w:val="14"/>
          <w:szCs w:val="14"/>
          <w:lang w:val="en-AU"/>
        </w:rPr>
        <w:t xml:space="preserve">. The home loan providers are required to remit a portion of home loan revenue to the Australian Government. </w:t>
      </w:r>
      <w:r w:rsidRPr="003E76E7">
        <w:rPr>
          <w:rFonts w:ascii="Arial" w:hAnsi="Arial"/>
          <w:sz w:val="14"/>
          <w:szCs w:val="14"/>
          <w:lang w:val="en-AU"/>
        </w:rPr>
        <w:tab/>
      </w:r>
      <w:r w:rsidRPr="003E76E7">
        <w:rPr>
          <w:rFonts w:ascii="Arial" w:hAnsi="Arial"/>
          <w:sz w:val="14"/>
          <w:szCs w:val="14"/>
          <w:lang w:val="en-AU"/>
        </w:rPr>
        <w:tab/>
      </w:r>
      <w:r w:rsidRPr="003E76E7">
        <w:rPr>
          <w:rFonts w:ascii="Arial" w:hAnsi="Arial"/>
          <w:sz w:val="14"/>
          <w:szCs w:val="14"/>
          <w:lang w:val="en-AU"/>
        </w:rPr>
        <w:tab/>
      </w:r>
      <w:r w:rsidRPr="003E76E7">
        <w:rPr>
          <w:rFonts w:ascii="Arial" w:hAnsi="Arial"/>
          <w:sz w:val="14"/>
          <w:szCs w:val="14"/>
          <w:lang w:val="en-AU"/>
        </w:rPr>
        <w:tab/>
      </w:r>
      <w:r w:rsidRPr="003E76E7">
        <w:rPr>
          <w:rFonts w:ascii="Arial" w:hAnsi="Arial"/>
          <w:sz w:val="14"/>
          <w:szCs w:val="14"/>
          <w:lang w:val="en-AU"/>
        </w:rPr>
        <w:tab/>
      </w:r>
    </w:p>
    <w:p w14:paraId="64CB52D5" w14:textId="77777777" w:rsidR="005C0D6D" w:rsidRPr="003E76E7" w:rsidRDefault="00FA1512" w:rsidP="00C4292D">
      <w:pPr>
        <w:rPr>
          <w:color w:val="FFFFFF"/>
          <w:lang w:val="en-AU"/>
        </w:rPr>
      </w:pPr>
      <w:r w:rsidRPr="003E76E7">
        <w:rPr>
          <w:color w:val="FFFFFF"/>
          <w:lang w:val="en-AU"/>
        </w:rPr>
        <w:br w:type="page"/>
      </w:r>
    </w:p>
    <w:p w14:paraId="6735A77E" w14:textId="77777777" w:rsidR="00B71852" w:rsidRPr="003E76E7" w:rsidRDefault="00B71852" w:rsidP="00C4292D">
      <w:pPr>
        <w:spacing w:before="0" w:after="0"/>
        <w:outlineLvl w:val="5"/>
        <w:rPr>
          <w:color w:val="FFFFFF"/>
          <w:sz w:val="2"/>
          <w:szCs w:val="2"/>
        </w:rPr>
      </w:pPr>
      <w:r w:rsidRPr="003E76E7">
        <w:rPr>
          <w:color w:val="FFFFFF"/>
          <w:sz w:val="2"/>
          <w:szCs w:val="2"/>
        </w:rPr>
        <w:lastRenderedPageBreak/>
        <w:t>Administered Program 2.</w:t>
      </w:r>
      <w:r w:rsidR="00777CE3" w:rsidRPr="003E76E7">
        <w:rPr>
          <w:color w:val="FFFFFF"/>
          <w:sz w:val="2"/>
          <w:szCs w:val="2"/>
        </w:rPr>
        <w:t>23</w:t>
      </w:r>
      <w:r w:rsidRPr="003E76E7">
        <w:rPr>
          <w:color w:val="FFFFFF"/>
          <w:sz w:val="2"/>
          <w:szCs w:val="2"/>
        </w:rPr>
        <w:t>: Other Administered</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1918"/>
        <w:gridCol w:w="3088"/>
        <w:gridCol w:w="3545"/>
      </w:tblGrid>
      <w:tr w:rsidR="00F7100A" w:rsidRPr="003E76E7" w14:paraId="6D845C6A" w14:textId="77777777" w:rsidTr="00A211F5">
        <w:tc>
          <w:tcPr>
            <w:tcW w:w="8647" w:type="dxa"/>
            <w:gridSpan w:val="3"/>
            <w:tcBorders>
              <w:bottom w:val="single" w:sz="4" w:space="0" w:color="auto"/>
            </w:tcBorders>
            <w:shd w:val="clear" w:color="auto" w:fill="CCCCCC"/>
          </w:tcPr>
          <w:p w14:paraId="10677F1E" w14:textId="77777777" w:rsidR="00F7100A" w:rsidRPr="003E76E7" w:rsidRDefault="00F7100A" w:rsidP="00C4292D">
            <w:pPr>
              <w:pStyle w:val="Heading5"/>
              <w:spacing w:before="60" w:after="60"/>
            </w:pPr>
            <w:r w:rsidRPr="003E76E7">
              <w:t>Administered Program 2.23: Other Administered</w:t>
            </w:r>
          </w:p>
        </w:tc>
      </w:tr>
      <w:tr w:rsidR="00F7100A" w:rsidRPr="003E76E7" w14:paraId="163E56F9" w14:textId="77777777" w:rsidTr="00A211F5">
        <w:tc>
          <w:tcPr>
            <w:tcW w:w="8647" w:type="dxa"/>
            <w:gridSpan w:val="3"/>
            <w:tcBorders>
              <w:left w:val="nil"/>
              <w:bottom w:val="single" w:sz="4" w:space="0" w:color="auto"/>
              <w:right w:val="nil"/>
            </w:tcBorders>
            <w:shd w:val="clear" w:color="auto" w:fill="auto"/>
          </w:tcPr>
          <w:p w14:paraId="09DA4965" w14:textId="77777777" w:rsidR="00F7100A" w:rsidRPr="003E76E7" w:rsidRDefault="00F7100A" w:rsidP="00C4292D">
            <w:pPr>
              <w:pStyle w:val="Heading5"/>
              <w:spacing w:before="0" w:after="0"/>
              <w:rPr>
                <w:sz w:val="16"/>
                <w:szCs w:val="16"/>
              </w:rPr>
            </w:pPr>
          </w:p>
        </w:tc>
      </w:tr>
      <w:tr w:rsidR="00F7100A" w:rsidRPr="003E76E7" w14:paraId="3A162713" w14:textId="77777777" w:rsidTr="00A211F5">
        <w:tblPrEx>
          <w:shd w:val="clear" w:color="auto" w:fill="auto"/>
          <w:tblLook w:val="04A0" w:firstRow="1" w:lastRow="0" w:firstColumn="1" w:lastColumn="0" w:noHBand="0" w:noVBand="1"/>
        </w:tblPrEx>
        <w:trPr>
          <w:trHeight w:val="340"/>
          <w:tblHeader/>
        </w:trPr>
        <w:tc>
          <w:tcPr>
            <w:tcW w:w="8647" w:type="dxa"/>
            <w:gridSpan w:val="3"/>
            <w:shd w:val="clear" w:color="auto" w:fill="E6E6E6"/>
          </w:tcPr>
          <w:p w14:paraId="709B5988" w14:textId="77777777" w:rsidR="00F7100A" w:rsidRPr="003E76E7" w:rsidRDefault="00F7100A" w:rsidP="00C4292D">
            <w:pPr>
              <w:tabs>
                <w:tab w:val="left" w:pos="709"/>
              </w:tabs>
              <w:spacing w:before="60" w:after="60"/>
              <w:rPr>
                <w:rFonts w:ascii="Arial" w:hAnsi="Arial"/>
                <w:sz w:val="16"/>
                <w:szCs w:val="16"/>
                <w:lang w:val="en-AU"/>
              </w:rPr>
            </w:pPr>
            <w:r w:rsidRPr="003E76E7">
              <w:rPr>
                <w:rFonts w:ascii="Arial" w:hAnsi="Arial"/>
                <w:b/>
                <w:sz w:val="16"/>
                <w:szCs w:val="16"/>
                <w:lang w:val="en-AU"/>
              </w:rPr>
              <w:t>Administered Program 2.23</w:t>
            </w:r>
            <w:r w:rsidRPr="003E76E7">
              <w:rPr>
                <w:rFonts w:ascii="Arial" w:hAnsi="Arial"/>
                <w:sz w:val="16"/>
                <w:szCs w:val="16"/>
                <w:lang w:val="en-AU"/>
              </w:rPr>
              <w:t xml:space="preserve"> </w:t>
            </w:r>
            <w:r w:rsidRPr="003E76E7">
              <w:rPr>
                <w:rFonts w:ascii="Arial" w:hAnsi="Arial"/>
                <w:b/>
                <w:sz w:val="16"/>
                <w:szCs w:val="16"/>
                <w:lang w:val="en-AU"/>
              </w:rPr>
              <w:t>Objective</w:t>
            </w:r>
          </w:p>
          <w:p w14:paraId="12C6B6C3" w14:textId="77777777" w:rsidR="00F7100A" w:rsidRPr="003E76E7" w:rsidRDefault="00F7100A" w:rsidP="00C4292D">
            <w:pPr>
              <w:spacing w:before="60" w:after="60"/>
              <w:rPr>
                <w:rFonts w:ascii="Arial" w:hAnsi="Arial"/>
                <w:sz w:val="16"/>
                <w:szCs w:val="16"/>
                <w:lang w:val="en-AU"/>
              </w:rPr>
            </w:pPr>
            <w:r w:rsidRPr="003E76E7">
              <w:rPr>
                <w:rFonts w:ascii="Arial" w:hAnsi="Arial"/>
                <w:sz w:val="16"/>
                <w:szCs w:val="16"/>
                <w:lang w:val="en-AU"/>
              </w:rPr>
              <w:t>This program comprises three elements:</w:t>
            </w:r>
          </w:p>
          <w:p w14:paraId="6C5E1028" w14:textId="77777777" w:rsidR="00F7100A" w:rsidRPr="003E76E7" w:rsidRDefault="00F7100A" w:rsidP="00C4292D">
            <w:pPr>
              <w:numPr>
                <w:ilvl w:val="0"/>
                <w:numId w:val="32"/>
              </w:numPr>
              <w:tabs>
                <w:tab w:val="clear" w:pos="720"/>
                <w:tab w:val="num" w:pos="453"/>
              </w:tabs>
              <w:spacing w:before="60" w:after="60"/>
              <w:ind w:left="431" w:hanging="357"/>
              <w:rPr>
                <w:rFonts w:ascii="Arial" w:hAnsi="Arial"/>
                <w:sz w:val="16"/>
                <w:szCs w:val="16"/>
                <w:lang w:val="en-AU"/>
              </w:rPr>
            </w:pPr>
            <w:r w:rsidRPr="003E76E7">
              <w:rPr>
                <w:rFonts w:ascii="Arial" w:hAnsi="Arial"/>
                <w:sz w:val="16"/>
                <w:szCs w:val="16"/>
                <w:lang w:val="en-AU"/>
              </w:rPr>
              <w:t>Interest earned on overdue accounts and on official bank accounts held to facilitate operational requirements.</w:t>
            </w:r>
          </w:p>
          <w:p w14:paraId="6F9ECD02" w14:textId="77777777" w:rsidR="00F7100A" w:rsidRPr="003E76E7" w:rsidRDefault="00F7100A" w:rsidP="00C4292D">
            <w:pPr>
              <w:numPr>
                <w:ilvl w:val="0"/>
                <w:numId w:val="32"/>
              </w:numPr>
              <w:tabs>
                <w:tab w:val="clear" w:pos="720"/>
                <w:tab w:val="num" w:pos="453"/>
              </w:tabs>
              <w:spacing w:before="60" w:after="60"/>
              <w:ind w:left="431" w:hanging="357"/>
              <w:rPr>
                <w:rFonts w:ascii="Arial" w:hAnsi="Arial"/>
                <w:sz w:val="16"/>
                <w:szCs w:val="16"/>
                <w:lang w:val="en-AU"/>
              </w:rPr>
            </w:pPr>
            <w:r w:rsidRPr="003E76E7">
              <w:rPr>
                <w:rFonts w:ascii="Arial" w:hAnsi="Arial"/>
                <w:sz w:val="16"/>
                <w:szCs w:val="16"/>
                <w:lang w:val="en-AU"/>
              </w:rPr>
              <w:t>Interest on Government loans to fund the building of new accommodation, dividends and tax equivalent payments received from the DHA.</w:t>
            </w:r>
          </w:p>
          <w:p w14:paraId="3A2BB6F2" w14:textId="77777777" w:rsidR="00F7100A" w:rsidRPr="003E76E7" w:rsidRDefault="00F7100A" w:rsidP="00C4292D">
            <w:pPr>
              <w:numPr>
                <w:ilvl w:val="0"/>
                <w:numId w:val="32"/>
              </w:numPr>
              <w:tabs>
                <w:tab w:val="clear" w:pos="720"/>
                <w:tab w:val="num" w:pos="453"/>
              </w:tabs>
              <w:spacing w:before="60" w:after="60"/>
              <w:ind w:left="431" w:hanging="357"/>
              <w:rPr>
                <w:rFonts w:ascii="Arial" w:hAnsi="Arial"/>
                <w:sz w:val="16"/>
                <w:szCs w:val="16"/>
              </w:rPr>
            </w:pPr>
            <w:r w:rsidRPr="003E76E7">
              <w:rPr>
                <w:rFonts w:ascii="Arial" w:hAnsi="Arial"/>
                <w:sz w:val="16"/>
                <w:szCs w:val="16"/>
                <w:lang w:val="en-AU"/>
              </w:rPr>
              <w:t>Revenue received from science and technology royalt</w:t>
            </w:r>
            <w:r w:rsidR="00551510" w:rsidRPr="003E76E7">
              <w:rPr>
                <w:rFonts w:ascii="Arial" w:hAnsi="Arial"/>
                <w:sz w:val="16"/>
                <w:szCs w:val="16"/>
                <w:lang w:val="en-AU"/>
              </w:rPr>
              <w:t>ies where the royalties offset D</w:t>
            </w:r>
            <w:r w:rsidRPr="003E76E7">
              <w:rPr>
                <w:rFonts w:ascii="Arial" w:hAnsi="Arial"/>
                <w:sz w:val="16"/>
                <w:szCs w:val="16"/>
                <w:lang w:val="en-AU"/>
              </w:rPr>
              <w:t>epartmental cost of an activity, to the extent there was no appropriation for the activity.</w:t>
            </w:r>
          </w:p>
        </w:tc>
      </w:tr>
      <w:tr w:rsidR="00F7100A" w:rsidRPr="003E76E7" w14:paraId="49C06C4B" w14:textId="77777777" w:rsidTr="00A211F5">
        <w:tblPrEx>
          <w:shd w:val="clear" w:color="auto" w:fill="auto"/>
          <w:tblLook w:val="04A0" w:firstRow="1" w:lastRow="0" w:firstColumn="1" w:lastColumn="0" w:noHBand="0" w:noVBand="1"/>
        </w:tblPrEx>
        <w:trPr>
          <w:trHeight w:val="312"/>
        </w:trPr>
        <w:tc>
          <w:tcPr>
            <w:tcW w:w="1939" w:type="dxa"/>
            <w:tcBorders>
              <w:bottom w:val="single" w:sz="4" w:space="0" w:color="auto"/>
            </w:tcBorders>
          </w:tcPr>
          <w:p w14:paraId="7EE5D07A" w14:textId="77777777" w:rsidR="00F7100A" w:rsidRPr="003E76E7" w:rsidRDefault="00FF6EA0" w:rsidP="00C4292D">
            <w:pPr>
              <w:tabs>
                <w:tab w:val="left" w:pos="709"/>
              </w:tabs>
              <w:spacing w:before="60" w:after="60"/>
              <w:rPr>
                <w:rFonts w:ascii="Arial" w:hAnsi="Arial"/>
                <w:b/>
                <w:color w:val="000000"/>
                <w:sz w:val="16"/>
                <w:szCs w:val="16"/>
              </w:rPr>
            </w:pPr>
            <w:r w:rsidRPr="003E76E7">
              <w:rPr>
                <w:rFonts w:ascii="Arial" w:hAnsi="Arial"/>
                <w:b/>
                <w:color w:val="000000"/>
                <w:sz w:val="16"/>
                <w:szCs w:val="16"/>
              </w:rPr>
              <w:t>Key Activity</w:t>
            </w:r>
          </w:p>
        </w:tc>
        <w:tc>
          <w:tcPr>
            <w:tcW w:w="6708" w:type="dxa"/>
            <w:gridSpan w:val="2"/>
            <w:tcBorders>
              <w:bottom w:val="single" w:sz="4" w:space="0" w:color="auto"/>
            </w:tcBorders>
          </w:tcPr>
          <w:p w14:paraId="517BCA96" w14:textId="77777777" w:rsidR="00F7100A" w:rsidRPr="003E76E7" w:rsidRDefault="00F7100A" w:rsidP="00C4292D">
            <w:pPr>
              <w:tabs>
                <w:tab w:val="left" w:pos="709"/>
              </w:tabs>
              <w:spacing w:before="60" w:after="60"/>
              <w:rPr>
                <w:rFonts w:ascii="Arial" w:hAnsi="Arial"/>
                <w:color w:val="000000"/>
                <w:sz w:val="16"/>
                <w:szCs w:val="16"/>
                <w:lang w:val="en-AU"/>
              </w:rPr>
            </w:pPr>
            <w:r w:rsidRPr="003E76E7">
              <w:rPr>
                <w:rFonts w:ascii="Arial" w:hAnsi="Arial"/>
                <w:color w:val="000000"/>
                <w:sz w:val="16"/>
                <w:szCs w:val="16"/>
                <w:lang w:val="en-AU"/>
              </w:rPr>
              <w:t xml:space="preserve">This program will be achieved </w:t>
            </w:r>
            <w:r w:rsidRPr="003E76E7">
              <w:rPr>
                <w:rFonts w:ascii="Arial" w:hAnsi="Arial"/>
                <w:bCs/>
                <w:color w:val="000000"/>
                <w:sz w:val="16"/>
                <w:szCs w:val="16"/>
                <w:lang w:val="en-AU"/>
              </w:rPr>
              <w:t>through the following activity</w:t>
            </w:r>
            <w:r w:rsidRPr="003E76E7">
              <w:rPr>
                <w:rFonts w:ascii="Arial" w:hAnsi="Arial"/>
                <w:color w:val="000000"/>
                <w:sz w:val="16"/>
                <w:szCs w:val="16"/>
                <w:lang w:val="en-AU"/>
              </w:rPr>
              <w:t>:</w:t>
            </w:r>
          </w:p>
          <w:p w14:paraId="1517B67C" w14:textId="21B7A2A7" w:rsidR="00F7100A" w:rsidRPr="003E76E7" w:rsidRDefault="008F7508" w:rsidP="00C4292D">
            <w:pPr>
              <w:tabs>
                <w:tab w:val="left" w:pos="709"/>
              </w:tabs>
              <w:spacing w:before="60" w:after="60"/>
              <w:rPr>
                <w:rFonts w:ascii="Arial" w:hAnsi="Arial"/>
                <w:i/>
                <w:color w:val="000000"/>
                <w:sz w:val="16"/>
                <w:szCs w:val="16"/>
              </w:rPr>
            </w:pPr>
            <w:r w:rsidRPr="003E76E7">
              <w:rPr>
                <w:rFonts w:ascii="Arial" w:hAnsi="Arial"/>
                <w:b/>
                <w:sz w:val="16"/>
                <w:szCs w:val="16"/>
                <w:lang w:val="en-AU"/>
              </w:rPr>
              <w:t>4. Defence invests in its people through recruitment and retention, growth in skills and capabilities, improved culture, mental health and wellbeing support, and support to ADF families.</w:t>
            </w:r>
          </w:p>
        </w:tc>
      </w:tr>
      <w:tr w:rsidR="00F7100A" w:rsidRPr="003E76E7" w14:paraId="61CE7340" w14:textId="77777777" w:rsidTr="00A211F5">
        <w:tblPrEx>
          <w:shd w:val="clear" w:color="auto" w:fill="auto"/>
          <w:tblLook w:val="04A0" w:firstRow="1" w:lastRow="0" w:firstColumn="1" w:lastColumn="0" w:noHBand="0" w:noVBand="1"/>
        </w:tblPrEx>
        <w:trPr>
          <w:trHeight w:val="100"/>
        </w:trPr>
        <w:tc>
          <w:tcPr>
            <w:tcW w:w="1939" w:type="dxa"/>
            <w:tcBorders>
              <w:top w:val="single" w:sz="4" w:space="0" w:color="auto"/>
              <w:bottom w:val="single" w:sz="4" w:space="0" w:color="auto"/>
              <w:right w:val="single" w:sz="4" w:space="0" w:color="auto"/>
            </w:tcBorders>
          </w:tcPr>
          <w:p w14:paraId="76074A64" w14:textId="77777777" w:rsidR="00F7100A" w:rsidRPr="003E76E7" w:rsidRDefault="00F7100A" w:rsidP="00C4292D">
            <w:pPr>
              <w:tabs>
                <w:tab w:val="left" w:pos="709"/>
              </w:tabs>
              <w:spacing w:before="60" w:after="60"/>
              <w:rPr>
                <w:rFonts w:ascii="Arial" w:hAnsi="Arial"/>
                <w:color w:val="000000"/>
                <w:sz w:val="16"/>
                <w:szCs w:val="16"/>
              </w:rPr>
            </w:pPr>
            <w:r w:rsidRPr="003E76E7">
              <w:rPr>
                <w:rFonts w:ascii="Arial" w:hAnsi="Arial"/>
                <w:b/>
                <w:color w:val="000000"/>
                <w:sz w:val="16"/>
                <w:szCs w:val="16"/>
              </w:rPr>
              <w:t>Year</w:t>
            </w:r>
          </w:p>
        </w:tc>
        <w:tc>
          <w:tcPr>
            <w:tcW w:w="3124" w:type="dxa"/>
            <w:tcBorders>
              <w:top w:val="single" w:sz="4" w:space="0" w:color="auto"/>
              <w:left w:val="single" w:sz="4" w:space="0" w:color="auto"/>
              <w:bottom w:val="single" w:sz="4" w:space="0" w:color="auto"/>
              <w:right w:val="single" w:sz="4" w:space="0" w:color="auto"/>
            </w:tcBorders>
          </w:tcPr>
          <w:p w14:paraId="10BDD3AB" w14:textId="4680DD27" w:rsidR="00F7100A" w:rsidRPr="003E76E7" w:rsidRDefault="00AD14EC" w:rsidP="00C4292D">
            <w:pPr>
              <w:tabs>
                <w:tab w:val="left" w:pos="709"/>
              </w:tabs>
              <w:spacing w:before="60" w:after="60"/>
              <w:rPr>
                <w:rFonts w:ascii="Arial" w:hAnsi="Arial"/>
                <w:color w:val="000000"/>
              </w:rPr>
            </w:pPr>
            <w:r w:rsidRPr="003E76E7">
              <w:rPr>
                <w:rFonts w:ascii="Arial" w:hAnsi="Arial"/>
                <w:b/>
                <w:color w:val="000000"/>
                <w:sz w:val="16"/>
                <w:szCs w:val="16"/>
              </w:rPr>
              <w:t>Performance Measures</w:t>
            </w:r>
          </w:p>
        </w:tc>
        <w:tc>
          <w:tcPr>
            <w:tcW w:w="3584" w:type="dxa"/>
            <w:tcBorders>
              <w:top w:val="single" w:sz="4" w:space="0" w:color="auto"/>
              <w:left w:val="single" w:sz="4" w:space="0" w:color="auto"/>
              <w:bottom w:val="single" w:sz="4" w:space="0" w:color="auto"/>
            </w:tcBorders>
          </w:tcPr>
          <w:p w14:paraId="5D6E0BFB" w14:textId="77777777" w:rsidR="00F7100A" w:rsidRPr="003E76E7" w:rsidRDefault="00F7100A" w:rsidP="00C4292D">
            <w:pPr>
              <w:tabs>
                <w:tab w:val="left" w:pos="709"/>
              </w:tabs>
              <w:spacing w:before="60" w:after="60"/>
              <w:rPr>
                <w:rFonts w:ascii="Arial" w:hAnsi="Arial"/>
                <w:i/>
                <w:color w:val="000000"/>
                <w:sz w:val="16"/>
                <w:szCs w:val="16"/>
              </w:rPr>
            </w:pPr>
            <w:r w:rsidRPr="003E76E7">
              <w:rPr>
                <w:rFonts w:ascii="Arial" w:hAnsi="Arial"/>
                <w:b/>
                <w:color w:val="000000"/>
                <w:sz w:val="16"/>
                <w:szCs w:val="16"/>
              </w:rPr>
              <w:t>Expected Performance Results</w:t>
            </w:r>
          </w:p>
        </w:tc>
      </w:tr>
      <w:tr w:rsidR="008F7508" w:rsidRPr="003E76E7" w14:paraId="47FFA91E" w14:textId="77777777" w:rsidTr="00A211F5">
        <w:trPr>
          <w:trHeight w:val="305"/>
        </w:trPr>
        <w:tc>
          <w:tcPr>
            <w:tcW w:w="1939" w:type="dxa"/>
            <w:vMerge w:val="restart"/>
            <w:tcBorders>
              <w:top w:val="single" w:sz="4" w:space="0" w:color="auto"/>
              <w:left w:val="single" w:sz="4" w:space="0" w:color="auto"/>
              <w:right w:val="single" w:sz="4" w:space="0" w:color="auto"/>
            </w:tcBorders>
          </w:tcPr>
          <w:p w14:paraId="48283AA3" w14:textId="77777777" w:rsidR="008F7508" w:rsidRPr="003E76E7" w:rsidRDefault="008F7508" w:rsidP="00C4292D">
            <w:pPr>
              <w:tabs>
                <w:tab w:val="left" w:pos="709"/>
              </w:tabs>
              <w:spacing w:before="0" w:after="0"/>
              <w:rPr>
                <w:rFonts w:ascii="Arial" w:hAnsi="Arial"/>
                <w:color w:val="000000"/>
                <w:sz w:val="16"/>
                <w:szCs w:val="16"/>
              </w:rPr>
            </w:pPr>
            <w:r w:rsidRPr="003E76E7">
              <w:rPr>
                <w:rFonts w:ascii="Arial" w:hAnsi="Arial"/>
                <w:color w:val="000000"/>
                <w:sz w:val="16"/>
                <w:szCs w:val="16"/>
              </w:rPr>
              <w:t>Current Year</w:t>
            </w:r>
          </w:p>
          <w:p w14:paraId="4A5E57A1" w14:textId="0F0BC2DD" w:rsidR="008F7508" w:rsidRPr="003E76E7" w:rsidRDefault="008F7508" w:rsidP="00C4292D">
            <w:pPr>
              <w:tabs>
                <w:tab w:val="left" w:pos="709"/>
              </w:tabs>
              <w:spacing w:before="0" w:after="0"/>
              <w:rPr>
                <w:rFonts w:ascii="Arial" w:hAnsi="Arial"/>
                <w:color w:val="000000"/>
                <w:sz w:val="16"/>
                <w:szCs w:val="16"/>
              </w:rPr>
            </w:pPr>
            <w:r w:rsidRPr="003E76E7">
              <w:rPr>
                <w:rFonts w:ascii="Arial" w:hAnsi="Arial"/>
                <w:color w:val="000000"/>
                <w:sz w:val="16"/>
                <w:szCs w:val="16"/>
              </w:rPr>
              <w:t xml:space="preserve">2025-26 </w:t>
            </w:r>
            <w:r w:rsidRPr="003E76E7">
              <w:rPr>
                <w:rFonts w:ascii="Arial" w:hAnsi="Arial"/>
                <w:color w:val="000000"/>
                <w:sz w:val="16"/>
                <w:szCs w:val="16"/>
                <w:vertAlign w:val="superscript"/>
              </w:rPr>
              <w:t>[a]</w:t>
            </w:r>
          </w:p>
        </w:tc>
        <w:tc>
          <w:tcPr>
            <w:tcW w:w="3124" w:type="dxa"/>
            <w:tcBorders>
              <w:top w:val="single" w:sz="4" w:space="0" w:color="auto"/>
              <w:left w:val="single" w:sz="4" w:space="0" w:color="auto"/>
              <w:bottom w:val="single" w:sz="4" w:space="0" w:color="auto"/>
              <w:right w:val="single" w:sz="4" w:space="0" w:color="auto"/>
            </w:tcBorders>
          </w:tcPr>
          <w:p w14:paraId="2054A238" w14:textId="1CE79AE4" w:rsidR="008F7508" w:rsidRPr="003E76E7" w:rsidRDefault="008F7508" w:rsidP="00C4292D">
            <w:pPr>
              <w:tabs>
                <w:tab w:val="left" w:pos="709"/>
              </w:tabs>
              <w:spacing w:before="60" w:after="60"/>
              <w:rPr>
                <w:rFonts w:ascii="Arial" w:hAnsi="Arial"/>
                <w:sz w:val="16"/>
                <w:szCs w:val="16"/>
                <w:lang w:val="en-AU"/>
              </w:rPr>
            </w:pPr>
            <w:r w:rsidRPr="003E76E7">
              <w:rPr>
                <w:rFonts w:ascii="Arial" w:hAnsi="Arial"/>
                <w:sz w:val="16"/>
                <w:szCs w:val="16"/>
                <w:lang w:val="en-AU"/>
              </w:rPr>
              <w:t>4.1: Defence recruits and retains an ADF and APS workforce to support the Defence mission.</w:t>
            </w:r>
          </w:p>
        </w:tc>
        <w:tc>
          <w:tcPr>
            <w:tcW w:w="3584" w:type="dxa"/>
            <w:tcBorders>
              <w:top w:val="single" w:sz="4" w:space="0" w:color="auto"/>
              <w:left w:val="single" w:sz="4" w:space="0" w:color="auto"/>
              <w:bottom w:val="single" w:sz="4" w:space="0" w:color="auto"/>
              <w:right w:val="single" w:sz="4" w:space="0" w:color="auto"/>
            </w:tcBorders>
          </w:tcPr>
          <w:p w14:paraId="6F835BFD" w14:textId="62C4CAEA" w:rsidR="008F7508" w:rsidRPr="003E76E7" w:rsidRDefault="008F7508" w:rsidP="00C4292D">
            <w:pPr>
              <w:rPr>
                <w:rFonts w:ascii="Arial" w:hAnsi="Arial"/>
                <w:sz w:val="16"/>
                <w:szCs w:val="16"/>
              </w:rPr>
            </w:pPr>
            <w:r w:rsidRPr="003E76E7">
              <w:rPr>
                <w:rFonts w:ascii="Arial" w:hAnsi="Arial"/>
                <w:sz w:val="16"/>
                <w:szCs w:val="16"/>
              </w:rPr>
              <w:t xml:space="preserve">Defence achieves the ADF and APS Budgeted Workforce Requirement as set out in the </w:t>
            </w:r>
            <w:r w:rsidR="00374AEC" w:rsidRPr="003E76E7">
              <w:rPr>
                <w:rFonts w:ascii="Arial" w:hAnsi="Arial"/>
                <w:sz w:val="16"/>
                <w:szCs w:val="16"/>
              </w:rPr>
              <w:br/>
            </w:r>
            <w:r w:rsidRPr="003E76E7">
              <w:rPr>
                <w:rFonts w:ascii="Arial" w:hAnsi="Arial"/>
                <w:i/>
                <w:sz w:val="16"/>
                <w:szCs w:val="16"/>
              </w:rPr>
              <w:t>Portfolio Budget Statements</w:t>
            </w:r>
            <w:r w:rsidR="003D1053">
              <w:rPr>
                <w:rFonts w:ascii="Arial" w:hAnsi="Arial"/>
                <w:i/>
                <w:sz w:val="16"/>
                <w:szCs w:val="16"/>
              </w:rPr>
              <w:t xml:space="preserve"> </w:t>
            </w:r>
            <w:r w:rsidR="003D1053" w:rsidRPr="003E76E7">
              <w:rPr>
                <w:rFonts w:ascii="Arial" w:hAnsi="Arial"/>
                <w:i/>
                <w:sz w:val="16"/>
                <w:szCs w:val="16"/>
              </w:rPr>
              <w:t>2025-26</w:t>
            </w:r>
            <w:r w:rsidRPr="003E76E7">
              <w:rPr>
                <w:rFonts w:ascii="Arial" w:hAnsi="Arial"/>
                <w:sz w:val="16"/>
                <w:szCs w:val="16"/>
              </w:rPr>
              <w:t xml:space="preserve"> and the net flow of the ADF and APS workforce over a </w:t>
            </w:r>
            <w:r w:rsidR="00374AEC" w:rsidRPr="003E76E7">
              <w:rPr>
                <w:rFonts w:ascii="Arial" w:hAnsi="Arial"/>
                <w:sz w:val="16"/>
                <w:szCs w:val="16"/>
              </w:rPr>
              <w:br/>
            </w:r>
            <w:r w:rsidRPr="003E76E7">
              <w:rPr>
                <w:rFonts w:ascii="Arial" w:hAnsi="Arial"/>
                <w:sz w:val="16"/>
                <w:szCs w:val="16"/>
              </w:rPr>
              <w:t xml:space="preserve">12 month period is trending positive and is positioning Defence to achieve the Budgeted Workforce Requirement over the </w:t>
            </w:r>
            <w:r w:rsidR="00D34381" w:rsidRPr="003E76E7">
              <w:rPr>
                <w:rFonts w:ascii="Arial" w:hAnsi="Arial"/>
                <w:sz w:val="16"/>
                <w:szCs w:val="16"/>
              </w:rPr>
              <w:t>F</w:t>
            </w:r>
            <w:r w:rsidRPr="003E76E7">
              <w:rPr>
                <w:rFonts w:ascii="Arial" w:hAnsi="Arial"/>
                <w:sz w:val="16"/>
                <w:szCs w:val="16"/>
              </w:rPr>
              <w:t xml:space="preserve">orward </w:t>
            </w:r>
            <w:r w:rsidR="00D34381" w:rsidRPr="003E76E7">
              <w:rPr>
                <w:rFonts w:ascii="Arial" w:hAnsi="Arial"/>
                <w:sz w:val="16"/>
                <w:szCs w:val="16"/>
              </w:rPr>
              <w:t>E</w:t>
            </w:r>
            <w:r w:rsidRPr="003E76E7">
              <w:rPr>
                <w:rFonts w:ascii="Arial" w:hAnsi="Arial"/>
                <w:sz w:val="16"/>
                <w:szCs w:val="16"/>
              </w:rPr>
              <w:t>stimates.</w:t>
            </w:r>
          </w:p>
          <w:p w14:paraId="4F77F505" w14:textId="51C33AA5" w:rsidR="008F7508" w:rsidRPr="003E76E7" w:rsidRDefault="008F7508" w:rsidP="00C4292D">
            <w:pPr>
              <w:spacing w:before="0"/>
              <w:jc w:val="right"/>
              <w:rPr>
                <w:i/>
              </w:rPr>
            </w:pPr>
            <w:r w:rsidRPr="003E76E7">
              <w:rPr>
                <w:rFonts w:ascii="Arial" w:hAnsi="Arial"/>
                <w:i/>
                <w:sz w:val="16"/>
                <w:szCs w:val="16"/>
              </w:rPr>
              <w:t>Expected to be partially achieved.</w:t>
            </w:r>
          </w:p>
        </w:tc>
      </w:tr>
      <w:tr w:rsidR="008F7508" w:rsidRPr="003E76E7" w14:paraId="15D9F37B" w14:textId="77777777" w:rsidTr="00A211F5">
        <w:trPr>
          <w:trHeight w:val="305"/>
        </w:trPr>
        <w:tc>
          <w:tcPr>
            <w:tcW w:w="1939" w:type="dxa"/>
            <w:vMerge/>
            <w:tcBorders>
              <w:left w:val="single" w:sz="4" w:space="0" w:color="auto"/>
              <w:right w:val="single" w:sz="4" w:space="0" w:color="auto"/>
            </w:tcBorders>
          </w:tcPr>
          <w:p w14:paraId="3607B7BE" w14:textId="77777777" w:rsidR="008F7508" w:rsidRPr="003E76E7" w:rsidRDefault="008F7508" w:rsidP="00C4292D">
            <w:pPr>
              <w:tabs>
                <w:tab w:val="left" w:pos="709"/>
              </w:tabs>
              <w:spacing w:before="0" w:after="0"/>
              <w:rPr>
                <w:rFonts w:ascii="Arial" w:hAnsi="Arial"/>
                <w:color w:val="000000"/>
                <w:sz w:val="16"/>
                <w:szCs w:val="16"/>
              </w:rPr>
            </w:pPr>
          </w:p>
        </w:tc>
        <w:tc>
          <w:tcPr>
            <w:tcW w:w="3124" w:type="dxa"/>
            <w:tcBorders>
              <w:top w:val="single" w:sz="4" w:space="0" w:color="auto"/>
              <w:left w:val="single" w:sz="4" w:space="0" w:color="auto"/>
              <w:bottom w:val="single" w:sz="4" w:space="0" w:color="auto"/>
              <w:right w:val="single" w:sz="4" w:space="0" w:color="auto"/>
            </w:tcBorders>
          </w:tcPr>
          <w:p w14:paraId="6120D7AD" w14:textId="49ADBAFC" w:rsidR="008F7508" w:rsidRPr="003E76E7" w:rsidRDefault="008F7508" w:rsidP="00C4292D">
            <w:pPr>
              <w:tabs>
                <w:tab w:val="left" w:pos="709"/>
              </w:tabs>
              <w:spacing w:before="60" w:after="60"/>
              <w:rPr>
                <w:rFonts w:ascii="Arial" w:hAnsi="Arial"/>
                <w:sz w:val="16"/>
                <w:szCs w:val="16"/>
                <w:lang w:val="en-AU"/>
              </w:rPr>
            </w:pPr>
            <w:r w:rsidRPr="003E76E7">
              <w:rPr>
                <w:rFonts w:ascii="Arial" w:hAnsi="Arial"/>
                <w:sz w:val="16"/>
                <w:szCs w:val="16"/>
                <w:lang w:val="en-AU"/>
              </w:rPr>
              <w:t>4.2: Defence grows the necessary skills and capabilities to enable the Defence mission.</w:t>
            </w:r>
          </w:p>
        </w:tc>
        <w:tc>
          <w:tcPr>
            <w:tcW w:w="3584" w:type="dxa"/>
            <w:tcBorders>
              <w:top w:val="single" w:sz="4" w:space="0" w:color="auto"/>
              <w:left w:val="single" w:sz="4" w:space="0" w:color="auto"/>
              <w:bottom w:val="single" w:sz="4" w:space="0" w:color="auto"/>
              <w:right w:val="single" w:sz="4" w:space="0" w:color="auto"/>
            </w:tcBorders>
          </w:tcPr>
          <w:p w14:paraId="7DE1494D" w14:textId="7079C927" w:rsidR="008F7508" w:rsidRPr="003E76E7" w:rsidRDefault="008F7508" w:rsidP="00C4292D">
            <w:pPr>
              <w:spacing w:before="0" w:after="60"/>
              <w:rPr>
                <w:rFonts w:ascii="Arial" w:hAnsi="Arial"/>
                <w:sz w:val="16"/>
                <w:szCs w:val="16"/>
                <w:lang w:val="en-AU"/>
              </w:rPr>
            </w:pPr>
            <w:r w:rsidRPr="003E76E7">
              <w:rPr>
                <w:rFonts w:ascii="Arial" w:hAnsi="Arial"/>
                <w:sz w:val="16"/>
                <w:szCs w:val="16"/>
                <w:lang w:val="en-AU"/>
              </w:rPr>
              <w:t xml:space="preserve">The Defence workforce has the technical skills required to deliver the National Defence Strategy, as measured through achieving a full workforce against each of the ADF and APS Strategic Workforce Segments, the net flow of the ADF and APS Strategic Workforce Segments over the financial year, measured against the Budgeted Workforce Requirement, will enable Defence to achieve its future technical skill requirements, and the Australian Submarine Agency are staffed with the required ADF personnel to deliver the </w:t>
            </w:r>
            <w:r w:rsidR="00374AEC" w:rsidRPr="003E76E7">
              <w:rPr>
                <w:rFonts w:ascii="Arial" w:hAnsi="Arial"/>
                <w:sz w:val="16"/>
                <w:szCs w:val="16"/>
                <w:lang w:val="en-AU"/>
              </w:rPr>
              <w:br/>
            </w:r>
            <w:r w:rsidRPr="003E76E7">
              <w:rPr>
                <w:rFonts w:ascii="Arial" w:hAnsi="Arial"/>
                <w:sz w:val="16"/>
                <w:szCs w:val="16"/>
                <w:lang w:val="en-AU"/>
              </w:rPr>
              <w:t>Nuclear-Powered Submarine Program.</w:t>
            </w:r>
          </w:p>
          <w:p w14:paraId="277D8812" w14:textId="0CE57CC8" w:rsidR="008F7508" w:rsidRPr="003E76E7" w:rsidRDefault="00D013CE" w:rsidP="00D013CE">
            <w:pPr>
              <w:spacing w:after="60"/>
              <w:jc w:val="right"/>
              <w:rPr>
                <w:rFonts w:ascii="Arial" w:hAnsi="Arial"/>
                <w:color w:val="000000"/>
                <w:sz w:val="16"/>
                <w:szCs w:val="16"/>
              </w:rPr>
            </w:pPr>
            <w:r w:rsidRPr="003E76E7">
              <w:rPr>
                <w:rFonts w:ascii="Arial" w:hAnsi="Arial"/>
                <w:i/>
                <w:sz w:val="16"/>
                <w:szCs w:val="16"/>
              </w:rPr>
              <w:t>Expected to be partially achieved</w:t>
            </w:r>
            <w:r>
              <w:rPr>
                <w:rFonts w:ascii="Arial" w:hAnsi="Arial"/>
                <w:i/>
                <w:sz w:val="16"/>
                <w:szCs w:val="16"/>
              </w:rPr>
              <w:t>.</w:t>
            </w:r>
          </w:p>
        </w:tc>
      </w:tr>
      <w:tr w:rsidR="008F7508" w:rsidRPr="003E76E7" w14:paraId="7DBD4BED" w14:textId="77777777" w:rsidTr="00A211F5">
        <w:trPr>
          <w:trHeight w:val="305"/>
        </w:trPr>
        <w:tc>
          <w:tcPr>
            <w:tcW w:w="1939" w:type="dxa"/>
            <w:vMerge/>
            <w:tcBorders>
              <w:left w:val="single" w:sz="4" w:space="0" w:color="auto"/>
              <w:bottom w:val="single" w:sz="4" w:space="0" w:color="auto"/>
              <w:right w:val="single" w:sz="4" w:space="0" w:color="auto"/>
            </w:tcBorders>
          </w:tcPr>
          <w:p w14:paraId="655E8076" w14:textId="77777777" w:rsidR="008F7508" w:rsidRPr="003E76E7" w:rsidRDefault="008F7508" w:rsidP="00C4292D">
            <w:pPr>
              <w:tabs>
                <w:tab w:val="left" w:pos="709"/>
              </w:tabs>
              <w:spacing w:before="0" w:after="0"/>
              <w:rPr>
                <w:rFonts w:ascii="Arial" w:hAnsi="Arial"/>
                <w:color w:val="000000"/>
                <w:sz w:val="16"/>
                <w:szCs w:val="16"/>
              </w:rPr>
            </w:pPr>
          </w:p>
        </w:tc>
        <w:tc>
          <w:tcPr>
            <w:tcW w:w="3124" w:type="dxa"/>
            <w:tcBorders>
              <w:top w:val="single" w:sz="4" w:space="0" w:color="auto"/>
              <w:left w:val="single" w:sz="4" w:space="0" w:color="auto"/>
              <w:bottom w:val="single" w:sz="4" w:space="0" w:color="auto"/>
              <w:right w:val="single" w:sz="4" w:space="0" w:color="auto"/>
            </w:tcBorders>
          </w:tcPr>
          <w:p w14:paraId="75731358" w14:textId="559A3467" w:rsidR="008F7508" w:rsidRPr="003E76E7" w:rsidRDefault="008F7508" w:rsidP="00C4292D">
            <w:pPr>
              <w:tabs>
                <w:tab w:val="left" w:pos="709"/>
              </w:tabs>
              <w:spacing w:before="60" w:after="60"/>
              <w:rPr>
                <w:rFonts w:ascii="Arial" w:hAnsi="Arial"/>
                <w:sz w:val="16"/>
                <w:szCs w:val="16"/>
                <w:lang w:val="en-AU"/>
              </w:rPr>
            </w:pPr>
            <w:r w:rsidRPr="003E76E7">
              <w:rPr>
                <w:rFonts w:ascii="Arial" w:hAnsi="Arial"/>
                <w:sz w:val="16"/>
                <w:szCs w:val="16"/>
                <w:lang w:val="en-AU"/>
              </w:rPr>
              <w:t>4.3: The Defence values and behaviours enable our people to deliver against the Defence mission.</w:t>
            </w:r>
          </w:p>
        </w:tc>
        <w:tc>
          <w:tcPr>
            <w:tcW w:w="3584" w:type="dxa"/>
            <w:tcBorders>
              <w:top w:val="single" w:sz="4" w:space="0" w:color="auto"/>
              <w:left w:val="single" w:sz="4" w:space="0" w:color="auto"/>
              <w:bottom w:val="single" w:sz="4" w:space="0" w:color="auto"/>
              <w:right w:val="single" w:sz="4" w:space="0" w:color="auto"/>
            </w:tcBorders>
          </w:tcPr>
          <w:p w14:paraId="56F85EFD" w14:textId="7BBF549C" w:rsidR="008F7508" w:rsidRPr="003E76E7" w:rsidRDefault="008F7508" w:rsidP="00C4292D">
            <w:pPr>
              <w:rPr>
                <w:rFonts w:ascii="Arial" w:hAnsi="Arial"/>
                <w:sz w:val="16"/>
                <w:szCs w:val="16"/>
              </w:rPr>
            </w:pPr>
            <w:r w:rsidRPr="003E76E7">
              <w:rPr>
                <w:rFonts w:ascii="Arial" w:hAnsi="Arial"/>
                <w:sz w:val="16"/>
                <w:szCs w:val="16"/>
              </w:rPr>
              <w:t xml:space="preserve">All ADF and Defence APS personnel believe appropriate action will be taken if they report an incident of unacceptable behaviour in the preceding 12 months, no ADF and Defence APS personnel have experienced unacceptable behaviour in the preceding </w:t>
            </w:r>
            <w:r w:rsidR="00547AF7" w:rsidRPr="003E76E7">
              <w:rPr>
                <w:rFonts w:ascii="Arial" w:hAnsi="Arial"/>
                <w:sz w:val="16"/>
                <w:szCs w:val="16"/>
              </w:rPr>
              <w:br/>
            </w:r>
            <w:r w:rsidRPr="003E76E7">
              <w:rPr>
                <w:rFonts w:ascii="Arial" w:hAnsi="Arial"/>
                <w:sz w:val="16"/>
                <w:szCs w:val="16"/>
              </w:rPr>
              <w:t>12 months, and all ADF and Defence APS personnel view that Defence values are being used in their work area.</w:t>
            </w:r>
          </w:p>
          <w:p w14:paraId="2DADC076" w14:textId="137C976E" w:rsidR="008F7508" w:rsidRPr="003E76E7" w:rsidRDefault="00C4447C" w:rsidP="003E76E7">
            <w:pPr>
              <w:spacing w:before="0" w:after="60"/>
              <w:jc w:val="right"/>
              <w:rPr>
                <w:rFonts w:ascii="Arial" w:hAnsi="Arial"/>
                <w:i/>
                <w:sz w:val="16"/>
                <w:szCs w:val="16"/>
                <w:vertAlign w:val="superscript"/>
                <w:lang w:val="en-AU"/>
              </w:rPr>
            </w:pPr>
            <w:r w:rsidRPr="003E76E7">
              <w:rPr>
                <w:rFonts w:ascii="Arial" w:hAnsi="Arial"/>
                <w:i/>
                <w:sz w:val="16"/>
                <w:szCs w:val="16"/>
              </w:rPr>
              <w:t>Expected to be not achieved.</w:t>
            </w:r>
          </w:p>
        </w:tc>
      </w:tr>
      <w:tr w:rsidR="00B35E66" w:rsidRPr="003E76E7" w14:paraId="65E6C4CF" w14:textId="77777777" w:rsidTr="00A211F5">
        <w:trPr>
          <w:trHeight w:val="305"/>
        </w:trPr>
        <w:tc>
          <w:tcPr>
            <w:tcW w:w="1939" w:type="dxa"/>
            <w:tcBorders>
              <w:top w:val="single" w:sz="4" w:space="0" w:color="auto"/>
              <w:left w:val="single" w:sz="4" w:space="0" w:color="auto"/>
              <w:bottom w:val="single" w:sz="4" w:space="0" w:color="auto"/>
              <w:right w:val="single" w:sz="4" w:space="0" w:color="auto"/>
            </w:tcBorders>
            <w:vAlign w:val="center"/>
          </w:tcPr>
          <w:p w14:paraId="43F61C57" w14:textId="3CC6523A" w:rsidR="00B35E66" w:rsidRPr="003E76E7" w:rsidRDefault="00B35E66" w:rsidP="00C4292D">
            <w:pPr>
              <w:pageBreakBefore/>
              <w:tabs>
                <w:tab w:val="left" w:pos="709"/>
              </w:tabs>
              <w:spacing w:before="0" w:after="0"/>
              <w:rPr>
                <w:rFonts w:ascii="Arial" w:hAnsi="Arial"/>
                <w:color w:val="000000"/>
                <w:sz w:val="16"/>
                <w:szCs w:val="16"/>
              </w:rPr>
            </w:pPr>
            <w:r w:rsidRPr="003E76E7">
              <w:rPr>
                <w:rFonts w:ascii="Arial" w:hAnsi="Arial"/>
                <w:b/>
                <w:color w:val="000000"/>
                <w:sz w:val="16"/>
                <w:szCs w:val="16"/>
              </w:rPr>
              <w:lastRenderedPageBreak/>
              <w:t>Year</w:t>
            </w:r>
          </w:p>
        </w:tc>
        <w:tc>
          <w:tcPr>
            <w:tcW w:w="3124" w:type="dxa"/>
            <w:tcBorders>
              <w:top w:val="single" w:sz="4" w:space="0" w:color="auto"/>
              <w:left w:val="single" w:sz="4" w:space="0" w:color="auto"/>
              <w:bottom w:val="single" w:sz="4" w:space="0" w:color="auto"/>
              <w:right w:val="single" w:sz="4" w:space="0" w:color="auto"/>
            </w:tcBorders>
            <w:vAlign w:val="center"/>
          </w:tcPr>
          <w:p w14:paraId="53AA00C2" w14:textId="58B106D8" w:rsidR="00B35E66" w:rsidRPr="003E76E7" w:rsidRDefault="00AD14EC" w:rsidP="00C4292D">
            <w:pPr>
              <w:tabs>
                <w:tab w:val="left" w:pos="709"/>
              </w:tabs>
              <w:spacing w:before="60" w:after="60"/>
              <w:rPr>
                <w:rFonts w:ascii="Arial" w:hAnsi="Arial"/>
                <w:sz w:val="16"/>
                <w:szCs w:val="16"/>
                <w:lang w:val="en-AU"/>
              </w:rPr>
            </w:pPr>
            <w:r w:rsidRPr="003E76E7">
              <w:rPr>
                <w:rFonts w:ascii="Arial" w:hAnsi="Arial"/>
                <w:b/>
                <w:color w:val="000000"/>
                <w:sz w:val="16"/>
                <w:szCs w:val="16"/>
              </w:rPr>
              <w:t>Performance Measures</w:t>
            </w:r>
          </w:p>
        </w:tc>
        <w:tc>
          <w:tcPr>
            <w:tcW w:w="3584" w:type="dxa"/>
            <w:tcBorders>
              <w:top w:val="single" w:sz="4" w:space="0" w:color="auto"/>
              <w:left w:val="single" w:sz="4" w:space="0" w:color="auto"/>
              <w:bottom w:val="single" w:sz="4" w:space="0" w:color="auto"/>
              <w:right w:val="single" w:sz="4" w:space="0" w:color="auto"/>
            </w:tcBorders>
            <w:vAlign w:val="center"/>
          </w:tcPr>
          <w:p w14:paraId="3BEBF36F" w14:textId="7215FEF7" w:rsidR="00B35E66" w:rsidRPr="003E76E7" w:rsidRDefault="00B35E66" w:rsidP="00C4292D">
            <w:pPr>
              <w:tabs>
                <w:tab w:val="left" w:pos="709"/>
              </w:tabs>
              <w:spacing w:before="60" w:after="60"/>
              <w:rPr>
                <w:rFonts w:ascii="Arial" w:hAnsi="Arial"/>
                <w:sz w:val="16"/>
                <w:szCs w:val="16"/>
                <w:lang w:val="en-AU"/>
              </w:rPr>
            </w:pPr>
            <w:r w:rsidRPr="003E76E7">
              <w:rPr>
                <w:rFonts w:ascii="Arial" w:hAnsi="Arial"/>
                <w:b/>
                <w:color w:val="000000"/>
                <w:sz w:val="16"/>
                <w:szCs w:val="16"/>
              </w:rPr>
              <w:t>Expected Performance Results</w:t>
            </w:r>
          </w:p>
        </w:tc>
      </w:tr>
      <w:tr w:rsidR="008F7508" w:rsidRPr="003E76E7" w14:paraId="537CBDC0" w14:textId="77777777" w:rsidTr="00A211F5">
        <w:tblPrEx>
          <w:shd w:val="clear" w:color="auto" w:fill="auto"/>
          <w:tblLook w:val="04A0" w:firstRow="1" w:lastRow="0" w:firstColumn="1" w:lastColumn="0" w:noHBand="0" w:noVBand="1"/>
        </w:tblPrEx>
        <w:trPr>
          <w:trHeight w:val="305"/>
        </w:trPr>
        <w:tc>
          <w:tcPr>
            <w:tcW w:w="1939" w:type="dxa"/>
            <w:tcBorders>
              <w:top w:val="single" w:sz="4" w:space="0" w:color="auto"/>
              <w:left w:val="single" w:sz="4" w:space="0" w:color="auto"/>
              <w:bottom w:val="single" w:sz="4" w:space="0" w:color="auto"/>
              <w:right w:val="single" w:sz="4" w:space="0" w:color="auto"/>
            </w:tcBorders>
          </w:tcPr>
          <w:p w14:paraId="02708051" w14:textId="77777777" w:rsidR="008F7508" w:rsidRPr="003E76E7" w:rsidRDefault="008F7508" w:rsidP="00C4292D">
            <w:pPr>
              <w:tabs>
                <w:tab w:val="left" w:pos="709"/>
              </w:tabs>
              <w:spacing w:before="0" w:after="0"/>
              <w:rPr>
                <w:rFonts w:ascii="Arial" w:hAnsi="Arial"/>
                <w:color w:val="000000"/>
                <w:sz w:val="16"/>
                <w:szCs w:val="16"/>
              </w:rPr>
            </w:pPr>
            <w:r w:rsidRPr="003E76E7">
              <w:rPr>
                <w:rFonts w:ascii="Arial" w:hAnsi="Arial"/>
                <w:color w:val="000000"/>
                <w:sz w:val="16"/>
                <w:szCs w:val="16"/>
              </w:rPr>
              <w:t>Current Year</w:t>
            </w:r>
          </w:p>
          <w:p w14:paraId="6216B3DD" w14:textId="0D995C13" w:rsidR="008F7508" w:rsidRPr="003E76E7" w:rsidRDefault="008F7508" w:rsidP="00C4292D">
            <w:pPr>
              <w:tabs>
                <w:tab w:val="left" w:pos="709"/>
              </w:tabs>
              <w:spacing w:before="0" w:after="0"/>
              <w:rPr>
                <w:rFonts w:ascii="Arial" w:hAnsi="Arial"/>
                <w:color w:val="000000"/>
                <w:sz w:val="16"/>
                <w:szCs w:val="16"/>
              </w:rPr>
            </w:pPr>
            <w:r w:rsidRPr="003E76E7">
              <w:rPr>
                <w:rFonts w:ascii="Arial" w:hAnsi="Arial"/>
                <w:color w:val="000000"/>
                <w:sz w:val="16"/>
                <w:szCs w:val="16"/>
              </w:rPr>
              <w:t xml:space="preserve">2025-26 </w:t>
            </w:r>
            <w:r w:rsidRPr="003E76E7">
              <w:rPr>
                <w:rFonts w:ascii="Arial" w:hAnsi="Arial"/>
                <w:color w:val="000000"/>
                <w:sz w:val="16"/>
                <w:szCs w:val="16"/>
                <w:vertAlign w:val="superscript"/>
              </w:rPr>
              <w:t>[a]</w:t>
            </w:r>
          </w:p>
        </w:tc>
        <w:tc>
          <w:tcPr>
            <w:tcW w:w="3124" w:type="dxa"/>
            <w:tcBorders>
              <w:top w:val="single" w:sz="4" w:space="0" w:color="auto"/>
              <w:left w:val="single" w:sz="4" w:space="0" w:color="auto"/>
              <w:bottom w:val="single" w:sz="4" w:space="0" w:color="auto"/>
              <w:right w:val="single" w:sz="4" w:space="0" w:color="auto"/>
            </w:tcBorders>
          </w:tcPr>
          <w:p w14:paraId="1BFF0D5D" w14:textId="115ACFFF" w:rsidR="008F7508" w:rsidRPr="003E76E7" w:rsidRDefault="008F7508" w:rsidP="00C4292D">
            <w:pPr>
              <w:tabs>
                <w:tab w:val="left" w:pos="709"/>
              </w:tabs>
              <w:spacing w:before="60" w:after="60"/>
              <w:rPr>
                <w:rFonts w:ascii="Arial" w:hAnsi="Arial"/>
                <w:sz w:val="16"/>
                <w:szCs w:val="16"/>
                <w:lang w:val="en-AU"/>
              </w:rPr>
            </w:pPr>
            <w:r w:rsidRPr="003E76E7">
              <w:rPr>
                <w:rFonts w:ascii="Arial" w:hAnsi="Arial"/>
                <w:sz w:val="16"/>
                <w:szCs w:val="16"/>
                <w:lang w:val="en-AU"/>
              </w:rPr>
              <w:t>4.4: Defence supports ADF members and their families by providing access to support services and programs having regard to lifetime wellbeing.</w:t>
            </w:r>
          </w:p>
        </w:tc>
        <w:tc>
          <w:tcPr>
            <w:tcW w:w="3584" w:type="dxa"/>
            <w:tcBorders>
              <w:top w:val="single" w:sz="4" w:space="0" w:color="auto"/>
              <w:left w:val="single" w:sz="4" w:space="0" w:color="auto"/>
              <w:bottom w:val="single" w:sz="4" w:space="0" w:color="auto"/>
              <w:right w:val="single" w:sz="4" w:space="0" w:color="auto"/>
            </w:tcBorders>
          </w:tcPr>
          <w:p w14:paraId="43E04B00" w14:textId="634568B6" w:rsidR="008F7508" w:rsidRPr="003E76E7" w:rsidRDefault="008F7508" w:rsidP="00C4292D">
            <w:pPr>
              <w:tabs>
                <w:tab w:val="left" w:pos="709"/>
              </w:tabs>
              <w:spacing w:before="60" w:after="60"/>
              <w:rPr>
                <w:rFonts w:ascii="Arial" w:hAnsi="Arial"/>
                <w:sz w:val="16"/>
                <w:szCs w:val="16"/>
                <w:lang w:val="en-AU"/>
              </w:rPr>
            </w:pPr>
            <w:r w:rsidRPr="003E76E7">
              <w:rPr>
                <w:rFonts w:ascii="Arial" w:hAnsi="Arial"/>
                <w:sz w:val="16"/>
                <w:szCs w:val="16"/>
                <w:lang w:val="en-AU"/>
              </w:rPr>
              <w:t xml:space="preserve">At least 75 per cent of eligible full-time ADF members and their families are registered with the ADF Family Health Program, 100 per cent of the support services of the Partner Assistance Employment Program, Education Assistance Scheme, and Special Accommodation for Emergencies Scheme are provided to full-time ADF and their families in accordance with identified service delivery timeframes, there is an increase in the percentage of Defence suicide prevention training participants who assess that the training is practical, tailored and informed by lived experience, and 100 per cent of </w:t>
            </w:r>
            <w:r w:rsidR="007859A7" w:rsidRPr="003E76E7">
              <w:rPr>
                <w:rFonts w:ascii="Arial" w:hAnsi="Arial"/>
                <w:sz w:val="16"/>
                <w:szCs w:val="16"/>
                <w:lang w:val="en-AU"/>
              </w:rPr>
              <w:br/>
            </w:r>
            <w:r w:rsidRPr="003E76E7">
              <w:rPr>
                <w:rFonts w:ascii="Arial" w:hAnsi="Arial"/>
                <w:sz w:val="16"/>
                <w:szCs w:val="16"/>
                <w:lang w:val="en-AU"/>
              </w:rPr>
              <w:t>Defence-led, Government-agreed recommendations from the Royal Commission into Defence and Veteran Suicide Final Report are complete, or on-track.</w:t>
            </w:r>
          </w:p>
          <w:p w14:paraId="64881439" w14:textId="1CAE76C1" w:rsidR="008F7508" w:rsidRPr="003E76E7" w:rsidRDefault="008F7508" w:rsidP="00C4292D">
            <w:pPr>
              <w:tabs>
                <w:tab w:val="left" w:pos="709"/>
              </w:tabs>
              <w:spacing w:before="60" w:after="60"/>
              <w:jc w:val="right"/>
              <w:rPr>
                <w:rFonts w:ascii="Arial" w:hAnsi="Arial"/>
                <w:i/>
                <w:sz w:val="16"/>
                <w:szCs w:val="16"/>
                <w:lang w:val="en-AU"/>
              </w:rPr>
            </w:pPr>
            <w:r w:rsidRPr="003E76E7">
              <w:rPr>
                <w:rFonts w:ascii="Arial" w:hAnsi="Arial"/>
                <w:i/>
                <w:sz w:val="16"/>
                <w:szCs w:val="16"/>
                <w:lang w:val="en-AU"/>
              </w:rPr>
              <w:t>Expected to be substantially achieved.</w:t>
            </w:r>
          </w:p>
        </w:tc>
      </w:tr>
      <w:tr w:rsidR="00B35E66" w:rsidRPr="003E76E7" w14:paraId="3C38526C" w14:textId="77777777" w:rsidTr="00A211F5">
        <w:trPr>
          <w:trHeight w:val="258"/>
        </w:trPr>
        <w:tc>
          <w:tcPr>
            <w:tcW w:w="1939" w:type="dxa"/>
            <w:tcBorders>
              <w:top w:val="single" w:sz="4" w:space="0" w:color="auto"/>
              <w:left w:val="single" w:sz="4" w:space="0" w:color="auto"/>
              <w:bottom w:val="single" w:sz="4" w:space="0" w:color="auto"/>
              <w:right w:val="single" w:sz="4" w:space="0" w:color="auto"/>
            </w:tcBorders>
            <w:vAlign w:val="center"/>
          </w:tcPr>
          <w:p w14:paraId="73884FEE" w14:textId="77777777" w:rsidR="00B35E66" w:rsidRPr="003E76E7" w:rsidRDefault="00B35E66" w:rsidP="00C4292D">
            <w:pPr>
              <w:tabs>
                <w:tab w:val="left" w:pos="709"/>
              </w:tabs>
              <w:spacing w:before="60" w:after="60"/>
              <w:rPr>
                <w:rFonts w:ascii="Arial" w:hAnsi="Arial"/>
                <w:b/>
                <w:color w:val="000000"/>
                <w:sz w:val="16"/>
                <w:szCs w:val="16"/>
              </w:rPr>
            </w:pPr>
            <w:r w:rsidRPr="003E76E7">
              <w:rPr>
                <w:rFonts w:ascii="Arial" w:hAnsi="Arial"/>
                <w:b/>
                <w:color w:val="000000"/>
                <w:sz w:val="16"/>
                <w:szCs w:val="16"/>
              </w:rPr>
              <w:t>Year</w:t>
            </w:r>
          </w:p>
        </w:tc>
        <w:tc>
          <w:tcPr>
            <w:tcW w:w="3124" w:type="dxa"/>
            <w:tcBorders>
              <w:top w:val="single" w:sz="4" w:space="0" w:color="auto"/>
              <w:left w:val="single" w:sz="4" w:space="0" w:color="auto"/>
              <w:bottom w:val="single" w:sz="4" w:space="0" w:color="auto"/>
              <w:right w:val="single" w:sz="4" w:space="0" w:color="auto"/>
            </w:tcBorders>
            <w:vAlign w:val="center"/>
          </w:tcPr>
          <w:p w14:paraId="4F6F4DDA" w14:textId="020D762C" w:rsidR="00B35E66" w:rsidRPr="003E76E7" w:rsidRDefault="00AD14EC" w:rsidP="00C4292D">
            <w:pPr>
              <w:tabs>
                <w:tab w:val="left" w:pos="709"/>
                <w:tab w:val="center" w:pos="1818"/>
              </w:tabs>
              <w:spacing w:before="60" w:after="60"/>
              <w:rPr>
                <w:rFonts w:ascii="Arial" w:hAnsi="Arial"/>
                <w:b/>
                <w:color w:val="000000"/>
                <w:sz w:val="16"/>
                <w:szCs w:val="16"/>
              </w:rPr>
            </w:pPr>
            <w:r w:rsidRPr="003E76E7">
              <w:rPr>
                <w:rFonts w:ascii="Arial" w:hAnsi="Arial"/>
                <w:b/>
                <w:color w:val="000000"/>
                <w:sz w:val="16"/>
                <w:szCs w:val="16"/>
              </w:rPr>
              <w:t>Performance Measures</w:t>
            </w:r>
          </w:p>
        </w:tc>
        <w:tc>
          <w:tcPr>
            <w:tcW w:w="3584" w:type="dxa"/>
            <w:tcBorders>
              <w:top w:val="single" w:sz="4" w:space="0" w:color="auto"/>
              <w:left w:val="single" w:sz="4" w:space="0" w:color="auto"/>
              <w:bottom w:val="single" w:sz="4" w:space="0" w:color="auto"/>
              <w:right w:val="single" w:sz="4" w:space="0" w:color="auto"/>
            </w:tcBorders>
            <w:vAlign w:val="center"/>
          </w:tcPr>
          <w:p w14:paraId="7C0A8FB7" w14:textId="77777777" w:rsidR="00B35E66" w:rsidRPr="003E76E7" w:rsidRDefault="00B35E66" w:rsidP="00C4292D">
            <w:pPr>
              <w:tabs>
                <w:tab w:val="left" w:pos="709"/>
              </w:tabs>
              <w:spacing w:before="60" w:after="60"/>
              <w:rPr>
                <w:rFonts w:ascii="Arial" w:hAnsi="Arial"/>
                <w:b/>
                <w:color w:val="000000"/>
                <w:sz w:val="16"/>
                <w:szCs w:val="16"/>
              </w:rPr>
            </w:pPr>
            <w:r w:rsidRPr="003E76E7">
              <w:rPr>
                <w:rFonts w:ascii="Arial" w:hAnsi="Arial"/>
                <w:b/>
                <w:color w:val="000000"/>
                <w:sz w:val="16"/>
                <w:szCs w:val="16"/>
              </w:rPr>
              <w:t>Planned Performance Results</w:t>
            </w:r>
          </w:p>
        </w:tc>
      </w:tr>
      <w:tr w:rsidR="008F7508" w:rsidRPr="003E76E7" w14:paraId="7A507A50" w14:textId="77777777" w:rsidTr="00A211F5">
        <w:trPr>
          <w:trHeight w:val="320"/>
        </w:trPr>
        <w:tc>
          <w:tcPr>
            <w:tcW w:w="1939" w:type="dxa"/>
            <w:vMerge w:val="restart"/>
            <w:tcBorders>
              <w:top w:val="single" w:sz="4" w:space="0" w:color="auto"/>
              <w:left w:val="single" w:sz="4" w:space="0" w:color="auto"/>
              <w:right w:val="single" w:sz="4" w:space="0" w:color="auto"/>
            </w:tcBorders>
          </w:tcPr>
          <w:p w14:paraId="57BEC549" w14:textId="77777777" w:rsidR="008F7508" w:rsidRPr="003E76E7" w:rsidRDefault="008F7508" w:rsidP="00C4292D">
            <w:pPr>
              <w:tabs>
                <w:tab w:val="left" w:pos="709"/>
              </w:tabs>
              <w:spacing w:before="0" w:after="0"/>
              <w:rPr>
                <w:rFonts w:ascii="Arial" w:hAnsi="Arial"/>
                <w:color w:val="000000"/>
                <w:sz w:val="16"/>
                <w:szCs w:val="16"/>
              </w:rPr>
            </w:pPr>
            <w:r w:rsidRPr="003E76E7">
              <w:rPr>
                <w:rFonts w:ascii="Arial" w:hAnsi="Arial"/>
                <w:color w:val="000000"/>
                <w:sz w:val="16"/>
                <w:szCs w:val="16"/>
              </w:rPr>
              <w:t>Budget Year</w:t>
            </w:r>
          </w:p>
          <w:p w14:paraId="4CA3695F" w14:textId="2DCA1B99" w:rsidR="008F7508" w:rsidRPr="003E76E7" w:rsidRDefault="008F7508" w:rsidP="00C4292D">
            <w:pPr>
              <w:tabs>
                <w:tab w:val="left" w:pos="709"/>
              </w:tabs>
              <w:spacing w:before="0" w:after="0"/>
              <w:rPr>
                <w:rFonts w:ascii="Arial" w:hAnsi="Arial"/>
                <w:color w:val="000000"/>
                <w:sz w:val="16"/>
                <w:szCs w:val="16"/>
              </w:rPr>
            </w:pPr>
            <w:r w:rsidRPr="003E76E7">
              <w:rPr>
                <w:rFonts w:ascii="Arial" w:hAnsi="Arial"/>
                <w:color w:val="000000"/>
                <w:sz w:val="16"/>
                <w:szCs w:val="16"/>
              </w:rPr>
              <w:t xml:space="preserve">2026-27 </w:t>
            </w:r>
            <w:r w:rsidRPr="003E76E7">
              <w:rPr>
                <w:rFonts w:ascii="Arial" w:hAnsi="Arial"/>
                <w:color w:val="000000"/>
                <w:sz w:val="16"/>
                <w:szCs w:val="16"/>
                <w:vertAlign w:val="superscript"/>
              </w:rPr>
              <w:t>[</w:t>
            </w:r>
            <w:r w:rsidR="00C4447C" w:rsidRPr="003E76E7">
              <w:rPr>
                <w:rFonts w:ascii="Arial" w:hAnsi="Arial"/>
                <w:color w:val="000000"/>
                <w:sz w:val="16"/>
                <w:szCs w:val="16"/>
                <w:vertAlign w:val="superscript"/>
              </w:rPr>
              <w:t>b</w:t>
            </w:r>
            <w:r w:rsidRPr="003E76E7">
              <w:rPr>
                <w:rFonts w:ascii="Arial" w:hAnsi="Arial"/>
                <w:color w:val="000000"/>
                <w:sz w:val="16"/>
                <w:szCs w:val="16"/>
                <w:vertAlign w:val="superscript"/>
              </w:rPr>
              <w:t>]</w:t>
            </w:r>
          </w:p>
        </w:tc>
        <w:tc>
          <w:tcPr>
            <w:tcW w:w="3124" w:type="dxa"/>
            <w:tcBorders>
              <w:top w:val="single" w:sz="4" w:space="0" w:color="auto"/>
              <w:left w:val="single" w:sz="4" w:space="0" w:color="auto"/>
              <w:bottom w:val="single" w:sz="4" w:space="0" w:color="auto"/>
              <w:right w:val="single" w:sz="4" w:space="0" w:color="auto"/>
            </w:tcBorders>
          </w:tcPr>
          <w:p w14:paraId="340E31E9" w14:textId="205852C4" w:rsidR="008F7508" w:rsidRPr="003E76E7" w:rsidRDefault="008F7508" w:rsidP="00C4292D">
            <w:pPr>
              <w:tabs>
                <w:tab w:val="left" w:pos="709"/>
              </w:tabs>
              <w:spacing w:before="60" w:after="60"/>
              <w:rPr>
                <w:rFonts w:ascii="Arial" w:hAnsi="Arial"/>
                <w:sz w:val="16"/>
                <w:szCs w:val="16"/>
                <w:lang w:val="en-AU"/>
              </w:rPr>
            </w:pPr>
            <w:r w:rsidRPr="003E76E7">
              <w:rPr>
                <w:rFonts w:ascii="Arial" w:hAnsi="Arial"/>
                <w:sz w:val="16"/>
                <w:szCs w:val="16"/>
                <w:lang w:val="en-AU"/>
              </w:rPr>
              <w:t>4.1: Defence recruits and retains an ADF and APS workforce to support the Defence mission.</w:t>
            </w:r>
          </w:p>
        </w:tc>
        <w:tc>
          <w:tcPr>
            <w:tcW w:w="3584" w:type="dxa"/>
            <w:tcBorders>
              <w:top w:val="single" w:sz="4" w:space="0" w:color="auto"/>
              <w:left w:val="single" w:sz="4" w:space="0" w:color="auto"/>
              <w:bottom w:val="single" w:sz="4" w:space="0" w:color="auto"/>
              <w:right w:val="single" w:sz="4" w:space="0" w:color="auto"/>
            </w:tcBorders>
          </w:tcPr>
          <w:p w14:paraId="1F9D8DAA" w14:textId="0212612E" w:rsidR="008F7508" w:rsidRPr="003E76E7" w:rsidRDefault="008F7508" w:rsidP="00C4292D">
            <w:pPr>
              <w:tabs>
                <w:tab w:val="left" w:pos="709"/>
              </w:tabs>
              <w:spacing w:before="60" w:after="60"/>
              <w:rPr>
                <w:rFonts w:ascii="Arial" w:hAnsi="Arial"/>
                <w:sz w:val="16"/>
                <w:szCs w:val="16"/>
                <w:lang w:val="en-AU"/>
              </w:rPr>
            </w:pPr>
            <w:r w:rsidRPr="003E76E7">
              <w:rPr>
                <w:rFonts w:ascii="Arial" w:hAnsi="Arial"/>
                <w:sz w:val="16"/>
                <w:szCs w:val="16"/>
              </w:rPr>
              <w:t xml:space="preserve">Defence achieves the ADF and APS Budgeted Workforce Requirement as set out in the Portfolio Budget Statements and the net flow of the ADF and APS workforce over a </w:t>
            </w:r>
            <w:r w:rsidR="007859A7" w:rsidRPr="003E76E7">
              <w:rPr>
                <w:rFonts w:ascii="Arial" w:hAnsi="Arial"/>
                <w:sz w:val="16"/>
                <w:szCs w:val="16"/>
              </w:rPr>
              <w:br/>
            </w:r>
            <w:r w:rsidRPr="003E76E7">
              <w:rPr>
                <w:rFonts w:ascii="Arial" w:hAnsi="Arial"/>
                <w:sz w:val="16"/>
                <w:szCs w:val="16"/>
              </w:rPr>
              <w:t xml:space="preserve">12 month period is trending positive and is positioning Defence to achieve the Budgeted Workforce Requirement over the </w:t>
            </w:r>
            <w:r w:rsidR="00010CA6" w:rsidRPr="003E76E7">
              <w:rPr>
                <w:rFonts w:ascii="Arial" w:hAnsi="Arial"/>
                <w:sz w:val="16"/>
                <w:szCs w:val="16"/>
              </w:rPr>
              <w:t>F</w:t>
            </w:r>
            <w:r w:rsidRPr="003E76E7">
              <w:rPr>
                <w:rFonts w:ascii="Arial" w:hAnsi="Arial"/>
                <w:sz w:val="16"/>
                <w:szCs w:val="16"/>
              </w:rPr>
              <w:t xml:space="preserve">orward </w:t>
            </w:r>
            <w:r w:rsidR="00010CA6" w:rsidRPr="003E76E7">
              <w:rPr>
                <w:rFonts w:ascii="Arial" w:hAnsi="Arial"/>
                <w:sz w:val="16"/>
                <w:szCs w:val="16"/>
              </w:rPr>
              <w:t>E</w:t>
            </w:r>
            <w:r w:rsidRPr="003E76E7">
              <w:rPr>
                <w:rFonts w:ascii="Arial" w:hAnsi="Arial"/>
                <w:sz w:val="16"/>
                <w:szCs w:val="16"/>
              </w:rPr>
              <w:t>stimates.</w:t>
            </w:r>
          </w:p>
        </w:tc>
      </w:tr>
      <w:tr w:rsidR="008F7508" w:rsidRPr="003E76E7" w14:paraId="278B143A" w14:textId="77777777" w:rsidTr="00A211F5">
        <w:trPr>
          <w:trHeight w:val="320"/>
        </w:trPr>
        <w:tc>
          <w:tcPr>
            <w:tcW w:w="1939" w:type="dxa"/>
            <w:vMerge/>
            <w:tcBorders>
              <w:left w:val="single" w:sz="4" w:space="0" w:color="auto"/>
              <w:right w:val="single" w:sz="4" w:space="0" w:color="auto"/>
            </w:tcBorders>
          </w:tcPr>
          <w:p w14:paraId="7C713ACE" w14:textId="7EDF8814" w:rsidR="008F7508" w:rsidRPr="003E76E7" w:rsidRDefault="008F7508" w:rsidP="00C4292D">
            <w:pPr>
              <w:tabs>
                <w:tab w:val="left" w:pos="709"/>
              </w:tabs>
              <w:spacing w:before="0" w:after="0"/>
              <w:rPr>
                <w:rFonts w:ascii="Arial" w:hAnsi="Arial"/>
                <w:color w:val="000000"/>
                <w:sz w:val="16"/>
                <w:szCs w:val="16"/>
              </w:rPr>
            </w:pPr>
          </w:p>
        </w:tc>
        <w:tc>
          <w:tcPr>
            <w:tcW w:w="3124" w:type="dxa"/>
            <w:tcBorders>
              <w:top w:val="single" w:sz="4" w:space="0" w:color="auto"/>
              <w:left w:val="single" w:sz="4" w:space="0" w:color="auto"/>
              <w:bottom w:val="single" w:sz="4" w:space="0" w:color="auto"/>
              <w:right w:val="single" w:sz="4" w:space="0" w:color="auto"/>
            </w:tcBorders>
          </w:tcPr>
          <w:p w14:paraId="1EE9F8D5" w14:textId="0292F324" w:rsidR="008F7508" w:rsidRPr="003E76E7" w:rsidRDefault="008F7508" w:rsidP="00C4292D">
            <w:pPr>
              <w:tabs>
                <w:tab w:val="left" w:pos="709"/>
              </w:tabs>
              <w:spacing w:before="60" w:after="60"/>
              <w:rPr>
                <w:rFonts w:ascii="Arial" w:hAnsi="Arial"/>
                <w:sz w:val="16"/>
                <w:szCs w:val="16"/>
                <w:lang w:val="en-AU"/>
              </w:rPr>
            </w:pPr>
            <w:r w:rsidRPr="003E76E7">
              <w:rPr>
                <w:rFonts w:ascii="Arial" w:hAnsi="Arial"/>
                <w:sz w:val="16"/>
                <w:szCs w:val="16"/>
                <w:lang w:val="en-AU"/>
              </w:rPr>
              <w:t>4.2: Defence grows the necessary skills and capabilities to enable the Defence mission.</w:t>
            </w:r>
          </w:p>
        </w:tc>
        <w:tc>
          <w:tcPr>
            <w:tcW w:w="3584" w:type="dxa"/>
            <w:tcBorders>
              <w:top w:val="single" w:sz="4" w:space="0" w:color="auto"/>
              <w:left w:val="single" w:sz="4" w:space="0" w:color="auto"/>
              <w:bottom w:val="single" w:sz="4" w:space="0" w:color="auto"/>
              <w:right w:val="single" w:sz="4" w:space="0" w:color="auto"/>
            </w:tcBorders>
          </w:tcPr>
          <w:p w14:paraId="10FBD0EF" w14:textId="31FEC26B" w:rsidR="008F7508" w:rsidRPr="003E76E7" w:rsidRDefault="008F7508" w:rsidP="00C4292D">
            <w:pPr>
              <w:tabs>
                <w:tab w:val="left" w:pos="709"/>
              </w:tabs>
              <w:spacing w:before="60" w:after="60"/>
              <w:rPr>
                <w:rFonts w:ascii="Arial" w:hAnsi="Arial"/>
                <w:i/>
                <w:sz w:val="16"/>
                <w:szCs w:val="16"/>
                <w:lang w:val="en-AU"/>
              </w:rPr>
            </w:pPr>
            <w:r w:rsidRPr="003E76E7">
              <w:rPr>
                <w:rFonts w:ascii="Arial" w:hAnsi="Arial"/>
                <w:sz w:val="16"/>
                <w:szCs w:val="16"/>
                <w:lang w:val="en-AU"/>
              </w:rPr>
              <w:t xml:space="preserve">The Defence workforce has the technical skills required to deliver the National Defence Strategy, as measured through achieving a full workforce against each of the ADF and APS Strategic Workforce Segments, the net flow of the ADF and APS Strategic Workforce Segments over the financial year, measured against the Budgeted Workforce Requirement, will enable Defence to achieve its future technical skill requirements, and the Australian Submarine Agency are staffed with the required ADF personnel to deliver the </w:t>
            </w:r>
            <w:r w:rsidR="007859A7" w:rsidRPr="003E76E7">
              <w:rPr>
                <w:rFonts w:ascii="Arial" w:hAnsi="Arial"/>
                <w:sz w:val="16"/>
                <w:szCs w:val="16"/>
                <w:lang w:val="en-AU"/>
              </w:rPr>
              <w:br/>
            </w:r>
            <w:r w:rsidRPr="003E76E7">
              <w:rPr>
                <w:rFonts w:ascii="Arial" w:hAnsi="Arial"/>
                <w:sz w:val="16"/>
                <w:szCs w:val="16"/>
                <w:lang w:val="en-AU"/>
              </w:rPr>
              <w:t>Nuclear-Powered Submarine Program.</w:t>
            </w:r>
          </w:p>
        </w:tc>
      </w:tr>
      <w:tr w:rsidR="008F7508" w:rsidRPr="003E76E7" w14:paraId="2B4B09AC" w14:textId="77777777" w:rsidTr="00A211F5">
        <w:trPr>
          <w:trHeight w:val="320"/>
        </w:trPr>
        <w:tc>
          <w:tcPr>
            <w:tcW w:w="1939" w:type="dxa"/>
            <w:vMerge/>
            <w:tcBorders>
              <w:left w:val="single" w:sz="4" w:space="0" w:color="auto"/>
              <w:right w:val="single" w:sz="4" w:space="0" w:color="auto"/>
            </w:tcBorders>
          </w:tcPr>
          <w:p w14:paraId="75D2D39C" w14:textId="6763F8DB" w:rsidR="008F7508" w:rsidRPr="003E76E7" w:rsidRDefault="008F7508" w:rsidP="00C4292D">
            <w:pPr>
              <w:tabs>
                <w:tab w:val="left" w:pos="709"/>
              </w:tabs>
              <w:spacing w:before="0" w:after="0"/>
              <w:rPr>
                <w:rFonts w:ascii="Arial" w:hAnsi="Arial"/>
                <w:color w:val="000000"/>
                <w:sz w:val="16"/>
                <w:szCs w:val="16"/>
              </w:rPr>
            </w:pPr>
          </w:p>
        </w:tc>
        <w:tc>
          <w:tcPr>
            <w:tcW w:w="3124" w:type="dxa"/>
            <w:tcBorders>
              <w:top w:val="single" w:sz="4" w:space="0" w:color="auto"/>
              <w:left w:val="single" w:sz="4" w:space="0" w:color="auto"/>
              <w:bottom w:val="single" w:sz="4" w:space="0" w:color="auto"/>
              <w:right w:val="single" w:sz="4" w:space="0" w:color="auto"/>
            </w:tcBorders>
          </w:tcPr>
          <w:p w14:paraId="340CEDCD" w14:textId="71AA89A2" w:rsidR="008F7508" w:rsidRPr="003E76E7" w:rsidRDefault="008F7508" w:rsidP="00C4292D">
            <w:pPr>
              <w:tabs>
                <w:tab w:val="left" w:pos="709"/>
              </w:tabs>
              <w:spacing w:before="60" w:after="60"/>
              <w:rPr>
                <w:rFonts w:ascii="Arial" w:hAnsi="Arial"/>
                <w:sz w:val="16"/>
                <w:szCs w:val="16"/>
                <w:lang w:val="en-AU"/>
              </w:rPr>
            </w:pPr>
            <w:r w:rsidRPr="003E76E7">
              <w:rPr>
                <w:rFonts w:ascii="Arial" w:hAnsi="Arial"/>
                <w:sz w:val="16"/>
                <w:szCs w:val="16"/>
                <w:lang w:val="en-AU"/>
              </w:rPr>
              <w:t>4.3: The Defence values and behaviours enable our people to deliver against the Defence mission.</w:t>
            </w:r>
          </w:p>
        </w:tc>
        <w:tc>
          <w:tcPr>
            <w:tcW w:w="3584" w:type="dxa"/>
            <w:tcBorders>
              <w:top w:val="single" w:sz="4" w:space="0" w:color="auto"/>
              <w:left w:val="single" w:sz="4" w:space="0" w:color="auto"/>
              <w:bottom w:val="single" w:sz="4" w:space="0" w:color="auto"/>
              <w:right w:val="single" w:sz="4" w:space="0" w:color="auto"/>
            </w:tcBorders>
          </w:tcPr>
          <w:p w14:paraId="6F0B9B20" w14:textId="3C588EDB" w:rsidR="008F7508" w:rsidRPr="003E76E7" w:rsidRDefault="008F7508" w:rsidP="00C4292D">
            <w:pPr>
              <w:tabs>
                <w:tab w:val="left" w:pos="709"/>
              </w:tabs>
              <w:spacing w:before="60" w:after="60"/>
              <w:rPr>
                <w:rFonts w:ascii="Arial" w:hAnsi="Arial"/>
                <w:sz w:val="16"/>
                <w:szCs w:val="16"/>
                <w:lang w:val="en-AU"/>
              </w:rPr>
            </w:pPr>
            <w:r w:rsidRPr="003E76E7">
              <w:rPr>
                <w:rFonts w:ascii="Arial" w:hAnsi="Arial"/>
                <w:sz w:val="16"/>
                <w:szCs w:val="16"/>
              </w:rPr>
              <w:t xml:space="preserve">All ADF and Defence APS personnel believe appropriate action will be taken if they report an incident of unacceptable behaviour in the preceding 12 months, no ADF and Defence APS personnel have experienced unacceptable behaviour in the preceding </w:t>
            </w:r>
            <w:r w:rsidR="00547AF7" w:rsidRPr="003E76E7">
              <w:rPr>
                <w:rFonts w:ascii="Arial" w:hAnsi="Arial"/>
                <w:sz w:val="16"/>
                <w:szCs w:val="16"/>
              </w:rPr>
              <w:br/>
            </w:r>
            <w:r w:rsidRPr="003E76E7">
              <w:rPr>
                <w:rFonts w:ascii="Arial" w:hAnsi="Arial"/>
                <w:sz w:val="16"/>
                <w:szCs w:val="16"/>
              </w:rPr>
              <w:t>12 months, and all ADF and Defence APS personnel view that Defence values are being used in their work area.</w:t>
            </w:r>
          </w:p>
        </w:tc>
      </w:tr>
    </w:tbl>
    <w:p w14:paraId="5E69BDBE" w14:textId="77777777" w:rsidR="003C250B" w:rsidRPr="003E76E7" w:rsidRDefault="003C250B" w:rsidP="00C4292D">
      <w:r w:rsidRPr="003E76E7">
        <w:br w:type="page"/>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3"/>
        <w:gridCol w:w="3032"/>
        <w:gridCol w:w="3636"/>
      </w:tblGrid>
      <w:tr w:rsidR="003C250B" w:rsidRPr="003E76E7" w14:paraId="6C31B38D" w14:textId="77777777" w:rsidTr="00A211F5">
        <w:trPr>
          <w:trHeight w:val="320"/>
        </w:trPr>
        <w:tc>
          <w:tcPr>
            <w:tcW w:w="1779" w:type="dxa"/>
            <w:tcBorders>
              <w:left w:val="single" w:sz="4" w:space="0" w:color="auto"/>
              <w:bottom w:val="single" w:sz="4" w:space="0" w:color="auto"/>
              <w:right w:val="single" w:sz="4" w:space="0" w:color="auto"/>
            </w:tcBorders>
            <w:vAlign w:val="center"/>
          </w:tcPr>
          <w:p w14:paraId="4DBA1AD1" w14:textId="1C82DCF0" w:rsidR="003C250B" w:rsidRPr="003E76E7" w:rsidRDefault="003C250B" w:rsidP="00C4292D">
            <w:pPr>
              <w:tabs>
                <w:tab w:val="left" w:pos="709"/>
              </w:tabs>
              <w:spacing w:before="60" w:after="60"/>
              <w:rPr>
                <w:rFonts w:ascii="Arial" w:hAnsi="Arial"/>
                <w:color w:val="000000"/>
                <w:sz w:val="16"/>
                <w:szCs w:val="16"/>
              </w:rPr>
            </w:pPr>
            <w:r w:rsidRPr="003E76E7">
              <w:rPr>
                <w:rFonts w:ascii="Arial" w:hAnsi="Arial"/>
                <w:b/>
                <w:color w:val="000000"/>
                <w:sz w:val="16"/>
                <w:szCs w:val="16"/>
              </w:rPr>
              <w:lastRenderedPageBreak/>
              <w:t>Year</w:t>
            </w:r>
          </w:p>
        </w:tc>
        <w:tc>
          <w:tcPr>
            <w:tcW w:w="2865" w:type="dxa"/>
            <w:tcBorders>
              <w:top w:val="single" w:sz="4" w:space="0" w:color="auto"/>
              <w:left w:val="single" w:sz="4" w:space="0" w:color="auto"/>
              <w:bottom w:val="single" w:sz="4" w:space="0" w:color="auto"/>
              <w:right w:val="single" w:sz="4" w:space="0" w:color="auto"/>
            </w:tcBorders>
            <w:vAlign w:val="center"/>
          </w:tcPr>
          <w:p w14:paraId="77A3B284" w14:textId="2820A953" w:rsidR="003C250B" w:rsidRPr="003E76E7" w:rsidRDefault="00AD14EC" w:rsidP="00C4292D">
            <w:pPr>
              <w:tabs>
                <w:tab w:val="left" w:pos="709"/>
              </w:tabs>
              <w:spacing w:before="60" w:after="60"/>
              <w:rPr>
                <w:rFonts w:ascii="Arial" w:hAnsi="Arial"/>
                <w:sz w:val="16"/>
                <w:szCs w:val="16"/>
                <w:lang w:val="en-AU"/>
              </w:rPr>
            </w:pPr>
            <w:r w:rsidRPr="003E76E7">
              <w:rPr>
                <w:rFonts w:ascii="Arial" w:hAnsi="Arial"/>
                <w:b/>
                <w:color w:val="000000"/>
                <w:sz w:val="16"/>
                <w:szCs w:val="16"/>
              </w:rPr>
              <w:t>Performance Measures</w:t>
            </w:r>
          </w:p>
        </w:tc>
        <w:tc>
          <w:tcPr>
            <w:tcW w:w="3436" w:type="dxa"/>
            <w:tcBorders>
              <w:top w:val="single" w:sz="4" w:space="0" w:color="auto"/>
              <w:left w:val="single" w:sz="4" w:space="0" w:color="auto"/>
              <w:bottom w:val="single" w:sz="4" w:space="0" w:color="auto"/>
              <w:right w:val="single" w:sz="4" w:space="0" w:color="auto"/>
            </w:tcBorders>
            <w:vAlign w:val="center"/>
          </w:tcPr>
          <w:p w14:paraId="5E04760D" w14:textId="5993B9E9" w:rsidR="003C250B" w:rsidRPr="003E76E7" w:rsidRDefault="003C250B" w:rsidP="00C4292D">
            <w:pPr>
              <w:tabs>
                <w:tab w:val="left" w:pos="709"/>
              </w:tabs>
              <w:spacing w:before="60" w:after="60"/>
              <w:rPr>
                <w:rFonts w:ascii="Arial" w:hAnsi="Arial"/>
                <w:sz w:val="16"/>
                <w:szCs w:val="16"/>
                <w:lang w:val="en-AU"/>
              </w:rPr>
            </w:pPr>
            <w:r w:rsidRPr="003E76E7">
              <w:rPr>
                <w:rFonts w:ascii="Arial" w:hAnsi="Arial"/>
                <w:b/>
                <w:color w:val="000000"/>
                <w:sz w:val="16"/>
                <w:szCs w:val="16"/>
              </w:rPr>
              <w:t>Planned Performance Results</w:t>
            </w:r>
          </w:p>
        </w:tc>
      </w:tr>
      <w:tr w:rsidR="003C250B" w:rsidRPr="003E76E7" w14:paraId="6DAE3A6C" w14:textId="77777777" w:rsidTr="00A211F5">
        <w:trPr>
          <w:trHeight w:val="320"/>
        </w:trPr>
        <w:tc>
          <w:tcPr>
            <w:tcW w:w="1779" w:type="dxa"/>
            <w:tcBorders>
              <w:left w:val="single" w:sz="4" w:space="0" w:color="auto"/>
              <w:bottom w:val="single" w:sz="4" w:space="0" w:color="auto"/>
              <w:right w:val="single" w:sz="4" w:space="0" w:color="auto"/>
            </w:tcBorders>
          </w:tcPr>
          <w:p w14:paraId="005681A2" w14:textId="77777777" w:rsidR="00232C21" w:rsidRPr="003E76E7" w:rsidRDefault="00232C21" w:rsidP="00C4292D">
            <w:pPr>
              <w:tabs>
                <w:tab w:val="left" w:pos="709"/>
              </w:tabs>
              <w:spacing w:before="0" w:after="0"/>
              <w:rPr>
                <w:rFonts w:ascii="Arial" w:hAnsi="Arial"/>
                <w:color w:val="000000"/>
                <w:sz w:val="16"/>
                <w:szCs w:val="16"/>
              </w:rPr>
            </w:pPr>
            <w:r w:rsidRPr="003E76E7">
              <w:rPr>
                <w:rFonts w:ascii="Arial" w:hAnsi="Arial"/>
                <w:color w:val="000000"/>
                <w:sz w:val="16"/>
                <w:szCs w:val="16"/>
              </w:rPr>
              <w:t>Budget Year</w:t>
            </w:r>
          </w:p>
          <w:p w14:paraId="78BEC673" w14:textId="3D917EBF" w:rsidR="003C250B" w:rsidRPr="003E76E7" w:rsidRDefault="00232C21" w:rsidP="00C4292D">
            <w:pPr>
              <w:tabs>
                <w:tab w:val="left" w:pos="709"/>
              </w:tabs>
              <w:spacing w:before="0" w:after="0"/>
              <w:rPr>
                <w:rFonts w:ascii="Arial" w:hAnsi="Arial"/>
                <w:color w:val="000000"/>
                <w:sz w:val="16"/>
                <w:szCs w:val="16"/>
              </w:rPr>
            </w:pPr>
            <w:r w:rsidRPr="003E76E7">
              <w:rPr>
                <w:rFonts w:ascii="Arial" w:hAnsi="Arial"/>
                <w:color w:val="000000"/>
                <w:sz w:val="16"/>
                <w:szCs w:val="16"/>
              </w:rPr>
              <w:t xml:space="preserve">2026-27 </w:t>
            </w:r>
            <w:r w:rsidRPr="003E76E7">
              <w:rPr>
                <w:rFonts w:ascii="Arial" w:hAnsi="Arial"/>
                <w:color w:val="000000"/>
                <w:sz w:val="16"/>
                <w:szCs w:val="16"/>
                <w:vertAlign w:val="superscript"/>
              </w:rPr>
              <w:t>[</w:t>
            </w:r>
            <w:r w:rsidR="00C4447C" w:rsidRPr="003E76E7">
              <w:rPr>
                <w:rFonts w:ascii="Arial" w:hAnsi="Arial"/>
                <w:color w:val="000000"/>
                <w:sz w:val="16"/>
                <w:szCs w:val="16"/>
                <w:vertAlign w:val="superscript"/>
              </w:rPr>
              <w:t>b</w:t>
            </w:r>
            <w:r w:rsidRPr="003E76E7">
              <w:rPr>
                <w:rFonts w:ascii="Arial" w:hAnsi="Arial"/>
                <w:color w:val="000000"/>
                <w:sz w:val="16"/>
                <w:szCs w:val="16"/>
                <w:vertAlign w:val="superscript"/>
              </w:rPr>
              <w:t>]</w:t>
            </w:r>
          </w:p>
        </w:tc>
        <w:tc>
          <w:tcPr>
            <w:tcW w:w="2865" w:type="dxa"/>
            <w:tcBorders>
              <w:top w:val="single" w:sz="4" w:space="0" w:color="auto"/>
              <w:left w:val="single" w:sz="4" w:space="0" w:color="auto"/>
              <w:bottom w:val="single" w:sz="4" w:space="0" w:color="auto"/>
              <w:right w:val="single" w:sz="4" w:space="0" w:color="auto"/>
            </w:tcBorders>
          </w:tcPr>
          <w:p w14:paraId="49D0281B" w14:textId="5DDD9EDE" w:rsidR="003C250B" w:rsidRPr="003E76E7" w:rsidRDefault="003C250B" w:rsidP="00C4292D">
            <w:pPr>
              <w:tabs>
                <w:tab w:val="left" w:pos="709"/>
              </w:tabs>
              <w:spacing w:before="60" w:after="60"/>
              <w:rPr>
                <w:rFonts w:ascii="Arial" w:hAnsi="Arial"/>
                <w:sz w:val="16"/>
                <w:szCs w:val="16"/>
                <w:lang w:val="en-AU"/>
              </w:rPr>
            </w:pPr>
            <w:r w:rsidRPr="003E76E7">
              <w:rPr>
                <w:rFonts w:ascii="Arial" w:hAnsi="Arial"/>
                <w:sz w:val="16"/>
                <w:szCs w:val="16"/>
                <w:lang w:val="en-AU"/>
              </w:rPr>
              <w:t>4.4: Defence supports ADF members and their families by providing access to support services and programs having regard to lifetime wellbeing.</w:t>
            </w:r>
          </w:p>
        </w:tc>
        <w:tc>
          <w:tcPr>
            <w:tcW w:w="3436" w:type="dxa"/>
            <w:tcBorders>
              <w:top w:val="single" w:sz="4" w:space="0" w:color="auto"/>
              <w:left w:val="single" w:sz="4" w:space="0" w:color="auto"/>
              <w:bottom w:val="single" w:sz="4" w:space="0" w:color="auto"/>
              <w:right w:val="single" w:sz="4" w:space="0" w:color="auto"/>
            </w:tcBorders>
          </w:tcPr>
          <w:p w14:paraId="519F773D" w14:textId="1A249533" w:rsidR="003C250B" w:rsidRPr="003E76E7" w:rsidRDefault="003C250B" w:rsidP="00C4292D">
            <w:pPr>
              <w:tabs>
                <w:tab w:val="left" w:pos="709"/>
              </w:tabs>
              <w:spacing w:before="60" w:after="60"/>
              <w:rPr>
                <w:rFonts w:ascii="Arial" w:hAnsi="Arial"/>
                <w:sz w:val="16"/>
                <w:szCs w:val="16"/>
                <w:lang w:val="en-AU"/>
              </w:rPr>
            </w:pPr>
            <w:r w:rsidRPr="003E76E7">
              <w:rPr>
                <w:rFonts w:ascii="Arial" w:hAnsi="Arial"/>
                <w:sz w:val="16"/>
                <w:szCs w:val="16"/>
                <w:lang w:val="en-AU"/>
              </w:rPr>
              <w:t>At least 75 per cent of eligible full-time ADF members and their families are registered with the ADF Family Health Program, 100 per cent of the support services of the Partner Assistance Employment Program, Education Assistance Scheme, and Special Accommodation for Emergencies Scheme are provided to full-time ADF and their families in accordance with identified service delivery timeframes, there is an increase in the percentage of Defence suicide prevention training participants who assess that the training is practical, tailored and informed by lived experience, and 100 per cent of Defence-led, Government-agreed recommendations from the Royal Commission into Defence and Veteran Suicide Final Report are complete, or on-track.</w:t>
            </w:r>
          </w:p>
        </w:tc>
      </w:tr>
      <w:tr w:rsidR="00232C21" w:rsidRPr="003E76E7" w14:paraId="0A956095" w14:textId="77777777" w:rsidTr="00A211F5">
        <w:trPr>
          <w:trHeight w:val="320"/>
        </w:trPr>
        <w:tc>
          <w:tcPr>
            <w:tcW w:w="1779" w:type="dxa"/>
            <w:tcBorders>
              <w:left w:val="single" w:sz="4" w:space="0" w:color="auto"/>
              <w:bottom w:val="single" w:sz="4" w:space="0" w:color="auto"/>
              <w:right w:val="single" w:sz="4" w:space="0" w:color="auto"/>
            </w:tcBorders>
            <w:vAlign w:val="center"/>
          </w:tcPr>
          <w:p w14:paraId="6CE2C403" w14:textId="77777777" w:rsidR="00232C21" w:rsidRPr="003E76E7" w:rsidRDefault="00232C21" w:rsidP="00C4292D">
            <w:pPr>
              <w:tabs>
                <w:tab w:val="left" w:pos="709"/>
              </w:tabs>
              <w:spacing w:before="60" w:after="60"/>
              <w:rPr>
                <w:rFonts w:ascii="Arial" w:hAnsi="Arial"/>
                <w:color w:val="000000"/>
                <w:sz w:val="16"/>
                <w:szCs w:val="16"/>
              </w:rPr>
            </w:pPr>
            <w:r w:rsidRPr="003E76E7">
              <w:rPr>
                <w:rFonts w:ascii="Arial" w:hAnsi="Arial"/>
                <w:b/>
                <w:color w:val="000000"/>
                <w:sz w:val="16"/>
                <w:szCs w:val="16"/>
              </w:rPr>
              <w:t>Year</w:t>
            </w:r>
          </w:p>
        </w:tc>
        <w:tc>
          <w:tcPr>
            <w:tcW w:w="2865" w:type="dxa"/>
            <w:tcBorders>
              <w:top w:val="single" w:sz="4" w:space="0" w:color="auto"/>
              <w:left w:val="single" w:sz="4" w:space="0" w:color="auto"/>
              <w:bottom w:val="single" w:sz="4" w:space="0" w:color="auto"/>
              <w:right w:val="single" w:sz="4" w:space="0" w:color="auto"/>
            </w:tcBorders>
            <w:vAlign w:val="center"/>
          </w:tcPr>
          <w:p w14:paraId="52869648" w14:textId="7E69C5B7" w:rsidR="00232C21" w:rsidRPr="003E76E7" w:rsidRDefault="00AD14EC" w:rsidP="00C4292D">
            <w:pPr>
              <w:tabs>
                <w:tab w:val="left" w:pos="709"/>
              </w:tabs>
              <w:spacing w:before="60" w:after="60"/>
              <w:rPr>
                <w:rFonts w:ascii="Arial" w:hAnsi="Arial"/>
                <w:sz w:val="16"/>
                <w:szCs w:val="16"/>
                <w:lang w:val="en-AU"/>
              </w:rPr>
            </w:pPr>
            <w:r w:rsidRPr="003E76E7">
              <w:rPr>
                <w:rFonts w:ascii="Arial" w:hAnsi="Arial"/>
                <w:b/>
                <w:color w:val="000000"/>
                <w:sz w:val="16"/>
                <w:szCs w:val="16"/>
              </w:rPr>
              <w:t>Performance Measures</w:t>
            </w:r>
          </w:p>
        </w:tc>
        <w:tc>
          <w:tcPr>
            <w:tcW w:w="3436" w:type="dxa"/>
            <w:tcBorders>
              <w:top w:val="single" w:sz="4" w:space="0" w:color="auto"/>
              <w:left w:val="single" w:sz="4" w:space="0" w:color="auto"/>
              <w:bottom w:val="single" w:sz="4" w:space="0" w:color="auto"/>
              <w:right w:val="single" w:sz="4" w:space="0" w:color="auto"/>
            </w:tcBorders>
            <w:vAlign w:val="center"/>
          </w:tcPr>
          <w:p w14:paraId="10403747" w14:textId="77777777" w:rsidR="00232C21" w:rsidRPr="003E76E7" w:rsidRDefault="00232C21" w:rsidP="00C4292D">
            <w:pPr>
              <w:tabs>
                <w:tab w:val="left" w:pos="709"/>
              </w:tabs>
              <w:spacing w:before="60" w:after="60"/>
              <w:rPr>
                <w:rFonts w:ascii="Arial" w:hAnsi="Arial"/>
                <w:sz w:val="16"/>
                <w:szCs w:val="16"/>
                <w:lang w:val="en-AU"/>
              </w:rPr>
            </w:pPr>
            <w:r w:rsidRPr="003E76E7">
              <w:rPr>
                <w:rFonts w:ascii="Arial" w:hAnsi="Arial"/>
                <w:b/>
                <w:color w:val="000000"/>
                <w:sz w:val="16"/>
                <w:szCs w:val="16"/>
              </w:rPr>
              <w:t>Planned Performance Results</w:t>
            </w:r>
          </w:p>
        </w:tc>
      </w:tr>
      <w:tr w:rsidR="003C250B" w:rsidRPr="003E76E7" w14:paraId="7A66016D" w14:textId="77777777" w:rsidTr="00A211F5">
        <w:trPr>
          <w:trHeight w:val="491"/>
        </w:trPr>
        <w:tc>
          <w:tcPr>
            <w:tcW w:w="1779" w:type="dxa"/>
            <w:tcBorders>
              <w:top w:val="single" w:sz="4" w:space="0" w:color="auto"/>
              <w:bottom w:val="single" w:sz="4" w:space="0" w:color="auto"/>
              <w:right w:val="single" w:sz="4" w:space="0" w:color="auto"/>
            </w:tcBorders>
            <w:vAlign w:val="center"/>
          </w:tcPr>
          <w:p w14:paraId="50042437" w14:textId="77777777" w:rsidR="003C250B" w:rsidRPr="003E76E7" w:rsidRDefault="003C250B" w:rsidP="00C4292D">
            <w:pPr>
              <w:tabs>
                <w:tab w:val="left" w:pos="709"/>
              </w:tabs>
              <w:spacing w:before="0" w:after="0"/>
              <w:rPr>
                <w:rFonts w:ascii="Arial" w:hAnsi="Arial"/>
                <w:color w:val="000000"/>
                <w:sz w:val="16"/>
                <w:szCs w:val="16"/>
              </w:rPr>
            </w:pPr>
            <w:r w:rsidRPr="003E76E7">
              <w:rPr>
                <w:rFonts w:ascii="Arial" w:hAnsi="Arial"/>
                <w:color w:val="000000"/>
                <w:sz w:val="16"/>
                <w:szCs w:val="16"/>
              </w:rPr>
              <w:t>Forward Estimates</w:t>
            </w:r>
          </w:p>
          <w:p w14:paraId="49EE29DF" w14:textId="4E8B6392" w:rsidR="003C250B" w:rsidRPr="003E76E7" w:rsidRDefault="003C250B" w:rsidP="00C4292D">
            <w:pPr>
              <w:tabs>
                <w:tab w:val="left" w:pos="709"/>
              </w:tabs>
              <w:spacing w:before="0" w:after="0"/>
              <w:rPr>
                <w:rFonts w:ascii="Arial" w:hAnsi="Arial"/>
                <w:b/>
                <w:color w:val="000000"/>
                <w:sz w:val="16"/>
                <w:szCs w:val="16"/>
              </w:rPr>
            </w:pPr>
            <w:r w:rsidRPr="003E76E7">
              <w:rPr>
                <w:rFonts w:ascii="Arial" w:hAnsi="Arial"/>
                <w:color w:val="000000"/>
                <w:sz w:val="16"/>
                <w:szCs w:val="16"/>
              </w:rPr>
              <w:t>2027-30</w:t>
            </w:r>
          </w:p>
        </w:tc>
        <w:tc>
          <w:tcPr>
            <w:tcW w:w="2865" w:type="dxa"/>
            <w:tcBorders>
              <w:top w:val="single" w:sz="4" w:space="0" w:color="auto"/>
              <w:left w:val="single" w:sz="4" w:space="0" w:color="auto"/>
              <w:bottom w:val="single" w:sz="4" w:space="0" w:color="auto"/>
              <w:right w:val="single" w:sz="4" w:space="0" w:color="auto"/>
            </w:tcBorders>
            <w:vAlign w:val="center"/>
          </w:tcPr>
          <w:p w14:paraId="50C92C53" w14:textId="23055671" w:rsidR="003C250B" w:rsidRPr="003E76E7" w:rsidRDefault="003C250B" w:rsidP="00C4292D">
            <w:pPr>
              <w:tabs>
                <w:tab w:val="left" w:pos="709"/>
              </w:tabs>
              <w:spacing w:before="60" w:after="60"/>
              <w:rPr>
                <w:rFonts w:ascii="Arial" w:hAnsi="Arial"/>
                <w:b/>
                <w:color w:val="000000"/>
                <w:sz w:val="16"/>
                <w:szCs w:val="16"/>
              </w:rPr>
            </w:pPr>
            <w:r w:rsidRPr="003E76E7">
              <w:rPr>
                <w:rFonts w:ascii="Arial" w:hAnsi="Arial"/>
                <w:color w:val="000000"/>
                <w:sz w:val="16"/>
                <w:szCs w:val="16"/>
              </w:rPr>
              <w:t>As per 2026-27.</w:t>
            </w:r>
          </w:p>
        </w:tc>
        <w:tc>
          <w:tcPr>
            <w:tcW w:w="3436" w:type="dxa"/>
            <w:tcBorders>
              <w:top w:val="single" w:sz="4" w:space="0" w:color="auto"/>
              <w:left w:val="single" w:sz="4" w:space="0" w:color="auto"/>
              <w:bottom w:val="single" w:sz="4" w:space="0" w:color="auto"/>
            </w:tcBorders>
            <w:vAlign w:val="center"/>
          </w:tcPr>
          <w:p w14:paraId="50B63D99" w14:textId="1ED1E2ED" w:rsidR="003C250B" w:rsidRPr="003E76E7" w:rsidRDefault="003C250B" w:rsidP="00C4292D">
            <w:pPr>
              <w:tabs>
                <w:tab w:val="left" w:pos="709"/>
              </w:tabs>
              <w:spacing w:before="60" w:after="60"/>
              <w:rPr>
                <w:rFonts w:ascii="Arial" w:hAnsi="Arial"/>
                <w:b/>
                <w:color w:val="000000"/>
                <w:sz w:val="16"/>
                <w:szCs w:val="16"/>
              </w:rPr>
            </w:pPr>
            <w:r w:rsidRPr="003E76E7">
              <w:rPr>
                <w:rFonts w:ascii="Arial" w:hAnsi="Arial"/>
                <w:color w:val="000000"/>
                <w:sz w:val="16"/>
                <w:szCs w:val="16"/>
              </w:rPr>
              <w:t>As per 2026-27.</w:t>
            </w:r>
          </w:p>
        </w:tc>
      </w:tr>
      <w:tr w:rsidR="003C250B" w:rsidRPr="003E76E7" w14:paraId="7761F2EC" w14:textId="77777777" w:rsidTr="00A211F5">
        <w:trPr>
          <w:trHeight w:val="291"/>
        </w:trPr>
        <w:tc>
          <w:tcPr>
            <w:tcW w:w="8080" w:type="dxa"/>
            <w:gridSpan w:val="3"/>
            <w:tcBorders>
              <w:top w:val="single" w:sz="4" w:space="0" w:color="auto"/>
            </w:tcBorders>
          </w:tcPr>
          <w:p w14:paraId="3651B38D" w14:textId="3E251B3C" w:rsidR="003C250B" w:rsidRPr="003E76E7" w:rsidRDefault="003C250B" w:rsidP="00C4292D">
            <w:pPr>
              <w:tabs>
                <w:tab w:val="left" w:pos="709"/>
              </w:tabs>
              <w:spacing w:before="60" w:after="60"/>
              <w:rPr>
                <w:rFonts w:ascii="Arial" w:eastAsia="Cambria" w:hAnsi="Arial"/>
                <w:bCs/>
                <w:iCs/>
                <w:color w:val="000000"/>
                <w:spacing w:val="-6"/>
                <w:sz w:val="16"/>
                <w:szCs w:val="16"/>
                <w:lang w:val="x-none"/>
              </w:rPr>
            </w:pPr>
            <w:r w:rsidRPr="003E76E7">
              <w:rPr>
                <w:rFonts w:ascii="Arial" w:hAnsi="Arial"/>
                <w:color w:val="000000"/>
                <w:sz w:val="16"/>
                <w:szCs w:val="16"/>
              </w:rPr>
              <w:t>Material changes to Program 2.23 resulting from 2026-27 Budget Measures:</w:t>
            </w:r>
            <w:r w:rsidRPr="003E76E7">
              <w:rPr>
                <w:rStyle w:val="BodyTextChar"/>
                <w:rFonts w:ascii="Arial" w:hAnsi="Arial"/>
                <w:bCs/>
                <w:iCs/>
                <w:color w:val="000000"/>
                <w:spacing w:val="-6"/>
                <w:sz w:val="16"/>
                <w:szCs w:val="16"/>
              </w:rPr>
              <w:t xml:space="preserve"> Nil.</w:t>
            </w:r>
          </w:p>
        </w:tc>
      </w:tr>
    </w:tbl>
    <w:p w14:paraId="03B14B9D" w14:textId="77777777" w:rsidR="00F7100A" w:rsidRPr="003E76E7" w:rsidRDefault="00F7100A" w:rsidP="00C4292D">
      <w:pPr>
        <w:pStyle w:val="TableHeading"/>
        <w:spacing w:before="0" w:after="0"/>
        <w:rPr>
          <w:sz w:val="14"/>
          <w:szCs w:val="14"/>
        </w:rPr>
      </w:pPr>
    </w:p>
    <w:p w14:paraId="43AE6D86" w14:textId="77777777" w:rsidR="00F7100A" w:rsidRPr="003E76E7" w:rsidRDefault="00F7100A" w:rsidP="00C4292D">
      <w:pPr>
        <w:pStyle w:val="TableHeading"/>
        <w:spacing w:before="0" w:after="0"/>
        <w:rPr>
          <w:sz w:val="14"/>
          <w:szCs w:val="14"/>
        </w:rPr>
      </w:pPr>
      <w:r w:rsidRPr="003E76E7">
        <w:rPr>
          <w:sz w:val="14"/>
          <w:szCs w:val="14"/>
        </w:rPr>
        <w:t>Note</w:t>
      </w:r>
      <w:r w:rsidR="00AF08A6" w:rsidRPr="003E76E7">
        <w:rPr>
          <w:sz w:val="14"/>
          <w:szCs w:val="14"/>
        </w:rPr>
        <w:t>s</w:t>
      </w:r>
    </w:p>
    <w:p w14:paraId="459280DC" w14:textId="60DAAE38" w:rsidR="00D90B88" w:rsidRPr="00FE5A03" w:rsidRDefault="008F7508" w:rsidP="003E76E7">
      <w:pPr>
        <w:pStyle w:val="ListParagraph"/>
        <w:numPr>
          <w:ilvl w:val="0"/>
          <w:numId w:val="31"/>
        </w:numPr>
        <w:tabs>
          <w:tab w:val="left" w:pos="284"/>
        </w:tabs>
        <w:spacing w:before="0" w:after="0"/>
        <w:rPr>
          <w:rFonts w:ascii="Arial" w:hAnsi="Arial"/>
          <w:sz w:val="14"/>
          <w:szCs w:val="14"/>
          <w:lang w:val="en-AU"/>
        </w:rPr>
      </w:pPr>
      <w:r w:rsidRPr="00FE5A03">
        <w:rPr>
          <w:rFonts w:ascii="Arial" w:hAnsi="Arial"/>
          <w:sz w:val="14"/>
          <w:szCs w:val="14"/>
        </w:rPr>
        <w:t>Performance Measure 4.3</w:t>
      </w:r>
      <w:r w:rsidR="001401D5" w:rsidRPr="00FE5A03">
        <w:rPr>
          <w:rFonts w:ascii="Arial" w:hAnsi="Arial"/>
          <w:sz w:val="14"/>
          <w:szCs w:val="14"/>
        </w:rPr>
        <w:t xml:space="preserve"> </w:t>
      </w:r>
      <w:r w:rsidRPr="00FE5A03">
        <w:rPr>
          <w:rFonts w:ascii="Arial" w:hAnsi="Arial"/>
          <w:sz w:val="14"/>
          <w:szCs w:val="14"/>
        </w:rPr>
        <w:t xml:space="preserve">has been amended for 2025-26, as published in </w:t>
      </w:r>
      <w:r w:rsidRPr="00FE5A03">
        <w:rPr>
          <w:rFonts w:ascii="Arial" w:hAnsi="Arial"/>
          <w:i/>
          <w:sz w:val="14"/>
          <w:szCs w:val="14"/>
        </w:rPr>
        <w:t>2025-29 Defence Corporate Plan.</w:t>
      </w:r>
    </w:p>
    <w:p w14:paraId="40EB92FC" w14:textId="77777777" w:rsidR="00547AF7" w:rsidRPr="00FE5A03" w:rsidRDefault="008F7508" w:rsidP="00C4292D">
      <w:pPr>
        <w:pStyle w:val="TableHeading"/>
        <w:numPr>
          <w:ilvl w:val="0"/>
          <w:numId w:val="31"/>
        </w:numPr>
        <w:tabs>
          <w:tab w:val="left" w:pos="284"/>
        </w:tabs>
        <w:spacing w:before="0" w:after="0"/>
        <w:ind w:left="284" w:hanging="284"/>
        <w:rPr>
          <w:b w:val="0"/>
          <w:sz w:val="14"/>
          <w:szCs w:val="14"/>
          <w:lang w:val="en-AU"/>
        </w:rPr>
      </w:pPr>
      <w:r w:rsidRPr="00FE5A03">
        <w:rPr>
          <w:b w:val="0"/>
          <w:sz w:val="14"/>
          <w:szCs w:val="14"/>
          <w:lang w:val="en-AU"/>
        </w:rPr>
        <w:t>In accordance with Defence’s Enterprise Performance Framework, Defence is undertaking materiality assessments that may result in updates to the 2026-27 performance information in the 2026-30 Defence Corporate Plan, if required.</w:t>
      </w:r>
    </w:p>
    <w:p w14:paraId="5D882A55" w14:textId="1626D9AF" w:rsidR="00F7723A" w:rsidRPr="003E76E7" w:rsidRDefault="00F7723A" w:rsidP="00C4292D">
      <w:pPr>
        <w:spacing w:before="0" w:after="0"/>
        <w:rPr>
          <w:lang w:val="en-AU"/>
        </w:rPr>
      </w:pPr>
    </w:p>
    <w:p w14:paraId="32CAD2B8" w14:textId="30568D93" w:rsidR="00F70553" w:rsidRPr="003E76E7" w:rsidRDefault="00F70553" w:rsidP="00C4292D">
      <w:pPr>
        <w:pStyle w:val="TableHeading"/>
        <w:numPr>
          <w:ilvl w:val="0"/>
          <w:numId w:val="61"/>
        </w:numPr>
        <w:spacing w:before="100"/>
        <w:ind w:left="0" w:firstLine="0"/>
        <w:outlineLvl w:val="4"/>
        <w:rPr>
          <w:lang w:val="en-AU"/>
        </w:rPr>
      </w:pPr>
      <w:r w:rsidRPr="003E76E7">
        <w:rPr>
          <w:lang w:val="en-AU"/>
        </w:rPr>
        <w:t>Cost Summary for Administered Program 2</w:t>
      </w:r>
      <w:r w:rsidR="005F39C7" w:rsidRPr="003E76E7">
        <w:rPr>
          <w:lang w:val="en-AU"/>
        </w:rPr>
        <w:t>.</w:t>
      </w:r>
      <w:r w:rsidR="00126610" w:rsidRPr="003E76E7">
        <w:rPr>
          <w:lang w:val="en-AU"/>
        </w:rPr>
        <w:t>23</w:t>
      </w:r>
      <w:r w:rsidR="005F39C7" w:rsidRPr="003E76E7">
        <w:rPr>
          <w:lang w:val="en-AU"/>
        </w:rPr>
        <w:t xml:space="preserve"> Other Administered</w:t>
      </w:r>
    </w:p>
    <w:p w14:paraId="413ED640" w14:textId="190D4ECF" w:rsidR="0008019D" w:rsidRPr="003E76E7" w:rsidRDefault="00A06552" w:rsidP="00C4292D">
      <w:pPr>
        <w:spacing w:after="0"/>
        <w:rPr>
          <w:rFonts w:ascii="Arial" w:hAnsi="Arial"/>
          <w:b/>
          <w:sz w:val="14"/>
          <w:szCs w:val="14"/>
          <w:lang w:val="en-AU"/>
        </w:rPr>
      </w:pPr>
      <w:r w:rsidRPr="003E76E7">
        <w:rPr>
          <w:noProof/>
          <w:lang w:val="en-AU"/>
        </w:rPr>
        <w:drawing>
          <wp:inline distT="0" distB="0" distL="0" distR="0" wp14:anchorId="7310EE6E" wp14:editId="78D3EBD7">
            <wp:extent cx="5436235" cy="1814861"/>
            <wp:effectExtent l="0" t="0" r="0" b="0"/>
            <wp:docPr id="8549" name="Picture 8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436235" cy="1814861"/>
                    </a:xfrm>
                    <a:prstGeom prst="rect">
                      <a:avLst/>
                    </a:prstGeom>
                    <a:noFill/>
                    <a:ln>
                      <a:noFill/>
                    </a:ln>
                  </pic:spPr>
                </pic:pic>
              </a:graphicData>
            </a:graphic>
          </wp:inline>
        </w:drawing>
      </w:r>
    </w:p>
    <w:p w14:paraId="13595676" w14:textId="77777777" w:rsidR="009D3404" w:rsidRPr="003E76E7" w:rsidRDefault="009D3404" w:rsidP="00C4292D">
      <w:pPr>
        <w:tabs>
          <w:tab w:val="left" w:pos="284"/>
        </w:tabs>
        <w:spacing w:before="0" w:after="0"/>
        <w:rPr>
          <w:rFonts w:ascii="Arial" w:hAnsi="Arial"/>
          <w:b/>
          <w:sz w:val="14"/>
          <w:szCs w:val="14"/>
          <w:lang w:val="en-AU"/>
        </w:rPr>
      </w:pPr>
    </w:p>
    <w:p w14:paraId="22AE3D54" w14:textId="13ADF33E" w:rsidR="00EA126B" w:rsidRPr="003E76E7" w:rsidRDefault="007F1A2C" w:rsidP="00C4292D">
      <w:pPr>
        <w:tabs>
          <w:tab w:val="left" w:pos="284"/>
        </w:tabs>
        <w:spacing w:before="0" w:after="0"/>
        <w:rPr>
          <w:rFonts w:ascii="Arial" w:hAnsi="Arial"/>
          <w:b/>
          <w:sz w:val="14"/>
          <w:szCs w:val="14"/>
          <w:lang w:val="en-AU"/>
        </w:rPr>
      </w:pPr>
      <w:r w:rsidRPr="003E76E7">
        <w:rPr>
          <w:rFonts w:ascii="Arial" w:hAnsi="Arial"/>
          <w:b/>
          <w:sz w:val="14"/>
          <w:szCs w:val="14"/>
          <w:lang w:val="en-AU"/>
        </w:rPr>
        <w:t>Note</w:t>
      </w:r>
      <w:r w:rsidR="00AF08A6" w:rsidRPr="003E76E7">
        <w:rPr>
          <w:rFonts w:ascii="Arial" w:hAnsi="Arial"/>
          <w:b/>
          <w:sz w:val="14"/>
          <w:szCs w:val="14"/>
          <w:lang w:val="en-AU"/>
        </w:rPr>
        <w:t>s</w:t>
      </w:r>
    </w:p>
    <w:p w14:paraId="13F5DFC7" w14:textId="61AC8DE9" w:rsidR="003E1D95" w:rsidRPr="003E76E7" w:rsidRDefault="003E1D95" w:rsidP="00C4292D">
      <w:pPr>
        <w:pStyle w:val="TableHeading"/>
        <w:numPr>
          <w:ilvl w:val="0"/>
          <w:numId w:val="47"/>
        </w:numPr>
        <w:tabs>
          <w:tab w:val="left" w:pos="284"/>
        </w:tabs>
        <w:spacing w:before="0" w:after="0"/>
        <w:rPr>
          <w:b w:val="0"/>
          <w:sz w:val="14"/>
          <w:szCs w:val="14"/>
        </w:rPr>
      </w:pPr>
      <w:r w:rsidRPr="003E76E7">
        <w:rPr>
          <w:b w:val="0"/>
          <w:sz w:val="14"/>
          <w:szCs w:val="14"/>
        </w:rPr>
        <w:t xml:space="preserve">Negative amounts denote revenue. </w:t>
      </w:r>
      <w:r w:rsidRPr="003E76E7">
        <w:rPr>
          <w:b w:val="0"/>
          <w:sz w:val="14"/>
          <w:szCs w:val="14"/>
        </w:rPr>
        <w:tab/>
      </w:r>
      <w:r w:rsidRPr="003E76E7">
        <w:rPr>
          <w:b w:val="0"/>
          <w:sz w:val="14"/>
          <w:szCs w:val="14"/>
        </w:rPr>
        <w:tab/>
      </w:r>
      <w:r w:rsidRPr="003E76E7">
        <w:rPr>
          <w:b w:val="0"/>
          <w:sz w:val="14"/>
          <w:szCs w:val="14"/>
        </w:rPr>
        <w:tab/>
      </w:r>
      <w:r w:rsidRPr="003E76E7">
        <w:rPr>
          <w:b w:val="0"/>
          <w:sz w:val="14"/>
          <w:szCs w:val="14"/>
        </w:rPr>
        <w:tab/>
      </w:r>
      <w:r w:rsidRPr="003E76E7">
        <w:rPr>
          <w:b w:val="0"/>
          <w:sz w:val="14"/>
          <w:szCs w:val="14"/>
        </w:rPr>
        <w:tab/>
      </w:r>
    </w:p>
    <w:p w14:paraId="11737E75" w14:textId="538C4E2E" w:rsidR="006C35FE" w:rsidRPr="003E76E7" w:rsidRDefault="003E1D95" w:rsidP="00C4292D">
      <w:pPr>
        <w:pStyle w:val="TableHeading"/>
        <w:numPr>
          <w:ilvl w:val="0"/>
          <w:numId w:val="47"/>
        </w:numPr>
        <w:tabs>
          <w:tab w:val="left" w:pos="284"/>
        </w:tabs>
        <w:spacing w:before="0" w:after="0"/>
        <w:rPr>
          <w:b w:val="0"/>
          <w:sz w:val="14"/>
          <w:szCs w:val="14"/>
        </w:rPr>
      </w:pPr>
      <w:r w:rsidRPr="003E76E7">
        <w:rPr>
          <w:b w:val="0"/>
          <w:sz w:val="14"/>
          <w:szCs w:val="14"/>
        </w:rPr>
        <w:t xml:space="preserve">Other revenue predominantly includes competitive neutrality revenue from </w:t>
      </w:r>
      <w:r w:rsidR="009D3404" w:rsidRPr="003E76E7">
        <w:rPr>
          <w:b w:val="0"/>
          <w:sz w:val="14"/>
          <w:szCs w:val="14"/>
        </w:rPr>
        <w:t>DHA</w:t>
      </w:r>
      <w:r w:rsidR="00134547" w:rsidRPr="003E76E7">
        <w:rPr>
          <w:b w:val="0"/>
          <w:sz w:val="14"/>
          <w:szCs w:val="14"/>
        </w:rPr>
        <w:t>.</w:t>
      </w:r>
    </w:p>
    <w:p w14:paraId="6EF6A593" w14:textId="23B9587A" w:rsidR="001C2D62" w:rsidRPr="003E76E7" w:rsidRDefault="001C2D62" w:rsidP="00C4292D">
      <w:bookmarkStart w:id="1100" w:name="_Toc476581151"/>
      <w:bookmarkStart w:id="1101" w:name="_Toc507595423"/>
    </w:p>
    <w:p w14:paraId="188416DD" w14:textId="77777777" w:rsidR="00D90B88" w:rsidRPr="003E76E7" w:rsidRDefault="00D90B88" w:rsidP="00C4292D">
      <w:pPr>
        <w:sectPr w:rsidR="00D90B88" w:rsidRPr="003E76E7" w:rsidSect="00067733">
          <w:headerReference w:type="first" r:id="rId106"/>
          <w:pgSz w:w="11907" w:h="16840" w:code="9"/>
          <w:pgMar w:top="1560" w:right="1361" w:bottom="1560" w:left="1985" w:header="720" w:footer="720" w:gutter="0"/>
          <w:cols w:space="720"/>
          <w:noEndnote/>
        </w:sectPr>
      </w:pPr>
    </w:p>
    <w:p w14:paraId="073AD997" w14:textId="24B510BC" w:rsidR="00F70553" w:rsidRPr="003E76E7" w:rsidRDefault="00F70553" w:rsidP="00C4292D">
      <w:pPr>
        <w:pStyle w:val="Heading2level3"/>
        <w:spacing w:before="120" w:after="120"/>
        <w:rPr>
          <w:rStyle w:val="Heading2Char"/>
          <w:sz w:val="26"/>
          <w:szCs w:val="26"/>
        </w:rPr>
      </w:pPr>
      <w:bookmarkStart w:id="1102" w:name="_Toc536089231"/>
      <w:bookmarkStart w:id="1103" w:name="_Toc536089491"/>
      <w:bookmarkStart w:id="1104" w:name="_Toc536089597"/>
      <w:bookmarkStart w:id="1105" w:name="_Toc69729047"/>
      <w:bookmarkStart w:id="1106" w:name="_Toc97747831"/>
      <w:bookmarkStart w:id="1107" w:name="_Toc108088942"/>
      <w:bookmarkStart w:id="1108" w:name="_Toc108089021"/>
      <w:bookmarkStart w:id="1109" w:name="_Toc108089416"/>
      <w:bookmarkStart w:id="1110" w:name="_Toc109227294"/>
      <w:bookmarkStart w:id="1111" w:name="_Toc158896247"/>
      <w:bookmarkStart w:id="1112" w:name="_Toc158896304"/>
      <w:bookmarkStart w:id="1113" w:name="_Toc159499686"/>
      <w:bookmarkStart w:id="1114" w:name="_Toc159857675"/>
      <w:bookmarkStart w:id="1115" w:name="_Toc159857754"/>
      <w:bookmarkStart w:id="1116" w:name="_Toc159858150"/>
      <w:bookmarkStart w:id="1117" w:name="_Toc159858815"/>
      <w:bookmarkStart w:id="1118" w:name="_Toc159858885"/>
      <w:bookmarkStart w:id="1119" w:name="_Toc159862285"/>
      <w:bookmarkStart w:id="1120" w:name="_Toc159862475"/>
      <w:bookmarkStart w:id="1121" w:name="_Toc221786179"/>
      <w:bookmarkStart w:id="1122" w:name="_Toc222129926"/>
      <w:bookmarkStart w:id="1123" w:name="_Toc222148356"/>
      <w:bookmarkStart w:id="1124" w:name="_Toc225847984"/>
      <w:bookmarkStart w:id="1125" w:name="_Toc225848067"/>
      <w:bookmarkStart w:id="1126" w:name="_Toc225848150"/>
      <w:bookmarkStart w:id="1127" w:name="_Toc225848223"/>
      <w:bookmarkStart w:id="1128" w:name="_Toc225848258"/>
      <w:bookmarkStart w:id="1129" w:name="_Toc225848489"/>
      <w:bookmarkStart w:id="1130" w:name="_Toc225941556"/>
      <w:bookmarkStart w:id="1131" w:name="_Toc225942563"/>
      <w:bookmarkStart w:id="1132" w:name="_Toc227334373"/>
      <w:bookmarkStart w:id="1133" w:name="_Toc229072448"/>
      <w:bookmarkStart w:id="1134" w:name="_Toc229072620"/>
      <w:r w:rsidRPr="003E76E7">
        <w:rPr>
          <w:rStyle w:val="Heading2Char"/>
          <w:sz w:val="26"/>
          <w:szCs w:val="26"/>
        </w:rPr>
        <w:lastRenderedPageBreak/>
        <w:t>Section 3: Defence Budgeted Financial Statements</w:t>
      </w:r>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p>
    <w:p w14:paraId="12D9E19F" w14:textId="597B32AD" w:rsidR="0079646D" w:rsidRPr="003E76E7" w:rsidRDefault="0079646D" w:rsidP="00C4292D">
      <w:pPr>
        <w:rPr>
          <w:lang w:val="en-AU"/>
        </w:rPr>
      </w:pPr>
      <w:bookmarkStart w:id="1135" w:name="_Toc159499687"/>
      <w:r w:rsidRPr="003E76E7">
        <w:rPr>
          <w:lang w:val="en-AU"/>
        </w:rPr>
        <w:t xml:space="preserve">Section 3 presents explanatory tables and budgeted financial statements, which provide a comprehensive snapshot of Defence’s finances for the </w:t>
      </w:r>
      <w:r w:rsidR="00E123DA" w:rsidRPr="003E76E7">
        <w:rPr>
          <w:lang w:val="en-AU"/>
        </w:rPr>
        <w:t>2026</w:t>
      </w:r>
      <w:r w:rsidRPr="003E76E7">
        <w:rPr>
          <w:lang w:val="en-AU"/>
        </w:rPr>
        <w:t>-</w:t>
      </w:r>
      <w:r w:rsidR="00E123DA" w:rsidRPr="003E76E7">
        <w:rPr>
          <w:lang w:val="en-AU"/>
        </w:rPr>
        <w:t xml:space="preserve">27 </w:t>
      </w:r>
      <w:r w:rsidR="008769A3" w:rsidRPr="003E76E7">
        <w:rPr>
          <w:lang w:val="en-AU"/>
        </w:rPr>
        <w:t>B</w:t>
      </w:r>
      <w:r w:rsidRPr="003E76E7">
        <w:rPr>
          <w:lang w:val="en-AU"/>
        </w:rPr>
        <w:t>udget year. It explains how budget plans are incorporated into the financial statements and provides further details of the reconciliation between appropriations and program expenses, movements in administered funds, special accounts, grants and government indigenous expenditure.</w:t>
      </w:r>
    </w:p>
    <w:p w14:paraId="3974CEB6" w14:textId="77777777" w:rsidR="009533CB" w:rsidRPr="003E76E7" w:rsidRDefault="00641988" w:rsidP="00C4292D">
      <w:pPr>
        <w:pStyle w:val="Heading4"/>
      </w:pPr>
      <w:bookmarkStart w:id="1136" w:name="_Toc222129927"/>
      <w:bookmarkStart w:id="1137" w:name="_Toc222148357"/>
      <w:bookmarkStart w:id="1138" w:name="_Toc225847985"/>
      <w:bookmarkStart w:id="1139" w:name="_Toc225848068"/>
      <w:bookmarkStart w:id="1140" w:name="_Toc225848151"/>
      <w:bookmarkStart w:id="1141" w:name="_Toc225848490"/>
      <w:bookmarkStart w:id="1142" w:name="_Toc225941557"/>
      <w:bookmarkStart w:id="1143" w:name="_Toc225942564"/>
      <w:bookmarkStart w:id="1144" w:name="_Toc227334374"/>
      <w:bookmarkStart w:id="1145" w:name="_Toc229072449"/>
      <w:bookmarkStart w:id="1146" w:name="_Toc229072621"/>
      <w:r w:rsidRPr="003E76E7">
        <w:t>3.1</w:t>
      </w:r>
      <w:r w:rsidR="00483241" w:rsidRPr="003E76E7">
        <w:t xml:space="preserve"> </w:t>
      </w:r>
      <w:r w:rsidR="00EC423F" w:rsidRPr="003E76E7">
        <w:t>Grants</w:t>
      </w:r>
      <w:bookmarkEnd w:id="1135"/>
      <w:bookmarkEnd w:id="1136"/>
      <w:bookmarkEnd w:id="1137"/>
      <w:bookmarkEnd w:id="1138"/>
      <w:bookmarkEnd w:id="1139"/>
      <w:bookmarkEnd w:id="1140"/>
      <w:bookmarkEnd w:id="1141"/>
      <w:bookmarkEnd w:id="1142"/>
      <w:bookmarkEnd w:id="1143"/>
      <w:bookmarkEnd w:id="1144"/>
      <w:bookmarkEnd w:id="1145"/>
      <w:bookmarkEnd w:id="1146"/>
    </w:p>
    <w:p w14:paraId="512AE492" w14:textId="77777777" w:rsidR="00126610" w:rsidRPr="003E76E7" w:rsidRDefault="00126610" w:rsidP="00C4292D">
      <w:pPr>
        <w:spacing w:before="120" w:after="120"/>
      </w:pPr>
      <w:r w:rsidRPr="003E76E7">
        <w:t>The Department of Defence provides grants to support the achievement of Defence’s strategic priorities to defend Australia and its national interests; and to protect and advance Australian strategic interests. The provision of funding by Defence is subject to meeting the Australian Government Policy Objectives associated with Defence and its outcomes.</w:t>
      </w:r>
    </w:p>
    <w:p w14:paraId="758FA7AD" w14:textId="77777777" w:rsidR="00126610" w:rsidRPr="003E76E7" w:rsidRDefault="00126610" w:rsidP="00C4292D">
      <w:pPr>
        <w:spacing w:before="120" w:after="120"/>
        <w:rPr>
          <w:szCs w:val="20"/>
        </w:rPr>
      </w:pPr>
      <w:r w:rsidRPr="003E76E7">
        <w:t>Commonwealth grant opportunities and their guidelines, including the Department of Defence grant opportunities, are published on the Government grants portal GrantConnect (</w:t>
      </w:r>
      <w:hyperlink r:id="rId107" w:history="1">
        <w:r w:rsidRPr="003E76E7">
          <w:rPr>
            <w:rStyle w:val="Hyperlink"/>
          </w:rPr>
          <w:t>www.grants.gov.au</w:t>
        </w:r>
      </w:hyperlink>
      <w:r w:rsidRPr="003E76E7">
        <w:t xml:space="preserve">). Further information on Defence grant programs </w:t>
      </w:r>
      <w:r w:rsidR="000C074A" w:rsidRPr="003E76E7">
        <w:t>is</w:t>
      </w:r>
      <w:r w:rsidRPr="003E76E7">
        <w:t xml:space="preserve"> available on the Department’s grants </w:t>
      </w:r>
      <w:r w:rsidRPr="003E76E7">
        <w:rPr>
          <w:szCs w:val="20"/>
        </w:rPr>
        <w:t>webpage (</w:t>
      </w:r>
      <w:hyperlink r:id="rId108" w:history="1">
        <w:r w:rsidR="00E91411" w:rsidRPr="003E76E7">
          <w:rPr>
            <w:rStyle w:val="Hyperlink"/>
            <w:szCs w:val="20"/>
          </w:rPr>
          <w:t>Home:</w:t>
        </w:r>
        <w:r w:rsidRPr="003E76E7">
          <w:rPr>
            <w:rStyle w:val="Hyperlink"/>
            <w:szCs w:val="20"/>
          </w:rPr>
          <w:t xml:space="preserve"> </w:t>
        </w:r>
        <w:r w:rsidR="00E91411" w:rsidRPr="003E76E7">
          <w:rPr>
            <w:rStyle w:val="Hyperlink"/>
            <w:szCs w:val="20"/>
          </w:rPr>
          <w:t>Grants:</w:t>
        </w:r>
        <w:r w:rsidRPr="003E76E7">
          <w:rPr>
            <w:rStyle w:val="Hyperlink"/>
            <w:szCs w:val="20"/>
          </w:rPr>
          <w:t xml:space="preserve"> Department of Defence</w:t>
        </w:r>
      </w:hyperlink>
      <w:r w:rsidRPr="003E76E7">
        <w:rPr>
          <w:szCs w:val="20"/>
        </w:rPr>
        <w:t>).</w:t>
      </w:r>
    </w:p>
    <w:p w14:paraId="2320949B" w14:textId="77777777" w:rsidR="00483241" w:rsidRPr="003E76E7" w:rsidRDefault="00F70553" w:rsidP="00C4292D">
      <w:pPr>
        <w:pStyle w:val="Heading4"/>
      </w:pPr>
      <w:r w:rsidRPr="003E76E7">
        <w:rPr>
          <w:lang w:val="en-AU"/>
        </w:rPr>
        <w:br w:type="page"/>
      </w:r>
      <w:bookmarkStart w:id="1147" w:name="_Toc476581153"/>
      <w:bookmarkStart w:id="1148" w:name="_Toc507595425"/>
      <w:bookmarkStart w:id="1149" w:name="_Toc536089233"/>
      <w:bookmarkStart w:id="1150" w:name="_Toc536089493"/>
      <w:bookmarkStart w:id="1151" w:name="_Toc536089599"/>
      <w:bookmarkStart w:id="1152" w:name="_Toc69729049"/>
      <w:bookmarkStart w:id="1153" w:name="_Toc97747833"/>
      <w:bookmarkStart w:id="1154" w:name="_Toc108088944"/>
      <w:bookmarkStart w:id="1155" w:name="_Toc108089023"/>
      <w:bookmarkStart w:id="1156" w:name="_Toc108089418"/>
      <w:bookmarkStart w:id="1157" w:name="_Toc159499688"/>
      <w:bookmarkStart w:id="1158" w:name="_Toc222129928"/>
      <w:bookmarkStart w:id="1159" w:name="_Toc222148358"/>
      <w:bookmarkStart w:id="1160" w:name="_Toc225847986"/>
      <w:bookmarkStart w:id="1161" w:name="_Toc225848069"/>
      <w:bookmarkStart w:id="1162" w:name="_Toc225848152"/>
      <w:bookmarkStart w:id="1163" w:name="_Toc225848491"/>
      <w:bookmarkStart w:id="1164" w:name="_Toc225941558"/>
      <w:bookmarkStart w:id="1165" w:name="_Toc225942565"/>
      <w:bookmarkStart w:id="1166" w:name="_Toc227334375"/>
      <w:bookmarkStart w:id="1167" w:name="_Toc229072450"/>
      <w:bookmarkStart w:id="1168" w:name="_Toc229072622"/>
      <w:r w:rsidR="00483241" w:rsidRPr="003E76E7">
        <w:lastRenderedPageBreak/>
        <w:t>3.2 Resource Summary</w:t>
      </w:r>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p>
    <w:p w14:paraId="33F1C26B" w14:textId="49D58A19" w:rsidR="00483241" w:rsidRPr="003E76E7" w:rsidRDefault="00483241" w:rsidP="00C4292D">
      <w:pPr>
        <w:pStyle w:val="TableHeading"/>
        <w:numPr>
          <w:ilvl w:val="0"/>
          <w:numId w:val="61"/>
        </w:numPr>
        <w:spacing w:before="100"/>
        <w:ind w:left="0" w:firstLine="0"/>
        <w:outlineLvl w:val="4"/>
        <w:rPr>
          <w:lang w:val="en-AU"/>
        </w:rPr>
      </w:pPr>
      <w:r w:rsidRPr="003E76E7">
        <w:rPr>
          <w:lang w:val="en-AU"/>
        </w:rPr>
        <w:t>Defence Resource Statement</w:t>
      </w:r>
      <w:r w:rsidR="004F39B8" w:rsidRPr="003E76E7">
        <w:rPr>
          <w:lang w:val="en-AU"/>
        </w:rPr>
        <w:t xml:space="preserve"> </w:t>
      </w:r>
      <w:r w:rsidR="00722810" w:rsidRPr="003E76E7">
        <w:rPr>
          <w:lang w:val="en-AU"/>
        </w:rPr>
        <w:t>-</w:t>
      </w:r>
      <w:r w:rsidR="004F39B8" w:rsidRPr="003E76E7">
        <w:rPr>
          <w:lang w:val="en-AU"/>
        </w:rPr>
        <w:t xml:space="preserve"> </w:t>
      </w:r>
      <w:r w:rsidRPr="003E76E7">
        <w:rPr>
          <w:lang w:val="en-AU"/>
        </w:rPr>
        <w:t xml:space="preserve">Budget Estimates for </w:t>
      </w:r>
      <w:r w:rsidR="00E77BB4" w:rsidRPr="003E76E7">
        <w:rPr>
          <w:lang w:val="en-AU"/>
        </w:rPr>
        <w:t>202</w:t>
      </w:r>
      <w:r w:rsidR="008429E1" w:rsidRPr="003E76E7">
        <w:rPr>
          <w:lang w:val="en-AU"/>
        </w:rPr>
        <w:t>6</w:t>
      </w:r>
      <w:r w:rsidR="00E77BB4" w:rsidRPr="003E76E7">
        <w:rPr>
          <w:lang w:val="en-AU"/>
        </w:rPr>
        <w:t>-2</w:t>
      </w:r>
      <w:r w:rsidR="008429E1" w:rsidRPr="003E76E7">
        <w:rPr>
          <w:lang w:val="en-AU"/>
        </w:rPr>
        <w:t>7</w:t>
      </w:r>
      <w:r w:rsidRPr="003E76E7">
        <w:rPr>
          <w:lang w:val="en-AU"/>
        </w:rPr>
        <w:t xml:space="preserve"> </w:t>
      </w:r>
      <w:r w:rsidR="006A5A85" w:rsidRPr="003E76E7">
        <w:rPr>
          <w:vertAlign w:val="superscript"/>
          <w:lang w:val="en-AU"/>
        </w:rPr>
        <w:t>[a]</w:t>
      </w:r>
    </w:p>
    <w:p w14:paraId="5CBC60FB" w14:textId="6FAF7B55" w:rsidR="001835C6" w:rsidRPr="003E76E7" w:rsidRDefault="00430E62" w:rsidP="00C4292D">
      <w:pPr>
        <w:spacing w:after="0"/>
      </w:pPr>
      <w:r w:rsidRPr="00430E62">
        <w:rPr>
          <w:noProof/>
          <w:lang w:val="en-AU"/>
        </w:rPr>
        <w:drawing>
          <wp:inline distT="0" distB="0" distL="0" distR="0" wp14:anchorId="54EF764B" wp14:editId="318E07CD">
            <wp:extent cx="5472430" cy="313014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472430" cy="3130145"/>
                    </a:xfrm>
                    <a:prstGeom prst="rect">
                      <a:avLst/>
                    </a:prstGeom>
                    <a:noFill/>
                    <a:ln>
                      <a:noFill/>
                    </a:ln>
                  </pic:spPr>
                </pic:pic>
              </a:graphicData>
            </a:graphic>
          </wp:inline>
        </w:drawing>
      </w:r>
    </w:p>
    <w:p w14:paraId="41E15C6B" w14:textId="2A178344" w:rsidR="0008019D" w:rsidRPr="003E76E7" w:rsidRDefault="0008019D" w:rsidP="00C4292D">
      <w:pPr>
        <w:spacing w:before="0" w:after="0"/>
        <w:rPr>
          <w:rFonts w:ascii="Arial" w:hAnsi="Arial"/>
          <w:b/>
          <w:sz w:val="14"/>
          <w:szCs w:val="14"/>
          <w:lang w:val="en-AU"/>
        </w:rPr>
      </w:pPr>
    </w:p>
    <w:p w14:paraId="7DA34989" w14:textId="77777777" w:rsidR="00E73DBC" w:rsidRPr="003E76E7" w:rsidRDefault="006A5A85" w:rsidP="00C4292D">
      <w:pPr>
        <w:tabs>
          <w:tab w:val="left" w:pos="284"/>
        </w:tabs>
        <w:spacing w:before="0" w:after="0"/>
        <w:ind w:left="284" w:hanging="284"/>
        <w:rPr>
          <w:rFonts w:ascii="Arial" w:hAnsi="Arial"/>
          <w:b/>
          <w:sz w:val="14"/>
          <w:szCs w:val="14"/>
          <w:lang w:val="en-AU"/>
        </w:rPr>
      </w:pPr>
      <w:r w:rsidRPr="003E76E7">
        <w:rPr>
          <w:rFonts w:ascii="Arial" w:hAnsi="Arial"/>
          <w:b/>
          <w:sz w:val="14"/>
          <w:szCs w:val="14"/>
          <w:lang w:val="en-AU"/>
        </w:rPr>
        <w:t>Note</w:t>
      </w:r>
      <w:r w:rsidR="00CB3422" w:rsidRPr="003E76E7">
        <w:rPr>
          <w:rFonts w:ascii="Arial" w:hAnsi="Arial"/>
          <w:b/>
          <w:sz w:val="14"/>
          <w:szCs w:val="14"/>
          <w:lang w:val="en-AU"/>
        </w:rPr>
        <w:t>s</w:t>
      </w:r>
    </w:p>
    <w:p w14:paraId="18E2E192" w14:textId="40773717" w:rsidR="00BD0ADA" w:rsidRPr="003E76E7" w:rsidRDefault="00E8765D" w:rsidP="00C4292D">
      <w:pPr>
        <w:pStyle w:val="ListParagraph"/>
        <w:numPr>
          <w:ilvl w:val="0"/>
          <w:numId w:val="127"/>
        </w:numPr>
        <w:spacing w:before="0" w:after="0"/>
        <w:ind w:left="284" w:hanging="284"/>
        <w:rPr>
          <w:rFonts w:ascii="Arial" w:hAnsi="Arial"/>
          <w:color w:val="000000"/>
          <w:sz w:val="14"/>
          <w:szCs w:val="14"/>
          <w:lang w:val="en-AU"/>
        </w:rPr>
      </w:pPr>
      <w:r w:rsidRPr="003E76E7">
        <w:rPr>
          <w:rFonts w:ascii="Arial" w:hAnsi="Arial"/>
          <w:color w:val="000000"/>
          <w:sz w:val="14"/>
          <w:szCs w:val="14"/>
          <w:lang w:val="en-AU"/>
        </w:rPr>
        <w:t>This table is prepared on the same basis as Table 1</w:t>
      </w:r>
      <w:r w:rsidR="00616A60" w:rsidRPr="003E76E7">
        <w:rPr>
          <w:rFonts w:ascii="Arial" w:hAnsi="Arial"/>
          <w:color w:val="000000"/>
          <w:sz w:val="14"/>
          <w:szCs w:val="14"/>
          <w:lang w:val="en-AU"/>
        </w:rPr>
        <w:t>.</w:t>
      </w:r>
    </w:p>
    <w:p w14:paraId="57508758" w14:textId="6723876F" w:rsidR="00616A60" w:rsidRPr="003E76E7" w:rsidRDefault="00616A60" w:rsidP="00C4292D">
      <w:pPr>
        <w:pStyle w:val="ListParagraph"/>
        <w:numPr>
          <w:ilvl w:val="0"/>
          <w:numId w:val="127"/>
        </w:numPr>
        <w:spacing w:before="0" w:after="0"/>
        <w:ind w:left="284" w:hanging="284"/>
        <w:rPr>
          <w:rFonts w:ascii="Arial" w:hAnsi="Arial"/>
          <w:color w:val="000000"/>
          <w:sz w:val="14"/>
          <w:szCs w:val="14"/>
          <w:lang w:val="en-AU"/>
        </w:rPr>
      </w:pPr>
      <w:r w:rsidRPr="003E76E7">
        <w:rPr>
          <w:rFonts w:ascii="Arial" w:hAnsi="Arial"/>
          <w:color w:val="000000"/>
          <w:sz w:val="14"/>
          <w:szCs w:val="14"/>
          <w:lang w:val="en-AU"/>
        </w:rPr>
        <w:t xml:space="preserve">The Funding increase in 2025-26 of $900 million is to address Defence's ongoing working capital requirements. The adjustment provides an increase to cash reserves to meet Defence industry commitments as and when they fall due for payments. The increase in working capital in 2025-26 is represented by an equity injection and not as increased </w:t>
      </w:r>
      <w:r w:rsidR="003D1053">
        <w:rPr>
          <w:rFonts w:ascii="Arial" w:hAnsi="Arial"/>
          <w:color w:val="000000"/>
          <w:sz w:val="14"/>
          <w:szCs w:val="14"/>
          <w:lang w:val="en-AU"/>
        </w:rPr>
        <w:t>D</w:t>
      </w:r>
      <w:r w:rsidRPr="003E76E7">
        <w:rPr>
          <w:rFonts w:ascii="Arial" w:hAnsi="Arial"/>
          <w:color w:val="000000"/>
          <w:sz w:val="14"/>
          <w:szCs w:val="14"/>
          <w:lang w:val="en-AU"/>
        </w:rPr>
        <w:t>efence funding. This is because the injection will be used to address existing expenditure commitments already incurred/recognised. Refer Table 1, Serial 4.</w:t>
      </w:r>
    </w:p>
    <w:p w14:paraId="6CF3F23E" w14:textId="0256CF04" w:rsidR="008F3D23" w:rsidRPr="003E76E7" w:rsidRDefault="008F3D23" w:rsidP="00C4292D">
      <w:pPr>
        <w:pStyle w:val="ListParagraph"/>
        <w:numPr>
          <w:ilvl w:val="0"/>
          <w:numId w:val="127"/>
        </w:numPr>
        <w:spacing w:before="0" w:after="0"/>
        <w:ind w:left="284" w:hanging="284"/>
        <w:rPr>
          <w:rFonts w:ascii="Arial" w:hAnsi="Arial"/>
          <w:color w:val="000000"/>
          <w:sz w:val="14"/>
          <w:szCs w:val="14"/>
          <w:lang w:val="en-AU"/>
        </w:rPr>
      </w:pPr>
      <w:r w:rsidRPr="003E76E7">
        <w:rPr>
          <w:rFonts w:ascii="Arial" w:hAnsi="Arial"/>
          <w:color w:val="000000"/>
          <w:sz w:val="14"/>
          <w:szCs w:val="14"/>
          <w:lang w:val="en-AU"/>
        </w:rPr>
        <w:t>Does not include Defence Trusts and Joints Accounts, as expenses are incurred on behalf of such trusts and joint accounts and are offset by revenues. Refer Table 1, Serials 17-19, and Table 38.</w:t>
      </w:r>
    </w:p>
    <w:p w14:paraId="644F371C" w14:textId="77777777" w:rsidR="00CE08E0" w:rsidRPr="003E76E7" w:rsidRDefault="00483241" w:rsidP="00C4292D">
      <w:pPr>
        <w:pStyle w:val="TableHeading"/>
        <w:numPr>
          <w:ilvl w:val="0"/>
          <w:numId w:val="61"/>
        </w:numPr>
        <w:spacing w:before="100"/>
        <w:ind w:left="0" w:firstLine="0"/>
        <w:outlineLvl w:val="4"/>
      </w:pPr>
      <w:r w:rsidRPr="003E76E7">
        <w:rPr>
          <w:lang w:val="en-AU"/>
        </w:rPr>
        <w:br w:type="page"/>
      </w:r>
      <w:bookmarkStart w:id="1169" w:name="_Toc476581154"/>
      <w:bookmarkStart w:id="1170" w:name="_Toc507595426"/>
      <w:bookmarkStart w:id="1171" w:name="_Toc536089234"/>
      <w:bookmarkStart w:id="1172" w:name="_Toc536089494"/>
      <w:bookmarkStart w:id="1173" w:name="_Toc536089600"/>
      <w:r w:rsidR="00CE08E0" w:rsidRPr="003E76E7">
        <w:rPr>
          <w:lang w:val="en-AU"/>
        </w:rPr>
        <w:lastRenderedPageBreak/>
        <w:t xml:space="preserve">Third Party Payments to and from other Agencies </w:t>
      </w:r>
      <w:r w:rsidR="00CE08E0" w:rsidRPr="003E76E7">
        <w:rPr>
          <w:vertAlign w:val="superscript"/>
          <w:lang w:val="en-AU"/>
        </w:rPr>
        <w:t>[a]</w:t>
      </w:r>
    </w:p>
    <w:p w14:paraId="4E020895" w14:textId="053BD04E" w:rsidR="00CE08E0" w:rsidRPr="003E76E7" w:rsidRDefault="00430E62" w:rsidP="00C4292D">
      <w:pPr>
        <w:spacing w:after="0"/>
      </w:pPr>
      <w:r w:rsidRPr="00430E62">
        <w:rPr>
          <w:noProof/>
          <w:lang w:val="en-AU"/>
        </w:rPr>
        <w:drawing>
          <wp:inline distT="0" distB="0" distL="0" distR="0" wp14:anchorId="79CEF0F5" wp14:editId="0E2938D8">
            <wp:extent cx="5472430" cy="2609919"/>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472430" cy="2609919"/>
                    </a:xfrm>
                    <a:prstGeom prst="rect">
                      <a:avLst/>
                    </a:prstGeom>
                    <a:noFill/>
                    <a:ln>
                      <a:noFill/>
                    </a:ln>
                  </pic:spPr>
                </pic:pic>
              </a:graphicData>
            </a:graphic>
          </wp:inline>
        </w:drawing>
      </w:r>
    </w:p>
    <w:p w14:paraId="3F102D0C" w14:textId="77777777" w:rsidR="00E73DBC" w:rsidRPr="003E76E7" w:rsidRDefault="00E73DBC" w:rsidP="00C4292D">
      <w:pPr>
        <w:spacing w:before="0" w:after="0"/>
        <w:rPr>
          <w:rFonts w:ascii="Arial" w:hAnsi="Arial"/>
          <w:b/>
          <w:sz w:val="14"/>
          <w:szCs w:val="14"/>
          <w:lang w:val="en-AU"/>
        </w:rPr>
      </w:pPr>
    </w:p>
    <w:p w14:paraId="6A9CF4EE" w14:textId="77777777" w:rsidR="0020361A" w:rsidRPr="003E76E7" w:rsidRDefault="00AC7160" w:rsidP="00C4292D">
      <w:pPr>
        <w:tabs>
          <w:tab w:val="left" w:pos="284"/>
        </w:tabs>
        <w:spacing w:before="0" w:after="0"/>
        <w:ind w:firstLine="1"/>
        <w:rPr>
          <w:rFonts w:ascii="Arial" w:hAnsi="Arial"/>
          <w:b/>
          <w:sz w:val="14"/>
          <w:szCs w:val="14"/>
          <w:lang w:val="en-AU"/>
        </w:rPr>
      </w:pPr>
      <w:r w:rsidRPr="003E76E7">
        <w:rPr>
          <w:rFonts w:ascii="Arial" w:hAnsi="Arial"/>
          <w:b/>
          <w:sz w:val="14"/>
          <w:szCs w:val="14"/>
          <w:lang w:val="en-AU"/>
        </w:rPr>
        <w:t>Note</w:t>
      </w:r>
    </w:p>
    <w:p w14:paraId="7BC4337E" w14:textId="6D50FB64" w:rsidR="00FF1920" w:rsidRPr="003E76E7" w:rsidRDefault="00AC7160" w:rsidP="00C4292D">
      <w:pPr>
        <w:tabs>
          <w:tab w:val="left" w:pos="284"/>
        </w:tabs>
        <w:spacing w:before="0" w:after="0"/>
        <w:ind w:firstLine="1"/>
        <w:rPr>
          <w:rFonts w:ascii="Arial" w:hAnsi="Arial"/>
          <w:sz w:val="14"/>
          <w:szCs w:val="14"/>
          <w:lang w:val="en-AU"/>
        </w:rPr>
      </w:pPr>
      <w:r w:rsidRPr="003E76E7">
        <w:rPr>
          <w:rFonts w:ascii="Arial" w:hAnsi="Arial"/>
          <w:sz w:val="14"/>
          <w:szCs w:val="14"/>
          <w:lang w:val="en-AU"/>
        </w:rPr>
        <w:t xml:space="preserve">a. </w:t>
      </w:r>
      <w:r w:rsidR="00855CD3" w:rsidRPr="003E76E7">
        <w:rPr>
          <w:rFonts w:ascii="Arial" w:hAnsi="Arial"/>
          <w:sz w:val="14"/>
          <w:szCs w:val="14"/>
          <w:lang w:val="en-AU"/>
        </w:rPr>
        <w:tab/>
      </w:r>
      <w:r w:rsidR="00FF1920" w:rsidRPr="003E76E7">
        <w:rPr>
          <w:rFonts w:ascii="Arial" w:hAnsi="Arial"/>
          <w:sz w:val="14"/>
          <w:szCs w:val="14"/>
          <w:lang w:val="en-AU"/>
        </w:rPr>
        <w:t xml:space="preserve">Third party payments to and from other Agencies include:  </w:t>
      </w:r>
      <w:r w:rsidR="00FF1920" w:rsidRPr="003E76E7">
        <w:rPr>
          <w:rFonts w:ascii="Arial" w:hAnsi="Arial"/>
          <w:sz w:val="14"/>
          <w:szCs w:val="14"/>
          <w:lang w:val="en-AU"/>
        </w:rPr>
        <w:tab/>
      </w:r>
      <w:r w:rsidR="00FF1920" w:rsidRPr="003E76E7">
        <w:rPr>
          <w:rFonts w:ascii="Arial" w:hAnsi="Arial"/>
          <w:sz w:val="14"/>
          <w:szCs w:val="14"/>
          <w:lang w:val="en-AU"/>
        </w:rPr>
        <w:tab/>
      </w:r>
    </w:p>
    <w:p w14:paraId="30F85259" w14:textId="0BC412AF" w:rsidR="00FF1920" w:rsidRPr="003E76E7" w:rsidRDefault="00FF1920" w:rsidP="00C4292D">
      <w:pPr>
        <w:tabs>
          <w:tab w:val="left" w:pos="284"/>
        </w:tabs>
        <w:spacing w:before="0" w:after="0"/>
        <w:ind w:left="284"/>
        <w:rPr>
          <w:rFonts w:ascii="Arial" w:hAnsi="Arial"/>
          <w:sz w:val="14"/>
          <w:szCs w:val="14"/>
          <w:lang w:val="en-AU"/>
        </w:rPr>
      </w:pPr>
      <w:r w:rsidRPr="003E76E7">
        <w:rPr>
          <w:rFonts w:ascii="Arial" w:hAnsi="Arial"/>
          <w:sz w:val="14"/>
          <w:szCs w:val="14"/>
          <w:lang w:val="en-AU"/>
        </w:rPr>
        <w:t xml:space="preserve">  - Inter-agenc</w:t>
      </w:r>
      <w:r w:rsidR="00510DEE" w:rsidRPr="003E76E7">
        <w:rPr>
          <w:rFonts w:ascii="Arial" w:hAnsi="Arial"/>
          <w:sz w:val="14"/>
          <w:szCs w:val="14"/>
          <w:lang w:val="en-AU"/>
        </w:rPr>
        <w:t>y transactions in excess of $20 million</w:t>
      </w:r>
      <w:r w:rsidRPr="003E76E7">
        <w:rPr>
          <w:rFonts w:ascii="Arial" w:hAnsi="Arial"/>
          <w:sz w:val="14"/>
          <w:szCs w:val="14"/>
          <w:lang w:val="en-AU"/>
        </w:rPr>
        <w:t xml:space="preserve"> per annum;  </w:t>
      </w:r>
      <w:r w:rsidRPr="003E76E7">
        <w:rPr>
          <w:rFonts w:ascii="Arial" w:hAnsi="Arial"/>
          <w:sz w:val="14"/>
          <w:szCs w:val="14"/>
          <w:lang w:val="en-AU"/>
        </w:rPr>
        <w:tab/>
      </w:r>
      <w:r w:rsidRPr="003E76E7">
        <w:rPr>
          <w:rFonts w:ascii="Arial" w:hAnsi="Arial"/>
          <w:sz w:val="14"/>
          <w:szCs w:val="14"/>
          <w:lang w:val="en-AU"/>
        </w:rPr>
        <w:tab/>
      </w:r>
    </w:p>
    <w:p w14:paraId="417BF7A0" w14:textId="34FB68C0" w:rsidR="00FF1920" w:rsidRPr="003E76E7" w:rsidRDefault="00FF1920" w:rsidP="00C4292D">
      <w:pPr>
        <w:tabs>
          <w:tab w:val="left" w:pos="284"/>
        </w:tabs>
        <w:spacing w:before="0" w:after="0"/>
        <w:ind w:left="284"/>
        <w:rPr>
          <w:rFonts w:ascii="Arial" w:hAnsi="Arial"/>
          <w:sz w:val="14"/>
          <w:szCs w:val="14"/>
          <w:lang w:val="en-AU"/>
        </w:rPr>
      </w:pPr>
      <w:r w:rsidRPr="003E76E7">
        <w:rPr>
          <w:rFonts w:ascii="Arial" w:hAnsi="Arial"/>
          <w:sz w:val="14"/>
          <w:szCs w:val="14"/>
          <w:lang w:val="en-AU"/>
        </w:rPr>
        <w:t xml:space="preserve">  - Inter-agency transact</w:t>
      </w:r>
      <w:r w:rsidR="00510DEE" w:rsidRPr="003E76E7">
        <w:rPr>
          <w:rFonts w:ascii="Arial" w:hAnsi="Arial"/>
          <w:sz w:val="14"/>
          <w:szCs w:val="14"/>
          <w:lang w:val="en-AU"/>
        </w:rPr>
        <w:t>ions that were in excess of $20 million</w:t>
      </w:r>
      <w:r w:rsidRPr="003E76E7">
        <w:rPr>
          <w:rFonts w:ascii="Arial" w:hAnsi="Arial"/>
          <w:sz w:val="14"/>
          <w:szCs w:val="14"/>
          <w:lang w:val="en-AU"/>
        </w:rPr>
        <w:t xml:space="preserve"> in the previous year's annual statements; and </w:t>
      </w:r>
      <w:r w:rsidRPr="003E76E7">
        <w:rPr>
          <w:rFonts w:ascii="Arial" w:hAnsi="Arial"/>
          <w:sz w:val="14"/>
          <w:szCs w:val="14"/>
          <w:lang w:val="en-AU"/>
        </w:rPr>
        <w:tab/>
      </w:r>
      <w:r w:rsidRPr="003E76E7">
        <w:rPr>
          <w:rFonts w:ascii="Arial" w:hAnsi="Arial"/>
          <w:sz w:val="14"/>
          <w:szCs w:val="14"/>
          <w:lang w:val="en-AU"/>
        </w:rPr>
        <w:tab/>
      </w:r>
    </w:p>
    <w:p w14:paraId="23E3788E" w14:textId="4BD7800E" w:rsidR="00F009D2" w:rsidRPr="003E76E7" w:rsidRDefault="00FF1920" w:rsidP="00C4292D">
      <w:pPr>
        <w:tabs>
          <w:tab w:val="left" w:pos="284"/>
        </w:tabs>
        <w:spacing w:before="0" w:after="0"/>
        <w:ind w:left="284"/>
        <w:rPr>
          <w:rFonts w:ascii="Arial" w:hAnsi="Arial"/>
          <w:sz w:val="14"/>
          <w:szCs w:val="14"/>
          <w:lang w:val="en-AU"/>
        </w:rPr>
      </w:pPr>
      <w:r w:rsidRPr="003E76E7">
        <w:rPr>
          <w:rFonts w:ascii="Arial" w:hAnsi="Arial"/>
          <w:sz w:val="14"/>
          <w:szCs w:val="14"/>
          <w:lang w:val="en-AU"/>
        </w:rPr>
        <w:t xml:space="preserve">  - Inter-agency transactions relating to Budget Measures as disclosed in Defence Budget Measures. </w:t>
      </w:r>
      <w:r w:rsidRPr="003E76E7">
        <w:rPr>
          <w:rFonts w:ascii="Arial" w:hAnsi="Arial"/>
          <w:sz w:val="14"/>
          <w:szCs w:val="14"/>
          <w:lang w:val="en-AU"/>
        </w:rPr>
        <w:tab/>
      </w:r>
      <w:r w:rsidRPr="003E76E7">
        <w:rPr>
          <w:rFonts w:ascii="Arial" w:hAnsi="Arial"/>
          <w:sz w:val="14"/>
          <w:szCs w:val="14"/>
          <w:lang w:val="en-AU"/>
        </w:rPr>
        <w:tab/>
      </w:r>
    </w:p>
    <w:p w14:paraId="226D4AEB" w14:textId="5D9503FF" w:rsidR="00BA1388" w:rsidRPr="003E76E7" w:rsidRDefault="00855CD3" w:rsidP="00C4292D">
      <w:pPr>
        <w:tabs>
          <w:tab w:val="left" w:pos="284"/>
        </w:tabs>
        <w:spacing w:before="0" w:after="0"/>
        <w:ind w:firstLine="1"/>
        <w:rPr>
          <w:rFonts w:ascii="Arial" w:hAnsi="Arial"/>
          <w:sz w:val="14"/>
          <w:szCs w:val="14"/>
          <w:lang w:val="en-AU"/>
        </w:rPr>
      </w:pPr>
      <w:r w:rsidRPr="003E76E7">
        <w:rPr>
          <w:rFonts w:ascii="Arial" w:hAnsi="Arial"/>
          <w:sz w:val="14"/>
          <w:szCs w:val="14"/>
          <w:lang w:val="en-AU"/>
        </w:rPr>
        <w:tab/>
      </w:r>
      <w:r w:rsidRPr="003E76E7">
        <w:rPr>
          <w:rFonts w:ascii="Arial" w:hAnsi="Arial"/>
          <w:sz w:val="14"/>
          <w:szCs w:val="14"/>
          <w:lang w:val="en-AU"/>
        </w:rPr>
        <w:tab/>
      </w:r>
    </w:p>
    <w:p w14:paraId="55DFE7E5" w14:textId="00BC81A6" w:rsidR="00AC7160" w:rsidRPr="003E76E7" w:rsidRDefault="00D73F23" w:rsidP="00C4292D">
      <w:pPr>
        <w:tabs>
          <w:tab w:val="left" w:pos="284"/>
        </w:tabs>
        <w:spacing w:before="0" w:after="0"/>
        <w:ind w:firstLine="1"/>
        <w:rPr>
          <w:rFonts w:ascii="Arial" w:hAnsi="Arial"/>
          <w:sz w:val="14"/>
          <w:szCs w:val="14"/>
          <w:lang w:val="en-AU"/>
        </w:rPr>
      </w:pPr>
      <w:r w:rsidRPr="003E76E7">
        <w:rPr>
          <w:rFonts w:ascii="Arial" w:hAnsi="Arial"/>
          <w:sz w:val="14"/>
          <w:szCs w:val="14"/>
          <w:lang w:val="en-AU"/>
        </w:rPr>
        <w:t xml:space="preserve"> </w:t>
      </w:r>
      <w:r w:rsidRPr="003E76E7">
        <w:rPr>
          <w:rFonts w:ascii="Arial" w:hAnsi="Arial"/>
          <w:sz w:val="14"/>
          <w:szCs w:val="14"/>
          <w:lang w:val="en-AU"/>
        </w:rPr>
        <w:tab/>
      </w:r>
    </w:p>
    <w:p w14:paraId="09D023D2" w14:textId="77777777" w:rsidR="00CE08E0" w:rsidRPr="003E76E7" w:rsidRDefault="00CE08E0" w:rsidP="00C4292D">
      <w:pPr>
        <w:spacing w:before="0" w:after="0"/>
        <w:rPr>
          <w:rFonts w:ascii="Arial" w:hAnsi="Arial" w:cs="Times New Roman"/>
          <w:b/>
          <w:bCs/>
          <w:sz w:val="2"/>
          <w:szCs w:val="2"/>
          <w:lang w:val="en-AU"/>
        </w:rPr>
      </w:pPr>
      <w:r w:rsidRPr="003E76E7">
        <w:rPr>
          <w:lang w:val="en-AU"/>
        </w:rPr>
        <w:br w:type="page"/>
      </w:r>
    </w:p>
    <w:p w14:paraId="10FAEAC9" w14:textId="241C226C" w:rsidR="0017690F" w:rsidRPr="003E76E7" w:rsidRDefault="0017690F" w:rsidP="00C4292D">
      <w:pPr>
        <w:pStyle w:val="Heading4"/>
      </w:pPr>
      <w:bookmarkStart w:id="1174" w:name="_Toc69729050"/>
      <w:bookmarkStart w:id="1175" w:name="_Toc97747834"/>
      <w:bookmarkStart w:id="1176" w:name="_Toc108088945"/>
      <w:bookmarkStart w:id="1177" w:name="_Toc108089024"/>
      <w:bookmarkStart w:id="1178" w:name="_Toc108089419"/>
      <w:bookmarkStart w:id="1179" w:name="_Toc159499689"/>
      <w:bookmarkStart w:id="1180" w:name="_Toc222129929"/>
      <w:bookmarkStart w:id="1181" w:name="_Toc222148359"/>
      <w:bookmarkStart w:id="1182" w:name="_Toc225847987"/>
      <w:bookmarkStart w:id="1183" w:name="_Toc225848070"/>
      <w:bookmarkStart w:id="1184" w:name="_Toc225848153"/>
      <w:bookmarkStart w:id="1185" w:name="_Toc225848492"/>
      <w:bookmarkStart w:id="1186" w:name="_Toc225941559"/>
      <w:bookmarkStart w:id="1187" w:name="_Toc225942566"/>
      <w:bookmarkStart w:id="1188" w:name="_Toc227334376"/>
      <w:bookmarkStart w:id="1189" w:name="_Toc229072451"/>
      <w:bookmarkStart w:id="1190" w:name="_Toc229072623"/>
      <w:r w:rsidRPr="003E76E7">
        <w:lastRenderedPageBreak/>
        <w:t>3.</w:t>
      </w:r>
      <w:r w:rsidR="00B40A07" w:rsidRPr="003E76E7">
        <w:t>3 Budgeted Financial Statements</w:t>
      </w:r>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p>
    <w:p w14:paraId="050DDD0B" w14:textId="77777777" w:rsidR="0017690F" w:rsidRPr="003E76E7" w:rsidRDefault="0017690F" w:rsidP="00C4292D">
      <w:pPr>
        <w:pStyle w:val="Heading4level5"/>
        <w:spacing w:before="0" w:after="200"/>
      </w:pPr>
      <w:r w:rsidRPr="003E76E7">
        <w:t>3.3.1 Departmental and Administered Budgeted Financial Statements</w:t>
      </w:r>
    </w:p>
    <w:p w14:paraId="7FE58F10" w14:textId="3BBF7C50" w:rsidR="00211FF9" w:rsidRPr="003E76E7" w:rsidRDefault="0017690F" w:rsidP="00C4292D">
      <w:pPr>
        <w:pStyle w:val="TableHeading"/>
        <w:numPr>
          <w:ilvl w:val="0"/>
          <w:numId w:val="61"/>
        </w:numPr>
        <w:spacing w:before="0"/>
        <w:ind w:left="0" w:firstLine="0"/>
        <w:outlineLvl w:val="4"/>
        <w:rPr>
          <w:lang w:val="en-AU"/>
        </w:rPr>
      </w:pPr>
      <w:r w:rsidRPr="003E76E7">
        <w:rPr>
          <w:lang w:val="en-AU"/>
        </w:rPr>
        <w:t xml:space="preserve">Budgeted Departmental Comprehensive Income Statement </w:t>
      </w:r>
      <w:r w:rsidR="00B5170A" w:rsidRPr="003E76E7">
        <w:rPr>
          <w:lang w:val="en-AU"/>
        </w:rPr>
        <w:br/>
      </w:r>
      <w:r w:rsidRPr="003E76E7">
        <w:rPr>
          <w:lang w:val="en-AU"/>
        </w:rPr>
        <w:t>(Showing Net Cost of Services) (for the period ended 30 June)</w:t>
      </w:r>
    </w:p>
    <w:p w14:paraId="24AE4F20" w14:textId="1BC13587" w:rsidR="00792C88" w:rsidRPr="003E76E7" w:rsidRDefault="00430E62" w:rsidP="00C4292D">
      <w:r w:rsidRPr="00430E62">
        <w:rPr>
          <w:noProof/>
          <w:lang w:val="en-AU"/>
        </w:rPr>
        <w:drawing>
          <wp:inline distT="0" distB="0" distL="0" distR="0" wp14:anchorId="5C48D805" wp14:editId="0F271AEF">
            <wp:extent cx="5472430" cy="6879894"/>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472430" cy="6879894"/>
                    </a:xfrm>
                    <a:prstGeom prst="rect">
                      <a:avLst/>
                    </a:prstGeom>
                    <a:noFill/>
                    <a:ln>
                      <a:noFill/>
                    </a:ln>
                  </pic:spPr>
                </pic:pic>
              </a:graphicData>
            </a:graphic>
          </wp:inline>
        </w:drawing>
      </w:r>
    </w:p>
    <w:p w14:paraId="4E1E5145" w14:textId="4A35D042" w:rsidR="00912C0B" w:rsidRPr="003E76E7" w:rsidRDefault="00912C0B" w:rsidP="00C4292D">
      <w:pPr>
        <w:spacing w:before="0" w:after="0"/>
      </w:pPr>
      <w:r w:rsidRPr="003E76E7">
        <w:br w:type="page"/>
      </w:r>
    </w:p>
    <w:p w14:paraId="7C20AB50" w14:textId="374EBE82" w:rsidR="00792C88" w:rsidRPr="003E76E7" w:rsidRDefault="00792C88" w:rsidP="00C4292D">
      <w:pPr>
        <w:pStyle w:val="BodyText"/>
        <w:rPr>
          <w:rFonts w:ascii="Arial" w:hAnsi="Arial"/>
          <w:b/>
          <w:lang w:val="en-AU"/>
        </w:rPr>
      </w:pPr>
      <w:r w:rsidRPr="003E76E7">
        <w:rPr>
          <w:rFonts w:ascii="Arial" w:hAnsi="Arial"/>
          <w:b/>
          <w:lang w:val="en-AU"/>
        </w:rPr>
        <w:lastRenderedPageBreak/>
        <w:t xml:space="preserve">Table 44: Budgeted Departmental Comprehensive Income Statement </w:t>
      </w:r>
      <w:r w:rsidR="00B5170A" w:rsidRPr="003E76E7">
        <w:rPr>
          <w:rFonts w:ascii="Arial" w:hAnsi="Arial"/>
          <w:b/>
          <w:lang w:val="en-AU"/>
        </w:rPr>
        <w:br/>
      </w:r>
      <w:r w:rsidRPr="003E76E7">
        <w:rPr>
          <w:rFonts w:ascii="Arial" w:hAnsi="Arial"/>
          <w:b/>
          <w:lang w:val="en-AU"/>
        </w:rPr>
        <w:t>(Showing Net Cost of Services) (for the period ended 30 June) (Continued)</w:t>
      </w:r>
    </w:p>
    <w:p w14:paraId="492A5D13" w14:textId="01C3E236" w:rsidR="00510DEE" w:rsidRPr="003E76E7" w:rsidRDefault="00430E62" w:rsidP="00C4292D">
      <w:pPr>
        <w:tabs>
          <w:tab w:val="left" w:pos="284"/>
        </w:tabs>
        <w:spacing w:after="0"/>
        <w:ind w:firstLine="1"/>
        <w:rPr>
          <w:noProof/>
          <w:lang w:val="en-AU"/>
        </w:rPr>
      </w:pPr>
      <w:r w:rsidRPr="00430E62">
        <w:rPr>
          <w:noProof/>
          <w:lang w:val="en-AU"/>
        </w:rPr>
        <w:drawing>
          <wp:inline distT="0" distB="0" distL="0" distR="0" wp14:anchorId="2532BFBE" wp14:editId="2B869E97">
            <wp:extent cx="5472430" cy="2428522"/>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472430" cy="2428522"/>
                    </a:xfrm>
                    <a:prstGeom prst="rect">
                      <a:avLst/>
                    </a:prstGeom>
                    <a:noFill/>
                    <a:ln>
                      <a:noFill/>
                    </a:ln>
                  </pic:spPr>
                </pic:pic>
              </a:graphicData>
            </a:graphic>
          </wp:inline>
        </w:drawing>
      </w:r>
    </w:p>
    <w:p w14:paraId="2AFFEC75" w14:textId="77777777" w:rsidR="009D3404" w:rsidRPr="003E76E7" w:rsidRDefault="009D3404" w:rsidP="00C4292D">
      <w:pPr>
        <w:tabs>
          <w:tab w:val="left" w:pos="284"/>
        </w:tabs>
        <w:spacing w:before="0" w:after="0"/>
        <w:ind w:firstLine="1"/>
        <w:rPr>
          <w:rFonts w:ascii="Arial" w:hAnsi="Arial"/>
          <w:b/>
          <w:sz w:val="14"/>
          <w:szCs w:val="14"/>
          <w:lang w:val="en-AU"/>
        </w:rPr>
      </w:pPr>
    </w:p>
    <w:p w14:paraId="3D734899" w14:textId="01BF828C" w:rsidR="00D43F69" w:rsidRPr="003E76E7" w:rsidRDefault="00D43F69" w:rsidP="00C4292D">
      <w:pPr>
        <w:tabs>
          <w:tab w:val="left" w:pos="284"/>
        </w:tabs>
        <w:spacing w:before="0" w:after="0"/>
        <w:ind w:firstLine="1"/>
        <w:rPr>
          <w:rFonts w:ascii="Arial" w:hAnsi="Arial"/>
          <w:b/>
          <w:sz w:val="14"/>
          <w:szCs w:val="14"/>
          <w:lang w:val="en-AU"/>
        </w:rPr>
      </w:pPr>
      <w:r w:rsidRPr="003E76E7">
        <w:rPr>
          <w:rFonts w:ascii="Arial" w:hAnsi="Arial"/>
          <w:b/>
          <w:sz w:val="14"/>
          <w:szCs w:val="14"/>
          <w:lang w:val="en-AU"/>
        </w:rPr>
        <w:t>Note</w:t>
      </w:r>
    </w:p>
    <w:p w14:paraId="6BCBD02D" w14:textId="1823F9BE" w:rsidR="00D43F69" w:rsidRPr="003E76E7" w:rsidRDefault="00D43F69" w:rsidP="00C4292D">
      <w:pPr>
        <w:spacing w:before="0" w:after="0"/>
        <w:ind w:left="284" w:hanging="284"/>
        <w:rPr>
          <w:rFonts w:ascii="Arial" w:hAnsi="Arial"/>
          <w:color w:val="000000"/>
          <w:sz w:val="14"/>
          <w:szCs w:val="14"/>
          <w:lang w:val="en-AU"/>
        </w:rPr>
      </w:pPr>
      <w:r w:rsidRPr="003E76E7">
        <w:rPr>
          <w:rFonts w:ascii="Arial" w:hAnsi="Arial"/>
          <w:sz w:val="14"/>
          <w:szCs w:val="14"/>
          <w:lang w:val="en-AU"/>
        </w:rPr>
        <w:t xml:space="preserve">a. </w:t>
      </w:r>
      <w:r w:rsidRPr="003E76E7">
        <w:rPr>
          <w:rFonts w:ascii="Arial" w:hAnsi="Arial"/>
          <w:sz w:val="14"/>
          <w:szCs w:val="14"/>
          <w:lang w:val="en-AU"/>
        </w:rPr>
        <w:tab/>
      </w:r>
      <w:r w:rsidR="00DB3C2B" w:rsidRPr="003E76E7">
        <w:rPr>
          <w:rFonts w:ascii="Arial" w:hAnsi="Arial"/>
          <w:sz w:val="14"/>
          <w:szCs w:val="14"/>
          <w:lang w:val="en-AU"/>
        </w:rPr>
        <w:t>Grant expenses do not include the gifting of assets to foreign governments.</w:t>
      </w:r>
    </w:p>
    <w:p w14:paraId="5358DA88" w14:textId="7B56D70B" w:rsidR="00000111" w:rsidRPr="003E76E7" w:rsidRDefault="00000111" w:rsidP="00C4292D">
      <w:pPr>
        <w:rPr>
          <w:sz w:val="12"/>
          <w:szCs w:val="12"/>
        </w:rPr>
      </w:pPr>
    </w:p>
    <w:p w14:paraId="12C4854D" w14:textId="77777777" w:rsidR="008A4A10" w:rsidRPr="003E76E7" w:rsidRDefault="00A25475" w:rsidP="00C4292D">
      <w:pPr>
        <w:pStyle w:val="TableHeading"/>
        <w:spacing w:before="0" w:after="120"/>
        <w:outlineLvl w:val="5"/>
        <w:rPr>
          <w:b w:val="0"/>
        </w:rPr>
      </w:pPr>
      <w:r w:rsidRPr="003E76E7">
        <w:br w:type="page"/>
      </w:r>
    </w:p>
    <w:p w14:paraId="183A920C" w14:textId="40E250AB" w:rsidR="00E73DBC" w:rsidRPr="003E76E7" w:rsidRDefault="00E73DBC" w:rsidP="00C4292D">
      <w:pPr>
        <w:pStyle w:val="TableHeading"/>
        <w:numPr>
          <w:ilvl w:val="0"/>
          <w:numId w:val="61"/>
        </w:numPr>
        <w:spacing w:before="100"/>
        <w:ind w:left="0" w:firstLine="0"/>
        <w:outlineLvl w:val="4"/>
      </w:pPr>
      <w:r w:rsidRPr="003E76E7">
        <w:lastRenderedPageBreak/>
        <w:t>Budgeted Departmental Balance Sheet (</w:t>
      </w:r>
      <w:r w:rsidR="0049695F">
        <w:t>for the period ended 30 June)</w:t>
      </w:r>
    </w:p>
    <w:p w14:paraId="1A019D3F" w14:textId="3F6318D5" w:rsidR="006D5735" w:rsidRPr="003E76E7" w:rsidRDefault="00430E62" w:rsidP="00C4292D">
      <w:pPr>
        <w:rPr>
          <w:lang w:val="en-AU"/>
        </w:rPr>
      </w:pPr>
      <w:r w:rsidRPr="00430E62">
        <w:rPr>
          <w:noProof/>
          <w:lang w:val="en-AU"/>
        </w:rPr>
        <w:drawing>
          <wp:inline distT="0" distB="0" distL="0" distR="0" wp14:anchorId="6C780AF9" wp14:editId="65AFDE85">
            <wp:extent cx="5472430" cy="7108324"/>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472430" cy="7108324"/>
                    </a:xfrm>
                    <a:prstGeom prst="rect">
                      <a:avLst/>
                    </a:prstGeom>
                    <a:noFill/>
                    <a:ln>
                      <a:noFill/>
                    </a:ln>
                  </pic:spPr>
                </pic:pic>
              </a:graphicData>
            </a:graphic>
          </wp:inline>
        </w:drawing>
      </w:r>
    </w:p>
    <w:p w14:paraId="4AFA26EB" w14:textId="3F76038D" w:rsidR="006C579D" w:rsidRPr="003E76E7" w:rsidRDefault="00483241" w:rsidP="00C4292D">
      <w:pPr>
        <w:pStyle w:val="TableHeading"/>
        <w:numPr>
          <w:ilvl w:val="0"/>
          <w:numId w:val="61"/>
        </w:numPr>
        <w:spacing w:before="100"/>
        <w:ind w:left="0" w:firstLine="0"/>
        <w:outlineLvl w:val="4"/>
      </w:pPr>
      <w:r w:rsidRPr="003E76E7">
        <w:rPr>
          <w:lang w:val="en-AU"/>
        </w:rPr>
        <w:br w:type="page"/>
      </w:r>
      <w:r w:rsidR="006C579D" w:rsidRPr="003E76E7">
        <w:lastRenderedPageBreak/>
        <w:t>Budgeted Departmental Statement of Cash Flows (for the period ended 30 June)</w:t>
      </w:r>
      <w:r w:rsidR="001D1158" w:rsidRPr="003E76E7">
        <w:t xml:space="preserve"> </w:t>
      </w:r>
    </w:p>
    <w:p w14:paraId="79B3E593" w14:textId="15ED7C2D" w:rsidR="006D5735" w:rsidRPr="003E76E7" w:rsidRDefault="00430E62" w:rsidP="00C4292D">
      <w:r w:rsidRPr="00430E62">
        <w:rPr>
          <w:noProof/>
          <w:lang w:val="en-AU"/>
        </w:rPr>
        <w:drawing>
          <wp:inline distT="0" distB="0" distL="0" distR="0" wp14:anchorId="5D052A19" wp14:editId="439058F6">
            <wp:extent cx="5472430" cy="6809389"/>
            <wp:effectExtent l="0" t="0" r="0" b="0"/>
            <wp:docPr id="24575495" name="Picture 24575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472430" cy="6809389"/>
                    </a:xfrm>
                    <a:prstGeom prst="rect">
                      <a:avLst/>
                    </a:prstGeom>
                    <a:noFill/>
                    <a:ln>
                      <a:noFill/>
                    </a:ln>
                  </pic:spPr>
                </pic:pic>
              </a:graphicData>
            </a:graphic>
          </wp:inline>
        </w:drawing>
      </w:r>
    </w:p>
    <w:p w14:paraId="057B414D" w14:textId="77777777" w:rsidR="008A40CC" w:rsidRPr="003E76E7" w:rsidRDefault="008A40CC" w:rsidP="00C4292D">
      <w:pPr>
        <w:pStyle w:val="TableHeading"/>
        <w:spacing w:before="0" w:after="120"/>
      </w:pPr>
      <w:r w:rsidRPr="003E76E7">
        <w:br w:type="page"/>
      </w:r>
      <w:r w:rsidRPr="003E76E7">
        <w:lastRenderedPageBreak/>
        <w:t xml:space="preserve">Table </w:t>
      </w:r>
      <w:r w:rsidR="00EB0021" w:rsidRPr="003E76E7">
        <w:t>4</w:t>
      </w:r>
      <w:r w:rsidR="00F220F2" w:rsidRPr="003E76E7">
        <w:t>6</w:t>
      </w:r>
      <w:r w:rsidR="000F74ED" w:rsidRPr="003E76E7">
        <w:t>:</w:t>
      </w:r>
      <w:r w:rsidRPr="003E76E7">
        <w:t xml:space="preserve"> Budgeted Departmental Statement of Cash Flows (for the period ended 30 June) (Continued)</w:t>
      </w:r>
    </w:p>
    <w:p w14:paraId="6484D50D" w14:textId="6598EF8D" w:rsidR="008A40CC" w:rsidRPr="003E76E7" w:rsidRDefault="00430E62" w:rsidP="00C4292D">
      <w:pPr>
        <w:rPr>
          <w:lang w:val="en-AU"/>
        </w:rPr>
      </w:pPr>
      <w:r w:rsidRPr="00430E62">
        <w:rPr>
          <w:noProof/>
          <w:lang w:val="en-AU"/>
        </w:rPr>
        <w:drawing>
          <wp:inline distT="0" distB="0" distL="0" distR="0" wp14:anchorId="21FF2C28" wp14:editId="011671CA">
            <wp:extent cx="5472430" cy="4096215"/>
            <wp:effectExtent l="0" t="0" r="0" b="0"/>
            <wp:docPr id="24575496" name="Picture 24575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472430" cy="4096215"/>
                    </a:xfrm>
                    <a:prstGeom prst="rect">
                      <a:avLst/>
                    </a:prstGeom>
                    <a:noFill/>
                    <a:ln>
                      <a:noFill/>
                    </a:ln>
                  </pic:spPr>
                </pic:pic>
              </a:graphicData>
            </a:graphic>
          </wp:inline>
        </w:drawing>
      </w:r>
    </w:p>
    <w:p w14:paraId="56EE48C2" w14:textId="213CE15D" w:rsidR="00C01706" w:rsidRPr="003E76E7" w:rsidRDefault="00483241" w:rsidP="00C4292D">
      <w:pPr>
        <w:pStyle w:val="TableHeading"/>
        <w:numPr>
          <w:ilvl w:val="0"/>
          <w:numId w:val="61"/>
        </w:numPr>
        <w:spacing w:before="100"/>
        <w:ind w:left="0" w:firstLine="0"/>
        <w:outlineLvl w:val="4"/>
      </w:pPr>
      <w:r w:rsidRPr="003E76E7">
        <w:rPr>
          <w:lang w:val="en-AU"/>
        </w:rPr>
        <w:br w:type="page"/>
      </w:r>
      <w:r w:rsidR="00C01706" w:rsidRPr="003E76E7">
        <w:lastRenderedPageBreak/>
        <w:t xml:space="preserve">Departmental Statement of Changes in Equity </w:t>
      </w:r>
      <w:r w:rsidR="00722810" w:rsidRPr="003E76E7">
        <w:t>-</w:t>
      </w:r>
      <w:r w:rsidR="00C01706" w:rsidRPr="003E76E7">
        <w:t xml:space="preserve"> Summary of Movement </w:t>
      </w:r>
      <w:r w:rsidR="00B5170A" w:rsidRPr="003E76E7">
        <w:br/>
      </w:r>
      <w:r w:rsidR="00C20219">
        <w:t>(Budget Y</w:t>
      </w:r>
      <w:r w:rsidR="00C01706" w:rsidRPr="003E76E7">
        <w:t xml:space="preserve">ear </w:t>
      </w:r>
      <w:r w:rsidR="00E77BB4" w:rsidRPr="003E76E7">
        <w:t>202</w:t>
      </w:r>
      <w:r w:rsidR="008429E1" w:rsidRPr="003E76E7">
        <w:t>6</w:t>
      </w:r>
      <w:r w:rsidR="002269D3" w:rsidRPr="003E76E7">
        <w:t>-</w:t>
      </w:r>
      <w:r w:rsidR="00E77BB4" w:rsidRPr="003E76E7">
        <w:t>2</w:t>
      </w:r>
      <w:r w:rsidR="008429E1" w:rsidRPr="003E76E7">
        <w:t>7</w:t>
      </w:r>
      <w:r w:rsidR="00C01706" w:rsidRPr="003E76E7">
        <w:t>)</w:t>
      </w:r>
    </w:p>
    <w:p w14:paraId="0E6A300B" w14:textId="1726CA1C" w:rsidR="0092795E" w:rsidRPr="003E76E7" w:rsidRDefault="00430E62" w:rsidP="00C4292D">
      <w:pPr>
        <w:rPr>
          <w:lang w:val="en-AU"/>
        </w:rPr>
      </w:pPr>
      <w:r w:rsidRPr="00430E62">
        <w:rPr>
          <w:noProof/>
          <w:lang w:val="en-AU"/>
        </w:rPr>
        <w:drawing>
          <wp:inline distT="0" distB="0" distL="0" distR="0" wp14:anchorId="1782EDE7" wp14:editId="1BD4DC98">
            <wp:extent cx="5472430" cy="4201791"/>
            <wp:effectExtent l="0" t="0" r="0" b="8890"/>
            <wp:docPr id="24575498" name="Picture 24575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472430" cy="4201791"/>
                    </a:xfrm>
                    <a:prstGeom prst="rect">
                      <a:avLst/>
                    </a:prstGeom>
                    <a:noFill/>
                    <a:ln>
                      <a:noFill/>
                    </a:ln>
                  </pic:spPr>
                </pic:pic>
              </a:graphicData>
            </a:graphic>
          </wp:inline>
        </w:drawing>
      </w:r>
    </w:p>
    <w:p w14:paraId="1AC1C940" w14:textId="77777777" w:rsidR="00C01706" w:rsidRPr="003E76E7" w:rsidRDefault="00483241" w:rsidP="00C4292D">
      <w:pPr>
        <w:pStyle w:val="TableHeading"/>
        <w:numPr>
          <w:ilvl w:val="0"/>
          <w:numId w:val="61"/>
        </w:numPr>
        <w:spacing w:before="100"/>
        <w:ind w:left="0" w:firstLine="0"/>
        <w:outlineLvl w:val="4"/>
      </w:pPr>
      <w:r w:rsidRPr="003E76E7">
        <w:rPr>
          <w:lang w:val="en-AU"/>
        </w:rPr>
        <w:br w:type="page"/>
      </w:r>
      <w:r w:rsidR="00C01706" w:rsidRPr="003E76E7">
        <w:lastRenderedPageBreak/>
        <w:t>Departmental Capital Budget Statement</w:t>
      </w:r>
      <w:r w:rsidR="00CB02AB" w:rsidRPr="003E76E7">
        <w:t xml:space="preserve"> (for the period ended 30 June)</w:t>
      </w:r>
    </w:p>
    <w:p w14:paraId="17525905" w14:textId="508A622E" w:rsidR="006D5735" w:rsidRPr="003E76E7" w:rsidRDefault="00430E62" w:rsidP="00C4292D">
      <w:pPr>
        <w:spacing w:after="0"/>
      </w:pPr>
      <w:r w:rsidRPr="00430E62">
        <w:rPr>
          <w:noProof/>
          <w:lang w:val="en-AU"/>
        </w:rPr>
        <w:drawing>
          <wp:inline distT="0" distB="0" distL="0" distR="0" wp14:anchorId="22A04D69" wp14:editId="6E481B1B">
            <wp:extent cx="5472430" cy="4853304"/>
            <wp:effectExtent l="0" t="0" r="0" b="5080"/>
            <wp:docPr id="24575502" name="Picture 24575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472430" cy="4853304"/>
                    </a:xfrm>
                    <a:prstGeom prst="rect">
                      <a:avLst/>
                    </a:prstGeom>
                    <a:noFill/>
                    <a:ln>
                      <a:noFill/>
                    </a:ln>
                  </pic:spPr>
                </pic:pic>
              </a:graphicData>
            </a:graphic>
          </wp:inline>
        </w:drawing>
      </w:r>
    </w:p>
    <w:p w14:paraId="4D2DD435" w14:textId="77777777" w:rsidR="00E73DBC" w:rsidRPr="003E76E7" w:rsidRDefault="00E73DBC" w:rsidP="00C4292D">
      <w:pPr>
        <w:spacing w:before="0" w:after="0"/>
        <w:rPr>
          <w:rFonts w:ascii="Arial" w:hAnsi="Arial"/>
          <w:b/>
          <w:sz w:val="14"/>
          <w:szCs w:val="14"/>
          <w:lang w:val="en-AU"/>
        </w:rPr>
      </w:pPr>
    </w:p>
    <w:p w14:paraId="7232C25A" w14:textId="4560A420" w:rsidR="00CB045C" w:rsidRPr="003E76E7" w:rsidRDefault="00415CB3" w:rsidP="00C4292D">
      <w:pPr>
        <w:tabs>
          <w:tab w:val="left" w:pos="284"/>
        </w:tabs>
        <w:spacing w:before="0" w:after="0"/>
        <w:rPr>
          <w:rFonts w:ascii="Arial" w:hAnsi="Arial"/>
          <w:b/>
          <w:sz w:val="14"/>
          <w:szCs w:val="14"/>
          <w:lang w:val="en-AU"/>
        </w:rPr>
      </w:pPr>
      <w:r w:rsidRPr="003E76E7">
        <w:rPr>
          <w:rFonts w:ascii="Arial" w:hAnsi="Arial"/>
          <w:b/>
          <w:sz w:val="14"/>
          <w:szCs w:val="14"/>
          <w:lang w:val="en-AU"/>
        </w:rPr>
        <w:t>Note</w:t>
      </w:r>
      <w:r w:rsidR="00D73F23" w:rsidRPr="003E76E7">
        <w:rPr>
          <w:rFonts w:ascii="Arial" w:hAnsi="Arial"/>
          <w:b/>
          <w:sz w:val="14"/>
          <w:szCs w:val="14"/>
          <w:lang w:val="en-AU"/>
        </w:rPr>
        <w:t>s</w:t>
      </w:r>
    </w:p>
    <w:p w14:paraId="0FDB9826" w14:textId="61D59E81" w:rsidR="001740A7" w:rsidRPr="003E76E7" w:rsidRDefault="005036C8" w:rsidP="005036C8">
      <w:pPr>
        <w:pStyle w:val="ListParagraph"/>
        <w:numPr>
          <w:ilvl w:val="0"/>
          <w:numId w:val="128"/>
        </w:numPr>
        <w:spacing w:before="0" w:after="0"/>
        <w:ind w:left="284" w:hanging="284"/>
        <w:rPr>
          <w:rFonts w:ascii="Arial" w:hAnsi="Arial"/>
          <w:sz w:val="14"/>
          <w:szCs w:val="14"/>
          <w:lang w:val="en-AU"/>
        </w:rPr>
      </w:pPr>
      <w:r w:rsidRPr="005036C8">
        <w:rPr>
          <w:rFonts w:ascii="Arial" w:hAnsi="Arial"/>
          <w:sz w:val="14"/>
          <w:szCs w:val="14"/>
          <w:lang w:val="en-AU"/>
        </w:rPr>
        <w:t>The funding increase in 2025-26 of $900 million is to partly address Defence's ongoing working capital requirements. The adjustment provides an increase to cash reserves to meet Defence industry commitments as and when they fall due for payments. Refer Table 1, Serial 4. The increase to working capital in 2025-26 is represented by an equity injection and not as increased defence funding. This is because the injection was to be used to address existing expenditure</w:t>
      </w:r>
      <w:r w:rsidR="00606B86">
        <w:rPr>
          <w:rFonts w:ascii="Arial" w:hAnsi="Arial"/>
          <w:sz w:val="14"/>
          <w:szCs w:val="14"/>
          <w:lang w:val="en-AU"/>
        </w:rPr>
        <w:t xml:space="preserve"> commitments already incurred/</w:t>
      </w:r>
      <w:r w:rsidRPr="005036C8">
        <w:rPr>
          <w:rFonts w:ascii="Arial" w:hAnsi="Arial"/>
          <w:sz w:val="14"/>
          <w:szCs w:val="14"/>
          <w:lang w:val="en-AU"/>
        </w:rPr>
        <w:t>recognised, the increase of appropriation will not impact planned expenditure levels in that financial year.</w:t>
      </w:r>
    </w:p>
    <w:p w14:paraId="64A142E9" w14:textId="77777777" w:rsidR="001740A7" w:rsidRPr="003E76E7" w:rsidRDefault="001740A7" w:rsidP="00C4292D">
      <w:pPr>
        <w:spacing w:before="0" w:after="0"/>
        <w:rPr>
          <w:rFonts w:ascii="Arial" w:hAnsi="Arial"/>
          <w:sz w:val="4"/>
          <w:szCs w:val="14"/>
          <w:lang w:val="en-AU"/>
        </w:rPr>
      </w:pPr>
    </w:p>
    <w:p w14:paraId="39B6865B" w14:textId="3C4414E9" w:rsidR="008C7CFD" w:rsidRPr="003E76E7" w:rsidRDefault="00E25F6E" w:rsidP="00C4292D">
      <w:pPr>
        <w:pStyle w:val="ListParagraph"/>
        <w:numPr>
          <w:ilvl w:val="0"/>
          <w:numId w:val="128"/>
        </w:numPr>
        <w:spacing w:before="0" w:after="0"/>
        <w:ind w:left="284" w:hanging="284"/>
        <w:rPr>
          <w:rFonts w:ascii="Arial" w:hAnsi="Arial"/>
          <w:sz w:val="6"/>
          <w:lang w:val="en-AU"/>
        </w:rPr>
      </w:pPr>
      <w:r w:rsidRPr="003E76E7">
        <w:rPr>
          <w:rFonts w:ascii="Arial" w:hAnsi="Arial"/>
          <w:sz w:val="14"/>
          <w:szCs w:val="14"/>
          <w:lang w:val="en-AU"/>
        </w:rPr>
        <w:t>The funding movement from 2027-28 to 2024-25 of $700 million was to partly address Defence’s ongoing working capital requirements. This adjustment provided short term relief to increase cash reserves to meet Defence industry commitments as and when they fell due for payment. Refer Table 1</w:t>
      </w:r>
      <w:r w:rsidR="00FB08A8" w:rsidRPr="003E76E7">
        <w:rPr>
          <w:rFonts w:ascii="Arial" w:hAnsi="Arial"/>
          <w:sz w:val="14"/>
          <w:szCs w:val="14"/>
          <w:lang w:val="en-AU"/>
        </w:rPr>
        <w:t>,</w:t>
      </w:r>
      <w:r w:rsidRPr="003E76E7">
        <w:rPr>
          <w:rFonts w:ascii="Arial" w:hAnsi="Arial"/>
          <w:sz w:val="14"/>
          <w:szCs w:val="14"/>
          <w:lang w:val="en-AU"/>
        </w:rPr>
        <w:t xml:space="preserve"> Serial 4. While the increase in working capital in 2024-25 was by way of the movement of appropriation from 2027-28, the movement was represented as an equity injection and not as increased Defence funding. This is because the injection was used to address existing expenditure commitments already incurred/recognised. In 2027-28, the reduction of appropriation will not impact planned capital expenditure levels as Government has agreed Defence will operate with a Net Capital Deficit in that financial year.</w:t>
      </w:r>
      <w:r w:rsidRPr="003E76E7">
        <w:rPr>
          <w:rFonts w:ascii="Arial" w:hAnsi="Arial"/>
          <w:sz w:val="14"/>
          <w:szCs w:val="14"/>
          <w:lang w:val="en-AU"/>
        </w:rPr>
        <w:tab/>
      </w:r>
      <w:r w:rsidRPr="003E76E7">
        <w:rPr>
          <w:rFonts w:ascii="Arial" w:hAnsi="Arial"/>
          <w:sz w:val="14"/>
          <w:szCs w:val="14"/>
          <w:lang w:val="en-AU"/>
        </w:rPr>
        <w:tab/>
      </w:r>
      <w:r w:rsidRPr="003E76E7">
        <w:rPr>
          <w:rFonts w:ascii="Arial" w:hAnsi="Arial"/>
          <w:sz w:val="14"/>
          <w:szCs w:val="14"/>
          <w:lang w:val="en-AU"/>
        </w:rPr>
        <w:tab/>
      </w:r>
      <w:r w:rsidRPr="003E76E7">
        <w:rPr>
          <w:rFonts w:ascii="Arial" w:hAnsi="Arial"/>
          <w:sz w:val="14"/>
          <w:szCs w:val="14"/>
          <w:lang w:val="en-AU"/>
        </w:rPr>
        <w:tab/>
      </w:r>
      <w:r w:rsidRPr="003E76E7">
        <w:rPr>
          <w:rFonts w:ascii="Arial" w:hAnsi="Arial"/>
          <w:sz w:val="14"/>
          <w:szCs w:val="14"/>
          <w:lang w:val="en-AU"/>
        </w:rPr>
        <w:tab/>
      </w:r>
    </w:p>
    <w:p w14:paraId="286A5C46" w14:textId="77777777" w:rsidR="00E25F6E" w:rsidRPr="003E76E7" w:rsidRDefault="00E25F6E" w:rsidP="00C4292D">
      <w:pPr>
        <w:spacing w:before="0" w:after="0"/>
        <w:rPr>
          <w:rFonts w:ascii="Arial" w:hAnsi="Arial"/>
          <w:sz w:val="4"/>
          <w:lang w:val="en-AU"/>
        </w:rPr>
      </w:pPr>
    </w:p>
    <w:p w14:paraId="66701985" w14:textId="164D06E1" w:rsidR="00510DEE" w:rsidRPr="003E76E7" w:rsidRDefault="00510DEE" w:rsidP="00C4292D">
      <w:pPr>
        <w:pStyle w:val="ListParagraph"/>
        <w:numPr>
          <w:ilvl w:val="0"/>
          <w:numId w:val="128"/>
        </w:numPr>
        <w:spacing w:before="0" w:after="0"/>
        <w:ind w:left="284" w:hanging="284"/>
        <w:rPr>
          <w:rFonts w:ascii="Arial" w:hAnsi="Arial"/>
          <w:sz w:val="14"/>
          <w:szCs w:val="14"/>
          <w:lang w:val="en-AU"/>
        </w:rPr>
      </w:pPr>
      <w:r w:rsidRPr="003E76E7">
        <w:rPr>
          <w:rFonts w:ascii="Arial" w:hAnsi="Arial"/>
          <w:sz w:val="14"/>
          <w:szCs w:val="14"/>
          <w:lang w:val="en-AU"/>
        </w:rPr>
        <w:t>Includes the following sources of funding:</w:t>
      </w:r>
    </w:p>
    <w:p w14:paraId="758FE83F" w14:textId="77777777" w:rsidR="00510DEE" w:rsidRPr="003E76E7" w:rsidRDefault="00510DEE" w:rsidP="00C4292D">
      <w:pPr>
        <w:spacing w:before="0" w:after="0"/>
        <w:ind w:left="284" w:hanging="142"/>
        <w:rPr>
          <w:rFonts w:ascii="Arial" w:hAnsi="Arial"/>
          <w:sz w:val="14"/>
          <w:szCs w:val="14"/>
          <w:lang w:val="en-AU"/>
        </w:rPr>
      </w:pPr>
      <w:r w:rsidRPr="003E76E7">
        <w:rPr>
          <w:rFonts w:ascii="Arial" w:hAnsi="Arial"/>
          <w:sz w:val="14"/>
          <w:szCs w:val="14"/>
          <w:lang w:val="en-AU"/>
        </w:rPr>
        <w:t xml:space="preserve">    - annual appropriations;</w:t>
      </w:r>
    </w:p>
    <w:p w14:paraId="2CCD9D11" w14:textId="77777777" w:rsidR="00510DEE" w:rsidRPr="003E76E7" w:rsidRDefault="00510DEE" w:rsidP="00C4292D">
      <w:pPr>
        <w:spacing w:before="0" w:after="0"/>
        <w:ind w:left="284" w:hanging="142"/>
        <w:rPr>
          <w:rFonts w:ascii="Arial" w:hAnsi="Arial"/>
          <w:sz w:val="14"/>
          <w:szCs w:val="14"/>
          <w:lang w:val="en-AU"/>
        </w:rPr>
      </w:pPr>
      <w:r w:rsidRPr="003E76E7">
        <w:rPr>
          <w:rFonts w:ascii="Arial" w:hAnsi="Arial"/>
          <w:sz w:val="14"/>
          <w:szCs w:val="14"/>
          <w:lang w:val="en-AU"/>
        </w:rPr>
        <w:t xml:space="preserve">    - donations and contributions;</w:t>
      </w:r>
    </w:p>
    <w:p w14:paraId="670F6978" w14:textId="77777777" w:rsidR="00510DEE" w:rsidRPr="003E76E7" w:rsidRDefault="00510DEE" w:rsidP="00C4292D">
      <w:pPr>
        <w:spacing w:before="0" w:after="0"/>
        <w:ind w:left="284" w:hanging="142"/>
        <w:rPr>
          <w:rFonts w:ascii="Arial" w:hAnsi="Arial"/>
          <w:sz w:val="14"/>
          <w:szCs w:val="14"/>
          <w:lang w:val="en-AU"/>
        </w:rPr>
      </w:pPr>
      <w:r w:rsidRPr="003E76E7">
        <w:rPr>
          <w:rFonts w:ascii="Arial" w:hAnsi="Arial"/>
          <w:sz w:val="14"/>
          <w:szCs w:val="14"/>
          <w:lang w:val="en-AU"/>
        </w:rPr>
        <w:t xml:space="preserve">    - gifts;</w:t>
      </w:r>
    </w:p>
    <w:p w14:paraId="554E07B2" w14:textId="77777777" w:rsidR="00510DEE" w:rsidRPr="003E76E7" w:rsidRDefault="00510DEE" w:rsidP="00C4292D">
      <w:pPr>
        <w:spacing w:before="0" w:after="0"/>
        <w:ind w:left="284" w:hanging="142"/>
        <w:rPr>
          <w:rFonts w:ascii="Arial" w:hAnsi="Arial"/>
          <w:sz w:val="14"/>
          <w:szCs w:val="14"/>
          <w:lang w:val="en-AU"/>
        </w:rPr>
      </w:pPr>
      <w:r w:rsidRPr="003E76E7">
        <w:rPr>
          <w:rFonts w:ascii="Arial" w:hAnsi="Arial"/>
          <w:sz w:val="14"/>
          <w:szCs w:val="14"/>
          <w:lang w:val="en-AU"/>
        </w:rPr>
        <w:t xml:space="preserve">    - internally developed assets;</w:t>
      </w:r>
    </w:p>
    <w:p w14:paraId="2D8A0F1B" w14:textId="77777777" w:rsidR="00510DEE" w:rsidRPr="003E76E7" w:rsidRDefault="00510DEE" w:rsidP="00C4292D">
      <w:pPr>
        <w:spacing w:before="0" w:after="0"/>
        <w:ind w:left="284" w:hanging="142"/>
        <w:rPr>
          <w:rFonts w:ascii="Arial" w:hAnsi="Arial"/>
          <w:sz w:val="14"/>
          <w:szCs w:val="14"/>
          <w:lang w:val="en-AU"/>
        </w:rPr>
      </w:pPr>
      <w:r w:rsidRPr="003E76E7">
        <w:rPr>
          <w:rFonts w:ascii="Arial" w:hAnsi="Arial"/>
          <w:sz w:val="14"/>
          <w:szCs w:val="14"/>
          <w:lang w:val="en-AU"/>
        </w:rPr>
        <w:t xml:space="preserve">    - s74 relevant agency receipts; and</w:t>
      </w:r>
    </w:p>
    <w:p w14:paraId="6310C499" w14:textId="247257AD" w:rsidR="0092795E" w:rsidRPr="003E76E7" w:rsidRDefault="00510DEE" w:rsidP="00C4292D">
      <w:pPr>
        <w:spacing w:before="0" w:after="0"/>
        <w:ind w:left="284" w:hanging="142"/>
        <w:rPr>
          <w:rFonts w:ascii="Arial" w:hAnsi="Arial"/>
          <w:sz w:val="14"/>
          <w:szCs w:val="14"/>
          <w:lang w:val="en-AU"/>
        </w:rPr>
      </w:pPr>
      <w:r w:rsidRPr="003E76E7">
        <w:rPr>
          <w:rFonts w:ascii="Arial" w:hAnsi="Arial"/>
          <w:sz w:val="14"/>
          <w:szCs w:val="14"/>
          <w:lang w:val="en-AU"/>
        </w:rPr>
        <w:t xml:space="preserve">    - proceeds from the sale of assets.</w:t>
      </w:r>
    </w:p>
    <w:p w14:paraId="15530491" w14:textId="77777777" w:rsidR="009F75B3" w:rsidRPr="003E76E7" w:rsidRDefault="009F75B3" w:rsidP="00C4292D">
      <w:pPr>
        <w:spacing w:before="0" w:after="0"/>
        <w:rPr>
          <w:rFonts w:ascii="Arial" w:hAnsi="Arial"/>
          <w:b/>
          <w:lang w:val="en-AU"/>
        </w:rPr>
      </w:pPr>
      <w:r w:rsidRPr="003E76E7">
        <w:rPr>
          <w:lang w:val="en-AU"/>
        </w:rPr>
        <w:br w:type="page"/>
      </w:r>
    </w:p>
    <w:p w14:paraId="051C404F" w14:textId="77777777" w:rsidR="00C40279" w:rsidRPr="003E76E7" w:rsidRDefault="00C40279" w:rsidP="00C4292D">
      <w:pPr>
        <w:pStyle w:val="TableHeading"/>
        <w:numPr>
          <w:ilvl w:val="0"/>
          <w:numId w:val="61"/>
        </w:numPr>
        <w:rPr>
          <w:lang w:val="en-AU"/>
        </w:rPr>
        <w:sectPr w:rsidR="00C40279" w:rsidRPr="003E76E7" w:rsidSect="00C30BE6">
          <w:pgSz w:w="11907" w:h="16840" w:code="9"/>
          <w:pgMar w:top="1701" w:right="1361" w:bottom="1701" w:left="1928" w:header="720" w:footer="720" w:gutter="0"/>
          <w:cols w:space="720"/>
          <w:noEndnote/>
        </w:sectPr>
      </w:pPr>
    </w:p>
    <w:p w14:paraId="2CE2E021" w14:textId="2F1D6CB5" w:rsidR="005C2A0B" w:rsidRPr="003E76E7" w:rsidRDefault="00003B8B" w:rsidP="00C4292D">
      <w:pPr>
        <w:pStyle w:val="TableHeading"/>
        <w:numPr>
          <w:ilvl w:val="0"/>
          <w:numId w:val="61"/>
        </w:numPr>
        <w:spacing w:before="100"/>
        <w:ind w:left="0" w:firstLine="0"/>
        <w:outlineLvl w:val="4"/>
      </w:pPr>
      <w:r w:rsidRPr="003E76E7">
        <w:lastRenderedPageBreak/>
        <w:t>Statement of Departmental Asset Movements (</w:t>
      </w:r>
      <w:r w:rsidR="00FE5A03">
        <w:t>Budget Y</w:t>
      </w:r>
      <w:r w:rsidR="00CB02AB" w:rsidRPr="003E76E7">
        <w:t xml:space="preserve">ear </w:t>
      </w:r>
      <w:r w:rsidR="0067552D" w:rsidRPr="003E76E7">
        <w:t>202</w:t>
      </w:r>
      <w:r w:rsidR="003609B7" w:rsidRPr="003E76E7">
        <w:t>6</w:t>
      </w:r>
      <w:r w:rsidR="0067552D" w:rsidRPr="003E76E7">
        <w:t>-2</w:t>
      </w:r>
      <w:r w:rsidR="003609B7" w:rsidRPr="003E76E7">
        <w:t>7</w:t>
      </w:r>
      <w:r w:rsidRPr="003E76E7">
        <w:t>)</w:t>
      </w:r>
    </w:p>
    <w:p w14:paraId="2004FFDA" w14:textId="2F59D92E" w:rsidR="001740A7" w:rsidRPr="00086583" w:rsidRDefault="00C20219" w:rsidP="00086583">
      <w:pPr>
        <w:spacing w:after="0"/>
      </w:pPr>
      <w:r w:rsidRPr="00C20219">
        <w:rPr>
          <w:noProof/>
          <w:lang w:val="en-AU"/>
        </w:rPr>
        <w:drawing>
          <wp:inline distT="0" distB="0" distL="0" distR="0" wp14:anchorId="6B7FB5A0" wp14:editId="6F08143D">
            <wp:extent cx="8120743" cy="477761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8151434" cy="4795674"/>
                    </a:xfrm>
                    <a:prstGeom prst="rect">
                      <a:avLst/>
                    </a:prstGeom>
                    <a:noFill/>
                    <a:ln>
                      <a:noFill/>
                    </a:ln>
                  </pic:spPr>
                </pic:pic>
              </a:graphicData>
            </a:graphic>
          </wp:inline>
        </w:drawing>
      </w:r>
    </w:p>
    <w:p w14:paraId="719ABD72" w14:textId="3A95CDCD" w:rsidR="00D439F4" w:rsidRPr="003E76E7" w:rsidRDefault="00D439F4" w:rsidP="00C4292D">
      <w:pPr>
        <w:spacing w:before="0" w:after="0"/>
        <w:rPr>
          <w:rFonts w:ascii="Arial" w:hAnsi="Arial"/>
          <w:b/>
          <w:sz w:val="14"/>
          <w:szCs w:val="14"/>
        </w:rPr>
      </w:pPr>
      <w:r w:rsidRPr="003E76E7">
        <w:rPr>
          <w:rFonts w:ascii="Arial" w:hAnsi="Arial"/>
          <w:b/>
          <w:sz w:val="14"/>
          <w:szCs w:val="14"/>
        </w:rPr>
        <w:t>Notes</w:t>
      </w:r>
    </w:p>
    <w:p w14:paraId="11EE9323" w14:textId="755DE3BE" w:rsidR="001740A7" w:rsidRPr="003E76E7" w:rsidRDefault="001740A7" w:rsidP="00C4292D">
      <w:pPr>
        <w:pStyle w:val="ListParagraph"/>
        <w:numPr>
          <w:ilvl w:val="0"/>
          <w:numId w:val="136"/>
        </w:numPr>
        <w:spacing w:before="0" w:after="0"/>
        <w:ind w:left="284" w:hanging="284"/>
        <w:rPr>
          <w:rFonts w:ascii="Arial" w:hAnsi="Arial"/>
          <w:sz w:val="14"/>
          <w:szCs w:val="14"/>
        </w:rPr>
      </w:pPr>
      <w:r w:rsidRPr="003E76E7">
        <w:rPr>
          <w:rFonts w:ascii="Arial" w:hAnsi="Arial"/>
          <w:sz w:val="14"/>
          <w:szCs w:val="14"/>
        </w:rPr>
        <w:t>Reclassifications includes assets first found.</w:t>
      </w:r>
    </w:p>
    <w:p w14:paraId="3CFAE3EB" w14:textId="46BBA401" w:rsidR="009F75B3" w:rsidRPr="003E76E7" w:rsidRDefault="001740A7" w:rsidP="00C4292D">
      <w:pPr>
        <w:pStyle w:val="ListParagraph"/>
        <w:numPr>
          <w:ilvl w:val="0"/>
          <w:numId w:val="136"/>
        </w:numPr>
        <w:spacing w:before="0" w:after="0"/>
        <w:ind w:left="284" w:hanging="284"/>
        <w:rPr>
          <w:rFonts w:ascii="Arial" w:hAnsi="Arial"/>
          <w:sz w:val="14"/>
          <w:szCs w:val="14"/>
        </w:rPr>
      </w:pPr>
      <w:r w:rsidRPr="003E76E7">
        <w:rPr>
          <w:rFonts w:ascii="Arial" w:hAnsi="Arial"/>
          <w:sz w:val="14"/>
          <w:szCs w:val="14"/>
        </w:rPr>
        <w:t>Other disposals includes write-offs.</w:t>
      </w:r>
    </w:p>
    <w:p w14:paraId="5AAA3114" w14:textId="77777777" w:rsidR="009F75B3" w:rsidRPr="003E76E7" w:rsidRDefault="009F75B3" w:rsidP="00C4292D">
      <w:pPr>
        <w:rPr>
          <w:lang w:val="en-AU"/>
        </w:rPr>
        <w:sectPr w:rsidR="009F75B3" w:rsidRPr="003E76E7" w:rsidSect="0077490F">
          <w:headerReference w:type="even" r:id="rId119"/>
          <w:headerReference w:type="default" r:id="rId120"/>
          <w:footerReference w:type="even" r:id="rId121"/>
          <w:footerReference w:type="default" r:id="rId122"/>
          <w:pgSz w:w="16840" w:h="11907" w:orient="landscape" w:code="9"/>
          <w:pgMar w:top="1928" w:right="1701" w:bottom="1361" w:left="1701" w:header="720" w:footer="720" w:gutter="0"/>
          <w:cols w:space="720"/>
          <w:noEndnote/>
          <w:docGrid w:linePitch="272"/>
        </w:sectPr>
      </w:pPr>
    </w:p>
    <w:p w14:paraId="6B13F3C6" w14:textId="77777777" w:rsidR="00003B8B" w:rsidRPr="003E76E7" w:rsidRDefault="00003B8B" w:rsidP="00C4292D">
      <w:pPr>
        <w:pStyle w:val="TableHeading"/>
        <w:numPr>
          <w:ilvl w:val="0"/>
          <w:numId w:val="61"/>
        </w:numPr>
        <w:spacing w:before="100"/>
        <w:ind w:left="0" w:firstLine="0"/>
        <w:outlineLvl w:val="4"/>
      </w:pPr>
      <w:r w:rsidRPr="003E76E7">
        <w:lastRenderedPageBreak/>
        <w:t>Schedule of Budgeted Income and Expenses Administered on Behalf of Government (for the period ended 30 June)</w:t>
      </w:r>
    </w:p>
    <w:p w14:paraId="777BD6E2" w14:textId="2E061DFB" w:rsidR="0092795E" w:rsidRPr="003E76E7" w:rsidRDefault="001740A7" w:rsidP="00C4292D">
      <w:pPr>
        <w:spacing w:after="0"/>
        <w:rPr>
          <w:lang w:val="en-AU"/>
        </w:rPr>
      </w:pPr>
      <w:r w:rsidRPr="003E76E7">
        <w:rPr>
          <w:noProof/>
          <w:lang w:val="en-AU"/>
        </w:rPr>
        <w:drawing>
          <wp:inline distT="0" distB="0" distL="0" distR="0" wp14:anchorId="13A87D0D" wp14:editId="4B3BC333">
            <wp:extent cx="5472430" cy="2941307"/>
            <wp:effectExtent l="0" t="0" r="0" b="0"/>
            <wp:docPr id="8569" name="Picture 8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472430" cy="2941307"/>
                    </a:xfrm>
                    <a:prstGeom prst="rect">
                      <a:avLst/>
                    </a:prstGeom>
                    <a:noFill/>
                    <a:ln>
                      <a:noFill/>
                    </a:ln>
                  </pic:spPr>
                </pic:pic>
              </a:graphicData>
            </a:graphic>
          </wp:inline>
        </w:drawing>
      </w:r>
    </w:p>
    <w:p w14:paraId="4D4B0BFF" w14:textId="19D0A1CE" w:rsidR="00A30136" w:rsidRPr="003E76E7" w:rsidRDefault="00A30136" w:rsidP="00C4292D">
      <w:pPr>
        <w:spacing w:before="0" w:after="0"/>
        <w:rPr>
          <w:rFonts w:ascii="Arial" w:hAnsi="Arial"/>
          <w:sz w:val="14"/>
          <w:lang w:val="en-AU"/>
        </w:rPr>
      </w:pPr>
    </w:p>
    <w:p w14:paraId="64EF81ED" w14:textId="0C6F5386" w:rsidR="00003B8B" w:rsidRPr="003E76E7" w:rsidRDefault="00003B8B" w:rsidP="00C4292D">
      <w:pPr>
        <w:pStyle w:val="TableHeading"/>
        <w:numPr>
          <w:ilvl w:val="0"/>
          <w:numId w:val="61"/>
        </w:numPr>
        <w:spacing w:before="100"/>
        <w:ind w:left="0" w:firstLine="0"/>
        <w:outlineLvl w:val="4"/>
      </w:pPr>
      <w:r w:rsidRPr="003E76E7">
        <w:t xml:space="preserve">Schedule of Budgeted Assets and Liabilities Administered on Behalf of Government </w:t>
      </w:r>
      <w:r w:rsidR="0049695F" w:rsidRPr="003E76E7">
        <w:t>(</w:t>
      </w:r>
      <w:r w:rsidR="0049695F">
        <w:t>for the period ended 30 June)</w:t>
      </w:r>
    </w:p>
    <w:p w14:paraId="53585B9B" w14:textId="6C002B84" w:rsidR="0092795E" w:rsidRPr="003E76E7" w:rsidRDefault="004E66AA" w:rsidP="00C4292D">
      <w:pPr>
        <w:spacing w:after="0"/>
      </w:pPr>
      <w:r w:rsidRPr="004E66AA">
        <w:rPr>
          <w:noProof/>
          <w:lang w:val="en-AU"/>
        </w:rPr>
        <w:drawing>
          <wp:inline distT="0" distB="0" distL="0" distR="0" wp14:anchorId="205B90D6" wp14:editId="2CF136FD">
            <wp:extent cx="5472430" cy="3881619"/>
            <wp:effectExtent l="0" t="0" r="0" b="5080"/>
            <wp:docPr id="8547" name="Picture 8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472430" cy="3881619"/>
                    </a:xfrm>
                    <a:prstGeom prst="rect">
                      <a:avLst/>
                    </a:prstGeom>
                    <a:noFill/>
                    <a:ln>
                      <a:noFill/>
                    </a:ln>
                  </pic:spPr>
                </pic:pic>
              </a:graphicData>
            </a:graphic>
          </wp:inline>
        </w:drawing>
      </w:r>
    </w:p>
    <w:p w14:paraId="629A5BA4" w14:textId="652BA17B" w:rsidR="00CB045C" w:rsidRPr="003E76E7" w:rsidRDefault="00CB045C" w:rsidP="00C4292D">
      <w:pPr>
        <w:tabs>
          <w:tab w:val="left" w:pos="284"/>
        </w:tabs>
        <w:spacing w:before="0" w:after="0"/>
        <w:rPr>
          <w:rFonts w:ascii="Arial" w:hAnsi="Arial"/>
          <w:sz w:val="14"/>
          <w:szCs w:val="14"/>
          <w:lang w:val="en-AU"/>
        </w:rPr>
      </w:pPr>
    </w:p>
    <w:p w14:paraId="56BA7AC5" w14:textId="77777777" w:rsidR="00003B8B" w:rsidRPr="003E76E7" w:rsidRDefault="00C01706" w:rsidP="00C4292D">
      <w:pPr>
        <w:pStyle w:val="TableHeading"/>
        <w:numPr>
          <w:ilvl w:val="0"/>
          <w:numId w:val="61"/>
        </w:numPr>
        <w:spacing w:before="100"/>
        <w:ind w:left="0" w:firstLine="0"/>
        <w:outlineLvl w:val="4"/>
      </w:pPr>
      <w:r w:rsidRPr="003E76E7">
        <w:rPr>
          <w:lang w:val="en-AU"/>
        </w:rPr>
        <w:br w:type="page"/>
      </w:r>
      <w:r w:rsidR="00003B8B" w:rsidRPr="003E76E7">
        <w:lastRenderedPageBreak/>
        <w:t>Schedule of Budgeted Administered Cash Flows (for the period ended 30 June)</w:t>
      </w:r>
    </w:p>
    <w:p w14:paraId="4B04A963" w14:textId="1DD2600B" w:rsidR="0092795E" w:rsidRPr="003E76E7" w:rsidRDefault="00BC663C" w:rsidP="00C4292D">
      <w:pPr>
        <w:spacing w:after="0"/>
      </w:pPr>
      <w:r w:rsidRPr="00BC663C">
        <w:rPr>
          <w:noProof/>
          <w:lang w:val="en-AU"/>
        </w:rPr>
        <w:drawing>
          <wp:inline distT="0" distB="0" distL="0" distR="0" wp14:anchorId="3A4D9C3B" wp14:editId="7BEBE25B">
            <wp:extent cx="5472430" cy="4920646"/>
            <wp:effectExtent l="0" t="0" r="0" b="0"/>
            <wp:docPr id="8546" name="Picture 8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72430" cy="4920646"/>
                    </a:xfrm>
                    <a:prstGeom prst="rect">
                      <a:avLst/>
                    </a:prstGeom>
                    <a:noFill/>
                    <a:ln>
                      <a:noFill/>
                    </a:ln>
                  </pic:spPr>
                </pic:pic>
              </a:graphicData>
            </a:graphic>
          </wp:inline>
        </w:drawing>
      </w:r>
    </w:p>
    <w:p w14:paraId="3CA4583F" w14:textId="77777777" w:rsidR="00833A15" w:rsidRPr="003E76E7" w:rsidRDefault="00833A15" w:rsidP="00C4292D">
      <w:pPr>
        <w:spacing w:before="0" w:after="0"/>
        <w:rPr>
          <w:rFonts w:ascii="Arial" w:hAnsi="Arial"/>
          <w:b/>
          <w:sz w:val="14"/>
          <w:szCs w:val="14"/>
          <w:lang w:val="en-AU"/>
        </w:rPr>
      </w:pPr>
    </w:p>
    <w:p w14:paraId="327F3D8A" w14:textId="77777777" w:rsidR="009F75B3" w:rsidRPr="003E76E7" w:rsidRDefault="009F75B3" w:rsidP="00C4292D">
      <w:pPr>
        <w:spacing w:before="0" w:after="0"/>
        <w:rPr>
          <w:rFonts w:ascii="Arial" w:hAnsi="Arial" w:cs="Times New Roman"/>
          <w:b/>
          <w:bCs/>
          <w:sz w:val="22"/>
          <w:szCs w:val="28"/>
        </w:rPr>
      </w:pPr>
      <w:r w:rsidRPr="003E76E7">
        <w:br w:type="page"/>
      </w:r>
    </w:p>
    <w:p w14:paraId="00A75D3C" w14:textId="4BDB2DF7" w:rsidR="00003B8B" w:rsidRPr="003E76E7" w:rsidRDefault="00003B8B" w:rsidP="00C4292D">
      <w:pPr>
        <w:pStyle w:val="Heading4level5"/>
        <w:spacing w:before="0" w:after="200"/>
      </w:pPr>
      <w:r w:rsidRPr="003E76E7">
        <w:lastRenderedPageBreak/>
        <w:t>3.3.2 No</w:t>
      </w:r>
      <w:r w:rsidR="0092795E" w:rsidRPr="003E76E7">
        <w:t>tes to the</w:t>
      </w:r>
      <w:r w:rsidR="0064795B" w:rsidRPr="003E76E7">
        <w:t xml:space="preserve"> Budgeted</w:t>
      </w:r>
      <w:r w:rsidR="0092795E" w:rsidRPr="003E76E7">
        <w:t xml:space="preserve"> Financial Statements</w:t>
      </w:r>
    </w:p>
    <w:p w14:paraId="2702A6B7" w14:textId="74A03A6A" w:rsidR="00415EEF" w:rsidRPr="003E76E7" w:rsidRDefault="00003B8B" w:rsidP="00C4292D">
      <w:pPr>
        <w:spacing w:before="120" w:after="120"/>
        <w:rPr>
          <w:lang w:val="en-AU"/>
        </w:rPr>
      </w:pPr>
      <w:r w:rsidRPr="003E76E7">
        <w:t xml:space="preserve">The </w:t>
      </w:r>
      <w:r w:rsidR="0064795B" w:rsidRPr="003E76E7">
        <w:t xml:space="preserve">budgeted </w:t>
      </w:r>
      <w:r w:rsidRPr="003E76E7">
        <w:t xml:space="preserve">financial statements have been prepared in accordance with the Australian Accounting Standards and the </w:t>
      </w:r>
      <w:r w:rsidRPr="003E76E7">
        <w:rPr>
          <w:i/>
        </w:rPr>
        <w:t>Public Governance, Performance and Accountability (Financial Reporting) Rule 2015 (FRR)</w:t>
      </w:r>
      <w:r w:rsidRPr="003E76E7">
        <w:t>.</w:t>
      </w:r>
      <w:bookmarkStart w:id="1191" w:name="_Toc512946463"/>
      <w:bookmarkStart w:id="1192" w:name="_Toc512946537"/>
      <w:bookmarkStart w:id="1193" w:name="_Toc536089235"/>
      <w:bookmarkStart w:id="1194" w:name="_Toc536089495"/>
      <w:bookmarkStart w:id="1195" w:name="_Toc536089601"/>
      <w:bookmarkStart w:id="1196" w:name="_Toc1561686"/>
      <w:bookmarkStart w:id="1197" w:name="_Toc51691683"/>
    </w:p>
    <w:p w14:paraId="2BC2706E" w14:textId="77777777" w:rsidR="00415EEF" w:rsidRPr="003E76E7" w:rsidRDefault="00415EEF" w:rsidP="00C4292D">
      <w:pPr>
        <w:pStyle w:val="BodyText"/>
        <w:rPr>
          <w:lang w:val="en-AU"/>
        </w:rPr>
      </w:pPr>
    </w:p>
    <w:p w14:paraId="5D5FFD68" w14:textId="77777777" w:rsidR="00EC1C4B" w:rsidRPr="003E76E7" w:rsidRDefault="00EC1C4B" w:rsidP="00C4292D">
      <w:pPr>
        <w:ind w:left="2" w:firstLine="1"/>
        <w:rPr>
          <w:lang w:val="en-AU"/>
        </w:rPr>
      </w:pPr>
    </w:p>
    <w:p w14:paraId="468969A1" w14:textId="77777777" w:rsidR="00EC1C4B" w:rsidRPr="003E76E7" w:rsidRDefault="00EC1C4B" w:rsidP="00C4292D">
      <w:pPr>
        <w:ind w:left="2" w:firstLine="1"/>
        <w:sectPr w:rsidR="00EC1C4B" w:rsidRPr="003E76E7" w:rsidSect="0077490F">
          <w:headerReference w:type="even" r:id="rId126"/>
          <w:headerReference w:type="default" r:id="rId127"/>
          <w:footerReference w:type="even" r:id="rId128"/>
          <w:footerReference w:type="default" r:id="rId129"/>
          <w:pgSz w:w="11907" w:h="16840" w:code="9"/>
          <w:pgMar w:top="1701" w:right="1361" w:bottom="1701" w:left="1928" w:header="720" w:footer="720" w:gutter="0"/>
          <w:cols w:space="720"/>
          <w:noEndnote/>
        </w:sectPr>
      </w:pPr>
    </w:p>
    <w:p w14:paraId="1E21F327" w14:textId="77777777" w:rsidR="000512AB" w:rsidRPr="003E76E7" w:rsidRDefault="000512AB" w:rsidP="00C4292D">
      <w:pPr>
        <w:ind w:left="2" w:firstLine="1"/>
        <w:jc w:val="center"/>
        <w:rPr>
          <w:lang w:val="en-AU"/>
        </w:rPr>
      </w:pPr>
      <w:bookmarkStart w:id="1198" w:name="_Toc69729051"/>
      <w:bookmarkStart w:id="1199" w:name="_Toc69917846"/>
      <w:bookmarkStart w:id="1200" w:name="_Toc97747835"/>
      <w:bookmarkStart w:id="1201" w:name="_Toc108088946"/>
      <w:bookmarkStart w:id="1202" w:name="_Toc108089420"/>
      <w:bookmarkStart w:id="1203" w:name="_Toc109227295"/>
      <w:bookmarkStart w:id="1204" w:name="_Toc109227742"/>
      <w:bookmarkStart w:id="1205" w:name="_Toc158896248"/>
      <w:bookmarkStart w:id="1206" w:name="_Toc158896305"/>
      <w:bookmarkStart w:id="1207" w:name="_Toc159499690"/>
      <w:bookmarkStart w:id="1208" w:name="_Toc159857676"/>
      <w:bookmarkStart w:id="1209" w:name="_Toc159857755"/>
      <w:bookmarkStart w:id="1210" w:name="_Toc159858151"/>
      <w:bookmarkStart w:id="1211" w:name="_Toc159858816"/>
      <w:bookmarkStart w:id="1212" w:name="_Toc159858886"/>
      <w:bookmarkStart w:id="1213" w:name="_Toc159859107"/>
      <w:bookmarkStart w:id="1214" w:name="_Toc159862286"/>
      <w:bookmarkStart w:id="1215" w:name="_Toc159862476"/>
      <w:bookmarkStart w:id="1216" w:name="_Toc221786180"/>
      <w:bookmarkStart w:id="1217" w:name="_Toc108089025"/>
    </w:p>
    <w:p w14:paraId="1779D113" w14:textId="77777777" w:rsidR="000512AB" w:rsidRPr="003E76E7" w:rsidRDefault="000512AB" w:rsidP="00C4292D">
      <w:pPr>
        <w:ind w:left="2" w:firstLine="1"/>
        <w:jc w:val="center"/>
        <w:rPr>
          <w:lang w:val="en-AU"/>
        </w:rPr>
      </w:pPr>
    </w:p>
    <w:p w14:paraId="37567854" w14:textId="77777777" w:rsidR="000512AB" w:rsidRPr="003E76E7" w:rsidRDefault="000512AB" w:rsidP="00C4292D">
      <w:pPr>
        <w:ind w:left="2" w:firstLine="1"/>
        <w:jc w:val="center"/>
        <w:rPr>
          <w:lang w:val="en-AU"/>
        </w:rPr>
      </w:pPr>
    </w:p>
    <w:p w14:paraId="0B5311B9" w14:textId="77777777" w:rsidR="000512AB" w:rsidRPr="003E76E7" w:rsidRDefault="000512AB" w:rsidP="00C4292D">
      <w:pPr>
        <w:ind w:left="2" w:firstLine="1"/>
        <w:jc w:val="center"/>
        <w:rPr>
          <w:lang w:val="en-AU"/>
        </w:rPr>
      </w:pPr>
    </w:p>
    <w:p w14:paraId="0CDBAC91" w14:textId="77777777" w:rsidR="000512AB" w:rsidRPr="003E76E7" w:rsidRDefault="000512AB" w:rsidP="00C4292D">
      <w:pPr>
        <w:ind w:left="2" w:firstLine="1"/>
        <w:jc w:val="center"/>
        <w:rPr>
          <w:lang w:val="en-AU"/>
        </w:rPr>
      </w:pPr>
    </w:p>
    <w:p w14:paraId="6277FFA7" w14:textId="77777777" w:rsidR="000512AB" w:rsidRPr="003E76E7" w:rsidRDefault="000512AB" w:rsidP="00C4292D">
      <w:pPr>
        <w:ind w:left="2" w:firstLine="1"/>
        <w:jc w:val="center"/>
        <w:rPr>
          <w:lang w:val="en-AU"/>
        </w:rPr>
      </w:pPr>
    </w:p>
    <w:p w14:paraId="3097A6B9" w14:textId="77777777" w:rsidR="000512AB" w:rsidRPr="003E76E7" w:rsidRDefault="000512AB" w:rsidP="00C4292D">
      <w:pPr>
        <w:ind w:left="2" w:firstLine="1"/>
        <w:jc w:val="center"/>
        <w:rPr>
          <w:lang w:val="en-AU"/>
        </w:rPr>
      </w:pPr>
    </w:p>
    <w:p w14:paraId="44E3E71E" w14:textId="77777777" w:rsidR="000512AB" w:rsidRPr="003E76E7" w:rsidRDefault="000512AB" w:rsidP="00C4292D">
      <w:pPr>
        <w:ind w:left="2" w:firstLine="1"/>
        <w:jc w:val="center"/>
        <w:rPr>
          <w:lang w:val="en-AU"/>
        </w:rPr>
      </w:pPr>
    </w:p>
    <w:p w14:paraId="7626308E" w14:textId="77777777" w:rsidR="000512AB" w:rsidRPr="003E76E7" w:rsidRDefault="000512AB" w:rsidP="00C4292D">
      <w:pPr>
        <w:ind w:left="2" w:firstLine="1"/>
        <w:jc w:val="center"/>
        <w:rPr>
          <w:lang w:val="en-AU"/>
        </w:rPr>
      </w:pPr>
    </w:p>
    <w:p w14:paraId="32219C71" w14:textId="77777777" w:rsidR="000512AB" w:rsidRPr="003E76E7" w:rsidRDefault="000512AB" w:rsidP="00C4292D">
      <w:pPr>
        <w:ind w:left="2" w:firstLine="1"/>
        <w:jc w:val="center"/>
        <w:rPr>
          <w:lang w:val="en-AU"/>
        </w:rPr>
      </w:pPr>
    </w:p>
    <w:p w14:paraId="4E7B6168" w14:textId="77777777" w:rsidR="000512AB" w:rsidRPr="003E76E7" w:rsidRDefault="000512AB" w:rsidP="00C4292D">
      <w:pPr>
        <w:ind w:left="2" w:firstLine="1"/>
        <w:jc w:val="center"/>
        <w:rPr>
          <w:lang w:val="en-AU"/>
        </w:rPr>
      </w:pPr>
    </w:p>
    <w:p w14:paraId="6E54C21F" w14:textId="77777777" w:rsidR="000512AB" w:rsidRPr="003E76E7" w:rsidRDefault="000512AB" w:rsidP="00C4292D">
      <w:pPr>
        <w:ind w:left="2" w:firstLine="1"/>
        <w:jc w:val="center"/>
        <w:rPr>
          <w:lang w:val="en-AU"/>
        </w:rPr>
      </w:pPr>
    </w:p>
    <w:p w14:paraId="44A81C51" w14:textId="77777777" w:rsidR="000512AB" w:rsidRPr="003E76E7" w:rsidRDefault="000512AB" w:rsidP="00C4292D">
      <w:pPr>
        <w:ind w:left="2" w:firstLine="1"/>
        <w:jc w:val="center"/>
        <w:rPr>
          <w:lang w:val="en-AU"/>
        </w:rPr>
      </w:pPr>
    </w:p>
    <w:p w14:paraId="00532F6A" w14:textId="77777777" w:rsidR="000512AB" w:rsidRPr="003E76E7" w:rsidRDefault="000512AB" w:rsidP="00C4292D">
      <w:pPr>
        <w:ind w:left="2" w:firstLine="1"/>
        <w:jc w:val="center"/>
        <w:rPr>
          <w:lang w:val="en-AU"/>
        </w:rPr>
      </w:pPr>
    </w:p>
    <w:p w14:paraId="124E9CC6" w14:textId="65CE37A8" w:rsidR="000512AB" w:rsidRPr="003E76E7" w:rsidRDefault="000512AB" w:rsidP="00C4292D">
      <w:pPr>
        <w:ind w:left="2" w:firstLine="1"/>
        <w:jc w:val="center"/>
        <w:rPr>
          <w:lang w:val="en-AU"/>
        </w:rPr>
      </w:pPr>
      <w:r w:rsidRPr="003E76E7">
        <w:rPr>
          <w:lang w:val="en-AU"/>
        </w:rPr>
        <w:t>This page intentionally left blank.</w:t>
      </w:r>
    </w:p>
    <w:p w14:paraId="333A22FD" w14:textId="77777777" w:rsidR="000512AB" w:rsidRPr="003E76E7" w:rsidRDefault="000512AB" w:rsidP="00C4292D">
      <w:pPr>
        <w:spacing w:before="0" w:after="0"/>
        <w:rPr>
          <w:lang w:val="en-AU"/>
        </w:rPr>
      </w:pPr>
      <w:r w:rsidRPr="003E76E7">
        <w:rPr>
          <w:lang w:val="en-AU"/>
        </w:rPr>
        <w:br w:type="page"/>
      </w:r>
    </w:p>
    <w:p w14:paraId="6002C862" w14:textId="77777777" w:rsidR="000512AB" w:rsidRPr="003E76E7" w:rsidRDefault="000512AB" w:rsidP="00C4292D">
      <w:pPr>
        <w:ind w:left="2" w:firstLine="1"/>
        <w:jc w:val="center"/>
        <w:rPr>
          <w:lang w:val="en-AU"/>
        </w:rPr>
      </w:pPr>
    </w:p>
    <w:p w14:paraId="44324698" w14:textId="1C9C70AD" w:rsidR="00714406" w:rsidRPr="003E76E7" w:rsidRDefault="00714406" w:rsidP="00C4292D">
      <w:pPr>
        <w:pStyle w:val="BodyText"/>
      </w:pPr>
    </w:p>
    <w:p w14:paraId="389B58B7" w14:textId="66A04A72" w:rsidR="00714406" w:rsidRPr="003E76E7" w:rsidRDefault="00714406" w:rsidP="00C4292D">
      <w:pPr>
        <w:pStyle w:val="BodyText"/>
      </w:pPr>
    </w:p>
    <w:p w14:paraId="2E54F692" w14:textId="70571ED8" w:rsidR="00714406" w:rsidRPr="003E76E7" w:rsidRDefault="00714406" w:rsidP="00C4292D">
      <w:pPr>
        <w:pStyle w:val="BodyText"/>
      </w:pPr>
    </w:p>
    <w:p w14:paraId="59474186" w14:textId="4FBD3455" w:rsidR="00714406" w:rsidRPr="003E76E7" w:rsidRDefault="00714406" w:rsidP="00C4292D">
      <w:pPr>
        <w:pStyle w:val="BodyText"/>
      </w:pPr>
    </w:p>
    <w:p w14:paraId="288D8DD4" w14:textId="0D62567F" w:rsidR="00714406" w:rsidRPr="003E76E7" w:rsidRDefault="00714406" w:rsidP="00C4292D">
      <w:pPr>
        <w:pStyle w:val="BodyText"/>
      </w:pPr>
    </w:p>
    <w:p w14:paraId="109CEB9B" w14:textId="77777777" w:rsidR="00714406" w:rsidRPr="003E76E7" w:rsidRDefault="00714406" w:rsidP="00C4292D">
      <w:pPr>
        <w:pStyle w:val="BodyText"/>
      </w:pPr>
    </w:p>
    <w:p w14:paraId="7317B6E7" w14:textId="77777777" w:rsidR="007C471F" w:rsidRPr="003E76E7" w:rsidRDefault="001C2D62" w:rsidP="00C4292D">
      <w:pPr>
        <w:pStyle w:val="Heading2"/>
        <w:spacing w:before="0" w:after="360"/>
        <w:jc w:val="center"/>
        <w:rPr>
          <w:rFonts w:ascii="Arial Bold" w:hAnsi="Arial Bold"/>
          <w:b/>
          <w:sz w:val="52"/>
          <w:szCs w:val="52"/>
        </w:rPr>
      </w:pPr>
      <w:bookmarkStart w:id="1218" w:name="_Toc222129930"/>
      <w:bookmarkStart w:id="1219" w:name="_Toc222148360"/>
      <w:bookmarkStart w:id="1220" w:name="_Toc225847988"/>
      <w:bookmarkStart w:id="1221" w:name="_Toc225848071"/>
      <w:bookmarkStart w:id="1222" w:name="_Toc225848154"/>
      <w:bookmarkStart w:id="1223" w:name="_Toc225848259"/>
      <w:bookmarkStart w:id="1224" w:name="_Toc225848493"/>
      <w:bookmarkStart w:id="1225" w:name="_Toc225941560"/>
      <w:bookmarkStart w:id="1226" w:name="_Toc225942567"/>
      <w:bookmarkStart w:id="1227" w:name="_Toc227334377"/>
      <w:bookmarkStart w:id="1228" w:name="_Toc229072452"/>
      <w:bookmarkStart w:id="1229" w:name="_Toc229072624"/>
      <w:r w:rsidRPr="003E76E7">
        <w:rPr>
          <w:rFonts w:ascii="Arial Bold" w:hAnsi="Arial Bold"/>
          <w:b/>
          <w:sz w:val="52"/>
          <w:szCs w:val="52"/>
        </w:rPr>
        <w:t>Appendices</w:t>
      </w:r>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8"/>
      <w:bookmarkEnd w:id="1219"/>
      <w:bookmarkEnd w:id="1220"/>
      <w:bookmarkEnd w:id="1221"/>
      <w:bookmarkEnd w:id="1222"/>
      <w:bookmarkEnd w:id="1223"/>
      <w:bookmarkEnd w:id="1224"/>
      <w:bookmarkEnd w:id="1225"/>
      <w:bookmarkEnd w:id="1226"/>
      <w:bookmarkEnd w:id="1227"/>
      <w:bookmarkEnd w:id="1228"/>
      <w:bookmarkEnd w:id="1229"/>
    </w:p>
    <w:p w14:paraId="37BB4201" w14:textId="77777777" w:rsidR="007C471F" w:rsidRPr="003E76E7" w:rsidRDefault="007C471F" w:rsidP="00C4292D">
      <w:pPr>
        <w:pStyle w:val="BodyText"/>
      </w:pPr>
    </w:p>
    <w:p w14:paraId="30F8C7A0" w14:textId="719AEADB" w:rsidR="004C79BC" w:rsidRPr="003E76E7" w:rsidRDefault="00EC72F7" w:rsidP="00C4292D">
      <w:pPr>
        <w:pStyle w:val="TOC2"/>
        <w:rPr>
          <w:rFonts w:asciiTheme="minorHAnsi" w:eastAsiaTheme="minorEastAsia" w:hAnsiTheme="minorHAnsi" w:cstheme="minorBidi"/>
          <w:sz w:val="22"/>
          <w:szCs w:val="22"/>
          <w:lang w:val="en-AU"/>
        </w:rPr>
      </w:pPr>
      <w:r w:rsidRPr="003E76E7">
        <w:fldChar w:fldCharType="begin"/>
      </w:r>
      <w:r w:rsidRPr="003E76E7">
        <w:instrText xml:space="preserve"> TOC \o "1-4" \h \z \u </w:instrText>
      </w:r>
      <w:r w:rsidRPr="003E76E7">
        <w:fldChar w:fldCharType="separate"/>
      </w:r>
    </w:p>
    <w:p w14:paraId="01BCEE1A" w14:textId="286B8C7D" w:rsidR="004C79BC" w:rsidRPr="003E76E7" w:rsidRDefault="00AD70C0" w:rsidP="00C4292D">
      <w:pPr>
        <w:pStyle w:val="TOC4"/>
        <w:rPr>
          <w:rFonts w:asciiTheme="minorHAnsi" w:eastAsiaTheme="minorEastAsia" w:hAnsiTheme="minorHAnsi" w:cstheme="minorBidi"/>
          <w:sz w:val="22"/>
          <w:szCs w:val="22"/>
          <w:lang w:val="en-AU"/>
        </w:rPr>
      </w:pPr>
      <w:hyperlink w:anchor="_Toc222148361" w:history="1">
        <w:r w:rsidR="004C79BC" w:rsidRPr="003E76E7">
          <w:rPr>
            <w:rStyle w:val="Hyperlink"/>
            <w:lang w:val="en-AU"/>
          </w:rPr>
          <w:t>Appendix A: Defence Cooperation Program</w:t>
        </w:r>
        <w:r w:rsidR="004C79BC" w:rsidRPr="003E76E7">
          <w:rPr>
            <w:webHidden/>
          </w:rPr>
          <w:tab/>
        </w:r>
        <w:r w:rsidR="004C79BC" w:rsidRPr="003E76E7">
          <w:rPr>
            <w:webHidden/>
          </w:rPr>
          <w:fldChar w:fldCharType="begin"/>
        </w:r>
        <w:r w:rsidR="004C79BC" w:rsidRPr="003E76E7">
          <w:rPr>
            <w:webHidden/>
          </w:rPr>
          <w:instrText xml:space="preserve"> PAGEREF _Toc222148361 \h </w:instrText>
        </w:r>
        <w:r w:rsidR="004C79BC" w:rsidRPr="003E76E7">
          <w:rPr>
            <w:webHidden/>
          </w:rPr>
        </w:r>
        <w:r w:rsidR="004C79BC" w:rsidRPr="003E76E7">
          <w:rPr>
            <w:webHidden/>
          </w:rPr>
          <w:fldChar w:fldCharType="separate"/>
        </w:r>
        <w:r w:rsidR="00E00C37">
          <w:rPr>
            <w:webHidden/>
          </w:rPr>
          <w:t>116</w:t>
        </w:r>
        <w:r w:rsidR="004C79BC" w:rsidRPr="003E76E7">
          <w:rPr>
            <w:webHidden/>
          </w:rPr>
          <w:fldChar w:fldCharType="end"/>
        </w:r>
      </w:hyperlink>
    </w:p>
    <w:p w14:paraId="480712AB" w14:textId="3B74E1B1" w:rsidR="004C79BC" w:rsidRPr="003E76E7" w:rsidRDefault="00AD70C0" w:rsidP="00C4292D">
      <w:pPr>
        <w:pStyle w:val="TOC4"/>
        <w:rPr>
          <w:rFonts w:asciiTheme="minorHAnsi" w:eastAsiaTheme="minorEastAsia" w:hAnsiTheme="minorHAnsi" w:cstheme="minorBidi"/>
          <w:sz w:val="22"/>
          <w:szCs w:val="22"/>
          <w:lang w:val="en-AU"/>
        </w:rPr>
      </w:pPr>
      <w:hyperlink w:anchor="_Toc222148362" w:history="1">
        <w:r w:rsidR="004C79BC" w:rsidRPr="003E76E7">
          <w:rPr>
            <w:rStyle w:val="Hyperlink"/>
            <w:lang w:val="en-AU"/>
          </w:rPr>
          <w:t>Appendix B: Top 30 Military Equipment Acquisition Program Approved Projects</w:t>
        </w:r>
        <w:r w:rsidR="004C79BC" w:rsidRPr="003E76E7">
          <w:rPr>
            <w:webHidden/>
          </w:rPr>
          <w:tab/>
        </w:r>
        <w:r w:rsidR="004C79BC" w:rsidRPr="003E76E7">
          <w:rPr>
            <w:webHidden/>
          </w:rPr>
          <w:fldChar w:fldCharType="begin"/>
        </w:r>
        <w:r w:rsidR="004C79BC" w:rsidRPr="003E76E7">
          <w:rPr>
            <w:webHidden/>
          </w:rPr>
          <w:instrText xml:space="preserve"> PAGEREF _Toc222148362 \h </w:instrText>
        </w:r>
        <w:r w:rsidR="004C79BC" w:rsidRPr="003E76E7">
          <w:rPr>
            <w:webHidden/>
          </w:rPr>
        </w:r>
        <w:r w:rsidR="004C79BC" w:rsidRPr="003E76E7">
          <w:rPr>
            <w:webHidden/>
          </w:rPr>
          <w:fldChar w:fldCharType="separate"/>
        </w:r>
        <w:r w:rsidR="00E00C37">
          <w:rPr>
            <w:webHidden/>
          </w:rPr>
          <w:t>118</w:t>
        </w:r>
        <w:r w:rsidR="004C79BC" w:rsidRPr="003E76E7">
          <w:rPr>
            <w:webHidden/>
          </w:rPr>
          <w:fldChar w:fldCharType="end"/>
        </w:r>
      </w:hyperlink>
    </w:p>
    <w:p w14:paraId="5263FEF1" w14:textId="2725EF66" w:rsidR="004C79BC" w:rsidRPr="003E76E7" w:rsidRDefault="00AD70C0" w:rsidP="00C4292D">
      <w:pPr>
        <w:pStyle w:val="TOC4"/>
        <w:rPr>
          <w:rFonts w:asciiTheme="minorHAnsi" w:eastAsiaTheme="minorEastAsia" w:hAnsiTheme="minorHAnsi" w:cstheme="minorBidi"/>
          <w:sz w:val="22"/>
          <w:szCs w:val="22"/>
          <w:lang w:val="en-AU"/>
        </w:rPr>
      </w:pPr>
      <w:hyperlink w:anchor="_Toc222148363" w:history="1">
        <w:r w:rsidR="004C79BC" w:rsidRPr="003E76E7">
          <w:rPr>
            <w:rStyle w:val="Hyperlink"/>
            <w:lang w:val="en-AU"/>
          </w:rPr>
          <w:t>Appendix C: Top 30 Capability Sustainment Products</w:t>
        </w:r>
        <w:r w:rsidR="004C79BC" w:rsidRPr="003E76E7">
          <w:rPr>
            <w:webHidden/>
          </w:rPr>
          <w:tab/>
        </w:r>
        <w:r w:rsidR="004C79BC" w:rsidRPr="003E76E7">
          <w:rPr>
            <w:webHidden/>
          </w:rPr>
          <w:fldChar w:fldCharType="begin"/>
        </w:r>
        <w:r w:rsidR="004C79BC" w:rsidRPr="003E76E7">
          <w:rPr>
            <w:webHidden/>
          </w:rPr>
          <w:instrText xml:space="preserve"> PAGEREF _Toc222148363 \h </w:instrText>
        </w:r>
        <w:r w:rsidR="004C79BC" w:rsidRPr="003E76E7">
          <w:rPr>
            <w:webHidden/>
          </w:rPr>
        </w:r>
        <w:r w:rsidR="004C79BC" w:rsidRPr="003E76E7">
          <w:rPr>
            <w:webHidden/>
          </w:rPr>
          <w:fldChar w:fldCharType="separate"/>
        </w:r>
        <w:r w:rsidR="00E00C37">
          <w:rPr>
            <w:webHidden/>
          </w:rPr>
          <w:t>134</w:t>
        </w:r>
        <w:r w:rsidR="004C79BC" w:rsidRPr="003E76E7">
          <w:rPr>
            <w:webHidden/>
          </w:rPr>
          <w:fldChar w:fldCharType="end"/>
        </w:r>
      </w:hyperlink>
    </w:p>
    <w:p w14:paraId="613845B5" w14:textId="309B04C5" w:rsidR="004C79BC" w:rsidRPr="003E76E7" w:rsidRDefault="00AD70C0" w:rsidP="00C4292D">
      <w:pPr>
        <w:pStyle w:val="TOC4"/>
        <w:rPr>
          <w:rFonts w:asciiTheme="minorHAnsi" w:eastAsiaTheme="minorEastAsia" w:hAnsiTheme="minorHAnsi" w:cstheme="minorBidi"/>
          <w:sz w:val="22"/>
          <w:szCs w:val="22"/>
          <w:lang w:val="en-AU"/>
        </w:rPr>
      </w:pPr>
      <w:hyperlink w:anchor="_Toc222148364" w:history="1">
        <w:r w:rsidR="004C79BC" w:rsidRPr="003E76E7">
          <w:rPr>
            <w:rStyle w:val="Hyperlink"/>
            <w:lang w:val="en-AU"/>
          </w:rPr>
          <w:t>Appendix D: Enterprise Estate and Infrastructure</w:t>
        </w:r>
        <w:r w:rsidR="004C79BC" w:rsidRPr="003E76E7">
          <w:rPr>
            <w:webHidden/>
          </w:rPr>
          <w:tab/>
        </w:r>
        <w:r w:rsidR="004C79BC" w:rsidRPr="003E76E7">
          <w:rPr>
            <w:webHidden/>
          </w:rPr>
          <w:fldChar w:fldCharType="begin"/>
        </w:r>
        <w:r w:rsidR="004C79BC" w:rsidRPr="003E76E7">
          <w:rPr>
            <w:webHidden/>
          </w:rPr>
          <w:instrText xml:space="preserve"> PAGEREF _Toc222148364 \h </w:instrText>
        </w:r>
        <w:r w:rsidR="004C79BC" w:rsidRPr="003E76E7">
          <w:rPr>
            <w:webHidden/>
          </w:rPr>
        </w:r>
        <w:r w:rsidR="004C79BC" w:rsidRPr="003E76E7">
          <w:rPr>
            <w:webHidden/>
          </w:rPr>
          <w:fldChar w:fldCharType="separate"/>
        </w:r>
        <w:r w:rsidR="00E00C37">
          <w:rPr>
            <w:webHidden/>
          </w:rPr>
          <w:t>141</w:t>
        </w:r>
        <w:r w:rsidR="004C79BC" w:rsidRPr="003E76E7">
          <w:rPr>
            <w:webHidden/>
          </w:rPr>
          <w:fldChar w:fldCharType="end"/>
        </w:r>
      </w:hyperlink>
    </w:p>
    <w:p w14:paraId="46D708A5" w14:textId="59C99F86" w:rsidR="004C79BC" w:rsidRPr="003E76E7" w:rsidRDefault="00AD70C0" w:rsidP="00C4292D">
      <w:pPr>
        <w:pStyle w:val="TOC4"/>
        <w:rPr>
          <w:rFonts w:asciiTheme="minorHAnsi" w:eastAsiaTheme="minorEastAsia" w:hAnsiTheme="minorHAnsi" w:cstheme="minorBidi"/>
          <w:sz w:val="22"/>
          <w:szCs w:val="22"/>
          <w:lang w:val="en-AU"/>
        </w:rPr>
      </w:pPr>
      <w:hyperlink w:anchor="_Toc222148365" w:history="1">
        <w:r w:rsidR="004C79BC" w:rsidRPr="003E76E7">
          <w:rPr>
            <w:rStyle w:val="Hyperlink"/>
            <w:lang w:val="en-AU"/>
          </w:rPr>
          <w:t>Appendix E: Status of Projects Foreshadowed for Parliamentary Standing Committee on Public Works Consideration in 2026-27</w:t>
        </w:r>
        <w:r w:rsidR="004C79BC" w:rsidRPr="003E76E7">
          <w:rPr>
            <w:webHidden/>
          </w:rPr>
          <w:tab/>
        </w:r>
        <w:r w:rsidR="004C79BC" w:rsidRPr="003E76E7">
          <w:rPr>
            <w:webHidden/>
          </w:rPr>
          <w:fldChar w:fldCharType="begin"/>
        </w:r>
        <w:r w:rsidR="004C79BC" w:rsidRPr="003E76E7">
          <w:rPr>
            <w:webHidden/>
          </w:rPr>
          <w:instrText xml:space="preserve"> PAGEREF _Toc222148365 \h </w:instrText>
        </w:r>
        <w:r w:rsidR="004C79BC" w:rsidRPr="003E76E7">
          <w:rPr>
            <w:webHidden/>
          </w:rPr>
        </w:r>
        <w:r w:rsidR="004C79BC" w:rsidRPr="003E76E7">
          <w:rPr>
            <w:webHidden/>
          </w:rPr>
          <w:fldChar w:fldCharType="separate"/>
        </w:r>
        <w:r w:rsidR="00E00C37">
          <w:rPr>
            <w:webHidden/>
          </w:rPr>
          <w:t>156</w:t>
        </w:r>
        <w:r w:rsidR="004C79BC" w:rsidRPr="003E76E7">
          <w:rPr>
            <w:webHidden/>
          </w:rPr>
          <w:fldChar w:fldCharType="end"/>
        </w:r>
      </w:hyperlink>
    </w:p>
    <w:p w14:paraId="42737E41" w14:textId="551341DE" w:rsidR="004C79BC" w:rsidRPr="003E76E7" w:rsidRDefault="00AD70C0" w:rsidP="00C4292D">
      <w:pPr>
        <w:pStyle w:val="TOC4"/>
        <w:rPr>
          <w:rFonts w:asciiTheme="minorHAnsi" w:eastAsiaTheme="minorEastAsia" w:hAnsiTheme="minorHAnsi" w:cstheme="minorBidi"/>
          <w:sz w:val="22"/>
          <w:szCs w:val="22"/>
          <w:lang w:val="en-AU"/>
        </w:rPr>
      </w:pPr>
      <w:hyperlink w:anchor="_Toc222148366" w:history="1">
        <w:r w:rsidR="004C79BC" w:rsidRPr="003E76E7">
          <w:rPr>
            <w:rStyle w:val="Hyperlink"/>
            <w:lang w:val="en-AU"/>
          </w:rPr>
          <w:t>Appendix F: Top 5 Information and Communication Technology Approved Projects</w:t>
        </w:r>
        <w:r w:rsidR="004C79BC" w:rsidRPr="003E76E7">
          <w:rPr>
            <w:webHidden/>
          </w:rPr>
          <w:tab/>
        </w:r>
        <w:r w:rsidR="004C79BC" w:rsidRPr="003E76E7">
          <w:rPr>
            <w:webHidden/>
          </w:rPr>
          <w:fldChar w:fldCharType="begin"/>
        </w:r>
        <w:r w:rsidR="004C79BC" w:rsidRPr="003E76E7">
          <w:rPr>
            <w:webHidden/>
          </w:rPr>
          <w:instrText xml:space="preserve"> PAGEREF _Toc222148366 \h </w:instrText>
        </w:r>
        <w:r w:rsidR="004C79BC" w:rsidRPr="003E76E7">
          <w:rPr>
            <w:webHidden/>
          </w:rPr>
        </w:r>
        <w:r w:rsidR="004C79BC" w:rsidRPr="003E76E7">
          <w:rPr>
            <w:webHidden/>
          </w:rPr>
          <w:fldChar w:fldCharType="separate"/>
        </w:r>
        <w:r w:rsidR="00E00C37">
          <w:rPr>
            <w:webHidden/>
          </w:rPr>
          <w:t>158</w:t>
        </w:r>
        <w:r w:rsidR="004C79BC" w:rsidRPr="003E76E7">
          <w:rPr>
            <w:webHidden/>
          </w:rPr>
          <w:fldChar w:fldCharType="end"/>
        </w:r>
      </w:hyperlink>
    </w:p>
    <w:p w14:paraId="63BF550F" w14:textId="53FF8CA3" w:rsidR="004C79BC" w:rsidRPr="003E76E7" w:rsidRDefault="00AD70C0" w:rsidP="00C4292D">
      <w:pPr>
        <w:pStyle w:val="TOC4"/>
        <w:rPr>
          <w:rFonts w:asciiTheme="minorHAnsi" w:eastAsiaTheme="minorEastAsia" w:hAnsiTheme="minorHAnsi" w:cstheme="minorBidi"/>
          <w:sz w:val="22"/>
          <w:szCs w:val="22"/>
          <w:lang w:val="en-AU"/>
        </w:rPr>
      </w:pPr>
      <w:hyperlink w:anchor="_Toc222148367" w:history="1">
        <w:r w:rsidR="004C79BC" w:rsidRPr="003E76E7">
          <w:rPr>
            <w:rStyle w:val="Hyperlink"/>
            <w:lang w:val="en-AU"/>
          </w:rPr>
          <w:t>Appendix G: Australian Government Indigenous Expenditure</w:t>
        </w:r>
        <w:r w:rsidR="004C79BC" w:rsidRPr="003E76E7">
          <w:rPr>
            <w:webHidden/>
          </w:rPr>
          <w:tab/>
        </w:r>
        <w:r w:rsidR="004C79BC" w:rsidRPr="003E76E7">
          <w:rPr>
            <w:webHidden/>
          </w:rPr>
          <w:fldChar w:fldCharType="begin"/>
        </w:r>
        <w:r w:rsidR="004C79BC" w:rsidRPr="003E76E7">
          <w:rPr>
            <w:webHidden/>
          </w:rPr>
          <w:instrText xml:space="preserve"> PAGEREF _Toc222148367 \h </w:instrText>
        </w:r>
        <w:r w:rsidR="004C79BC" w:rsidRPr="003E76E7">
          <w:rPr>
            <w:webHidden/>
          </w:rPr>
        </w:r>
        <w:r w:rsidR="004C79BC" w:rsidRPr="003E76E7">
          <w:rPr>
            <w:webHidden/>
          </w:rPr>
          <w:fldChar w:fldCharType="separate"/>
        </w:r>
        <w:r w:rsidR="00E00C37">
          <w:rPr>
            <w:webHidden/>
          </w:rPr>
          <w:t>160</w:t>
        </w:r>
        <w:r w:rsidR="004C79BC" w:rsidRPr="003E76E7">
          <w:rPr>
            <w:webHidden/>
          </w:rPr>
          <w:fldChar w:fldCharType="end"/>
        </w:r>
      </w:hyperlink>
    </w:p>
    <w:p w14:paraId="269BE5E2" w14:textId="77777777" w:rsidR="004C79BC" w:rsidRPr="003E76E7" w:rsidRDefault="00EC72F7" w:rsidP="00C4292D">
      <w:pPr>
        <w:pStyle w:val="BodyText"/>
      </w:pPr>
      <w:r w:rsidRPr="003E76E7">
        <w:fldChar w:fldCharType="end"/>
      </w:r>
      <w:bookmarkStart w:id="1230" w:name="_Toc476581156"/>
      <w:bookmarkStart w:id="1231" w:name="_Toc507595428"/>
      <w:bookmarkStart w:id="1232" w:name="_Toc536089236"/>
      <w:bookmarkStart w:id="1233" w:name="_Toc536089496"/>
      <w:bookmarkStart w:id="1234" w:name="_Toc1561687"/>
      <w:bookmarkStart w:id="1235" w:name="_Toc51691684"/>
      <w:bookmarkStart w:id="1236" w:name="_Toc69917847"/>
      <w:bookmarkStart w:id="1237" w:name="_Toc97747836"/>
      <w:bookmarkStart w:id="1238" w:name="_Toc108088947"/>
      <w:bookmarkStart w:id="1239" w:name="_Toc109227743"/>
      <w:bookmarkStart w:id="1240" w:name="_Toc159499691"/>
      <w:bookmarkStart w:id="1241" w:name="_Toc159859108"/>
      <w:bookmarkStart w:id="1242" w:name="_Toc222129931"/>
      <w:bookmarkStart w:id="1243" w:name="_Toc222148361"/>
    </w:p>
    <w:p w14:paraId="29C345A7" w14:textId="77777777" w:rsidR="004C79BC" w:rsidRPr="003E76E7" w:rsidRDefault="004C79BC" w:rsidP="00C4292D">
      <w:pPr>
        <w:spacing w:before="0" w:after="0"/>
        <w:rPr>
          <w:rFonts w:ascii="Arial" w:hAnsi="Arial" w:cs="Times New Roman"/>
          <w:b/>
          <w:bCs/>
          <w:sz w:val="22"/>
          <w:szCs w:val="28"/>
        </w:rPr>
      </w:pPr>
      <w:r w:rsidRPr="003E76E7">
        <w:br w:type="page"/>
      </w:r>
    </w:p>
    <w:p w14:paraId="320A00F8" w14:textId="45CECE0B" w:rsidR="00003B8B" w:rsidRPr="003E76E7" w:rsidRDefault="00003B8B" w:rsidP="00C4292D">
      <w:pPr>
        <w:pStyle w:val="Heading4"/>
        <w:spacing w:before="0"/>
        <w:rPr>
          <w:rFonts w:cs="Arial"/>
          <w:sz w:val="26"/>
          <w:szCs w:val="26"/>
        </w:rPr>
      </w:pPr>
      <w:bookmarkStart w:id="1244" w:name="_Toc225847989"/>
      <w:bookmarkStart w:id="1245" w:name="_Toc225848072"/>
      <w:bookmarkStart w:id="1246" w:name="_Toc225848155"/>
      <w:bookmarkStart w:id="1247" w:name="_Toc225848494"/>
      <w:bookmarkStart w:id="1248" w:name="_Toc225941561"/>
      <w:bookmarkStart w:id="1249" w:name="_Toc225942568"/>
      <w:bookmarkStart w:id="1250" w:name="_Toc227334378"/>
      <w:bookmarkStart w:id="1251" w:name="_Toc229072453"/>
      <w:bookmarkStart w:id="1252" w:name="_Toc229072625"/>
      <w:r w:rsidRPr="003E76E7">
        <w:rPr>
          <w:sz w:val="26"/>
          <w:szCs w:val="26"/>
          <w:lang w:val="en-AU"/>
        </w:rPr>
        <w:lastRenderedPageBreak/>
        <w:t>Appendix A: Defence Cooperation Program</w:t>
      </w:r>
      <w:bookmarkEnd w:id="1217"/>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p>
    <w:p w14:paraId="564732D6" w14:textId="0C30E293" w:rsidR="00AC78F0" w:rsidRPr="00AC78F0" w:rsidRDefault="00AC78F0" w:rsidP="00AC78F0">
      <w:pPr>
        <w:rPr>
          <w:rFonts w:cs="Book Antiqua"/>
          <w:szCs w:val="20"/>
        </w:rPr>
      </w:pPr>
      <w:r w:rsidRPr="00AC78F0">
        <w:rPr>
          <w:rFonts w:cs="Book Antiqua"/>
          <w:szCs w:val="20"/>
        </w:rPr>
        <w:t>The Defence Cooperation Program (DCP) has made a major contribution to regional stability and security and been a significant element of Australia’s international defence engagement since the 1960s. The DCP was originally formed through bilateral military-to-military engagements in Singapore and Malaysia in the 1960s. It now supports engagement with military, police and security forces in over 30 countries across the Indo-Pacific.</w:t>
      </w:r>
    </w:p>
    <w:p w14:paraId="7A64A413" w14:textId="77777777" w:rsidR="00876320" w:rsidRPr="003E76E7" w:rsidRDefault="00876320" w:rsidP="00C4292D">
      <w:pPr>
        <w:spacing w:before="0" w:after="0"/>
        <w:rPr>
          <w:rFonts w:cs="Book Antiqua"/>
        </w:rPr>
      </w:pPr>
      <w:r w:rsidRPr="003E76E7">
        <w:t>The program:</w:t>
      </w:r>
    </w:p>
    <w:p w14:paraId="01F776B3" w14:textId="77777777" w:rsidR="00876320" w:rsidRPr="003E76E7" w:rsidRDefault="00876320" w:rsidP="00C4292D">
      <w:pPr>
        <w:numPr>
          <w:ilvl w:val="0"/>
          <w:numId w:val="15"/>
        </w:numPr>
        <w:tabs>
          <w:tab w:val="clear" w:pos="340"/>
          <w:tab w:val="num" w:pos="567"/>
        </w:tabs>
        <w:spacing w:before="60" w:after="0"/>
        <w:ind w:hanging="340"/>
        <w:rPr>
          <w:rFonts w:eastAsia="Calibri" w:cs="Calibri"/>
          <w:szCs w:val="20"/>
          <w:lang w:val="en-AU" w:eastAsia="en-US"/>
        </w:rPr>
      </w:pPr>
      <w:r w:rsidRPr="003E76E7">
        <w:rPr>
          <w:rFonts w:eastAsia="Calibri" w:cs="Calibri"/>
          <w:szCs w:val="20"/>
          <w:lang w:val="en-AU" w:eastAsia="en-US"/>
        </w:rPr>
        <w:t>enables cooperative development of capability;</w:t>
      </w:r>
    </w:p>
    <w:p w14:paraId="0D916601" w14:textId="77777777" w:rsidR="00876320" w:rsidRPr="003E76E7" w:rsidRDefault="00876320" w:rsidP="00C4292D">
      <w:pPr>
        <w:numPr>
          <w:ilvl w:val="0"/>
          <w:numId w:val="15"/>
        </w:numPr>
        <w:tabs>
          <w:tab w:val="clear" w:pos="340"/>
          <w:tab w:val="num" w:pos="567"/>
        </w:tabs>
        <w:spacing w:before="60" w:after="0"/>
        <w:ind w:hanging="340"/>
        <w:rPr>
          <w:rFonts w:eastAsia="Calibri" w:cs="Calibri"/>
          <w:szCs w:val="20"/>
          <w:lang w:val="en-AU" w:eastAsia="en-US"/>
        </w:rPr>
      </w:pPr>
      <w:r w:rsidRPr="003E76E7">
        <w:rPr>
          <w:rFonts w:eastAsia="Calibri" w:cs="Calibri"/>
          <w:szCs w:val="20"/>
          <w:lang w:val="en-AU" w:eastAsia="en-US"/>
        </w:rPr>
        <w:t>improves Australia’s capacity to work with partners in response to common security challenges; and</w:t>
      </w:r>
    </w:p>
    <w:p w14:paraId="1E02F7F4" w14:textId="77777777" w:rsidR="00876320" w:rsidRPr="003E76E7" w:rsidRDefault="00876320" w:rsidP="00C4292D">
      <w:pPr>
        <w:numPr>
          <w:ilvl w:val="0"/>
          <w:numId w:val="15"/>
        </w:numPr>
        <w:tabs>
          <w:tab w:val="clear" w:pos="340"/>
          <w:tab w:val="num" w:pos="567"/>
        </w:tabs>
        <w:spacing w:before="60" w:after="0"/>
        <w:ind w:hanging="340"/>
        <w:rPr>
          <w:rFonts w:eastAsia="Calibri" w:cs="Calibri"/>
          <w:szCs w:val="20"/>
          <w:lang w:val="en-AU" w:eastAsia="en-US"/>
        </w:rPr>
      </w:pPr>
      <w:r w:rsidRPr="003E76E7">
        <w:rPr>
          <w:rFonts w:eastAsia="Calibri" w:cs="Calibri"/>
          <w:szCs w:val="20"/>
          <w:lang w:val="en-AU" w:eastAsia="en-US"/>
        </w:rPr>
        <w:t>builds strong people-to-people links with partner militaries at the tactical, operational and strategic levels.</w:t>
      </w:r>
    </w:p>
    <w:p w14:paraId="05340226" w14:textId="77777777" w:rsidR="00AC78F0" w:rsidRPr="00AC78F0" w:rsidRDefault="00AC78F0" w:rsidP="00AC78F0">
      <w:pPr>
        <w:rPr>
          <w:rFonts w:cs="Book Antiqua"/>
          <w:szCs w:val="20"/>
        </w:rPr>
      </w:pPr>
      <w:r w:rsidRPr="003E76E7">
        <w:t xml:space="preserve">The </w:t>
      </w:r>
      <w:r w:rsidRPr="00AC78F0">
        <w:rPr>
          <w:i/>
        </w:rPr>
        <w:t>2026 National Defence Strategy</w:t>
      </w:r>
      <w:r w:rsidRPr="003E76E7">
        <w:t xml:space="preserve"> reaffirms the DCP as the primary mechanism for Australia’s practical defence engagement in the Indo-Pacific. </w:t>
      </w:r>
      <w:r>
        <w:t>It helps build a diverse and robust network of bilateral, regional and multilateral partnerships, essential for navigating a challenging strategic environment and supporting a favourable balance of power</w:t>
      </w:r>
      <w:r w:rsidRPr="003E76E7">
        <w:t xml:space="preserve">. </w:t>
      </w:r>
      <w:r w:rsidRPr="00AC78F0">
        <w:rPr>
          <w:rFonts w:cs="Book Antiqua"/>
          <w:szCs w:val="20"/>
        </w:rPr>
        <w:t xml:space="preserve">Priority regions sit in our primary area of military interest, encompassing the Northeast Indian Ocean through maritime Southeast Asia into the Pacific. The program helps to maximise Australia’s security by developing close and enduring links with partners that support their capacity to; protect their sovereignty, work effectively with the </w:t>
      </w:r>
      <w:r w:rsidRPr="003E76E7">
        <w:t>Australian</w:t>
      </w:r>
      <w:r w:rsidRPr="00AC78F0">
        <w:rPr>
          <w:rFonts w:cs="Book Antiqua"/>
          <w:szCs w:val="20"/>
        </w:rPr>
        <w:t xml:space="preserve"> Defence Force, and contribute to regional resilience and security.</w:t>
      </w:r>
    </w:p>
    <w:p w14:paraId="0FB97846" w14:textId="3AE41B4F" w:rsidR="00AC78F0" w:rsidRPr="003E76E7" w:rsidRDefault="00AC78F0" w:rsidP="00AC78F0">
      <w:pPr>
        <w:rPr>
          <w:rFonts w:cs="Book Antiqua"/>
          <w:szCs w:val="20"/>
        </w:rPr>
      </w:pPr>
      <w:r w:rsidRPr="003E76E7">
        <w:rPr>
          <w:rFonts w:cs="Book Antiqua"/>
          <w:szCs w:val="20"/>
        </w:rPr>
        <w:t>DCP activities include</w:t>
      </w:r>
      <w:r w:rsidR="00E51110">
        <w:rPr>
          <w:rFonts w:cs="Book Antiqua"/>
          <w:szCs w:val="20"/>
        </w:rPr>
        <w:t>s</w:t>
      </w:r>
      <w:r w:rsidRPr="003E76E7">
        <w:rPr>
          <w:rFonts w:cs="Book Antiqua"/>
          <w:szCs w:val="20"/>
        </w:rPr>
        <w:t xml:space="preserve"> education courses, training, personnel exchanges, capacity building, military secondments, strategic dialogues, visits, infrastructure support, exercises and operations.</w:t>
      </w:r>
    </w:p>
    <w:p w14:paraId="1D7668E2" w14:textId="77777777" w:rsidR="00AC78F0" w:rsidRPr="003E76E7" w:rsidRDefault="00AC78F0" w:rsidP="00AC78F0">
      <w:pPr>
        <w:rPr>
          <w:rFonts w:cs="Book Antiqua"/>
          <w:szCs w:val="20"/>
        </w:rPr>
      </w:pPr>
      <w:r w:rsidRPr="003E76E7">
        <w:rPr>
          <w:rFonts w:cs="Book Antiqua"/>
          <w:szCs w:val="20"/>
        </w:rPr>
        <w:t>The DCP supports the provision of education and training positions in Australia for international military personnel. Junior and senior officers from regional countries undertake short and long</w:t>
      </w:r>
      <w:r w:rsidRPr="003E76E7">
        <w:rPr>
          <w:rFonts w:cs="Book Antiqua"/>
          <w:szCs w:val="20"/>
        </w:rPr>
        <w:noBreakHyphen/>
        <w:t xml:space="preserve">term courses at </w:t>
      </w:r>
      <w:r w:rsidRPr="003E76E7">
        <w:t>Australian</w:t>
      </w:r>
      <w:r w:rsidRPr="003E76E7">
        <w:rPr>
          <w:rFonts w:cs="Book Antiqua"/>
          <w:szCs w:val="20"/>
        </w:rPr>
        <w:t xml:space="preserve"> military and civilian educational institutions. This training builds military </w:t>
      </w:r>
      <w:r w:rsidRPr="003E76E7">
        <w:t>professionalism</w:t>
      </w:r>
      <w:r w:rsidRPr="003E76E7">
        <w:rPr>
          <w:rFonts w:cs="Book Antiqua"/>
          <w:szCs w:val="20"/>
        </w:rPr>
        <w:t xml:space="preserve"> by equipping participants with the skills they will use throughout their military careers. International defence personnel also return home </w:t>
      </w:r>
      <w:r>
        <w:rPr>
          <w:rFonts w:cs="Book Antiqua"/>
          <w:szCs w:val="20"/>
        </w:rPr>
        <w:t xml:space="preserve">with </w:t>
      </w:r>
      <w:r w:rsidRPr="003E76E7">
        <w:rPr>
          <w:rFonts w:cs="Book Antiqua"/>
          <w:szCs w:val="20"/>
        </w:rPr>
        <w:t>a better understanding of Australia and network</w:t>
      </w:r>
      <w:r>
        <w:rPr>
          <w:rFonts w:cs="Book Antiqua"/>
          <w:szCs w:val="20"/>
        </w:rPr>
        <w:t>s</w:t>
      </w:r>
      <w:r w:rsidRPr="003E76E7">
        <w:rPr>
          <w:rFonts w:cs="Book Antiqua"/>
          <w:szCs w:val="20"/>
        </w:rPr>
        <w:t xml:space="preserve"> with counterparts in the ADF and Department of Defence. These people-to-people links are further maintained through defence alumni associations.</w:t>
      </w:r>
    </w:p>
    <w:p w14:paraId="55ADA13C" w14:textId="77777777" w:rsidR="00AC78F0" w:rsidRPr="003E76E7" w:rsidRDefault="00AC78F0" w:rsidP="00AC78F0">
      <w:pPr>
        <w:rPr>
          <w:rFonts w:cs="Book Antiqua"/>
          <w:szCs w:val="20"/>
        </w:rPr>
      </w:pPr>
      <w:r w:rsidRPr="003E76E7">
        <w:rPr>
          <w:rFonts w:cs="Book Antiqua"/>
          <w:szCs w:val="20"/>
        </w:rPr>
        <w:t>Australia maintains regular Strategic dialogues with regional countries in order to exchange views on regional security issues and to discuss defence cooperation priorities. The DCP also supports a program of visits by senior defence representatives to and from Australia. These visits provide an opportunity for Australia and regional partners to improve their mutual understanding of each other’s strategic perspectives and military capabilit</w:t>
      </w:r>
      <w:r>
        <w:rPr>
          <w:rFonts w:cs="Book Antiqua"/>
          <w:szCs w:val="20"/>
        </w:rPr>
        <w:t>ies</w:t>
      </w:r>
      <w:r w:rsidRPr="003E76E7">
        <w:rPr>
          <w:rFonts w:cs="Book Antiqua"/>
          <w:szCs w:val="20"/>
        </w:rPr>
        <w:t>.</w:t>
      </w:r>
    </w:p>
    <w:p w14:paraId="420E4F46" w14:textId="77777777" w:rsidR="00AC78F0" w:rsidRPr="003E76E7" w:rsidRDefault="00AC78F0" w:rsidP="00AC78F0">
      <w:pPr>
        <w:rPr>
          <w:rFonts w:cs="Book Antiqua"/>
          <w:szCs w:val="20"/>
        </w:rPr>
      </w:pPr>
      <w:r w:rsidRPr="003E76E7">
        <w:rPr>
          <w:rFonts w:cs="Book Antiqua"/>
          <w:szCs w:val="20"/>
        </w:rPr>
        <w:t xml:space="preserve">Defence seeks to develop the institutional and governance frameworks of regional defence organisations as well as the capabilities of their security forces. The DCP achieves these objectives through ADF mentoring and training teams, support for logistics and infrastructure development, and the posting of Defence personnel as advisers to regional defence and security organisations. It is in Australia’s interest to support professional and capable regional militaries that we can operate with </w:t>
      </w:r>
      <w:r>
        <w:rPr>
          <w:rFonts w:cs="Book Antiqua"/>
          <w:szCs w:val="20"/>
        </w:rPr>
        <w:t xml:space="preserve">to advance </w:t>
      </w:r>
      <w:r w:rsidRPr="003E76E7">
        <w:rPr>
          <w:rFonts w:cs="Book Antiqua"/>
          <w:szCs w:val="20"/>
        </w:rPr>
        <w:t>regional security and stability.</w:t>
      </w:r>
    </w:p>
    <w:p w14:paraId="4074105D" w14:textId="77777777" w:rsidR="00AC78F0" w:rsidRPr="003E76E7" w:rsidRDefault="00AC78F0" w:rsidP="00AC78F0">
      <w:pPr>
        <w:rPr>
          <w:rFonts w:cs="Book Antiqua"/>
          <w:color w:val="000000"/>
          <w:szCs w:val="20"/>
        </w:rPr>
      </w:pPr>
      <w:r w:rsidRPr="003E76E7">
        <w:rPr>
          <w:rFonts w:cs="Book Antiqua"/>
          <w:szCs w:val="20"/>
        </w:rPr>
        <w:t xml:space="preserve">The Papua New Guinea (PNG) DCP, our largest with any country, supports </w:t>
      </w:r>
      <w:r>
        <w:rPr>
          <w:rFonts w:cs="Book Antiqua"/>
          <w:szCs w:val="20"/>
        </w:rPr>
        <w:t xml:space="preserve">our new ally </w:t>
      </w:r>
      <w:r w:rsidRPr="003E76E7">
        <w:rPr>
          <w:rFonts w:cs="Book Antiqua"/>
          <w:szCs w:val="20"/>
        </w:rPr>
        <w:t xml:space="preserve">to be a more capable, regional security partner, and </w:t>
      </w:r>
      <w:r>
        <w:rPr>
          <w:rFonts w:cs="Book Antiqua"/>
          <w:szCs w:val="20"/>
        </w:rPr>
        <w:t xml:space="preserve">helps </w:t>
      </w:r>
      <w:r w:rsidRPr="003E76E7">
        <w:rPr>
          <w:rFonts w:cs="Book Antiqua"/>
          <w:szCs w:val="20"/>
        </w:rPr>
        <w:t xml:space="preserve">current and future leaders to build a strong and resilient Defence Organisation. The PNG DCP will continue to facilitate the conduct of bilateral exercises, mobile training teams, logistics support, capability development, governance, </w:t>
      </w:r>
      <w:r w:rsidRPr="003E76E7">
        <w:rPr>
          <w:rFonts w:cs="Book Antiqua"/>
          <w:color w:val="000000"/>
          <w:szCs w:val="20"/>
        </w:rPr>
        <w:t>training support and information sharing.</w:t>
      </w:r>
    </w:p>
    <w:p w14:paraId="60B2B537" w14:textId="77777777" w:rsidR="00AC78F0" w:rsidRPr="00AC78F0" w:rsidRDefault="00AC78F0" w:rsidP="00AC78F0">
      <w:pPr>
        <w:rPr>
          <w:rFonts w:cs="Book Antiqua"/>
          <w:szCs w:val="20"/>
        </w:rPr>
      </w:pPr>
      <w:r w:rsidRPr="00AC78F0">
        <w:rPr>
          <w:rFonts w:cs="Book Antiqua"/>
          <w:szCs w:val="20"/>
        </w:rPr>
        <w:lastRenderedPageBreak/>
        <w:t xml:space="preserve">In the Pacific, the centrepiece of Australia’s DCP is the Pacific Maritime Security Program (PMSP). The PMSP is the successor to the original Pacific Patrol Boat Program, and has delivered 24 Guardian-class Patrol Boats (with in-country advisory personnel, maintenance support, crew training and technical assistance) to 12 Pacific Island nations and the Republic of Maldives. </w:t>
      </w:r>
    </w:p>
    <w:p w14:paraId="42DED719" w14:textId="77777777" w:rsidR="00AC78F0" w:rsidRPr="00AC78F0" w:rsidRDefault="00AC78F0" w:rsidP="00AC78F0">
      <w:pPr>
        <w:rPr>
          <w:rFonts w:cs="Book Antiqua"/>
          <w:szCs w:val="20"/>
        </w:rPr>
      </w:pPr>
      <w:r w:rsidRPr="00AC78F0">
        <w:rPr>
          <w:rFonts w:cs="Book Antiqua"/>
          <w:szCs w:val="20"/>
        </w:rPr>
        <w:t xml:space="preserve">The Guardian-Class Patrol Boats were constructed by Austal Ships Pty Ltd and are larger and more capable than the Pacific Patrol Boats they replaced. The Program includes a region-wide integrated aerial surveillance capability and support for enhancing regional coordination. The PMSP works with Pacific navies and police maritime elements (and partners like the United States, New Zealand, France and Japan) to enhance their capabilities and capacity to protect their sovereign waters and contribute to regional maritime security.  </w:t>
      </w:r>
    </w:p>
    <w:p w14:paraId="79EEA4EF" w14:textId="77777777" w:rsidR="00AC78F0" w:rsidRPr="00AC78F0" w:rsidRDefault="00AC78F0" w:rsidP="00AC78F0">
      <w:pPr>
        <w:rPr>
          <w:rFonts w:cs="Book Antiqua"/>
          <w:szCs w:val="20"/>
        </w:rPr>
      </w:pPr>
      <w:r w:rsidRPr="00AC78F0">
        <w:rPr>
          <w:rFonts w:cs="Book Antiqua"/>
          <w:szCs w:val="20"/>
        </w:rPr>
        <w:t>In Southeast Asia, the DCP is the primary mechanism for Australia’s practical defence engagement. It facilitates activities that enables the ADF to work with partner defence forces for mutually beneficial exchange and training, collaborate on shared concerns, and respond to regional priorities. We are expanding our defence cooperation in areas including maritime security, infrastructure support, peacekeeping, military medicine and English language training.</w:t>
      </w:r>
    </w:p>
    <w:p w14:paraId="533A5045" w14:textId="77777777" w:rsidR="00AC78F0" w:rsidRPr="00AC78F0" w:rsidRDefault="00AC78F0" w:rsidP="00AC78F0">
      <w:pPr>
        <w:rPr>
          <w:rFonts w:cs="Book Antiqua"/>
          <w:szCs w:val="20"/>
        </w:rPr>
      </w:pPr>
      <w:r w:rsidRPr="00AC78F0">
        <w:rPr>
          <w:rFonts w:cs="Book Antiqua"/>
          <w:szCs w:val="20"/>
        </w:rPr>
        <w:t>The ADF conducts exercises with other militaries in order to build our shared capacity to work together in response to regional security contingencies. These include humanitarian assistance and disaster relief, peacekeeping, counter-terrorism, maritime security, and military governance and professionalism. These exercises are conducted in the air, land and maritime domains and take place both in Australia and across the region. Exercising together promotes interoperability and builds familiarity between our armed forces and those of our regional military partners.</w:t>
      </w:r>
    </w:p>
    <w:p w14:paraId="2CE83CBA" w14:textId="0DEC0A49" w:rsidR="00003B8B" w:rsidRPr="003E76E7" w:rsidRDefault="00003B8B" w:rsidP="00C4292D">
      <w:pPr>
        <w:pStyle w:val="TableHeading"/>
        <w:numPr>
          <w:ilvl w:val="0"/>
          <w:numId w:val="61"/>
        </w:numPr>
        <w:spacing w:before="100"/>
        <w:ind w:left="0" w:firstLine="0"/>
        <w:outlineLvl w:val="4"/>
      </w:pPr>
      <w:r w:rsidRPr="003E76E7">
        <w:t>Defence</w:t>
      </w:r>
      <w:r w:rsidR="00FB4CB6" w:rsidRPr="003E76E7">
        <w:t xml:space="preserve"> Cooperation Program </w:t>
      </w:r>
      <w:r w:rsidR="00C505F9" w:rsidRPr="003E76E7">
        <w:t>B</w:t>
      </w:r>
      <w:r w:rsidR="00FB4CB6" w:rsidRPr="003E76E7">
        <w:t xml:space="preserve">udget </w:t>
      </w:r>
      <w:r w:rsidR="0067552D" w:rsidRPr="003E76E7">
        <w:t>202</w:t>
      </w:r>
      <w:r w:rsidR="003609B7" w:rsidRPr="003E76E7">
        <w:t>6</w:t>
      </w:r>
      <w:r w:rsidR="0067552D" w:rsidRPr="003E76E7">
        <w:t>-2</w:t>
      </w:r>
      <w:r w:rsidR="003609B7" w:rsidRPr="003E76E7">
        <w:t>7</w:t>
      </w:r>
      <w:r w:rsidR="00FB6EE5" w:rsidRPr="003E76E7">
        <w:t xml:space="preserve"> </w:t>
      </w:r>
      <w:r w:rsidR="00FB6EE5" w:rsidRPr="003E76E7">
        <w:rPr>
          <w:vertAlign w:val="superscript"/>
        </w:rPr>
        <w:t>[a]</w:t>
      </w:r>
    </w:p>
    <w:p w14:paraId="2CAE78C0" w14:textId="77777777" w:rsidR="00AC78F0" w:rsidRPr="003E76E7" w:rsidRDefault="00AC78F0" w:rsidP="00AC78F0">
      <w:r w:rsidRPr="003E76E7">
        <w:t>The DCP</w:t>
      </w:r>
      <w:r>
        <w:t xml:space="preserve"> helps Defence </w:t>
      </w:r>
      <w:r w:rsidRPr="003E76E7">
        <w:t>respond</w:t>
      </w:r>
      <w:r>
        <w:t xml:space="preserve"> flexibly</w:t>
      </w:r>
      <w:r w:rsidRPr="003E76E7">
        <w:t xml:space="preserve"> to partners’ needs. </w:t>
      </w:r>
      <w:r>
        <w:t>In particular, t</w:t>
      </w:r>
      <w:r w:rsidRPr="003E76E7">
        <w:t>he PMSP and Indo</w:t>
      </w:r>
      <w:r w:rsidRPr="003E76E7">
        <w:noBreakHyphen/>
        <w:t xml:space="preserve">Pacific Infrastructure Program </w:t>
      </w:r>
      <w:r>
        <w:t xml:space="preserve">enable </w:t>
      </w:r>
      <w:r w:rsidRPr="003E76E7">
        <w:t>investment across domains to complement bilateral Defence programs.</w:t>
      </w:r>
    </w:p>
    <w:p w14:paraId="3C5B3950" w14:textId="41DCF5CD" w:rsidR="00AC78F0" w:rsidRPr="003E76E7" w:rsidRDefault="00AC78F0" w:rsidP="00AC78F0">
      <w:r w:rsidRPr="003E76E7">
        <w:t>Defence is committed to being responsive to the needs of our international partners</w:t>
      </w:r>
      <w:r>
        <w:t>, which can shift in a dynamic</w:t>
      </w:r>
      <w:r w:rsidRPr="003E76E7">
        <w:t xml:space="preserve"> strategic environment </w:t>
      </w:r>
      <w:r>
        <w:t xml:space="preserve">- </w:t>
      </w:r>
      <w:r w:rsidRPr="003E76E7">
        <w:t>requiring</w:t>
      </w:r>
      <w:r>
        <w:t xml:space="preserve"> </w:t>
      </w:r>
      <w:r w:rsidRPr="003E76E7">
        <w:t>the re</w:t>
      </w:r>
      <w:r w:rsidRPr="003E76E7">
        <w:noBreakHyphen/>
        <w:t>allocation of funds between nations or at a regional level. In our near region in particular, climate change</w:t>
      </w:r>
      <w:r>
        <w:t>, transnational crime</w:t>
      </w:r>
      <w:r w:rsidRPr="003E76E7">
        <w:t xml:space="preserve"> and other security threats </w:t>
      </w:r>
      <w:r>
        <w:t xml:space="preserve">mean </w:t>
      </w:r>
      <w:r w:rsidRPr="003E76E7">
        <w:t xml:space="preserve">partner security forces </w:t>
      </w:r>
      <w:r>
        <w:t xml:space="preserve">increasingly </w:t>
      </w:r>
      <w:r w:rsidRPr="003E76E7">
        <w:t>focus on shared regional resilience and disaster preparedness. In order to remain flexible and responsive to emerging and long-term needs of our partners, the DCP budget allocation occurs at the regional level.</w:t>
      </w:r>
    </w:p>
    <w:p w14:paraId="4BC3ABB0" w14:textId="77777777" w:rsidR="000848F6" w:rsidRPr="003E76E7" w:rsidRDefault="000848F6" w:rsidP="00C4292D">
      <w:pPr>
        <w:spacing w:before="0" w:after="0"/>
        <w:rPr>
          <w:sz w:val="4"/>
        </w:rPr>
      </w:pPr>
    </w:p>
    <w:p w14:paraId="456652A7" w14:textId="77777777" w:rsidR="008D689A" w:rsidRPr="003E76E7" w:rsidRDefault="008D689A" w:rsidP="00C4292D">
      <w:pPr>
        <w:spacing w:before="0" w:after="0"/>
        <w:rPr>
          <w:sz w:val="4"/>
        </w:rPr>
      </w:pPr>
    </w:p>
    <w:tbl>
      <w:tblPr>
        <w:tblW w:w="8588" w:type="dxa"/>
        <w:tblLayout w:type="fixed"/>
        <w:tblLook w:val="04A0" w:firstRow="1" w:lastRow="0" w:firstColumn="1" w:lastColumn="0" w:noHBand="0" w:noVBand="1"/>
      </w:tblPr>
      <w:tblGrid>
        <w:gridCol w:w="5090"/>
        <w:gridCol w:w="1250"/>
        <w:gridCol w:w="1139"/>
        <w:gridCol w:w="1109"/>
      </w:tblGrid>
      <w:tr w:rsidR="00042A95" w:rsidRPr="003E76E7" w14:paraId="5EA6E47E" w14:textId="77777777" w:rsidTr="00CE4C37">
        <w:trPr>
          <w:trHeight w:val="816"/>
        </w:trPr>
        <w:tc>
          <w:tcPr>
            <w:tcW w:w="5090" w:type="dxa"/>
            <w:tcBorders>
              <w:top w:val="single" w:sz="4" w:space="0" w:color="auto"/>
              <w:left w:val="nil"/>
              <w:bottom w:val="single" w:sz="4" w:space="0" w:color="auto"/>
              <w:right w:val="nil"/>
            </w:tcBorders>
            <w:shd w:val="clear" w:color="auto" w:fill="auto"/>
            <w:vAlign w:val="bottom"/>
            <w:hideMark/>
          </w:tcPr>
          <w:p w14:paraId="7D4352DC" w14:textId="1888B171" w:rsidR="00042A95" w:rsidRPr="003E76E7" w:rsidRDefault="00042A95" w:rsidP="00C4292D">
            <w:pPr>
              <w:spacing w:before="0" w:after="0"/>
              <w:jc w:val="right"/>
              <w:rPr>
                <w:rFonts w:ascii="Arial" w:hAnsi="Arial"/>
                <w:b/>
                <w:bCs/>
                <w:sz w:val="16"/>
                <w:szCs w:val="16"/>
                <w:lang w:val="en-AU"/>
              </w:rPr>
            </w:pPr>
          </w:p>
        </w:tc>
        <w:tc>
          <w:tcPr>
            <w:tcW w:w="1250" w:type="dxa"/>
            <w:tcBorders>
              <w:top w:val="single" w:sz="4" w:space="0" w:color="auto"/>
              <w:left w:val="nil"/>
              <w:bottom w:val="single" w:sz="4" w:space="0" w:color="auto"/>
              <w:right w:val="nil"/>
            </w:tcBorders>
            <w:shd w:val="clear" w:color="auto" w:fill="auto"/>
            <w:vAlign w:val="center"/>
            <w:hideMark/>
          </w:tcPr>
          <w:p w14:paraId="1ACEB444" w14:textId="5492F909" w:rsidR="00042A95" w:rsidRPr="003E76E7" w:rsidRDefault="00042A95" w:rsidP="00C4292D">
            <w:pPr>
              <w:spacing w:before="0" w:after="0"/>
              <w:jc w:val="right"/>
              <w:rPr>
                <w:rFonts w:ascii="Arial" w:hAnsi="Arial"/>
                <w:b/>
                <w:bCs/>
                <w:sz w:val="16"/>
                <w:szCs w:val="16"/>
                <w:lang w:val="en-AU"/>
              </w:rPr>
            </w:pPr>
            <w:r w:rsidRPr="003E76E7">
              <w:rPr>
                <w:rFonts w:ascii="Arial" w:hAnsi="Arial"/>
                <w:b/>
                <w:bCs/>
                <w:sz w:val="16"/>
                <w:szCs w:val="16"/>
                <w:lang w:val="en-AU"/>
              </w:rPr>
              <w:t>202</w:t>
            </w:r>
            <w:r w:rsidR="003609B7" w:rsidRPr="003E76E7">
              <w:rPr>
                <w:rFonts w:ascii="Arial" w:hAnsi="Arial"/>
                <w:b/>
                <w:bCs/>
                <w:sz w:val="16"/>
                <w:szCs w:val="16"/>
                <w:lang w:val="en-AU"/>
              </w:rPr>
              <w:t>5</w:t>
            </w:r>
            <w:r w:rsidRPr="003E76E7">
              <w:rPr>
                <w:rFonts w:ascii="Arial" w:hAnsi="Arial"/>
                <w:b/>
                <w:bCs/>
                <w:sz w:val="16"/>
                <w:szCs w:val="16"/>
                <w:lang w:val="en-AU"/>
              </w:rPr>
              <w:t>-2</w:t>
            </w:r>
            <w:r w:rsidR="003609B7" w:rsidRPr="003E76E7">
              <w:rPr>
                <w:rFonts w:ascii="Arial" w:hAnsi="Arial"/>
                <w:b/>
                <w:bCs/>
                <w:sz w:val="16"/>
                <w:szCs w:val="16"/>
                <w:lang w:val="en-AU"/>
              </w:rPr>
              <w:t>6</w:t>
            </w:r>
            <w:r w:rsidRPr="003E76E7">
              <w:rPr>
                <w:rFonts w:ascii="Arial" w:hAnsi="Arial"/>
                <w:b/>
                <w:bCs/>
                <w:sz w:val="16"/>
                <w:szCs w:val="16"/>
                <w:lang w:val="en-AU"/>
              </w:rPr>
              <w:t xml:space="preserve"> </w:t>
            </w:r>
            <w:r w:rsidR="0077065D" w:rsidRPr="003E76E7">
              <w:rPr>
                <w:rFonts w:ascii="Arial" w:hAnsi="Arial"/>
                <w:b/>
                <w:bCs/>
                <w:sz w:val="16"/>
                <w:szCs w:val="16"/>
                <w:lang w:val="en-AU"/>
              </w:rPr>
              <w:t>Revised</w:t>
            </w:r>
            <w:r w:rsidRPr="003E76E7">
              <w:rPr>
                <w:rFonts w:ascii="Arial" w:hAnsi="Arial"/>
                <w:b/>
                <w:bCs/>
                <w:sz w:val="16"/>
                <w:szCs w:val="16"/>
                <w:lang w:val="en-AU"/>
              </w:rPr>
              <w:t xml:space="preserve"> Estimate $’000</w:t>
            </w:r>
          </w:p>
        </w:tc>
        <w:tc>
          <w:tcPr>
            <w:tcW w:w="1139" w:type="dxa"/>
            <w:tcBorders>
              <w:top w:val="single" w:sz="4" w:space="0" w:color="auto"/>
              <w:left w:val="nil"/>
              <w:bottom w:val="single" w:sz="4" w:space="0" w:color="auto"/>
              <w:right w:val="nil"/>
            </w:tcBorders>
            <w:shd w:val="clear" w:color="auto" w:fill="auto"/>
            <w:vAlign w:val="center"/>
            <w:hideMark/>
          </w:tcPr>
          <w:p w14:paraId="06E64F60" w14:textId="386E23F0" w:rsidR="00042A95" w:rsidRPr="003E76E7" w:rsidRDefault="00042A95" w:rsidP="00C4292D">
            <w:pPr>
              <w:spacing w:before="0" w:after="0"/>
              <w:jc w:val="right"/>
              <w:rPr>
                <w:rFonts w:ascii="Arial" w:hAnsi="Arial"/>
                <w:b/>
                <w:bCs/>
                <w:sz w:val="16"/>
                <w:szCs w:val="16"/>
                <w:lang w:val="en-AU"/>
              </w:rPr>
            </w:pPr>
            <w:r w:rsidRPr="003E76E7">
              <w:rPr>
                <w:rFonts w:ascii="Arial" w:hAnsi="Arial"/>
                <w:b/>
                <w:bCs/>
                <w:sz w:val="16"/>
                <w:szCs w:val="16"/>
                <w:lang w:val="en-AU"/>
              </w:rPr>
              <w:t>202</w:t>
            </w:r>
            <w:r w:rsidR="003609B7" w:rsidRPr="003E76E7">
              <w:rPr>
                <w:rFonts w:ascii="Arial" w:hAnsi="Arial"/>
                <w:b/>
                <w:bCs/>
                <w:sz w:val="16"/>
                <w:szCs w:val="16"/>
                <w:lang w:val="en-AU"/>
              </w:rPr>
              <w:t>5</w:t>
            </w:r>
            <w:r w:rsidRPr="003E76E7">
              <w:rPr>
                <w:rFonts w:ascii="Arial" w:hAnsi="Arial"/>
                <w:b/>
                <w:bCs/>
                <w:sz w:val="16"/>
                <w:szCs w:val="16"/>
                <w:lang w:val="en-AU"/>
              </w:rPr>
              <w:t>-</w:t>
            </w:r>
            <w:r w:rsidR="003609B7" w:rsidRPr="003E76E7">
              <w:rPr>
                <w:rFonts w:ascii="Arial" w:hAnsi="Arial"/>
                <w:b/>
                <w:bCs/>
                <w:sz w:val="16"/>
                <w:szCs w:val="16"/>
                <w:lang w:val="en-AU"/>
              </w:rPr>
              <w:t>26</w:t>
            </w:r>
            <w:r w:rsidR="009B6B18" w:rsidRPr="003E76E7">
              <w:rPr>
                <w:rFonts w:ascii="Arial" w:hAnsi="Arial"/>
                <w:b/>
                <w:bCs/>
                <w:sz w:val="16"/>
                <w:szCs w:val="16"/>
                <w:lang w:val="en-AU"/>
              </w:rPr>
              <w:t xml:space="preserve"> </w:t>
            </w:r>
            <w:r w:rsidRPr="003E76E7">
              <w:rPr>
                <w:rFonts w:ascii="Arial" w:hAnsi="Arial"/>
                <w:b/>
                <w:bCs/>
                <w:sz w:val="16"/>
                <w:szCs w:val="16"/>
                <w:lang w:val="en-AU"/>
              </w:rPr>
              <w:t>Estimated Actual</w:t>
            </w:r>
            <w:r w:rsidR="009B6B18" w:rsidRPr="003E76E7">
              <w:rPr>
                <w:rFonts w:ascii="Arial" w:hAnsi="Arial"/>
                <w:b/>
                <w:bCs/>
                <w:sz w:val="16"/>
                <w:szCs w:val="16"/>
                <w:lang w:val="en-AU"/>
              </w:rPr>
              <w:t xml:space="preserve"> </w:t>
            </w:r>
            <w:r w:rsidRPr="003E76E7">
              <w:rPr>
                <w:rFonts w:ascii="Arial" w:hAnsi="Arial"/>
                <w:b/>
                <w:bCs/>
                <w:sz w:val="16"/>
                <w:szCs w:val="16"/>
                <w:lang w:val="en-AU"/>
              </w:rPr>
              <w:t>$’000</w:t>
            </w:r>
          </w:p>
        </w:tc>
        <w:tc>
          <w:tcPr>
            <w:tcW w:w="1109" w:type="dxa"/>
            <w:tcBorders>
              <w:top w:val="single" w:sz="4" w:space="0" w:color="auto"/>
              <w:left w:val="nil"/>
              <w:bottom w:val="single" w:sz="4" w:space="0" w:color="auto"/>
              <w:right w:val="nil"/>
            </w:tcBorders>
            <w:shd w:val="clear" w:color="auto" w:fill="auto"/>
            <w:vAlign w:val="center"/>
            <w:hideMark/>
          </w:tcPr>
          <w:p w14:paraId="4C7FD1F8" w14:textId="0ABB13AC" w:rsidR="00042A95" w:rsidRPr="003E76E7" w:rsidRDefault="00042A95" w:rsidP="00C4292D">
            <w:pPr>
              <w:spacing w:before="0" w:after="0"/>
              <w:jc w:val="right"/>
              <w:rPr>
                <w:rFonts w:ascii="Arial" w:hAnsi="Arial"/>
                <w:b/>
                <w:bCs/>
                <w:sz w:val="16"/>
                <w:szCs w:val="16"/>
                <w:lang w:val="en-AU"/>
              </w:rPr>
            </w:pPr>
            <w:r w:rsidRPr="003E76E7">
              <w:rPr>
                <w:rFonts w:ascii="Arial" w:hAnsi="Arial"/>
                <w:b/>
                <w:bCs/>
                <w:sz w:val="16"/>
                <w:szCs w:val="16"/>
                <w:lang w:val="en-AU"/>
              </w:rPr>
              <w:t>202</w:t>
            </w:r>
            <w:r w:rsidR="003609B7" w:rsidRPr="003E76E7">
              <w:rPr>
                <w:rFonts w:ascii="Arial" w:hAnsi="Arial"/>
                <w:b/>
                <w:bCs/>
                <w:sz w:val="16"/>
                <w:szCs w:val="16"/>
                <w:lang w:val="en-AU"/>
              </w:rPr>
              <w:t>6</w:t>
            </w:r>
            <w:r w:rsidRPr="003E76E7">
              <w:rPr>
                <w:rFonts w:ascii="Arial" w:hAnsi="Arial"/>
                <w:b/>
                <w:bCs/>
                <w:sz w:val="16"/>
                <w:szCs w:val="16"/>
                <w:lang w:val="en-AU"/>
              </w:rPr>
              <w:t>-2</w:t>
            </w:r>
            <w:r w:rsidR="003609B7" w:rsidRPr="003E76E7">
              <w:rPr>
                <w:rFonts w:ascii="Arial" w:hAnsi="Arial"/>
                <w:b/>
                <w:bCs/>
                <w:sz w:val="16"/>
                <w:szCs w:val="16"/>
                <w:lang w:val="en-AU"/>
              </w:rPr>
              <w:t>7</w:t>
            </w:r>
            <w:r w:rsidRPr="003E76E7">
              <w:rPr>
                <w:rFonts w:ascii="Arial" w:hAnsi="Arial"/>
                <w:b/>
                <w:bCs/>
                <w:sz w:val="16"/>
                <w:szCs w:val="16"/>
                <w:lang w:val="en-AU"/>
              </w:rPr>
              <w:t xml:space="preserve"> Budget Estimate $’000</w:t>
            </w:r>
          </w:p>
        </w:tc>
      </w:tr>
      <w:tr w:rsidR="00617B04" w:rsidRPr="003E76E7" w14:paraId="15FB23CD" w14:textId="77777777" w:rsidTr="00CE4C37">
        <w:trPr>
          <w:trHeight w:val="288"/>
        </w:trPr>
        <w:tc>
          <w:tcPr>
            <w:tcW w:w="5090" w:type="dxa"/>
            <w:tcBorders>
              <w:top w:val="nil"/>
              <w:left w:val="nil"/>
              <w:bottom w:val="nil"/>
              <w:right w:val="nil"/>
            </w:tcBorders>
            <w:shd w:val="clear" w:color="auto" w:fill="auto"/>
            <w:vAlign w:val="center"/>
            <w:hideMark/>
          </w:tcPr>
          <w:p w14:paraId="4398A7F7" w14:textId="04D75CFB" w:rsidR="00617B04" w:rsidRPr="003E76E7" w:rsidRDefault="00617B04" w:rsidP="00C4292D">
            <w:pPr>
              <w:spacing w:before="0" w:after="0"/>
              <w:rPr>
                <w:rFonts w:ascii="Arial" w:hAnsi="Arial"/>
                <w:sz w:val="16"/>
                <w:szCs w:val="16"/>
                <w:lang w:val="en-AU"/>
              </w:rPr>
            </w:pPr>
            <w:r w:rsidRPr="003E76E7">
              <w:rPr>
                <w:rFonts w:ascii="Arial" w:hAnsi="Arial"/>
                <w:sz w:val="16"/>
                <w:szCs w:val="16"/>
                <w:lang w:val="en-AU"/>
              </w:rPr>
              <w:t xml:space="preserve">Pacific Region </w:t>
            </w:r>
          </w:p>
        </w:tc>
        <w:tc>
          <w:tcPr>
            <w:tcW w:w="1250" w:type="dxa"/>
            <w:tcBorders>
              <w:top w:val="nil"/>
              <w:left w:val="nil"/>
              <w:bottom w:val="nil"/>
              <w:right w:val="nil"/>
            </w:tcBorders>
            <w:shd w:val="clear" w:color="auto" w:fill="auto"/>
            <w:vAlign w:val="center"/>
          </w:tcPr>
          <w:p w14:paraId="527081AD" w14:textId="23FA434A" w:rsidR="00617B04" w:rsidRPr="003E76E7" w:rsidRDefault="00617B04" w:rsidP="00C4292D">
            <w:pPr>
              <w:spacing w:before="0" w:after="0"/>
              <w:jc w:val="right"/>
              <w:rPr>
                <w:rFonts w:ascii="Arial" w:hAnsi="Arial"/>
                <w:sz w:val="16"/>
                <w:szCs w:val="16"/>
                <w:lang w:val="en-AU"/>
              </w:rPr>
            </w:pPr>
            <w:r w:rsidRPr="003E76E7">
              <w:rPr>
                <w:rFonts w:ascii="Arial" w:hAnsi="Arial"/>
                <w:sz w:val="16"/>
                <w:szCs w:val="16"/>
                <w:lang w:val="en-AU"/>
              </w:rPr>
              <w:t>335,699</w:t>
            </w:r>
          </w:p>
        </w:tc>
        <w:tc>
          <w:tcPr>
            <w:tcW w:w="1139" w:type="dxa"/>
            <w:tcBorders>
              <w:top w:val="nil"/>
              <w:left w:val="nil"/>
              <w:bottom w:val="nil"/>
              <w:right w:val="nil"/>
            </w:tcBorders>
            <w:shd w:val="clear" w:color="auto" w:fill="auto"/>
            <w:vAlign w:val="center"/>
          </w:tcPr>
          <w:p w14:paraId="412BA69C" w14:textId="52F4240E" w:rsidR="00617B04" w:rsidRPr="003E76E7" w:rsidRDefault="00617B04" w:rsidP="00C4292D">
            <w:pPr>
              <w:spacing w:before="0" w:after="0"/>
              <w:jc w:val="right"/>
              <w:rPr>
                <w:rFonts w:ascii="Arial" w:hAnsi="Arial"/>
                <w:sz w:val="16"/>
                <w:szCs w:val="16"/>
                <w:lang w:val="en-AU"/>
              </w:rPr>
            </w:pPr>
            <w:r w:rsidRPr="003E76E7">
              <w:rPr>
                <w:rFonts w:ascii="Arial" w:hAnsi="Arial"/>
                <w:sz w:val="16"/>
                <w:szCs w:val="16"/>
                <w:lang w:val="en-AU"/>
              </w:rPr>
              <w:t>285,433</w:t>
            </w:r>
          </w:p>
        </w:tc>
        <w:tc>
          <w:tcPr>
            <w:tcW w:w="1109" w:type="dxa"/>
            <w:tcBorders>
              <w:top w:val="nil"/>
              <w:left w:val="nil"/>
              <w:bottom w:val="nil"/>
              <w:right w:val="nil"/>
            </w:tcBorders>
            <w:shd w:val="clear" w:color="auto" w:fill="auto"/>
            <w:vAlign w:val="center"/>
          </w:tcPr>
          <w:p w14:paraId="42A38391" w14:textId="7B18136F" w:rsidR="00617B04" w:rsidRPr="003E76E7" w:rsidRDefault="00617B04" w:rsidP="00C4292D">
            <w:pPr>
              <w:spacing w:before="0" w:after="0"/>
              <w:jc w:val="right"/>
              <w:rPr>
                <w:rFonts w:ascii="Arial" w:hAnsi="Arial"/>
                <w:sz w:val="16"/>
                <w:szCs w:val="16"/>
                <w:lang w:val="en-AU"/>
              </w:rPr>
            </w:pPr>
            <w:r w:rsidRPr="003E76E7">
              <w:rPr>
                <w:rFonts w:ascii="Arial" w:hAnsi="Arial"/>
                <w:sz w:val="16"/>
                <w:szCs w:val="16"/>
                <w:lang w:val="en-AU"/>
              </w:rPr>
              <w:t>312,283</w:t>
            </w:r>
          </w:p>
        </w:tc>
      </w:tr>
      <w:tr w:rsidR="00617B04" w:rsidRPr="003E76E7" w14:paraId="216B42D9" w14:textId="77777777" w:rsidTr="00CE4C37">
        <w:trPr>
          <w:trHeight w:val="288"/>
        </w:trPr>
        <w:tc>
          <w:tcPr>
            <w:tcW w:w="5090" w:type="dxa"/>
            <w:tcBorders>
              <w:top w:val="nil"/>
              <w:left w:val="nil"/>
              <w:bottom w:val="nil"/>
              <w:right w:val="nil"/>
            </w:tcBorders>
            <w:shd w:val="clear" w:color="auto" w:fill="auto"/>
            <w:vAlign w:val="center"/>
            <w:hideMark/>
          </w:tcPr>
          <w:p w14:paraId="5E9925F2" w14:textId="77777777" w:rsidR="00617B04" w:rsidRPr="003E76E7" w:rsidRDefault="00617B04" w:rsidP="00C4292D">
            <w:pPr>
              <w:spacing w:before="0" w:after="0"/>
              <w:rPr>
                <w:rFonts w:ascii="Arial" w:hAnsi="Arial"/>
                <w:sz w:val="16"/>
                <w:szCs w:val="16"/>
                <w:lang w:val="en-AU"/>
              </w:rPr>
            </w:pPr>
            <w:r w:rsidRPr="003E76E7">
              <w:rPr>
                <w:rFonts w:ascii="Arial" w:hAnsi="Arial"/>
                <w:sz w:val="16"/>
                <w:szCs w:val="16"/>
                <w:lang w:val="en-AU"/>
              </w:rPr>
              <w:t>Southeast Asia</w:t>
            </w:r>
          </w:p>
        </w:tc>
        <w:tc>
          <w:tcPr>
            <w:tcW w:w="1250" w:type="dxa"/>
            <w:tcBorders>
              <w:top w:val="nil"/>
              <w:left w:val="nil"/>
              <w:bottom w:val="nil"/>
              <w:right w:val="nil"/>
            </w:tcBorders>
            <w:shd w:val="clear" w:color="auto" w:fill="auto"/>
            <w:vAlign w:val="center"/>
          </w:tcPr>
          <w:p w14:paraId="345190C7" w14:textId="65AE8E2C" w:rsidR="00617B04" w:rsidRPr="003E76E7" w:rsidRDefault="00617B04" w:rsidP="00C4292D">
            <w:pPr>
              <w:spacing w:before="0" w:after="0"/>
              <w:jc w:val="right"/>
              <w:rPr>
                <w:rFonts w:ascii="Arial" w:hAnsi="Arial"/>
                <w:sz w:val="16"/>
                <w:szCs w:val="16"/>
                <w:lang w:val="en-AU"/>
              </w:rPr>
            </w:pPr>
            <w:r w:rsidRPr="003E76E7">
              <w:rPr>
                <w:rFonts w:ascii="Arial" w:hAnsi="Arial"/>
                <w:sz w:val="16"/>
                <w:szCs w:val="16"/>
                <w:lang w:val="en-AU"/>
              </w:rPr>
              <w:t>36,887</w:t>
            </w:r>
          </w:p>
        </w:tc>
        <w:tc>
          <w:tcPr>
            <w:tcW w:w="1139" w:type="dxa"/>
            <w:tcBorders>
              <w:top w:val="nil"/>
              <w:left w:val="nil"/>
              <w:bottom w:val="nil"/>
              <w:right w:val="nil"/>
            </w:tcBorders>
            <w:shd w:val="clear" w:color="auto" w:fill="auto"/>
            <w:vAlign w:val="center"/>
          </w:tcPr>
          <w:p w14:paraId="382BF04B" w14:textId="749109C5" w:rsidR="00617B04" w:rsidRPr="003E76E7" w:rsidRDefault="00617B04" w:rsidP="00C4292D">
            <w:pPr>
              <w:spacing w:before="0" w:after="0"/>
              <w:jc w:val="right"/>
              <w:rPr>
                <w:rFonts w:ascii="Arial" w:hAnsi="Arial"/>
                <w:sz w:val="16"/>
                <w:szCs w:val="16"/>
                <w:lang w:val="en-AU"/>
              </w:rPr>
            </w:pPr>
            <w:r w:rsidRPr="003E76E7">
              <w:rPr>
                <w:rFonts w:ascii="Arial" w:hAnsi="Arial"/>
                <w:sz w:val="16"/>
                <w:szCs w:val="16"/>
                <w:lang w:val="en-AU"/>
              </w:rPr>
              <w:t>28,868</w:t>
            </w:r>
          </w:p>
        </w:tc>
        <w:tc>
          <w:tcPr>
            <w:tcW w:w="1109" w:type="dxa"/>
            <w:tcBorders>
              <w:top w:val="nil"/>
              <w:left w:val="nil"/>
              <w:bottom w:val="nil"/>
              <w:right w:val="nil"/>
            </w:tcBorders>
            <w:shd w:val="clear" w:color="auto" w:fill="auto"/>
            <w:vAlign w:val="center"/>
          </w:tcPr>
          <w:p w14:paraId="08AE4A76" w14:textId="7B30B7F5" w:rsidR="00617B04" w:rsidRPr="003E76E7" w:rsidRDefault="00617B04" w:rsidP="00C4292D">
            <w:pPr>
              <w:spacing w:before="0" w:after="0"/>
              <w:jc w:val="right"/>
              <w:rPr>
                <w:rFonts w:ascii="Arial" w:hAnsi="Arial"/>
                <w:sz w:val="16"/>
                <w:szCs w:val="16"/>
                <w:lang w:val="en-AU"/>
              </w:rPr>
            </w:pPr>
            <w:r w:rsidRPr="003E76E7">
              <w:rPr>
                <w:rFonts w:ascii="Arial" w:hAnsi="Arial"/>
                <w:sz w:val="16"/>
                <w:szCs w:val="16"/>
                <w:lang w:val="en-AU"/>
              </w:rPr>
              <w:t>31,150</w:t>
            </w:r>
          </w:p>
        </w:tc>
      </w:tr>
      <w:tr w:rsidR="00617B04" w:rsidRPr="003E76E7" w14:paraId="37ADA06C" w14:textId="77777777" w:rsidTr="00CE4C37">
        <w:trPr>
          <w:trHeight w:val="288"/>
        </w:trPr>
        <w:tc>
          <w:tcPr>
            <w:tcW w:w="5090" w:type="dxa"/>
            <w:tcBorders>
              <w:top w:val="nil"/>
              <w:left w:val="nil"/>
              <w:bottom w:val="nil"/>
              <w:right w:val="nil"/>
            </w:tcBorders>
            <w:shd w:val="clear" w:color="auto" w:fill="auto"/>
            <w:vAlign w:val="center"/>
            <w:hideMark/>
          </w:tcPr>
          <w:p w14:paraId="2AF0383B" w14:textId="77777777" w:rsidR="00617B04" w:rsidRPr="003E76E7" w:rsidRDefault="00617B04" w:rsidP="00C4292D">
            <w:pPr>
              <w:spacing w:before="0" w:after="0"/>
              <w:rPr>
                <w:rFonts w:ascii="Arial" w:hAnsi="Arial"/>
                <w:sz w:val="16"/>
                <w:szCs w:val="16"/>
                <w:lang w:val="en-AU"/>
              </w:rPr>
            </w:pPr>
            <w:r w:rsidRPr="003E76E7">
              <w:rPr>
                <w:rFonts w:ascii="Arial" w:hAnsi="Arial"/>
                <w:sz w:val="16"/>
                <w:szCs w:val="16"/>
                <w:lang w:val="en-AU"/>
              </w:rPr>
              <w:t>Other regional activities</w:t>
            </w:r>
          </w:p>
        </w:tc>
        <w:tc>
          <w:tcPr>
            <w:tcW w:w="1250" w:type="dxa"/>
            <w:tcBorders>
              <w:top w:val="nil"/>
              <w:left w:val="nil"/>
              <w:bottom w:val="nil"/>
              <w:right w:val="nil"/>
            </w:tcBorders>
            <w:shd w:val="clear" w:color="auto" w:fill="auto"/>
            <w:vAlign w:val="center"/>
          </w:tcPr>
          <w:p w14:paraId="5CA9E827" w14:textId="170E39B4" w:rsidR="00617B04" w:rsidRPr="003E76E7" w:rsidRDefault="00617B04" w:rsidP="00C4292D">
            <w:pPr>
              <w:spacing w:before="0" w:after="0"/>
              <w:jc w:val="right"/>
              <w:rPr>
                <w:rFonts w:ascii="Arial" w:hAnsi="Arial"/>
                <w:sz w:val="16"/>
                <w:szCs w:val="16"/>
                <w:lang w:val="en-AU"/>
              </w:rPr>
            </w:pPr>
            <w:r w:rsidRPr="003E76E7">
              <w:rPr>
                <w:rFonts w:ascii="Arial" w:hAnsi="Arial"/>
                <w:sz w:val="16"/>
                <w:szCs w:val="16"/>
                <w:lang w:val="en-AU"/>
              </w:rPr>
              <w:t>28,668</w:t>
            </w:r>
          </w:p>
        </w:tc>
        <w:tc>
          <w:tcPr>
            <w:tcW w:w="1139" w:type="dxa"/>
            <w:tcBorders>
              <w:top w:val="nil"/>
              <w:left w:val="nil"/>
              <w:bottom w:val="nil"/>
              <w:right w:val="nil"/>
            </w:tcBorders>
            <w:shd w:val="clear" w:color="auto" w:fill="auto"/>
            <w:vAlign w:val="center"/>
          </w:tcPr>
          <w:p w14:paraId="7D3C0D43" w14:textId="17C86012" w:rsidR="00617B04" w:rsidRPr="003E76E7" w:rsidRDefault="00617B04" w:rsidP="00C4292D">
            <w:pPr>
              <w:spacing w:before="0" w:after="0"/>
              <w:jc w:val="right"/>
              <w:rPr>
                <w:rFonts w:ascii="Arial" w:hAnsi="Arial"/>
                <w:sz w:val="16"/>
                <w:szCs w:val="16"/>
                <w:lang w:val="en-AU"/>
              </w:rPr>
            </w:pPr>
            <w:r w:rsidRPr="003E76E7">
              <w:rPr>
                <w:rFonts w:ascii="Arial" w:hAnsi="Arial"/>
                <w:sz w:val="16"/>
                <w:szCs w:val="16"/>
                <w:lang w:val="en-AU"/>
              </w:rPr>
              <w:t>18,965</w:t>
            </w:r>
          </w:p>
        </w:tc>
        <w:tc>
          <w:tcPr>
            <w:tcW w:w="1109" w:type="dxa"/>
            <w:tcBorders>
              <w:top w:val="nil"/>
              <w:left w:val="nil"/>
              <w:bottom w:val="nil"/>
              <w:right w:val="nil"/>
            </w:tcBorders>
            <w:shd w:val="clear" w:color="auto" w:fill="auto"/>
            <w:vAlign w:val="center"/>
          </w:tcPr>
          <w:p w14:paraId="03D5AF2A" w14:textId="7D1A566C" w:rsidR="00617B04" w:rsidRPr="003E76E7" w:rsidRDefault="00617B04" w:rsidP="00C4292D">
            <w:pPr>
              <w:spacing w:before="0" w:after="0"/>
              <w:jc w:val="right"/>
              <w:rPr>
                <w:rFonts w:ascii="Arial" w:hAnsi="Arial"/>
                <w:sz w:val="16"/>
                <w:szCs w:val="16"/>
                <w:lang w:val="en-AU"/>
              </w:rPr>
            </w:pPr>
            <w:r w:rsidRPr="003E76E7">
              <w:rPr>
                <w:rFonts w:ascii="Arial" w:hAnsi="Arial"/>
                <w:sz w:val="16"/>
                <w:szCs w:val="16"/>
                <w:lang w:val="en-AU"/>
              </w:rPr>
              <w:t>22,993</w:t>
            </w:r>
          </w:p>
        </w:tc>
      </w:tr>
      <w:tr w:rsidR="00617B04" w:rsidRPr="003E76E7" w14:paraId="182529CB" w14:textId="77777777" w:rsidTr="00CE4C37">
        <w:trPr>
          <w:trHeight w:val="288"/>
        </w:trPr>
        <w:tc>
          <w:tcPr>
            <w:tcW w:w="5090" w:type="dxa"/>
            <w:tcBorders>
              <w:top w:val="nil"/>
              <w:left w:val="nil"/>
              <w:bottom w:val="nil"/>
              <w:right w:val="nil"/>
            </w:tcBorders>
            <w:shd w:val="clear" w:color="auto" w:fill="auto"/>
            <w:vAlign w:val="center"/>
            <w:hideMark/>
          </w:tcPr>
          <w:p w14:paraId="1AF011A0" w14:textId="77777777" w:rsidR="00617B04" w:rsidRPr="003E76E7" w:rsidRDefault="00617B04" w:rsidP="00C4292D">
            <w:pPr>
              <w:spacing w:before="0" w:after="0"/>
              <w:rPr>
                <w:rFonts w:ascii="Arial" w:hAnsi="Arial"/>
                <w:sz w:val="16"/>
                <w:szCs w:val="16"/>
                <w:lang w:val="en-AU"/>
              </w:rPr>
            </w:pPr>
            <w:r w:rsidRPr="003E76E7">
              <w:rPr>
                <w:rFonts w:ascii="Arial" w:hAnsi="Arial"/>
                <w:sz w:val="16"/>
                <w:szCs w:val="16"/>
                <w:lang w:val="en-AU"/>
              </w:rPr>
              <w:t>Defence International Training Centre</w:t>
            </w:r>
          </w:p>
        </w:tc>
        <w:tc>
          <w:tcPr>
            <w:tcW w:w="1250" w:type="dxa"/>
            <w:tcBorders>
              <w:top w:val="nil"/>
              <w:left w:val="nil"/>
              <w:bottom w:val="nil"/>
              <w:right w:val="nil"/>
            </w:tcBorders>
            <w:shd w:val="clear" w:color="auto" w:fill="auto"/>
            <w:vAlign w:val="center"/>
          </w:tcPr>
          <w:p w14:paraId="06E0D80F" w14:textId="76725CCD" w:rsidR="00617B04" w:rsidRPr="003E76E7" w:rsidRDefault="00617B04" w:rsidP="00C4292D">
            <w:pPr>
              <w:spacing w:before="0" w:after="0"/>
              <w:jc w:val="right"/>
              <w:rPr>
                <w:rFonts w:ascii="Arial" w:hAnsi="Arial"/>
                <w:sz w:val="16"/>
                <w:szCs w:val="16"/>
                <w:lang w:val="en-AU"/>
              </w:rPr>
            </w:pPr>
            <w:r w:rsidRPr="003E76E7">
              <w:rPr>
                <w:rFonts w:ascii="Arial" w:hAnsi="Arial"/>
                <w:sz w:val="16"/>
                <w:szCs w:val="16"/>
                <w:lang w:val="en-AU"/>
              </w:rPr>
              <w:t>662</w:t>
            </w:r>
          </w:p>
        </w:tc>
        <w:tc>
          <w:tcPr>
            <w:tcW w:w="1139" w:type="dxa"/>
            <w:tcBorders>
              <w:top w:val="nil"/>
              <w:left w:val="nil"/>
              <w:bottom w:val="nil"/>
              <w:right w:val="nil"/>
            </w:tcBorders>
            <w:shd w:val="clear" w:color="auto" w:fill="auto"/>
            <w:vAlign w:val="center"/>
          </w:tcPr>
          <w:p w14:paraId="7ACD5C03" w14:textId="1C5F1026" w:rsidR="00617B04" w:rsidRPr="003E76E7" w:rsidRDefault="00617B04" w:rsidP="00C4292D">
            <w:pPr>
              <w:spacing w:before="0" w:after="0"/>
              <w:jc w:val="right"/>
              <w:rPr>
                <w:rFonts w:ascii="Arial" w:hAnsi="Arial"/>
                <w:sz w:val="16"/>
                <w:szCs w:val="16"/>
                <w:lang w:val="en-AU"/>
              </w:rPr>
            </w:pPr>
            <w:r w:rsidRPr="003E76E7">
              <w:rPr>
                <w:rFonts w:ascii="Arial" w:hAnsi="Arial"/>
                <w:sz w:val="16"/>
                <w:szCs w:val="16"/>
                <w:lang w:val="en-AU"/>
              </w:rPr>
              <w:t>685</w:t>
            </w:r>
          </w:p>
        </w:tc>
        <w:tc>
          <w:tcPr>
            <w:tcW w:w="1109" w:type="dxa"/>
            <w:tcBorders>
              <w:top w:val="nil"/>
              <w:left w:val="nil"/>
              <w:bottom w:val="nil"/>
              <w:right w:val="nil"/>
            </w:tcBorders>
            <w:shd w:val="clear" w:color="auto" w:fill="auto"/>
            <w:vAlign w:val="center"/>
          </w:tcPr>
          <w:p w14:paraId="334FD182" w14:textId="05FB3609" w:rsidR="00617B04" w:rsidRPr="003E76E7" w:rsidRDefault="00617B04" w:rsidP="00C4292D">
            <w:pPr>
              <w:spacing w:before="0" w:after="0"/>
              <w:jc w:val="right"/>
              <w:rPr>
                <w:rFonts w:ascii="Arial" w:hAnsi="Arial"/>
                <w:sz w:val="16"/>
                <w:szCs w:val="16"/>
                <w:lang w:val="en-AU"/>
              </w:rPr>
            </w:pPr>
            <w:r w:rsidRPr="003E76E7">
              <w:rPr>
                <w:rFonts w:ascii="Arial" w:hAnsi="Arial"/>
                <w:sz w:val="16"/>
                <w:szCs w:val="16"/>
                <w:lang w:val="en-AU"/>
              </w:rPr>
              <w:t>550</w:t>
            </w:r>
          </w:p>
        </w:tc>
      </w:tr>
      <w:tr w:rsidR="00617B04" w:rsidRPr="003E76E7" w14:paraId="2B7FED22" w14:textId="77777777" w:rsidTr="00CE4C37">
        <w:trPr>
          <w:trHeight w:val="288"/>
        </w:trPr>
        <w:tc>
          <w:tcPr>
            <w:tcW w:w="5090" w:type="dxa"/>
            <w:tcBorders>
              <w:top w:val="single" w:sz="4" w:space="0" w:color="auto"/>
              <w:left w:val="nil"/>
              <w:bottom w:val="single" w:sz="4" w:space="0" w:color="auto"/>
              <w:right w:val="nil"/>
            </w:tcBorders>
            <w:shd w:val="clear" w:color="auto" w:fill="auto"/>
            <w:vAlign w:val="center"/>
            <w:hideMark/>
          </w:tcPr>
          <w:p w14:paraId="64C101BF" w14:textId="77777777" w:rsidR="00617B04" w:rsidRPr="003E76E7" w:rsidRDefault="00617B04" w:rsidP="00C4292D">
            <w:pPr>
              <w:spacing w:before="0" w:after="0"/>
              <w:rPr>
                <w:rFonts w:ascii="Arial" w:hAnsi="Arial"/>
                <w:b/>
                <w:bCs/>
                <w:sz w:val="16"/>
                <w:szCs w:val="16"/>
                <w:lang w:val="en-AU"/>
              </w:rPr>
            </w:pPr>
            <w:r w:rsidRPr="003E76E7">
              <w:rPr>
                <w:rFonts w:ascii="Arial" w:hAnsi="Arial"/>
                <w:b/>
                <w:bCs/>
                <w:sz w:val="16"/>
                <w:szCs w:val="16"/>
                <w:lang w:val="en-AU"/>
              </w:rPr>
              <w:t>Total</w:t>
            </w:r>
          </w:p>
        </w:tc>
        <w:tc>
          <w:tcPr>
            <w:tcW w:w="1250" w:type="dxa"/>
            <w:tcBorders>
              <w:top w:val="single" w:sz="4" w:space="0" w:color="auto"/>
              <w:left w:val="nil"/>
              <w:bottom w:val="single" w:sz="4" w:space="0" w:color="auto"/>
              <w:right w:val="nil"/>
            </w:tcBorders>
            <w:shd w:val="clear" w:color="auto" w:fill="auto"/>
            <w:vAlign w:val="center"/>
          </w:tcPr>
          <w:p w14:paraId="5B6CF4A5" w14:textId="11549B8A" w:rsidR="00617B04" w:rsidRPr="003E76E7" w:rsidRDefault="00617B04" w:rsidP="00C4292D">
            <w:pPr>
              <w:spacing w:before="0" w:after="0"/>
              <w:jc w:val="right"/>
              <w:rPr>
                <w:rFonts w:ascii="Arial" w:hAnsi="Arial"/>
                <w:b/>
                <w:sz w:val="16"/>
                <w:szCs w:val="16"/>
                <w:lang w:val="en-AU"/>
              </w:rPr>
            </w:pPr>
            <w:r w:rsidRPr="003E76E7">
              <w:rPr>
                <w:rFonts w:ascii="Arial" w:hAnsi="Arial"/>
                <w:b/>
                <w:sz w:val="16"/>
                <w:szCs w:val="16"/>
                <w:lang w:val="en-AU"/>
              </w:rPr>
              <w:t>401,916</w:t>
            </w:r>
          </w:p>
        </w:tc>
        <w:tc>
          <w:tcPr>
            <w:tcW w:w="1139" w:type="dxa"/>
            <w:tcBorders>
              <w:top w:val="single" w:sz="4" w:space="0" w:color="auto"/>
              <w:left w:val="nil"/>
              <w:bottom w:val="single" w:sz="4" w:space="0" w:color="auto"/>
              <w:right w:val="nil"/>
            </w:tcBorders>
            <w:shd w:val="clear" w:color="auto" w:fill="auto"/>
            <w:vAlign w:val="center"/>
          </w:tcPr>
          <w:p w14:paraId="7DF24C3B" w14:textId="75DFAD4F" w:rsidR="00617B04" w:rsidRPr="003E76E7" w:rsidRDefault="00617B04" w:rsidP="00C4292D">
            <w:pPr>
              <w:spacing w:before="0" w:after="0"/>
              <w:jc w:val="right"/>
              <w:rPr>
                <w:rFonts w:ascii="Arial" w:hAnsi="Arial"/>
                <w:b/>
                <w:sz w:val="16"/>
                <w:szCs w:val="16"/>
                <w:lang w:val="en-AU"/>
              </w:rPr>
            </w:pPr>
            <w:r w:rsidRPr="003E76E7">
              <w:rPr>
                <w:rFonts w:ascii="Arial" w:hAnsi="Arial"/>
                <w:b/>
                <w:sz w:val="16"/>
                <w:szCs w:val="16"/>
                <w:lang w:val="en-AU"/>
              </w:rPr>
              <w:t>333,951</w:t>
            </w:r>
          </w:p>
        </w:tc>
        <w:tc>
          <w:tcPr>
            <w:tcW w:w="1109" w:type="dxa"/>
            <w:tcBorders>
              <w:top w:val="single" w:sz="4" w:space="0" w:color="auto"/>
              <w:left w:val="nil"/>
              <w:bottom w:val="single" w:sz="4" w:space="0" w:color="auto"/>
              <w:right w:val="nil"/>
            </w:tcBorders>
            <w:shd w:val="clear" w:color="auto" w:fill="auto"/>
            <w:vAlign w:val="center"/>
          </w:tcPr>
          <w:p w14:paraId="53638205" w14:textId="2108A809" w:rsidR="00617B04" w:rsidRPr="003E76E7" w:rsidRDefault="00617B04" w:rsidP="00C4292D">
            <w:pPr>
              <w:spacing w:before="0" w:after="0"/>
              <w:jc w:val="right"/>
              <w:rPr>
                <w:rFonts w:ascii="Arial" w:hAnsi="Arial"/>
                <w:b/>
                <w:sz w:val="16"/>
                <w:szCs w:val="16"/>
                <w:lang w:val="en-AU"/>
              </w:rPr>
            </w:pPr>
            <w:r w:rsidRPr="003E76E7">
              <w:rPr>
                <w:rFonts w:ascii="Arial" w:hAnsi="Arial"/>
                <w:b/>
                <w:sz w:val="16"/>
                <w:szCs w:val="16"/>
                <w:lang w:val="en-AU"/>
              </w:rPr>
              <w:t>366,976</w:t>
            </w:r>
          </w:p>
        </w:tc>
      </w:tr>
    </w:tbl>
    <w:p w14:paraId="65B8F9BB" w14:textId="77777777" w:rsidR="00042A95" w:rsidRPr="003E76E7" w:rsidRDefault="00042A95" w:rsidP="00C4292D">
      <w:pPr>
        <w:tabs>
          <w:tab w:val="left" w:pos="4968"/>
          <w:tab w:val="left" w:pos="5932"/>
          <w:tab w:val="left" w:pos="7012"/>
        </w:tabs>
        <w:spacing w:before="0" w:after="0"/>
        <w:rPr>
          <w:rFonts w:ascii="Arial" w:hAnsi="Arial"/>
          <w:sz w:val="16"/>
          <w:szCs w:val="16"/>
          <w:lang w:val="en-AU"/>
        </w:rPr>
      </w:pPr>
    </w:p>
    <w:p w14:paraId="0451669C" w14:textId="53CD9BA6" w:rsidR="00042A95" w:rsidRPr="003E76E7" w:rsidRDefault="008A470F" w:rsidP="00C4292D">
      <w:pPr>
        <w:tabs>
          <w:tab w:val="left" w:pos="4968"/>
          <w:tab w:val="left" w:pos="5932"/>
          <w:tab w:val="left" w:pos="7012"/>
        </w:tabs>
        <w:spacing w:before="0" w:after="0"/>
        <w:rPr>
          <w:rFonts w:ascii="Arial" w:hAnsi="Arial"/>
          <w:b/>
          <w:bCs/>
          <w:sz w:val="14"/>
          <w:szCs w:val="14"/>
          <w:lang w:val="en-AU"/>
        </w:rPr>
      </w:pPr>
      <w:r w:rsidRPr="003E76E7">
        <w:rPr>
          <w:rFonts w:ascii="Arial" w:hAnsi="Arial"/>
          <w:b/>
          <w:bCs/>
          <w:sz w:val="14"/>
          <w:szCs w:val="14"/>
          <w:lang w:val="en-AU"/>
        </w:rPr>
        <w:t>Note</w:t>
      </w:r>
    </w:p>
    <w:p w14:paraId="2E2323BA" w14:textId="549A167D" w:rsidR="00E65A0A" w:rsidRPr="003E76E7" w:rsidRDefault="00113820" w:rsidP="00C4292D">
      <w:pPr>
        <w:pStyle w:val="ListParagraph"/>
        <w:numPr>
          <w:ilvl w:val="1"/>
          <w:numId w:val="46"/>
        </w:numPr>
        <w:spacing w:before="0"/>
        <w:ind w:left="284" w:hanging="284"/>
        <w:rPr>
          <w:rFonts w:ascii="Arial" w:hAnsi="Arial"/>
          <w:sz w:val="14"/>
          <w:szCs w:val="14"/>
          <w:lang w:val="en-AU"/>
        </w:rPr>
        <w:sectPr w:rsidR="00E65A0A" w:rsidRPr="003E76E7" w:rsidSect="00C30BE6">
          <w:pgSz w:w="11907" w:h="16840" w:code="9"/>
          <w:pgMar w:top="1701" w:right="1361" w:bottom="1701" w:left="1928" w:header="720" w:footer="720" w:gutter="0"/>
          <w:cols w:space="720"/>
          <w:noEndnote/>
        </w:sectPr>
      </w:pPr>
      <w:bookmarkStart w:id="1253" w:name="_Toc476581158"/>
      <w:bookmarkStart w:id="1254" w:name="_Toc507595430"/>
      <w:bookmarkStart w:id="1255" w:name="_Toc536089237"/>
      <w:bookmarkStart w:id="1256" w:name="_Toc536089497"/>
      <w:r w:rsidRPr="003E76E7">
        <w:rPr>
          <w:rFonts w:ascii="Arial" w:hAnsi="Arial"/>
          <w:sz w:val="14"/>
          <w:szCs w:val="14"/>
          <w:lang w:val="en-AU"/>
        </w:rPr>
        <w:t>Defence Cooperation Program funding does not include support provided through the Capability Acquisition Program.</w:t>
      </w:r>
    </w:p>
    <w:p w14:paraId="06FCAD91" w14:textId="77777777" w:rsidR="00B2321B" w:rsidRPr="003E76E7" w:rsidRDefault="00B2321B" w:rsidP="00C4292D">
      <w:pPr>
        <w:pStyle w:val="Heading4"/>
        <w:rPr>
          <w:sz w:val="26"/>
          <w:szCs w:val="26"/>
          <w:lang w:val="en-AU"/>
        </w:rPr>
      </w:pPr>
      <w:bookmarkStart w:id="1257" w:name="_Toc1561688"/>
      <w:bookmarkStart w:id="1258" w:name="_Toc51691685"/>
      <w:bookmarkStart w:id="1259" w:name="_Toc69917848"/>
      <w:bookmarkStart w:id="1260" w:name="_Toc97747837"/>
      <w:bookmarkStart w:id="1261" w:name="_Toc108088948"/>
      <w:bookmarkStart w:id="1262" w:name="_Toc109227744"/>
      <w:bookmarkStart w:id="1263" w:name="_Toc159499692"/>
      <w:bookmarkStart w:id="1264" w:name="_Toc159859109"/>
      <w:bookmarkStart w:id="1265" w:name="_Toc222129932"/>
      <w:bookmarkStart w:id="1266" w:name="_Toc222134847"/>
      <w:bookmarkStart w:id="1267" w:name="_Toc222148362"/>
      <w:bookmarkStart w:id="1268" w:name="_Toc229072454"/>
      <w:bookmarkStart w:id="1269" w:name="_Toc229072626"/>
      <w:bookmarkStart w:id="1270" w:name="_Toc476581162"/>
      <w:bookmarkStart w:id="1271" w:name="_Toc507595431"/>
      <w:bookmarkStart w:id="1272" w:name="_Toc536089238"/>
      <w:bookmarkStart w:id="1273" w:name="_Toc536089498"/>
      <w:bookmarkStart w:id="1274" w:name="_Toc1561689"/>
      <w:bookmarkStart w:id="1275" w:name="_Toc51691686"/>
      <w:bookmarkStart w:id="1276" w:name="_Toc69917849"/>
      <w:bookmarkStart w:id="1277" w:name="_Toc97747838"/>
      <w:bookmarkStart w:id="1278" w:name="_Toc108088949"/>
      <w:bookmarkStart w:id="1279" w:name="_Toc109227745"/>
      <w:bookmarkStart w:id="1280" w:name="_Toc159499693"/>
      <w:bookmarkStart w:id="1281" w:name="_Toc159859110"/>
      <w:bookmarkEnd w:id="1253"/>
      <w:bookmarkEnd w:id="1254"/>
      <w:bookmarkEnd w:id="1255"/>
      <w:bookmarkEnd w:id="1256"/>
      <w:r w:rsidRPr="003E76E7">
        <w:rPr>
          <w:sz w:val="26"/>
          <w:szCs w:val="26"/>
          <w:lang w:val="en-AU"/>
        </w:rPr>
        <w:lastRenderedPageBreak/>
        <w:t>Appendix B: Top 30 Military Equipment Acquisition Program Approved Projects</w:t>
      </w:r>
      <w:bookmarkEnd w:id="1257"/>
      <w:bookmarkEnd w:id="1258"/>
      <w:bookmarkEnd w:id="1259"/>
      <w:bookmarkEnd w:id="1260"/>
      <w:bookmarkEnd w:id="1261"/>
      <w:bookmarkEnd w:id="1262"/>
      <w:bookmarkEnd w:id="1263"/>
      <w:bookmarkEnd w:id="1264"/>
      <w:bookmarkEnd w:id="1265"/>
      <w:bookmarkEnd w:id="1266"/>
      <w:bookmarkEnd w:id="1267"/>
      <w:bookmarkEnd w:id="1268"/>
      <w:bookmarkEnd w:id="1269"/>
    </w:p>
    <w:p w14:paraId="269B504B" w14:textId="77777777" w:rsidR="00B2321B" w:rsidRPr="003E76E7" w:rsidRDefault="00B2321B" w:rsidP="00C4292D">
      <w:r w:rsidRPr="003E76E7">
        <w:t>The Top 30 Military Equipment Acquisition Program Approved Projects table includes other elements of acquisition that contribute to an overall capability (excluding workforce). Projects are grouped in the revised domain structure introduced through Defence’s Capability Program Architecture.</w:t>
      </w:r>
    </w:p>
    <w:p w14:paraId="2F642510" w14:textId="77777777" w:rsidR="00B2321B" w:rsidRPr="003E76E7" w:rsidRDefault="00B2321B" w:rsidP="00C4292D">
      <w:r w:rsidRPr="003E76E7">
        <w:t>The Military Equipment Acquisition line in the table corresponds to the historical presentation for this table, which would principally include the project elements relating to the acquisition of major systems, such as aircraft, ships or vehicles. Where projects involve other elements that are not part of the major capability system, these have been included within the Other Project Inputs to Capability line. This could include facilities, information communications technology, and research and development.</w:t>
      </w:r>
    </w:p>
    <w:p w14:paraId="4ECFB352" w14:textId="4B2E30EE" w:rsidR="004F3D65" w:rsidRPr="003E76E7" w:rsidRDefault="00B2321B" w:rsidP="00C4292D">
      <w:pPr>
        <w:pStyle w:val="TableHeading"/>
        <w:numPr>
          <w:ilvl w:val="0"/>
          <w:numId w:val="61"/>
        </w:numPr>
        <w:spacing w:before="100"/>
        <w:ind w:left="0" w:firstLine="0"/>
        <w:outlineLvl w:val="4"/>
      </w:pPr>
      <w:r w:rsidRPr="003E76E7">
        <w:t xml:space="preserve">Top 30 Military Equipment Acquisition Program Approved Projects by 2026-27 Forecast Expenditure (Gross Plan) </w:t>
      </w:r>
      <w:r w:rsidRPr="003E76E7">
        <w:rPr>
          <w:vertAlign w:val="superscript"/>
        </w:rPr>
        <w:t>[a] [b] [c]</w:t>
      </w:r>
    </w:p>
    <w:tbl>
      <w:tblPr>
        <w:tblW w:w="5000" w:type="pct"/>
        <w:tblLayout w:type="fixed"/>
        <w:tblLook w:val="04A0" w:firstRow="1" w:lastRow="0" w:firstColumn="1" w:lastColumn="0" w:noHBand="0" w:noVBand="1"/>
      </w:tblPr>
      <w:tblGrid>
        <w:gridCol w:w="1769"/>
        <w:gridCol w:w="1096"/>
        <w:gridCol w:w="1503"/>
        <w:gridCol w:w="1186"/>
        <w:gridCol w:w="1187"/>
        <w:gridCol w:w="1187"/>
        <w:gridCol w:w="5500"/>
      </w:tblGrid>
      <w:tr w:rsidR="004F3D65" w:rsidRPr="003E76E7" w14:paraId="3ECD458A" w14:textId="77777777" w:rsidTr="001E227C">
        <w:trPr>
          <w:trHeight w:val="853"/>
          <w:tblHeader/>
        </w:trPr>
        <w:tc>
          <w:tcPr>
            <w:tcW w:w="1769"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111F42AF" w14:textId="77777777" w:rsidR="004F3D65" w:rsidRPr="003E76E7" w:rsidRDefault="004F3D65" w:rsidP="00C4292D">
            <w:pPr>
              <w:spacing w:after="0"/>
              <w:rPr>
                <w:rFonts w:ascii="Arial" w:hAnsi="Arial"/>
                <w:b/>
                <w:bCs/>
                <w:sz w:val="16"/>
                <w:szCs w:val="16"/>
              </w:rPr>
            </w:pPr>
            <w:r w:rsidRPr="003E76E7">
              <w:rPr>
                <w:rFonts w:ascii="Arial" w:hAnsi="Arial"/>
                <w:b/>
                <w:bCs/>
                <w:sz w:val="16"/>
                <w:szCs w:val="16"/>
              </w:rPr>
              <w:t>Domain/Project Name</w:t>
            </w:r>
          </w:p>
        </w:tc>
        <w:tc>
          <w:tcPr>
            <w:tcW w:w="1096" w:type="dxa"/>
            <w:tcBorders>
              <w:top w:val="single" w:sz="4" w:space="0" w:color="auto"/>
              <w:left w:val="nil"/>
              <w:bottom w:val="single" w:sz="4" w:space="0" w:color="auto"/>
              <w:right w:val="single" w:sz="4" w:space="0" w:color="auto"/>
            </w:tcBorders>
            <w:shd w:val="clear" w:color="000000" w:fill="auto"/>
            <w:vAlign w:val="center"/>
            <w:hideMark/>
          </w:tcPr>
          <w:p w14:paraId="774DEAA5" w14:textId="77777777" w:rsidR="004F3D65" w:rsidRPr="003E76E7" w:rsidRDefault="004F3D65" w:rsidP="00C4292D">
            <w:pPr>
              <w:spacing w:after="0"/>
              <w:jc w:val="center"/>
              <w:rPr>
                <w:rFonts w:ascii="Arial" w:hAnsi="Arial"/>
                <w:b/>
                <w:bCs/>
                <w:sz w:val="16"/>
                <w:szCs w:val="16"/>
              </w:rPr>
            </w:pPr>
            <w:r w:rsidRPr="003E76E7">
              <w:rPr>
                <w:rFonts w:ascii="Arial" w:hAnsi="Arial"/>
                <w:b/>
                <w:bCs/>
                <w:sz w:val="16"/>
                <w:szCs w:val="16"/>
              </w:rPr>
              <w:t>Project Number/</w:t>
            </w:r>
            <w:r w:rsidRPr="003E76E7">
              <w:rPr>
                <w:rFonts w:ascii="Arial" w:hAnsi="Arial"/>
                <w:b/>
                <w:bCs/>
                <w:sz w:val="16"/>
                <w:szCs w:val="16"/>
              </w:rPr>
              <w:br/>
              <w:t>Phase</w:t>
            </w:r>
          </w:p>
        </w:tc>
        <w:tc>
          <w:tcPr>
            <w:tcW w:w="1503" w:type="dxa"/>
            <w:tcBorders>
              <w:top w:val="single" w:sz="4" w:space="0" w:color="auto"/>
              <w:left w:val="nil"/>
              <w:bottom w:val="single" w:sz="4" w:space="0" w:color="auto"/>
              <w:right w:val="single" w:sz="4" w:space="0" w:color="auto"/>
            </w:tcBorders>
            <w:shd w:val="clear" w:color="000000" w:fill="auto"/>
            <w:vAlign w:val="center"/>
            <w:hideMark/>
          </w:tcPr>
          <w:p w14:paraId="032FA931" w14:textId="77777777" w:rsidR="004F3D65" w:rsidRPr="003E76E7" w:rsidRDefault="004F3D65" w:rsidP="00C4292D">
            <w:pPr>
              <w:spacing w:after="0"/>
              <w:rPr>
                <w:rFonts w:ascii="Arial" w:hAnsi="Arial"/>
                <w:b/>
                <w:bCs/>
                <w:sz w:val="16"/>
                <w:szCs w:val="16"/>
              </w:rPr>
            </w:pPr>
            <w:r w:rsidRPr="003E76E7">
              <w:rPr>
                <w:rFonts w:ascii="Arial" w:hAnsi="Arial"/>
                <w:b/>
                <w:bCs/>
                <w:sz w:val="16"/>
                <w:szCs w:val="16"/>
              </w:rPr>
              <w:t>Project Inputs to Capability</w:t>
            </w:r>
          </w:p>
        </w:tc>
        <w:tc>
          <w:tcPr>
            <w:tcW w:w="1186" w:type="dxa"/>
            <w:tcBorders>
              <w:top w:val="single" w:sz="4" w:space="0" w:color="auto"/>
              <w:left w:val="nil"/>
              <w:bottom w:val="single" w:sz="4" w:space="0" w:color="auto"/>
              <w:right w:val="single" w:sz="4" w:space="0" w:color="auto"/>
            </w:tcBorders>
            <w:shd w:val="clear" w:color="000000" w:fill="auto"/>
            <w:vAlign w:val="bottom"/>
            <w:hideMark/>
          </w:tcPr>
          <w:p w14:paraId="3140B055" w14:textId="1C62CA37" w:rsidR="004F3D65" w:rsidRPr="003E76E7" w:rsidRDefault="001E227C" w:rsidP="001E227C">
            <w:pPr>
              <w:spacing w:before="0" w:after="0"/>
              <w:jc w:val="right"/>
              <w:rPr>
                <w:rFonts w:ascii="Arial" w:hAnsi="Arial"/>
                <w:b/>
                <w:bCs/>
                <w:sz w:val="16"/>
                <w:szCs w:val="16"/>
              </w:rPr>
            </w:pPr>
            <w:r>
              <w:rPr>
                <w:rFonts w:ascii="Arial" w:hAnsi="Arial"/>
                <w:b/>
                <w:bCs/>
                <w:sz w:val="16"/>
                <w:szCs w:val="16"/>
              </w:rPr>
              <w:t>Approved Project Expenditure</w:t>
            </w:r>
          </w:p>
          <w:p w14:paraId="19B977CF" w14:textId="77777777" w:rsidR="004F3D65" w:rsidRPr="003E76E7" w:rsidRDefault="004F3D65" w:rsidP="001E227C">
            <w:pPr>
              <w:spacing w:after="0"/>
              <w:jc w:val="right"/>
              <w:rPr>
                <w:rFonts w:ascii="Arial" w:hAnsi="Arial"/>
                <w:b/>
                <w:bCs/>
                <w:sz w:val="16"/>
                <w:szCs w:val="16"/>
              </w:rPr>
            </w:pPr>
            <w:r w:rsidRPr="003E76E7">
              <w:rPr>
                <w:rFonts w:ascii="Arial" w:hAnsi="Arial"/>
                <w:b/>
                <w:bCs/>
                <w:sz w:val="16"/>
                <w:szCs w:val="16"/>
              </w:rPr>
              <w:t xml:space="preserve"> $m</w:t>
            </w:r>
          </w:p>
        </w:tc>
        <w:tc>
          <w:tcPr>
            <w:tcW w:w="1187" w:type="dxa"/>
            <w:tcBorders>
              <w:top w:val="single" w:sz="4" w:space="0" w:color="auto"/>
              <w:left w:val="nil"/>
              <w:bottom w:val="single" w:sz="4" w:space="0" w:color="auto"/>
              <w:right w:val="single" w:sz="4" w:space="0" w:color="auto"/>
            </w:tcBorders>
            <w:shd w:val="clear" w:color="000000" w:fill="auto"/>
            <w:vAlign w:val="bottom"/>
            <w:hideMark/>
          </w:tcPr>
          <w:p w14:paraId="7B360C40" w14:textId="77777777" w:rsidR="004F3D65" w:rsidRPr="003E76E7" w:rsidRDefault="004F3D65" w:rsidP="001E227C">
            <w:pPr>
              <w:spacing w:before="0" w:after="0"/>
              <w:jc w:val="right"/>
              <w:rPr>
                <w:rFonts w:ascii="Arial" w:hAnsi="Arial"/>
                <w:b/>
                <w:bCs/>
                <w:sz w:val="16"/>
                <w:szCs w:val="16"/>
              </w:rPr>
            </w:pPr>
            <w:r w:rsidRPr="003E76E7">
              <w:rPr>
                <w:rFonts w:ascii="Arial" w:hAnsi="Arial"/>
                <w:b/>
                <w:bCs/>
                <w:sz w:val="16"/>
                <w:szCs w:val="16"/>
              </w:rPr>
              <w:t>Estimated Cumulative Expenditure to 30 June 2026</w:t>
            </w:r>
          </w:p>
          <w:p w14:paraId="6380DB19" w14:textId="77777777" w:rsidR="004F3D65" w:rsidRPr="003E76E7" w:rsidRDefault="004F3D65" w:rsidP="001E227C">
            <w:pPr>
              <w:spacing w:before="0" w:after="0"/>
              <w:jc w:val="right"/>
              <w:rPr>
                <w:rFonts w:ascii="Arial" w:hAnsi="Arial"/>
                <w:b/>
                <w:bCs/>
                <w:sz w:val="16"/>
                <w:szCs w:val="16"/>
              </w:rPr>
            </w:pPr>
            <w:r w:rsidRPr="003E76E7">
              <w:rPr>
                <w:rFonts w:ascii="Arial" w:hAnsi="Arial"/>
                <w:b/>
                <w:bCs/>
                <w:sz w:val="16"/>
                <w:szCs w:val="16"/>
              </w:rPr>
              <w:t xml:space="preserve"> $m</w:t>
            </w:r>
          </w:p>
        </w:tc>
        <w:tc>
          <w:tcPr>
            <w:tcW w:w="1187" w:type="dxa"/>
            <w:tcBorders>
              <w:top w:val="single" w:sz="4" w:space="0" w:color="auto"/>
              <w:left w:val="nil"/>
              <w:bottom w:val="single" w:sz="4" w:space="0" w:color="auto"/>
              <w:right w:val="single" w:sz="4" w:space="0" w:color="auto"/>
            </w:tcBorders>
            <w:shd w:val="clear" w:color="000000" w:fill="auto"/>
            <w:vAlign w:val="bottom"/>
            <w:hideMark/>
          </w:tcPr>
          <w:p w14:paraId="11FDA83B" w14:textId="48BB4BF4" w:rsidR="004F3D65" w:rsidRPr="003E76E7" w:rsidRDefault="001E227C" w:rsidP="001E227C">
            <w:pPr>
              <w:spacing w:before="0" w:after="0"/>
              <w:jc w:val="right"/>
              <w:rPr>
                <w:rFonts w:ascii="Arial" w:hAnsi="Arial"/>
                <w:b/>
                <w:bCs/>
                <w:sz w:val="16"/>
                <w:szCs w:val="16"/>
              </w:rPr>
            </w:pPr>
            <w:r>
              <w:rPr>
                <w:rFonts w:ascii="Arial" w:hAnsi="Arial"/>
                <w:b/>
                <w:bCs/>
                <w:sz w:val="16"/>
                <w:szCs w:val="16"/>
              </w:rPr>
              <w:t xml:space="preserve">Budget Estimate 2026-27 </w:t>
            </w:r>
          </w:p>
          <w:p w14:paraId="4B2B9EBF" w14:textId="77777777" w:rsidR="004F3D65" w:rsidRPr="003E76E7" w:rsidRDefault="004F3D65" w:rsidP="001E227C">
            <w:pPr>
              <w:spacing w:after="0"/>
              <w:jc w:val="right"/>
              <w:rPr>
                <w:rFonts w:ascii="Arial" w:hAnsi="Arial"/>
                <w:b/>
                <w:bCs/>
                <w:sz w:val="16"/>
                <w:szCs w:val="16"/>
              </w:rPr>
            </w:pPr>
            <w:r w:rsidRPr="003E76E7">
              <w:rPr>
                <w:rFonts w:ascii="Arial" w:hAnsi="Arial"/>
                <w:b/>
                <w:bCs/>
                <w:sz w:val="16"/>
                <w:szCs w:val="16"/>
              </w:rPr>
              <w:t>$m</w:t>
            </w:r>
          </w:p>
        </w:tc>
        <w:tc>
          <w:tcPr>
            <w:tcW w:w="5500" w:type="dxa"/>
            <w:tcBorders>
              <w:top w:val="single" w:sz="4" w:space="0" w:color="auto"/>
              <w:left w:val="nil"/>
              <w:bottom w:val="single" w:sz="4" w:space="0" w:color="auto"/>
              <w:right w:val="single" w:sz="4" w:space="0" w:color="auto"/>
            </w:tcBorders>
            <w:shd w:val="clear" w:color="000000" w:fill="auto"/>
            <w:vAlign w:val="center"/>
            <w:hideMark/>
          </w:tcPr>
          <w:p w14:paraId="6375F1E2" w14:textId="77777777" w:rsidR="004F3D65" w:rsidRPr="003E76E7" w:rsidRDefault="004F3D65" w:rsidP="00C4292D">
            <w:pPr>
              <w:spacing w:after="0"/>
              <w:jc w:val="center"/>
              <w:rPr>
                <w:rFonts w:ascii="Arial" w:hAnsi="Arial"/>
                <w:b/>
                <w:bCs/>
                <w:sz w:val="16"/>
                <w:szCs w:val="16"/>
              </w:rPr>
            </w:pPr>
            <w:r w:rsidRPr="003E76E7">
              <w:rPr>
                <w:rFonts w:ascii="Arial" w:hAnsi="Arial"/>
                <w:b/>
                <w:bCs/>
                <w:sz w:val="16"/>
                <w:szCs w:val="16"/>
              </w:rPr>
              <w:t>Top 30 Military Equipment Acquisition Project Descriptions</w:t>
            </w:r>
          </w:p>
        </w:tc>
      </w:tr>
      <w:tr w:rsidR="004F3D65" w:rsidRPr="003E76E7" w14:paraId="47E7EA39" w14:textId="77777777" w:rsidTr="001E227C">
        <w:trPr>
          <w:trHeight w:hRule="exact" w:val="301"/>
        </w:trPr>
        <w:tc>
          <w:tcPr>
            <w:tcW w:w="13428" w:type="dxa"/>
            <w:gridSpan w:val="7"/>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63F1A230" w14:textId="77777777" w:rsidR="004F3D65" w:rsidRPr="003E76E7" w:rsidRDefault="004F3D65" w:rsidP="00C4292D">
            <w:pPr>
              <w:spacing w:before="0" w:after="0"/>
              <w:rPr>
                <w:rFonts w:ascii="Arial" w:hAnsi="Arial"/>
                <w:sz w:val="16"/>
                <w:szCs w:val="16"/>
              </w:rPr>
            </w:pPr>
            <w:r w:rsidRPr="003E76E7">
              <w:rPr>
                <w:rFonts w:ascii="Arial" w:hAnsi="Arial"/>
                <w:b/>
                <w:bCs/>
                <w:sz w:val="16"/>
                <w:szCs w:val="16"/>
              </w:rPr>
              <w:t>Air Domain</w:t>
            </w:r>
          </w:p>
        </w:tc>
      </w:tr>
      <w:tr w:rsidR="004F3D65" w:rsidRPr="003E76E7" w14:paraId="577327B8" w14:textId="77777777" w:rsidTr="001E227C">
        <w:trPr>
          <w:trHeight w:hRule="exact" w:val="881"/>
        </w:trPr>
        <w:tc>
          <w:tcPr>
            <w:tcW w:w="1769" w:type="dxa"/>
            <w:vMerge w:val="restart"/>
            <w:tcBorders>
              <w:top w:val="nil"/>
              <w:left w:val="single" w:sz="4" w:space="0" w:color="auto"/>
              <w:right w:val="single" w:sz="4" w:space="0" w:color="auto"/>
            </w:tcBorders>
            <w:shd w:val="clear" w:color="auto" w:fill="auto"/>
            <w:vAlign w:val="center"/>
          </w:tcPr>
          <w:p w14:paraId="27115DEE" w14:textId="77777777" w:rsidR="004F3D65" w:rsidRPr="003E76E7" w:rsidRDefault="004F3D65" w:rsidP="00C4292D">
            <w:pPr>
              <w:spacing w:after="0"/>
              <w:rPr>
                <w:rFonts w:ascii="Arial" w:hAnsi="Arial"/>
                <w:sz w:val="16"/>
                <w:szCs w:val="16"/>
              </w:rPr>
            </w:pPr>
            <w:r w:rsidRPr="003E76E7">
              <w:rPr>
                <w:rFonts w:ascii="Arial" w:hAnsi="Arial"/>
                <w:sz w:val="16"/>
                <w:szCs w:val="16"/>
              </w:rPr>
              <w:t>Medium Air Mobility Aircraft</w:t>
            </w:r>
          </w:p>
        </w:tc>
        <w:tc>
          <w:tcPr>
            <w:tcW w:w="1096" w:type="dxa"/>
            <w:vMerge w:val="restart"/>
            <w:tcBorders>
              <w:top w:val="nil"/>
              <w:left w:val="single" w:sz="4" w:space="0" w:color="auto"/>
              <w:right w:val="single" w:sz="4" w:space="0" w:color="auto"/>
            </w:tcBorders>
            <w:shd w:val="clear" w:color="auto" w:fill="auto"/>
            <w:vAlign w:val="center"/>
          </w:tcPr>
          <w:p w14:paraId="604D4967" w14:textId="77777777" w:rsidR="004F3D65" w:rsidRPr="003E76E7" w:rsidRDefault="004F3D65" w:rsidP="00C4292D">
            <w:pPr>
              <w:spacing w:after="0"/>
              <w:jc w:val="center"/>
              <w:rPr>
                <w:rFonts w:ascii="Arial" w:hAnsi="Arial"/>
                <w:b/>
                <w:bCs/>
                <w:sz w:val="16"/>
                <w:szCs w:val="16"/>
              </w:rPr>
            </w:pPr>
            <w:r w:rsidRPr="003E76E7">
              <w:rPr>
                <w:rFonts w:ascii="Arial" w:hAnsi="Arial"/>
                <w:b/>
                <w:bCs/>
                <w:sz w:val="16"/>
                <w:szCs w:val="16"/>
              </w:rPr>
              <w:t>AIR 7404</w:t>
            </w:r>
          </w:p>
        </w:tc>
        <w:tc>
          <w:tcPr>
            <w:tcW w:w="1503" w:type="dxa"/>
            <w:tcBorders>
              <w:top w:val="nil"/>
              <w:left w:val="nil"/>
              <w:bottom w:val="single" w:sz="4" w:space="0" w:color="auto"/>
              <w:right w:val="single" w:sz="4" w:space="0" w:color="auto"/>
            </w:tcBorders>
            <w:shd w:val="clear" w:color="auto" w:fill="auto"/>
            <w:vAlign w:val="center"/>
          </w:tcPr>
          <w:p w14:paraId="1005DB5F" w14:textId="77777777" w:rsidR="004F3D65" w:rsidRPr="003E76E7" w:rsidRDefault="004F3D65" w:rsidP="00C4292D">
            <w:pPr>
              <w:spacing w:after="0"/>
              <w:rPr>
                <w:rFonts w:ascii="Arial" w:hAnsi="Arial"/>
                <w:sz w:val="16"/>
                <w:szCs w:val="16"/>
              </w:rPr>
            </w:pPr>
            <w:r w:rsidRPr="003E76E7">
              <w:rPr>
                <w:rFonts w:ascii="Arial" w:hAnsi="Arial"/>
                <w:sz w:val="16"/>
                <w:szCs w:val="16"/>
              </w:rPr>
              <w:t>Military Equipment Acquisition</w:t>
            </w:r>
          </w:p>
        </w:tc>
        <w:tc>
          <w:tcPr>
            <w:tcW w:w="11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BD9504" w14:textId="6C4B0BF2"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8,659 </w:t>
            </w:r>
          </w:p>
        </w:tc>
        <w:tc>
          <w:tcPr>
            <w:tcW w:w="1187" w:type="dxa"/>
            <w:tcBorders>
              <w:top w:val="single" w:sz="4" w:space="0" w:color="auto"/>
              <w:left w:val="nil"/>
              <w:bottom w:val="single" w:sz="4" w:space="0" w:color="auto"/>
              <w:right w:val="single" w:sz="4" w:space="0" w:color="auto"/>
            </w:tcBorders>
            <w:shd w:val="clear" w:color="auto" w:fill="auto"/>
            <w:noWrap/>
            <w:vAlign w:val="center"/>
          </w:tcPr>
          <w:p w14:paraId="430A9B8F" w14:textId="0D0D9B8E"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525 </w:t>
            </w:r>
          </w:p>
        </w:tc>
        <w:tc>
          <w:tcPr>
            <w:tcW w:w="1187" w:type="dxa"/>
            <w:tcBorders>
              <w:top w:val="single" w:sz="4" w:space="0" w:color="auto"/>
              <w:left w:val="nil"/>
              <w:bottom w:val="single" w:sz="4" w:space="0" w:color="auto"/>
              <w:right w:val="single" w:sz="4" w:space="0" w:color="auto"/>
            </w:tcBorders>
            <w:shd w:val="clear" w:color="auto" w:fill="auto"/>
            <w:noWrap/>
            <w:vAlign w:val="center"/>
          </w:tcPr>
          <w:p w14:paraId="08FEA661" w14:textId="7A78F310"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795 </w:t>
            </w:r>
          </w:p>
        </w:tc>
        <w:tc>
          <w:tcPr>
            <w:tcW w:w="5500" w:type="dxa"/>
            <w:vMerge w:val="restart"/>
            <w:tcBorders>
              <w:top w:val="nil"/>
              <w:left w:val="single" w:sz="4" w:space="0" w:color="auto"/>
              <w:right w:val="single" w:sz="4" w:space="0" w:color="auto"/>
            </w:tcBorders>
            <w:shd w:val="clear" w:color="auto" w:fill="auto"/>
            <w:vAlign w:val="center"/>
          </w:tcPr>
          <w:p w14:paraId="2C417A28" w14:textId="77777777" w:rsidR="004F3D65" w:rsidRPr="003E76E7" w:rsidRDefault="004F3D65" w:rsidP="00C4292D">
            <w:pPr>
              <w:autoSpaceDE w:val="0"/>
              <w:autoSpaceDN w:val="0"/>
              <w:adjustRightInd w:val="0"/>
              <w:spacing w:before="0" w:after="60"/>
              <w:rPr>
                <w:rFonts w:ascii="ArialMT" w:hAnsi="ArialMT" w:cs="ArialMT"/>
                <w:sz w:val="16"/>
                <w:szCs w:val="16"/>
                <w:lang w:val="en-AU"/>
              </w:rPr>
            </w:pPr>
            <w:r w:rsidRPr="003E76E7">
              <w:rPr>
                <w:rFonts w:ascii="ArialMT" w:hAnsi="ArialMT" w:cs="ArialMT"/>
                <w:sz w:val="16"/>
                <w:szCs w:val="16"/>
                <w:lang w:val="en-AU"/>
              </w:rPr>
              <w:t xml:space="preserve">This project is approved to acquire 20 C-130J-30 Hercules aircraft, aircraft sub-systems, training devices, supplies and support services. The project will deliver these products through a combination of Foreign Military Sales and Direct Commercial Sales. Lockheed Martin Corporation is contracted by the United States Government to develop and manufacture the </w:t>
            </w:r>
            <w:r w:rsidRPr="003E76E7">
              <w:rPr>
                <w:rFonts w:ascii="ArialMT" w:hAnsi="ArialMT" w:cs="ArialMT"/>
                <w:sz w:val="16"/>
                <w:szCs w:val="16"/>
                <w:lang w:val="en-AU"/>
              </w:rPr>
              <w:br/>
              <w:t>C-130J-30 aircraft.</w:t>
            </w:r>
          </w:p>
          <w:p w14:paraId="66F81CBB" w14:textId="77777777" w:rsidR="004F3D65" w:rsidRPr="003E76E7" w:rsidRDefault="004F3D65" w:rsidP="00C4292D">
            <w:pPr>
              <w:autoSpaceDE w:val="0"/>
              <w:autoSpaceDN w:val="0"/>
              <w:adjustRightInd w:val="0"/>
              <w:spacing w:before="60" w:after="60"/>
              <w:rPr>
                <w:rFonts w:ascii="ArialMT" w:hAnsi="ArialMT" w:cs="ArialMT"/>
                <w:sz w:val="16"/>
                <w:szCs w:val="16"/>
                <w:lang w:val="en-AU"/>
              </w:rPr>
            </w:pPr>
            <w:r w:rsidRPr="003E76E7">
              <w:rPr>
                <w:rFonts w:ascii="ArialMT" w:hAnsi="ArialMT" w:cs="ArialMT"/>
                <w:sz w:val="16"/>
                <w:szCs w:val="16"/>
                <w:lang w:val="en-AU"/>
              </w:rPr>
              <w:t>During 2026-27, the United States Government will implement Foreign Military Sales contracts in order to commence the production of the aircrew training devices. The project will commence establishment of contracts for aircraft and training systems sustainment and training delivery.</w:t>
            </w:r>
          </w:p>
        </w:tc>
      </w:tr>
      <w:tr w:rsidR="004F3D65" w:rsidRPr="003E76E7" w14:paraId="2151946E" w14:textId="77777777" w:rsidTr="001E227C">
        <w:trPr>
          <w:trHeight w:hRule="exact" w:val="1418"/>
        </w:trPr>
        <w:tc>
          <w:tcPr>
            <w:tcW w:w="1769" w:type="dxa"/>
            <w:vMerge/>
            <w:tcBorders>
              <w:left w:val="single" w:sz="4" w:space="0" w:color="auto"/>
              <w:bottom w:val="single" w:sz="4" w:space="0" w:color="auto"/>
              <w:right w:val="single" w:sz="4" w:space="0" w:color="auto"/>
            </w:tcBorders>
            <w:shd w:val="clear" w:color="auto" w:fill="auto"/>
            <w:vAlign w:val="center"/>
          </w:tcPr>
          <w:p w14:paraId="77C7AC5C" w14:textId="77777777" w:rsidR="004F3D65" w:rsidRPr="003E76E7" w:rsidRDefault="004F3D65" w:rsidP="00C4292D">
            <w:pPr>
              <w:spacing w:after="0"/>
              <w:rPr>
                <w:rFonts w:ascii="Arial" w:hAnsi="Arial"/>
                <w:sz w:val="16"/>
                <w:szCs w:val="16"/>
              </w:rPr>
            </w:pPr>
          </w:p>
        </w:tc>
        <w:tc>
          <w:tcPr>
            <w:tcW w:w="1096" w:type="dxa"/>
            <w:vMerge/>
            <w:tcBorders>
              <w:left w:val="single" w:sz="4" w:space="0" w:color="auto"/>
              <w:bottom w:val="single" w:sz="4" w:space="0" w:color="auto"/>
              <w:right w:val="single" w:sz="4" w:space="0" w:color="auto"/>
            </w:tcBorders>
            <w:shd w:val="clear" w:color="auto" w:fill="auto"/>
            <w:vAlign w:val="center"/>
          </w:tcPr>
          <w:p w14:paraId="422C428D" w14:textId="77777777" w:rsidR="004F3D65" w:rsidRPr="003E76E7" w:rsidRDefault="004F3D65" w:rsidP="00C4292D">
            <w:pPr>
              <w:spacing w:after="0"/>
              <w:jc w:val="center"/>
              <w:rPr>
                <w:rFonts w:ascii="Arial" w:hAnsi="Arial"/>
                <w:b/>
                <w:bCs/>
                <w:sz w:val="16"/>
                <w:szCs w:val="16"/>
              </w:rPr>
            </w:pPr>
          </w:p>
        </w:tc>
        <w:tc>
          <w:tcPr>
            <w:tcW w:w="1503" w:type="dxa"/>
            <w:tcBorders>
              <w:top w:val="nil"/>
              <w:left w:val="nil"/>
              <w:bottom w:val="single" w:sz="4" w:space="0" w:color="auto"/>
              <w:right w:val="single" w:sz="4" w:space="0" w:color="auto"/>
            </w:tcBorders>
            <w:shd w:val="clear" w:color="auto" w:fill="auto"/>
            <w:vAlign w:val="center"/>
          </w:tcPr>
          <w:p w14:paraId="37020240" w14:textId="77777777" w:rsidR="004F3D65" w:rsidRPr="003E76E7" w:rsidRDefault="004F3D65" w:rsidP="00C4292D">
            <w:pPr>
              <w:spacing w:after="0"/>
              <w:rPr>
                <w:rFonts w:ascii="Arial" w:hAnsi="Arial"/>
                <w:sz w:val="16"/>
                <w:szCs w:val="16"/>
              </w:rPr>
            </w:pPr>
            <w:r w:rsidRPr="003E76E7">
              <w:rPr>
                <w:rFonts w:ascii="Arial" w:hAnsi="Arial"/>
                <w:sz w:val="16"/>
                <w:szCs w:val="16"/>
              </w:rPr>
              <w:t>Other Project Inputs to Capability</w:t>
            </w:r>
          </w:p>
        </w:tc>
        <w:tc>
          <w:tcPr>
            <w:tcW w:w="1186" w:type="dxa"/>
            <w:tcBorders>
              <w:top w:val="nil"/>
              <w:left w:val="single" w:sz="4" w:space="0" w:color="auto"/>
              <w:bottom w:val="single" w:sz="4" w:space="0" w:color="auto"/>
              <w:right w:val="single" w:sz="4" w:space="0" w:color="auto"/>
            </w:tcBorders>
            <w:shd w:val="clear" w:color="auto" w:fill="auto"/>
            <w:noWrap/>
            <w:vAlign w:val="center"/>
          </w:tcPr>
          <w:p w14:paraId="631D21B9" w14:textId="3C3EDFCE"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60 </w:t>
            </w:r>
          </w:p>
        </w:tc>
        <w:tc>
          <w:tcPr>
            <w:tcW w:w="1187" w:type="dxa"/>
            <w:tcBorders>
              <w:top w:val="nil"/>
              <w:left w:val="nil"/>
              <w:bottom w:val="single" w:sz="4" w:space="0" w:color="auto"/>
              <w:right w:val="single" w:sz="4" w:space="0" w:color="auto"/>
            </w:tcBorders>
            <w:shd w:val="clear" w:color="auto" w:fill="auto"/>
            <w:noWrap/>
            <w:vAlign w:val="center"/>
          </w:tcPr>
          <w:p w14:paraId="6FA39331" w14:textId="7AEA2FEE"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34 </w:t>
            </w:r>
          </w:p>
        </w:tc>
        <w:tc>
          <w:tcPr>
            <w:tcW w:w="1187" w:type="dxa"/>
            <w:tcBorders>
              <w:top w:val="nil"/>
              <w:left w:val="nil"/>
              <w:bottom w:val="single" w:sz="4" w:space="0" w:color="auto"/>
              <w:right w:val="single" w:sz="4" w:space="0" w:color="auto"/>
            </w:tcBorders>
            <w:shd w:val="clear" w:color="auto" w:fill="auto"/>
            <w:noWrap/>
            <w:vAlign w:val="center"/>
          </w:tcPr>
          <w:p w14:paraId="7152A899" w14:textId="02001776"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15 </w:t>
            </w:r>
          </w:p>
        </w:tc>
        <w:tc>
          <w:tcPr>
            <w:tcW w:w="5500" w:type="dxa"/>
            <w:vMerge/>
            <w:tcBorders>
              <w:left w:val="single" w:sz="4" w:space="0" w:color="auto"/>
              <w:bottom w:val="single" w:sz="4" w:space="0" w:color="auto"/>
              <w:right w:val="single" w:sz="4" w:space="0" w:color="auto"/>
            </w:tcBorders>
            <w:shd w:val="clear" w:color="auto" w:fill="auto"/>
            <w:vAlign w:val="center"/>
          </w:tcPr>
          <w:p w14:paraId="0B1AE1B5" w14:textId="77777777" w:rsidR="004F3D65" w:rsidRPr="003E76E7" w:rsidRDefault="004F3D65" w:rsidP="00C4292D">
            <w:pPr>
              <w:autoSpaceDE w:val="0"/>
              <w:autoSpaceDN w:val="0"/>
              <w:adjustRightInd w:val="0"/>
              <w:spacing w:before="0" w:after="0"/>
              <w:rPr>
                <w:rFonts w:ascii="ArialMT" w:hAnsi="ArialMT" w:cs="ArialMT"/>
                <w:sz w:val="16"/>
                <w:szCs w:val="16"/>
                <w:lang w:val="en-AU"/>
              </w:rPr>
            </w:pPr>
          </w:p>
        </w:tc>
      </w:tr>
    </w:tbl>
    <w:p w14:paraId="51B7F1DD" w14:textId="77777777" w:rsidR="004F3D65" w:rsidRPr="003E76E7" w:rsidRDefault="004F3D65" w:rsidP="00C4292D">
      <w:pPr>
        <w:pStyle w:val="BodyText"/>
        <w:rPr>
          <w:rFonts w:ascii="Arial" w:hAnsi="Arial"/>
          <w:b/>
        </w:rPr>
      </w:pPr>
      <w:r w:rsidRPr="003E76E7">
        <w:br w:type="page"/>
      </w:r>
      <w:r w:rsidRPr="003E76E7">
        <w:rPr>
          <w:rFonts w:ascii="Arial" w:hAnsi="Arial"/>
          <w:b/>
        </w:rPr>
        <w:lastRenderedPageBreak/>
        <w:t>Table 54: Top 30 Military Equipment Acquisition Program Approved Projects by 2026-27 Forecast Expenditure (Gross Plan) (Continued)</w:t>
      </w:r>
      <w:r w:rsidRPr="003E76E7">
        <w:rPr>
          <w:rFonts w:ascii="Arial" w:hAnsi="Arial"/>
          <w:b/>
          <w:vertAlign w:val="superscript"/>
        </w:rPr>
        <w:t xml:space="preserve"> [a][b][c]</w:t>
      </w:r>
    </w:p>
    <w:tbl>
      <w:tblPr>
        <w:tblW w:w="5000" w:type="pct"/>
        <w:tblLayout w:type="fixed"/>
        <w:tblLook w:val="04A0" w:firstRow="1" w:lastRow="0" w:firstColumn="1" w:lastColumn="0" w:noHBand="0" w:noVBand="1"/>
      </w:tblPr>
      <w:tblGrid>
        <w:gridCol w:w="1769"/>
        <w:gridCol w:w="1096"/>
        <w:gridCol w:w="1503"/>
        <w:gridCol w:w="1186"/>
        <w:gridCol w:w="1187"/>
        <w:gridCol w:w="1187"/>
        <w:gridCol w:w="5500"/>
      </w:tblGrid>
      <w:tr w:rsidR="004F3D65" w:rsidRPr="003E76E7" w14:paraId="4E5BC865" w14:textId="77777777" w:rsidTr="001E227C">
        <w:trPr>
          <w:trHeight w:val="853"/>
          <w:tblHeader/>
        </w:trPr>
        <w:tc>
          <w:tcPr>
            <w:tcW w:w="1769"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18C68414" w14:textId="77777777" w:rsidR="004F3D65" w:rsidRPr="003E76E7" w:rsidRDefault="004F3D65" w:rsidP="00C4292D">
            <w:pPr>
              <w:spacing w:after="0"/>
              <w:rPr>
                <w:rFonts w:ascii="Arial" w:hAnsi="Arial"/>
                <w:b/>
                <w:bCs/>
                <w:sz w:val="16"/>
                <w:szCs w:val="16"/>
              </w:rPr>
            </w:pPr>
            <w:r w:rsidRPr="003E76E7">
              <w:rPr>
                <w:rFonts w:ascii="Arial" w:hAnsi="Arial"/>
                <w:b/>
                <w:bCs/>
                <w:sz w:val="16"/>
                <w:szCs w:val="16"/>
              </w:rPr>
              <w:t>Domain/Project Name</w:t>
            </w:r>
          </w:p>
        </w:tc>
        <w:tc>
          <w:tcPr>
            <w:tcW w:w="1096" w:type="dxa"/>
            <w:tcBorders>
              <w:top w:val="single" w:sz="4" w:space="0" w:color="auto"/>
              <w:left w:val="nil"/>
              <w:bottom w:val="single" w:sz="4" w:space="0" w:color="auto"/>
              <w:right w:val="single" w:sz="4" w:space="0" w:color="auto"/>
            </w:tcBorders>
            <w:shd w:val="clear" w:color="000000" w:fill="auto"/>
            <w:vAlign w:val="center"/>
            <w:hideMark/>
          </w:tcPr>
          <w:p w14:paraId="12C5B01C" w14:textId="77777777" w:rsidR="004F3D65" w:rsidRPr="003E76E7" w:rsidRDefault="004F3D65" w:rsidP="00C4292D">
            <w:pPr>
              <w:spacing w:after="0"/>
              <w:jc w:val="center"/>
              <w:rPr>
                <w:rFonts w:ascii="Arial" w:hAnsi="Arial"/>
                <w:b/>
                <w:bCs/>
                <w:sz w:val="16"/>
                <w:szCs w:val="16"/>
              </w:rPr>
            </w:pPr>
            <w:r w:rsidRPr="003E76E7">
              <w:rPr>
                <w:rFonts w:ascii="Arial" w:hAnsi="Arial"/>
                <w:b/>
                <w:bCs/>
                <w:sz w:val="16"/>
                <w:szCs w:val="16"/>
              </w:rPr>
              <w:t>Project Number/</w:t>
            </w:r>
            <w:r w:rsidRPr="003E76E7">
              <w:rPr>
                <w:rFonts w:ascii="Arial" w:hAnsi="Arial"/>
                <w:b/>
                <w:bCs/>
                <w:sz w:val="16"/>
                <w:szCs w:val="16"/>
              </w:rPr>
              <w:br/>
              <w:t>Phase</w:t>
            </w:r>
          </w:p>
        </w:tc>
        <w:tc>
          <w:tcPr>
            <w:tcW w:w="1503" w:type="dxa"/>
            <w:tcBorders>
              <w:top w:val="single" w:sz="4" w:space="0" w:color="auto"/>
              <w:left w:val="nil"/>
              <w:bottom w:val="single" w:sz="4" w:space="0" w:color="auto"/>
              <w:right w:val="single" w:sz="4" w:space="0" w:color="auto"/>
            </w:tcBorders>
            <w:shd w:val="clear" w:color="000000" w:fill="auto"/>
            <w:vAlign w:val="center"/>
            <w:hideMark/>
          </w:tcPr>
          <w:p w14:paraId="4501E888" w14:textId="77777777" w:rsidR="004F3D65" w:rsidRPr="003E76E7" w:rsidRDefault="004F3D65" w:rsidP="00C4292D">
            <w:pPr>
              <w:spacing w:after="0"/>
              <w:rPr>
                <w:rFonts w:ascii="Arial" w:hAnsi="Arial"/>
                <w:b/>
                <w:bCs/>
                <w:sz w:val="16"/>
                <w:szCs w:val="16"/>
              </w:rPr>
            </w:pPr>
            <w:r w:rsidRPr="003E76E7">
              <w:rPr>
                <w:rFonts w:ascii="Arial" w:hAnsi="Arial"/>
                <w:b/>
                <w:bCs/>
                <w:sz w:val="16"/>
                <w:szCs w:val="16"/>
              </w:rPr>
              <w:t>Project Inputs to Capability</w:t>
            </w:r>
          </w:p>
        </w:tc>
        <w:tc>
          <w:tcPr>
            <w:tcW w:w="1186" w:type="dxa"/>
            <w:tcBorders>
              <w:top w:val="single" w:sz="4" w:space="0" w:color="auto"/>
              <w:left w:val="nil"/>
              <w:bottom w:val="single" w:sz="4" w:space="0" w:color="auto"/>
              <w:right w:val="single" w:sz="4" w:space="0" w:color="auto"/>
            </w:tcBorders>
            <w:shd w:val="clear" w:color="000000" w:fill="auto"/>
            <w:vAlign w:val="bottom"/>
            <w:hideMark/>
          </w:tcPr>
          <w:p w14:paraId="75427262" w14:textId="77777777" w:rsidR="004F3D65" w:rsidRPr="003E76E7" w:rsidRDefault="004F3D65" w:rsidP="001E227C">
            <w:pPr>
              <w:spacing w:before="0" w:after="0"/>
              <w:jc w:val="right"/>
              <w:rPr>
                <w:rFonts w:ascii="Arial" w:hAnsi="Arial"/>
                <w:b/>
                <w:bCs/>
                <w:sz w:val="16"/>
                <w:szCs w:val="16"/>
              </w:rPr>
            </w:pPr>
            <w:r w:rsidRPr="003E76E7">
              <w:rPr>
                <w:rFonts w:ascii="Arial" w:hAnsi="Arial"/>
                <w:b/>
                <w:bCs/>
                <w:sz w:val="16"/>
                <w:szCs w:val="16"/>
              </w:rPr>
              <w:t>Approved Project Expenditure</w:t>
            </w:r>
          </w:p>
          <w:p w14:paraId="3D110B04" w14:textId="52DE1DDC" w:rsidR="004F3D65" w:rsidRPr="003E76E7" w:rsidRDefault="004F3D65" w:rsidP="001E227C">
            <w:pPr>
              <w:spacing w:after="0"/>
              <w:jc w:val="right"/>
              <w:rPr>
                <w:rFonts w:ascii="Arial" w:hAnsi="Arial"/>
                <w:b/>
                <w:bCs/>
                <w:sz w:val="16"/>
                <w:szCs w:val="16"/>
              </w:rPr>
            </w:pPr>
            <w:r w:rsidRPr="003E76E7">
              <w:rPr>
                <w:rFonts w:ascii="Arial" w:hAnsi="Arial"/>
                <w:b/>
                <w:bCs/>
                <w:sz w:val="16"/>
                <w:szCs w:val="16"/>
              </w:rPr>
              <w:t xml:space="preserve"> $m</w:t>
            </w:r>
          </w:p>
        </w:tc>
        <w:tc>
          <w:tcPr>
            <w:tcW w:w="1187" w:type="dxa"/>
            <w:tcBorders>
              <w:top w:val="single" w:sz="4" w:space="0" w:color="auto"/>
              <w:left w:val="nil"/>
              <w:bottom w:val="single" w:sz="4" w:space="0" w:color="auto"/>
              <w:right w:val="single" w:sz="4" w:space="0" w:color="auto"/>
            </w:tcBorders>
            <w:shd w:val="clear" w:color="000000" w:fill="auto"/>
            <w:vAlign w:val="bottom"/>
            <w:hideMark/>
          </w:tcPr>
          <w:p w14:paraId="51E06614" w14:textId="77777777" w:rsidR="004F3D65" w:rsidRPr="003E76E7" w:rsidRDefault="004F3D65" w:rsidP="001E227C">
            <w:pPr>
              <w:spacing w:before="0" w:after="0"/>
              <w:jc w:val="right"/>
              <w:rPr>
                <w:rFonts w:ascii="Arial" w:hAnsi="Arial"/>
                <w:b/>
                <w:bCs/>
                <w:sz w:val="16"/>
                <w:szCs w:val="16"/>
              </w:rPr>
            </w:pPr>
            <w:r w:rsidRPr="003E76E7">
              <w:rPr>
                <w:rFonts w:ascii="Arial" w:hAnsi="Arial"/>
                <w:b/>
                <w:bCs/>
                <w:sz w:val="16"/>
                <w:szCs w:val="16"/>
              </w:rPr>
              <w:t>Estimated Cumulative Expenditure to 30 June 2026</w:t>
            </w:r>
          </w:p>
          <w:p w14:paraId="28B8EE00" w14:textId="77777777" w:rsidR="004F3D65" w:rsidRPr="003E76E7" w:rsidRDefault="004F3D65" w:rsidP="001E227C">
            <w:pPr>
              <w:spacing w:before="0" w:after="0"/>
              <w:jc w:val="right"/>
              <w:rPr>
                <w:rFonts w:ascii="Arial" w:hAnsi="Arial"/>
                <w:b/>
                <w:bCs/>
                <w:sz w:val="16"/>
                <w:szCs w:val="16"/>
              </w:rPr>
            </w:pPr>
            <w:r w:rsidRPr="003E76E7">
              <w:rPr>
                <w:rFonts w:ascii="Arial" w:hAnsi="Arial"/>
                <w:b/>
                <w:bCs/>
                <w:sz w:val="16"/>
                <w:szCs w:val="16"/>
              </w:rPr>
              <w:t xml:space="preserve"> $m</w:t>
            </w:r>
          </w:p>
        </w:tc>
        <w:tc>
          <w:tcPr>
            <w:tcW w:w="1187" w:type="dxa"/>
            <w:tcBorders>
              <w:top w:val="single" w:sz="4" w:space="0" w:color="auto"/>
              <w:left w:val="nil"/>
              <w:bottom w:val="single" w:sz="4" w:space="0" w:color="auto"/>
              <w:right w:val="single" w:sz="4" w:space="0" w:color="auto"/>
            </w:tcBorders>
            <w:shd w:val="clear" w:color="000000" w:fill="auto"/>
            <w:vAlign w:val="bottom"/>
            <w:hideMark/>
          </w:tcPr>
          <w:p w14:paraId="6713FE03" w14:textId="7EE25F30" w:rsidR="004F3D65" w:rsidRPr="003E76E7" w:rsidRDefault="001E227C" w:rsidP="001E227C">
            <w:pPr>
              <w:spacing w:before="0" w:after="0"/>
              <w:jc w:val="right"/>
              <w:rPr>
                <w:rFonts w:ascii="Arial" w:hAnsi="Arial"/>
                <w:b/>
                <w:bCs/>
                <w:sz w:val="16"/>
                <w:szCs w:val="16"/>
              </w:rPr>
            </w:pPr>
            <w:r>
              <w:rPr>
                <w:rFonts w:ascii="Arial" w:hAnsi="Arial"/>
                <w:b/>
                <w:bCs/>
                <w:sz w:val="16"/>
                <w:szCs w:val="16"/>
              </w:rPr>
              <w:t xml:space="preserve">Budget Estimate 2026-27 </w:t>
            </w:r>
          </w:p>
          <w:p w14:paraId="0504A9C9" w14:textId="77777777" w:rsidR="004F3D65" w:rsidRPr="003E76E7" w:rsidRDefault="004F3D65" w:rsidP="001E227C">
            <w:pPr>
              <w:spacing w:after="0"/>
              <w:jc w:val="right"/>
              <w:rPr>
                <w:rFonts w:ascii="Arial" w:hAnsi="Arial"/>
                <w:b/>
                <w:bCs/>
                <w:sz w:val="16"/>
                <w:szCs w:val="16"/>
              </w:rPr>
            </w:pPr>
            <w:r w:rsidRPr="003E76E7">
              <w:rPr>
                <w:rFonts w:ascii="Arial" w:hAnsi="Arial"/>
                <w:b/>
                <w:bCs/>
                <w:sz w:val="16"/>
                <w:szCs w:val="16"/>
              </w:rPr>
              <w:t>$m</w:t>
            </w:r>
          </w:p>
        </w:tc>
        <w:tc>
          <w:tcPr>
            <w:tcW w:w="5500" w:type="dxa"/>
            <w:tcBorders>
              <w:top w:val="single" w:sz="4" w:space="0" w:color="auto"/>
              <w:left w:val="nil"/>
              <w:bottom w:val="single" w:sz="4" w:space="0" w:color="auto"/>
              <w:right w:val="single" w:sz="4" w:space="0" w:color="auto"/>
            </w:tcBorders>
            <w:shd w:val="clear" w:color="000000" w:fill="auto"/>
            <w:vAlign w:val="center"/>
            <w:hideMark/>
          </w:tcPr>
          <w:p w14:paraId="1EF23EB1" w14:textId="77777777" w:rsidR="004F3D65" w:rsidRPr="003E76E7" w:rsidRDefault="004F3D65" w:rsidP="00C4292D">
            <w:pPr>
              <w:spacing w:after="0"/>
              <w:jc w:val="center"/>
              <w:rPr>
                <w:rFonts w:ascii="Arial" w:hAnsi="Arial"/>
                <w:b/>
                <w:bCs/>
                <w:sz w:val="16"/>
                <w:szCs w:val="16"/>
              </w:rPr>
            </w:pPr>
            <w:r w:rsidRPr="003E76E7">
              <w:rPr>
                <w:rFonts w:ascii="Arial" w:hAnsi="Arial"/>
                <w:b/>
                <w:bCs/>
                <w:sz w:val="16"/>
                <w:szCs w:val="16"/>
              </w:rPr>
              <w:t>Top 30 Military Equipment Acquisition Project Descriptions</w:t>
            </w:r>
          </w:p>
        </w:tc>
      </w:tr>
      <w:tr w:rsidR="004F3D65" w:rsidRPr="003E76E7" w14:paraId="1A8E9C8C" w14:textId="77777777" w:rsidTr="001E227C">
        <w:trPr>
          <w:trHeight w:val="324"/>
          <w:tblHeader/>
        </w:trPr>
        <w:tc>
          <w:tcPr>
            <w:tcW w:w="13428" w:type="dxa"/>
            <w:gridSpan w:val="7"/>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2239818" w14:textId="77777777" w:rsidR="004F3D65" w:rsidRPr="003E76E7" w:rsidRDefault="004F3D65" w:rsidP="00C4292D">
            <w:pPr>
              <w:spacing w:after="0"/>
              <w:rPr>
                <w:rFonts w:ascii="Arial" w:hAnsi="Arial"/>
                <w:b/>
                <w:bCs/>
                <w:sz w:val="16"/>
                <w:szCs w:val="16"/>
              </w:rPr>
            </w:pPr>
            <w:r w:rsidRPr="003E76E7">
              <w:rPr>
                <w:rFonts w:ascii="Arial" w:hAnsi="Arial"/>
                <w:b/>
                <w:bCs/>
                <w:sz w:val="16"/>
                <w:szCs w:val="16"/>
              </w:rPr>
              <w:t>Air Domain (Continued)</w:t>
            </w:r>
          </w:p>
        </w:tc>
      </w:tr>
      <w:tr w:rsidR="004F3D65" w:rsidRPr="003E76E7" w14:paraId="17355815" w14:textId="77777777" w:rsidTr="001E227C">
        <w:trPr>
          <w:trHeight w:hRule="exact" w:val="1812"/>
        </w:trPr>
        <w:tc>
          <w:tcPr>
            <w:tcW w:w="1769" w:type="dxa"/>
            <w:vMerge w:val="restart"/>
            <w:tcBorders>
              <w:top w:val="nil"/>
              <w:left w:val="single" w:sz="4" w:space="0" w:color="auto"/>
              <w:bottom w:val="single" w:sz="4" w:space="0" w:color="000000"/>
              <w:right w:val="single" w:sz="4" w:space="0" w:color="auto"/>
            </w:tcBorders>
            <w:shd w:val="clear" w:color="auto" w:fill="auto"/>
            <w:vAlign w:val="center"/>
          </w:tcPr>
          <w:p w14:paraId="6C1879CD" w14:textId="77777777" w:rsidR="004F3D65" w:rsidRPr="003E76E7" w:rsidRDefault="004F3D65" w:rsidP="00C4292D">
            <w:pPr>
              <w:spacing w:after="0"/>
              <w:rPr>
                <w:rFonts w:ascii="Arial" w:hAnsi="Arial"/>
                <w:sz w:val="16"/>
                <w:szCs w:val="16"/>
              </w:rPr>
            </w:pPr>
            <w:r w:rsidRPr="003E76E7">
              <w:rPr>
                <w:rFonts w:ascii="Arial" w:hAnsi="Arial"/>
                <w:sz w:val="16"/>
                <w:szCs w:val="16"/>
              </w:rPr>
              <w:t xml:space="preserve">F-35A Lightning II </w:t>
            </w:r>
          </w:p>
        </w:tc>
        <w:tc>
          <w:tcPr>
            <w:tcW w:w="1096" w:type="dxa"/>
            <w:vMerge w:val="restart"/>
            <w:tcBorders>
              <w:top w:val="nil"/>
              <w:left w:val="single" w:sz="4" w:space="0" w:color="auto"/>
              <w:bottom w:val="single" w:sz="4" w:space="0" w:color="000000"/>
              <w:right w:val="single" w:sz="4" w:space="0" w:color="auto"/>
            </w:tcBorders>
            <w:shd w:val="clear" w:color="auto" w:fill="auto"/>
            <w:vAlign w:val="center"/>
          </w:tcPr>
          <w:p w14:paraId="0205B09A" w14:textId="77777777" w:rsidR="004F3D65" w:rsidRPr="003E76E7" w:rsidRDefault="004F3D65" w:rsidP="00C4292D">
            <w:pPr>
              <w:spacing w:after="0"/>
              <w:jc w:val="center"/>
              <w:rPr>
                <w:rFonts w:ascii="Arial" w:hAnsi="Arial"/>
                <w:b/>
                <w:bCs/>
                <w:sz w:val="16"/>
                <w:szCs w:val="16"/>
              </w:rPr>
            </w:pPr>
            <w:r w:rsidRPr="003E76E7">
              <w:rPr>
                <w:rFonts w:ascii="Arial" w:hAnsi="Arial"/>
                <w:b/>
                <w:bCs/>
                <w:sz w:val="16"/>
                <w:szCs w:val="16"/>
              </w:rPr>
              <w:t xml:space="preserve">AIR 6000 </w:t>
            </w:r>
          </w:p>
        </w:tc>
        <w:tc>
          <w:tcPr>
            <w:tcW w:w="1503" w:type="dxa"/>
            <w:tcBorders>
              <w:top w:val="nil"/>
              <w:left w:val="nil"/>
              <w:bottom w:val="single" w:sz="4" w:space="0" w:color="auto"/>
              <w:right w:val="single" w:sz="4" w:space="0" w:color="auto"/>
            </w:tcBorders>
            <w:shd w:val="clear" w:color="auto" w:fill="auto"/>
            <w:vAlign w:val="center"/>
          </w:tcPr>
          <w:p w14:paraId="2F54B2A1" w14:textId="77777777" w:rsidR="004F3D65" w:rsidRPr="003E76E7" w:rsidRDefault="004F3D65" w:rsidP="00C4292D">
            <w:pPr>
              <w:spacing w:after="0"/>
              <w:rPr>
                <w:rFonts w:ascii="Arial" w:hAnsi="Arial"/>
                <w:sz w:val="16"/>
                <w:szCs w:val="16"/>
              </w:rPr>
            </w:pPr>
            <w:r w:rsidRPr="003E76E7">
              <w:rPr>
                <w:rFonts w:ascii="Arial" w:hAnsi="Arial"/>
                <w:sz w:val="16"/>
                <w:szCs w:val="16"/>
              </w:rPr>
              <w:t>Military Equipment Acquisition</w:t>
            </w:r>
          </w:p>
        </w:tc>
        <w:tc>
          <w:tcPr>
            <w:tcW w:w="11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55842F" w14:textId="38DC3947"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18,631 </w:t>
            </w:r>
          </w:p>
        </w:tc>
        <w:tc>
          <w:tcPr>
            <w:tcW w:w="1187" w:type="dxa"/>
            <w:tcBorders>
              <w:top w:val="single" w:sz="4" w:space="0" w:color="auto"/>
              <w:left w:val="nil"/>
              <w:bottom w:val="single" w:sz="4" w:space="0" w:color="auto"/>
              <w:right w:val="single" w:sz="4" w:space="0" w:color="auto"/>
            </w:tcBorders>
            <w:shd w:val="clear" w:color="auto" w:fill="auto"/>
            <w:noWrap/>
            <w:vAlign w:val="center"/>
          </w:tcPr>
          <w:p w14:paraId="6EBCEAAB" w14:textId="33A21094"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13,192 </w:t>
            </w:r>
          </w:p>
        </w:tc>
        <w:tc>
          <w:tcPr>
            <w:tcW w:w="1187" w:type="dxa"/>
            <w:tcBorders>
              <w:top w:val="single" w:sz="4" w:space="0" w:color="auto"/>
              <w:left w:val="nil"/>
              <w:bottom w:val="single" w:sz="4" w:space="0" w:color="auto"/>
              <w:right w:val="single" w:sz="4" w:space="0" w:color="auto"/>
            </w:tcBorders>
            <w:shd w:val="clear" w:color="auto" w:fill="auto"/>
            <w:noWrap/>
            <w:vAlign w:val="center"/>
          </w:tcPr>
          <w:p w14:paraId="60839C07" w14:textId="104999A3"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445 </w:t>
            </w:r>
          </w:p>
        </w:tc>
        <w:tc>
          <w:tcPr>
            <w:tcW w:w="5500" w:type="dxa"/>
            <w:vMerge w:val="restart"/>
            <w:tcBorders>
              <w:top w:val="nil"/>
              <w:left w:val="single" w:sz="4" w:space="0" w:color="auto"/>
              <w:bottom w:val="single" w:sz="4" w:space="0" w:color="000000"/>
              <w:right w:val="single" w:sz="4" w:space="0" w:color="auto"/>
            </w:tcBorders>
            <w:shd w:val="clear" w:color="auto" w:fill="auto"/>
            <w:vAlign w:val="center"/>
          </w:tcPr>
          <w:p w14:paraId="3405A6C3" w14:textId="77777777" w:rsidR="004F3D65" w:rsidRPr="003E76E7" w:rsidRDefault="004F3D65" w:rsidP="00C4292D">
            <w:pPr>
              <w:spacing w:before="60" w:after="60"/>
              <w:rPr>
                <w:rFonts w:ascii="Arial" w:hAnsi="Arial"/>
                <w:sz w:val="16"/>
                <w:szCs w:val="16"/>
                <w:lang w:val="en-AU"/>
              </w:rPr>
            </w:pPr>
            <w:r w:rsidRPr="003E76E7">
              <w:rPr>
                <w:rFonts w:ascii="Arial" w:hAnsi="Arial"/>
                <w:sz w:val="16"/>
                <w:szCs w:val="16"/>
                <w:lang w:val="en-AU"/>
              </w:rPr>
              <w:t xml:space="preserve">This project </w:t>
            </w:r>
            <w:r w:rsidRPr="003E76E7">
              <w:rPr>
                <w:rFonts w:ascii="ArialMT" w:hAnsi="ArialMT" w:cs="ArialMT"/>
                <w:sz w:val="16"/>
                <w:szCs w:val="16"/>
                <w:lang w:val="en-AU"/>
              </w:rPr>
              <w:t>will deliver upgrades to the F-35A Lightning II fleet throughout its service life, including the modernisation of communications, navigation and identification systems, integration of advanced weapons, upgrade of simulators and trainers and supporting fundamental inputs to capability elements.</w:t>
            </w:r>
            <w:r w:rsidRPr="003E76E7">
              <w:rPr>
                <w:rFonts w:ascii="Arial" w:hAnsi="Arial"/>
                <w:szCs w:val="20"/>
              </w:rPr>
              <w:t xml:space="preserve"> </w:t>
            </w:r>
            <w:r w:rsidRPr="003E76E7">
              <w:rPr>
                <w:rFonts w:ascii="Arial" w:hAnsi="Arial"/>
                <w:sz w:val="16"/>
                <w:szCs w:val="16"/>
                <w:lang w:val="en-AU"/>
              </w:rPr>
              <w:t xml:space="preserve">The prime contractor, Lockheed Martin, is contracted to the United States Government to develop and produce F-35A </w:t>
            </w:r>
            <w:r w:rsidRPr="003E76E7">
              <w:rPr>
                <w:rFonts w:ascii="Arial" w:hAnsi="Arial"/>
                <w:sz w:val="16"/>
                <w:szCs w:val="16"/>
                <w:lang w:val="en-AU"/>
              </w:rPr>
              <w:br/>
              <w:t>Lightning II aircraft. The equipment is being procured through a cooperative program with the United States Government.</w:t>
            </w:r>
          </w:p>
          <w:p w14:paraId="57DB6818" w14:textId="360F8138" w:rsidR="004F3D65" w:rsidRPr="003E76E7" w:rsidRDefault="004F3D65" w:rsidP="00C4292D">
            <w:pPr>
              <w:autoSpaceDE w:val="0"/>
              <w:autoSpaceDN w:val="0"/>
              <w:adjustRightInd w:val="0"/>
              <w:spacing w:before="60" w:after="60"/>
              <w:rPr>
                <w:rFonts w:ascii="ArialMT" w:hAnsi="ArialMT" w:cs="ArialMT"/>
                <w:sz w:val="16"/>
                <w:szCs w:val="16"/>
                <w:lang w:val="en-AU"/>
              </w:rPr>
            </w:pPr>
            <w:r w:rsidRPr="003E76E7">
              <w:rPr>
                <w:rFonts w:ascii="Arial" w:hAnsi="Arial"/>
                <w:sz w:val="16"/>
                <w:szCs w:val="16"/>
                <w:lang w:val="en-AU"/>
              </w:rPr>
              <w:t>During 2026-27, the project will deliver the first aircraft upgrad</w:t>
            </w:r>
            <w:r w:rsidR="001E68CC" w:rsidRPr="003E76E7">
              <w:rPr>
                <w:rFonts w:ascii="Arial" w:hAnsi="Arial"/>
                <w:sz w:val="16"/>
                <w:szCs w:val="16"/>
                <w:lang w:val="en-AU"/>
              </w:rPr>
              <w:t>ed to a technical refresh three</w:t>
            </w:r>
            <w:r w:rsidRPr="003E76E7">
              <w:rPr>
                <w:rFonts w:ascii="Arial" w:hAnsi="Arial"/>
                <w:sz w:val="16"/>
                <w:szCs w:val="16"/>
                <w:lang w:val="en-AU"/>
              </w:rPr>
              <w:t xml:space="preserve"> and initial electronic warfare baseline, as well as commence the procurement and delivery of modernised electronic warfare upgrade kits. The project will also finalise the procurement of spares and support equipment, commence integration and construction of the final United States-based software reprogramming laboratory, deliver enhanced survivability countermeasures, and establish the final propulsion Maintenance Repair Overhaul and Upgrade capability.</w:t>
            </w:r>
          </w:p>
        </w:tc>
      </w:tr>
      <w:tr w:rsidR="004F3D65" w:rsidRPr="003E76E7" w14:paraId="6A9CD003" w14:textId="77777777" w:rsidTr="001E227C">
        <w:trPr>
          <w:trHeight w:hRule="exact" w:val="1730"/>
        </w:trPr>
        <w:tc>
          <w:tcPr>
            <w:tcW w:w="176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480DEAA" w14:textId="77777777" w:rsidR="004F3D65" w:rsidRPr="003E76E7" w:rsidRDefault="004F3D65" w:rsidP="00C4292D">
            <w:pPr>
              <w:spacing w:after="0"/>
              <w:rPr>
                <w:rFonts w:ascii="Arial" w:hAnsi="Arial"/>
                <w:sz w:val="16"/>
                <w:szCs w:val="16"/>
              </w:rPr>
            </w:pPr>
          </w:p>
        </w:tc>
        <w:tc>
          <w:tcPr>
            <w:tcW w:w="109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EEB1313" w14:textId="77777777" w:rsidR="004F3D65" w:rsidRPr="003E76E7" w:rsidRDefault="004F3D65" w:rsidP="00C4292D">
            <w:pPr>
              <w:spacing w:after="0"/>
              <w:jc w:val="center"/>
              <w:rPr>
                <w:rFonts w:ascii="Arial" w:hAnsi="Arial"/>
                <w:b/>
                <w:bCs/>
                <w:sz w:val="16"/>
                <w:szCs w:val="16"/>
              </w:rPr>
            </w:pPr>
          </w:p>
        </w:tc>
        <w:tc>
          <w:tcPr>
            <w:tcW w:w="1503" w:type="dxa"/>
            <w:tcBorders>
              <w:top w:val="nil"/>
              <w:left w:val="nil"/>
              <w:bottom w:val="single" w:sz="4" w:space="0" w:color="auto"/>
              <w:right w:val="single" w:sz="4" w:space="0" w:color="auto"/>
            </w:tcBorders>
            <w:shd w:val="clear" w:color="auto" w:fill="auto"/>
            <w:vAlign w:val="center"/>
          </w:tcPr>
          <w:p w14:paraId="6B47885B" w14:textId="77777777" w:rsidR="004F3D65" w:rsidRPr="003E76E7" w:rsidRDefault="004F3D65" w:rsidP="00C4292D">
            <w:pPr>
              <w:spacing w:after="0"/>
              <w:rPr>
                <w:rFonts w:ascii="Arial" w:hAnsi="Arial"/>
                <w:sz w:val="16"/>
                <w:szCs w:val="16"/>
              </w:rPr>
            </w:pPr>
            <w:r w:rsidRPr="003E76E7">
              <w:rPr>
                <w:rFonts w:ascii="Arial" w:hAnsi="Arial"/>
                <w:sz w:val="16"/>
                <w:szCs w:val="16"/>
              </w:rPr>
              <w:t>Other Project Inputs to Capability</w:t>
            </w:r>
          </w:p>
        </w:tc>
        <w:tc>
          <w:tcPr>
            <w:tcW w:w="1186" w:type="dxa"/>
            <w:tcBorders>
              <w:top w:val="nil"/>
              <w:left w:val="single" w:sz="4" w:space="0" w:color="auto"/>
              <w:bottom w:val="single" w:sz="4" w:space="0" w:color="auto"/>
              <w:right w:val="single" w:sz="4" w:space="0" w:color="auto"/>
            </w:tcBorders>
            <w:shd w:val="clear" w:color="auto" w:fill="auto"/>
            <w:noWrap/>
            <w:vAlign w:val="center"/>
          </w:tcPr>
          <w:p w14:paraId="3246FDB3" w14:textId="4C6B7223"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37 </w:t>
            </w:r>
          </w:p>
        </w:tc>
        <w:tc>
          <w:tcPr>
            <w:tcW w:w="1187" w:type="dxa"/>
            <w:tcBorders>
              <w:top w:val="nil"/>
              <w:left w:val="nil"/>
              <w:bottom w:val="single" w:sz="4" w:space="0" w:color="auto"/>
              <w:right w:val="single" w:sz="4" w:space="0" w:color="auto"/>
            </w:tcBorders>
            <w:shd w:val="clear" w:color="auto" w:fill="auto"/>
            <w:noWrap/>
            <w:vAlign w:val="center"/>
          </w:tcPr>
          <w:p w14:paraId="687F9291" w14:textId="36DE7680"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37 </w:t>
            </w:r>
          </w:p>
        </w:tc>
        <w:tc>
          <w:tcPr>
            <w:tcW w:w="1187" w:type="dxa"/>
            <w:tcBorders>
              <w:top w:val="nil"/>
              <w:left w:val="nil"/>
              <w:bottom w:val="single" w:sz="4" w:space="0" w:color="auto"/>
              <w:right w:val="single" w:sz="4" w:space="0" w:color="auto"/>
            </w:tcBorders>
            <w:shd w:val="clear" w:color="auto" w:fill="auto"/>
            <w:noWrap/>
            <w:vAlign w:val="center"/>
          </w:tcPr>
          <w:p w14:paraId="0126BD04" w14:textId="2167DC56"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 </w:t>
            </w:r>
          </w:p>
        </w:tc>
        <w:tc>
          <w:tcPr>
            <w:tcW w:w="55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62DEAFD" w14:textId="77777777" w:rsidR="004F3D65" w:rsidRPr="003E76E7" w:rsidRDefault="004F3D65" w:rsidP="00C4292D">
            <w:pPr>
              <w:autoSpaceDE w:val="0"/>
              <w:autoSpaceDN w:val="0"/>
              <w:adjustRightInd w:val="0"/>
              <w:spacing w:before="0" w:after="0"/>
              <w:rPr>
                <w:rFonts w:ascii="ArialMT" w:hAnsi="ArialMT" w:cs="ArialMT"/>
                <w:sz w:val="16"/>
                <w:szCs w:val="16"/>
                <w:lang w:val="en-AU"/>
              </w:rPr>
            </w:pPr>
          </w:p>
        </w:tc>
      </w:tr>
    </w:tbl>
    <w:p w14:paraId="1CE5022C" w14:textId="77777777" w:rsidR="004F3D65" w:rsidRPr="003E76E7" w:rsidRDefault="004F3D65" w:rsidP="00C4292D">
      <w:pPr>
        <w:pStyle w:val="BodyText"/>
      </w:pPr>
    </w:p>
    <w:p w14:paraId="189107DC" w14:textId="77777777" w:rsidR="004F3D65" w:rsidRPr="003E76E7" w:rsidRDefault="004F3D65" w:rsidP="00C4292D">
      <w:pPr>
        <w:pStyle w:val="BodyText"/>
        <w:rPr>
          <w:rFonts w:ascii="Arial" w:hAnsi="Arial"/>
        </w:rPr>
      </w:pPr>
      <w:r w:rsidRPr="003E76E7">
        <w:br w:type="page"/>
      </w:r>
    </w:p>
    <w:p w14:paraId="6D4F1921" w14:textId="77777777" w:rsidR="004F3D65" w:rsidRPr="003E76E7" w:rsidRDefault="004F3D65" w:rsidP="00C4292D">
      <w:pPr>
        <w:pStyle w:val="BodyText"/>
        <w:rPr>
          <w:rFonts w:ascii="Arial" w:hAnsi="Arial"/>
          <w:b/>
        </w:rPr>
      </w:pPr>
      <w:r w:rsidRPr="003E76E7">
        <w:rPr>
          <w:rFonts w:ascii="Arial" w:hAnsi="Arial"/>
          <w:b/>
        </w:rPr>
        <w:lastRenderedPageBreak/>
        <w:t>Table 54: Top 30 Military Equipment Acquisition Program Approved Projects by 2026-27 Forecast Expenditure (Gross Plan) (Continued)</w:t>
      </w:r>
      <w:r w:rsidRPr="003E76E7">
        <w:rPr>
          <w:rFonts w:ascii="Arial" w:hAnsi="Arial"/>
          <w:b/>
          <w:vertAlign w:val="superscript"/>
        </w:rPr>
        <w:t xml:space="preserve"> [a][b][c]</w:t>
      </w:r>
    </w:p>
    <w:tbl>
      <w:tblPr>
        <w:tblW w:w="4996" w:type="pct"/>
        <w:tblInd w:w="5" w:type="dxa"/>
        <w:tblLayout w:type="fixed"/>
        <w:tblLook w:val="04A0" w:firstRow="1" w:lastRow="0" w:firstColumn="1" w:lastColumn="0" w:noHBand="0" w:noVBand="1"/>
      </w:tblPr>
      <w:tblGrid>
        <w:gridCol w:w="1768"/>
        <w:gridCol w:w="1096"/>
        <w:gridCol w:w="1502"/>
        <w:gridCol w:w="1186"/>
        <w:gridCol w:w="1187"/>
        <w:gridCol w:w="1187"/>
        <w:gridCol w:w="5491"/>
      </w:tblGrid>
      <w:tr w:rsidR="004F3D65" w:rsidRPr="003E76E7" w14:paraId="4EA8F5D5" w14:textId="77777777" w:rsidTr="001E227C">
        <w:trPr>
          <w:trHeight w:hRule="exact" w:val="1108"/>
        </w:trPr>
        <w:tc>
          <w:tcPr>
            <w:tcW w:w="1768" w:type="dxa"/>
            <w:tcBorders>
              <w:top w:val="single" w:sz="4" w:space="0" w:color="auto"/>
              <w:left w:val="single" w:sz="4" w:space="0" w:color="auto"/>
              <w:right w:val="single" w:sz="4" w:space="0" w:color="auto"/>
            </w:tcBorders>
            <w:shd w:val="clear" w:color="auto" w:fill="auto"/>
            <w:vAlign w:val="center"/>
          </w:tcPr>
          <w:p w14:paraId="0E83F8A8" w14:textId="77777777" w:rsidR="004F3D65" w:rsidRPr="003E76E7" w:rsidRDefault="004F3D65" w:rsidP="00C4292D">
            <w:pPr>
              <w:spacing w:after="0"/>
              <w:rPr>
                <w:rFonts w:ascii="Arial" w:hAnsi="Arial"/>
                <w:sz w:val="16"/>
                <w:szCs w:val="16"/>
                <w:lang w:val="en-AU"/>
              </w:rPr>
            </w:pPr>
            <w:r w:rsidRPr="003E76E7">
              <w:rPr>
                <w:rFonts w:ascii="Arial" w:hAnsi="Arial"/>
                <w:b/>
                <w:bCs/>
                <w:sz w:val="16"/>
                <w:szCs w:val="16"/>
              </w:rPr>
              <w:t>Domain/Project Name</w:t>
            </w:r>
          </w:p>
        </w:tc>
        <w:tc>
          <w:tcPr>
            <w:tcW w:w="1096" w:type="dxa"/>
            <w:tcBorders>
              <w:top w:val="single" w:sz="4" w:space="0" w:color="auto"/>
              <w:left w:val="single" w:sz="4" w:space="0" w:color="auto"/>
              <w:right w:val="single" w:sz="4" w:space="0" w:color="auto"/>
            </w:tcBorders>
            <w:shd w:val="clear" w:color="auto" w:fill="auto"/>
            <w:vAlign w:val="center"/>
          </w:tcPr>
          <w:p w14:paraId="77E70DA2" w14:textId="77777777" w:rsidR="004F3D65" w:rsidRPr="003E76E7" w:rsidRDefault="004F3D65" w:rsidP="00C4292D">
            <w:pPr>
              <w:spacing w:after="0"/>
              <w:jc w:val="center"/>
              <w:rPr>
                <w:rFonts w:ascii="Arial" w:hAnsi="Arial"/>
                <w:b/>
                <w:bCs/>
                <w:sz w:val="16"/>
                <w:szCs w:val="16"/>
                <w:lang w:val="en-AU"/>
              </w:rPr>
            </w:pPr>
            <w:r w:rsidRPr="003E76E7">
              <w:rPr>
                <w:rFonts w:ascii="Arial" w:hAnsi="Arial"/>
                <w:b/>
                <w:bCs/>
                <w:sz w:val="16"/>
                <w:szCs w:val="16"/>
              </w:rPr>
              <w:t>Project Number/</w:t>
            </w:r>
            <w:r w:rsidRPr="003E76E7">
              <w:rPr>
                <w:rFonts w:ascii="Arial" w:hAnsi="Arial"/>
                <w:b/>
                <w:bCs/>
                <w:sz w:val="16"/>
                <w:szCs w:val="16"/>
              </w:rPr>
              <w:br/>
              <w:t>Phase</w:t>
            </w:r>
          </w:p>
        </w:tc>
        <w:tc>
          <w:tcPr>
            <w:tcW w:w="1502" w:type="dxa"/>
            <w:tcBorders>
              <w:top w:val="single" w:sz="4" w:space="0" w:color="auto"/>
              <w:left w:val="nil"/>
              <w:bottom w:val="single" w:sz="4" w:space="0" w:color="auto"/>
              <w:right w:val="single" w:sz="4" w:space="0" w:color="auto"/>
            </w:tcBorders>
            <w:shd w:val="clear" w:color="auto" w:fill="auto"/>
            <w:vAlign w:val="center"/>
          </w:tcPr>
          <w:p w14:paraId="7603006D" w14:textId="77777777" w:rsidR="004F3D65" w:rsidRPr="003E76E7" w:rsidRDefault="004F3D65" w:rsidP="00C4292D">
            <w:pPr>
              <w:spacing w:after="0"/>
              <w:rPr>
                <w:rFonts w:ascii="Arial" w:hAnsi="Arial"/>
                <w:sz w:val="16"/>
                <w:szCs w:val="16"/>
              </w:rPr>
            </w:pPr>
            <w:r w:rsidRPr="003E76E7">
              <w:rPr>
                <w:rFonts w:ascii="Arial" w:hAnsi="Arial"/>
                <w:b/>
                <w:bCs/>
                <w:sz w:val="16"/>
                <w:szCs w:val="16"/>
              </w:rPr>
              <w:t>Project Inputs to Capability</w:t>
            </w:r>
          </w:p>
        </w:tc>
        <w:tc>
          <w:tcPr>
            <w:tcW w:w="1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0BFF65" w14:textId="632B3B0F" w:rsidR="004F3D65" w:rsidRPr="003E76E7" w:rsidRDefault="001E227C" w:rsidP="001E227C">
            <w:pPr>
              <w:spacing w:before="0" w:after="0"/>
              <w:jc w:val="right"/>
              <w:rPr>
                <w:rFonts w:ascii="Arial" w:hAnsi="Arial"/>
                <w:b/>
                <w:bCs/>
                <w:sz w:val="16"/>
                <w:szCs w:val="16"/>
              </w:rPr>
            </w:pPr>
            <w:r>
              <w:rPr>
                <w:rFonts w:ascii="Arial" w:hAnsi="Arial"/>
                <w:b/>
                <w:bCs/>
                <w:sz w:val="16"/>
                <w:szCs w:val="16"/>
              </w:rPr>
              <w:t>Approved Project Expenditure</w:t>
            </w:r>
          </w:p>
          <w:p w14:paraId="40519CD5" w14:textId="77777777" w:rsidR="004F3D65" w:rsidRPr="003E76E7" w:rsidRDefault="004F3D65" w:rsidP="001E227C">
            <w:pPr>
              <w:spacing w:after="0"/>
              <w:jc w:val="right"/>
              <w:rPr>
                <w:rFonts w:ascii="Arial" w:hAnsi="Arial"/>
                <w:sz w:val="16"/>
                <w:szCs w:val="16"/>
              </w:rPr>
            </w:pPr>
            <w:r w:rsidRPr="003E76E7">
              <w:rPr>
                <w:rFonts w:ascii="Arial" w:hAnsi="Arial"/>
                <w:b/>
                <w:bCs/>
                <w:sz w:val="16"/>
                <w:szCs w:val="16"/>
              </w:rPr>
              <w:t xml:space="preserve"> $m</w:t>
            </w:r>
          </w:p>
        </w:tc>
        <w:tc>
          <w:tcPr>
            <w:tcW w:w="1187" w:type="dxa"/>
            <w:tcBorders>
              <w:top w:val="single" w:sz="4" w:space="0" w:color="auto"/>
              <w:left w:val="nil"/>
              <w:bottom w:val="single" w:sz="4" w:space="0" w:color="auto"/>
              <w:right w:val="single" w:sz="4" w:space="0" w:color="auto"/>
            </w:tcBorders>
            <w:shd w:val="clear" w:color="auto" w:fill="auto"/>
            <w:noWrap/>
            <w:vAlign w:val="bottom"/>
          </w:tcPr>
          <w:p w14:paraId="15FA7ABD" w14:textId="77777777" w:rsidR="004F3D65" w:rsidRPr="003E76E7" w:rsidRDefault="004F3D65" w:rsidP="001E227C">
            <w:pPr>
              <w:spacing w:before="0" w:after="0"/>
              <w:jc w:val="right"/>
              <w:rPr>
                <w:rFonts w:ascii="Arial" w:hAnsi="Arial"/>
                <w:b/>
                <w:bCs/>
                <w:sz w:val="16"/>
                <w:szCs w:val="16"/>
              </w:rPr>
            </w:pPr>
            <w:r w:rsidRPr="003E76E7">
              <w:rPr>
                <w:rFonts w:ascii="Arial" w:hAnsi="Arial"/>
                <w:b/>
                <w:bCs/>
                <w:sz w:val="16"/>
                <w:szCs w:val="16"/>
              </w:rPr>
              <w:t>Estimated Cumulative Expenditure to 30 June 2026</w:t>
            </w:r>
          </w:p>
          <w:p w14:paraId="45435297" w14:textId="77777777" w:rsidR="004F3D65" w:rsidRPr="003E76E7" w:rsidRDefault="004F3D65" w:rsidP="001E227C">
            <w:pPr>
              <w:spacing w:before="0" w:after="0"/>
              <w:jc w:val="right"/>
              <w:rPr>
                <w:rFonts w:ascii="Arial" w:hAnsi="Arial"/>
                <w:sz w:val="16"/>
                <w:szCs w:val="16"/>
              </w:rPr>
            </w:pPr>
            <w:r w:rsidRPr="003E76E7">
              <w:rPr>
                <w:rFonts w:ascii="Arial" w:hAnsi="Arial"/>
                <w:b/>
                <w:bCs/>
                <w:sz w:val="16"/>
                <w:szCs w:val="16"/>
              </w:rPr>
              <w:t xml:space="preserve"> $m</w:t>
            </w:r>
          </w:p>
        </w:tc>
        <w:tc>
          <w:tcPr>
            <w:tcW w:w="1187" w:type="dxa"/>
            <w:tcBorders>
              <w:top w:val="single" w:sz="4" w:space="0" w:color="auto"/>
              <w:left w:val="nil"/>
              <w:bottom w:val="single" w:sz="4" w:space="0" w:color="auto"/>
              <w:right w:val="single" w:sz="4" w:space="0" w:color="auto"/>
            </w:tcBorders>
            <w:shd w:val="clear" w:color="auto" w:fill="auto"/>
            <w:noWrap/>
            <w:vAlign w:val="bottom"/>
          </w:tcPr>
          <w:p w14:paraId="0088FB73" w14:textId="05E9978F" w:rsidR="004F3D65" w:rsidRPr="003E76E7" w:rsidRDefault="001E227C" w:rsidP="001E227C">
            <w:pPr>
              <w:spacing w:before="0" w:after="0"/>
              <w:jc w:val="right"/>
              <w:rPr>
                <w:rFonts w:ascii="Arial" w:hAnsi="Arial"/>
                <w:b/>
                <w:bCs/>
                <w:sz w:val="16"/>
                <w:szCs w:val="16"/>
              </w:rPr>
            </w:pPr>
            <w:r>
              <w:rPr>
                <w:rFonts w:ascii="Arial" w:hAnsi="Arial"/>
                <w:b/>
                <w:bCs/>
                <w:sz w:val="16"/>
                <w:szCs w:val="16"/>
              </w:rPr>
              <w:t xml:space="preserve">Budget Estimate 2026-27 </w:t>
            </w:r>
          </w:p>
          <w:p w14:paraId="22231D48" w14:textId="77777777" w:rsidR="004F3D65" w:rsidRPr="003E76E7" w:rsidRDefault="004F3D65" w:rsidP="001E227C">
            <w:pPr>
              <w:spacing w:after="0"/>
              <w:jc w:val="right"/>
              <w:rPr>
                <w:rFonts w:ascii="Arial" w:hAnsi="Arial"/>
                <w:sz w:val="16"/>
                <w:szCs w:val="16"/>
              </w:rPr>
            </w:pPr>
            <w:r w:rsidRPr="003E76E7">
              <w:rPr>
                <w:rFonts w:ascii="Arial" w:hAnsi="Arial"/>
                <w:b/>
                <w:bCs/>
                <w:sz w:val="16"/>
                <w:szCs w:val="16"/>
              </w:rPr>
              <w:t>$m</w:t>
            </w:r>
          </w:p>
        </w:tc>
        <w:tc>
          <w:tcPr>
            <w:tcW w:w="5491" w:type="dxa"/>
            <w:tcBorders>
              <w:top w:val="single" w:sz="4" w:space="0" w:color="auto"/>
              <w:left w:val="single" w:sz="4" w:space="0" w:color="auto"/>
              <w:right w:val="single" w:sz="4" w:space="0" w:color="auto"/>
            </w:tcBorders>
            <w:shd w:val="clear" w:color="auto" w:fill="auto"/>
            <w:vAlign w:val="center"/>
          </w:tcPr>
          <w:p w14:paraId="382716F8" w14:textId="77777777" w:rsidR="004F3D65" w:rsidRPr="003E76E7" w:rsidRDefault="004F3D65" w:rsidP="00C4292D">
            <w:pPr>
              <w:pStyle w:val="CommentText"/>
              <w:rPr>
                <w:rFonts w:ascii="Arial" w:hAnsi="Arial"/>
                <w:sz w:val="16"/>
                <w:szCs w:val="16"/>
              </w:rPr>
            </w:pPr>
            <w:r w:rsidRPr="003E76E7">
              <w:rPr>
                <w:rFonts w:ascii="Arial" w:hAnsi="Arial"/>
                <w:b/>
                <w:bCs/>
                <w:sz w:val="16"/>
                <w:szCs w:val="16"/>
              </w:rPr>
              <w:t>Top 30 Military Equipment Acquisition Project Descriptions</w:t>
            </w:r>
          </w:p>
        </w:tc>
      </w:tr>
      <w:tr w:rsidR="004F3D65" w:rsidRPr="003E76E7" w14:paraId="69D8473F" w14:textId="77777777" w:rsidTr="001E227C">
        <w:trPr>
          <w:trHeight w:hRule="exact" w:val="355"/>
        </w:trPr>
        <w:tc>
          <w:tcPr>
            <w:tcW w:w="13417" w:type="dxa"/>
            <w:gridSpan w:val="7"/>
            <w:tcBorders>
              <w:top w:val="single" w:sz="4" w:space="0" w:color="auto"/>
              <w:left w:val="single" w:sz="4" w:space="0" w:color="auto"/>
              <w:right w:val="single" w:sz="4" w:space="0" w:color="auto"/>
            </w:tcBorders>
            <w:shd w:val="clear" w:color="auto" w:fill="E7E6E6" w:themeFill="background2"/>
            <w:vAlign w:val="center"/>
          </w:tcPr>
          <w:p w14:paraId="42EBC458" w14:textId="77777777" w:rsidR="004F3D65" w:rsidRPr="003E76E7" w:rsidRDefault="004F3D65" w:rsidP="00C4292D">
            <w:pPr>
              <w:pStyle w:val="CommentText"/>
              <w:rPr>
                <w:rFonts w:ascii="Arial" w:hAnsi="Arial"/>
                <w:b/>
                <w:bCs/>
                <w:sz w:val="16"/>
                <w:szCs w:val="16"/>
              </w:rPr>
            </w:pPr>
            <w:r w:rsidRPr="003E76E7">
              <w:rPr>
                <w:rFonts w:ascii="Arial" w:hAnsi="Arial"/>
                <w:b/>
                <w:bCs/>
                <w:sz w:val="16"/>
                <w:szCs w:val="16"/>
              </w:rPr>
              <w:t>Air Domain (Continued)</w:t>
            </w:r>
          </w:p>
        </w:tc>
      </w:tr>
      <w:tr w:rsidR="004F3D65" w:rsidRPr="003E76E7" w14:paraId="0067CDAC" w14:textId="77777777" w:rsidTr="001E227C">
        <w:trPr>
          <w:trHeight w:hRule="exact" w:val="1738"/>
        </w:trPr>
        <w:tc>
          <w:tcPr>
            <w:tcW w:w="1768" w:type="dxa"/>
            <w:vMerge w:val="restart"/>
            <w:tcBorders>
              <w:top w:val="single" w:sz="4" w:space="0" w:color="auto"/>
              <w:left w:val="single" w:sz="4" w:space="0" w:color="auto"/>
              <w:right w:val="single" w:sz="4" w:space="0" w:color="auto"/>
            </w:tcBorders>
            <w:shd w:val="clear" w:color="auto" w:fill="auto"/>
            <w:vAlign w:val="center"/>
          </w:tcPr>
          <w:p w14:paraId="29322F94" w14:textId="77777777" w:rsidR="004F3D65" w:rsidRPr="003E76E7" w:rsidRDefault="004F3D65" w:rsidP="00C4292D">
            <w:pPr>
              <w:spacing w:after="0"/>
              <w:rPr>
                <w:rFonts w:ascii="Arial" w:hAnsi="Arial"/>
                <w:sz w:val="16"/>
                <w:szCs w:val="16"/>
              </w:rPr>
            </w:pPr>
            <w:r w:rsidRPr="003E76E7">
              <w:rPr>
                <w:rFonts w:ascii="Arial" w:hAnsi="Arial"/>
                <w:sz w:val="16"/>
                <w:szCs w:val="16"/>
                <w:lang w:val="en-AU"/>
              </w:rPr>
              <w:t>Air Domain Guided Weapons and Munitions</w:t>
            </w:r>
          </w:p>
        </w:tc>
        <w:tc>
          <w:tcPr>
            <w:tcW w:w="1096" w:type="dxa"/>
            <w:vMerge w:val="restart"/>
            <w:tcBorders>
              <w:top w:val="single" w:sz="4" w:space="0" w:color="auto"/>
              <w:left w:val="single" w:sz="4" w:space="0" w:color="auto"/>
              <w:right w:val="single" w:sz="4" w:space="0" w:color="auto"/>
            </w:tcBorders>
            <w:shd w:val="clear" w:color="auto" w:fill="auto"/>
            <w:vAlign w:val="center"/>
          </w:tcPr>
          <w:p w14:paraId="055805A1" w14:textId="77777777" w:rsidR="004F3D65" w:rsidRPr="003E76E7" w:rsidRDefault="004F3D65" w:rsidP="00C4292D">
            <w:pPr>
              <w:spacing w:after="0"/>
              <w:jc w:val="center"/>
              <w:rPr>
                <w:rFonts w:ascii="Arial" w:hAnsi="Arial"/>
                <w:b/>
                <w:bCs/>
                <w:sz w:val="16"/>
                <w:szCs w:val="16"/>
              </w:rPr>
            </w:pPr>
            <w:r w:rsidRPr="003E76E7">
              <w:rPr>
                <w:rFonts w:ascii="Arial" w:hAnsi="Arial"/>
                <w:b/>
                <w:bCs/>
                <w:sz w:val="16"/>
                <w:szCs w:val="16"/>
                <w:lang w:val="en-AU"/>
              </w:rPr>
              <w:t>AIR 1300</w:t>
            </w:r>
          </w:p>
        </w:tc>
        <w:tc>
          <w:tcPr>
            <w:tcW w:w="1502" w:type="dxa"/>
            <w:tcBorders>
              <w:top w:val="single" w:sz="4" w:space="0" w:color="auto"/>
              <w:left w:val="nil"/>
              <w:bottom w:val="single" w:sz="4" w:space="0" w:color="auto"/>
              <w:right w:val="single" w:sz="4" w:space="0" w:color="auto"/>
            </w:tcBorders>
            <w:shd w:val="clear" w:color="auto" w:fill="auto"/>
            <w:vAlign w:val="center"/>
          </w:tcPr>
          <w:p w14:paraId="57470E30" w14:textId="18FFD45F" w:rsidR="004F3D65" w:rsidRPr="003E76E7" w:rsidRDefault="004F3D65" w:rsidP="00C4292D">
            <w:pPr>
              <w:spacing w:after="0"/>
              <w:rPr>
                <w:rFonts w:ascii="Arial" w:hAnsi="Arial"/>
                <w:sz w:val="16"/>
                <w:szCs w:val="16"/>
              </w:rPr>
            </w:pPr>
            <w:r w:rsidRPr="003E76E7">
              <w:rPr>
                <w:rFonts w:ascii="Arial" w:hAnsi="Arial"/>
                <w:sz w:val="16"/>
                <w:szCs w:val="16"/>
              </w:rPr>
              <w:t>Military Equipment Acquisition</w:t>
            </w:r>
          </w:p>
        </w:tc>
        <w:tc>
          <w:tcPr>
            <w:tcW w:w="11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F81FDA" w14:textId="4708401C"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4,219 </w:t>
            </w:r>
          </w:p>
        </w:tc>
        <w:tc>
          <w:tcPr>
            <w:tcW w:w="1187" w:type="dxa"/>
            <w:tcBorders>
              <w:top w:val="single" w:sz="4" w:space="0" w:color="auto"/>
              <w:left w:val="nil"/>
              <w:bottom w:val="single" w:sz="4" w:space="0" w:color="auto"/>
              <w:right w:val="single" w:sz="4" w:space="0" w:color="auto"/>
            </w:tcBorders>
            <w:shd w:val="clear" w:color="auto" w:fill="auto"/>
            <w:noWrap/>
            <w:vAlign w:val="center"/>
          </w:tcPr>
          <w:p w14:paraId="58EAD4EC" w14:textId="02F4AD72"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598 </w:t>
            </w:r>
          </w:p>
        </w:tc>
        <w:tc>
          <w:tcPr>
            <w:tcW w:w="1187" w:type="dxa"/>
            <w:tcBorders>
              <w:top w:val="single" w:sz="4" w:space="0" w:color="auto"/>
              <w:left w:val="nil"/>
              <w:bottom w:val="single" w:sz="4" w:space="0" w:color="auto"/>
              <w:right w:val="single" w:sz="4" w:space="0" w:color="auto"/>
            </w:tcBorders>
            <w:shd w:val="clear" w:color="auto" w:fill="auto"/>
            <w:noWrap/>
            <w:vAlign w:val="center"/>
          </w:tcPr>
          <w:p w14:paraId="43F73CB3" w14:textId="05343FD3"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438 </w:t>
            </w:r>
          </w:p>
        </w:tc>
        <w:tc>
          <w:tcPr>
            <w:tcW w:w="5491" w:type="dxa"/>
            <w:vMerge w:val="restart"/>
            <w:tcBorders>
              <w:top w:val="single" w:sz="4" w:space="0" w:color="auto"/>
              <w:left w:val="single" w:sz="4" w:space="0" w:color="auto"/>
              <w:right w:val="single" w:sz="4" w:space="0" w:color="auto"/>
            </w:tcBorders>
            <w:shd w:val="clear" w:color="auto" w:fill="auto"/>
            <w:vAlign w:val="center"/>
          </w:tcPr>
          <w:p w14:paraId="7EE06621" w14:textId="77777777" w:rsidR="004F3D65" w:rsidRPr="003E76E7" w:rsidRDefault="004F3D65" w:rsidP="00C4292D">
            <w:pPr>
              <w:pStyle w:val="CommentText"/>
              <w:spacing w:before="60" w:after="60"/>
              <w:rPr>
                <w:rFonts w:ascii="Arial" w:hAnsi="Arial"/>
                <w:sz w:val="16"/>
                <w:szCs w:val="16"/>
              </w:rPr>
            </w:pPr>
            <w:r w:rsidRPr="003E76E7">
              <w:rPr>
                <w:rFonts w:ascii="Arial" w:hAnsi="Arial"/>
                <w:sz w:val="16"/>
                <w:szCs w:val="16"/>
              </w:rPr>
              <w:t>This project is acquiring air-launched weapons, air countermeasures, and associated GWEO ancillaries to enable multi domain strike, interdiction, air combat, and electronic attack missions.</w:t>
            </w:r>
          </w:p>
          <w:p w14:paraId="01BB0EA8" w14:textId="33DDD1D4" w:rsidR="004F3D65" w:rsidRPr="003E76E7" w:rsidRDefault="004F3D65" w:rsidP="00C4292D">
            <w:pPr>
              <w:pStyle w:val="CommentText"/>
              <w:spacing w:before="60" w:after="60"/>
              <w:rPr>
                <w:rFonts w:ascii="Arial" w:hAnsi="Arial"/>
                <w:sz w:val="16"/>
                <w:szCs w:val="16"/>
              </w:rPr>
            </w:pPr>
            <w:r w:rsidRPr="003E76E7">
              <w:rPr>
                <w:rFonts w:ascii="Arial" w:hAnsi="Arial"/>
                <w:sz w:val="16"/>
                <w:szCs w:val="16"/>
              </w:rPr>
              <w:t xml:space="preserve">These capabilities will be used by Air Force platforms including the </w:t>
            </w:r>
            <w:r w:rsidR="001E68CC" w:rsidRPr="003E76E7">
              <w:rPr>
                <w:rFonts w:ascii="Arial" w:hAnsi="Arial"/>
                <w:sz w:val="16"/>
                <w:szCs w:val="16"/>
              </w:rPr>
              <w:br/>
            </w:r>
            <w:r w:rsidRPr="003E76E7">
              <w:rPr>
                <w:rFonts w:ascii="Arial" w:hAnsi="Arial"/>
                <w:sz w:val="16"/>
                <w:szCs w:val="16"/>
              </w:rPr>
              <w:t xml:space="preserve">F/A-18F Super Hornet, E/A-18G Growler, P-8A Poseidon and the </w:t>
            </w:r>
            <w:r w:rsidR="001E68CC" w:rsidRPr="003E76E7">
              <w:rPr>
                <w:rFonts w:ascii="Arial" w:hAnsi="Arial"/>
                <w:sz w:val="16"/>
                <w:szCs w:val="16"/>
              </w:rPr>
              <w:br/>
            </w:r>
            <w:r w:rsidRPr="003E76E7">
              <w:rPr>
                <w:rFonts w:ascii="Arial" w:hAnsi="Arial"/>
                <w:sz w:val="16"/>
                <w:szCs w:val="16"/>
              </w:rPr>
              <w:t xml:space="preserve">F-35A Lightning II. </w:t>
            </w:r>
          </w:p>
          <w:p w14:paraId="002DF084" w14:textId="1A5B5518" w:rsidR="004F3D65" w:rsidRPr="003E76E7" w:rsidRDefault="004F3D65" w:rsidP="00C4292D">
            <w:pPr>
              <w:spacing w:before="60" w:after="60"/>
              <w:rPr>
                <w:rFonts w:ascii="Arial" w:hAnsi="Arial"/>
                <w:sz w:val="16"/>
                <w:szCs w:val="16"/>
              </w:rPr>
            </w:pPr>
            <w:r w:rsidRPr="003E76E7">
              <w:rPr>
                <w:rFonts w:ascii="Arial" w:hAnsi="Arial"/>
                <w:sz w:val="16"/>
                <w:szCs w:val="16"/>
              </w:rPr>
              <w:t xml:space="preserve">Equipment will be acquired through the United States Government Foreign Military Sales program, and via direct commercial sales including supply of general-purpose bombs through Australian Munitions and the Joint Strike Missile through Kongsberg. Deliveries of the Long Range </w:t>
            </w:r>
            <w:r w:rsidR="001E68CC" w:rsidRPr="003E76E7">
              <w:rPr>
                <w:rFonts w:ascii="Arial" w:hAnsi="Arial"/>
                <w:sz w:val="16"/>
                <w:szCs w:val="16"/>
              </w:rPr>
              <w:br/>
            </w:r>
            <w:r w:rsidRPr="003E76E7">
              <w:rPr>
                <w:rFonts w:ascii="Arial" w:hAnsi="Arial"/>
                <w:sz w:val="16"/>
                <w:szCs w:val="16"/>
              </w:rPr>
              <w:t>Anti-Ship Missile and the Joint Air to Surface Standoff Missile - Extended Range were completed in early 2025-26.</w:t>
            </w:r>
          </w:p>
          <w:p w14:paraId="7D70B53E" w14:textId="77777777" w:rsidR="004F3D65" w:rsidRPr="003E76E7" w:rsidRDefault="004F3D65" w:rsidP="00C4292D">
            <w:pPr>
              <w:spacing w:before="60" w:after="60"/>
              <w:rPr>
                <w:rFonts w:asciiTheme="minorHAnsi" w:hAnsiTheme="minorHAnsi" w:cstheme="minorBidi"/>
                <w:color w:val="1F497D"/>
                <w:sz w:val="22"/>
                <w:szCs w:val="22"/>
              </w:rPr>
            </w:pPr>
            <w:r w:rsidRPr="003E76E7">
              <w:rPr>
                <w:rFonts w:ascii="Arial" w:hAnsi="Arial"/>
                <w:sz w:val="16"/>
                <w:szCs w:val="16"/>
              </w:rPr>
              <w:t>During 2026-27, the project will continue procurement, delivery and integration of air intercept missiles, air-launched strike weapons and associated ancillaries.</w:t>
            </w:r>
          </w:p>
          <w:p w14:paraId="67E612B0" w14:textId="77777777" w:rsidR="004F3D65" w:rsidRPr="003E76E7" w:rsidRDefault="004F3D65" w:rsidP="00C4292D">
            <w:pPr>
              <w:autoSpaceDE w:val="0"/>
              <w:autoSpaceDN w:val="0"/>
              <w:adjustRightInd w:val="0"/>
              <w:spacing w:before="60" w:afterLines="60" w:after="144"/>
              <w:rPr>
                <w:rFonts w:ascii="ArialMT" w:hAnsi="ArialMT" w:cs="ArialMT"/>
                <w:sz w:val="16"/>
                <w:szCs w:val="16"/>
                <w:lang w:val="en-AU"/>
              </w:rPr>
            </w:pPr>
          </w:p>
        </w:tc>
      </w:tr>
      <w:tr w:rsidR="004F3D65" w:rsidRPr="003E76E7" w14:paraId="424477ED" w14:textId="77777777" w:rsidTr="001E227C">
        <w:trPr>
          <w:trHeight w:hRule="exact" w:val="1550"/>
        </w:trPr>
        <w:tc>
          <w:tcPr>
            <w:tcW w:w="1768" w:type="dxa"/>
            <w:vMerge/>
            <w:tcBorders>
              <w:left w:val="single" w:sz="4" w:space="0" w:color="auto"/>
              <w:bottom w:val="single" w:sz="4" w:space="0" w:color="auto"/>
              <w:right w:val="single" w:sz="4" w:space="0" w:color="auto"/>
            </w:tcBorders>
            <w:shd w:val="clear" w:color="auto" w:fill="auto"/>
            <w:vAlign w:val="center"/>
          </w:tcPr>
          <w:p w14:paraId="2949E9E5" w14:textId="77777777" w:rsidR="004F3D65" w:rsidRPr="003E76E7" w:rsidRDefault="004F3D65" w:rsidP="00C4292D">
            <w:pPr>
              <w:spacing w:after="0"/>
              <w:rPr>
                <w:rFonts w:ascii="Arial" w:hAnsi="Arial"/>
                <w:sz w:val="16"/>
                <w:szCs w:val="16"/>
              </w:rPr>
            </w:pPr>
          </w:p>
        </w:tc>
        <w:tc>
          <w:tcPr>
            <w:tcW w:w="1096" w:type="dxa"/>
            <w:vMerge/>
            <w:tcBorders>
              <w:left w:val="single" w:sz="4" w:space="0" w:color="auto"/>
              <w:bottom w:val="single" w:sz="4" w:space="0" w:color="auto"/>
              <w:right w:val="single" w:sz="4" w:space="0" w:color="auto"/>
            </w:tcBorders>
            <w:shd w:val="clear" w:color="auto" w:fill="auto"/>
            <w:vAlign w:val="center"/>
          </w:tcPr>
          <w:p w14:paraId="139EC8B1" w14:textId="77777777" w:rsidR="004F3D65" w:rsidRPr="003E76E7" w:rsidRDefault="004F3D65" w:rsidP="00C4292D">
            <w:pPr>
              <w:spacing w:after="0"/>
              <w:jc w:val="center"/>
              <w:rPr>
                <w:rFonts w:ascii="Arial" w:hAnsi="Arial"/>
                <w:b/>
                <w:bCs/>
                <w:sz w:val="16"/>
                <w:szCs w:val="16"/>
              </w:rPr>
            </w:pPr>
          </w:p>
        </w:tc>
        <w:tc>
          <w:tcPr>
            <w:tcW w:w="1502" w:type="dxa"/>
            <w:tcBorders>
              <w:top w:val="single" w:sz="4" w:space="0" w:color="auto"/>
              <w:left w:val="nil"/>
              <w:bottom w:val="single" w:sz="4" w:space="0" w:color="auto"/>
              <w:right w:val="single" w:sz="4" w:space="0" w:color="auto"/>
            </w:tcBorders>
            <w:shd w:val="clear" w:color="auto" w:fill="auto"/>
            <w:vAlign w:val="center"/>
          </w:tcPr>
          <w:p w14:paraId="4D85EFA3" w14:textId="77777777" w:rsidR="004F3D65" w:rsidRPr="003E76E7" w:rsidRDefault="004F3D65" w:rsidP="00C4292D">
            <w:pPr>
              <w:spacing w:after="0"/>
              <w:rPr>
                <w:rFonts w:ascii="Arial" w:hAnsi="Arial"/>
                <w:sz w:val="16"/>
                <w:szCs w:val="16"/>
              </w:rPr>
            </w:pPr>
            <w:r w:rsidRPr="003E76E7">
              <w:rPr>
                <w:rFonts w:ascii="Arial" w:hAnsi="Arial"/>
                <w:sz w:val="16"/>
                <w:szCs w:val="16"/>
              </w:rPr>
              <w:t>Other Project Inputs to Capability</w:t>
            </w:r>
          </w:p>
        </w:tc>
        <w:tc>
          <w:tcPr>
            <w:tcW w:w="1186" w:type="dxa"/>
            <w:tcBorders>
              <w:top w:val="nil"/>
              <w:left w:val="single" w:sz="4" w:space="0" w:color="auto"/>
              <w:bottom w:val="single" w:sz="4" w:space="0" w:color="auto"/>
              <w:right w:val="single" w:sz="4" w:space="0" w:color="auto"/>
            </w:tcBorders>
            <w:shd w:val="clear" w:color="auto" w:fill="auto"/>
            <w:noWrap/>
            <w:vAlign w:val="center"/>
          </w:tcPr>
          <w:p w14:paraId="2647290B" w14:textId="3C9FF711" w:rsidR="004F3D65" w:rsidRPr="003E76E7" w:rsidRDefault="00ED57D2" w:rsidP="00ED57D2">
            <w:pPr>
              <w:spacing w:after="0"/>
              <w:jc w:val="right"/>
              <w:rPr>
                <w:rFonts w:ascii="Arial" w:hAnsi="Arial"/>
                <w:sz w:val="16"/>
                <w:szCs w:val="16"/>
              </w:rPr>
            </w:pPr>
            <w:r>
              <w:rPr>
                <w:rFonts w:ascii="Arial" w:hAnsi="Arial"/>
                <w:sz w:val="16"/>
                <w:szCs w:val="16"/>
              </w:rPr>
              <w:t>0</w:t>
            </w:r>
          </w:p>
        </w:tc>
        <w:tc>
          <w:tcPr>
            <w:tcW w:w="1187" w:type="dxa"/>
            <w:tcBorders>
              <w:top w:val="nil"/>
              <w:left w:val="nil"/>
              <w:bottom w:val="single" w:sz="4" w:space="0" w:color="auto"/>
              <w:right w:val="single" w:sz="4" w:space="0" w:color="auto"/>
            </w:tcBorders>
            <w:shd w:val="clear" w:color="auto" w:fill="auto"/>
            <w:noWrap/>
            <w:vAlign w:val="center"/>
          </w:tcPr>
          <w:p w14:paraId="12FE42E5" w14:textId="4AB5D741" w:rsidR="004F3D65" w:rsidRPr="003E76E7" w:rsidRDefault="00ED57D2" w:rsidP="00ED57D2">
            <w:pPr>
              <w:spacing w:after="0"/>
              <w:jc w:val="right"/>
              <w:rPr>
                <w:rFonts w:ascii="Arial" w:hAnsi="Arial"/>
                <w:sz w:val="16"/>
                <w:szCs w:val="16"/>
              </w:rPr>
            </w:pPr>
            <w:r>
              <w:rPr>
                <w:rFonts w:ascii="Arial" w:hAnsi="Arial"/>
                <w:sz w:val="16"/>
                <w:szCs w:val="16"/>
              </w:rPr>
              <w:t>0</w:t>
            </w:r>
          </w:p>
        </w:tc>
        <w:tc>
          <w:tcPr>
            <w:tcW w:w="1187" w:type="dxa"/>
            <w:tcBorders>
              <w:top w:val="nil"/>
              <w:left w:val="nil"/>
              <w:bottom w:val="single" w:sz="4" w:space="0" w:color="auto"/>
              <w:right w:val="single" w:sz="4" w:space="0" w:color="auto"/>
            </w:tcBorders>
            <w:shd w:val="clear" w:color="auto" w:fill="auto"/>
            <w:noWrap/>
            <w:vAlign w:val="center"/>
          </w:tcPr>
          <w:p w14:paraId="3F591200" w14:textId="3A609FDD" w:rsidR="004F3D65" w:rsidRPr="003E76E7" w:rsidRDefault="00ED57D2" w:rsidP="00ED57D2">
            <w:pPr>
              <w:spacing w:after="0"/>
              <w:jc w:val="right"/>
              <w:rPr>
                <w:rFonts w:ascii="Arial" w:hAnsi="Arial"/>
                <w:sz w:val="16"/>
                <w:szCs w:val="16"/>
              </w:rPr>
            </w:pPr>
            <w:r>
              <w:rPr>
                <w:rFonts w:ascii="Arial" w:hAnsi="Arial"/>
                <w:sz w:val="16"/>
                <w:szCs w:val="16"/>
              </w:rPr>
              <w:t>-</w:t>
            </w:r>
          </w:p>
        </w:tc>
        <w:tc>
          <w:tcPr>
            <w:tcW w:w="5491" w:type="dxa"/>
            <w:vMerge/>
            <w:tcBorders>
              <w:left w:val="single" w:sz="4" w:space="0" w:color="auto"/>
              <w:bottom w:val="single" w:sz="4" w:space="0" w:color="auto"/>
              <w:right w:val="single" w:sz="4" w:space="0" w:color="auto"/>
            </w:tcBorders>
            <w:shd w:val="clear" w:color="auto" w:fill="auto"/>
            <w:vAlign w:val="center"/>
          </w:tcPr>
          <w:p w14:paraId="5714566D" w14:textId="77777777" w:rsidR="004F3D65" w:rsidRPr="003E76E7" w:rsidRDefault="004F3D65" w:rsidP="00C4292D">
            <w:pPr>
              <w:autoSpaceDE w:val="0"/>
              <w:autoSpaceDN w:val="0"/>
              <w:adjustRightInd w:val="0"/>
              <w:spacing w:before="60" w:afterLines="60" w:after="144"/>
              <w:rPr>
                <w:rFonts w:ascii="ArialMT" w:hAnsi="ArialMT" w:cs="ArialMT"/>
                <w:sz w:val="16"/>
                <w:szCs w:val="16"/>
                <w:lang w:val="en-AU"/>
              </w:rPr>
            </w:pPr>
          </w:p>
        </w:tc>
      </w:tr>
      <w:tr w:rsidR="004F3D65" w:rsidRPr="003E76E7" w14:paraId="7E8616EB" w14:textId="77777777" w:rsidTr="001E227C">
        <w:trPr>
          <w:trHeight w:hRule="exact" w:val="881"/>
        </w:trPr>
        <w:tc>
          <w:tcPr>
            <w:tcW w:w="1768" w:type="dxa"/>
            <w:vMerge w:val="restart"/>
            <w:tcBorders>
              <w:top w:val="single" w:sz="4" w:space="0" w:color="auto"/>
              <w:left w:val="single" w:sz="4" w:space="0" w:color="auto"/>
              <w:right w:val="single" w:sz="4" w:space="0" w:color="auto"/>
            </w:tcBorders>
            <w:shd w:val="clear" w:color="auto" w:fill="auto"/>
            <w:vAlign w:val="center"/>
          </w:tcPr>
          <w:p w14:paraId="57B9A141" w14:textId="77777777" w:rsidR="004F3D65" w:rsidRPr="003E76E7" w:rsidRDefault="004F3D65" w:rsidP="00C4292D">
            <w:pPr>
              <w:spacing w:after="0"/>
              <w:rPr>
                <w:rFonts w:ascii="Arial" w:hAnsi="Arial"/>
                <w:sz w:val="16"/>
                <w:szCs w:val="16"/>
              </w:rPr>
            </w:pPr>
            <w:r w:rsidRPr="003E76E7">
              <w:rPr>
                <w:rFonts w:ascii="Arial" w:hAnsi="Arial"/>
                <w:sz w:val="16"/>
                <w:szCs w:val="16"/>
              </w:rPr>
              <w:t>P-8A Poseidon</w:t>
            </w:r>
          </w:p>
        </w:tc>
        <w:tc>
          <w:tcPr>
            <w:tcW w:w="1096" w:type="dxa"/>
            <w:vMerge w:val="restart"/>
            <w:tcBorders>
              <w:top w:val="single" w:sz="4" w:space="0" w:color="auto"/>
              <w:left w:val="single" w:sz="4" w:space="0" w:color="auto"/>
              <w:right w:val="single" w:sz="4" w:space="0" w:color="auto"/>
            </w:tcBorders>
            <w:shd w:val="clear" w:color="auto" w:fill="auto"/>
            <w:vAlign w:val="center"/>
          </w:tcPr>
          <w:p w14:paraId="076C1282" w14:textId="77777777" w:rsidR="004F3D65" w:rsidRPr="003E76E7" w:rsidRDefault="004F3D65" w:rsidP="00C4292D">
            <w:pPr>
              <w:spacing w:after="0"/>
              <w:jc w:val="center"/>
              <w:rPr>
                <w:rFonts w:ascii="Arial" w:hAnsi="Arial"/>
                <w:b/>
                <w:bCs/>
                <w:sz w:val="16"/>
                <w:szCs w:val="16"/>
              </w:rPr>
            </w:pPr>
            <w:r w:rsidRPr="003E76E7">
              <w:rPr>
                <w:rFonts w:ascii="Arial" w:hAnsi="Arial"/>
                <w:b/>
                <w:bCs/>
                <w:sz w:val="16"/>
                <w:szCs w:val="16"/>
              </w:rPr>
              <w:t>AIR 7000</w:t>
            </w:r>
          </w:p>
        </w:tc>
        <w:tc>
          <w:tcPr>
            <w:tcW w:w="1502" w:type="dxa"/>
            <w:tcBorders>
              <w:top w:val="nil"/>
              <w:left w:val="nil"/>
              <w:bottom w:val="single" w:sz="4" w:space="0" w:color="auto"/>
              <w:right w:val="single" w:sz="4" w:space="0" w:color="auto"/>
            </w:tcBorders>
            <w:shd w:val="clear" w:color="auto" w:fill="auto"/>
            <w:vAlign w:val="center"/>
          </w:tcPr>
          <w:p w14:paraId="580EBB2C" w14:textId="77777777" w:rsidR="004F3D65" w:rsidRPr="003E76E7" w:rsidRDefault="004F3D65" w:rsidP="00C4292D">
            <w:pPr>
              <w:spacing w:after="0"/>
              <w:rPr>
                <w:rFonts w:ascii="Arial" w:hAnsi="Arial"/>
                <w:sz w:val="16"/>
                <w:szCs w:val="16"/>
              </w:rPr>
            </w:pPr>
            <w:r w:rsidRPr="003E76E7">
              <w:rPr>
                <w:rFonts w:ascii="Arial" w:hAnsi="Arial"/>
                <w:sz w:val="16"/>
                <w:szCs w:val="16"/>
              </w:rPr>
              <w:t>Military Equipment Acquisition</w:t>
            </w:r>
          </w:p>
        </w:tc>
        <w:tc>
          <w:tcPr>
            <w:tcW w:w="11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2F7ECB" w14:textId="77777777" w:rsidR="004F3D65" w:rsidRPr="003E76E7" w:rsidRDefault="004F3D65" w:rsidP="00ED57D2">
            <w:pPr>
              <w:spacing w:after="0"/>
              <w:jc w:val="right"/>
              <w:rPr>
                <w:rFonts w:ascii="Arial" w:hAnsi="Arial"/>
                <w:sz w:val="16"/>
                <w:szCs w:val="16"/>
              </w:rPr>
            </w:pPr>
            <w:r w:rsidRPr="003E76E7">
              <w:rPr>
                <w:rFonts w:ascii="Arial" w:hAnsi="Arial"/>
                <w:sz w:val="16"/>
                <w:szCs w:val="16"/>
              </w:rPr>
              <w:t>7,409</w:t>
            </w:r>
          </w:p>
        </w:tc>
        <w:tc>
          <w:tcPr>
            <w:tcW w:w="1187" w:type="dxa"/>
            <w:tcBorders>
              <w:top w:val="single" w:sz="4" w:space="0" w:color="auto"/>
              <w:left w:val="nil"/>
              <w:bottom w:val="single" w:sz="4" w:space="0" w:color="auto"/>
              <w:right w:val="single" w:sz="4" w:space="0" w:color="auto"/>
            </w:tcBorders>
            <w:shd w:val="clear" w:color="auto" w:fill="auto"/>
            <w:noWrap/>
            <w:vAlign w:val="center"/>
          </w:tcPr>
          <w:p w14:paraId="61201C98" w14:textId="147AE56E"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5,580 </w:t>
            </w:r>
          </w:p>
        </w:tc>
        <w:tc>
          <w:tcPr>
            <w:tcW w:w="1187" w:type="dxa"/>
            <w:tcBorders>
              <w:top w:val="single" w:sz="4" w:space="0" w:color="auto"/>
              <w:left w:val="nil"/>
              <w:bottom w:val="single" w:sz="4" w:space="0" w:color="auto"/>
              <w:right w:val="single" w:sz="4" w:space="0" w:color="auto"/>
            </w:tcBorders>
            <w:shd w:val="clear" w:color="auto" w:fill="auto"/>
            <w:noWrap/>
            <w:vAlign w:val="center"/>
          </w:tcPr>
          <w:p w14:paraId="27F5CDCF" w14:textId="1FC34AE1"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335 </w:t>
            </w:r>
          </w:p>
        </w:tc>
        <w:tc>
          <w:tcPr>
            <w:tcW w:w="5491" w:type="dxa"/>
            <w:vMerge w:val="restart"/>
            <w:tcBorders>
              <w:top w:val="single" w:sz="4" w:space="0" w:color="auto"/>
              <w:left w:val="single" w:sz="4" w:space="0" w:color="auto"/>
              <w:right w:val="single" w:sz="4" w:space="0" w:color="auto"/>
            </w:tcBorders>
            <w:shd w:val="clear" w:color="auto" w:fill="auto"/>
            <w:vAlign w:val="center"/>
          </w:tcPr>
          <w:p w14:paraId="1BE548D5" w14:textId="77777777" w:rsidR="004F3D65" w:rsidRPr="003E76E7" w:rsidRDefault="004F3D65" w:rsidP="00C4292D">
            <w:pPr>
              <w:autoSpaceDE w:val="0"/>
              <w:autoSpaceDN w:val="0"/>
              <w:adjustRightInd w:val="0"/>
              <w:spacing w:before="60" w:after="60"/>
              <w:rPr>
                <w:rFonts w:ascii="ArialMT" w:hAnsi="ArialMT" w:cs="ArialMT"/>
                <w:sz w:val="16"/>
                <w:szCs w:val="16"/>
                <w:lang w:val="en-AU"/>
              </w:rPr>
            </w:pPr>
            <w:r w:rsidRPr="003E76E7">
              <w:rPr>
                <w:rFonts w:ascii="ArialMT" w:hAnsi="ArialMT" w:cs="ArialMT"/>
                <w:sz w:val="16"/>
                <w:szCs w:val="16"/>
                <w:lang w:val="en-AU"/>
              </w:rPr>
              <w:t>This project will acquire 14 P-8A Poseidon aircraft, associated support systems as well as undertake capability upgrades for the fleet. The equipment is being procured through a cooperative program with the United States Navy.</w:t>
            </w:r>
          </w:p>
          <w:p w14:paraId="4627C38F" w14:textId="124114C7" w:rsidR="004F3D65" w:rsidRPr="003E76E7" w:rsidRDefault="004F3D65" w:rsidP="00C4292D">
            <w:pPr>
              <w:kinsoku w:val="0"/>
              <w:overflowPunct w:val="0"/>
              <w:autoSpaceDE w:val="0"/>
              <w:autoSpaceDN w:val="0"/>
              <w:adjustRightInd w:val="0"/>
              <w:spacing w:before="60" w:after="60" w:line="178" w:lineRule="exact"/>
              <w:rPr>
                <w:rFonts w:ascii="Arial" w:hAnsi="Arial"/>
                <w:sz w:val="16"/>
                <w:szCs w:val="16"/>
                <w:lang w:val="en-AU"/>
              </w:rPr>
            </w:pPr>
            <w:r w:rsidRPr="003E76E7">
              <w:rPr>
                <w:rFonts w:ascii="ArialMT" w:hAnsi="ArialMT" w:cs="ArialMT"/>
                <w:sz w:val="16"/>
                <w:szCs w:val="16"/>
                <w:lang w:val="en-AU"/>
              </w:rPr>
              <w:t xml:space="preserve">During 2026-27, the project will </w:t>
            </w:r>
            <w:r w:rsidR="001E68CC" w:rsidRPr="003E76E7">
              <w:rPr>
                <w:rFonts w:ascii="ArialMT" w:hAnsi="ArialMT" w:cs="ArialMT"/>
                <w:sz w:val="16"/>
                <w:szCs w:val="16"/>
                <w:lang w:val="en-AU"/>
              </w:rPr>
              <w:t>deliver two Upgraded Increment three</w:t>
            </w:r>
            <w:r w:rsidRPr="003E76E7">
              <w:rPr>
                <w:rFonts w:ascii="ArialMT" w:hAnsi="ArialMT" w:cs="ArialMT"/>
                <w:sz w:val="16"/>
                <w:szCs w:val="16"/>
                <w:lang w:val="en-AU"/>
              </w:rPr>
              <w:t xml:space="preserve"> </w:t>
            </w:r>
            <w:r w:rsidR="001E68CC" w:rsidRPr="003E76E7">
              <w:rPr>
                <w:rFonts w:ascii="ArialMT" w:hAnsi="ArialMT" w:cs="ArialMT"/>
                <w:sz w:val="16"/>
                <w:szCs w:val="16"/>
                <w:lang w:val="en-AU"/>
              </w:rPr>
              <w:br/>
            </w:r>
            <w:r w:rsidRPr="003E76E7">
              <w:rPr>
                <w:rFonts w:ascii="ArialMT" w:hAnsi="ArialMT" w:cs="ArialMT"/>
                <w:sz w:val="16"/>
                <w:szCs w:val="16"/>
                <w:lang w:val="en-AU"/>
              </w:rPr>
              <w:t>P-8A Poseidon aircraft and commence introduction of mission support systems. The project will also commence testing and operational integration of the upgraded P-8A Poseidon system.</w:t>
            </w:r>
          </w:p>
        </w:tc>
      </w:tr>
      <w:tr w:rsidR="004F3D65" w:rsidRPr="003E76E7" w14:paraId="19FF137F" w14:textId="77777777" w:rsidTr="001E227C">
        <w:trPr>
          <w:trHeight w:hRule="exact" w:val="957"/>
        </w:trPr>
        <w:tc>
          <w:tcPr>
            <w:tcW w:w="1768" w:type="dxa"/>
            <w:vMerge/>
            <w:tcBorders>
              <w:left w:val="single" w:sz="4" w:space="0" w:color="auto"/>
              <w:bottom w:val="single" w:sz="4" w:space="0" w:color="auto"/>
              <w:right w:val="single" w:sz="4" w:space="0" w:color="auto"/>
            </w:tcBorders>
            <w:shd w:val="clear" w:color="auto" w:fill="auto"/>
            <w:vAlign w:val="center"/>
          </w:tcPr>
          <w:p w14:paraId="792A2AA1" w14:textId="77777777" w:rsidR="004F3D65" w:rsidRPr="003E76E7" w:rsidRDefault="004F3D65" w:rsidP="00C4292D">
            <w:pPr>
              <w:spacing w:after="0"/>
              <w:rPr>
                <w:rFonts w:ascii="Arial" w:hAnsi="Arial"/>
                <w:sz w:val="16"/>
                <w:szCs w:val="16"/>
              </w:rPr>
            </w:pPr>
          </w:p>
        </w:tc>
        <w:tc>
          <w:tcPr>
            <w:tcW w:w="1096" w:type="dxa"/>
            <w:vMerge/>
            <w:tcBorders>
              <w:left w:val="single" w:sz="4" w:space="0" w:color="auto"/>
              <w:bottom w:val="single" w:sz="4" w:space="0" w:color="auto"/>
              <w:right w:val="single" w:sz="4" w:space="0" w:color="auto"/>
            </w:tcBorders>
            <w:shd w:val="clear" w:color="auto" w:fill="auto"/>
            <w:vAlign w:val="center"/>
          </w:tcPr>
          <w:p w14:paraId="61B26D07" w14:textId="77777777" w:rsidR="004F3D65" w:rsidRPr="003E76E7" w:rsidRDefault="004F3D65" w:rsidP="00C4292D">
            <w:pPr>
              <w:spacing w:after="0"/>
              <w:jc w:val="center"/>
              <w:rPr>
                <w:rFonts w:ascii="Arial" w:hAnsi="Arial"/>
                <w:b/>
                <w:bCs/>
                <w:sz w:val="16"/>
                <w:szCs w:val="16"/>
              </w:rPr>
            </w:pPr>
          </w:p>
        </w:tc>
        <w:tc>
          <w:tcPr>
            <w:tcW w:w="1502" w:type="dxa"/>
            <w:tcBorders>
              <w:top w:val="nil"/>
              <w:left w:val="nil"/>
              <w:bottom w:val="single" w:sz="4" w:space="0" w:color="auto"/>
              <w:right w:val="single" w:sz="4" w:space="0" w:color="auto"/>
            </w:tcBorders>
            <w:shd w:val="clear" w:color="auto" w:fill="auto"/>
            <w:vAlign w:val="center"/>
          </w:tcPr>
          <w:p w14:paraId="150DA034" w14:textId="77777777" w:rsidR="004F3D65" w:rsidRPr="003E76E7" w:rsidRDefault="004F3D65" w:rsidP="00C4292D">
            <w:pPr>
              <w:spacing w:after="0"/>
              <w:rPr>
                <w:rFonts w:ascii="Arial" w:hAnsi="Arial"/>
                <w:sz w:val="16"/>
                <w:szCs w:val="16"/>
              </w:rPr>
            </w:pPr>
            <w:r w:rsidRPr="003E76E7">
              <w:rPr>
                <w:rFonts w:ascii="Arial" w:hAnsi="Arial"/>
                <w:sz w:val="16"/>
                <w:szCs w:val="16"/>
              </w:rPr>
              <w:t>Other Project Inputs to Capability</w:t>
            </w:r>
          </w:p>
        </w:tc>
        <w:tc>
          <w:tcPr>
            <w:tcW w:w="11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C7ABA1" w14:textId="5380B23B"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986 </w:t>
            </w:r>
          </w:p>
        </w:tc>
        <w:tc>
          <w:tcPr>
            <w:tcW w:w="1187" w:type="dxa"/>
            <w:tcBorders>
              <w:top w:val="single" w:sz="4" w:space="0" w:color="auto"/>
              <w:left w:val="nil"/>
              <w:bottom w:val="single" w:sz="4" w:space="0" w:color="auto"/>
              <w:right w:val="single" w:sz="4" w:space="0" w:color="auto"/>
            </w:tcBorders>
            <w:shd w:val="clear" w:color="auto" w:fill="auto"/>
            <w:noWrap/>
            <w:vAlign w:val="center"/>
          </w:tcPr>
          <w:p w14:paraId="751016ED" w14:textId="647AC25F"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889 </w:t>
            </w:r>
          </w:p>
        </w:tc>
        <w:tc>
          <w:tcPr>
            <w:tcW w:w="1187" w:type="dxa"/>
            <w:tcBorders>
              <w:top w:val="single" w:sz="4" w:space="0" w:color="auto"/>
              <w:left w:val="nil"/>
              <w:bottom w:val="single" w:sz="4" w:space="0" w:color="auto"/>
              <w:right w:val="single" w:sz="4" w:space="0" w:color="auto"/>
            </w:tcBorders>
            <w:shd w:val="clear" w:color="auto" w:fill="auto"/>
            <w:noWrap/>
            <w:vAlign w:val="center"/>
          </w:tcPr>
          <w:p w14:paraId="054C8154" w14:textId="3C0B82AE"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36 </w:t>
            </w:r>
          </w:p>
        </w:tc>
        <w:tc>
          <w:tcPr>
            <w:tcW w:w="5491" w:type="dxa"/>
            <w:vMerge/>
            <w:tcBorders>
              <w:left w:val="single" w:sz="4" w:space="0" w:color="auto"/>
              <w:bottom w:val="single" w:sz="4" w:space="0" w:color="auto"/>
              <w:right w:val="single" w:sz="4" w:space="0" w:color="auto"/>
            </w:tcBorders>
            <w:shd w:val="clear" w:color="auto" w:fill="auto"/>
          </w:tcPr>
          <w:p w14:paraId="630A3779" w14:textId="77777777" w:rsidR="004F3D65" w:rsidRPr="003E76E7" w:rsidRDefault="004F3D65" w:rsidP="00C4292D">
            <w:pPr>
              <w:kinsoku w:val="0"/>
              <w:overflowPunct w:val="0"/>
              <w:autoSpaceDE w:val="0"/>
              <w:autoSpaceDN w:val="0"/>
              <w:adjustRightInd w:val="0"/>
              <w:spacing w:before="60" w:after="60" w:line="178" w:lineRule="exact"/>
              <w:rPr>
                <w:rFonts w:ascii="Arial" w:hAnsi="Arial"/>
                <w:sz w:val="16"/>
                <w:szCs w:val="16"/>
                <w:lang w:val="en-AU"/>
              </w:rPr>
            </w:pPr>
          </w:p>
        </w:tc>
      </w:tr>
    </w:tbl>
    <w:p w14:paraId="699BB03F" w14:textId="77777777" w:rsidR="004F3D65" w:rsidRPr="003E76E7" w:rsidRDefault="004F3D65" w:rsidP="00C4292D">
      <w:pPr>
        <w:pStyle w:val="BodyText"/>
        <w:rPr>
          <w:rFonts w:ascii="Arial" w:hAnsi="Arial"/>
          <w:b/>
        </w:rPr>
      </w:pPr>
      <w:r w:rsidRPr="003E76E7">
        <w:br w:type="page"/>
      </w:r>
      <w:r w:rsidRPr="003E76E7">
        <w:rPr>
          <w:rFonts w:ascii="Arial" w:hAnsi="Arial"/>
          <w:b/>
        </w:rPr>
        <w:lastRenderedPageBreak/>
        <w:t>Table 54: Top 30 Military Equipment Acquisition Program Approved Projects by 2026-27 Forecast Expenditure (Gross Plan) (Continued)</w:t>
      </w:r>
      <w:r w:rsidRPr="003E76E7">
        <w:rPr>
          <w:rFonts w:ascii="Arial" w:hAnsi="Arial"/>
          <w:b/>
          <w:vertAlign w:val="superscript"/>
        </w:rPr>
        <w:t xml:space="preserve"> [a][b][c]</w:t>
      </w:r>
    </w:p>
    <w:tbl>
      <w:tblPr>
        <w:tblW w:w="4996" w:type="pct"/>
        <w:tblInd w:w="5" w:type="dxa"/>
        <w:tblLayout w:type="fixed"/>
        <w:tblLook w:val="04A0" w:firstRow="1" w:lastRow="0" w:firstColumn="1" w:lastColumn="0" w:noHBand="0" w:noVBand="1"/>
      </w:tblPr>
      <w:tblGrid>
        <w:gridCol w:w="1768"/>
        <w:gridCol w:w="1096"/>
        <w:gridCol w:w="1502"/>
        <w:gridCol w:w="1186"/>
        <w:gridCol w:w="1187"/>
        <w:gridCol w:w="1187"/>
        <w:gridCol w:w="5491"/>
      </w:tblGrid>
      <w:tr w:rsidR="004F3D65" w:rsidRPr="003E76E7" w14:paraId="4D7D086C" w14:textId="77777777" w:rsidTr="001E227C">
        <w:trPr>
          <w:trHeight w:hRule="exact" w:val="1108"/>
        </w:trPr>
        <w:tc>
          <w:tcPr>
            <w:tcW w:w="1768" w:type="dxa"/>
            <w:tcBorders>
              <w:top w:val="single" w:sz="4" w:space="0" w:color="auto"/>
              <w:left w:val="single" w:sz="4" w:space="0" w:color="auto"/>
              <w:right w:val="single" w:sz="4" w:space="0" w:color="auto"/>
            </w:tcBorders>
            <w:shd w:val="clear" w:color="auto" w:fill="auto"/>
            <w:vAlign w:val="center"/>
          </w:tcPr>
          <w:p w14:paraId="14C55B2C" w14:textId="77777777" w:rsidR="004F3D65" w:rsidRPr="003E76E7" w:rsidRDefault="004F3D65" w:rsidP="00C4292D">
            <w:pPr>
              <w:spacing w:after="0"/>
              <w:rPr>
                <w:rFonts w:ascii="Arial" w:hAnsi="Arial"/>
                <w:sz w:val="16"/>
                <w:szCs w:val="16"/>
                <w:lang w:val="en-AU"/>
              </w:rPr>
            </w:pPr>
            <w:r w:rsidRPr="003E76E7">
              <w:rPr>
                <w:rFonts w:ascii="Arial" w:hAnsi="Arial"/>
                <w:b/>
                <w:bCs/>
                <w:sz w:val="16"/>
                <w:szCs w:val="16"/>
              </w:rPr>
              <w:t>Domain/Project Name</w:t>
            </w:r>
          </w:p>
        </w:tc>
        <w:tc>
          <w:tcPr>
            <w:tcW w:w="1096" w:type="dxa"/>
            <w:tcBorders>
              <w:top w:val="single" w:sz="4" w:space="0" w:color="auto"/>
              <w:left w:val="single" w:sz="4" w:space="0" w:color="auto"/>
              <w:right w:val="single" w:sz="4" w:space="0" w:color="auto"/>
            </w:tcBorders>
            <w:shd w:val="clear" w:color="auto" w:fill="auto"/>
            <w:vAlign w:val="center"/>
          </w:tcPr>
          <w:p w14:paraId="72476B3E" w14:textId="77777777" w:rsidR="004F3D65" w:rsidRPr="003E76E7" w:rsidRDefault="004F3D65" w:rsidP="00C4292D">
            <w:pPr>
              <w:spacing w:after="0"/>
              <w:jc w:val="center"/>
              <w:rPr>
                <w:rFonts w:ascii="Arial" w:hAnsi="Arial"/>
                <w:b/>
                <w:bCs/>
                <w:sz w:val="16"/>
                <w:szCs w:val="16"/>
                <w:lang w:val="en-AU"/>
              </w:rPr>
            </w:pPr>
            <w:r w:rsidRPr="003E76E7">
              <w:rPr>
                <w:rFonts w:ascii="Arial" w:hAnsi="Arial"/>
                <w:b/>
                <w:bCs/>
                <w:sz w:val="16"/>
                <w:szCs w:val="16"/>
              </w:rPr>
              <w:t>Project Number/</w:t>
            </w:r>
            <w:r w:rsidRPr="003E76E7">
              <w:rPr>
                <w:rFonts w:ascii="Arial" w:hAnsi="Arial"/>
                <w:b/>
                <w:bCs/>
                <w:sz w:val="16"/>
                <w:szCs w:val="16"/>
              </w:rPr>
              <w:br/>
              <w:t>Phase</w:t>
            </w:r>
          </w:p>
        </w:tc>
        <w:tc>
          <w:tcPr>
            <w:tcW w:w="1502" w:type="dxa"/>
            <w:tcBorders>
              <w:top w:val="single" w:sz="4" w:space="0" w:color="auto"/>
              <w:left w:val="nil"/>
              <w:bottom w:val="single" w:sz="4" w:space="0" w:color="auto"/>
              <w:right w:val="single" w:sz="4" w:space="0" w:color="auto"/>
            </w:tcBorders>
            <w:shd w:val="clear" w:color="auto" w:fill="auto"/>
            <w:vAlign w:val="center"/>
          </w:tcPr>
          <w:p w14:paraId="38EA1592" w14:textId="77777777" w:rsidR="004F3D65" w:rsidRPr="003E76E7" w:rsidRDefault="004F3D65" w:rsidP="00C4292D">
            <w:pPr>
              <w:spacing w:after="0"/>
              <w:rPr>
                <w:rFonts w:ascii="Arial" w:hAnsi="Arial"/>
                <w:sz w:val="16"/>
                <w:szCs w:val="16"/>
              </w:rPr>
            </w:pPr>
            <w:r w:rsidRPr="003E76E7">
              <w:rPr>
                <w:rFonts w:ascii="Arial" w:hAnsi="Arial"/>
                <w:b/>
                <w:bCs/>
                <w:sz w:val="16"/>
                <w:szCs w:val="16"/>
              </w:rPr>
              <w:t>Project Inputs to Capability</w:t>
            </w:r>
          </w:p>
        </w:tc>
        <w:tc>
          <w:tcPr>
            <w:tcW w:w="11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4C1D11" w14:textId="469C2CC6" w:rsidR="004F3D65" w:rsidRPr="003E76E7" w:rsidRDefault="001E227C" w:rsidP="001E227C">
            <w:pPr>
              <w:spacing w:before="0" w:after="0"/>
              <w:jc w:val="right"/>
              <w:rPr>
                <w:rFonts w:ascii="Arial" w:hAnsi="Arial"/>
                <w:b/>
                <w:bCs/>
                <w:sz w:val="16"/>
                <w:szCs w:val="16"/>
              </w:rPr>
            </w:pPr>
            <w:r>
              <w:rPr>
                <w:rFonts w:ascii="Arial" w:hAnsi="Arial"/>
                <w:b/>
                <w:bCs/>
                <w:sz w:val="16"/>
                <w:szCs w:val="16"/>
              </w:rPr>
              <w:t>Approved Project Expenditure</w:t>
            </w:r>
          </w:p>
          <w:p w14:paraId="6503E978" w14:textId="77777777" w:rsidR="004F3D65" w:rsidRPr="003E76E7" w:rsidRDefault="004F3D65" w:rsidP="00C4292D">
            <w:pPr>
              <w:spacing w:after="0"/>
              <w:jc w:val="right"/>
              <w:rPr>
                <w:rFonts w:ascii="Arial" w:hAnsi="Arial"/>
                <w:sz w:val="16"/>
                <w:szCs w:val="16"/>
              </w:rPr>
            </w:pPr>
            <w:r w:rsidRPr="003E76E7">
              <w:rPr>
                <w:rFonts w:ascii="Arial" w:hAnsi="Arial"/>
                <w:b/>
                <w:bCs/>
                <w:sz w:val="16"/>
                <w:szCs w:val="16"/>
              </w:rPr>
              <w:t xml:space="preserve"> $m</w:t>
            </w:r>
          </w:p>
        </w:tc>
        <w:tc>
          <w:tcPr>
            <w:tcW w:w="1187" w:type="dxa"/>
            <w:tcBorders>
              <w:top w:val="single" w:sz="4" w:space="0" w:color="auto"/>
              <w:left w:val="nil"/>
              <w:bottom w:val="single" w:sz="4" w:space="0" w:color="auto"/>
              <w:right w:val="single" w:sz="4" w:space="0" w:color="auto"/>
            </w:tcBorders>
            <w:shd w:val="clear" w:color="auto" w:fill="auto"/>
            <w:noWrap/>
            <w:vAlign w:val="center"/>
          </w:tcPr>
          <w:p w14:paraId="622087B1" w14:textId="77777777" w:rsidR="004F3D65" w:rsidRPr="003E76E7" w:rsidRDefault="004F3D65" w:rsidP="00C4292D">
            <w:pPr>
              <w:spacing w:before="0" w:after="0"/>
              <w:jc w:val="right"/>
              <w:rPr>
                <w:rFonts w:ascii="Arial" w:hAnsi="Arial"/>
                <w:b/>
                <w:bCs/>
                <w:sz w:val="16"/>
                <w:szCs w:val="16"/>
              </w:rPr>
            </w:pPr>
            <w:r w:rsidRPr="003E76E7">
              <w:rPr>
                <w:rFonts w:ascii="Arial" w:hAnsi="Arial"/>
                <w:b/>
                <w:bCs/>
                <w:sz w:val="16"/>
                <w:szCs w:val="16"/>
              </w:rPr>
              <w:t>Estimated Cumulative Expenditure to 30 June 2026</w:t>
            </w:r>
          </w:p>
          <w:p w14:paraId="15028F1C" w14:textId="77777777" w:rsidR="004F3D65" w:rsidRPr="003E76E7" w:rsidRDefault="004F3D65" w:rsidP="001E227C">
            <w:pPr>
              <w:spacing w:before="0" w:after="0"/>
              <w:jc w:val="right"/>
              <w:rPr>
                <w:rFonts w:ascii="Arial" w:hAnsi="Arial"/>
                <w:sz w:val="16"/>
                <w:szCs w:val="16"/>
              </w:rPr>
            </w:pPr>
            <w:r w:rsidRPr="003E76E7">
              <w:rPr>
                <w:rFonts w:ascii="Arial" w:hAnsi="Arial"/>
                <w:b/>
                <w:bCs/>
                <w:sz w:val="16"/>
                <w:szCs w:val="16"/>
              </w:rPr>
              <w:t xml:space="preserve"> $m</w:t>
            </w:r>
          </w:p>
        </w:tc>
        <w:tc>
          <w:tcPr>
            <w:tcW w:w="1187" w:type="dxa"/>
            <w:tcBorders>
              <w:top w:val="single" w:sz="4" w:space="0" w:color="auto"/>
              <w:left w:val="nil"/>
              <w:bottom w:val="single" w:sz="4" w:space="0" w:color="auto"/>
              <w:right w:val="single" w:sz="4" w:space="0" w:color="auto"/>
            </w:tcBorders>
            <w:shd w:val="clear" w:color="auto" w:fill="auto"/>
            <w:noWrap/>
            <w:vAlign w:val="center"/>
          </w:tcPr>
          <w:p w14:paraId="05B6CBA9" w14:textId="59386370" w:rsidR="004F3D65" w:rsidRPr="003E76E7" w:rsidRDefault="001E227C" w:rsidP="001E227C">
            <w:pPr>
              <w:spacing w:before="0" w:after="0"/>
              <w:jc w:val="right"/>
              <w:rPr>
                <w:rFonts w:ascii="Arial" w:hAnsi="Arial"/>
                <w:b/>
                <w:bCs/>
                <w:sz w:val="16"/>
                <w:szCs w:val="16"/>
              </w:rPr>
            </w:pPr>
            <w:r>
              <w:rPr>
                <w:rFonts w:ascii="Arial" w:hAnsi="Arial"/>
                <w:b/>
                <w:bCs/>
                <w:sz w:val="16"/>
                <w:szCs w:val="16"/>
              </w:rPr>
              <w:t xml:space="preserve">Budget Estimate 2026-27 </w:t>
            </w:r>
          </w:p>
          <w:p w14:paraId="50AFD4A1" w14:textId="77777777" w:rsidR="004F3D65" w:rsidRPr="003E76E7" w:rsidRDefault="004F3D65" w:rsidP="00C4292D">
            <w:pPr>
              <w:spacing w:after="0"/>
              <w:jc w:val="right"/>
              <w:rPr>
                <w:rFonts w:ascii="Arial" w:hAnsi="Arial"/>
                <w:sz w:val="16"/>
                <w:szCs w:val="16"/>
              </w:rPr>
            </w:pPr>
            <w:r w:rsidRPr="003E76E7">
              <w:rPr>
                <w:rFonts w:ascii="Arial" w:hAnsi="Arial"/>
                <w:b/>
                <w:bCs/>
                <w:sz w:val="16"/>
                <w:szCs w:val="16"/>
              </w:rPr>
              <w:t>$m</w:t>
            </w:r>
          </w:p>
        </w:tc>
        <w:tc>
          <w:tcPr>
            <w:tcW w:w="5491" w:type="dxa"/>
            <w:tcBorders>
              <w:top w:val="single" w:sz="4" w:space="0" w:color="auto"/>
              <w:left w:val="single" w:sz="4" w:space="0" w:color="auto"/>
              <w:right w:val="single" w:sz="4" w:space="0" w:color="auto"/>
            </w:tcBorders>
            <w:shd w:val="clear" w:color="auto" w:fill="auto"/>
            <w:vAlign w:val="center"/>
          </w:tcPr>
          <w:p w14:paraId="047D1436" w14:textId="77777777" w:rsidR="004F3D65" w:rsidRPr="003E76E7" w:rsidRDefault="004F3D65" w:rsidP="00C4292D">
            <w:pPr>
              <w:pStyle w:val="CommentText"/>
              <w:rPr>
                <w:rFonts w:ascii="Arial" w:hAnsi="Arial"/>
                <w:sz w:val="16"/>
                <w:szCs w:val="16"/>
              </w:rPr>
            </w:pPr>
            <w:r w:rsidRPr="003E76E7">
              <w:rPr>
                <w:rFonts w:ascii="Arial" w:hAnsi="Arial"/>
                <w:b/>
                <w:bCs/>
                <w:sz w:val="16"/>
                <w:szCs w:val="16"/>
              </w:rPr>
              <w:t>Top 30 Military Equipment Acquisition Project Descriptions</w:t>
            </w:r>
          </w:p>
        </w:tc>
      </w:tr>
      <w:tr w:rsidR="004F3D65" w:rsidRPr="003E76E7" w14:paraId="65974E72" w14:textId="77777777" w:rsidTr="001E227C">
        <w:trPr>
          <w:trHeight w:hRule="exact" w:val="355"/>
        </w:trPr>
        <w:tc>
          <w:tcPr>
            <w:tcW w:w="13417" w:type="dxa"/>
            <w:gridSpan w:val="7"/>
            <w:tcBorders>
              <w:top w:val="single" w:sz="4" w:space="0" w:color="auto"/>
              <w:left w:val="single" w:sz="4" w:space="0" w:color="auto"/>
              <w:right w:val="single" w:sz="4" w:space="0" w:color="auto"/>
            </w:tcBorders>
            <w:shd w:val="clear" w:color="auto" w:fill="E7E6E6" w:themeFill="background2"/>
            <w:vAlign w:val="center"/>
          </w:tcPr>
          <w:p w14:paraId="50B908E6" w14:textId="77777777" w:rsidR="004F3D65" w:rsidRPr="003E76E7" w:rsidRDefault="004F3D65" w:rsidP="00C4292D">
            <w:pPr>
              <w:pStyle w:val="CommentText"/>
              <w:rPr>
                <w:rFonts w:ascii="Arial" w:hAnsi="Arial"/>
                <w:b/>
                <w:bCs/>
                <w:sz w:val="16"/>
                <w:szCs w:val="16"/>
              </w:rPr>
            </w:pPr>
            <w:r w:rsidRPr="003E76E7">
              <w:rPr>
                <w:rFonts w:ascii="Arial" w:hAnsi="Arial"/>
                <w:b/>
                <w:bCs/>
                <w:sz w:val="16"/>
                <w:szCs w:val="16"/>
              </w:rPr>
              <w:t>Air Domain (Continued)</w:t>
            </w:r>
          </w:p>
        </w:tc>
      </w:tr>
      <w:tr w:rsidR="004F3D65" w:rsidRPr="003E76E7" w14:paraId="658D44E4" w14:textId="77777777" w:rsidTr="001E227C">
        <w:trPr>
          <w:trHeight w:hRule="exact" w:val="881"/>
        </w:trPr>
        <w:tc>
          <w:tcPr>
            <w:tcW w:w="1768" w:type="dxa"/>
            <w:vMerge w:val="restart"/>
            <w:tcBorders>
              <w:top w:val="single" w:sz="4" w:space="0" w:color="auto"/>
              <w:left w:val="single" w:sz="4" w:space="0" w:color="auto"/>
              <w:right w:val="single" w:sz="4" w:space="0" w:color="auto"/>
            </w:tcBorders>
            <w:shd w:val="clear" w:color="auto" w:fill="auto"/>
            <w:vAlign w:val="center"/>
          </w:tcPr>
          <w:p w14:paraId="78A96505" w14:textId="77777777" w:rsidR="004F3D65" w:rsidRPr="003E76E7" w:rsidRDefault="004F3D65" w:rsidP="00C4292D">
            <w:pPr>
              <w:spacing w:after="0"/>
              <w:rPr>
                <w:rFonts w:ascii="Arial" w:hAnsi="Arial"/>
                <w:sz w:val="16"/>
                <w:szCs w:val="16"/>
              </w:rPr>
            </w:pPr>
            <w:r w:rsidRPr="003E76E7">
              <w:rPr>
                <w:rFonts w:ascii="Arial" w:hAnsi="Arial"/>
                <w:sz w:val="16"/>
                <w:szCs w:val="16"/>
              </w:rPr>
              <w:t>EA-18G - Growler</w:t>
            </w:r>
          </w:p>
        </w:tc>
        <w:tc>
          <w:tcPr>
            <w:tcW w:w="1096" w:type="dxa"/>
            <w:vMerge w:val="restart"/>
            <w:tcBorders>
              <w:top w:val="single" w:sz="4" w:space="0" w:color="auto"/>
              <w:left w:val="single" w:sz="4" w:space="0" w:color="auto"/>
              <w:right w:val="single" w:sz="4" w:space="0" w:color="auto"/>
            </w:tcBorders>
            <w:shd w:val="clear" w:color="auto" w:fill="auto"/>
            <w:vAlign w:val="center"/>
          </w:tcPr>
          <w:p w14:paraId="15956974" w14:textId="77777777" w:rsidR="004F3D65" w:rsidRPr="003E76E7" w:rsidRDefault="004F3D65" w:rsidP="00C4292D">
            <w:pPr>
              <w:spacing w:after="0"/>
              <w:jc w:val="center"/>
              <w:rPr>
                <w:rFonts w:ascii="Arial" w:hAnsi="Arial"/>
                <w:b/>
                <w:bCs/>
                <w:sz w:val="16"/>
                <w:szCs w:val="16"/>
              </w:rPr>
            </w:pPr>
            <w:r w:rsidRPr="003E76E7">
              <w:rPr>
                <w:rFonts w:ascii="Arial" w:hAnsi="Arial"/>
                <w:b/>
                <w:bCs/>
                <w:sz w:val="16"/>
                <w:szCs w:val="16"/>
              </w:rPr>
              <w:t>AIR 5349</w:t>
            </w:r>
          </w:p>
        </w:tc>
        <w:tc>
          <w:tcPr>
            <w:tcW w:w="1502" w:type="dxa"/>
            <w:tcBorders>
              <w:top w:val="single" w:sz="4" w:space="0" w:color="auto"/>
              <w:left w:val="nil"/>
              <w:bottom w:val="single" w:sz="4" w:space="0" w:color="auto"/>
              <w:right w:val="single" w:sz="4" w:space="0" w:color="auto"/>
            </w:tcBorders>
            <w:shd w:val="clear" w:color="auto" w:fill="auto"/>
            <w:vAlign w:val="center"/>
          </w:tcPr>
          <w:p w14:paraId="1FFB4BB4" w14:textId="77777777" w:rsidR="004F3D65" w:rsidRPr="003E76E7" w:rsidRDefault="004F3D65" w:rsidP="00C4292D">
            <w:pPr>
              <w:spacing w:after="0"/>
              <w:rPr>
                <w:rFonts w:ascii="Arial" w:hAnsi="Arial"/>
                <w:sz w:val="16"/>
                <w:szCs w:val="16"/>
              </w:rPr>
            </w:pPr>
            <w:r w:rsidRPr="003E76E7">
              <w:rPr>
                <w:rFonts w:ascii="Arial" w:hAnsi="Arial"/>
                <w:sz w:val="16"/>
                <w:szCs w:val="16"/>
              </w:rPr>
              <w:t>Military Equipment Acquisition</w:t>
            </w:r>
          </w:p>
        </w:tc>
        <w:tc>
          <w:tcPr>
            <w:tcW w:w="11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93F396" w14:textId="61865A0A"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5,977 </w:t>
            </w:r>
          </w:p>
        </w:tc>
        <w:tc>
          <w:tcPr>
            <w:tcW w:w="1187" w:type="dxa"/>
            <w:tcBorders>
              <w:top w:val="single" w:sz="4" w:space="0" w:color="auto"/>
              <w:left w:val="nil"/>
              <w:bottom w:val="single" w:sz="4" w:space="0" w:color="auto"/>
              <w:right w:val="single" w:sz="4" w:space="0" w:color="auto"/>
            </w:tcBorders>
            <w:shd w:val="clear" w:color="auto" w:fill="auto"/>
            <w:noWrap/>
            <w:vAlign w:val="center"/>
          </w:tcPr>
          <w:p w14:paraId="74F487FF" w14:textId="46237468"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4,254 </w:t>
            </w:r>
          </w:p>
        </w:tc>
        <w:tc>
          <w:tcPr>
            <w:tcW w:w="1187" w:type="dxa"/>
            <w:tcBorders>
              <w:top w:val="single" w:sz="4" w:space="0" w:color="auto"/>
              <w:left w:val="nil"/>
              <w:bottom w:val="single" w:sz="4" w:space="0" w:color="auto"/>
              <w:right w:val="single" w:sz="4" w:space="0" w:color="auto"/>
            </w:tcBorders>
            <w:shd w:val="clear" w:color="auto" w:fill="auto"/>
            <w:noWrap/>
            <w:vAlign w:val="center"/>
          </w:tcPr>
          <w:p w14:paraId="64123EEA" w14:textId="7E58823F"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303 </w:t>
            </w:r>
          </w:p>
        </w:tc>
        <w:tc>
          <w:tcPr>
            <w:tcW w:w="5491" w:type="dxa"/>
            <w:vMerge w:val="restart"/>
            <w:tcBorders>
              <w:top w:val="single" w:sz="4" w:space="0" w:color="auto"/>
              <w:left w:val="single" w:sz="4" w:space="0" w:color="auto"/>
              <w:right w:val="single" w:sz="4" w:space="0" w:color="auto"/>
            </w:tcBorders>
            <w:shd w:val="clear" w:color="auto" w:fill="auto"/>
          </w:tcPr>
          <w:p w14:paraId="2B048BD3" w14:textId="77777777" w:rsidR="004F3D65" w:rsidRPr="003E76E7" w:rsidRDefault="004F3D65" w:rsidP="00C4292D">
            <w:pPr>
              <w:kinsoku w:val="0"/>
              <w:overflowPunct w:val="0"/>
              <w:autoSpaceDE w:val="0"/>
              <w:autoSpaceDN w:val="0"/>
              <w:adjustRightInd w:val="0"/>
              <w:spacing w:before="60" w:after="60" w:line="178" w:lineRule="exact"/>
              <w:rPr>
                <w:rFonts w:ascii="Arial" w:hAnsi="Arial"/>
                <w:sz w:val="16"/>
                <w:szCs w:val="16"/>
                <w:lang w:val="en-AU"/>
              </w:rPr>
            </w:pPr>
            <w:r w:rsidRPr="003E76E7">
              <w:rPr>
                <w:rFonts w:ascii="Arial" w:hAnsi="Arial"/>
                <w:sz w:val="16"/>
                <w:szCs w:val="16"/>
                <w:lang w:val="en-AU"/>
              </w:rPr>
              <w:t>This project will acquire an airborne electronic attack capability centred on the EA-18G Growler aircraft and to deliver ongoing capability upgrades. The project has delivered 12 EA-18G Growler aircraft and established necessary support systems, including electronic warfare range infrastructure. Ongoing upgrades include the Next Generation Jammer, being developed and procured through a cooperative program with the United States Navy. Other upgrades include anti-radiation missiles, aircraft system upgrades, additional maintenance capability, and enhancements to electronic warfare ranges.</w:t>
            </w:r>
          </w:p>
          <w:p w14:paraId="6874D7F2" w14:textId="171B362B" w:rsidR="004F3D65" w:rsidRPr="003E76E7" w:rsidRDefault="004F3D65" w:rsidP="00C4292D">
            <w:pPr>
              <w:kinsoku w:val="0"/>
              <w:overflowPunct w:val="0"/>
              <w:autoSpaceDE w:val="0"/>
              <w:autoSpaceDN w:val="0"/>
              <w:adjustRightInd w:val="0"/>
              <w:spacing w:before="60" w:after="60" w:line="178" w:lineRule="exact"/>
              <w:rPr>
                <w:rFonts w:ascii="Arial" w:hAnsi="Arial"/>
                <w:sz w:val="16"/>
                <w:szCs w:val="16"/>
                <w:lang w:val="en-AU"/>
              </w:rPr>
            </w:pPr>
            <w:r w:rsidRPr="003E76E7">
              <w:rPr>
                <w:rFonts w:ascii="Arial" w:hAnsi="Arial"/>
                <w:sz w:val="16"/>
                <w:szCs w:val="16"/>
                <w:lang w:val="en-AU"/>
              </w:rPr>
              <w:t>During 2026-27, the project will continue the introduction into service of the ALQ-249 Next Generation Jammer - Mid Band. The project will also deliver improved communications capability to electronic warfare ranges and commence operation of enhanced sovereign maintenance capability for the ALQ-99 Tactical Jammer System. In addition, the project will contribute to the development of future Growler capability upgrades under a cooperative arrangement with the United States Navy.</w:t>
            </w:r>
          </w:p>
        </w:tc>
      </w:tr>
      <w:tr w:rsidR="004F3D65" w:rsidRPr="003E76E7" w14:paraId="4106FBF5" w14:textId="77777777" w:rsidTr="001E227C">
        <w:trPr>
          <w:trHeight w:hRule="exact" w:val="2242"/>
        </w:trPr>
        <w:tc>
          <w:tcPr>
            <w:tcW w:w="1768" w:type="dxa"/>
            <w:vMerge/>
            <w:tcBorders>
              <w:left w:val="single" w:sz="4" w:space="0" w:color="auto"/>
              <w:bottom w:val="single" w:sz="4" w:space="0" w:color="auto"/>
              <w:right w:val="single" w:sz="4" w:space="0" w:color="auto"/>
            </w:tcBorders>
            <w:shd w:val="clear" w:color="auto" w:fill="auto"/>
            <w:vAlign w:val="center"/>
          </w:tcPr>
          <w:p w14:paraId="7798C0D5" w14:textId="77777777" w:rsidR="004F3D65" w:rsidRPr="003E76E7" w:rsidRDefault="004F3D65" w:rsidP="00C4292D">
            <w:pPr>
              <w:spacing w:after="0"/>
              <w:rPr>
                <w:rFonts w:ascii="Arial" w:hAnsi="Arial"/>
                <w:sz w:val="16"/>
                <w:szCs w:val="16"/>
              </w:rPr>
            </w:pPr>
          </w:p>
        </w:tc>
        <w:tc>
          <w:tcPr>
            <w:tcW w:w="1096" w:type="dxa"/>
            <w:vMerge/>
            <w:tcBorders>
              <w:left w:val="single" w:sz="4" w:space="0" w:color="auto"/>
              <w:bottom w:val="single" w:sz="4" w:space="0" w:color="auto"/>
              <w:right w:val="single" w:sz="4" w:space="0" w:color="auto"/>
            </w:tcBorders>
            <w:shd w:val="clear" w:color="auto" w:fill="auto"/>
            <w:vAlign w:val="center"/>
          </w:tcPr>
          <w:p w14:paraId="3A2A9BB2" w14:textId="77777777" w:rsidR="004F3D65" w:rsidRPr="003E76E7" w:rsidRDefault="004F3D65" w:rsidP="00C4292D">
            <w:pPr>
              <w:spacing w:after="0"/>
              <w:jc w:val="center"/>
              <w:rPr>
                <w:rFonts w:ascii="Arial" w:hAnsi="Arial"/>
                <w:b/>
                <w:bCs/>
                <w:sz w:val="16"/>
                <w:szCs w:val="16"/>
              </w:rPr>
            </w:pPr>
          </w:p>
        </w:tc>
        <w:tc>
          <w:tcPr>
            <w:tcW w:w="1502" w:type="dxa"/>
            <w:tcBorders>
              <w:top w:val="single" w:sz="4" w:space="0" w:color="auto"/>
              <w:left w:val="nil"/>
              <w:bottom w:val="single" w:sz="4" w:space="0" w:color="auto"/>
              <w:right w:val="single" w:sz="4" w:space="0" w:color="auto"/>
            </w:tcBorders>
            <w:shd w:val="clear" w:color="auto" w:fill="auto"/>
            <w:vAlign w:val="center"/>
          </w:tcPr>
          <w:p w14:paraId="0FA3E04C" w14:textId="77777777" w:rsidR="004F3D65" w:rsidRPr="003E76E7" w:rsidRDefault="004F3D65" w:rsidP="00C4292D">
            <w:pPr>
              <w:spacing w:after="0"/>
              <w:rPr>
                <w:rFonts w:ascii="Arial" w:hAnsi="Arial"/>
                <w:sz w:val="16"/>
                <w:szCs w:val="16"/>
              </w:rPr>
            </w:pPr>
            <w:r w:rsidRPr="003E76E7">
              <w:rPr>
                <w:rFonts w:ascii="Arial" w:hAnsi="Arial"/>
                <w:sz w:val="16"/>
                <w:szCs w:val="16"/>
              </w:rPr>
              <w:t>Other Project Inputs to Capability</w:t>
            </w:r>
          </w:p>
        </w:tc>
        <w:tc>
          <w:tcPr>
            <w:tcW w:w="11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E074EA" w14:textId="2B1948B5"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800 </w:t>
            </w:r>
          </w:p>
        </w:tc>
        <w:tc>
          <w:tcPr>
            <w:tcW w:w="1187" w:type="dxa"/>
            <w:tcBorders>
              <w:top w:val="single" w:sz="4" w:space="0" w:color="auto"/>
              <w:left w:val="nil"/>
              <w:bottom w:val="single" w:sz="4" w:space="0" w:color="auto"/>
              <w:right w:val="single" w:sz="4" w:space="0" w:color="auto"/>
            </w:tcBorders>
            <w:shd w:val="clear" w:color="auto" w:fill="auto"/>
            <w:noWrap/>
            <w:vAlign w:val="center"/>
          </w:tcPr>
          <w:p w14:paraId="69F1FC6A" w14:textId="700546A2"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639 </w:t>
            </w:r>
          </w:p>
        </w:tc>
        <w:tc>
          <w:tcPr>
            <w:tcW w:w="1187" w:type="dxa"/>
            <w:tcBorders>
              <w:top w:val="single" w:sz="4" w:space="0" w:color="auto"/>
              <w:left w:val="nil"/>
              <w:bottom w:val="single" w:sz="4" w:space="0" w:color="auto"/>
              <w:right w:val="single" w:sz="4" w:space="0" w:color="auto"/>
            </w:tcBorders>
            <w:shd w:val="clear" w:color="auto" w:fill="auto"/>
            <w:noWrap/>
            <w:vAlign w:val="center"/>
          </w:tcPr>
          <w:p w14:paraId="036D4C52" w14:textId="56211D39"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30 </w:t>
            </w:r>
          </w:p>
        </w:tc>
        <w:tc>
          <w:tcPr>
            <w:tcW w:w="5491" w:type="dxa"/>
            <w:vMerge/>
            <w:tcBorders>
              <w:left w:val="single" w:sz="4" w:space="0" w:color="auto"/>
              <w:bottom w:val="single" w:sz="4" w:space="0" w:color="auto"/>
              <w:right w:val="single" w:sz="4" w:space="0" w:color="auto"/>
            </w:tcBorders>
            <w:shd w:val="clear" w:color="auto" w:fill="auto"/>
          </w:tcPr>
          <w:p w14:paraId="1315A927" w14:textId="77777777" w:rsidR="004F3D65" w:rsidRPr="003E76E7" w:rsidRDefault="004F3D65" w:rsidP="00C4292D">
            <w:pPr>
              <w:kinsoku w:val="0"/>
              <w:overflowPunct w:val="0"/>
              <w:autoSpaceDE w:val="0"/>
              <w:autoSpaceDN w:val="0"/>
              <w:adjustRightInd w:val="0"/>
              <w:spacing w:before="60" w:after="60" w:line="178" w:lineRule="exact"/>
              <w:rPr>
                <w:rFonts w:ascii="Arial" w:hAnsi="Arial"/>
                <w:sz w:val="16"/>
                <w:szCs w:val="16"/>
                <w:lang w:val="en-AU"/>
              </w:rPr>
            </w:pPr>
          </w:p>
        </w:tc>
      </w:tr>
      <w:tr w:rsidR="004F3D65" w:rsidRPr="003E76E7" w14:paraId="43E06907" w14:textId="77777777" w:rsidTr="001E227C">
        <w:trPr>
          <w:trHeight w:hRule="exact" w:val="1301"/>
        </w:trPr>
        <w:tc>
          <w:tcPr>
            <w:tcW w:w="17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3FCC816" w14:textId="77777777" w:rsidR="004F3D65" w:rsidRPr="003E76E7" w:rsidRDefault="004F3D65" w:rsidP="00C4292D">
            <w:pPr>
              <w:spacing w:after="0"/>
              <w:rPr>
                <w:rFonts w:ascii="Arial" w:hAnsi="Arial"/>
                <w:sz w:val="16"/>
                <w:szCs w:val="16"/>
              </w:rPr>
            </w:pPr>
            <w:r w:rsidRPr="003E76E7">
              <w:rPr>
                <w:rFonts w:ascii="Arial" w:hAnsi="Arial"/>
                <w:sz w:val="16"/>
                <w:szCs w:val="16"/>
              </w:rPr>
              <w:t>Air Autonomous Collaborative Platforms</w:t>
            </w:r>
          </w:p>
        </w:tc>
        <w:tc>
          <w:tcPr>
            <w:tcW w:w="109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394C4EA" w14:textId="77777777" w:rsidR="004F3D65" w:rsidRPr="003E76E7" w:rsidRDefault="004F3D65" w:rsidP="00C4292D">
            <w:pPr>
              <w:spacing w:after="0"/>
              <w:jc w:val="center"/>
              <w:rPr>
                <w:rFonts w:ascii="Arial" w:hAnsi="Arial"/>
                <w:b/>
                <w:bCs/>
                <w:sz w:val="16"/>
                <w:szCs w:val="16"/>
              </w:rPr>
            </w:pPr>
            <w:r w:rsidRPr="003E76E7">
              <w:rPr>
                <w:rFonts w:ascii="Arial" w:hAnsi="Arial"/>
                <w:b/>
                <w:bCs/>
                <w:sz w:val="16"/>
                <w:szCs w:val="16"/>
              </w:rPr>
              <w:t xml:space="preserve">AIR 6015 </w:t>
            </w:r>
          </w:p>
        </w:tc>
        <w:tc>
          <w:tcPr>
            <w:tcW w:w="1502" w:type="dxa"/>
            <w:tcBorders>
              <w:top w:val="single" w:sz="4" w:space="0" w:color="auto"/>
              <w:left w:val="nil"/>
              <w:bottom w:val="single" w:sz="4" w:space="0" w:color="auto"/>
              <w:right w:val="single" w:sz="4" w:space="0" w:color="auto"/>
            </w:tcBorders>
            <w:shd w:val="clear" w:color="auto" w:fill="auto"/>
            <w:vAlign w:val="center"/>
          </w:tcPr>
          <w:p w14:paraId="0D532572" w14:textId="77777777" w:rsidR="004F3D65" w:rsidRPr="003E76E7" w:rsidRDefault="004F3D65" w:rsidP="00C4292D">
            <w:pPr>
              <w:spacing w:after="0"/>
              <w:rPr>
                <w:rFonts w:ascii="Arial" w:hAnsi="Arial"/>
                <w:sz w:val="16"/>
                <w:szCs w:val="16"/>
              </w:rPr>
            </w:pPr>
            <w:r w:rsidRPr="003E76E7">
              <w:rPr>
                <w:rFonts w:ascii="Arial" w:hAnsi="Arial"/>
                <w:sz w:val="16"/>
                <w:szCs w:val="16"/>
              </w:rPr>
              <w:t>Military Equipment Acquisition</w:t>
            </w:r>
          </w:p>
        </w:tc>
        <w:tc>
          <w:tcPr>
            <w:tcW w:w="11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D0311F" w14:textId="11BD9944"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1,320 </w:t>
            </w:r>
          </w:p>
        </w:tc>
        <w:tc>
          <w:tcPr>
            <w:tcW w:w="1187" w:type="dxa"/>
            <w:tcBorders>
              <w:top w:val="single" w:sz="4" w:space="0" w:color="auto"/>
              <w:left w:val="nil"/>
              <w:bottom w:val="single" w:sz="4" w:space="0" w:color="auto"/>
              <w:right w:val="single" w:sz="4" w:space="0" w:color="auto"/>
            </w:tcBorders>
            <w:shd w:val="clear" w:color="auto" w:fill="auto"/>
            <w:noWrap/>
            <w:vAlign w:val="center"/>
          </w:tcPr>
          <w:p w14:paraId="52F960A1" w14:textId="18B2BF0B"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71 </w:t>
            </w:r>
          </w:p>
        </w:tc>
        <w:tc>
          <w:tcPr>
            <w:tcW w:w="1187" w:type="dxa"/>
            <w:tcBorders>
              <w:top w:val="single" w:sz="4" w:space="0" w:color="auto"/>
              <w:left w:val="nil"/>
              <w:bottom w:val="single" w:sz="4" w:space="0" w:color="auto"/>
              <w:right w:val="single" w:sz="4" w:space="0" w:color="auto"/>
            </w:tcBorders>
            <w:shd w:val="clear" w:color="auto" w:fill="auto"/>
            <w:noWrap/>
            <w:vAlign w:val="center"/>
          </w:tcPr>
          <w:p w14:paraId="43FCEFAF" w14:textId="1F7C5A13"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287 </w:t>
            </w:r>
          </w:p>
        </w:tc>
        <w:tc>
          <w:tcPr>
            <w:tcW w:w="549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983D554" w14:textId="0640AB21" w:rsidR="004F3D65" w:rsidRPr="003E76E7" w:rsidRDefault="004F3D65" w:rsidP="00C4292D">
            <w:pPr>
              <w:spacing w:before="60" w:after="60"/>
              <w:rPr>
                <w:rFonts w:ascii="Arial" w:hAnsi="Arial"/>
                <w:sz w:val="16"/>
                <w:szCs w:val="16"/>
                <w:lang w:val="en-AU"/>
              </w:rPr>
            </w:pPr>
            <w:r w:rsidRPr="003E76E7">
              <w:rPr>
                <w:rFonts w:ascii="Arial" w:hAnsi="Arial"/>
                <w:sz w:val="16"/>
                <w:szCs w:val="16"/>
                <w:lang w:val="en-AU"/>
              </w:rPr>
              <w:t xml:space="preserve">This project will develop the MQ-28A Ghost Bat capability and modular systems, including delivery of </w:t>
            </w:r>
            <w:r w:rsidR="00AC78F0">
              <w:rPr>
                <w:rFonts w:ascii="Arial" w:hAnsi="Arial"/>
                <w:sz w:val="16"/>
                <w:szCs w:val="16"/>
                <w:lang w:val="en-AU"/>
              </w:rPr>
              <w:t>additional</w:t>
            </w:r>
            <w:r w:rsidRPr="003E76E7">
              <w:rPr>
                <w:rFonts w:ascii="Arial" w:hAnsi="Arial"/>
                <w:sz w:val="16"/>
                <w:szCs w:val="16"/>
                <w:lang w:val="en-AU"/>
              </w:rPr>
              <w:t xml:space="preserve"> MQ-28A Block 2 air vehicles and development and delivery of a Block 3 prototype, with associated ground stations, payloads and support arrangements. The project will transition the capability into operational service and lay the foundation for an Autonomous Collaborative Platform capability for the Australian Defence Force. Boeing Defence Australia are contracted for the development and production of the MQ-28A Ghost Bat aircraft, with third party integration being pursued for payloads and mission autonomy.</w:t>
            </w:r>
          </w:p>
          <w:p w14:paraId="319BDFAB" w14:textId="1E626287" w:rsidR="004F3D65" w:rsidRPr="003E76E7" w:rsidRDefault="00AC78F0" w:rsidP="00C4292D">
            <w:pPr>
              <w:spacing w:before="60" w:after="60"/>
              <w:rPr>
                <w:rFonts w:ascii="Arial" w:hAnsi="Arial"/>
                <w:sz w:val="16"/>
                <w:szCs w:val="16"/>
                <w:lang w:val="en-AU"/>
              </w:rPr>
            </w:pPr>
            <w:r>
              <w:rPr>
                <w:rFonts w:ascii="Arial" w:hAnsi="Arial"/>
                <w:sz w:val="16"/>
                <w:szCs w:val="16"/>
                <w:lang w:val="en-AU"/>
              </w:rPr>
              <w:t>In</w:t>
            </w:r>
            <w:r w:rsidRPr="003E76E7">
              <w:rPr>
                <w:rFonts w:ascii="Arial" w:hAnsi="Arial"/>
                <w:sz w:val="16"/>
                <w:szCs w:val="16"/>
                <w:lang w:val="en-AU"/>
              </w:rPr>
              <w:t xml:space="preserve"> 2026-27, the project will focus on </w:t>
            </w:r>
            <w:r>
              <w:rPr>
                <w:rFonts w:ascii="Arial" w:hAnsi="Arial"/>
                <w:sz w:val="16"/>
                <w:szCs w:val="16"/>
                <w:lang w:val="en-AU"/>
              </w:rPr>
              <w:t xml:space="preserve">transitioning </w:t>
            </w:r>
            <w:r w:rsidRPr="003E76E7">
              <w:rPr>
                <w:rFonts w:ascii="Arial" w:hAnsi="Arial"/>
                <w:sz w:val="16"/>
                <w:szCs w:val="16"/>
                <w:lang w:val="en-AU"/>
              </w:rPr>
              <w:t xml:space="preserve">aircraft from Project </w:t>
            </w:r>
            <w:r>
              <w:rPr>
                <w:rFonts w:ascii="Arial" w:hAnsi="Arial"/>
                <w:sz w:val="16"/>
                <w:szCs w:val="16"/>
                <w:lang w:val="en-AU"/>
              </w:rPr>
              <w:br/>
            </w:r>
            <w:r w:rsidRPr="003E76E7">
              <w:rPr>
                <w:rFonts w:ascii="Arial" w:hAnsi="Arial"/>
                <w:sz w:val="16"/>
                <w:szCs w:val="16"/>
                <w:lang w:val="en-AU"/>
              </w:rPr>
              <w:t>DEF 6014 MQ-28A Ghost Bat</w:t>
            </w:r>
            <w:r>
              <w:rPr>
                <w:rFonts w:ascii="Arial" w:hAnsi="Arial"/>
                <w:sz w:val="16"/>
                <w:szCs w:val="16"/>
                <w:lang w:val="en-AU"/>
              </w:rPr>
              <w:t xml:space="preserve"> to </w:t>
            </w:r>
            <w:r w:rsidRPr="003E76E7">
              <w:rPr>
                <w:rFonts w:ascii="Arial" w:hAnsi="Arial"/>
                <w:sz w:val="16"/>
                <w:szCs w:val="16"/>
                <w:lang w:val="en-AU"/>
              </w:rPr>
              <w:t xml:space="preserve">Air Force, and exploring the market for integration of third party mission autonomy and payloads.  </w:t>
            </w:r>
          </w:p>
        </w:tc>
      </w:tr>
      <w:tr w:rsidR="004F3D65" w:rsidRPr="003E76E7" w14:paraId="379CF256" w14:textId="77777777" w:rsidTr="001E227C">
        <w:trPr>
          <w:trHeight w:hRule="exact" w:val="1560"/>
        </w:trPr>
        <w:tc>
          <w:tcPr>
            <w:tcW w:w="1768" w:type="dxa"/>
            <w:vMerge/>
            <w:tcBorders>
              <w:left w:val="single" w:sz="4" w:space="0" w:color="auto"/>
              <w:bottom w:val="single" w:sz="4" w:space="0" w:color="auto"/>
              <w:right w:val="single" w:sz="4" w:space="0" w:color="auto"/>
            </w:tcBorders>
            <w:shd w:val="clear" w:color="auto" w:fill="auto"/>
            <w:vAlign w:val="center"/>
          </w:tcPr>
          <w:p w14:paraId="132A1D71" w14:textId="77777777" w:rsidR="004F3D65" w:rsidRPr="003E76E7" w:rsidRDefault="004F3D65" w:rsidP="00C4292D">
            <w:pPr>
              <w:spacing w:after="0"/>
              <w:rPr>
                <w:rFonts w:ascii="Arial" w:hAnsi="Arial"/>
                <w:sz w:val="16"/>
                <w:szCs w:val="16"/>
              </w:rPr>
            </w:pPr>
          </w:p>
        </w:tc>
        <w:tc>
          <w:tcPr>
            <w:tcW w:w="1096" w:type="dxa"/>
            <w:vMerge/>
            <w:tcBorders>
              <w:left w:val="single" w:sz="4" w:space="0" w:color="auto"/>
              <w:bottom w:val="single" w:sz="4" w:space="0" w:color="auto"/>
              <w:right w:val="single" w:sz="4" w:space="0" w:color="auto"/>
            </w:tcBorders>
            <w:shd w:val="clear" w:color="auto" w:fill="auto"/>
            <w:vAlign w:val="center"/>
          </w:tcPr>
          <w:p w14:paraId="51B8411B" w14:textId="77777777" w:rsidR="004F3D65" w:rsidRPr="003E76E7" w:rsidRDefault="004F3D65" w:rsidP="00C4292D">
            <w:pPr>
              <w:spacing w:after="0"/>
              <w:jc w:val="center"/>
              <w:rPr>
                <w:rFonts w:ascii="Arial" w:hAnsi="Arial"/>
                <w:b/>
                <w:bCs/>
                <w:sz w:val="16"/>
                <w:szCs w:val="16"/>
              </w:rPr>
            </w:pPr>
          </w:p>
        </w:tc>
        <w:tc>
          <w:tcPr>
            <w:tcW w:w="1502" w:type="dxa"/>
            <w:tcBorders>
              <w:top w:val="single" w:sz="4" w:space="0" w:color="auto"/>
              <w:left w:val="nil"/>
              <w:bottom w:val="single" w:sz="4" w:space="0" w:color="auto"/>
              <w:right w:val="single" w:sz="4" w:space="0" w:color="auto"/>
            </w:tcBorders>
            <w:shd w:val="clear" w:color="auto" w:fill="auto"/>
            <w:vAlign w:val="center"/>
          </w:tcPr>
          <w:p w14:paraId="24A68679" w14:textId="77777777" w:rsidR="004F3D65" w:rsidRPr="003E76E7" w:rsidRDefault="004F3D65" w:rsidP="00C4292D">
            <w:pPr>
              <w:spacing w:after="0"/>
              <w:rPr>
                <w:rFonts w:ascii="Arial" w:hAnsi="Arial"/>
                <w:sz w:val="16"/>
                <w:szCs w:val="16"/>
              </w:rPr>
            </w:pPr>
            <w:r w:rsidRPr="003E76E7">
              <w:rPr>
                <w:rFonts w:ascii="Arial" w:hAnsi="Arial"/>
                <w:sz w:val="16"/>
                <w:szCs w:val="16"/>
              </w:rPr>
              <w:t>Other Project Inputs to Capability</w:t>
            </w:r>
          </w:p>
          <w:p w14:paraId="23818562" w14:textId="77777777" w:rsidR="004F3D65" w:rsidRPr="003E76E7" w:rsidRDefault="004F3D65" w:rsidP="00C4292D">
            <w:pPr>
              <w:spacing w:after="0"/>
              <w:rPr>
                <w:rFonts w:ascii="Arial" w:hAnsi="Arial"/>
                <w:sz w:val="16"/>
                <w:szCs w:val="16"/>
              </w:rPr>
            </w:pPr>
          </w:p>
        </w:tc>
        <w:tc>
          <w:tcPr>
            <w:tcW w:w="11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E6C7A2" w14:textId="0A1B01F9"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29 </w:t>
            </w:r>
          </w:p>
        </w:tc>
        <w:tc>
          <w:tcPr>
            <w:tcW w:w="1187" w:type="dxa"/>
            <w:tcBorders>
              <w:top w:val="single" w:sz="4" w:space="0" w:color="auto"/>
              <w:left w:val="nil"/>
              <w:bottom w:val="single" w:sz="4" w:space="0" w:color="auto"/>
              <w:right w:val="single" w:sz="4" w:space="0" w:color="auto"/>
            </w:tcBorders>
            <w:shd w:val="clear" w:color="auto" w:fill="auto"/>
            <w:noWrap/>
            <w:vAlign w:val="center"/>
          </w:tcPr>
          <w:p w14:paraId="4285732F" w14:textId="5919FD2F"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 </w:t>
            </w:r>
          </w:p>
        </w:tc>
        <w:tc>
          <w:tcPr>
            <w:tcW w:w="1187" w:type="dxa"/>
            <w:tcBorders>
              <w:top w:val="single" w:sz="4" w:space="0" w:color="auto"/>
              <w:left w:val="nil"/>
              <w:bottom w:val="single" w:sz="4" w:space="0" w:color="auto"/>
              <w:right w:val="single" w:sz="4" w:space="0" w:color="auto"/>
            </w:tcBorders>
            <w:shd w:val="clear" w:color="auto" w:fill="auto"/>
            <w:noWrap/>
            <w:vAlign w:val="center"/>
          </w:tcPr>
          <w:p w14:paraId="14A0AA0B" w14:textId="5486B842"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7 </w:t>
            </w:r>
          </w:p>
        </w:tc>
        <w:tc>
          <w:tcPr>
            <w:tcW w:w="5491" w:type="dxa"/>
            <w:vMerge/>
            <w:tcBorders>
              <w:left w:val="single" w:sz="4" w:space="0" w:color="auto"/>
              <w:bottom w:val="single" w:sz="4" w:space="0" w:color="auto"/>
              <w:right w:val="single" w:sz="4" w:space="0" w:color="auto"/>
            </w:tcBorders>
            <w:shd w:val="clear" w:color="auto" w:fill="auto"/>
            <w:vAlign w:val="center"/>
          </w:tcPr>
          <w:p w14:paraId="72A824E9" w14:textId="77777777" w:rsidR="004F3D65" w:rsidRPr="003E76E7" w:rsidRDefault="004F3D65" w:rsidP="00C4292D">
            <w:pPr>
              <w:spacing w:before="60" w:after="60"/>
              <w:rPr>
                <w:rFonts w:ascii="Arial" w:hAnsi="Arial"/>
                <w:sz w:val="16"/>
                <w:szCs w:val="16"/>
                <w:lang w:val="en-AU"/>
              </w:rPr>
            </w:pPr>
          </w:p>
        </w:tc>
      </w:tr>
    </w:tbl>
    <w:p w14:paraId="1B09921B" w14:textId="77777777" w:rsidR="004F3D65" w:rsidRPr="003E76E7" w:rsidRDefault="004F3D65" w:rsidP="00C4292D"/>
    <w:p w14:paraId="5936C683" w14:textId="77777777" w:rsidR="004F3D65" w:rsidRPr="003E76E7" w:rsidRDefault="004F3D65" w:rsidP="00C4292D">
      <w:pPr>
        <w:pStyle w:val="BodyText"/>
        <w:rPr>
          <w:rFonts w:ascii="Arial" w:hAnsi="Arial"/>
          <w:b/>
        </w:rPr>
      </w:pPr>
      <w:r w:rsidRPr="003E76E7">
        <w:br w:type="page"/>
      </w:r>
      <w:r w:rsidRPr="003E76E7">
        <w:rPr>
          <w:rFonts w:ascii="Arial" w:hAnsi="Arial"/>
          <w:b/>
        </w:rPr>
        <w:lastRenderedPageBreak/>
        <w:t>Table 54: Top 30 Military Equipment Acquisition Program Approved Projects by 2026-27 Forecast Expenditure (Gross Plan) (Continued)</w:t>
      </w:r>
      <w:r w:rsidRPr="003E76E7">
        <w:rPr>
          <w:rFonts w:ascii="Arial" w:hAnsi="Arial"/>
          <w:b/>
          <w:vertAlign w:val="superscript"/>
        </w:rPr>
        <w:t xml:space="preserve"> [a][b][c]</w:t>
      </w:r>
    </w:p>
    <w:tbl>
      <w:tblPr>
        <w:tblW w:w="4996" w:type="pct"/>
        <w:tblInd w:w="5" w:type="dxa"/>
        <w:tblLayout w:type="fixed"/>
        <w:tblLook w:val="04A0" w:firstRow="1" w:lastRow="0" w:firstColumn="1" w:lastColumn="0" w:noHBand="0" w:noVBand="1"/>
      </w:tblPr>
      <w:tblGrid>
        <w:gridCol w:w="1768"/>
        <w:gridCol w:w="1096"/>
        <w:gridCol w:w="1502"/>
        <w:gridCol w:w="1186"/>
        <w:gridCol w:w="1187"/>
        <w:gridCol w:w="1187"/>
        <w:gridCol w:w="5491"/>
      </w:tblGrid>
      <w:tr w:rsidR="004F3D65" w:rsidRPr="003E76E7" w14:paraId="414DB54D" w14:textId="77777777" w:rsidTr="00ED57D2">
        <w:trPr>
          <w:trHeight w:hRule="exact" w:val="1108"/>
        </w:trPr>
        <w:tc>
          <w:tcPr>
            <w:tcW w:w="1768" w:type="dxa"/>
            <w:tcBorders>
              <w:top w:val="single" w:sz="4" w:space="0" w:color="auto"/>
              <w:left w:val="single" w:sz="4" w:space="0" w:color="auto"/>
              <w:right w:val="single" w:sz="4" w:space="0" w:color="auto"/>
            </w:tcBorders>
            <w:shd w:val="clear" w:color="auto" w:fill="auto"/>
            <w:vAlign w:val="center"/>
          </w:tcPr>
          <w:p w14:paraId="256A6BFA" w14:textId="77777777" w:rsidR="004F3D65" w:rsidRPr="003E76E7" w:rsidRDefault="004F3D65" w:rsidP="00C4292D">
            <w:pPr>
              <w:spacing w:after="0"/>
              <w:rPr>
                <w:rFonts w:ascii="Arial" w:hAnsi="Arial"/>
                <w:sz w:val="16"/>
                <w:szCs w:val="16"/>
                <w:lang w:val="en-AU"/>
              </w:rPr>
            </w:pPr>
            <w:r w:rsidRPr="003E76E7">
              <w:rPr>
                <w:rFonts w:ascii="Arial" w:hAnsi="Arial"/>
                <w:b/>
                <w:bCs/>
                <w:sz w:val="16"/>
                <w:szCs w:val="16"/>
              </w:rPr>
              <w:t>Domain/Project Name</w:t>
            </w:r>
          </w:p>
        </w:tc>
        <w:tc>
          <w:tcPr>
            <w:tcW w:w="1096" w:type="dxa"/>
            <w:tcBorders>
              <w:top w:val="single" w:sz="4" w:space="0" w:color="auto"/>
              <w:left w:val="single" w:sz="4" w:space="0" w:color="auto"/>
              <w:right w:val="single" w:sz="4" w:space="0" w:color="auto"/>
            </w:tcBorders>
            <w:shd w:val="clear" w:color="auto" w:fill="auto"/>
            <w:vAlign w:val="center"/>
          </w:tcPr>
          <w:p w14:paraId="7EBD2E3B" w14:textId="77777777" w:rsidR="004F3D65" w:rsidRPr="003E76E7" w:rsidRDefault="004F3D65" w:rsidP="00C4292D">
            <w:pPr>
              <w:spacing w:after="0"/>
              <w:jc w:val="center"/>
              <w:rPr>
                <w:rFonts w:ascii="Arial" w:hAnsi="Arial"/>
                <w:b/>
                <w:bCs/>
                <w:sz w:val="16"/>
                <w:szCs w:val="16"/>
                <w:lang w:val="en-AU"/>
              </w:rPr>
            </w:pPr>
            <w:r w:rsidRPr="003E76E7">
              <w:rPr>
                <w:rFonts w:ascii="Arial" w:hAnsi="Arial"/>
                <w:b/>
                <w:bCs/>
                <w:sz w:val="16"/>
                <w:szCs w:val="16"/>
              </w:rPr>
              <w:t>Project Number/</w:t>
            </w:r>
            <w:r w:rsidRPr="003E76E7">
              <w:rPr>
                <w:rFonts w:ascii="Arial" w:hAnsi="Arial"/>
                <w:b/>
                <w:bCs/>
                <w:sz w:val="16"/>
                <w:szCs w:val="16"/>
              </w:rPr>
              <w:br/>
              <w:t>Phase</w:t>
            </w:r>
          </w:p>
        </w:tc>
        <w:tc>
          <w:tcPr>
            <w:tcW w:w="1502" w:type="dxa"/>
            <w:tcBorders>
              <w:top w:val="single" w:sz="4" w:space="0" w:color="auto"/>
              <w:left w:val="nil"/>
              <w:bottom w:val="single" w:sz="4" w:space="0" w:color="auto"/>
              <w:right w:val="single" w:sz="4" w:space="0" w:color="auto"/>
            </w:tcBorders>
            <w:shd w:val="clear" w:color="auto" w:fill="auto"/>
            <w:vAlign w:val="center"/>
          </w:tcPr>
          <w:p w14:paraId="3AA39A86" w14:textId="77777777" w:rsidR="004F3D65" w:rsidRPr="003E76E7" w:rsidRDefault="004F3D65" w:rsidP="00C4292D">
            <w:pPr>
              <w:spacing w:after="0"/>
              <w:rPr>
                <w:rFonts w:ascii="Arial" w:hAnsi="Arial"/>
                <w:sz w:val="16"/>
                <w:szCs w:val="16"/>
              </w:rPr>
            </w:pPr>
            <w:r w:rsidRPr="003E76E7">
              <w:rPr>
                <w:rFonts w:ascii="Arial" w:hAnsi="Arial"/>
                <w:b/>
                <w:bCs/>
                <w:sz w:val="16"/>
                <w:szCs w:val="16"/>
              </w:rPr>
              <w:t>Project Inputs to Capability</w:t>
            </w:r>
          </w:p>
        </w:tc>
        <w:tc>
          <w:tcPr>
            <w:tcW w:w="1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BF1DEC" w14:textId="2C013DB2" w:rsidR="004F3D65" w:rsidRPr="003E76E7" w:rsidRDefault="004F3D65" w:rsidP="00ED57D2">
            <w:pPr>
              <w:spacing w:before="0" w:after="0"/>
              <w:jc w:val="right"/>
              <w:rPr>
                <w:rFonts w:ascii="Arial" w:hAnsi="Arial"/>
                <w:b/>
                <w:bCs/>
                <w:sz w:val="16"/>
                <w:szCs w:val="16"/>
              </w:rPr>
            </w:pPr>
            <w:r w:rsidRPr="003E76E7">
              <w:rPr>
                <w:rFonts w:ascii="Arial" w:hAnsi="Arial"/>
                <w:b/>
                <w:bCs/>
                <w:sz w:val="16"/>
                <w:szCs w:val="16"/>
              </w:rPr>
              <w:t>Approved Project Expenditure</w:t>
            </w:r>
          </w:p>
          <w:p w14:paraId="48EBA48D" w14:textId="77777777" w:rsidR="004F3D65" w:rsidRPr="003E76E7" w:rsidRDefault="004F3D65" w:rsidP="00ED57D2">
            <w:pPr>
              <w:spacing w:after="0"/>
              <w:jc w:val="right"/>
              <w:rPr>
                <w:rFonts w:ascii="Arial" w:hAnsi="Arial"/>
                <w:sz w:val="16"/>
                <w:szCs w:val="16"/>
              </w:rPr>
            </w:pPr>
            <w:r w:rsidRPr="003E76E7">
              <w:rPr>
                <w:rFonts w:ascii="Arial" w:hAnsi="Arial"/>
                <w:b/>
                <w:bCs/>
                <w:sz w:val="16"/>
                <w:szCs w:val="16"/>
              </w:rPr>
              <w:t xml:space="preserve"> $m</w:t>
            </w:r>
          </w:p>
        </w:tc>
        <w:tc>
          <w:tcPr>
            <w:tcW w:w="1187" w:type="dxa"/>
            <w:tcBorders>
              <w:top w:val="single" w:sz="4" w:space="0" w:color="auto"/>
              <w:left w:val="nil"/>
              <w:bottom w:val="single" w:sz="4" w:space="0" w:color="auto"/>
              <w:right w:val="single" w:sz="4" w:space="0" w:color="auto"/>
            </w:tcBorders>
            <w:shd w:val="clear" w:color="auto" w:fill="auto"/>
            <w:noWrap/>
            <w:vAlign w:val="bottom"/>
          </w:tcPr>
          <w:p w14:paraId="13148972" w14:textId="77777777" w:rsidR="004F3D65" w:rsidRPr="003E76E7" w:rsidRDefault="004F3D65" w:rsidP="00ED57D2">
            <w:pPr>
              <w:spacing w:before="0" w:after="0"/>
              <w:jc w:val="right"/>
              <w:rPr>
                <w:rFonts w:ascii="Arial" w:hAnsi="Arial"/>
                <w:b/>
                <w:bCs/>
                <w:sz w:val="16"/>
                <w:szCs w:val="16"/>
              </w:rPr>
            </w:pPr>
            <w:r w:rsidRPr="003E76E7">
              <w:rPr>
                <w:rFonts w:ascii="Arial" w:hAnsi="Arial"/>
                <w:b/>
                <w:bCs/>
                <w:sz w:val="16"/>
                <w:szCs w:val="16"/>
              </w:rPr>
              <w:t>Estimated Cumulative Expenditure to 30 June 2026</w:t>
            </w:r>
          </w:p>
          <w:p w14:paraId="15E99430" w14:textId="77777777" w:rsidR="004F3D65" w:rsidRPr="003E76E7" w:rsidRDefault="004F3D65" w:rsidP="00ED57D2">
            <w:pPr>
              <w:spacing w:before="0" w:after="0"/>
              <w:jc w:val="right"/>
              <w:rPr>
                <w:rFonts w:ascii="Arial" w:hAnsi="Arial"/>
                <w:sz w:val="16"/>
                <w:szCs w:val="16"/>
              </w:rPr>
            </w:pPr>
            <w:r w:rsidRPr="003E76E7">
              <w:rPr>
                <w:rFonts w:ascii="Arial" w:hAnsi="Arial"/>
                <w:b/>
                <w:bCs/>
                <w:sz w:val="16"/>
                <w:szCs w:val="16"/>
              </w:rPr>
              <w:t xml:space="preserve"> $m</w:t>
            </w:r>
          </w:p>
        </w:tc>
        <w:tc>
          <w:tcPr>
            <w:tcW w:w="1187" w:type="dxa"/>
            <w:tcBorders>
              <w:top w:val="single" w:sz="4" w:space="0" w:color="auto"/>
              <w:left w:val="nil"/>
              <w:bottom w:val="single" w:sz="4" w:space="0" w:color="auto"/>
              <w:right w:val="single" w:sz="4" w:space="0" w:color="auto"/>
            </w:tcBorders>
            <w:shd w:val="clear" w:color="auto" w:fill="auto"/>
            <w:noWrap/>
            <w:vAlign w:val="bottom"/>
          </w:tcPr>
          <w:p w14:paraId="782D07B4" w14:textId="7F0419DB" w:rsidR="004F3D65" w:rsidRPr="003E76E7" w:rsidRDefault="004F3D65" w:rsidP="00ED57D2">
            <w:pPr>
              <w:spacing w:before="0" w:after="0"/>
              <w:jc w:val="right"/>
              <w:rPr>
                <w:rFonts w:ascii="Arial" w:hAnsi="Arial"/>
                <w:b/>
                <w:bCs/>
                <w:sz w:val="16"/>
                <w:szCs w:val="16"/>
              </w:rPr>
            </w:pPr>
            <w:r w:rsidRPr="003E76E7">
              <w:rPr>
                <w:rFonts w:ascii="Arial" w:hAnsi="Arial"/>
                <w:b/>
                <w:bCs/>
                <w:sz w:val="16"/>
                <w:szCs w:val="16"/>
              </w:rPr>
              <w:t xml:space="preserve">Budget Estimate 2026-27 </w:t>
            </w:r>
          </w:p>
          <w:p w14:paraId="728D7215" w14:textId="77777777" w:rsidR="004F3D65" w:rsidRPr="003E76E7" w:rsidRDefault="004F3D65" w:rsidP="00ED57D2">
            <w:pPr>
              <w:spacing w:after="0"/>
              <w:jc w:val="right"/>
              <w:rPr>
                <w:rFonts w:ascii="Arial" w:hAnsi="Arial"/>
                <w:sz w:val="16"/>
                <w:szCs w:val="16"/>
              </w:rPr>
            </w:pPr>
            <w:r w:rsidRPr="003E76E7">
              <w:rPr>
                <w:rFonts w:ascii="Arial" w:hAnsi="Arial"/>
                <w:b/>
                <w:bCs/>
                <w:sz w:val="16"/>
                <w:szCs w:val="16"/>
              </w:rPr>
              <w:t>$m</w:t>
            </w:r>
          </w:p>
        </w:tc>
        <w:tc>
          <w:tcPr>
            <w:tcW w:w="5491" w:type="dxa"/>
            <w:tcBorders>
              <w:top w:val="single" w:sz="4" w:space="0" w:color="auto"/>
              <w:left w:val="single" w:sz="4" w:space="0" w:color="auto"/>
              <w:right w:val="single" w:sz="4" w:space="0" w:color="auto"/>
            </w:tcBorders>
            <w:shd w:val="clear" w:color="auto" w:fill="auto"/>
            <w:vAlign w:val="center"/>
          </w:tcPr>
          <w:p w14:paraId="375E8CD6" w14:textId="77777777" w:rsidR="004F3D65" w:rsidRPr="003E76E7" w:rsidRDefault="004F3D65" w:rsidP="00C4292D">
            <w:pPr>
              <w:pStyle w:val="CommentText"/>
              <w:rPr>
                <w:rFonts w:ascii="Arial" w:hAnsi="Arial"/>
                <w:sz w:val="16"/>
                <w:szCs w:val="16"/>
              </w:rPr>
            </w:pPr>
            <w:r w:rsidRPr="003E76E7">
              <w:rPr>
                <w:rFonts w:ascii="Arial" w:hAnsi="Arial"/>
                <w:b/>
                <w:bCs/>
                <w:sz w:val="16"/>
                <w:szCs w:val="16"/>
              </w:rPr>
              <w:t>Top 30 Military Equipment Acquisition Project Descriptions</w:t>
            </w:r>
          </w:p>
        </w:tc>
      </w:tr>
      <w:tr w:rsidR="004F3D65" w:rsidRPr="003E76E7" w14:paraId="3E4D548A" w14:textId="77777777" w:rsidTr="00ED57D2">
        <w:trPr>
          <w:trHeight w:hRule="exact" w:val="355"/>
        </w:trPr>
        <w:tc>
          <w:tcPr>
            <w:tcW w:w="13417" w:type="dxa"/>
            <w:gridSpan w:val="7"/>
            <w:tcBorders>
              <w:top w:val="single" w:sz="4" w:space="0" w:color="auto"/>
              <w:left w:val="single" w:sz="4" w:space="0" w:color="auto"/>
              <w:right w:val="single" w:sz="4" w:space="0" w:color="auto"/>
            </w:tcBorders>
            <w:shd w:val="clear" w:color="auto" w:fill="E7E6E6" w:themeFill="background2"/>
            <w:vAlign w:val="center"/>
          </w:tcPr>
          <w:p w14:paraId="5D31105B" w14:textId="77777777" w:rsidR="004F3D65" w:rsidRPr="003E76E7" w:rsidRDefault="004F3D65" w:rsidP="00C4292D">
            <w:pPr>
              <w:pStyle w:val="CommentText"/>
              <w:rPr>
                <w:rFonts w:ascii="Arial" w:hAnsi="Arial"/>
                <w:b/>
                <w:bCs/>
                <w:sz w:val="16"/>
                <w:szCs w:val="16"/>
              </w:rPr>
            </w:pPr>
            <w:r w:rsidRPr="003E76E7">
              <w:rPr>
                <w:rFonts w:ascii="Arial" w:hAnsi="Arial"/>
                <w:b/>
                <w:bCs/>
                <w:sz w:val="16"/>
                <w:szCs w:val="16"/>
              </w:rPr>
              <w:t>Air Domain (Continued)</w:t>
            </w:r>
          </w:p>
        </w:tc>
      </w:tr>
      <w:tr w:rsidR="004F3D65" w:rsidRPr="003E76E7" w14:paraId="001BC0FF" w14:textId="77777777" w:rsidTr="00ED57D2">
        <w:trPr>
          <w:trHeight w:hRule="exact" w:val="1171"/>
        </w:trPr>
        <w:tc>
          <w:tcPr>
            <w:tcW w:w="1768"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37B11809" w14:textId="77777777" w:rsidR="004F3D65" w:rsidRPr="003E76E7" w:rsidRDefault="004F3D65" w:rsidP="00C4292D">
            <w:pPr>
              <w:spacing w:after="0"/>
              <w:rPr>
                <w:rFonts w:ascii="Arial" w:hAnsi="Arial"/>
                <w:sz w:val="16"/>
                <w:szCs w:val="16"/>
              </w:rPr>
            </w:pPr>
            <w:r w:rsidRPr="003E76E7">
              <w:rPr>
                <w:rFonts w:ascii="Arial" w:hAnsi="Arial"/>
                <w:sz w:val="16"/>
                <w:szCs w:val="16"/>
              </w:rPr>
              <w:t>MQ-4C Triton</w:t>
            </w:r>
          </w:p>
        </w:tc>
        <w:tc>
          <w:tcPr>
            <w:tcW w:w="1096"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1FF3EC4F" w14:textId="77777777" w:rsidR="004F3D65" w:rsidRPr="003E76E7" w:rsidRDefault="004F3D65" w:rsidP="00C4292D">
            <w:pPr>
              <w:spacing w:after="0"/>
              <w:jc w:val="center"/>
              <w:rPr>
                <w:rFonts w:ascii="Arial" w:hAnsi="Arial"/>
                <w:b/>
                <w:bCs/>
                <w:sz w:val="16"/>
                <w:szCs w:val="16"/>
              </w:rPr>
            </w:pPr>
            <w:r w:rsidRPr="003E76E7">
              <w:rPr>
                <w:rFonts w:ascii="Arial" w:hAnsi="Arial"/>
                <w:b/>
                <w:bCs/>
                <w:sz w:val="16"/>
                <w:szCs w:val="16"/>
              </w:rPr>
              <w:t>AIR 7001</w:t>
            </w:r>
          </w:p>
        </w:tc>
        <w:tc>
          <w:tcPr>
            <w:tcW w:w="1502" w:type="dxa"/>
            <w:tcBorders>
              <w:top w:val="single" w:sz="4" w:space="0" w:color="auto"/>
              <w:left w:val="nil"/>
              <w:bottom w:val="single" w:sz="4" w:space="0" w:color="auto"/>
              <w:right w:val="single" w:sz="4" w:space="0" w:color="auto"/>
            </w:tcBorders>
            <w:shd w:val="clear" w:color="auto" w:fill="auto"/>
            <w:vAlign w:val="center"/>
          </w:tcPr>
          <w:p w14:paraId="6BBD60C6" w14:textId="77777777" w:rsidR="004F3D65" w:rsidRPr="003E76E7" w:rsidRDefault="004F3D65" w:rsidP="00C4292D">
            <w:pPr>
              <w:spacing w:after="0"/>
              <w:rPr>
                <w:rFonts w:ascii="Arial" w:hAnsi="Arial"/>
                <w:sz w:val="16"/>
                <w:szCs w:val="16"/>
              </w:rPr>
            </w:pPr>
            <w:r w:rsidRPr="003E76E7">
              <w:rPr>
                <w:rFonts w:ascii="Arial" w:hAnsi="Arial"/>
                <w:sz w:val="16"/>
                <w:szCs w:val="16"/>
              </w:rPr>
              <w:t>Military Equipment Acquisition</w:t>
            </w:r>
          </w:p>
        </w:tc>
        <w:tc>
          <w:tcPr>
            <w:tcW w:w="11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36701C" w14:textId="6CB14F7E"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2,374 </w:t>
            </w:r>
          </w:p>
        </w:tc>
        <w:tc>
          <w:tcPr>
            <w:tcW w:w="1187" w:type="dxa"/>
            <w:tcBorders>
              <w:top w:val="single" w:sz="4" w:space="0" w:color="auto"/>
              <w:left w:val="nil"/>
              <w:bottom w:val="single" w:sz="4" w:space="0" w:color="auto"/>
              <w:right w:val="single" w:sz="4" w:space="0" w:color="auto"/>
            </w:tcBorders>
            <w:shd w:val="clear" w:color="auto" w:fill="auto"/>
            <w:noWrap/>
            <w:vAlign w:val="center"/>
          </w:tcPr>
          <w:p w14:paraId="5277B677" w14:textId="3017AB75"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1,662 </w:t>
            </w:r>
          </w:p>
        </w:tc>
        <w:tc>
          <w:tcPr>
            <w:tcW w:w="1187" w:type="dxa"/>
            <w:tcBorders>
              <w:top w:val="single" w:sz="4" w:space="0" w:color="auto"/>
              <w:left w:val="nil"/>
              <w:bottom w:val="single" w:sz="4" w:space="0" w:color="auto"/>
              <w:right w:val="single" w:sz="4" w:space="0" w:color="auto"/>
            </w:tcBorders>
            <w:shd w:val="clear" w:color="auto" w:fill="auto"/>
            <w:noWrap/>
            <w:vAlign w:val="center"/>
          </w:tcPr>
          <w:p w14:paraId="559FDA55" w14:textId="3D697929"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189 </w:t>
            </w:r>
          </w:p>
        </w:tc>
        <w:tc>
          <w:tcPr>
            <w:tcW w:w="5491"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257DAE5E" w14:textId="5A8E8C34" w:rsidR="00AC78F0" w:rsidRPr="003E76E7" w:rsidRDefault="00AC78F0" w:rsidP="00AC78F0">
            <w:pPr>
              <w:spacing w:before="60" w:after="60"/>
              <w:rPr>
                <w:rFonts w:ascii="Arial" w:hAnsi="Arial"/>
                <w:sz w:val="16"/>
                <w:szCs w:val="16"/>
                <w:lang w:val="en-AU"/>
              </w:rPr>
            </w:pPr>
            <w:r w:rsidRPr="003E76E7">
              <w:rPr>
                <w:rFonts w:ascii="Arial" w:hAnsi="Arial"/>
                <w:sz w:val="16"/>
                <w:szCs w:val="16"/>
                <w:lang w:val="en-AU"/>
              </w:rPr>
              <w:t xml:space="preserve">This project will acquire four MQ-4C Triton aircraft and support systems through a cooperative program with the United States Navy. The </w:t>
            </w:r>
            <w:r w:rsidRPr="003E76E7">
              <w:rPr>
                <w:rFonts w:ascii="Arial" w:hAnsi="Arial"/>
                <w:sz w:val="16"/>
                <w:szCs w:val="16"/>
                <w:lang w:val="en-AU"/>
              </w:rPr>
              <w:br/>
              <w:t xml:space="preserve">MQ-4C Triton is a </w:t>
            </w:r>
            <w:r>
              <w:rPr>
                <w:rFonts w:ascii="Arial" w:hAnsi="Arial"/>
                <w:sz w:val="16"/>
                <w:szCs w:val="16"/>
                <w:lang w:val="en-AU"/>
              </w:rPr>
              <w:t>h</w:t>
            </w:r>
            <w:r w:rsidRPr="003E76E7">
              <w:rPr>
                <w:rFonts w:ascii="Arial" w:hAnsi="Arial"/>
                <w:sz w:val="16"/>
                <w:szCs w:val="16"/>
                <w:lang w:val="en-AU"/>
              </w:rPr>
              <w:t xml:space="preserve">igh </w:t>
            </w:r>
            <w:r>
              <w:rPr>
                <w:rFonts w:ascii="Arial" w:hAnsi="Arial"/>
                <w:sz w:val="16"/>
                <w:szCs w:val="16"/>
                <w:lang w:val="en-AU"/>
              </w:rPr>
              <w:t>a</w:t>
            </w:r>
            <w:r w:rsidRPr="003E76E7">
              <w:rPr>
                <w:rFonts w:ascii="Arial" w:hAnsi="Arial"/>
                <w:sz w:val="16"/>
                <w:szCs w:val="16"/>
                <w:lang w:val="en-AU"/>
              </w:rPr>
              <w:t>ltitude</w:t>
            </w:r>
            <w:r>
              <w:rPr>
                <w:rFonts w:ascii="Arial" w:hAnsi="Arial"/>
                <w:sz w:val="16"/>
                <w:szCs w:val="16"/>
                <w:lang w:val="en-AU"/>
              </w:rPr>
              <w:t>,</w:t>
            </w:r>
            <w:r w:rsidRPr="003E76E7">
              <w:rPr>
                <w:rFonts w:ascii="Arial" w:hAnsi="Arial"/>
                <w:sz w:val="16"/>
                <w:szCs w:val="16"/>
                <w:lang w:val="en-AU"/>
              </w:rPr>
              <w:t xml:space="preserve"> </w:t>
            </w:r>
            <w:r>
              <w:rPr>
                <w:rFonts w:ascii="Arial" w:hAnsi="Arial"/>
                <w:sz w:val="16"/>
                <w:szCs w:val="16"/>
                <w:lang w:val="en-AU"/>
              </w:rPr>
              <w:t>l</w:t>
            </w:r>
            <w:r w:rsidRPr="003E76E7">
              <w:rPr>
                <w:rFonts w:ascii="Arial" w:hAnsi="Arial"/>
                <w:sz w:val="16"/>
                <w:szCs w:val="16"/>
                <w:lang w:val="en-AU"/>
              </w:rPr>
              <w:t xml:space="preserve">ong </w:t>
            </w:r>
            <w:r>
              <w:rPr>
                <w:rFonts w:ascii="Arial" w:hAnsi="Arial"/>
                <w:sz w:val="16"/>
                <w:szCs w:val="16"/>
                <w:lang w:val="en-AU"/>
              </w:rPr>
              <w:t>e</w:t>
            </w:r>
            <w:r w:rsidRPr="003E76E7">
              <w:rPr>
                <w:rFonts w:ascii="Arial" w:hAnsi="Arial"/>
                <w:sz w:val="16"/>
                <w:szCs w:val="16"/>
                <w:lang w:val="en-AU"/>
              </w:rPr>
              <w:t>ndurance</w:t>
            </w:r>
            <w:r>
              <w:rPr>
                <w:rFonts w:ascii="Arial" w:hAnsi="Arial"/>
                <w:sz w:val="16"/>
                <w:szCs w:val="16"/>
                <w:lang w:val="en-AU"/>
              </w:rPr>
              <w:t>, maritime Intelligence, Surveillanc</w:t>
            </w:r>
            <w:r w:rsidR="00CB3889">
              <w:rPr>
                <w:rFonts w:ascii="Arial" w:hAnsi="Arial"/>
                <w:sz w:val="16"/>
                <w:szCs w:val="16"/>
                <w:lang w:val="en-AU"/>
              </w:rPr>
              <w:t>e, anti-submarine warfare</w:t>
            </w:r>
            <w:r w:rsidRPr="003E76E7">
              <w:rPr>
                <w:rFonts w:ascii="Arial" w:hAnsi="Arial"/>
                <w:sz w:val="16"/>
                <w:szCs w:val="16"/>
                <w:lang w:val="en-AU"/>
              </w:rPr>
              <w:t xml:space="preserve"> </w:t>
            </w:r>
            <w:r>
              <w:rPr>
                <w:rFonts w:ascii="Arial" w:hAnsi="Arial"/>
                <w:sz w:val="16"/>
                <w:szCs w:val="16"/>
                <w:lang w:val="en-AU"/>
              </w:rPr>
              <w:t>and electronic warfare capability that enables the persistent patrol of Australia’s strategic area of interest and maritime approaches</w:t>
            </w:r>
            <w:r w:rsidRPr="003E76E7">
              <w:rPr>
                <w:rFonts w:ascii="Arial" w:hAnsi="Arial"/>
                <w:sz w:val="16"/>
                <w:szCs w:val="16"/>
                <w:lang w:val="en-AU"/>
              </w:rPr>
              <w:t xml:space="preserve">. </w:t>
            </w:r>
          </w:p>
          <w:p w14:paraId="23D010A8" w14:textId="61970E62" w:rsidR="004F3D65" w:rsidRPr="003E76E7" w:rsidRDefault="00AC78F0" w:rsidP="00AC78F0">
            <w:pPr>
              <w:spacing w:before="60" w:after="60"/>
              <w:rPr>
                <w:rFonts w:ascii="Arial" w:hAnsi="Arial"/>
                <w:sz w:val="16"/>
                <w:szCs w:val="16"/>
                <w:lang w:val="en-AU"/>
              </w:rPr>
            </w:pPr>
            <w:r>
              <w:rPr>
                <w:rFonts w:ascii="Arial" w:hAnsi="Arial"/>
                <w:sz w:val="16"/>
                <w:szCs w:val="16"/>
                <w:lang w:val="en-AU"/>
              </w:rPr>
              <w:t>In</w:t>
            </w:r>
            <w:r w:rsidRPr="003E76E7">
              <w:rPr>
                <w:rFonts w:ascii="Arial" w:hAnsi="Arial"/>
                <w:sz w:val="16"/>
                <w:szCs w:val="16"/>
                <w:lang w:val="en-AU"/>
              </w:rPr>
              <w:t xml:space="preserve"> 2026-27, the project will continue to progress towards Initial Operational Capability, inclusive of integration to Australian networks and associated test and evaluation activities. Further activities are focussed on expanding the capability realisation of the MQ-4C Triton system.</w:t>
            </w:r>
          </w:p>
        </w:tc>
      </w:tr>
      <w:tr w:rsidR="004F3D65" w:rsidRPr="003E76E7" w14:paraId="341C1FBE" w14:textId="77777777" w:rsidTr="00ED57D2">
        <w:trPr>
          <w:trHeight w:hRule="exact" w:val="1130"/>
        </w:trPr>
        <w:tc>
          <w:tcPr>
            <w:tcW w:w="1768" w:type="dxa"/>
            <w:vMerge/>
            <w:tcBorders>
              <w:left w:val="single" w:sz="4" w:space="0" w:color="auto"/>
              <w:bottom w:val="single" w:sz="4" w:space="0" w:color="000000"/>
              <w:right w:val="single" w:sz="4" w:space="0" w:color="auto"/>
            </w:tcBorders>
            <w:shd w:val="clear" w:color="auto" w:fill="auto"/>
            <w:vAlign w:val="center"/>
          </w:tcPr>
          <w:p w14:paraId="43C7A072" w14:textId="77777777" w:rsidR="004F3D65" w:rsidRPr="003E76E7" w:rsidRDefault="004F3D65" w:rsidP="00C4292D">
            <w:pPr>
              <w:spacing w:after="0"/>
              <w:rPr>
                <w:rFonts w:ascii="Arial" w:hAnsi="Arial"/>
                <w:sz w:val="16"/>
                <w:szCs w:val="16"/>
              </w:rPr>
            </w:pPr>
          </w:p>
        </w:tc>
        <w:tc>
          <w:tcPr>
            <w:tcW w:w="1096" w:type="dxa"/>
            <w:vMerge/>
            <w:tcBorders>
              <w:left w:val="single" w:sz="4" w:space="0" w:color="auto"/>
              <w:bottom w:val="single" w:sz="4" w:space="0" w:color="000000"/>
              <w:right w:val="single" w:sz="4" w:space="0" w:color="auto"/>
            </w:tcBorders>
            <w:shd w:val="clear" w:color="auto" w:fill="auto"/>
            <w:vAlign w:val="center"/>
          </w:tcPr>
          <w:p w14:paraId="5C631CE4" w14:textId="77777777" w:rsidR="004F3D65" w:rsidRPr="003E76E7" w:rsidRDefault="004F3D65" w:rsidP="00C4292D">
            <w:pPr>
              <w:spacing w:after="0"/>
              <w:jc w:val="center"/>
              <w:rPr>
                <w:rFonts w:ascii="Arial" w:hAnsi="Arial"/>
                <w:b/>
                <w:bCs/>
                <w:sz w:val="16"/>
                <w:szCs w:val="16"/>
              </w:rPr>
            </w:pPr>
          </w:p>
        </w:tc>
        <w:tc>
          <w:tcPr>
            <w:tcW w:w="1502" w:type="dxa"/>
            <w:tcBorders>
              <w:top w:val="nil"/>
              <w:left w:val="nil"/>
              <w:bottom w:val="single" w:sz="4" w:space="0" w:color="auto"/>
              <w:right w:val="single" w:sz="4" w:space="0" w:color="auto"/>
            </w:tcBorders>
            <w:shd w:val="clear" w:color="auto" w:fill="auto"/>
            <w:vAlign w:val="center"/>
          </w:tcPr>
          <w:p w14:paraId="61583922" w14:textId="77777777" w:rsidR="004F3D65" w:rsidRPr="003E76E7" w:rsidRDefault="004F3D65" w:rsidP="00C4292D">
            <w:pPr>
              <w:spacing w:after="0"/>
              <w:rPr>
                <w:rFonts w:ascii="Arial" w:hAnsi="Arial"/>
                <w:sz w:val="16"/>
                <w:szCs w:val="16"/>
              </w:rPr>
            </w:pPr>
            <w:r w:rsidRPr="003E76E7">
              <w:rPr>
                <w:rFonts w:ascii="Arial" w:hAnsi="Arial"/>
                <w:sz w:val="16"/>
                <w:szCs w:val="16"/>
              </w:rPr>
              <w:t>Other Project Inputs to Capability</w:t>
            </w:r>
          </w:p>
        </w:tc>
        <w:tc>
          <w:tcPr>
            <w:tcW w:w="1186" w:type="dxa"/>
            <w:tcBorders>
              <w:top w:val="nil"/>
              <w:left w:val="single" w:sz="4" w:space="0" w:color="auto"/>
              <w:bottom w:val="single" w:sz="4" w:space="0" w:color="auto"/>
              <w:right w:val="single" w:sz="4" w:space="0" w:color="auto"/>
            </w:tcBorders>
            <w:shd w:val="clear" w:color="auto" w:fill="auto"/>
            <w:noWrap/>
            <w:vAlign w:val="center"/>
          </w:tcPr>
          <w:p w14:paraId="1094B32F" w14:textId="37AA755D"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680 </w:t>
            </w:r>
          </w:p>
        </w:tc>
        <w:tc>
          <w:tcPr>
            <w:tcW w:w="1187" w:type="dxa"/>
            <w:tcBorders>
              <w:top w:val="nil"/>
              <w:left w:val="nil"/>
              <w:bottom w:val="single" w:sz="4" w:space="0" w:color="auto"/>
              <w:right w:val="single" w:sz="4" w:space="0" w:color="auto"/>
            </w:tcBorders>
            <w:shd w:val="clear" w:color="auto" w:fill="auto"/>
            <w:noWrap/>
            <w:vAlign w:val="center"/>
          </w:tcPr>
          <w:p w14:paraId="33AABFC8" w14:textId="155EA231"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505 </w:t>
            </w:r>
          </w:p>
        </w:tc>
        <w:tc>
          <w:tcPr>
            <w:tcW w:w="1187" w:type="dxa"/>
            <w:tcBorders>
              <w:top w:val="nil"/>
              <w:left w:val="nil"/>
              <w:bottom w:val="single" w:sz="4" w:space="0" w:color="auto"/>
              <w:right w:val="single" w:sz="4" w:space="0" w:color="auto"/>
            </w:tcBorders>
            <w:shd w:val="clear" w:color="auto" w:fill="auto"/>
            <w:noWrap/>
            <w:vAlign w:val="center"/>
          </w:tcPr>
          <w:p w14:paraId="388C2DDA" w14:textId="2B62244D"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14 </w:t>
            </w:r>
          </w:p>
        </w:tc>
        <w:tc>
          <w:tcPr>
            <w:tcW w:w="5491" w:type="dxa"/>
            <w:vMerge/>
            <w:tcBorders>
              <w:left w:val="single" w:sz="4" w:space="0" w:color="auto"/>
              <w:bottom w:val="single" w:sz="4" w:space="0" w:color="000000"/>
              <w:right w:val="single" w:sz="4" w:space="0" w:color="auto"/>
            </w:tcBorders>
            <w:shd w:val="clear" w:color="auto" w:fill="auto"/>
            <w:vAlign w:val="center"/>
          </w:tcPr>
          <w:p w14:paraId="74C7E7FF" w14:textId="77777777" w:rsidR="004F3D65" w:rsidRPr="003E76E7" w:rsidRDefault="004F3D65" w:rsidP="00C4292D">
            <w:pPr>
              <w:spacing w:before="60" w:after="60"/>
              <w:rPr>
                <w:rFonts w:ascii="Arial" w:hAnsi="Arial"/>
                <w:sz w:val="16"/>
                <w:szCs w:val="16"/>
                <w:lang w:val="en-AU"/>
              </w:rPr>
            </w:pPr>
          </w:p>
        </w:tc>
      </w:tr>
      <w:tr w:rsidR="004F3D65" w:rsidRPr="003E76E7" w14:paraId="114EDF14" w14:textId="77777777" w:rsidTr="00ED57D2">
        <w:trPr>
          <w:trHeight w:hRule="exact" w:val="881"/>
        </w:trPr>
        <w:tc>
          <w:tcPr>
            <w:tcW w:w="17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5FA8A79" w14:textId="77777777" w:rsidR="004F3D65" w:rsidRPr="003E76E7" w:rsidRDefault="004F3D65" w:rsidP="00C4292D">
            <w:pPr>
              <w:spacing w:after="0"/>
              <w:rPr>
                <w:rFonts w:ascii="Arial" w:hAnsi="Arial"/>
                <w:sz w:val="16"/>
                <w:szCs w:val="16"/>
              </w:rPr>
            </w:pPr>
            <w:r w:rsidRPr="003E76E7">
              <w:rPr>
                <w:rFonts w:ascii="Arial" w:hAnsi="Arial"/>
                <w:sz w:val="16"/>
                <w:szCs w:val="16"/>
              </w:rPr>
              <w:t>JORN Radar and Amplifier Enhancement</w:t>
            </w:r>
          </w:p>
        </w:tc>
        <w:tc>
          <w:tcPr>
            <w:tcW w:w="109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79F249D" w14:textId="77777777" w:rsidR="004F3D65" w:rsidRPr="003E76E7" w:rsidRDefault="004F3D65" w:rsidP="00C4292D">
            <w:pPr>
              <w:spacing w:after="0"/>
              <w:jc w:val="center"/>
              <w:rPr>
                <w:rFonts w:ascii="Arial" w:hAnsi="Arial"/>
                <w:b/>
                <w:bCs/>
                <w:sz w:val="16"/>
                <w:szCs w:val="16"/>
              </w:rPr>
            </w:pPr>
            <w:r w:rsidRPr="003E76E7">
              <w:rPr>
                <w:rFonts w:ascii="Arial" w:hAnsi="Arial"/>
                <w:b/>
                <w:bCs/>
                <w:sz w:val="16"/>
                <w:szCs w:val="16"/>
              </w:rPr>
              <w:t>AIR 2025</w:t>
            </w:r>
          </w:p>
        </w:tc>
        <w:tc>
          <w:tcPr>
            <w:tcW w:w="1502" w:type="dxa"/>
            <w:tcBorders>
              <w:top w:val="single" w:sz="4" w:space="0" w:color="auto"/>
              <w:left w:val="nil"/>
              <w:bottom w:val="single" w:sz="4" w:space="0" w:color="auto"/>
              <w:right w:val="single" w:sz="4" w:space="0" w:color="auto"/>
            </w:tcBorders>
            <w:shd w:val="clear" w:color="auto" w:fill="auto"/>
            <w:vAlign w:val="center"/>
          </w:tcPr>
          <w:p w14:paraId="5F4C8103" w14:textId="77777777" w:rsidR="004F3D65" w:rsidRPr="003E76E7" w:rsidRDefault="004F3D65" w:rsidP="00C4292D">
            <w:pPr>
              <w:spacing w:after="0"/>
              <w:rPr>
                <w:rFonts w:ascii="Arial" w:hAnsi="Arial"/>
                <w:sz w:val="16"/>
                <w:szCs w:val="16"/>
              </w:rPr>
            </w:pPr>
            <w:r w:rsidRPr="003E76E7">
              <w:rPr>
                <w:rFonts w:ascii="Arial" w:hAnsi="Arial"/>
                <w:sz w:val="16"/>
                <w:szCs w:val="16"/>
              </w:rPr>
              <w:t>Military Equipment Acquisition</w:t>
            </w:r>
          </w:p>
        </w:tc>
        <w:tc>
          <w:tcPr>
            <w:tcW w:w="1186" w:type="dxa"/>
            <w:tcBorders>
              <w:top w:val="single" w:sz="4" w:space="0" w:color="auto"/>
              <w:left w:val="single" w:sz="4" w:space="0" w:color="auto"/>
              <w:bottom w:val="single" w:sz="4" w:space="0" w:color="auto"/>
              <w:right w:val="nil"/>
            </w:tcBorders>
            <w:shd w:val="clear" w:color="auto" w:fill="auto"/>
            <w:noWrap/>
            <w:vAlign w:val="center"/>
          </w:tcPr>
          <w:p w14:paraId="14FE3219" w14:textId="1813D0D0"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1,243 </w:t>
            </w:r>
          </w:p>
        </w:tc>
        <w:tc>
          <w:tcPr>
            <w:tcW w:w="1187" w:type="dxa"/>
            <w:tcBorders>
              <w:top w:val="single" w:sz="4" w:space="0" w:color="auto"/>
              <w:left w:val="single" w:sz="4" w:space="0" w:color="auto"/>
              <w:bottom w:val="single" w:sz="4" w:space="0" w:color="auto"/>
              <w:right w:val="nil"/>
            </w:tcBorders>
            <w:shd w:val="clear" w:color="auto" w:fill="auto"/>
            <w:noWrap/>
            <w:vAlign w:val="center"/>
          </w:tcPr>
          <w:p w14:paraId="76D4B309" w14:textId="1C0D8526"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653 </w:t>
            </w:r>
          </w:p>
        </w:tc>
        <w:tc>
          <w:tcPr>
            <w:tcW w:w="1187" w:type="dxa"/>
            <w:tcBorders>
              <w:top w:val="single" w:sz="4" w:space="0" w:color="auto"/>
              <w:left w:val="single" w:sz="4" w:space="0" w:color="auto"/>
              <w:bottom w:val="single" w:sz="4" w:space="0" w:color="auto"/>
              <w:right w:val="nil"/>
            </w:tcBorders>
            <w:shd w:val="clear" w:color="auto" w:fill="auto"/>
            <w:noWrap/>
            <w:vAlign w:val="center"/>
          </w:tcPr>
          <w:p w14:paraId="58E544D2" w14:textId="4635C174"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122 </w:t>
            </w:r>
          </w:p>
        </w:tc>
        <w:tc>
          <w:tcPr>
            <w:tcW w:w="549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E8E237F" w14:textId="77777777" w:rsidR="004F3D65" w:rsidRPr="003E76E7" w:rsidRDefault="004F3D65" w:rsidP="00C4292D">
            <w:pPr>
              <w:spacing w:before="60" w:after="60"/>
              <w:rPr>
                <w:rFonts w:ascii="Arial" w:hAnsi="Arial"/>
                <w:sz w:val="16"/>
                <w:szCs w:val="16"/>
                <w:lang w:val="en-AU"/>
              </w:rPr>
            </w:pPr>
            <w:r w:rsidRPr="003E76E7">
              <w:rPr>
                <w:rFonts w:ascii="Arial" w:hAnsi="Arial"/>
                <w:sz w:val="16"/>
                <w:szCs w:val="16"/>
                <w:lang w:val="en-AU"/>
              </w:rPr>
              <w:t>This project is modernising the Jindalee Operational Radar Network, including the command and control system operated from the Battlespace Surveillance Centre at RAAF Base Edinburgh, SA and the three radar sites located at Longreach, QLD, Laverton, WA and Alice Springs, NT. Other vital supporting infrastructure including the extensive Ionospheric sounder network will also be upgraded.</w:t>
            </w:r>
          </w:p>
          <w:p w14:paraId="5DF4BEF7" w14:textId="77777777" w:rsidR="004F3D65" w:rsidRPr="003E76E7" w:rsidRDefault="004F3D65" w:rsidP="00C4292D">
            <w:pPr>
              <w:autoSpaceDE w:val="0"/>
              <w:autoSpaceDN w:val="0"/>
              <w:adjustRightInd w:val="0"/>
              <w:spacing w:before="60" w:after="60"/>
              <w:rPr>
                <w:rFonts w:ascii="ArialMT" w:hAnsi="ArialMT" w:cs="ArialMT"/>
                <w:sz w:val="16"/>
                <w:szCs w:val="16"/>
                <w:lang w:val="en-AU"/>
              </w:rPr>
            </w:pPr>
            <w:r w:rsidRPr="003E76E7">
              <w:rPr>
                <w:rFonts w:ascii="Arial" w:hAnsi="Arial"/>
                <w:sz w:val="16"/>
                <w:szCs w:val="16"/>
              </w:rPr>
              <w:t>During 2026-27, the project will deliver capability building blocks that address obsolescence, provide a more contemporary system architecture and upgrade key infrastructure elements.</w:t>
            </w:r>
          </w:p>
        </w:tc>
      </w:tr>
      <w:tr w:rsidR="004F3D65" w:rsidRPr="003E76E7" w14:paraId="79F38793" w14:textId="77777777" w:rsidTr="00ED57D2">
        <w:trPr>
          <w:trHeight w:hRule="exact" w:val="1175"/>
        </w:trPr>
        <w:tc>
          <w:tcPr>
            <w:tcW w:w="1768" w:type="dxa"/>
            <w:vMerge/>
            <w:tcBorders>
              <w:left w:val="single" w:sz="4" w:space="0" w:color="auto"/>
              <w:bottom w:val="single" w:sz="4" w:space="0" w:color="auto"/>
              <w:right w:val="single" w:sz="4" w:space="0" w:color="auto"/>
            </w:tcBorders>
            <w:shd w:val="clear" w:color="auto" w:fill="auto"/>
            <w:vAlign w:val="center"/>
          </w:tcPr>
          <w:p w14:paraId="19D0B179" w14:textId="77777777" w:rsidR="004F3D65" w:rsidRPr="003E76E7" w:rsidRDefault="004F3D65" w:rsidP="00C4292D">
            <w:pPr>
              <w:spacing w:after="0"/>
              <w:rPr>
                <w:rFonts w:ascii="Arial" w:hAnsi="Arial"/>
                <w:sz w:val="16"/>
                <w:szCs w:val="16"/>
              </w:rPr>
            </w:pPr>
          </w:p>
        </w:tc>
        <w:tc>
          <w:tcPr>
            <w:tcW w:w="1096" w:type="dxa"/>
            <w:vMerge/>
            <w:tcBorders>
              <w:left w:val="single" w:sz="4" w:space="0" w:color="auto"/>
              <w:bottom w:val="single" w:sz="4" w:space="0" w:color="auto"/>
              <w:right w:val="single" w:sz="4" w:space="0" w:color="auto"/>
            </w:tcBorders>
            <w:shd w:val="clear" w:color="auto" w:fill="auto"/>
            <w:vAlign w:val="center"/>
          </w:tcPr>
          <w:p w14:paraId="76353310" w14:textId="77777777" w:rsidR="004F3D65" w:rsidRPr="003E76E7" w:rsidRDefault="004F3D65" w:rsidP="00C4292D">
            <w:pPr>
              <w:spacing w:after="0"/>
              <w:jc w:val="center"/>
              <w:rPr>
                <w:rFonts w:ascii="Arial" w:hAnsi="Arial"/>
                <w:b/>
                <w:bCs/>
                <w:sz w:val="16"/>
                <w:szCs w:val="16"/>
              </w:rPr>
            </w:pPr>
          </w:p>
        </w:tc>
        <w:tc>
          <w:tcPr>
            <w:tcW w:w="1502" w:type="dxa"/>
            <w:tcBorders>
              <w:top w:val="nil"/>
              <w:left w:val="nil"/>
              <w:bottom w:val="single" w:sz="4" w:space="0" w:color="auto"/>
              <w:right w:val="single" w:sz="4" w:space="0" w:color="auto"/>
            </w:tcBorders>
            <w:shd w:val="clear" w:color="auto" w:fill="auto"/>
            <w:vAlign w:val="center"/>
          </w:tcPr>
          <w:p w14:paraId="71F4F148" w14:textId="77777777" w:rsidR="004F3D65" w:rsidRPr="003E76E7" w:rsidRDefault="004F3D65" w:rsidP="00C4292D">
            <w:pPr>
              <w:spacing w:after="0"/>
              <w:rPr>
                <w:rFonts w:ascii="Arial" w:hAnsi="Arial"/>
                <w:sz w:val="16"/>
                <w:szCs w:val="16"/>
              </w:rPr>
            </w:pPr>
            <w:r w:rsidRPr="003E76E7">
              <w:rPr>
                <w:rFonts w:ascii="Arial" w:hAnsi="Arial"/>
                <w:sz w:val="16"/>
                <w:szCs w:val="16"/>
              </w:rPr>
              <w:t>Other Project Inputs to Capability</w:t>
            </w:r>
          </w:p>
        </w:tc>
        <w:tc>
          <w:tcPr>
            <w:tcW w:w="11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D95CC1" w14:textId="3F29A315"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130 </w:t>
            </w:r>
          </w:p>
        </w:tc>
        <w:tc>
          <w:tcPr>
            <w:tcW w:w="1187" w:type="dxa"/>
            <w:tcBorders>
              <w:top w:val="nil"/>
              <w:left w:val="nil"/>
              <w:bottom w:val="single" w:sz="4" w:space="0" w:color="auto"/>
              <w:right w:val="nil"/>
            </w:tcBorders>
            <w:shd w:val="clear" w:color="auto" w:fill="auto"/>
            <w:noWrap/>
            <w:vAlign w:val="center"/>
          </w:tcPr>
          <w:p w14:paraId="19C82CDC" w14:textId="2CA29386"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90 </w:t>
            </w:r>
          </w:p>
        </w:tc>
        <w:tc>
          <w:tcPr>
            <w:tcW w:w="1187" w:type="dxa"/>
            <w:tcBorders>
              <w:top w:val="nil"/>
              <w:left w:val="single" w:sz="4" w:space="0" w:color="auto"/>
              <w:bottom w:val="single" w:sz="4" w:space="0" w:color="auto"/>
              <w:right w:val="nil"/>
            </w:tcBorders>
            <w:shd w:val="clear" w:color="auto" w:fill="auto"/>
            <w:noWrap/>
            <w:vAlign w:val="center"/>
          </w:tcPr>
          <w:p w14:paraId="2F6DB81C" w14:textId="6BCEB0ED"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28 </w:t>
            </w:r>
          </w:p>
        </w:tc>
        <w:tc>
          <w:tcPr>
            <w:tcW w:w="5491" w:type="dxa"/>
            <w:vMerge/>
            <w:tcBorders>
              <w:left w:val="single" w:sz="4" w:space="0" w:color="auto"/>
              <w:bottom w:val="single" w:sz="4" w:space="0" w:color="auto"/>
              <w:right w:val="single" w:sz="4" w:space="0" w:color="auto"/>
            </w:tcBorders>
            <w:shd w:val="clear" w:color="auto" w:fill="auto"/>
            <w:vAlign w:val="center"/>
          </w:tcPr>
          <w:p w14:paraId="1F3CC8E4" w14:textId="77777777" w:rsidR="004F3D65" w:rsidRPr="003E76E7" w:rsidRDefault="004F3D65" w:rsidP="00C4292D">
            <w:pPr>
              <w:autoSpaceDE w:val="0"/>
              <w:autoSpaceDN w:val="0"/>
              <w:adjustRightInd w:val="0"/>
              <w:spacing w:before="0" w:after="0"/>
              <w:rPr>
                <w:rFonts w:ascii="ArialMT" w:hAnsi="ArialMT" w:cs="ArialMT"/>
                <w:sz w:val="16"/>
                <w:szCs w:val="16"/>
                <w:lang w:val="en-AU"/>
              </w:rPr>
            </w:pPr>
          </w:p>
        </w:tc>
      </w:tr>
    </w:tbl>
    <w:p w14:paraId="0EA50DD0" w14:textId="77777777" w:rsidR="004F3D65" w:rsidRPr="003E76E7" w:rsidRDefault="004F3D65" w:rsidP="00C4292D">
      <w:pPr>
        <w:pStyle w:val="BodyText"/>
        <w:rPr>
          <w:rFonts w:ascii="Arial" w:hAnsi="Arial"/>
          <w:b/>
        </w:rPr>
      </w:pPr>
      <w:r w:rsidRPr="003E76E7">
        <w:br w:type="page"/>
      </w:r>
      <w:r w:rsidRPr="003E76E7">
        <w:rPr>
          <w:rFonts w:ascii="Arial" w:hAnsi="Arial"/>
          <w:b/>
        </w:rPr>
        <w:lastRenderedPageBreak/>
        <w:t>Table 54: Top 30 Military Equipment Acquisition Program Approved Projects by 2026-27 Forecast Expenditure (Gross Plan) (Continued)</w:t>
      </w:r>
      <w:r w:rsidRPr="003E76E7">
        <w:rPr>
          <w:rFonts w:ascii="Arial" w:hAnsi="Arial"/>
          <w:b/>
          <w:vertAlign w:val="superscript"/>
        </w:rPr>
        <w:t xml:space="preserve"> [a][b][c]</w:t>
      </w:r>
    </w:p>
    <w:tbl>
      <w:tblPr>
        <w:tblW w:w="4996" w:type="pct"/>
        <w:tblInd w:w="5" w:type="dxa"/>
        <w:tblLayout w:type="fixed"/>
        <w:tblLook w:val="04A0" w:firstRow="1" w:lastRow="0" w:firstColumn="1" w:lastColumn="0" w:noHBand="0" w:noVBand="1"/>
      </w:tblPr>
      <w:tblGrid>
        <w:gridCol w:w="1768"/>
        <w:gridCol w:w="1096"/>
        <w:gridCol w:w="1502"/>
        <w:gridCol w:w="1186"/>
        <w:gridCol w:w="1187"/>
        <w:gridCol w:w="1187"/>
        <w:gridCol w:w="5491"/>
      </w:tblGrid>
      <w:tr w:rsidR="00ED57D2" w:rsidRPr="003E76E7" w14:paraId="4A102591" w14:textId="77777777" w:rsidTr="00ED57D2">
        <w:trPr>
          <w:trHeight w:hRule="exact" w:val="1108"/>
        </w:trPr>
        <w:tc>
          <w:tcPr>
            <w:tcW w:w="1768" w:type="dxa"/>
            <w:tcBorders>
              <w:top w:val="single" w:sz="4" w:space="0" w:color="auto"/>
              <w:left w:val="single" w:sz="4" w:space="0" w:color="auto"/>
              <w:right w:val="single" w:sz="4" w:space="0" w:color="auto"/>
            </w:tcBorders>
            <w:shd w:val="clear" w:color="auto" w:fill="auto"/>
            <w:vAlign w:val="center"/>
          </w:tcPr>
          <w:p w14:paraId="6D0F9E54" w14:textId="150DEC3D" w:rsidR="00ED57D2" w:rsidRPr="003E76E7" w:rsidRDefault="00ED57D2" w:rsidP="00ED57D2">
            <w:pPr>
              <w:spacing w:after="0"/>
              <w:rPr>
                <w:rFonts w:ascii="Arial" w:hAnsi="Arial"/>
                <w:sz w:val="16"/>
                <w:szCs w:val="16"/>
                <w:lang w:val="en-AU"/>
              </w:rPr>
            </w:pPr>
            <w:r w:rsidRPr="003E76E7">
              <w:rPr>
                <w:rFonts w:ascii="Arial" w:hAnsi="Arial"/>
                <w:b/>
                <w:bCs/>
                <w:sz w:val="16"/>
                <w:szCs w:val="16"/>
              </w:rPr>
              <w:t>Domain/Project Name</w:t>
            </w:r>
          </w:p>
        </w:tc>
        <w:tc>
          <w:tcPr>
            <w:tcW w:w="1096" w:type="dxa"/>
            <w:tcBorders>
              <w:top w:val="single" w:sz="4" w:space="0" w:color="auto"/>
              <w:left w:val="single" w:sz="4" w:space="0" w:color="auto"/>
              <w:right w:val="single" w:sz="4" w:space="0" w:color="auto"/>
            </w:tcBorders>
            <w:shd w:val="clear" w:color="auto" w:fill="auto"/>
            <w:vAlign w:val="center"/>
          </w:tcPr>
          <w:p w14:paraId="0B39FE72" w14:textId="146A9768" w:rsidR="00ED57D2" w:rsidRPr="003E76E7" w:rsidRDefault="00ED57D2" w:rsidP="00ED57D2">
            <w:pPr>
              <w:spacing w:after="0"/>
              <w:jc w:val="center"/>
              <w:rPr>
                <w:rFonts w:ascii="Arial" w:hAnsi="Arial"/>
                <w:b/>
                <w:bCs/>
                <w:sz w:val="16"/>
                <w:szCs w:val="16"/>
                <w:lang w:val="en-AU"/>
              </w:rPr>
            </w:pPr>
            <w:r w:rsidRPr="003E76E7">
              <w:rPr>
                <w:rFonts w:ascii="Arial" w:hAnsi="Arial"/>
                <w:b/>
                <w:bCs/>
                <w:sz w:val="16"/>
                <w:szCs w:val="16"/>
              </w:rPr>
              <w:t>Project Number/</w:t>
            </w:r>
            <w:r w:rsidRPr="003E76E7">
              <w:rPr>
                <w:rFonts w:ascii="Arial" w:hAnsi="Arial"/>
                <w:b/>
                <w:bCs/>
                <w:sz w:val="16"/>
                <w:szCs w:val="16"/>
              </w:rPr>
              <w:br/>
              <w:t>Phase</w:t>
            </w:r>
          </w:p>
        </w:tc>
        <w:tc>
          <w:tcPr>
            <w:tcW w:w="1502" w:type="dxa"/>
            <w:tcBorders>
              <w:top w:val="single" w:sz="4" w:space="0" w:color="auto"/>
              <w:left w:val="nil"/>
              <w:bottom w:val="single" w:sz="4" w:space="0" w:color="auto"/>
              <w:right w:val="single" w:sz="4" w:space="0" w:color="auto"/>
            </w:tcBorders>
            <w:shd w:val="clear" w:color="auto" w:fill="auto"/>
            <w:vAlign w:val="center"/>
          </w:tcPr>
          <w:p w14:paraId="4AE30DB1" w14:textId="091F8C7F" w:rsidR="00ED57D2" w:rsidRPr="003E76E7" w:rsidRDefault="00ED57D2" w:rsidP="00ED57D2">
            <w:pPr>
              <w:spacing w:after="0"/>
              <w:rPr>
                <w:rFonts w:ascii="Arial" w:hAnsi="Arial"/>
                <w:sz w:val="16"/>
                <w:szCs w:val="16"/>
              </w:rPr>
            </w:pPr>
            <w:r w:rsidRPr="003E76E7">
              <w:rPr>
                <w:rFonts w:ascii="Arial" w:hAnsi="Arial"/>
                <w:b/>
                <w:bCs/>
                <w:sz w:val="16"/>
                <w:szCs w:val="16"/>
              </w:rPr>
              <w:t>Project Inputs to Capability</w:t>
            </w:r>
          </w:p>
        </w:tc>
        <w:tc>
          <w:tcPr>
            <w:tcW w:w="1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939C6E" w14:textId="77777777" w:rsidR="00ED57D2" w:rsidRPr="003E76E7" w:rsidRDefault="00ED57D2" w:rsidP="00ED57D2">
            <w:pPr>
              <w:spacing w:before="0" w:after="0"/>
              <w:jc w:val="right"/>
              <w:rPr>
                <w:rFonts w:ascii="Arial" w:hAnsi="Arial"/>
                <w:b/>
                <w:bCs/>
                <w:sz w:val="16"/>
                <w:szCs w:val="16"/>
              </w:rPr>
            </w:pPr>
            <w:r w:rsidRPr="003E76E7">
              <w:rPr>
                <w:rFonts w:ascii="Arial" w:hAnsi="Arial"/>
                <w:b/>
                <w:bCs/>
                <w:sz w:val="16"/>
                <w:szCs w:val="16"/>
              </w:rPr>
              <w:t>Approved Project Expenditure</w:t>
            </w:r>
          </w:p>
          <w:p w14:paraId="7165A2CE" w14:textId="5AE4F476" w:rsidR="00ED57D2" w:rsidRPr="003E76E7" w:rsidRDefault="00ED57D2" w:rsidP="00ED57D2">
            <w:pPr>
              <w:spacing w:after="0"/>
              <w:jc w:val="right"/>
              <w:rPr>
                <w:rFonts w:ascii="Arial" w:hAnsi="Arial"/>
                <w:sz w:val="16"/>
                <w:szCs w:val="16"/>
              </w:rPr>
            </w:pPr>
            <w:r w:rsidRPr="003E76E7">
              <w:rPr>
                <w:rFonts w:ascii="Arial" w:hAnsi="Arial"/>
                <w:b/>
                <w:bCs/>
                <w:sz w:val="16"/>
                <w:szCs w:val="16"/>
              </w:rPr>
              <w:t xml:space="preserve"> $m</w:t>
            </w:r>
          </w:p>
        </w:tc>
        <w:tc>
          <w:tcPr>
            <w:tcW w:w="1187" w:type="dxa"/>
            <w:tcBorders>
              <w:top w:val="single" w:sz="4" w:space="0" w:color="auto"/>
              <w:left w:val="nil"/>
              <w:bottom w:val="single" w:sz="4" w:space="0" w:color="auto"/>
              <w:right w:val="single" w:sz="4" w:space="0" w:color="auto"/>
            </w:tcBorders>
            <w:shd w:val="clear" w:color="auto" w:fill="auto"/>
            <w:noWrap/>
            <w:vAlign w:val="bottom"/>
          </w:tcPr>
          <w:p w14:paraId="71F4AF4A" w14:textId="77777777" w:rsidR="00ED57D2" w:rsidRPr="003E76E7" w:rsidRDefault="00ED57D2" w:rsidP="00ED57D2">
            <w:pPr>
              <w:spacing w:before="0" w:after="0"/>
              <w:jc w:val="right"/>
              <w:rPr>
                <w:rFonts w:ascii="Arial" w:hAnsi="Arial"/>
                <w:b/>
                <w:bCs/>
                <w:sz w:val="16"/>
                <w:szCs w:val="16"/>
              </w:rPr>
            </w:pPr>
            <w:r w:rsidRPr="003E76E7">
              <w:rPr>
                <w:rFonts w:ascii="Arial" w:hAnsi="Arial"/>
                <w:b/>
                <w:bCs/>
                <w:sz w:val="16"/>
                <w:szCs w:val="16"/>
              </w:rPr>
              <w:t>Estimated Cumulative Expenditure to 30 June 2026</w:t>
            </w:r>
          </w:p>
          <w:p w14:paraId="6D13FFA7" w14:textId="52F5A883" w:rsidR="00ED57D2" w:rsidRPr="003E76E7" w:rsidRDefault="00ED57D2" w:rsidP="00ED57D2">
            <w:pPr>
              <w:spacing w:before="0" w:after="0"/>
              <w:jc w:val="right"/>
              <w:rPr>
                <w:rFonts w:ascii="Arial" w:hAnsi="Arial"/>
                <w:sz w:val="16"/>
                <w:szCs w:val="16"/>
              </w:rPr>
            </w:pPr>
            <w:r w:rsidRPr="003E76E7">
              <w:rPr>
                <w:rFonts w:ascii="Arial" w:hAnsi="Arial"/>
                <w:b/>
                <w:bCs/>
                <w:sz w:val="16"/>
                <w:szCs w:val="16"/>
              </w:rPr>
              <w:t xml:space="preserve"> $m</w:t>
            </w:r>
          </w:p>
        </w:tc>
        <w:tc>
          <w:tcPr>
            <w:tcW w:w="1187" w:type="dxa"/>
            <w:tcBorders>
              <w:top w:val="single" w:sz="4" w:space="0" w:color="auto"/>
              <w:left w:val="nil"/>
              <w:bottom w:val="single" w:sz="4" w:space="0" w:color="auto"/>
              <w:right w:val="single" w:sz="4" w:space="0" w:color="auto"/>
            </w:tcBorders>
            <w:shd w:val="clear" w:color="auto" w:fill="auto"/>
            <w:noWrap/>
            <w:vAlign w:val="bottom"/>
          </w:tcPr>
          <w:p w14:paraId="1FF26630" w14:textId="77777777" w:rsidR="00ED57D2" w:rsidRPr="003E76E7" w:rsidRDefault="00ED57D2" w:rsidP="00ED57D2">
            <w:pPr>
              <w:spacing w:before="0" w:after="0"/>
              <w:jc w:val="right"/>
              <w:rPr>
                <w:rFonts w:ascii="Arial" w:hAnsi="Arial"/>
                <w:b/>
                <w:bCs/>
                <w:sz w:val="16"/>
                <w:szCs w:val="16"/>
              </w:rPr>
            </w:pPr>
            <w:r w:rsidRPr="003E76E7">
              <w:rPr>
                <w:rFonts w:ascii="Arial" w:hAnsi="Arial"/>
                <w:b/>
                <w:bCs/>
                <w:sz w:val="16"/>
                <w:szCs w:val="16"/>
              </w:rPr>
              <w:t xml:space="preserve">Budget Estimate 2026-27 </w:t>
            </w:r>
          </w:p>
          <w:p w14:paraId="622F34FE" w14:textId="3146FD8E" w:rsidR="00ED57D2" w:rsidRPr="003E76E7" w:rsidRDefault="00ED57D2" w:rsidP="00ED57D2">
            <w:pPr>
              <w:spacing w:after="0"/>
              <w:jc w:val="right"/>
              <w:rPr>
                <w:rFonts w:ascii="Arial" w:hAnsi="Arial"/>
                <w:sz w:val="16"/>
                <w:szCs w:val="16"/>
              </w:rPr>
            </w:pPr>
            <w:r w:rsidRPr="003E76E7">
              <w:rPr>
                <w:rFonts w:ascii="Arial" w:hAnsi="Arial"/>
                <w:b/>
                <w:bCs/>
                <w:sz w:val="16"/>
                <w:szCs w:val="16"/>
              </w:rPr>
              <w:t>$m</w:t>
            </w:r>
          </w:p>
        </w:tc>
        <w:tc>
          <w:tcPr>
            <w:tcW w:w="5491" w:type="dxa"/>
            <w:tcBorders>
              <w:top w:val="single" w:sz="4" w:space="0" w:color="auto"/>
              <w:left w:val="single" w:sz="4" w:space="0" w:color="auto"/>
              <w:right w:val="single" w:sz="4" w:space="0" w:color="auto"/>
            </w:tcBorders>
            <w:shd w:val="clear" w:color="auto" w:fill="auto"/>
            <w:vAlign w:val="center"/>
          </w:tcPr>
          <w:p w14:paraId="4810DD8C" w14:textId="6184C513" w:rsidR="00ED57D2" w:rsidRPr="003E76E7" w:rsidRDefault="00ED57D2" w:rsidP="00ED57D2">
            <w:pPr>
              <w:pStyle w:val="CommentText"/>
              <w:rPr>
                <w:rFonts w:ascii="Arial" w:hAnsi="Arial"/>
                <w:sz w:val="16"/>
                <w:szCs w:val="16"/>
              </w:rPr>
            </w:pPr>
            <w:r w:rsidRPr="003E76E7">
              <w:rPr>
                <w:rFonts w:ascii="Arial" w:hAnsi="Arial"/>
                <w:b/>
                <w:bCs/>
                <w:sz w:val="16"/>
                <w:szCs w:val="16"/>
              </w:rPr>
              <w:t>Top 30 Military Equipment Acquisition Project Descriptions</w:t>
            </w:r>
          </w:p>
        </w:tc>
      </w:tr>
      <w:tr w:rsidR="004F3D65" w:rsidRPr="003E76E7" w14:paraId="44D773F0" w14:textId="77777777" w:rsidTr="00ED57D2">
        <w:trPr>
          <w:trHeight w:hRule="exact" w:val="355"/>
        </w:trPr>
        <w:tc>
          <w:tcPr>
            <w:tcW w:w="13417" w:type="dxa"/>
            <w:gridSpan w:val="7"/>
            <w:tcBorders>
              <w:top w:val="single" w:sz="4" w:space="0" w:color="auto"/>
              <w:left w:val="single" w:sz="4" w:space="0" w:color="auto"/>
              <w:right w:val="single" w:sz="4" w:space="0" w:color="auto"/>
            </w:tcBorders>
            <w:shd w:val="clear" w:color="auto" w:fill="EDEDED" w:themeFill="accent3" w:themeFillTint="33"/>
            <w:vAlign w:val="center"/>
          </w:tcPr>
          <w:p w14:paraId="687E001E" w14:textId="77777777" w:rsidR="004F3D65" w:rsidRPr="003E76E7" w:rsidRDefault="004F3D65" w:rsidP="00C4292D">
            <w:pPr>
              <w:pStyle w:val="CommentText"/>
              <w:rPr>
                <w:rFonts w:ascii="Arial" w:hAnsi="Arial"/>
                <w:b/>
                <w:bCs/>
                <w:sz w:val="16"/>
                <w:szCs w:val="16"/>
              </w:rPr>
            </w:pPr>
            <w:r w:rsidRPr="003E76E7">
              <w:rPr>
                <w:rFonts w:ascii="Arial" w:hAnsi="Arial"/>
                <w:b/>
                <w:bCs/>
                <w:sz w:val="16"/>
                <w:szCs w:val="16"/>
              </w:rPr>
              <w:t>Enterprise and Enabling</w:t>
            </w:r>
          </w:p>
        </w:tc>
      </w:tr>
      <w:tr w:rsidR="004F3D65" w:rsidRPr="003E76E7" w14:paraId="737ED188" w14:textId="77777777" w:rsidTr="00ED57D2">
        <w:trPr>
          <w:trHeight w:hRule="exact" w:val="1423"/>
        </w:trPr>
        <w:tc>
          <w:tcPr>
            <w:tcW w:w="17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8878D64" w14:textId="77777777" w:rsidR="004F3D65" w:rsidRPr="003E76E7" w:rsidRDefault="004F3D65" w:rsidP="00C4292D">
            <w:pPr>
              <w:spacing w:after="0"/>
              <w:rPr>
                <w:rFonts w:ascii="Arial" w:hAnsi="Arial"/>
                <w:b/>
                <w:bCs/>
                <w:sz w:val="16"/>
                <w:szCs w:val="16"/>
              </w:rPr>
            </w:pPr>
            <w:r w:rsidRPr="003E76E7">
              <w:rPr>
                <w:rFonts w:ascii="Arial" w:hAnsi="Arial"/>
                <w:sz w:val="16"/>
                <w:szCs w:val="16"/>
              </w:rPr>
              <w:t>Sovereign Weapons Manufacturing</w:t>
            </w:r>
          </w:p>
        </w:tc>
        <w:tc>
          <w:tcPr>
            <w:tcW w:w="109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347E895" w14:textId="6A96507F" w:rsidR="004F3D65" w:rsidRPr="003E76E7" w:rsidRDefault="004F3D65" w:rsidP="00C4292D">
            <w:pPr>
              <w:spacing w:after="0"/>
              <w:jc w:val="center"/>
              <w:rPr>
                <w:rFonts w:ascii="Arial" w:hAnsi="Arial"/>
                <w:b/>
                <w:bCs/>
                <w:sz w:val="16"/>
                <w:szCs w:val="16"/>
              </w:rPr>
            </w:pPr>
            <w:r w:rsidRPr="003E76E7">
              <w:rPr>
                <w:rFonts w:ascii="Arial" w:hAnsi="Arial"/>
                <w:b/>
                <w:bCs/>
                <w:sz w:val="16"/>
                <w:szCs w:val="16"/>
              </w:rPr>
              <w:t>GWEO 2087</w:t>
            </w:r>
            <w:r w:rsidR="005F0AA8" w:rsidRPr="003E76E7">
              <w:rPr>
                <w:rFonts w:ascii="Arial" w:hAnsi="Arial"/>
                <w:b/>
                <w:bCs/>
                <w:sz w:val="16"/>
                <w:szCs w:val="16"/>
                <w:vertAlign w:val="superscript"/>
              </w:rPr>
              <w:t xml:space="preserve"> [d]</w:t>
            </w:r>
          </w:p>
        </w:tc>
        <w:tc>
          <w:tcPr>
            <w:tcW w:w="1502" w:type="dxa"/>
            <w:tcBorders>
              <w:top w:val="single" w:sz="4" w:space="0" w:color="auto"/>
              <w:left w:val="nil"/>
              <w:bottom w:val="single" w:sz="4" w:space="0" w:color="auto"/>
              <w:right w:val="single" w:sz="4" w:space="0" w:color="auto"/>
            </w:tcBorders>
            <w:shd w:val="clear" w:color="auto" w:fill="auto"/>
            <w:vAlign w:val="center"/>
          </w:tcPr>
          <w:p w14:paraId="18B258E6" w14:textId="77777777" w:rsidR="004F3D65" w:rsidRPr="003E76E7" w:rsidRDefault="004F3D65" w:rsidP="00C4292D">
            <w:pPr>
              <w:spacing w:after="0"/>
              <w:rPr>
                <w:rFonts w:ascii="Arial" w:hAnsi="Arial"/>
                <w:b/>
                <w:bCs/>
                <w:sz w:val="16"/>
                <w:szCs w:val="16"/>
              </w:rPr>
            </w:pPr>
            <w:r w:rsidRPr="003E76E7">
              <w:rPr>
                <w:rFonts w:ascii="Arial" w:hAnsi="Arial"/>
                <w:sz w:val="16"/>
                <w:szCs w:val="16"/>
              </w:rPr>
              <w:t>Military Equipment Acquisition</w:t>
            </w:r>
          </w:p>
        </w:tc>
        <w:tc>
          <w:tcPr>
            <w:tcW w:w="11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092EF3" w14:textId="3B71A164" w:rsidR="004F3D65" w:rsidRPr="003E76E7" w:rsidRDefault="004F3D65" w:rsidP="00ED57D2">
            <w:pPr>
              <w:spacing w:before="0" w:after="0"/>
              <w:jc w:val="right"/>
              <w:rPr>
                <w:rFonts w:ascii="Arial" w:hAnsi="Arial"/>
                <w:b/>
                <w:bCs/>
                <w:sz w:val="16"/>
                <w:szCs w:val="16"/>
              </w:rPr>
            </w:pPr>
            <w:r w:rsidRPr="003E76E7">
              <w:rPr>
                <w:rFonts w:ascii="Arial" w:hAnsi="Arial"/>
                <w:sz w:val="16"/>
                <w:szCs w:val="16"/>
              </w:rPr>
              <w:t xml:space="preserve">2,405 </w:t>
            </w:r>
          </w:p>
        </w:tc>
        <w:tc>
          <w:tcPr>
            <w:tcW w:w="1187" w:type="dxa"/>
            <w:tcBorders>
              <w:top w:val="single" w:sz="4" w:space="0" w:color="auto"/>
              <w:left w:val="nil"/>
              <w:bottom w:val="single" w:sz="4" w:space="0" w:color="auto"/>
              <w:right w:val="single" w:sz="4" w:space="0" w:color="auto"/>
            </w:tcBorders>
            <w:shd w:val="clear" w:color="auto" w:fill="auto"/>
            <w:noWrap/>
            <w:vAlign w:val="center"/>
          </w:tcPr>
          <w:p w14:paraId="345AC704" w14:textId="06F6201F" w:rsidR="004F3D65" w:rsidRPr="003E76E7" w:rsidRDefault="004F3D65" w:rsidP="00ED57D2">
            <w:pPr>
              <w:spacing w:before="0" w:after="0"/>
              <w:jc w:val="right"/>
              <w:rPr>
                <w:rFonts w:ascii="Arial" w:hAnsi="Arial"/>
                <w:b/>
                <w:bCs/>
                <w:sz w:val="16"/>
                <w:szCs w:val="16"/>
              </w:rPr>
            </w:pPr>
            <w:r w:rsidRPr="003E76E7">
              <w:rPr>
                <w:rFonts w:ascii="Arial" w:hAnsi="Arial"/>
                <w:sz w:val="16"/>
                <w:szCs w:val="16"/>
              </w:rPr>
              <w:t xml:space="preserve">333 </w:t>
            </w:r>
          </w:p>
        </w:tc>
        <w:tc>
          <w:tcPr>
            <w:tcW w:w="1187" w:type="dxa"/>
            <w:tcBorders>
              <w:top w:val="single" w:sz="4" w:space="0" w:color="auto"/>
              <w:left w:val="nil"/>
              <w:bottom w:val="single" w:sz="4" w:space="0" w:color="auto"/>
              <w:right w:val="single" w:sz="4" w:space="0" w:color="auto"/>
            </w:tcBorders>
            <w:shd w:val="clear" w:color="auto" w:fill="auto"/>
            <w:noWrap/>
            <w:vAlign w:val="center"/>
          </w:tcPr>
          <w:p w14:paraId="1991BAC6" w14:textId="0660C3B0" w:rsidR="004F3D65" w:rsidRPr="003E76E7" w:rsidRDefault="004F3D65" w:rsidP="00ED57D2">
            <w:pPr>
              <w:spacing w:before="0" w:after="0"/>
              <w:jc w:val="right"/>
              <w:rPr>
                <w:rFonts w:ascii="Arial" w:hAnsi="Arial"/>
                <w:b/>
                <w:bCs/>
                <w:sz w:val="16"/>
                <w:szCs w:val="16"/>
              </w:rPr>
            </w:pPr>
            <w:r w:rsidRPr="003E76E7">
              <w:rPr>
                <w:rFonts w:ascii="Arial" w:hAnsi="Arial"/>
                <w:sz w:val="16"/>
                <w:szCs w:val="16"/>
              </w:rPr>
              <w:t>507</w:t>
            </w:r>
          </w:p>
        </w:tc>
        <w:tc>
          <w:tcPr>
            <w:tcW w:w="549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6B6FB00" w14:textId="77777777" w:rsidR="004F3D65" w:rsidRPr="003E76E7" w:rsidRDefault="004F3D65" w:rsidP="00C4292D">
            <w:pPr>
              <w:spacing w:before="60" w:after="60"/>
              <w:rPr>
                <w:rFonts w:ascii="Arial" w:hAnsi="Arial"/>
                <w:sz w:val="16"/>
                <w:szCs w:val="16"/>
                <w:lang w:val="en-AU"/>
              </w:rPr>
            </w:pPr>
            <w:r w:rsidRPr="003E76E7">
              <w:rPr>
                <w:rFonts w:ascii="Arial" w:hAnsi="Arial"/>
                <w:sz w:val="16"/>
                <w:szCs w:val="16"/>
                <w:lang w:val="en-AU"/>
              </w:rPr>
              <w:t>This project uses a programmatic approach to strengthen Australia’s industrial base of Guided Weapons and Explosive Ordnance to improve supply chain resilience and uplift Australia’s industrial capabilities. The project scope balances a mix of weapons and ordnance, including domestic production and maintenance of Naval Strike Missile and Joint Strike Missiles, Guided Multiple Launch Rocket System missiles, and forging of large calibre munitions.</w:t>
            </w:r>
          </w:p>
          <w:p w14:paraId="34C7E3E6" w14:textId="123A4C00" w:rsidR="004F3D65" w:rsidRPr="003E76E7" w:rsidRDefault="00AC78F0" w:rsidP="00C4292D">
            <w:pPr>
              <w:pStyle w:val="CommentText"/>
              <w:rPr>
                <w:rFonts w:ascii="Arial" w:hAnsi="Arial"/>
                <w:b/>
                <w:bCs/>
                <w:sz w:val="16"/>
                <w:szCs w:val="16"/>
              </w:rPr>
            </w:pPr>
            <w:r w:rsidRPr="003E76E7">
              <w:rPr>
                <w:rFonts w:ascii="Arial" w:hAnsi="Arial"/>
                <w:sz w:val="16"/>
                <w:szCs w:val="16"/>
              </w:rPr>
              <w:t xml:space="preserve">During 2026-27, the project is continuing its programmatic approach to the manufacture of select guided weapons, commencing with assembly of imported sections and components; manufacture of expanded types and quantities of non-guided munitions; uplift of </w:t>
            </w:r>
            <w:r>
              <w:rPr>
                <w:rFonts w:ascii="Arial" w:hAnsi="Arial"/>
                <w:sz w:val="16"/>
                <w:szCs w:val="16"/>
              </w:rPr>
              <w:t xml:space="preserve">Australian </w:t>
            </w:r>
            <w:r w:rsidRPr="003E76E7">
              <w:rPr>
                <w:rFonts w:ascii="Arial" w:hAnsi="Arial"/>
                <w:sz w:val="16"/>
                <w:szCs w:val="16"/>
              </w:rPr>
              <w:t xml:space="preserve">industry for the development of technologies through research and development; and </w:t>
            </w:r>
            <w:r>
              <w:rPr>
                <w:rFonts w:ascii="Arial" w:hAnsi="Arial"/>
                <w:sz w:val="16"/>
                <w:szCs w:val="16"/>
              </w:rPr>
              <w:br/>
            </w:r>
            <w:r w:rsidRPr="003E76E7">
              <w:rPr>
                <w:rFonts w:ascii="Arial" w:hAnsi="Arial"/>
                <w:sz w:val="16"/>
                <w:szCs w:val="16"/>
              </w:rPr>
              <w:t>co-production activities with trusted partners.</w:t>
            </w:r>
          </w:p>
        </w:tc>
      </w:tr>
      <w:tr w:rsidR="004F3D65" w:rsidRPr="003E76E7" w14:paraId="0C3E8748" w14:textId="77777777" w:rsidTr="00ED57D2">
        <w:trPr>
          <w:trHeight w:hRule="exact" w:val="1272"/>
        </w:trPr>
        <w:tc>
          <w:tcPr>
            <w:tcW w:w="1768" w:type="dxa"/>
            <w:vMerge/>
            <w:tcBorders>
              <w:left w:val="single" w:sz="4" w:space="0" w:color="auto"/>
              <w:bottom w:val="single" w:sz="4" w:space="0" w:color="auto"/>
              <w:right w:val="single" w:sz="4" w:space="0" w:color="auto"/>
            </w:tcBorders>
            <w:shd w:val="clear" w:color="auto" w:fill="auto"/>
            <w:vAlign w:val="center"/>
          </w:tcPr>
          <w:p w14:paraId="63394C95" w14:textId="77777777" w:rsidR="004F3D65" w:rsidRPr="003E76E7" w:rsidRDefault="004F3D65" w:rsidP="00C4292D">
            <w:pPr>
              <w:spacing w:after="0"/>
              <w:rPr>
                <w:rFonts w:ascii="Arial" w:hAnsi="Arial"/>
                <w:b/>
                <w:bCs/>
                <w:sz w:val="16"/>
                <w:szCs w:val="16"/>
              </w:rPr>
            </w:pPr>
          </w:p>
        </w:tc>
        <w:tc>
          <w:tcPr>
            <w:tcW w:w="1096" w:type="dxa"/>
            <w:vMerge/>
            <w:tcBorders>
              <w:left w:val="single" w:sz="4" w:space="0" w:color="auto"/>
              <w:bottom w:val="single" w:sz="4" w:space="0" w:color="auto"/>
              <w:right w:val="single" w:sz="4" w:space="0" w:color="auto"/>
            </w:tcBorders>
            <w:shd w:val="clear" w:color="auto" w:fill="auto"/>
            <w:vAlign w:val="center"/>
          </w:tcPr>
          <w:p w14:paraId="283BEBD6" w14:textId="77777777" w:rsidR="004F3D65" w:rsidRPr="003E76E7" w:rsidRDefault="004F3D65" w:rsidP="00C4292D">
            <w:pPr>
              <w:spacing w:after="0"/>
              <w:jc w:val="center"/>
              <w:rPr>
                <w:rFonts w:ascii="Arial" w:hAnsi="Arial"/>
                <w:b/>
                <w:bCs/>
                <w:sz w:val="16"/>
                <w:szCs w:val="16"/>
              </w:rPr>
            </w:pPr>
          </w:p>
        </w:tc>
        <w:tc>
          <w:tcPr>
            <w:tcW w:w="1502" w:type="dxa"/>
            <w:tcBorders>
              <w:top w:val="nil"/>
              <w:left w:val="nil"/>
              <w:bottom w:val="single" w:sz="4" w:space="0" w:color="auto"/>
              <w:right w:val="single" w:sz="4" w:space="0" w:color="auto"/>
            </w:tcBorders>
            <w:shd w:val="clear" w:color="auto" w:fill="auto"/>
            <w:vAlign w:val="center"/>
          </w:tcPr>
          <w:p w14:paraId="1DD34650" w14:textId="77777777" w:rsidR="004F3D65" w:rsidRPr="003E76E7" w:rsidRDefault="004F3D65" w:rsidP="00C4292D">
            <w:pPr>
              <w:spacing w:after="0"/>
              <w:rPr>
                <w:rFonts w:ascii="Arial" w:hAnsi="Arial"/>
                <w:b/>
                <w:bCs/>
                <w:sz w:val="16"/>
                <w:szCs w:val="16"/>
              </w:rPr>
            </w:pPr>
            <w:r w:rsidRPr="003E76E7">
              <w:rPr>
                <w:rFonts w:ascii="Arial" w:hAnsi="Arial"/>
                <w:sz w:val="16"/>
                <w:szCs w:val="16"/>
              </w:rPr>
              <w:t>Other Project Inputs to Capability</w:t>
            </w:r>
          </w:p>
        </w:tc>
        <w:tc>
          <w:tcPr>
            <w:tcW w:w="1186" w:type="dxa"/>
            <w:tcBorders>
              <w:top w:val="nil"/>
              <w:left w:val="single" w:sz="4" w:space="0" w:color="auto"/>
              <w:bottom w:val="single" w:sz="4" w:space="0" w:color="auto"/>
              <w:right w:val="single" w:sz="4" w:space="0" w:color="auto"/>
            </w:tcBorders>
            <w:shd w:val="clear" w:color="auto" w:fill="auto"/>
            <w:noWrap/>
            <w:vAlign w:val="center"/>
          </w:tcPr>
          <w:p w14:paraId="4D3D2F2C" w14:textId="5BA307DD" w:rsidR="004F3D65" w:rsidRPr="003E76E7" w:rsidRDefault="004F3D65" w:rsidP="00ED57D2">
            <w:pPr>
              <w:spacing w:before="0" w:after="0"/>
              <w:jc w:val="right"/>
              <w:rPr>
                <w:rFonts w:ascii="Arial" w:hAnsi="Arial"/>
                <w:b/>
                <w:bCs/>
                <w:sz w:val="16"/>
                <w:szCs w:val="16"/>
              </w:rPr>
            </w:pPr>
            <w:r w:rsidRPr="003E76E7">
              <w:rPr>
                <w:rFonts w:ascii="Arial" w:hAnsi="Arial"/>
                <w:sz w:val="16"/>
                <w:szCs w:val="16"/>
              </w:rPr>
              <w:t xml:space="preserve">141 </w:t>
            </w:r>
          </w:p>
        </w:tc>
        <w:tc>
          <w:tcPr>
            <w:tcW w:w="1187" w:type="dxa"/>
            <w:tcBorders>
              <w:top w:val="nil"/>
              <w:left w:val="nil"/>
              <w:bottom w:val="single" w:sz="4" w:space="0" w:color="auto"/>
              <w:right w:val="single" w:sz="4" w:space="0" w:color="auto"/>
            </w:tcBorders>
            <w:shd w:val="clear" w:color="auto" w:fill="auto"/>
            <w:noWrap/>
            <w:vAlign w:val="center"/>
          </w:tcPr>
          <w:p w14:paraId="3F478918" w14:textId="6AEFB6E4" w:rsidR="004F3D65" w:rsidRPr="003E76E7" w:rsidRDefault="004F3D65" w:rsidP="00ED57D2">
            <w:pPr>
              <w:spacing w:before="0" w:after="0"/>
              <w:jc w:val="right"/>
              <w:rPr>
                <w:rFonts w:ascii="Arial" w:hAnsi="Arial"/>
                <w:b/>
                <w:bCs/>
                <w:sz w:val="16"/>
                <w:szCs w:val="16"/>
              </w:rPr>
            </w:pPr>
            <w:r w:rsidRPr="003E76E7">
              <w:rPr>
                <w:rFonts w:ascii="Arial" w:hAnsi="Arial"/>
                <w:sz w:val="16"/>
                <w:szCs w:val="16"/>
              </w:rPr>
              <w:t xml:space="preserve">63 </w:t>
            </w:r>
          </w:p>
        </w:tc>
        <w:tc>
          <w:tcPr>
            <w:tcW w:w="1187" w:type="dxa"/>
            <w:tcBorders>
              <w:top w:val="nil"/>
              <w:left w:val="nil"/>
              <w:bottom w:val="single" w:sz="4" w:space="0" w:color="auto"/>
              <w:right w:val="single" w:sz="4" w:space="0" w:color="auto"/>
            </w:tcBorders>
            <w:shd w:val="clear" w:color="auto" w:fill="auto"/>
            <w:noWrap/>
            <w:vAlign w:val="center"/>
          </w:tcPr>
          <w:p w14:paraId="36633CF4" w14:textId="7CD4B338" w:rsidR="004F3D65" w:rsidRPr="003E76E7" w:rsidRDefault="004F3D65" w:rsidP="00ED57D2">
            <w:pPr>
              <w:spacing w:before="0" w:after="0"/>
              <w:jc w:val="right"/>
              <w:rPr>
                <w:rFonts w:ascii="Arial" w:hAnsi="Arial"/>
                <w:b/>
                <w:bCs/>
                <w:sz w:val="16"/>
                <w:szCs w:val="16"/>
              </w:rPr>
            </w:pPr>
            <w:r w:rsidRPr="003E76E7">
              <w:rPr>
                <w:rFonts w:ascii="Arial" w:hAnsi="Arial"/>
                <w:sz w:val="16"/>
                <w:szCs w:val="16"/>
              </w:rPr>
              <w:t xml:space="preserve">21 </w:t>
            </w:r>
          </w:p>
        </w:tc>
        <w:tc>
          <w:tcPr>
            <w:tcW w:w="5491" w:type="dxa"/>
            <w:vMerge/>
            <w:tcBorders>
              <w:left w:val="single" w:sz="4" w:space="0" w:color="auto"/>
              <w:bottom w:val="single" w:sz="4" w:space="0" w:color="auto"/>
              <w:right w:val="single" w:sz="4" w:space="0" w:color="auto"/>
            </w:tcBorders>
            <w:shd w:val="clear" w:color="auto" w:fill="auto"/>
            <w:vAlign w:val="center"/>
          </w:tcPr>
          <w:p w14:paraId="18263150" w14:textId="77777777" w:rsidR="004F3D65" w:rsidRPr="003E76E7" w:rsidRDefault="004F3D65" w:rsidP="00C4292D">
            <w:pPr>
              <w:pStyle w:val="CommentText"/>
              <w:rPr>
                <w:rFonts w:ascii="Arial" w:hAnsi="Arial"/>
                <w:b/>
                <w:bCs/>
                <w:sz w:val="16"/>
                <w:szCs w:val="16"/>
              </w:rPr>
            </w:pPr>
          </w:p>
        </w:tc>
      </w:tr>
      <w:tr w:rsidR="004F3D65" w:rsidRPr="003E76E7" w14:paraId="4AC42931" w14:textId="77777777" w:rsidTr="00ED57D2">
        <w:trPr>
          <w:trHeight w:hRule="exact" w:val="881"/>
        </w:trPr>
        <w:tc>
          <w:tcPr>
            <w:tcW w:w="17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5D897FE" w14:textId="77777777" w:rsidR="004F3D65" w:rsidRPr="003E76E7" w:rsidRDefault="004F3D65" w:rsidP="00C4292D">
            <w:pPr>
              <w:spacing w:after="0"/>
              <w:rPr>
                <w:rFonts w:ascii="Arial" w:hAnsi="Arial"/>
                <w:b/>
                <w:bCs/>
                <w:sz w:val="16"/>
                <w:szCs w:val="16"/>
              </w:rPr>
            </w:pPr>
            <w:r w:rsidRPr="003E76E7">
              <w:rPr>
                <w:rFonts w:ascii="Arial" w:hAnsi="Arial"/>
                <w:sz w:val="16"/>
                <w:szCs w:val="16"/>
              </w:rPr>
              <w:t>Guided Weapons and Explosive Ordnance Enterprise</w:t>
            </w:r>
          </w:p>
        </w:tc>
        <w:tc>
          <w:tcPr>
            <w:tcW w:w="109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14BC602" w14:textId="47BE802D" w:rsidR="004F3D65" w:rsidRPr="003E76E7" w:rsidRDefault="004F3D65" w:rsidP="00C4292D">
            <w:pPr>
              <w:spacing w:after="0"/>
              <w:jc w:val="center"/>
              <w:rPr>
                <w:rFonts w:ascii="Arial" w:hAnsi="Arial"/>
                <w:b/>
                <w:bCs/>
                <w:sz w:val="16"/>
                <w:szCs w:val="16"/>
              </w:rPr>
            </w:pPr>
            <w:r w:rsidRPr="003E76E7">
              <w:rPr>
                <w:rFonts w:ascii="Arial" w:hAnsi="Arial"/>
                <w:b/>
                <w:bCs/>
                <w:sz w:val="16"/>
                <w:szCs w:val="16"/>
              </w:rPr>
              <w:t>GWEO 2092</w:t>
            </w:r>
            <w:r w:rsidR="003B0FB9">
              <w:rPr>
                <w:rFonts w:ascii="Arial" w:hAnsi="Arial"/>
                <w:b/>
                <w:bCs/>
                <w:sz w:val="16"/>
                <w:szCs w:val="16"/>
                <w:vertAlign w:val="superscript"/>
              </w:rPr>
              <w:t xml:space="preserve"> [d]</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02F839A9" w14:textId="77777777" w:rsidR="004F3D65" w:rsidRPr="003E76E7" w:rsidRDefault="004F3D65" w:rsidP="00C4292D">
            <w:pPr>
              <w:spacing w:after="0"/>
              <w:rPr>
                <w:rFonts w:ascii="Arial" w:hAnsi="Arial"/>
                <w:b/>
                <w:bCs/>
                <w:sz w:val="16"/>
                <w:szCs w:val="16"/>
              </w:rPr>
            </w:pPr>
            <w:r w:rsidRPr="003E76E7">
              <w:rPr>
                <w:rFonts w:ascii="Arial" w:hAnsi="Arial"/>
                <w:sz w:val="16"/>
                <w:szCs w:val="16"/>
              </w:rPr>
              <w:t>Military Equipment Acquisition</w:t>
            </w:r>
          </w:p>
        </w:tc>
        <w:tc>
          <w:tcPr>
            <w:tcW w:w="11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C8B07C" w14:textId="77777777" w:rsidR="004F3D65" w:rsidRPr="003E76E7" w:rsidRDefault="004F3D65" w:rsidP="00ED57D2">
            <w:pPr>
              <w:spacing w:before="0" w:after="0"/>
              <w:jc w:val="right"/>
              <w:rPr>
                <w:rFonts w:ascii="Arial" w:hAnsi="Arial"/>
                <w:b/>
                <w:bCs/>
                <w:sz w:val="16"/>
                <w:szCs w:val="16"/>
              </w:rPr>
            </w:pPr>
            <w:r w:rsidRPr="003E76E7">
              <w:rPr>
                <w:rFonts w:ascii="Arial" w:hAnsi="Arial"/>
                <w:sz w:val="16"/>
                <w:szCs w:val="16"/>
              </w:rPr>
              <w:t>597</w:t>
            </w:r>
          </w:p>
        </w:tc>
        <w:tc>
          <w:tcPr>
            <w:tcW w:w="1187" w:type="dxa"/>
            <w:tcBorders>
              <w:top w:val="single" w:sz="4" w:space="0" w:color="auto"/>
              <w:left w:val="nil"/>
              <w:bottom w:val="single" w:sz="4" w:space="0" w:color="auto"/>
              <w:right w:val="single" w:sz="4" w:space="0" w:color="auto"/>
            </w:tcBorders>
            <w:shd w:val="clear" w:color="auto" w:fill="auto"/>
            <w:noWrap/>
            <w:vAlign w:val="center"/>
          </w:tcPr>
          <w:p w14:paraId="39273F58" w14:textId="77777777" w:rsidR="004F3D65" w:rsidRPr="003E76E7" w:rsidRDefault="004F3D65" w:rsidP="00ED57D2">
            <w:pPr>
              <w:spacing w:before="0" w:after="0"/>
              <w:jc w:val="right"/>
              <w:rPr>
                <w:rFonts w:ascii="Arial" w:hAnsi="Arial"/>
                <w:b/>
                <w:bCs/>
                <w:sz w:val="16"/>
                <w:szCs w:val="16"/>
              </w:rPr>
            </w:pPr>
            <w:r w:rsidRPr="003E76E7">
              <w:rPr>
                <w:rFonts w:ascii="Arial" w:hAnsi="Arial"/>
                <w:sz w:val="16"/>
                <w:szCs w:val="16"/>
              </w:rPr>
              <w:t>455</w:t>
            </w:r>
          </w:p>
        </w:tc>
        <w:tc>
          <w:tcPr>
            <w:tcW w:w="1187" w:type="dxa"/>
            <w:tcBorders>
              <w:top w:val="single" w:sz="4" w:space="0" w:color="auto"/>
              <w:left w:val="nil"/>
              <w:bottom w:val="single" w:sz="4" w:space="0" w:color="auto"/>
              <w:right w:val="single" w:sz="4" w:space="0" w:color="auto"/>
            </w:tcBorders>
            <w:shd w:val="clear" w:color="auto" w:fill="auto"/>
            <w:noWrap/>
            <w:vAlign w:val="center"/>
          </w:tcPr>
          <w:p w14:paraId="31B5E994" w14:textId="77777777" w:rsidR="004F3D65" w:rsidRPr="003E76E7" w:rsidRDefault="004F3D65" w:rsidP="00ED57D2">
            <w:pPr>
              <w:spacing w:before="0" w:after="0"/>
              <w:jc w:val="right"/>
              <w:rPr>
                <w:rFonts w:ascii="Arial" w:hAnsi="Arial"/>
                <w:b/>
                <w:bCs/>
                <w:sz w:val="16"/>
                <w:szCs w:val="16"/>
              </w:rPr>
            </w:pPr>
            <w:r w:rsidRPr="003E76E7">
              <w:rPr>
                <w:rFonts w:ascii="Arial" w:hAnsi="Arial"/>
                <w:sz w:val="16"/>
                <w:szCs w:val="16"/>
              </w:rPr>
              <w:t>16</w:t>
            </w:r>
          </w:p>
        </w:tc>
        <w:tc>
          <w:tcPr>
            <w:tcW w:w="549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DADD672" w14:textId="77777777" w:rsidR="00AC78F0" w:rsidRPr="003E76E7" w:rsidRDefault="00AC78F0" w:rsidP="00AC78F0">
            <w:pPr>
              <w:spacing w:before="60" w:after="60"/>
              <w:rPr>
                <w:rFonts w:ascii="Arial" w:hAnsi="Arial"/>
                <w:sz w:val="16"/>
                <w:szCs w:val="16"/>
                <w:lang w:val="en-AU"/>
              </w:rPr>
            </w:pPr>
            <w:r w:rsidRPr="003E76E7">
              <w:rPr>
                <w:rFonts w:ascii="Arial" w:hAnsi="Arial"/>
                <w:sz w:val="16"/>
                <w:szCs w:val="16"/>
                <w:lang w:val="en-AU"/>
              </w:rPr>
              <w:t xml:space="preserve">This Project uses a programmatic approach to increase inventory of priority weapons and critical investments in Guided Weapons and Explosive Ordnance enabling capability elements </w:t>
            </w:r>
            <w:r>
              <w:rPr>
                <w:rFonts w:ascii="Arial" w:hAnsi="Arial"/>
                <w:sz w:val="16"/>
                <w:szCs w:val="16"/>
                <w:lang w:val="en-AU"/>
              </w:rPr>
              <w:t xml:space="preserve">in order to improve Australian Defence Force preparedness. Key activities include </w:t>
            </w:r>
            <w:r w:rsidRPr="003E76E7">
              <w:rPr>
                <w:rFonts w:ascii="Arial" w:hAnsi="Arial"/>
                <w:sz w:val="16"/>
                <w:szCs w:val="16"/>
                <w:lang w:val="en-AU"/>
              </w:rPr>
              <w:t>storage and distribution, test and evaluation, disposal and demilitarisation, research and development, and education and training.</w:t>
            </w:r>
          </w:p>
          <w:p w14:paraId="5353A3EA" w14:textId="77777777" w:rsidR="004F3D65" w:rsidRPr="003E76E7" w:rsidRDefault="004F3D65" w:rsidP="00C4292D">
            <w:pPr>
              <w:pStyle w:val="CommentText"/>
              <w:rPr>
                <w:rFonts w:ascii="Arial" w:hAnsi="Arial"/>
                <w:b/>
                <w:bCs/>
                <w:sz w:val="16"/>
                <w:szCs w:val="16"/>
              </w:rPr>
            </w:pPr>
            <w:r w:rsidRPr="003E76E7">
              <w:rPr>
                <w:rFonts w:ascii="Arial" w:hAnsi="Arial"/>
                <w:sz w:val="16"/>
                <w:szCs w:val="16"/>
              </w:rPr>
              <w:t>During 2026-27, the Project is continuing its programmatic approach to progress the delivery of Guided Weapons and Explosive Ordnance enabling capability elements, with storage infrastructure construction and security upgrades progressing at several sites. The project supports Test and Evaluation activities for current and future weapons as well as developing improved environmentally sustainable methods to increase disposal rates to free space for increased war stock.</w:t>
            </w:r>
          </w:p>
        </w:tc>
      </w:tr>
      <w:tr w:rsidR="004F3D65" w:rsidRPr="003E76E7" w14:paraId="4EF6FE07" w14:textId="77777777" w:rsidTr="00ED57D2">
        <w:trPr>
          <w:trHeight w:hRule="exact" w:val="1813"/>
        </w:trPr>
        <w:tc>
          <w:tcPr>
            <w:tcW w:w="176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26D06D4" w14:textId="77777777" w:rsidR="004F3D65" w:rsidRPr="003E76E7" w:rsidRDefault="004F3D65" w:rsidP="00C4292D">
            <w:pPr>
              <w:spacing w:after="0"/>
              <w:rPr>
                <w:rFonts w:ascii="Arial" w:hAnsi="Arial"/>
                <w:b/>
                <w:bCs/>
                <w:sz w:val="16"/>
                <w:szCs w:val="16"/>
              </w:rPr>
            </w:pPr>
          </w:p>
        </w:tc>
        <w:tc>
          <w:tcPr>
            <w:tcW w:w="109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BABDE8B" w14:textId="77777777" w:rsidR="004F3D65" w:rsidRPr="003E76E7" w:rsidRDefault="004F3D65" w:rsidP="00C4292D">
            <w:pPr>
              <w:spacing w:after="0"/>
              <w:jc w:val="center"/>
              <w:rPr>
                <w:rFonts w:ascii="Arial" w:hAnsi="Arial"/>
                <w:b/>
                <w:bCs/>
                <w:sz w:val="16"/>
                <w:szCs w:val="16"/>
              </w:rPr>
            </w:pPr>
          </w:p>
        </w:tc>
        <w:tc>
          <w:tcPr>
            <w:tcW w:w="1502" w:type="dxa"/>
            <w:tcBorders>
              <w:top w:val="nil"/>
              <w:left w:val="single" w:sz="4" w:space="0" w:color="auto"/>
              <w:bottom w:val="single" w:sz="4" w:space="0" w:color="auto"/>
              <w:right w:val="single" w:sz="4" w:space="0" w:color="auto"/>
            </w:tcBorders>
            <w:shd w:val="clear" w:color="auto" w:fill="auto"/>
            <w:vAlign w:val="center"/>
          </w:tcPr>
          <w:p w14:paraId="5B8520B5" w14:textId="77777777" w:rsidR="004F3D65" w:rsidRPr="003E76E7" w:rsidRDefault="004F3D65" w:rsidP="00C4292D">
            <w:pPr>
              <w:spacing w:after="0"/>
              <w:rPr>
                <w:rFonts w:ascii="Arial" w:hAnsi="Arial"/>
                <w:b/>
                <w:bCs/>
                <w:sz w:val="16"/>
                <w:szCs w:val="16"/>
              </w:rPr>
            </w:pPr>
            <w:r w:rsidRPr="003E76E7">
              <w:rPr>
                <w:rFonts w:ascii="Arial" w:hAnsi="Arial"/>
                <w:sz w:val="16"/>
                <w:szCs w:val="16"/>
              </w:rPr>
              <w:t>Other Project Inputs to Capability</w:t>
            </w:r>
          </w:p>
        </w:tc>
        <w:tc>
          <w:tcPr>
            <w:tcW w:w="1186" w:type="dxa"/>
            <w:tcBorders>
              <w:top w:val="nil"/>
              <w:left w:val="single" w:sz="4" w:space="0" w:color="auto"/>
              <w:bottom w:val="single" w:sz="4" w:space="0" w:color="auto"/>
              <w:right w:val="single" w:sz="4" w:space="0" w:color="auto"/>
            </w:tcBorders>
            <w:shd w:val="clear" w:color="auto" w:fill="auto"/>
            <w:noWrap/>
            <w:vAlign w:val="center"/>
          </w:tcPr>
          <w:p w14:paraId="1D44B206" w14:textId="77777777" w:rsidR="004F3D65" w:rsidRPr="003E76E7" w:rsidRDefault="004F3D65" w:rsidP="00ED57D2">
            <w:pPr>
              <w:spacing w:before="0" w:after="0"/>
              <w:jc w:val="right"/>
              <w:rPr>
                <w:rFonts w:ascii="Arial" w:hAnsi="Arial"/>
                <w:b/>
                <w:bCs/>
                <w:sz w:val="16"/>
                <w:szCs w:val="16"/>
              </w:rPr>
            </w:pPr>
            <w:r w:rsidRPr="003E76E7">
              <w:rPr>
                <w:rFonts w:ascii="Arial" w:hAnsi="Arial"/>
                <w:sz w:val="16"/>
                <w:szCs w:val="16"/>
              </w:rPr>
              <w:t>801</w:t>
            </w:r>
          </w:p>
        </w:tc>
        <w:tc>
          <w:tcPr>
            <w:tcW w:w="1187" w:type="dxa"/>
            <w:tcBorders>
              <w:top w:val="nil"/>
              <w:left w:val="nil"/>
              <w:bottom w:val="single" w:sz="4" w:space="0" w:color="auto"/>
              <w:right w:val="single" w:sz="4" w:space="0" w:color="auto"/>
            </w:tcBorders>
            <w:shd w:val="clear" w:color="auto" w:fill="auto"/>
            <w:noWrap/>
            <w:vAlign w:val="center"/>
          </w:tcPr>
          <w:p w14:paraId="6F6E43BA" w14:textId="77777777" w:rsidR="004F3D65" w:rsidRPr="003E76E7" w:rsidRDefault="004F3D65" w:rsidP="00ED57D2">
            <w:pPr>
              <w:spacing w:before="0" w:after="0"/>
              <w:jc w:val="right"/>
              <w:rPr>
                <w:rFonts w:ascii="Arial" w:hAnsi="Arial"/>
                <w:b/>
                <w:bCs/>
                <w:sz w:val="16"/>
                <w:szCs w:val="16"/>
              </w:rPr>
            </w:pPr>
            <w:r w:rsidRPr="003E76E7">
              <w:rPr>
                <w:rFonts w:ascii="Arial" w:hAnsi="Arial"/>
                <w:sz w:val="16"/>
                <w:szCs w:val="16"/>
              </w:rPr>
              <w:t>248</w:t>
            </w:r>
          </w:p>
        </w:tc>
        <w:tc>
          <w:tcPr>
            <w:tcW w:w="1187" w:type="dxa"/>
            <w:tcBorders>
              <w:top w:val="nil"/>
              <w:left w:val="nil"/>
              <w:bottom w:val="single" w:sz="4" w:space="0" w:color="auto"/>
              <w:right w:val="single" w:sz="4" w:space="0" w:color="auto"/>
            </w:tcBorders>
            <w:shd w:val="clear" w:color="auto" w:fill="auto"/>
            <w:noWrap/>
            <w:vAlign w:val="center"/>
          </w:tcPr>
          <w:p w14:paraId="74293592" w14:textId="77777777" w:rsidR="004F3D65" w:rsidRPr="003E76E7" w:rsidRDefault="004F3D65" w:rsidP="00ED57D2">
            <w:pPr>
              <w:spacing w:before="0" w:after="0"/>
              <w:jc w:val="right"/>
              <w:rPr>
                <w:rFonts w:ascii="Arial" w:hAnsi="Arial"/>
                <w:b/>
                <w:bCs/>
                <w:sz w:val="16"/>
                <w:szCs w:val="16"/>
              </w:rPr>
            </w:pPr>
            <w:r w:rsidRPr="003E76E7">
              <w:rPr>
                <w:rFonts w:ascii="Arial" w:hAnsi="Arial"/>
                <w:sz w:val="16"/>
                <w:szCs w:val="16"/>
              </w:rPr>
              <w:t>176</w:t>
            </w:r>
          </w:p>
        </w:tc>
        <w:tc>
          <w:tcPr>
            <w:tcW w:w="549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BF91DBE" w14:textId="77777777" w:rsidR="004F3D65" w:rsidRPr="003E76E7" w:rsidRDefault="004F3D65" w:rsidP="00C4292D">
            <w:pPr>
              <w:pStyle w:val="CommentText"/>
              <w:rPr>
                <w:rFonts w:ascii="Arial" w:hAnsi="Arial"/>
                <w:b/>
                <w:bCs/>
                <w:sz w:val="16"/>
                <w:szCs w:val="16"/>
              </w:rPr>
            </w:pPr>
          </w:p>
        </w:tc>
      </w:tr>
    </w:tbl>
    <w:p w14:paraId="747C440E" w14:textId="77777777" w:rsidR="004F3D65" w:rsidRPr="003E76E7" w:rsidRDefault="004F3D65" w:rsidP="00C4292D">
      <w:pPr>
        <w:pStyle w:val="BodyText"/>
      </w:pPr>
    </w:p>
    <w:p w14:paraId="5E4BD468" w14:textId="77777777" w:rsidR="004F3D65" w:rsidRPr="003E76E7" w:rsidRDefault="004F3D65" w:rsidP="00C4292D">
      <w:pPr>
        <w:pStyle w:val="BodyText"/>
        <w:rPr>
          <w:rFonts w:ascii="Arial" w:hAnsi="Arial"/>
          <w:b/>
        </w:rPr>
      </w:pPr>
      <w:r w:rsidRPr="003E76E7">
        <w:br w:type="page"/>
      </w:r>
      <w:r w:rsidRPr="003E76E7">
        <w:rPr>
          <w:rFonts w:ascii="Arial" w:hAnsi="Arial"/>
          <w:b/>
        </w:rPr>
        <w:lastRenderedPageBreak/>
        <w:t>Table 54: Top 30 Military Equipment Acquisition Program Approved Projects by 2026-27 Forecast Expenditure (Gross Plan) (Continued)</w:t>
      </w:r>
      <w:r w:rsidRPr="003E76E7">
        <w:rPr>
          <w:rFonts w:ascii="Arial" w:hAnsi="Arial"/>
          <w:b/>
          <w:vertAlign w:val="superscript"/>
        </w:rPr>
        <w:t xml:space="preserve"> [a][b][c]</w:t>
      </w:r>
    </w:p>
    <w:tbl>
      <w:tblPr>
        <w:tblW w:w="4981" w:type="pct"/>
        <w:tblInd w:w="5" w:type="dxa"/>
        <w:tblLayout w:type="fixed"/>
        <w:tblLook w:val="04A0" w:firstRow="1" w:lastRow="0" w:firstColumn="1" w:lastColumn="0" w:noHBand="0" w:noVBand="1"/>
      </w:tblPr>
      <w:tblGrid>
        <w:gridCol w:w="1550"/>
        <w:gridCol w:w="1275"/>
        <w:gridCol w:w="1560"/>
        <w:gridCol w:w="1228"/>
        <w:gridCol w:w="1228"/>
        <w:gridCol w:w="1229"/>
        <w:gridCol w:w="5307"/>
      </w:tblGrid>
      <w:tr w:rsidR="00ED57D2" w:rsidRPr="003E76E7" w14:paraId="59AFC53C" w14:textId="77777777" w:rsidTr="00ED57D2">
        <w:trPr>
          <w:trHeight w:hRule="exact" w:val="1108"/>
        </w:trPr>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1E20756C" w14:textId="77777777" w:rsidR="00ED57D2" w:rsidRPr="003E76E7" w:rsidRDefault="00ED57D2" w:rsidP="00ED57D2">
            <w:pPr>
              <w:spacing w:after="0"/>
              <w:rPr>
                <w:rFonts w:ascii="Arial" w:hAnsi="Arial"/>
                <w:sz w:val="16"/>
                <w:szCs w:val="16"/>
                <w:lang w:val="en-AU"/>
              </w:rPr>
            </w:pPr>
            <w:r w:rsidRPr="003E76E7">
              <w:rPr>
                <w:rFonts w:ascii="Arial" w:hAnsi="Arial"/>
                <w:b/>
                <w:bCs/>
                <w:sz w:val="16"/>
                <w:szCs w:val="16"/>
              </w:rPr>
              <w:t>Domain/Project Name</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E456954" w14:textId="77777777" w:rsidR="00ED57D2" w:rsidRPr="003E76E7" w:rsidRDefault="00ED57D2" w:rsidP="00ED57D2">
            <w:pPr>
              <w:spacing w:after="0"/>
              <w:jc w:val="center"/>
              <w:rPr>
                <w:rFonts w:ascii="Arial" w:hAnsi="Arial"/>
                <w:b/>
                <w:bCs/>
                <w:sz w:val="16"/>
                <w:szCs w:val="16"/>
                <w:lang w:val="en-AU"/>
              </w:rPr>
            </w:pPr>
            <w:r w:rsidRPr="003E76E7">
              <w:rPr>
                <w:rFonts w:ascii="Arial" w:hAnsi="Arial"/>
                <w:b/>
                <w:bCs/>
                <w:sz w:val="16"/>
                <w:szCs w:val="16"/>
              </w:rPr>
              <w:t>Project Number/</w:t>
            </w:r>
            <w:r w:rsidRPr="003E76E7">
              <w:rPr>
                <w:rFonts w:ascii="Arial" w:hAnsi="Arial"/>
                <w:b/>
                <w:bCs/>
                <w:sz w:val="16"/>
                <w:szCs w:val="16"/>
              </w:rPr>
              <w:br/>
              <w:t>Phase</w:t>
            </w:r>
          </w:p>
        </w:tc>
        <w:tc>
          <w:tcPr>
            <w:tcW w:w="1560" w:type="dxa"/>
            <w:tcBorders>
              <w:top w:val="single" w:sz="4" w:space="0" w:color="auto"/>
              <w:left w:val="nil"/>
              <w:bottom w:val="single" w:sz="4" w:space="0" w:color="auto"/>
              <w:right w:val="single" w:sz="4" w:space="0" w:color="auto"/>
            </w:tcBorders>
            <w:shd w:val="clear" w:color="auto" w:fill="auto"/>
            <w:vAlign w:val="center"/>
          </w:tcPr>
          <w:p w14:paraId="27E6A517" w14:textId="77777777" w:rsidR="00ED57D2" w:rsidRPr="003E76E7" w:rsidRDefault="00ED57D2" w:rsidP="00ED57D2">
            <w:pPr>
              <w:spacing w:after="0"/>
              <w:rPr>
                <w:rFonts w:ascii="Arial" w:hAnsi="Arial"/>
                <w:sz w:val="16"/>
                <w:szCs w:val="16"/>
              </w:rPr>
            </w:pPr>
            <w:r w:rsidRPr="003E76E7">
              <w:rPr>
                <w:rFonts w:ascii="Arial" w:hAnsi="Arial"/>
                <w:b/>
                <w:bCs/>
                <w:sz w:val="16"/>
                <w:szCs w:val="16"/>
              </w:rPr>
              <w:t>Project Inputs to Capability</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746D08" w14:textId="74F14C84" w:rsidR="00ED57D2" w:rsidRPr="003E76E7" w:rsidRDefault="00ED57D2" w:rsidP="00ED57D2">
            <w:pPr>
              <w:spacing w:before="0" w:after="0"/>
              <w:jc w:val="right"/>
              <w:rPr>
                <w:rFonts w:ascii="Arial" w:hAnsi="Arial"/>
                <w:b/>
                <w:bCs/>
                <w:sz w:val="16"/>
                <w:szCs w:val="16"/>
              </w:rPr>
            </w:pPr>
            <w:r w:rsidRPr="003E76E7">
              <w:rPr>
                <w:rFonts w:ascii="Arial" w:hAnsi="Arial"/>
                <w:b/>
                <w:bCs/>
                <w:sz w:val="16"/>
                <w:szCs w:val="16"/>
              </w:rPr>
              <w:t>Approved Project Expenditure</w:t>
            </w:r>
          </w:p>
          <w:p w14:paraId="54F808F5" w14:textId="22879BA2" w:rsidR="00ED57D2" w:rsidRPr="003E76E7" w:rsidRDefault="00ED57D2" w:rsidP="00ED57D2">
            <w:pPr>
              <w:spacing w:after="0"/>
              <w:jc w:val="right"/>
              <w:rPr>
                <w:rFonts w:ascii="Arial" w:hAnsi="Arial"/>
                <w:sz w:val="16"/>
                <w:szCs w:val="16"/>
              </w:rPr>
            </w:pPr>
            <w:r w:rsidRPr="003E76E7">
              <w:rPr>
                <w:rFonts w:ascii="Arial" w:hAnsi="Arial"/>
                <w:b/>
                <w:bCs/>
                <w:sz w:val="16"/>
                <w:szCs w:val="16"/>
              </w:rPr>
              <w:t xml:space="preserve"> $m</w:t>
            </w:r>
          </w:p>
        </w:tc>
        <w:tc>
          <w:tcPr>
            <w:tcW w:w="1228" w:type="dxa"/>
            <w:tcBorders>
              <w:top w:val="single" w:sz="4" w:space="0" w:color="auto"/>
              <w:left w:val="nil"/>
              <w:bottom w:val="single" w:sz="4" w:space="0" w:color="auto"/>
              <w:right w:val="single" w:sz="4" w:space="0" w:color="auto"/>
            </w:tcBorders>
            <w:shd w:val="clear" w:color="auto" w:fill="auto"/>
            <w:noWrap/>
            <w:vAlign w:val="bottom"/>
          </w:tcPr>
          <w:p w14:paraId="5512DB99" w14:textId="77777777" w:rsidR="00ED57D2" w:rsidRPr="003E76E7" w:rsidRDefault="00ED57D2" w:rsidP="00ED57D2">
            <w:pPr>
              <w:spacing w:before="0" w:after="0"/>
              <w:jc w:val="right"/>
              <w:rPr>
                <w:rFonts w:ascii="Arial" w:hAnsi="Arial"/>
                <w:b/>
                <w:bCs/>
                <w:sz w:val="16"/>
                <w:szCs w:val="16"/>
              </w:rPr>
            </w:pPr>
            <w:r w:rsidRPr="003E76E7">
              <w:rPr>
                <w:rFonts w:ascii="Arial" w:hAnsi="Arial"/>
                <w:b/>
                <w:bCs/>
                <w:sz w:val="16"/>
                <w:szCs w:val="16"/>
              </w:rPr>
              <w:t>Estimated Cumulative Expenditure to 30 June 2026</w:t>
            </w:r>
          </w:p>
          <w:p w14:paraId="263FF09B" w14:textId="4F7F64F5" w:rsidR="00ED57D2" w:rsidRPr="003E76E7" w:rsidRDefault="00ED57D2" w:rsidP="00ED57D2">
            <w:pPr>
              <w:spacing w:before="0" w:after="0"/>
              <w:jc w:val="right"/>
              <w:rPr>
                <w:rFonts w:ascii="Arial" w:hAnsi="Arial"/>
                <w:sz w:val="16"/>
                <w:szCs w:val="16"/>
              </w:rPr>
            </w:pPr>
            <w:r w:rsidRPr="003E76E7">
              <w:rPr>
                <w:rFonts w:ascii="Arial" w:hAnsi="Arial"/>
                <w:b/>
                <w:bCs/>
                <w:sz w:val="16"/>
                <w:szCs w:val="16"/>
              </w:rPr>
              <w:t xml:space="preserve"> $m</w:t>
            </w:r>
          </w:p>
        </w:tc>
        <w:tc>
          <w:tcPr>
            <w:tcW w:w="1229" w:type="dxa"/>
            <w:tcBorders>
              <w:top w:val="single" w:sz="4" w:space="0" w:color="auto"/>
              <w:left w:val="nil"/>
              <w:bottom w:val="single" w:sz="4" w:space="0" w:color="auto"/>
              <w:right w:val="single" w:sz="4" w:space="0" w:color="auto"/>
            </w:tcBorders>
            <w:shd w:val="clear" w:color="auto" w:fill="auto"/>
            <w:noWrap/>
            <w:vAlign w:val="bottom"/>
          </w:tcPr>
          <w:p w14:paraId="2A07130C" w14:textId="0594C5E9" w:rsidR="00ED57D2" w:rsidRPr="003E76E7" w:rsidRDefault="00ED57D2" w:rsidP="00ED57D2">
            <w:pPr>
              <w:spacing w:before="0" w:after="0"/>
              <w:jc w:val="right"/>
              <w:rPr>
                <w:rFonts w:ascii="Arial" w:hAnsi="Arial"/>
                <w:b/>
                <w:bCs/>
                <w:sz w:val="16"/>
                <w:szCs w:val="16"/>
              </w:rPr>
            </w:pPr>
            <w:r w:rsidRPr="003E76E7">
              <w:rPr>
                <w:rFonts w:ascii="Arial" w:hAnsi="Arial"/>
                <w:b/>
                <w:bCs/>
                <w:sz w:val="16"/>
                <w:szCs w:val="16"/>
              </w:rPr>
              <w:t xml:space="preserve">Budget Estimate 2026-27 </w:t>
            </w:r>
          </w:p>
          <w:p w14:paraId="01EAFC5A" w14:textId="6C72869A" w:rsidR="00ED57D2" w:rsidRPr="003E76E7" w:rsidRDefault="00ED57D2" w:rsidP="00ED57D2">
            <w:pPr>
              <w:spacing w:after="0"/>
              <w:jc w:val="right"/>
              <w:rPr>
                <w:rFonts w:ascii="Arial" w:hAnsi="Arial"/>
                <w:sz w:val="16"/>
                <w:szCs w:val="16"/>
              </w:rPr>
            </w:pPr>
            <w:r w:rsidRPr="003E76E7">
              <w:rPr>
                <w:rFonts w:ascii="Arial" w:hAnsi="Arial"/>
                <w:b/>
                <w:bCs/>
                <w:sz w:val="16"/>
                <w:szCs w:val="16"/>
              </w:rPr>
              <w:t>$m</w:t>
            </w:r>
          </w:p>
        </w:tc>
        <w:tc>
          <w:tcPr>
            <w:tcW w:w="5307" w:type="dxa"/>
            <w:tcBorders>
              <w:top w:val="single" w:sz="4" w:space="0" w:color="auto"/>
              <w:left w:val="single" w:sz="4" w:space="0" w:color="auto"/>
              <w:bottom w:val="single" w:sz="4" w:space="0" w:color="auto"/>
              <w:right w:val="single" w:sz="4" w:space="0" w:color="auto"/>
            </w:tcBorders>
            <w:shd w:val="clear" w:color="auto" w:fill="auto"/>
            <w:vAlign w:val="center"/>
          </w:tcPr>
          <w:p w14:paraId="2EDFC5B0" w14:textId="77777777" w:rsidR="00ED57D2" w:rsidRPr="003E76E7" w:rsidRDefault="00ED57D2" w:rsidP="00ED57D2">
            <w:pPr>
              <w:pStyle w:val="CommentText"/>
              <w:rPr>
                <w:rFonts w:ascii="Arial" w:hAnsi="Arial"/>
                <w:sz w:val="16"/>
                <w:szCs w:val="16"/>
              </w:rPr>
            </w:pPr>
            <w:r w:rsidRPr="003E76E7">
              <w:rPr>
                <w:rFonts w:ascii="Arial" w:hAnsi="Arial"/>
                <w:b/>
                <w:bCs/>
                <w:sz w:val="16"/>
                <w:szCs w:val="16"/>
              </w:rPr>
              <w:t>Top 30 Military Equipment Acquisition Project Descriptions</w:t>
            </w:r>
          </w:p>
        </w:tc>
      </w:tr>
      <w:tr w:rsidR="004F3D65" w:rsidRPr="003E76E7" w14:paraId="5A208A82" w14:textId="77777777" w:rsidTr="00ED57D2">
        <w:trPr>
          <w:trHeight w:hRule="exact" w:val="355"/>
        </w:trPr>
        <w:tc>
          <w:tcPr>
            <w:tcW w:w="13377" w:type="dxa"/>
            <w:gridSpan w:val="7"/>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472E668A" w14:textId="77777777" w:rsidR="004F3D65" w:rsidRPr="003E76E7" w:rsidRDefault="004F3D65" w:rsidP="00C4292D">
            <w:pPr>
              <w:pStyle w:val="CommentText"/>
              <w:rPr>
                <w:rFonts w:ascii="Arial" w:hAnsi="Arial"/>
                <w:b/>
                <w:bCs/>
                <w:sz w:val="16"/>
                <w:szCs w:val="16"/>
              </w:rPr>
            </w:pPr>
            <w:r w:rsidRPr="003E76E7">
              <w:rPr>
                <w:rFonts w:ascii="Arial" w:hAnsi="Arial"/>
                <w:b/>
                <w:bCs/>
                <w:sz w:val="16"/>
                <w:szCs w:val="16"/>
              </w:rPr>
              <w:t>Information and Cyber</w:t>
            </w:r>
            <w:r w:rsidRPr="003E76E7">
              <w:rPr>
                <w:rFonts w:ascii="Arial" w:hAnsi="Arial"/>
                <w:sz w:val="16"/>
                <w:szCs w:val="16"/>
              </w:rPr>
              <w:t> </w:t>
            </w:r>
          </w:p>
        </w:tc>
      </w:tr>
      <w:tr w:rsidR="004F3D65" w:rsidRPr="003E76E7" w14:paraId="6B0B78CD" w14:textId="77777777" w:rsidTr="00ED57D2">
        <w:trPr>
          <w:trHeight w:hRule="exact" w:val="998"/>
        </w:trPr>
        <w:tc>
          <w:tcPr>
            <w:tcW w:w="1550" w:type="dxa"/>
            <w:vMerge w:val="restart"/>
            <w:tcBorders>
              <w:top w:val="nil"/>
              <w:left w:val="single" w:sz="4" w:space="0" w:color="auto"/>
              <w:bottom w:val="single" w:sz="4" w:space="0" w:color="auto"/>
              <w:right w:val="single" w:sz="4" w:space="0" w:color="auto"/>
            </w:tcBorders>
            <w:shd w:val="clear" w:color="auto" w:fill="auto"/>
            <w:vAlign w:val="center"/>
          </w:tcPr>
          <w:p w14:paraId="2D6E76EB" w14:textId="77777777" w:rsidR="004F3D65" w:rsidRPr="003E76E7" w:rsidRDefault="004F3D65" w:rsidP="00C4292D">
            <w:pPr>
              <w:spacing w:after="0"/>
              <w:rPr>
                <w:rFonts w:ascii="Arial" w:hAnsi="Arial"/>
                <w:sz w:val="16"/>
                <w:szCs w:val="16"/>
              </w:rPr>
            </w:pPr>
            <w:r w:rsidRPr="003E76E7">
              <w:rPr>
                <w:rFonts w:ascii="Arial" w:hAnsi="Arial"/>
                <w:sz w:val="16"/>
                <w:szCs w:val="16"/>
              </w:rPr>
              <w:t>Communications Security Modernisation</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tcPr>
          <w:p w14:paraId="01D4D91C" w14:textId="77777777" w:rsidR="004F3D65" w:rsidRPr="003E76E7" w:rsidRDefault="004F3D65" w:rsidP="00C4292D">
            <w:pPr>
              <w:spacing w:after="0"/>
              <w:jc w:val="center"/>
              <w:rPr>
                <w:rFonts w:ascii="Arial" w:hAnsi="Arial"/>
                <w:b/>
                <w:bCs/>
                <w:sz w:val="16"/>
                <w:szCs w:val="16"/>
              </w:rPr>
            </w:pPr>
            <w:r w:rsidRPr="003E76E7">
              <w:rPr>
                <w:rFonts w:ascii="Arial" w:hAnsi="Arial"/>
                <w:b/>
                <w:bCs/>
                <w:sz w:val="16"/>
                <w:szCs w:val="16"/>
              </w:rPr>
              <w:t>JP 9141</w:t>
            </w:r>
          </w:p>
        </w:tc>
        <w:tc>
          <w:tcPr>
            <w:tcW w:w="1560" w:type="dxa"/>
            <w:tcBorders>
              <w:top w:val="nil"/>
              <w:left w:val="nil"/>
              <w:bottom w:val="single" w:sz="4" w:space="0" w:color="auto"/>
              <w:right w:val="single" w:sz="4" w:space="0" w:color="auto"/>
            </w:tcBorders>
            <w:shd w:val="clear" w:color="auto" w:fill="auto"/>
            <w:vAlign w:val="center"/>
          </w:tcPr>
          <w:p w14:paraId="5D99C270" w14:textId="77777777" w:rsidR="004F3D65" w:rsidRPr="003E76E7" w:rsidRDefault="004F3D65" w:rsidP="00C4292D">
            <w:pPr>
              <w:spacing w:after="0"/>
              <w:rPr>
                <w:rFonts w:ascii="Arial" w:hAnsi="Arial"/>
                <w:sz w:val="16"/>
                <w:szCs w:val="16"/>
              </w:rPr>
            </w:pPr>
            <w:r w:rsidRPr="003E76E7">
              <w:rPr>
                <w:rFonts w:ascii="Arial" w:hAnsi="Arial"/>
                <w:sz w:val="16"/>
                <w:szCs w:val="16"/>
              </w:rPr>
              <w:t>Military Equipment Acquisition</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C53687" w14:textId="6B79302B"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1,288 </w:t>
            </w:r>
          </w:p>
        </w:tc>
        <w:tc>
          <w:tcPr>
            <w:tcW w:w="1228" w:type="dxa"/>
            <w:tcBorders>
              <w:top w:val="single" w:sz="4" w:space="0" w:color="auto"/>
              <w:left w:val="nil"/>
              <w:bottom w:val="single" w:sz="4" w:space="0" w:color="auto"/>
              <w:right w:val="single" w:sz="4" w:space="0" w:color="auto"/>
            </w:tcBorders>
            <w:shd w:val="clear" w:color="auto" w:fill="auto"/>
            <w:noWrap/>
            <w:vAlign w:val="center"/>
          </w:tcPr>
          <w:p w14:paraId="1EC9C2D8" w14:textId="2C63E73D"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923 </w:t>
            </w:r>
          </w:p>
        </w:tc>
        <w:tc>
          <w:tcPr>
            <w:tcW w:w="1229" w:type="dxa"/>
            <w:tcBorders>
              <w:top w:val="single" w:sz="4" w:space="0" w:color="auto"/>
              <w:left w:val="nil"/>
              <w:bottom w:val="single" w:sz="4" w:space="0" w:color="auto"/>
              <w:right w:val="single" w:sz="4" w:space="0" w:color="auto"/>
            </w:tcBorders>
            <w:shd w:val="clear" w:color="auto" w:fill="auto"/>
            <w:noWrap/>
            <w:vAlign w:val="center"/>
          </w:tcPr>
          <w:p w14:paraId="3D449E3A" w14:textId="2D21D167"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137 </w:t>
            </w:r>
          </w:p>
        </w:tc>
        <w:tc>
          <w:tcPr>
            <w:tcW w:w="5307" w:type="dxa"/>
            <w:vMerge w:val="restart"/>
            <w:tcBorders>
              <w:top w:val="single" w:sz="4" w:space="0" w:color="000000"/>
              <w:left w:val="single" w:sz="4" w:space="0" w:color="auto"/>
              <w:bottom w:val="single" w:sz="4" w:space="0" w:color="auto"/>
              <w:right w:val="single" w:sz="4" w:space="0" w:color="auto"/>
            </w:tcBorders>
            <w:shd w:val="clear" w:color="auto" w:fill="auto"/>
            <w:vAlign w:val="center"/>
          </w:tcPr>
          <w:p w14:paraId="0C76F509" w14:textId="77777777" w:rsidR="004F3D65" w:rsidRPr="003E76E7" w:rsidRDefault="004F3D65" w:rsidP="00C4292D">
            <w:pPr>
              <w:spacing w:before="60" w:after="60"/>
              <w:rPr>
                <w:rFonts w:ascii="Arial" w:hAnsi="Arial"/>
                <w:sz w:val="16"/>
                <w:szCs w:val="16"/>
                <w:lang w:val="en-AU"/>
              </w:rPr>
            </w:pPr>
            <w:r w:rsidRPr="003E76E7">
              <w:rPr>
                <w:rFonts w:ascii="Arial" w:hAnsi="Arial"/>
                <w:sz w:val="16"/>
                <w:szCs w:val="16"/>
                <w:lang w:val="en-AU"/>
              </w:rPr>
              <w:t>This project will remediate and modernise selected Australian Defence Force radios. This will ensure ongoing availability of secure communications in support of Defence operations, and interoperability with key partner communications and intelligence networks.</w:t>
            </w:r>
          </w:p>
          <w:p w14:paraId="4AA30534" w14:textId="77777777" w:rsidR="004F3D65" w:rsidRPr="003E76E7" w:rsidRDefault="004F3D65" w:rsidP="00C4292D">
            <w:pPr>
              <w:keepNext/>
              <w:keepLines/>
              <w:spacing w:before="60" w:after="60"/>
              <w:rPr>
                <w:rFonts w:ascii="Arial" w:hAnsi="Arial"/>
                <w:sz w:val="16"/>
                <w:szCs w:val="16"/>
              </w:rPr>
            </w:pPr>
            <w:r w:rsidRPr="003E76E7">
              <w:rPr>
                <w:rFonts w:ascii="Arial" w:hAnsi="Arial"/>
                <w:sz w:val="16"/>
                <w:szCs w:val="16"/>
              </w:rPr>
              <w:t>During 2026-27, the project will commence the secure communications upgrade to the satellite communication systems, continue to upgrade secure communications on Australian Defence Force platforms and continue to deliver modernised radios.</w:t>
            </w:r>
          </w:p>
        </w:tc>
      </w:tr>
      <w:tr w:rsidR="004F3D65" w:rsidRPr="003E76E7" w14:paraId="6DD2B380" w14:textId="77777777" w:rsidTr="00ED57D2">
        <w:trPr>
          <w:trHeight w:hRule="exact" w:val="841"/>
        </w:trPr>
        <w:tc>
          <w:tcPr>
            <w:tcW w:w="1550" w:type="dxa"/>
            <w:vMerge/>
            <w:tcBorders>
              <w:left w:val="single" w:sz="4" w:space="0" w:color="auto"/>
              <w:bottom w:val="single" w:sz="4" w:space="0" w:color="auto"/>
              <w:right w:val="single" w:sz="4" w:space="0" w:color="auto"/>
            </w:tcBorders>
            <w:shd w:val="clear" w:color="auto" w:fill="auto"/>
            <w:vAlign w:val="center"/>
          </w:tcPr>
          <w:p w14:paraId="3226334E" w14:textId="77777777" w:rsidR="004F3D65" w:rsidRPr="003E76E7" w:rsidRDefault="004F3D65" w:rsidP="00C4292D">
            <w:pPr>
              <w:spacing w:after="0"/>
              <w:rPr>
                <w:rFonts w:ascii="Arial" w:hAnsi="Arial"/>
                <w:sz w:val="16"/>
                <w:szCs w:val="16"/>
              </w:rPr>
            </w:pPr>
          </w:p>
        </w:tc>
        <w:tc>
          <w:tcPr>
            <w:tcW w:w="1275" w:type="dxa"/>
            <w:vMerge/>
            <w:tcBorders>
              <w:left w:val="single" w:sz="4" w:space="0" w:color="auto"/>
              <w:bottom w:val="single" w:sz="4" w:space="0" w:color="auto"/>
              <w:right w:val="single" w:sz="4" w:space="0" w:color="auto"/>
            </w:tcBorders>
            <w:shd w:val="clear" w:color="auto" w:fill="auto"/>
            <w:vAlign w:val="center"/>
          </w:tcPr>
          <w:p w14:paraId="7E8B0149" w14:textId="77777777" w:rsidR="004F3D65" w:rsidRPr="003E76E7" w:rsidRDefault="004F3D65" w:rsidP="00C4292D">
            <w:pPr>
              <w:spacing w:after="0"/>
              <w:jc w:val="center"/>
              <w:rPr>
                <w:rFonts w:ascii="Arial" w:hAnsi="Arial"/>
                <w:b/>
                <w:bCs/>
                <w:sz w:val="16"/>
                <w:szCs w:val="16"/>
              </w:rPr>
            </w:pPr>
          </w:p>
        </w:tc>
        <w:tc>
          <w:tcPr>
            <w:tcW w:w="1560" w:type="dxa"/>
            <w:tcBorders>
              <w:top w:val="single" w:sz="4" w:space="0" w:color="auto"/>
              <w:left w:val="nil"/>
              <w:bottom w:val="single" w:sz="4" w:space="0" w:color="auto"/>
              <w:right w:val="single" w:sz="4" w:space="0" w:color="auto"/>
            </w:tcBorders>
            <w:shd w:val="clear" w:color="auto" w:fill="auto"/>
            <w:vAlign w:val="center"/>
          </w:tcPr>
          <w:p w14:paraId="35BD5870" w14:textId="77777777" w:rsidR="004F3D65" w:rsidRPr="003E76E7" w:rsidRDefault="004F3D65" w:rsidP="00C4292D">
            <w:pPr>
              <w:spacing w:after="0"/>
              <w:rPr>
                <w:rFonts w:ascii="Arial" w:hAnsi="Arial"/>
                <w:sz w:val="16"/>
                <w:szCs w:val="16"/>
              </w:rPr>
            </w:pPr>
            <w:r w:rsidRPr="003E76E7">
              <w:rPr>
                <w:rFonts w:ascii="Arial" w:hAnsi="Arial"/>
                <w:sz w:val="16"/>
                <w:szCs w:val="16"/>
              </w:rPr>
              <w:t>Other Project Inputs to Capability</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F69189" w14:textId="26B95F50"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119 </w:t>
            </w:r>
          </w:p>
        </w:tc>
        <w:tc>
          <w:tcPr>
            <w:tcW w:w="1228" w:type="dxa"/>
            <w:tcBorders>
              <w:top w:val="single" w:sz="4" w:space="0" w:color="auto"/>
              <w:left w:val="nil"/>
              <w:bottom w:val="single" w:sz="4" w:space="0" w:color="auto"/>
              <w:right w:val="single" w:sz="4" w:space="0" w:color="auto"/>
            </w:tcBorders>
            <w:shd w:val="clear" w:color="auto" w:fill="auto"/>
            <w:noWrap/>
            <w:vAlign w:val="center"/>
          </w:tcPr>
          <w:p w14:paraId="7D3A0E3B" w14:textId="0A2A655D"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50 </w:t>
            </w:r>
          </w:p>
        </w:tc>
        <w:tc>
          <w:tcPr>
            <w:tcW w:w="1229" w:type="dxa"/>
            <w:tcBorders>
              <w:top w:val="single" w:sz="4" w:space="0" w:color="auto"/>
              <w:left w:val="nil"/>
              <w:bottom w:val="single" w:sz="4" w:space="0" w:color="auto"/>
              <w:right w:val="single" w:sz="4" w:space="0" w:color="auto"/>
            </w:tcBorders>
            <w:shd w:val="clear" w:color="auto" w:fill="auto"/>
            <w:noWrap/>
            <w:vAlign w:val="center"/>
          </w:tcPr>
          <w:p w14:paraId="3740E8FE" w14:textId="24365D0A"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22 </w:t>
            </w:r>
          </w:p>
        </w:tc>
        <w:tc>
          <w:tcPr>
            <w:tcW w:w="5307" w:type="dxa"/>
            <w:vMerge/>
            <w:tcBorders>
              <w:left w:val="single" w:sz="4" w:space="0" w:color="auto"/>
              <w:bottom w:val="single" w:sz="4" w:space="0" w:color="auto"/>
              <w:right w:val="single" w:sz="4" w:space="0" w:color="auto"/>
            </w:tcBorders>
            <w:shd w:val="clear" w:color="auto" w:fill="auto"/>
          </w:tcPr>
          <w:p w14:paraId="50371FFB" w14:textId="77777777" w:rsidR="004F3D65" w:rsidRPr="003E76E7" w:rsidRDefault="004F3D65" w:rsidP="00C4292D">
            <w:pPr>
              <w:keepNext/>
              <w:keepLines/>
              <w:spacing w:before="60" w:after="60"/>
              <w:rPr>
                <w:rFonts w:ascii="Arial" w:hAnsi="Arial"/>
                <w:sz w:val="16"/>
                <w:szCs w:val="16"/>
              </w:rPr>
            </w:pPr>
          </w:p>
        </w:tc>
      </w:tr>
      <w:tr w:rsidR="004F3D65" w:rsidRPr="003E76E7" w14:paraId="122B0D2D" w14:textId="77777777" w:rsidTr="00ED57D2">
        <w:trPr>
          <w:trHeight w:hRule="exact" w:val="430"/>
        </w:trPr>
        <w:tc>
          <w:tcPr>
            <w:tcW w:w="13377" w:type="dxa"/>
            <w:gridSpan w:val="7"/>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473D351A" w14:textId="77777777" w:rsidR="004F3D65" w:rsidRPr="003E76E7" w:rsidRDefault="004F3D65" w:rsidP="00C4292D">
            <w:pPr>
              <w:spacing w:before="60" w:after="60"/>
              <w:rPr>
                <w:rFonts w:ascii="Arial" w:hAnsi="Arial"/>
                <w:sz w:val="16"/>
                <w:szCs w:val="16"/>
                <w:lang w:val="en-AU"/>
              </w:rPr>
            </w:pPr>
            <w:r w:rsidRPr="003E76E7">
              <w:rPr>
                <w:rFonts w:ascii="Arial" w:hAnsi="Arial"/>
                <w:b/>
                <w:bCs/>
                <w:sz w:val="16"/>
                <w:szCs w:val="16"/>
              </w:rPr>
              <w:t>Land Domain</w:t>
            </w:r>
          </w:p>
        </w:tc>
      </w:tr>
      <w:tr w:rsidR="004F3D65" w:rsidRPr="003E76E7" w14:paraId="27D93218" w14:textId="77777777" w:rsidTr="00ED57D2">
        <w:trPr>
          <w:trHeight w:hRule="exact" w:val="1316"/>
        </w:trPr>
        <w:tc>
          <w:tcPr>
            <w:tcW w:w="1550" w:type="dxa"/>
            <w:vMerge w:val="restart"/>
            <w:tcBorders>
              <w:top w:val="nil"/>
              <w:left w:val="single" w:sz="4" w:space="0" w:color="auto"/>
              <w:right w:val="single" w:sz="4" w:space="0" w:color="auto"/>
            </w:tcBorders>
            <w:shd w:val="clear" w:color="auto" w:fill="auto"/>
            <w:vAlign w:val="center"/>
          </w:tcPr>
          <w:p w14:paraId="18A52BF3" w14:textId="77777777" w:rsidR="004F3D65" w:rsidRPr="003E76E7" w:rsidRDefault="004F3D65" w:rsidP="00C4292D">
            <w:pPr>
              <w:spacing w:after="0"/>
              <w:rPr>
                <w:rFonts w:ascii="Arial" w:hAnsi="Arial"/>
                <w:sz w:val="16"/>
                <w:szCs w:val="16"/>
              </w:rPr>
            </w:pPr>
            <w:r w:rsidRPr="003E76E7">
              <w:rPr>
                <w:rFonts w:ascii="Arial" w:hAnsi="Arial"/>
                <w:sz w:val="16"/>
                <w:szCs w:val="16"/>
              </w:rPr>
              <w:t>Redback Infantry Fighting Vehicle</w:t>
            </w:r>
          </w:p>
        </w:tc>
        <w:tc>
          <w:tcPr>
            <w:tcW w:w="1275" w:type="dxa"/>
            <w:vMerge w:val="restart"/>
            <w:tcBorders>
              <w:top w:val="nil"/>
              <w:left w:val="single" w:sz="4" w:space="0" w:color="auto"/>
              <w:right w:val="single" w:sz="4" w:space="0" w:color="auto"/>
            </w:tcBorders>
            <w:shd w:val="clear" w:color="auto" w:fill="auto"/>
            <w:vAlign w:val="center"/>
          </w:tcPr>
          <w:p w14:paraId="1393D063" w14:textId="77777777" w:rsidR="004F3D65" w:rsidRPr="003E76E7" w:rsidRDefault="004F3D65" w:rsidP="00C4292D">
            <w:pPr>
              <w:spacing w:after="0"/>
              <w:jc w:val="center"/>
              <w:rPr>
                <w:rFonts w:ascii="Arial" w:hAnsi="Arial"/>
                <w:b/>
                <w:bCs/>
                <w:sz w:val="16"/>
                <w:szCs w:val="16"/>
              </w:rPr>
            </w:pPr>
            <w:r w:rsidRPr="003E76E7">
              <w:rPr>
                <w:rFonts w:ascii="Arial" w:hAnsi="Arial"/>
                <w:b/>
                <w:bCs/>
                <w:sz w:val="16"/>
                <w:szCs w:val="16"/>
              </w:rPr>
              <w:t>LAND 400 Phase 3</w:t>
            </w:r>
          </w:p>
        </w:tc>
        <w:tc>
          <w:tcPr>
            <w:tcW w:w="1560" w:type="dxa"/>
            <w:tcBorders>
              <w:top w:val="nil"/>
              <w:left w:val="nil"/>
              <w:bottom w:val="single" w:sz="4" w:space="0" w:color="auto"/>
              <w:right w:val="single" w:sz="4" w:space="0" w:color="auto"/>
            </w:tcBorders>
            <w:shd w:val="clear" w:color="auto" w:fill="auto"/>
            <w:vAlign w:val="center"/>
          </w:tcPr>
          <w:p w14:paraId="28AE27E7" w14:textId="77777777" w:rsidR="004F3D65" w:rsidRPr="003E76E7" w:rsidRDefault="004F3D65" w:rsidP="00C4292D">
            <w:pPr>
              <w:spacing w:after="0"/>
              <w:rPr>
                <w:rFonts w:ascii="Arial" w:hAnsi="Arial"/>
                <w:sz w:val="16"/>
                <w:szCs w:val="16"/>
              </w:rPr>
            </w:pPr>
            <w:r w:rsidRPr="003E76E7">
              <w:rPr>
                <w:rFonts w:ascii="Arial" w:hAnsi="Arial"/>
                <w:sz w:val="16"/>
                <w:szCs w:val="16"/>
              </w:rPr>
              <w:t>Military Equipment Acquisition</w:t>
            </w:r>
          </w:p>
        </w:tc>
        <w:tc>
          <w:tcPr>
            <w:tcW w:w="1228" w:type="dxa"/>
            <w:tcBorders>
              <w:top w:val="nil"/>
              <w:left w:val="nil"/>
              <w:bottom w:val="single" w:sz="4" w:space="0" w:color="auto"/>
              <w:right w:val="single" w:sz="4" w:space="0" w:color="auto"/>
            </w:tcBorders>
            <w:shd w:val="clear" w:color="auto" w:fill="auto"/>
            <w:noWrap/>
            <w:vAlign w:val="center"/>
          </w:tcPr>
          <w:p w14:paraId="3C3D9CC3" w14:textId="50FD663C"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6,711 </w:t>
            </w:r>
          </w:p>
        </w:tc>
        <w:tc>
          <w:tcPr>
            <w:tcW w:w="1228" w:type="dxa"/>
            <w:tcBorders>
              <w:top w:val="nil"/>
              <w:left w:val="nil"/>
              <w:bottom w:val="single" w:sz="4" w:space="0" w:color="auto"/>
              <w:right w:val="single" w:sz="4" w:space="0" w:color="auto"/>
            </w:tcBorders>
            <w:shd w:val="clear" w:color="auto" w:fill="auto"/>
            <w:noWrap/>
            <w:vAlign w:val="center"/>
          </w:tcPr>
          <w:p w14:paraId="22B3C87F" w14:textId="7CFFACA8"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1,667 </w:t>
            </w:r>
          </w:p>
        </w:tc>
        <w:tc>
          <w:tcPr>
            <w:tcW w:w="1229" w:type="dxa"/>
            <w:tcBorders>
              <w:top w:val="nil"/>
              <w:left w:val="nil"/>
              <w:bottom w:val="single" w:sz="4" w:space="0" w:color="auto"/>
              <w:right w:val="single" w:sz="4" w:space="0" w:color="auto"/>
            </w:tcBorders>
            <w:shd w:val="clear" w:color="auto" w:fill="auto"/>
            <w:noWrap/>
            <w:vAlign w:val="center"/>
          </w:tcPr>
          <w:p w14:paraId="661F79F0" w14:textId="13648675"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1,005 </w:t>
            </w:r>
          </w:p>
        </w:tc>
        <w:tc>
          <w:tcPr>
            <w:tcW w:w="5307" w:type="dxa"/>
            <w:vMerge w:val="restart"/>
            <w:tcBorders>
              <w:top w:val="nil"/>
              <w:left w:val="single" w:sz="4" w:space="0" w:color="auto"/>
              <w:right w:val="single" w:sz="4" w:space="0" w:color="auto"/>
            </w:tcBorders>
            <w:shd w:val="clear" w:color="auto" w:fill="auto"/>
            <w:vAlign w:val="center"/>
          </w:tcPr>
          <w:p w14:paraId="6095E92B" w14:textId="2B4DFDA3" w:rsidR="004F3D65" w:rsidRPr="003E76E7" w:rsidRDefault="004F3D65" w:rsidP="00C4292D">
            <w:pPr>
              <w:spacing w:before="60" w:after="60"/>
              <w:rPr>
                <w:rFonts w:ascii="Arial" w:hAnsi="Arial"/>
                <w:sz w:val="16"/>
                <w:szCs w:val="16"/>
                <w:lang w:val="en-AU"/>
              </w:rPr>
            </w:pPr>
            <w:r w:rsidRPr="003E76E7">
              <w:rPr>
                <w:rFonts w:ascii="Arial" w:hAnsi="Arial"/>
                <w:sz w:val="16"/>
                <w:szCs w:val="16"/>
                <w:lang w:val="en-AU"/>
              </w:rPr>
              <w:t>This project will deliver 129 Redback Infantry Fighting Vehicles to replace the M113 Armoured Personnel Carrier fleet. The vehicles will be delivered across two variants</w:t>
            </w:r>
            <w:r w:rsidR="00AC78F0">
              <w:rPr>
                <w:rFonts w:ascii="Arial" w:hAnsi="Arial"/>
                <w:sz w:val="16"/>
                <w:szCs w:val="16"/>
                <w:lang w:val="en-AU"/>
              </w:rPr>
              <w:t xml:space="preserve"> in</w:t>
            </w:r>
            <w:r w:rsidRPr="003E76E7">
              <w:rPr>
                <w:rFonts w:ascii="Arial" w:hAnsi="Arial"/>
                <w:sz w:val="16"/>
                <w:szCs w:val="16"/>
                <w:lang w:val="en-AU"/>
              </w:rPr>
              <w:t xml:space="preserve"> the Infantry Fighting Role and the Command and Control/Joint Fires Role. The Infantry Fighting Vehicle will provide high levels of protection, mobility and lethality and is capable of carrying six dismounted soldiers in addition to a crew of three.</w:t>
            </w:r>
          </w:p>
          <w:p w14:paraId="721EEF8F" w14:textId="4F01F52B" w:rsidR="004F3D65" w:rsidRPr="003E76E7" w:rsidRDefault="004F3D65" w:rsidP="00C4292D">
            <w:pPr>
              <w:spacing w:before="60" w:after="60"/>
              <w:rPr>
                <w:rFonts w:ascii="Arial" w:hAnsi="Arial"/>
                <w:sz w:val="16"/>
                <w:szCs w:val="16"/>
                <w:lang w:val="en-AU"/>
              </w:rPr>
            </w:pPr>
            <w:r w:rsidRPr="003E76E7">
              <w:rPr>
                <w:rFonts w:ascii="Arial" w:hAnsi="Arial"/>
                <w:sz w:val="16"/>
                <w:szCs w:val="16"/>
                <w:lang w:val="en-AU"/>
              </w:rPr>
              <w:t>During 2026-27, the project will commence production of Redback Infantry Fighting Vehicles, including both the Infantry Fighting Role and the Comma</w:t>
            </w:r>
            <w:r w:rsidR="00AC78F0">
              <w:rPr>
                <w:rFonts w:ascii="Arial" w:hAnsi="Arial"/>
                <w:sz w:val="16"/>
                <w:szCs w:val="16"/>
                <w:lang w:val="en-AU"/>
              </w:rPr>
              <w:t>nd and Control/Joint Fires Role. It will also</w:t>
            </w:r>
            <w:r w:rsidRPr="003E76E7">
              <w:rPr>
                <w:rFonts w:ascii="Arial" w:hAnsi="Arial"/>
                <w:sz w:val="16"/>
                <w:szCs w:val="16"/>
                <w:lang w:val="en-AU"/>
              </w:rPr>
              <w:t xml:space="preserve"> continue verification and validation activities, and commence initial training courses.</w:t>
            </w:r>
          </w:p>
        </w:tc>
      </w:tr>
      <w:tr w:rsidR="004F3D65" w:rsidRPr="003E76E7" w14:paraId="21639283" w14:textId="77777777" w:rsidTr="00ED57D2">
        <w:trPr>
          <w:trHeight w:hRule="exact" w:val="1276"/>
        </w:trPr>
        <w:tc>
          <w:tcPr>
            <w:tcW w:w="1550" w:type="dxa"/>
            <w:vMerge/>
            <w:tcBorders>
              <w:left w:val="single" w:sz="4" w:space="0" w:color="auto"/>
              <w:bottom w:val="single" w:sz="4" w:space="0" w:color="auto"/>
              <w:right w:val="single" w:sz="4" w:space="0" w:color="auto"/>
            </w:tcBorders>
            <w:shd w:val="clear" w:color="auto" w:fill="auto"/>
            <w:vAlign w:val="center"/>
          </w:tcPr>
          <w:p w14:paraId="526380FC" w14:textId="77777777" w:rsidR="004F3D65" w:rsidRPr="003E76E7" w:rsidRDefault="004F3D65" w:rsidP="00C4292D">
            <w:pPr>
              <w:spacing w:after="0"/>
              <w:rPr>
                <w:rFonts w:ascii="Arial" w:hAnsi="Arial"/>
                <w:sz w:val="16"/>
                <w:szCs w:val="16"/>
              </w:rPr>
            </w:pPr>
          </w:p>
        </w:tc>
        <w:tc>
          <w:tcPr>
            <w:tcW w:w="1275" w:type="dxa"/>
            <w:vMerge/>
            <w:tcBorders>
              <w:left w:val="single" w:sz="4" w:space="0" w:color="auto"/>
              <w:bottom w:val="single" w:sz="4" w:space="0" w:color="auto"/>
              <w:right w:val="single" w:sz="4" w:space="0" w:color="auto"/>
            </w:tcBorders>
            <w:shd w:val="clear" w:color="auto" w:fill="auto"/>
            <w:vAlign w:val="center"/>
          </w:tcPr>
          <w:p w14:paraId="4E581B36" w14:textId="77777777" w:rsidR="004F3D65" w:rsidRPr="003E76E7" w:rsidRDefault="004F3D65" w:rsidP="00C4292D">
            <w:pPr>
              <w:spacing w:after="0"/>
              <w:jc w:val="center"/>
              <w:rPr>
                <w:rFonts w:ascii="Arial" w:hAnsi="Arial"/>
                <w:b/>
                <w:bCs/>
                <w:sz w:val="16"/>
                <w:szCs w:val="16"/>
              </w:rPr>
            </w:pPr>
          </w:p>
        </w:tc>
        <w:tc>
          <w:tcPr>
            <w:tcW w:w="1560" w:type="dxa"/>
            <w:tcBorders>
              <w:top w:val="nil"/>
              <w:left w:val="nil"/>
              <w:bottom w:val="single" w:sz="4" w:space="0" w:color="auto"/>
              <w:right w:val="single" w:sz="4" w:space="0" w:color="auto"/>
            </w:tcBorders>
            <w:shd w:val="clear" w:color="auto" w:fill="auto"/>
            <w:vAlign w:val="center"/>
          </w:tcPr>
          <w:p w14:paraId="2518D464" w14:textId="77777777" w:rsidR="004F3D65" w:rsidRPr="003E76E7" w:rsidRDefault="004F3D65" w:rsidP="00C4292D">
            <w:pPr>
              <w:spacing w:after="0"/>
              <w:rPr>
                <w:rFonts w:ascii="Arial" w:hAnsi="Arial"/>
                <w:sz w:val="16"/>
                <w:szCs w:val="16"/>
              </w:rPr>
            </w:pPr>
            <w:r w:rsidRPr="003E76E7">
              <w:rPr>
                <w:rFonts w:ascii="Arial" w:hAnsi="Arial"/>
                <w:sz w:val="16"/>
                <w:szCs w:val="16"/>
              </w:rPr>
              <w:t>Other Project Inputs to Capability</w:t>
            </w:r>
          </w:p>
        </w:tc>
        <w:tc>
          <w:tcPr>
            <w:tcW w:w="1228" w:type="dxa"/>
            <w:tcBorders>
              <w:top w:val="single" w:sz="4" w:space="0" w:color="auto"/>
              <w:left w:val="nil"/>
              <w:bottom w:val="single" w:sz="4" w:space="0" w:color="auto"/>
              <w:right w:val="single" w:sz="4" w:space="0" w:color="auto"/>
            </w:tcBorders>
            <w:shd w:val="clear" w:color="auto" w:fill="auto"/>
            <w:noWrap/>
            <w:vAlign w:val="center"/>
          </w:tcPr>
          <w:p w14:paraId="4498B7C6" w14:textId="781F9BAE"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392 </w:t>
            </w:r>
          </w:p>
        </w:tc>
        <w:tc>
          <w:tcPr>
            <w:tcW w:w="1228" w:type="dxa"/>
            <w:tcBorders>
              <w:top w:val="single" w:sz="4" w:space="0" w:color="auto"/>
              <w:left w:val="nil"/>
              <w:bottom w:val="single" w:sz="4" w:space="0" w:color="auto"/>
              <w:right w:val="single" w:sz="4" w:space="0" w:color="auto"/>
            </w:tcBorders>
            <w:shd w:val="clear" w:color="auto" w:fill="auto"/>
            <w:noWrap/>
            <w:vAlign w:val="center"/>
          </w:tcPr>
          <w:p w14:paraId="31CF10A8" w14:textId="0FAF10F0"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52 </w:t>
            </w:r>
          </w:p>
        </w:tc>
        <w:tc>
          <w:tcPr>
            <w:tcW w:w="1229" w:type="dxa"/>
            <w:tcBorders>
              <w:top w:val="single" w:sz="4" w:space="0" w:color="auto"/>
              <w:left w:val="nil"/>
              <w:bottom w:val="single" w:sz="4" w:space="0" w:color="auto"/>
              <w:right w:val="single" w:sz="4" w:space="0" w:color="auto"/>
            </w:tcBorders>
            <w:shd w:val="clear" w:color="auto" w:fill="auto"/>
            <w:noWrap/>
            <w:vAlign w:val="center"/>
          </w:tcPr>
          <w:p w14:paraId="6FBEBBD2" w14:textId="62198D53"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69 </w:t>
            </w:r>
          </w:p>
        </w:tc>
        <w:tc>
          <w:tcPr>
            <w:tcW w:w="5307" w:type="dxa"/>
            <w:vMerge/>
            <w:tcBorders>
              <w:left w:val="single" w:sz="4" w:space="0" w:color="auto"/>
              <w:bottom w:val="single" w:sz="4" w:space="0" w:color="auto"/>
              <w:right w:val="single" w:sz="4" w:space="0" w:color="auto"/>
            </w:tcBorders>
            <w:shd w:val="clear" w:color="auto" w:fill="auto"/>
            <w:vAlign w:val="center"/>
          </w:tcPr>
          <w:p w14:paraId="03384960" w14:textId="77777777" w:rsidR="004F3D65" w:rsidRPr="003E76E7" w:rsidRDefault="004F3D65" w:rsidP="00C4292D">
            <w:pPr>
              <w:spacing w:before="60" w:after="60"/>
              <w:rPr>
                <w:rFonts w:ascii="Arial" w:hAnsi="Arial"/>
                <w:sz w:val="16"/>
                <w:szCs w:val="16"/>
                <w:lang w:val="en-AU"/>
              </w:rPr>
            </w:pPr>
          </w:p>
        </w:tc>
      </w:tr>
      <w:tr w:rsidR="004F3D65" w:rsidRPr="003E76E7" w14:paraId="0D884B96" w14:textId="77777777" w:rsidTr="00ED57D2">
        <w:trPr>
          <w:trHeight w:hRule="exact" w:val="921"/>
        </w:trPr>
        <w:tc>
          <w:tcPr>
            <w:tcW w:w="1550" w:type="dxa"/>
            <w:vMerge w:val="restart"/>
            <w:tcBorders>
              <w:top w:val="nil"/>
              <w:left w:val="single" w:sz="4" w:space="0" w:color="auto"/>
              <w:bottom w:val="single" w:sz="4" w:space="0" w:color="000000"/>
              <w:right w:val="single" w:sz="4" w:space="0" w:color="auto"/>
            </w:tcBorders>
            <w:shd w:val="clear" w:color="auto" w:fill="auto"/>
            <w:vAlign w:val="center"/>
          </w:tcPr>
          <w:p w14:paraId="03F86CA2" w14:textId="77777777" w:rsidR="004F3D65" w:rsidRPr="003E76E7" w:rsidRDefault="004F3D65" w:rsidP="00C4292D">
            <w:pPr>
              <w:spacing w:after="0"/>
              <w:rPr>
                <w:rFonts w:ascii="Arial" w:hAnsi="Arial"/>
                <w:sz w:val="16"/>
                <w:szCs w:val="16"/>
              </w:rPr>
            </w:pPr>
            <w:r w:rsidRPr="003E76E7">
              <w:rPr>
                <w:rFonts w:ascii="Arial" w:hAnsi="Arial"/>
                <w:sz w:val="16"/>
                <w:szCs w:val="16"/>
              </w:rPr>
              <w:t>AH-64E Apache Attack Helicopter</w:t>
            </w:r>
          </w:p>
        </w:tc>
        <w:tc>
          <w:tcPr>
            <w:tcW w:w="1275" w:type="dxa"/>
            <w:vMerge w:val="restart"/>
            <w:tcBorders>
              <w:top w:val="nil"/>
              <w:left w:val="single" w:sz="4" w:space="0" w:color="auto"/>
              <w:bottom w:val="single" w:sz="4" w:space="0" w:color="000000"/>
              <w:right w:val="single" w:sz="4" w:space="0" w:color="auto"/>
            </w:tcBorders>
            <w:shd w:val="clear" w:color="auto" w:fill="auto"/>
            <w:vAlign w:val="center"/>
          </w:tcPr>
          <w:p w14:paraId="6C6C4071" w14:textId="77777777" w:rsidR="004F3D65" w:rsidRPr="003E76E7" w:rsidRDefault="004F3D65" w:rsidP="00C4292D">
            <w:pPr>
              <w:spacing w:after="0"/>
              <w:jc w:val="center"/>
              <w:rPr>
                <w:rFonts w:ascii="Arial" w:hAnsi="Arial"/>
                <w:b/>
                <w:bCs/>
                <w:sz w:val="16"/>
                <w:szCs w:val="16"/>
              </w:rPr>
            </w:pPr>
            <w:r w:rsidRPr="003E76E7">
              <w:rPr>
                <w:rFonts w:ascii="Arial" w:hAnsi="Arial"/>
                <w:b/>
                <w:bCs/>
                <w:sz w:val="16"/>
                <w:szCs w:val="16"/>
              </w:rPr>
              <w:t>LAND 4503</w:t>
            </w:r>
          </w:p>
        </w:tc>
        <w:tc>
          <w:tcPr>
            <w:tcW w:w="1560" w:type="dxa"/>
            <w:tcBorders>
              <w:top w:val="single" w:sz="4" w:space="0" w:color="auto"/>
              <w:left w:val="nil"/>
              <w:bottom w:val="single" w:sz="4" w:space="0" w:color="auto"/>
              <w:right w:val="single" w:sz="4" w:space="0" w:color="auto"/>
            </w:tcBorders>
            <w:shd w:val="clear" w:color="auto" w:fill="auto"/>
            <w:vAlign w:val="center"/>
          </w:tcPr>
          <w:p w14:paraId="0FF114BB" w14:textId="77777777" w:rsidR="004F3D65" w:rsidRPr="003E76E7" w:rsidRDefault="004F3D65" w:rsidP="00C4292D">
            <w:pPr>
              <w:spacing w:after="0"/>
              <w:rPr>
                <w:rFonts w:ascii="Arial" w:hAnsi="Arial"/>
                <w:sz w:val="16"/>
                <w:szCs w:val="16"/>
              </w:rPr>
            </w:pPr>
            <w:r w:rsidRPr="003E76E7">
              <w:rPr>
                <w:rFonts w:ascii="Arial" w:hAnsi="Arial"/>
                <w:sz w:val="16"/>
                <w:szCs w:val="16"/>
              </w:rPr>
              <w:t>Military Equipment Acquisition</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B51025" w14:textId="573721BB"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4,419 </w:t>
            </w:r>
          </w:p>
        </w:tc>
        <w:tc>
          <w:tcPr>
            <w:tcW w:w="1228" w:type="dxa"/>
            <w:tcBorders>
              <w:top w:val="single" w:sz="4" w:space="0" w:color="auto"/>
              <w:left w:val="nil"/>
              <w:bottom w:val="single" w:sz="4" w:space="0" w:color="auto"/>
              <w:right w:val="single" w:sz="4" w:space="0" w:color="auto"/>
            </w:tcBorders>
            <w:shd w:val="clear" w:color="auto" w:fill="auto"/>
            <w:noWrap/>
            <w:vAlign w:val="center"/>
          </w:tcPr>
          <w:p w14:paraId="7339167B" w14:textId="73CFAFF8"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1,507 </w:t>
            </w:r>
          </w:p>
        </w:tc>
        <w:tc>
          <w:tcPr>
            <w:tcW w:w="1229" w:type="dxa"/>
            <w:tcBorders>
              <w:top w:val="single" w:sz="4" w:space="0" w:color="auto"/>
              <w:left w:val="nil"/>
              <w:bottom w:val="single" w:sz="4" w:space="0" w:color="auto"/>
              <w:right w:val="single" w:sz="4" w:space="0" w:color="auto"/>
            </w:tcBorders>
            <w:shd w:val="clear" w:color="auto" w:fill="auto"/>
            <w:noWrap/>
            <w:vAlign w:val="center"/>
          </w:tcPr>
          <w:p w14:paraId="702071FA" w14:textId="12D8C13C"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784 </w:t>
            </w:r>
          </w:p>
        </w:tc>
        <w:tc>
          <w:tcPr>
            <w:tcW w:w="5307" w:type="dxa"/>
            <w:vMerge w:val="restart"/>
            <w:tcBorders>
              <w:top w:val="nil"/>
              <w:left w:val="single" w:sz="4" w:space="0" w:color="auto"/>
              <w:bottom w:val="single" w:sz="4" w:space="0" w:color="000000"/>
              <w:right w:val="single" w:sz="4" w:space="0" w:color="auto"/>
            </w:tcBorders>
            <w:shd w:val="clear" w:color="auto" w:fill="auto"/>
            <w:vAlign w:val="center"/>
          </w:tcPr>
          <w:p w14:paraId="27C1896B" w14:textId="4E884B0D" w:rsidR="004F3D65" w:rsidRPr="003E76E7" w:rsidRDefault="004F3D65" w:rsidP="00C4292D">
            <w:pPr>
              <w:spacing w:before="60" w:after="60"/>
              <w:rPr>
                <w:rFonts w:ascii="Arial" w:hAnsi="Arial"/>
                <w:sz w:val="16"/>
                <w:szCs w:val="16"/>
                <w:lang w:val="en-AU"/>
              </w:rPr>
            </w:pPr>
            <w:r w:rsidRPr="003E76E7">
              <w:rPr>
                <w:rFonts w:ascii="Arial" w:hAnsi="Arial"/>
                <w:sz w:val="16"/>
                <w:szCs w:val="16"/>
                <w:lang w:val="en-AU"/>
              </w:rPr>
              <w:t xml:space="preserve">This project will acquire 29 AH-64E Apache Attack Helicopters with associated training devices, spares and support through the United States Government Foreign Military Sales (FMS) program. The </w:t>
            </w:r>
            <w:r w:rsidR="009D27EF" w:rsidRPr="003E76E7">
              <w:rPr>
                <w:rFonts w:ascii="Arial" w:hAnsi="Arial"/>
                <w:sz w:val="16"/>
                <w:szCs w:val="16"/>
                <w:lang w:val="en-AU"/>
              </w:rPr>
              <w:br/>
            </w:r>
            <w:r w:rsidRPr="003E76E7">
              <w:rPr>
                <w:rFonts w:ascii="Arial" w:hAnsi="Arial"/>
                <w:sz w:val="16"/>
                <w:szCs w:val="16"/>
                <w:lang w:val="en-AU"/>
              </w:rPr>
              <w:t xml:space="preserve">AH-64E Apache is a proven and mature helicopter fleet and will </w:t>
            </w:r>
            <w:r w:rsidR="009D27EF" w:rsidRPr="003E76E7">
              <w:rPr>
                <w:rFonts w:ascii="Arial" w:hAnsi="Arial"/>
                <w:sz w:val="16"/>
                <w:szCs w:val="16"/>
                <w:lang w:val="en-AU"/>
              </w:rPr>
              <w:br/>
            </w:r>
            <w:r w:rsidRPr="003E76E7">
              <w:rPr>
                <w:rFonts w:ascii="Arial" w:hAnsi="Arial"/>
                <w:sz w:val="16"/>
                <w:szCs w:val="16"/>
                <w:lang w:val="en-AU"/>
              </w:rPr>
              <w:t>replace the Tiger Armed Reconnaissance Helicopter capability.</w:t>
            </w:r>
          </w:p>
          <w:p w14:paraId="46C1A29D" w14:textId="77777777" w:rsidR="004F3D65" w:rsidRPr="003E76E7" w:rsidRDefault="004F3D65" w:rsidP="00C4292D">
            <w:pPr>
              <w:spacing w:before="60" w:after="60"/>
              <w:rPr>
                <w:rFonts w:ascii="Arial" w:hAnsi="Arial"/>
                <w:sz w:val="16"/>
                <w:szCs w:val="16"/>
                <w:lang w:val="en-AU"/>
              </w:rPr>
            </w:pPr>
            <w:r w:rsidRPr="003E76E7">
              <w:rPr>
                <w:rFonts w:ascii="Arial" w:hAnsi="Arial"/>
                <w:sz w:val="16"/>
                <w:szCs w:val="16"/>
              </w:rPr>
              <w:t>During 2026-27, the project will deliver additional AH-64E Apache aircraft, additional training systems and an expanded support system.</w:t>
            </w:r>
          </w:p>
        </w:tc>
      </w:tr>
      <w:tr w:rsidR="004F3D65" w:rsidRPr="003E76E7" w14:paraId="39C998B2" w14:textId="77777777" w:rsidTr="00ED57D2">
        <w:trPr>
          <w:trHeight w:hRule="exact" w:val="977"/>
        </w:trPr>
        <w:tc>
          <w:tcPr>
            <w:tcW w:w="1550" w:type="dxa"/>
            <w:vMerge/>
            <w:tcBorders>
              <w:left w:val="single" w:sz="4" w:space="0" w:color="auto"/>
              <w:bottom w:val="single" w:sz="4" w:space="0" w:color="000000"/>
              <w:right w:val="single" w:sz="4" w:space="0" w:color="auto"/>
            </w:tcBorders>
            <w:shd w:val="clear" w:color="auto" w:fill="auto"/>
            <w:vAlign w:val="center"/>
          </w:tcPr>
          <w:p w14:paraId="40C87835" w14:textId="77777777" w:rsidR="004F3D65" w:rsidRPr="003E76E7" w:rsidRDefault="004F3D65" w:rsidP="00C4292D">
            <w:pPr>
              <w:spacing w:after="0"/>
              <w:rPr>
                <w:rFonts w:ascii="Arial" w:hAnsi="Arial"/>
                <w:sz w:val="16"/>
                <w:szCs w:val="16"/>
              </w:rPr>
            </w:pPr>
          </w:p>
        </w:tc>
        <w:tc>
          <w:tcPr>
            <w:tcW w:w="1275" w:type="dxa"/>
            <w:vMerge/>
            <w:tcBorders>
              <w:left w:val="single" w:sz="4" w:space="0" w:color="auto"/>
              <w:bottom w:val="single" w:sz="4" w:space="0" w:color="000000"/>
              <w:right w:val="single" w:sz="4" w:space="0" w:color="auto"/>
            </w:tcBorders>
            <w:shd w:val="clear" w:color="auto" w:fill="auto"/>
            <w:vAlign w:val="center"/>
          </w:tcPr>
          <w:p w14:paraId="65B8645D" w14:textId="77777777" w:rsidR="004F3D65" w:rsidRPr="003E76E7" w:rsidRDefault="004F3D65" w:rsidP="00C4292D">
            <w:pPr>
              <w:spacing w:after="0"/>
              <w:jc w:val="center"/>
              <w:rPr>
                <w:rFonts w:ascii="Arial" w:hAnsi="Arial"/>
                <w:b/>
                <w:bCs/>
                <w:sz w:val="16"/>
                <w:szCs w:val="16"/>
              </w:rPr>
            </w:pPr>
          </w:p>
        </w:tc>
        <w:tc>
          <w:tcPr>
            <w:tcW w:w="1560" w:type="dxa"/>
            <w:tcBorders>
              <w:top w:val="nil"/>
              <w:left w:val="nil"/>
              <w:bottom w:val="single" w:sz="4" w:space="0" w:color="auto"/>
              <w:right w:val="single" w:sz="4" w:space="0" w:color="auto"/>
            </w:tcBorders>
            <w:shd w:val="clear" w:color="auto" w:fill="auto"/>
            <w:vAlign w:val="center"/>
          </w:tcPr>
          <w:p w14:paraId="6DEF3F31" w14:textId="77777777" w:rsidR="004F3D65" w:rsidRPr="003E76E7" w:rsidRDefault="004F3D65" w:rsidP="00C4292D">
            <w:pPr>
              <w:spacing w:after="0"/>
              <w:rPr>
                <w:rFonts w:ascii="Arial" w:hAnsi="Arial"/>
                <w:sz w:val="16"/>
                <w:szCs w:val="16"/>
              </w:rPr>
            </w:pPr>
            <w:r w:rsidRPr="003E76E7">
              <w:rPr>
                <w:rFonts w:ascii="Arial" w:hAnsi="Arial"/>
                <w:sz w:val="16"/>
                <w:szCs w:val="16"/>
              </w:rPr>
              <w:t>Other Project Inputs to Capability</w:t>
            </w:r>
          </w:p>
        </w:tc>
        <w:tc>
          <w:tcPr>
            <w:tcW w:w="1228" w:type="dxa"/>
            <w:tcBorders>
              <w:top w:val="nil"/>
              <w:left w:val="single" w:sz="4" w:space="0" w:color="auto"/>
              <w:bottom w:val="single" w:sz="4" w:space="0" w:color="auto"/>
              <w:right w:val="single" w:sz="4" w:space="0" w:color="auto"/>
            </w:tcBorders>
            <w:shd w:val="clear" w:color="auto" w:fill="auto"/>
            <w:noWrap/>
            <w:vAlign w:val="center"/>
          </w:tcPr>
          <w:p w14:paraId="0E581ADD" w14:textId="2F515F68"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584 </w:t>
            </w:r>
          </w:p>
        </w:tc>
        <w:tc>
          <w:tcPr>
            <w:tcW w:w="1228" w:type="dxa"/>
            <w:tcBorders>
              <w:top w:val="nil"/>
              <w:left w:val="nil"/>
              <w:bottom w:val="single" w:sz="4" w:space="0" w:color="auto"/>
              <w:right w:val="single" w:sz="4" w:space="0" w:color="auto"/>
            </w:tcBorders>
            <w:shd w:val="clear" w:color="auto" w:fill="auto"/>
            <w:noWrap/>
            <w:vAlign w:val="center"/>
          </w:tcPr>
          <w:p w14:paraId="650B3EAA" w14:textId="57CC0F62"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154 </w:t>
            </w:r>
          </w:p>
        </w:tc>
        <w:tc>
          <w:tcPr>
            <w:tcW w:w="1229" w:type="dxa"/>
            <w:tcBorders>
              <w:top w:val="nil"/>
              <w:left w:val="nil"/>
              <w:bottom w:val="single" w:sz="4" w:space="0" w:color="auto"/>
              <w:right w:val="single" w:sz="4" w:space="0" w:color="auto"/>
            </w:tcBorders>
            <w:shd w:val="clear" w:color="auto" w:fill="auto"/>
            <w:noWrap/>
            <w:vAlign w:val="center"/>
          </w:tcPr>
          <w:p w14:paraId="7B6FEA4D" w14:textId="6B4EBB88"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157 </w:t>
            </w:r>
          </w:p>
        </w:tc>
        <w:tc>
          <w:tcPr>
            <w:tcW w:w="5307" w:type="dxa"/>
            <w:vMerge/>
            <w:tcBorders>
              <w:left w:val="single" w:sz="4" w:space="0" w:color="auto"/>
              <w:bottom w:val="single" w:sz="4" w:space="0" w:color="000000"/>
              <w:right w:val="single" w:sz="4" w:space="0" w:color="auto"/>
            </w:tcBorders>
            <w:shd w:val="clear" w:color="auto" w:fill="auto"/>
            <w:vAlign w:val="center"/>
          </w:tcPr>
          <w:p w14:paraId="0F7C976B" w14:textId="77777777" w:rsidR="004F3D65" w:rsidRPr="003E76E7" w:rsidRDefault="004F3D65" w:rsidP="00C4292D">
            <w:pPr>
              <w:spacing w:before="60" w:after="60"/>
              <w:rPr>
                <w:rFonts w:ascii="Arial" w:hAnsi="Arial"/>
                <w:sz w:val="16"/>
                <w:szCs w:val="16"/>
                <w:lang w:val="en-AU"/>
              </w:rPr>
            </w:pPr>
          </w:p>
        </w:tc>
      </w:tr>
    </w:tbl>
    <w:p w14:paraId="05F3C0AE" w14:textId="77777777" w:rsidR="004F3D65" w:rsidRPr="003E76E7" w:rsidRDefault="004F3D65" w:rsidP="00C4292D">
      <w:pPr>
        <w:pStyle w:val="BodyText"/>
        <w:rPr>
          <w:rFonts w:ascii="Arial" w:hAnsi="Arial"/>
          <w:b/>
        </w:rPr>
      </w:pPr>
      <w:r w:rsidRPr="003E76E7">
        <w:rPr>
          <w:rFonts w:ascii="Arial" w:hAnsi="Arial"/>
          <w:b/>
        </w:rPr>
        <w:lastRenderedPageBreak/>
        <w:t>Table 54: Top 30 Military Equipment Acquisition Program Approved Projects by 2026-27 Forecast Expenditure (Gross Plan) (Continued)</w:t>
      </w:r>
      <w:r w:rsidRPr="003E76E7">
        <w:rPr>
          <w:rFonts w:ascii="Arial" w:hAnsi="Arial"/>
          <w:b/>
          <w:vertAlign w:val="superscript"/>
        </w:rPr>
        <w:t xml:space="preserve"> [a][b][c]</w:t>
      </w:r>
    </w:p>
    <w:tbl>
      <w:tblPr>
        <w:tblW w:w="4981" w:type="pct"/>
        <w:tblInd w:w="5" w:type="dxa"/>
        <w:tblLayout w:type="fixed"/>
        <w:tblLook w:val="04A0" w:firstRow="1" w:lastRow="0" w:firstColumn="1" w:lastColumn="0" w:noHBand="0" w:noVBand="1"/>
      </w:tblPr>
      <w:tblGrid>
        <w:gridCol w:w="1550"/>
        <w:gridCol w:w="1275"/>
        <w:gridCol w:w="1560"/>
        <w:gridCol w:w="1228"/>
        <w:gridCol w:w="1228"/>
        <w:gridCol w:w="1229"/>
        <w:gridCol w:w="5307"/>
      </w:tblGrid>
      <w:tr w:rsidR="004F3D65" w:rsidRPr="003E76E7" w14:paraId="302F80DE" w14:textId="77777777" w:rsidTr="00ED57D2">
        <w:trPr>
          <w:trHeight w:hRule="exact" w:val="1108"/>
        </w:trPr>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733388C8" w14:textId="77777777" w:rsidR="004F3D65" w:rsidRPr="003E76E7" w:rsidRDefault="004F3D65" w:rsidP="00ED57D2">
            <w:pPr>
              <w:spacing w:before="0" w:after="0"/>
              <w:rPr>
                <w:rFonts w:ascii="Arial" w:hAnsi="Arial"/>
                <w:sz w:val="16"/>
                <w:szCs w:val="16"/>
                <w:lang w:val="en-AU"/>
              </w:rPr>
            </w:pPr>
            <w:r w:rsidRPr="003E76E7">
              <w:rPr>
                <w:rFonts w:ascii="Arial" w:hAnsi="Arial"/>
                <w:b/>
                <w:bCs/>
                <w:sz w:val="16"/>
                <w:szCs w:val="16"/>
              </w:rPr>
              <w:t>Domain/Project Name</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B135BFE" w14:textId="77777777" w:rsidR="004F3D65" w:rsidRPr="003E76E7" w:rsidRDefault="004F3D65" w:rsidP="00ED57D2">
            <w:pPr>
              <w:spacing w:before="0" w:after="0"/>
              <w:jc w:val="center"/>
              <w:rPr>
                <w:rFonts w:ascii="Arial" w:hAnsi="Arial"/>
                <w:b/>
                <w:bCs/>
                <w:sz w:val="16"/>
                <w:szCs w:val="16"/>
                <w:lang w:val="en-AU"/>
              </w:rPr>
            </w:pPr>
            <w:r w:rsidRPr="003E76E7">
              <w:rPr>
                <w:rFonts w:ascii="Arial" w:hAnsi="Arial"/>
                <w:b/>
                <w:bCs/>
                <w:sz w:val="16"/>
                <w:szCs w:val="16"/>
              </w:rPr>
              <w:t>Project Number/</w:t>
            </w:r>
            <w:r w:rsidRPr="003E76E7">
              <w:rPr>
                <w:rFonts w:ascii="Arial" w:hAnsi="Arial"/>
                <w:b/>
                <w:bCs/>
                <w:sz w:val="16"/>
                <w:szCs w:val="16"/>
              </w:rPr>
              <w:br/>
              <w:t>Phase</w:t>
            </w:r>
          </w:p>
        </w:tc>
        <w:tc>
          <w:tcPr>
            <w:tcW w:w="1560" w:type="dxa"/>
            <w:tcBorders>
              <w:top w:val="single" w:sz="4" w:space="0" w:color="auto"/>
              <w:left w:val="nil"/>
              <w:bottom w:val="single" w:sz="4" w:space="0" w:color="auto"/>
              <w:right w:val="single" w:sz="4" w:space="0" w:color="auto"/>
            </w:tcBorders>
            <w:shd w:val="clear" w:color="auto" w:fill="auto"/>
            <w:vAlign w:val="center"/>
          </w:tcPr>
          <w:p w14:paraId="50BCD226" w14:textId="77777777" w:rsidR="004F3D65" w:rsidRPr="003E76E7" w:rsidRDefault="004F3D65" w:rsidP="00ED57D2">
            <w:pPr>
              <w:spacing w:before="0" w:after="0"/>
              <w:rPr>
                <w:rFonts w:ascii="Arial" w:hAnsi="Arial"/>
                <w:sz w:val="16"/>
                <w:szCs w:val="16"/>
              </w:rPr>
            </w:pPr>
            <w:r w:rsidRPr="003E76E7">
              <w:rPr>
                <w:rFonts w:ascii="Arial" w:hAnsi="Arial"/>
                <w:b/>
                <w:bCs/>
                <w:sz w:val="16"/>
                <w:szCs w:val="16"/>
              </w:rPr>
              <w:t>Project Inputs to Capability</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D6E274" w14:textId="77777777" w:rsidR="004F3D65" w:rsidRPr="003E76E7" w:rsidRDefault="004F3D65" w:rsidP="00ED57D2">
            <w:pPr>
              <w:spacing w:before="0" w:after="0"/>
              <w:jc w:val="right"/>
              <w:rPr>
                <w:rFonts w:ascii="Arial" w:hAnsi="Arial"/>
                <w:b/>
                <w:bCs/>
                <w:sz w:val="16"/>
                <w:szCs w:val="16"/>
              </w:rPr>
            </w:pPr>
            <w:r w:rsidRPr="003E76E7">
              <w:rPr>
                <w:rFonts w:ascii="Arial" w:hAnsi="Arial"/>
                <w:b/>
                <w:bCs/>
                <w:sz w:val="16"/>
                <w:szCs w:val="16"/>
              </w:rPr>
              <w:t>Approved Project Expenditure</w:t>
            </w:r>
          </w:p>
          <w:p w14:paraId="2CBA7680" w14:textId="77777777" w:rsidR="004F3D65" w:rsidRPr="003E76E7" w:rsidRDefault="004F3D65" w:rsidP="00ED57D2">
            <w:pPr>
              <w:spacing w:before="0" w:after="0"/>
              <w:jc w:val="right"/>
              <w:rPr>
                <w:rFonts w:ascii="Arial" w:hAnsi="Arial"/>
                <w:b/>
                <w:bCs/>
                <w:sz w:val="16"/>
                <w:szCs w:val="16"/>
              </w:rPr>
            </w:pPr>
          </w:p>
          <w:p w14:paraId="0860D7CF" w14:textId="77777777" w:rsidR="004F3D65" w:rsidRPr="003E76E7" w:rsidRDefault="004F3D65" w:rsidP="00ED57D2">
            <w:pPr>
              <w:spacing w:before="0" w:after="0"/>
              <w:jc w:val="right"/>
              <w:rPr>
                <w:rFonts w:ascii="Arial" w:hAnsi="Arial"/>
                <w:sz w:val="16"/>
                <w:szCs w:val="16"/>
              </w:rPr>
            </w:pPr>
            <w:r w:rsidRPr="003E76E7">
              <w:rPr>
                <w:rFonts w:ascii="Arial" w:hAnsi="Arial"/>
                <w:b/>
                <w:bCs/>
                <w:sz w:val="16"/>
                <w:szCs w:val="16"/>
              </w:rPr>
              <w:t xml:space="preserve"> $m</w:t>
            </w:r>
          </w:p>
        </w:tc>
        <w:tc>
          <w:tcPr>
            <w:tcW w:w="1228" w:type="dxa"/>
            <w:tcBorders>
              <w:top w:val="single" w:sz="4" w:space="0" w:color="auto"/>
              <w:left w:val="nil"/>
              <w:bottom w:val="single" w:sz="4" w:space="0" w:color="auto"/>
              <w:right w:val="single" w:sz="4" w:space="0" w:color="auto"/>
            </w:tcBorders>
            <w:shd w:val="clear" w:color="auto" w:fill="auto"/>
            <w:noWrap/>
            <w:vAlign w:val="bottom"/>
          </w:tcPr>
          <w:p w14:paraId="038659CE" w14:textId="77777777" w:rsidR="00ED57D2" w:rsidRPr="003E76E7" w:rsidRDefault="00ED57D2" w:rsidP="00ED57D2">
            <w:pPr>
              <w:spacing w:before="0" w:after="0"/>
              <w:jc w:val="right"/>
              <w:rPr>
                <w:rFonts w:ascii="Arial" w:hAnsi="Arial"/>
                <w:b/>
                <w:bCs/>
                <w:sz w:val="16"/>
                <w:szCs w:val="16"/>
              </w:rPr>
            </w:pPr>
            <w:r w:rsidRPr="003E76E7">
              <w:rPr>
                <w:rFonts w:ascii="Arial" w:hAnsi="Arial"/>
                <w:b/>
                <w:bCs/>
                <w:sz w:val="16"/>
                <w:szCs w:val="16"/>
              </w:rPr>
              <w:t>Estimated Cumulative Expenditure to 30 June 2026</w:t>
            </w:r>
          </w:p>
          <w:p w14:paraId="70846364" w14:textId="542FE8BC" w:rsidR="004F3D65" w:rsidRPr="003E76E7" w:rsidRDefault="00ED57D2" w:rsidP="00ED57D2">
            <w:pPr>
              <w:spacing w:before="0" w:after="0"/>
              <w:jc w:val="right"/>
              <w:rPr>
                <w:rFonts w:ascii="Arial" w:hAnsi="Arial"/>
                <w:sz w:val="16"/>
                <w:szCs w:val="16"/>
              </w:rPr>
            </w:pPr>
            <w:r w:rsidRPr="003E76E7">
              <w:rPr>
                <w:rFonts w:ascii="Arial" w:hAnsi="Arial"/>
                <w:b/>
                <w:bCs/>
                <w:sz w:val="16"/>
                <w:szCs w:val="16"/>
              </w:rPr>
              <w:t xml:space="preserve"> $m</w:t>
            </w:r>
          </w:p>
        </w:tc>
        <w:tc>
          <w:tcPr>
            <w:tcW w:w="1229" w:type="dxa"/>
            <w:tcBorders>
              <w:top w:val="single" w:sz="4" w:space="0" w:color="auto"/>
              <w:left w:val="nil"/>
              <w:bottom w:val="single" w:sz="4" w:space="0" w:color="auto"/>
              <w:right w:val="single" w:sz="4" w:space="0" w:color="auto"/>
            </w:tcBorders>
            <w:shd w:val="clear" w:color="auto" w:fill="auto"/>
            <w:noWrap/>
            <w:vAlign w:val="bottom"/>
          </w:tcPr>
          <w:p w14:paraId="21E5EBF7" w14:textId="77777777" w:rsidR="004F3D65" w:rsidRPr="003E76E7" w:rsidRDefault="004F3D65" w:rsidP="00ED57D2">
            <w:pPr>
              <w:spacing w:before="0" w:after="0"/>
              <w:jc w:val="right"/>
              <w:rPr>
                <w:rFonts w:ascii="Arial" w:hAnsi="Arial"/>
                <w:b/>
                <w:bCs/>
                <w:sz w:val="16"/>
                <w:szCs w:val="16"/>
              </w:rPr>
            </w:pPr>
            <w:r w:rsidRPr="003E76E7">
              <w:rPr>
                <w:rFonts w:ascii="Arial" w:hAnsi="Arial"/>
                <w:b/>
                <w:bCs/>
                <w:sz w:val="16"/>
                <w:szCs w:val="16"/>
              </w:rPr>
              <w:t xml:space="preserve">Budget Estimate 2026-27 </w:t>
            </w:r>
          </w:p>
          <w:p w14:paraId="0C9A274B" w14:textId="77777777" w:rsidR="004F3D65" w:rsidRPr="003E76E7" w:rsidRDefault="004F3D65" w:rsidP="00ED57D2">
            <w:pPr>
              <w:spacing w:before="0" w:after="0"/>
              <w:jc w:val="right"/>
              <w:rPr>
                <w:rFonts w:ascii="Arial" w:hAnsi="Arial"/>
                <w:b/>
                <w:bCs/>
                <w:sz w:val="16"/>
                <w:szCs w:val="16"/>
              </w:rPr>
            </w:pPr>
          </w:p>
          <w:p w14:paraId="10E22371" w14:textId="77777777" w:rsidR="004F3D65" w:rsidRPr="003E76E7" w:rsidRDefault="004F3D65" w:rsidP="00ED57D2">
            <w:pPr>
              <w:spacing w:before="0" w:after="0"/>
              <w:jc w:val="right"/>
              <w:rPr>
                <w:rFonts w:ascii="Arial" w:hAnsi="Arial"/>
                <w:sz w:val="16"/>
                <w:szCs w:val="16"/>
              </w:rPr>
            </w:pPr>
            <w:r w:rsidRPr="003E76E7">
              <w:rPr>
                <w:rFonts w:ascii="Arial" w:hAnsi="Arial"/>
                <w:b/>
                <w:bCs/>
                <w:sz w:val="16"/>
                <w:szCs w:val="16"/>
              </w:rPr>
              <w:t>$m</w:t>
            </w:r>
          </w:p>
        </w:tc>
        <w:tc>
          <w:tcPr>
            <w:tcW w:w="5307" w:type="dxa"/>
            <w:tcBorders>
              <w:top w:val="single" w:sz="4" w:space="0" w:color="auto"/>
              <w:left w:val="single" w:sz="4" w:space="0" w:color="auto"/>
              <w:bottom w:val="single" w:sz="4" w:space="0" w:color="auto"/>
              <w:right w:val="single" w:sz="4" w:space="0" w:color="auto"/>
            </w:tcBorders>
            <w:shd w:val="clear" w:color="auto" w:fill="auto"/>
            <w:vAlign w:val="center"/>
          </w:tcPr>
          <w:p w14:paraId="4E766C8F" w14:textId="77777777" w:rsidR="004F3D65" w:rsidRPr="003E76E7" w:rsidRDefault="004F3D65" w:rsidP="00ED57D2">
            <w:pPr>
              <w:pStyle w:val="CommentText"/>
              <w:rPr>
                <w:rFonts w:ascii="Arial" w:hAnsi="Arial"/>
                <w:sz w:val="16"/>
                <w:szCs w:val="16"/>
              </w:rPr>
            </w:pPr>
            <w:r w:rsidRPr="003E76E7">
              <w:rPr>
                <w:rFonts w:ascii="Arial" w:hAnsi="Arial"/>
                <w:b/>
                <w:bCs/>
                <w:sz w:val="16"/>
                <w:szCs w:val="16"/>
              </w:rPr>
              <w:t>Top 30 Military Equipment Acquisition Project Descriptions</w:t>
            </w:r>
          </w:p>
        </w:tc>
      </w:tr>
      <w:tr w:rsidR="004F3D65" w:rsidRPr="003E76E7" w14:paraId="386B06BE" w14:textId="77777777" w:rsidTr="00ED57D2">
        <w:trPr>
          <w:trHeight w:hRule="exact" w:val="355"/>
        </w:trPr>
        <w:tc>
          <w:tcPr>
            <w:tcW w:w="13377" w:type="dxa"/>
            <w:gridSpan w:val="7"/>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96F931A" w14:textId="77777777" w:rsidR="004F3D65" w:rsidRPr="003E76E7" w:rsidRDefault="004F3D65" w:rsidP="00C4292D">
            <w:pPr>
              <w:pStyle w:val="CommentText"/>
              <w:rPr>
                <w:rFonts w:ascii="Arial" w:hAnsi="Arial"/>
                <w:b/>
                <w:bCs/>
                <w:sz w:val="16"/>
                <w:szCs w:val="16"/>
              </w:rPr>
            </w:pPr>
            <w:r w:rsidRPr="003E76E7">
              <w:rPr>
                <w:rFonts w:ascii="Arial" w:hAnsi="Arial"/>
                <w:b/>
                <w:bCs/>
                <w:sz w:val="16"/>
                <w:szCs w:val="16"/>
              </w:rPr>
              <w:t>Land Domain (Continued)</w:t>
            </w:r>
          </w:p>
        </w:tc>
      </w:tr>
      <w:tr w:rsidR="004F3D65" w:rsidRPr="003E76E7" w14:paraId="7D971A52" w14:textId="77777777" w:rsidTr="00ED57D2">
        <w:trPr>
          <w:trHeight w:hRule="exact" w:val="1422"/>
        </w:trPr>
        <w:tc>
          <w:tcPr>
            <w:tcW w:w="15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CEE66A2" w14:textId="77777777" w:rsidR="004F3D65" w:rsidRPr="003E76E7" w:rsidRDefault="004F3D65" w:rsidP="00C4292D">
            <w:pPr>
              <w:spacing w:after="0"/>
              <w:rPr>
                <w:rFonts w:ascii="Arial" w:hAnsi="Arial"/>
                <w:sz w:val="16"/>
                <w:szCs w:val="16"/>
              </w:rPr>
            </w:pPr>
            <w:r w:rsidRPr="003E76E7">
              <w:rPr>
                <w:rFonts w:ascii="Arial" w:hAnsi="Arial"/>
                <w:sz w:val="16"/>
                <w:szCs w:val="16"/>
              </w:rPr>
              <w:t>Boxer Combat Reconnaissance Vehicles</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0E45D38" w14:textId="77777777" w:rsidR="004F3D65" w:rsidRPr="003E76E7" w:rsidRDefault="004F3D65" w:rsidP="00C4292D">
            <w:pPr>
              <w:spacing w:after="0"/>
              <w:jc w:val="center"/>
              <w:rPr>
                <w:rFonts w:ascii="Arial" w:hAnsi="Arial"/>
                <w:b/>
                <w:bCs/>
                <w:sz w:val="16"/>
                <w:szCs w:val="16"/>
              </w:rPr>
            </w:pPr>
            <w:r w:rsidRPr="003E76E7">
              <w:rPr>
                <w:rFonts w:ascii="Arial" w:hAnsi="Arial"/>
                <w:b/>
                <w:bCs/>
                <w:sz w:val="16"/>
                <w:szCs w:val="16"/>
              </w:rPr>
              <w:t>LAND 400 Phase 2</w:t>
            </w:r>
          </w:p>
        </w:tc>
        <w:tc>
          <w:tcPr>
            <w:tcW w:w="1560" w:type="dxa"/>
            <w:tcBorders>
              <w:top w:val="single" w:sz="4" w:space="0" w:color="auto"/>
              <w:left w:val="nil"/>
              <w:bottom w:val="single" w:sz="4" w:space="0" w:color="auto"/>
              <w:right w:val="single" w:sz="4" w:space="0" w:color="auto"/>
            </w:tcBorders>
            <w:shd w:val="clear" w:color="auto" w:fill="auto"/>
            <w:vAlign w:val="center"/>
          </w:tcPr>
          <w:p w14:paraId="33D91DAA" w14:textId="77777777" w:rsidR="004F3D65" w:rsidRPr="003E76E7" w:rsidRDefault="004F3D65" w:rsidP="00C4292D">
            <w:pPr>
              <w:spacing w:after="0"/>
              <w:rPr>
                <w:rFonts w:ascii="Arial" w:hAnsi="Arial"/>
                <w:sz w:val="16"/>
                <w:szCs w:val="16"/>
              </w:rPr>
            </w:pPr>
            <w:r w:rsidRPr="003E76E7">
              <w:rPr>
                <w:rFonts w:ascii="Arial" w:hAnsi="Arial"/>
                <w:sz w:val="16"/>
                <w:szCs w:val="16"/>
              </w:rPr>
              <w:t>Military Equipment Acquisition</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53C0F3" w14:textId="40EC9769"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5,814 </w:t>
            </w:r>
          </w:p>
        </w:tc>
        <w:tc>
          <w:tcPr>
            <w:tcW w:w="1228" w:type="dxa"/>
            <w:tcBorders>
              <w:top w:val="single" w:sz="4" w:space="0" w:color="auto"/>
              <w:left w:val="nil"/>
              <w:bottom w:val="single" w:sz="4" w:space="0" w:color="auto"/>
              <w:right w:val="single" w:sz="4" w:space="0" w:color="auto"/>
            </w:tcBorders>
            <w:shd w:val="clear" w:color="auto" w:fill="auto"/>
            <w:noWrap/>
            <w:vAlign w:val="center"/>
          </w:tcPr>
          <w:p w14:paraId="471DFAFA" w14:textId="6E99435B"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3,559 </w:t>
            </w:r>
          </w:p>
        </w:tc>
        <w:tc>
          <w:tcPr>
            <w:tcW w:w="1229" w:type="dxa"/>
            <w:tcBorders>
              <w:top w:val="single" w:sz="4" w:space="0" w:color="auto"/>
              <w:left w:val="nil"/>
              <w:bottom w:val="single" w:sz="4" w:space="0" w:color="auto"/>
              <w:right w:val="single" w:sz="4" w:space="0" w:color="auto"/>
            </w:tcBorders>
            <w:shd w:val="clear" w:color="auto" w:fill="auto"/>
            <w:noWrap/>
            <w:vAlign w:val="center"/>
          </w:tcPr>
          <w:p w14:paraId="64321459" w14:textId="1727126E"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645 </w:t>
            </w:r>
          </w:p>
        </w:tc>
        <w:tc>
          <w:tcPr>
            <w:tcW w:w="530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3EE03BE" w14:textId="77777777" w:rsidR="00A5119F" w:rsidRPr="003E76E7" w:rsidRDefault="00A5119F" w:rsidP="00A5119F">
            <w:pPr>
              <w:spacing w:before="60" w:after="60"/>
              <w:rPr>
                <w:rFonts w:ascii="Arial" w:hAnsi="Arial"/>
                <w:sz w:val="16"/>
                <w:szCs w:val="16"/>
                <w:lang w:val="en-AU"/>
              </w:rPr>
            </w:pPr>
            <w:r w:rsidRPr="003E76E7">
              <w:rPr>
                <w:rFonts w:ascii="Arial" w:hAnsi="Arial"/>
                <w:sz w:val="16"/>
                <w:szCs w:val="16"/>
                <w:lang w:val="en-AU"/>
              </w:rPr>
              <w:t xml:space="preserve">This project will deliver 211 Boxer 8x8 Combat Reconnaissance Vehicles for Reconnaissance, Joint Fires and Surveillance, </w:t>
            </w:r>
            <w:r w:rsidRPr="003E76E7">
              <w:rPr>
                <w:rFonts w:ascii="Arial" w:hAnsi="Arial"/>
                <w:sz w:val="16"/>
                <w:szCs w:val="16"/>
                <w:lang w:val="en-AU"/>
              </w:rPr>
              <w:br/>
              <w:t>Multi-Purpose, Command, Repair and Recovery roles</w:t>
            </w:r>
            <w:r>
              <w:rPr>
                <w:rFonts w:ascii="Arial" w:hAnsi="Arial"/>
                <w:sz w:val="16"/>
                <w:szCs w:val="16"/>
                <w:lang w:val="en-AU"/>
              </w:rPr>
              <w:t>. It will also</w:t>
            </w:r>
            <w:r w:rsidRPr="003E76E7">
              <w:rPr>
                <w:rFonts w:ascii="Arial" w:hAnsi="Arial"/>
                <w:sz w:val="16"/>
                <w:szCs w:val="16"/>
                <w:lang w:val="en-AU"/>
              </w:rPr>
              <w:t xml:space="preserve"> </w:t>
            </w:r>
            <w:r w:rsidRPr="003E76E7">
              <w:rPr>
                <w:rFonts w:ascii="Arial" w:hAnsi="Arial"/>
                <w:sz w:val="16"/>
                <w:szCs w:val="16"/>
                <w:lang w:val="en-AU"/>
              </w:rPr>
              <w:br/>
              <w:t>acquire 12 additional Mission Modules. The vehicles will replace the Australian Defence Force’s current combat reconnaissance vehicle capability, the Australian Light Armoured Vehicle. The primary role of the vehicles will be to perform ground-based reconnaissance and counter-reconnaissance activities. The additional Mission Modules will enable the rapid re-role from one variant to another.</w:t>
            </w:r>
          </w:p>
          <w:p w14:paraId="67568772" w14:textId="77777777" w:rsidR="004F3D65" w:rsidRPr="003E76E7" w:rsidRDefault="004F3D65" w:rsidP="00C4292D">
            <w:pPr>
              <w:keepNext/>
              <w:keepLines/>
              <w:spacing w:before="60" w:after="60"/>
              <w:rPr>
                <w:rFonts w:ascii="Arial" w:hAnsi="Arial"/>
                <w:sz w:val="16"/>
                <w:szCs w:val="16"/>
              </w:rPr>
            </w:pPr>
            <w:r w:rsidRPr="003E76E7">
              <w:rPr>
                <w:rFonts w:ascii="Arial" w:hAnsi="Arial"/>
                <w:sz w:val="16"/>
                <w:szCs w:val="16"/>
                <w:lang w:val="en-AU"/>
              </w:rPr>
              <w:t>During 2026-27, the project will continue to deliver the Block II Reconnaissance turreted variant, including delivery of the series of Australian-built vehicles. Prototype production and acceptance testing for the non-turreted Joint Fires and Surveillance, Command and Recovery variants will occur. Delivery of Simulation and Training Equipment will also commence.</w:t>
            </w:r>
          </w:p>
        </w:tc>
      </w:tr>
      <w:tr w:rsidR="004F3D65" w:rsidRPr="003E76E7" w14:paraId="5E37B115" w14:textId="77777777" w:rsidTr="00ED57D2">
        <w:trPr>
          <w:trHeight w:hRule="exact" w:val="1555"/>
        </w:trPr>
        <w:tc>
          <w:tcPr>
            <w:tcW w:w="1550" w:type="dxa"/>
            <w:vMerge/>
            <w:tcBorders>
              <w:left w:val="single" w:sz="4" w:space="0" w:color="auto"/>
              <w:bottom w:val="single" w:sz="4" w:space="0" w:color="auto"/>
              <w:right w:val="single" w:sz="4" w:space="0" w:color="auto"/>
            </w:tcBorders>
            <w:shd w:val="clear" w:color="auto" w:fill="auto"/>
            <w:vAlign w:val="center"/>
          </w:tcPr>
          <w:p w14:paraId="28D9A9EF" w14:textId="77777777" w:rsidR="004F3D65" w:rsidRPr="003E76E7" w:rsidRDefault="004F3D65" w:rsidP="00C4292D">
            <w:pPr>
              <w:spacing w:after="0"/>
              <w:rPr>
                <w:rFonts w:ascii="Arial" w:hAnsi="Arial"/>
                <w:sz w:val="16"/>
                <w:szCs w:val="16"/>
              </w:rPr>
            </w:pPr>
          </w:p>
        </w:tc>
        <w:tc>
          <w:tcPr>
            <w:tcW w:w="1275" w:type="dxa"/>
            <w:vMerge/>
            <w:tcBorders>
              <w:left w:val="single" w:sz="4" w:space="0" w:color="auto"/>
              <w:bottom w:val="single" w:sz="4" w:space="0" w:color="auto"/>
              <w:right w:val="single" w:sz="4" w:space="0" w:color="auto"/>
            </w:tcBorders>
            <w:shd w:val="clear" w:color="auto" w:fill="auto"/>
            <w:vAlign w:val="center"/>
          </w:tcPr>
          <w:p w14:paraId="41591043" w14:textId="77777777" w:rsidR="004F3D65" w:rsidRPr="003E76E7" w:rsidRDefault="004F3D65" w:rsidP="00C4292D">
            <w:pPr>
              <w:spacing w:after="0"/>
              <w:jc w:val="center"/>
              <w:rPr>
                <w:rFonts w:ascii="Arial" w:hAnsi="Arial"/>
                <w:b/>
                <w:bCs/>
                <w:sz w:val="16"/>
                <w:szCs w:val="16"/>
              </w:rPr>
            </w:pPr>
          </w:p>
        </w:tc>
        <w:tc>
          <w:tcPr>
            <w:tcW w:w="1560" w:type="dxa"/>
            <w:tcBorders>
              <w:top w:val="single" w:sz="4" w:space="0" w:color="auto"/>
              <w:left w:val="nil"/>
              <w:bottom w:val="single" w:sz="4" w:space="0" w:color="auto"/>
              <w:right w:val="single" w:sz="4" w:space="0" w:color="auto"/>
            </w:tcBorders>
            <w:shd w:val="clear" w:color="auto" w:fill="auto"/>
            <w:vAlign w:val="center"/>
          </w:tcPr>
          <w:p w14:paraId="10D1BD66" w14:textId="77777777" w:rsidR="004F3D65" w:rsidRPr="003E76E7" w:rsidRDefault="004F3D65" w:rsidP="00C4292D">
            <w:pPr>
              <w:spacing w:after="0"/>
              <w:rPr>
                <w:rFonts w:ascii="Arial" w:hAnsi="Arial"/>
                <w:sz w:val="16"/>
                <w:szCs w:val="16"/>
              </w:rPr>
            </w:pPr>
            <w:r w:rsidRPr="003E76E7">
              <w:rPr>
                <w:rFonts w:ascii="Arial" w:hAnsi="Arial"/>
                <w:sz w:val="16"/>
                <w:szCs w:val="16"/>
              </w:rPr>
              <w:t>Other Project Inputs to Capability</w:t>
            </w:r>
          </w:p>
        </w:tc>
        <w:tc>
          <w:tcPr>
            <w:tcW w:w="1228" w:type="dxa"/>
            <w:tcBorders>
              <w:top w:val="nil"/>
              <w:left w:val="single" w:sz="4" w:space="0" w:color="auto"/>
              <w:bottom w:val="single" w:sz="4" w:space="0" w:color="auto"/>
              <w:right w:val="single" w:sz="4" w:space="0" w:color="auto"/>
            </w:tcBorders>
            <w:shd w:val="clear" w:color="auto" w:fill="auto"/>
            <w:noWrap/>
            <w:vAlign w:val="center"/>
          </w:tcPr>
          <w:p w14:paraId="595BAA79" w14:textId="7A5947B3"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124 </w:t>
            </w:r>
          </w:p>
        </w:tc>
        <w:tc>
          <w:tcPr>
            <w:tcW w:w="1228" w:type="dxa"/>
            <w:tcBorders>
              <w:top w:val="nil"/>
              <w:left w:val="nil"/>
              <w:bottom w:val="single" w:sz="4" w:space="0" w:color="auto"/>
              <w:right w:val="single" w:sz="4" w:space="0" w:color="auto"/>
            </w:tcBorders>
            <w:shd w:val="clear" w:color="auto" w:fill="auto"/>
            <w:noWrap/>
            <w:vAlign w:val="center"/>
          </w:tcPr>
          <w:p w14:paraId="2CA7DB8B" w14:textId="2A48621A"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86 </w:t>
            </w:r>
          </w:p>
        </w:tc>
        <w:tc>
          <w:tcPr>
            <w:tcW w:w="1229" w:type="dxa"/>
            <w:tcBorders>
              <w:top w:val="nil"/>
              <w:left w:val="nil"/>
              <w:bottom w:val="single" w:sz="4" w:space="0" w:color="auto"/>
              <w:right w:val="single" w:sz="4" w:space="0" w:color="auto"/>
            </w:tcBorders>
            <w:shd w:val="clear" w:color="auto" w:fill="auto"/>
            <w:noWrap/>
            <w:vAlign w:val="center"/>
          </w:tcPr>
          <w:p w14:paraId="3E9E3970" w14:textId="188C52A2"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0 </w:t>
            </w:r>
          </w:p>
        </w:tc>
        <w:tc>
          <w:tcPr>
            <w:tcW w:w="5307" w:type="dxa"/>
            <w:vMerge/>
            <w:tcBorders>
              <w:left w:val="single" w:sz="4" w:space="0" w:color="auto"/>
              <w:bottom w:val="single" w:sz="4" w:space="0" w:color="auto"/>
              <w:right w:val="single" w:sz="4" w:space="0" w:color="auto"/>
            </w:tcBorders>
            <w:shd w:val="clear" w:color="auto" w:fill="auto"/>
          </w:tcPr>
          <w:p w14:paraId="570E64A3" w14:textId="77777777" w:rsidR="004F3D65" w:rsidRPr="003E76E7" w:rsidRDefault="004F3D65" w:rsidP="00C4292D">
            <w:pPr>
              <w:keepNext/>
              <w:keepLines/>
              <w:spacing w:before="60" w:after="60"/>
              <w:rPr>
                <w:rFonts w:ascii="Arial" w:hAnsi="Arial"/>
                <w:sz w:val="16"/>
                <w:szCs w:val="16"/>
              </w:rPr>
            </w:pPr>
          </w:p>
        </w:tc>
      </w:tr>
      <w:tr w:rsidR="004F3D65" w:rsidRPr="003E76E7" w14:paraId="04A8B419" w14:textId="77777777" w:rsidTr="00ED57D2">
        <w:trPr>
          <w:trHeight w:hRule="exact" w:val="1175"/>
        </w:trPr>
        <w:tc>
          <w:tcPr>
            <w:tcW w:w="1550" w:type="dxa"/>
            <w:vMerge w:val="restart"/>
            <w:tcBorders>
              <w:top w:val="nil"/>
              <w:left w:val="single" w:sz="4" w:space="0" w:color="auto"/>
              <w:bottom w:val="single" w:sz="4" w:space="0" w:color="000000"/>
              <w:right w:val="single" w:sz="4" w:space="0" w:color="auto"/>
            </w:tcBorders>
            <w:shd w:val="clear" w:color="auto" w:fill="auto"/>
            <w:vAlign w:val="center"/>
          </w:tcPr>
          <w:p w14:paraId="199153BD" w14:textId="77777777" w:rsidR="004F3D65" w:rsidRPr="003E76E7" w:rsidRDefault="004F3D65" w:rsidP="00C4292D">
            <w:pPr>
              <w:spacing w:after="0"/>
              <w:rPr>
                <w:rFonts w:ascii="Arial" w:hAnsi="Arial"/>
                <w:sz w:val="16"/>
                <w:szCs w:val="16"/>
              </w:rPr>
            </w:pPr>
            <w:r w:rsidRPr="003E76E7">
              <w:rPr>
                <w:rFonts w:ascii="Arial" w:hAnsi="Arial"/>
                <w:sz w:val="16"/>
                <w:szCs w:val="16"/>
              </w:rPr>
              <w:t>First Long Range Fires Regiment</w:t>
            </w:r>
          </w:p>
        </w:tc>
        <w:tc>
          <w:tcPr>
            <w:tcW w:w="1275" w:type="dxa"/>
            <w:vMerge w:val="restart"/>
            <w:tcBorders>
              <w:top w:val="nil"/>
              <w:left w:val="single" w:sz="4" w:space="0" w:color="auto"/>
              <w:bottom w:val="single" w:sz="4" w:space="0" w:color="000000"/>
              <w:right w:val="single" w:sz="4" w:space="0" w:color="auto"/>
            </w:tcBorders>
            <w:shd w:val="clear" w:color="auto" w:fill="auto"/>
            <w:vAlign w:val="center"/>
          </w:tcPr>
          <w:p w14:paraId="77463CB8" w14:textId="77777777" w:rsidR="004F3D65" w:rsidRPr="003E76E7" w:rsidRDefault="004F3D65" w:rsidP="00C4292D">
            <w:pPr>
              <w:spacing w:after="0"/>
              <w:jc w:val="center"/>
              <w:rPr>
                <w:rFonts w:ascii="Arial" w:hAnsi="Arial"/>
                <w:b/>
                <w:bCs/>
                <w:sz w:val="16"/>
                <w:szCs w:val="16"/>
              </w:rPr>
            </w:pPr>
            <w:r w:rsidRPr="003E76E7">
              <w:rPr>
                <w:rFonts w:ascii="Arial" w:hAnsi="Arial"/>
                <w:b/>
                <w:bCs/>
                <w:sz w:val="16"/>
                <w:szCs w:val="16"/>
              </w:rPr>
              <w:t>LAND 8113 Phase 1</w:t>
            </w:r>
          </w:p>
        </w:tc>
        <w:tc>
          <w:tcPr>
            <w:tcW w:w="1560" w:type="dxa"/>
            <w:tcBorders>
              <w:top w:val="nil"/>
              <w:left w:val="nil"/>
              <w:bottom w:val="single" w:sz="4" w:space="0" w:color="auto"/>
              <w:right w:val="single" w:sz="4" w:space="0" w:color="auto"/>
            </w:tcBorders>
            <w:shd w:val="clear" w:color="auto" w:fill="auto"/>
            <w:vAlign w:val="center"/>
          </w:tcPr>
          <w:p w14:paraId="5C944E7C" w14:textId="77777777" w:rsidR="004F3D65" w:rsidRPr="003E76E7" w:rsidRDefault="004F3D65" w:rsidP="00C4292D">
            <w:pPr>
              <w:spacing w:after="0"/>
              <w:rPr>
                <w:rFonts w:ascii="Arial" w:hAnsi="Arial"/>
                <w:sz w:val="16"/>
                <w:szCs w:val="16"/>
              </w:rPr>
            </w:pPr>
            <w:r w:rsidRPr="003E76E7">
              <w:rPr>
                <w:rFonts w:ascii="Arial" w:hAnsi="Arial"/>
                <w:sz w:val="16"/>
                <w:szCs w:val="16"/>
              </w:rPr>
              <w:t>Military Equipment Acquisition</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93DDC3" w14:textId="792B84AD"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2,136 </w:t>
            </w:r>
          </w:p>
        </w:tc>
        <w:tc>
          <w:tcPr>
            <w:tcW w:w="1228" w:type="dxa"/>
            <w:tcBorders>
              <w:top w:val="single" w:sz="4" w:space="0" w:color="auto"/>
              <w:left w:val="nil"/>
              <w:bottom w:val="single" w:sz="4" w:space="0" w:color="auto"/>
              <w:right w:val="single" w:sz="4" w:space="0" w:color="auto"/>
            </w:tcBorders>
            <w:shd w:val="clear" w:color="auto" w:fill="auto"/>
            <w:noWrap/>
            <w:vAlign w:val="center"/>
          </w:tcPr>
          <w:p w14:paraId="03AF5F34" w14:textId="5F71F7F5"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510 </w:t>
            </w:r>
          </w:p>
        </w:tc>
        <w:tc>
          <w:tcPr>
            <w:tcW w:w="1229" w:type="dxa"/>
            <w:tcBorders>
              <w:top w:val="single" w:sz="4" w:space="0" w:color="auto"/>
              <w:left w:val="nil"/>
              <w:bottom w:val="single" w:sz="4" w:space="0" w:color="auto"/>
              <w:right w:val="single" w:sz="4" w:space="0" w:color="auto"/>
            </w:tcBorders>
            <w:shd w:val="clear" w:color="auto" w:fill="auto"/>
            <w:noWrap/>
            <w:vAlign w:val="center"/>
          </w:tcPr>
          <w:p w14:paraId="79E40DCD" w14:textId="361F990E"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285 </w:t>
            </w:r>
          </w:p>
        </w:tc>
        <w:tc>
          <w:tcPr>
            <w:tcW w:w="5307" w:type="dxa"/>
            <w:vMerge w:val="restart"/>
            <w:tcBorders>
              <w:top w:val="nil"/>
              <w:left w:val="single" w:sz="4" w:space="0" w:color="auto"/>
              <w:bottom w:val="single" w:sz="4" w:space="0" w:color="000000"/>
              <w:right w:val="single" w:sz="4" w:space="0" w:color="auto"/>
            </w:tcBorders>
            <w:shd w:val="clear" w:color="auto" w:fill="auto"/>
            <w:vAlign w:val="center"/>
          </w:tcPr>
          <w:p w14:paraId="3CF26F5A" w14:textId="77777777" w:rsidR="004F3D65" w:rsidRPr="003E76E7" w:rsidRDefault="004F3D65" w:rsidP="00C4292D">
            <w:pPr>
              <w:spacing w:before="60" w:after="60"/>
              <w:rPr>
                <w:rFonts w:ascii="Arial" w:hAnsi="Arial"/>
                <w:sz w:val="16"/>
                <w:szCs w:val="16"/>
                <w:lang w:val="en-AU"/>
              </w:rPr>
            </w:pPr>
            <w:r w:rsidRPr="003E76E7">
              <w:rPr>
                <w:rFonts w:ascii="Arial" w:hAnsi="Arial"/>
                <w:sz w:val="16"/>
                <w:szCs w:val="16"/>
                <w:lang w:val="en-AU"/>
              </w:rPr>
              <w:t>This project will deliver Army’s first long range fires regiment, providing High Mobility Artillery Rocket Systems (HIMARS) armed with Precision Strike Missile and Guided Multiple Launch Rocket System munitions, Resupply Vehicles and Resupply Trailers. The capability will enhance land and maritime strike and strengthen Army’s ability to prevent an adversary’s forces from entering an operational area.</w:t>
            </w:r>
          </w:p>
          <w:p w14:paraId="3BA6AF87" w14:textId="77777777" w:rsidR="004F3D65" w:rsidRPr="003E76E7" w:rsidRDefault="004F3D65" w:rsidP="00C4292D">
            <w:pPr>
              <w:spacing w:before="60" w:after="60"/>
              <w:rPr>
                <w:rFonts w:ascii="Arial" w:hAnsi="Arial"/>
                <w:sz w:val="16"/>
                <w:szCs w:val="16"/>
                <w:lang w:val="en-AU"/>
              </w:rPr>
            </w:pPr>
            <w:r w:rsidRPr="003E76E7">
              <w:rPr>
                <w:rFonts w:ascii="Arial" w:hAnsi="Arial"/>
                <w:sz w:val="16"/>
                <w:szCs w:val="16"/>
                <w:lang w:val="en-AU"/>
              </w:rPr>
              <w:t>During 2026-27, the project will continue to deliver the next tranche of HIMARS, Resupply Vehicles and Resupply Trailers, as well as Precision Strike Missiles, Guided Multiple Launch Rocket System munitions, and progressing introduction into service activities.</w:t>
            </w:r>
          </w:p>
        </w:tc>
      </w:tr>
      <w:tr w:rsidR="004F3D65" w:rsidRPr="003E76E7" w14:paraId="687B5A9A" w14:textId="77777777" w:rsidTr="00ED57D2">
        <w:trPr>
          <w:trHeight w:hRule="exact" w:val="957"/>
        </w:trPr>
        <w:tc>
          <w:tcPr>
            <w:tcW w:w="1550" w:type="dxa"/>
            <w:vMerge/>
            <w:tcBorders>
              <w:left w:val="single" w:sz="4" w:space="0" w:color="auto"/>
              <w:bottom w:val="single" w:sz="4" w:space="0" w:color="auto"/>
              <w:right w:val="single" w:sz="4" w:space="0" w:color="auto"/>
            </w:tcBorders>
            <w:shd w:val="clear" w:color="auto" w:fill="auto"/>
            <w:vAlign w:val="center"/>
          </w:tcPr>
          <w:p w14:paraId="5711E5B1" w14:textId="77777777" w:rsidR="004F3D65" w:rsidRPr="003E76E7" w:rsidRDefault="004F3D65" w:rsidP="00C4292D">
            <w:pPr>
              <w:spacing w:after="0"/>
              <w:rPr>
                <w:rFonts w:ascii="Arial" w:hAnsi="Arial"/>
                <w:sz w:val="16"/>
                <w:szCs w:val="16"/>
              </w:rPr>
            </w:pPr>
          </w:p>
        </w:tc>
        <w:tc>
          <w:tcPr>
            <w:tcW w:w="1275" w:type="dxa"/>
            <w:vMerge/>
            <w:tcBorders>
              <w:left w:val="single" w:sz="4" w:space="0" w:color="auto"/>
              <w:bottom w:val="single" w:sz="4" w:space="0" w:color="auto"/>
              <w:right w:val="single" w:sz="4" w:space="0" w:color="auto"/>
            </w:tcBorders>
            <w:shd w:val="clear" w:color="auto" w:fill="auto"/>
            <w:vAlign w:val="center"/>
          </w:tcPr>
          <w:p w14:paraId="64A5A37F" w14:textId="77777777" w:rsidR="004F3D65" w:rsidRPr="003E76E7" w:rsidRDefault="004F3D65" w:rsidP="00C4292D">
            <w:pPr>
              <w:spacing w:after="0"/>
              <w:jc w:val="center"/>
              <w:rPr>
                <w:rFonts w:ascii="Arial" w:hAnsi="Arial"/>
                <w:b/>
                <w:bCs/>
                <w:sz w:val="16"/>
                <w:szCs w:val="16"/>
              </w:rPr>
            </w:pPr>
          </w:p>
        </w:tc>
        <w:tc>
          <w:tcPr>
            <w:tcW w:w="1560" w:type="dxa"/>
            <w:tcBorders>
              <w:top w:val="nil"/>
              <w:left w:val="nil"/>
              <w:bottom w:val="single" w:sz="4" w:space="0" w:color="auto"/>
              <w:right w:val="single" w:sz="4" w:space="0" w:color="auto"/>
            </w:tcBorders>
            <w:shd w:val="clear" w:color="auto" w:fill="auto"/>
            <w:vAlign w:val="center"/>
          </w:tcPr>
          <w:p w14:paraId="417E2411" w14:textId="77777777" w:rsidR="004F3D65" w:rsidRPr="003E76E7" w:rsidRDefault="004F3D65" w:rsidP="00C4292D">
            <w:pPr>
              <w:spacing w:after="0"/>
              <w:rPr>
                <w:rFonts w:ascii="Arial" w:hAnsi="Arial"/>
                <w:sz w:val="16"/>
                <w:szCs w:val="16"/>
              </w:rPr>
            </w:pPr>
            <w:r w:rsidRPr="003E76E7">
              <w:rPr>
                <w:rFonts w:ascii="Arial" w:hAnsi="Arial"/>
                <w:sz w:val="16"/>
                <w:szCs w:val="16"/>
              </w:rPr>
              <w:t>Other Project Inputs to Capability</w:t>
            </w:r>
          </w:p>
        </w:tc>
        <w:tc>
          <w:tcPr>
            <w:tcW w:w="1228" w:type="dxa"/>
            <w:tcBorders>
              <w:top w:val="nil"/>
              <w:left w:val="single" w:sz="4" w:space="0" w:color="auto"/>
              <w:bottom w:val="single" w:sz="4" w:space="0" w:color="auto"/>
              <w:right w:val="single" w:sz="4" w:space="0" w:color="auto"/>
            </w:tcBorders>
            <w:shd w:val="clear" w:color="auto" w:fill="auto"/>
            <w:noWrap/>
            <w:vAlign w:val="center"/>
          </w:tcPr>
          <w:p w14:paraId="1F3A6D5B" w14:textId="28C5D99F"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538 </w:t>
            </w:r>
          </w:p>
        </w:tc>
        <w:tc>
          <w:tcPr>
            <w:tcW w:w="1228" w:type="dxa"/>
            <w:tcBorders>
              <w:top w:val="nil"/>
              <w:left w:val="nil"/>
              <w:bottom w:val="single" w:sz="4" w:space="0" w:color="auto"/>
              <w:right w:val="single" w:sz="4" w:space="0" w:color="auto"/>
            </w:tcBorders>
            <w:shd w:val="clear" w:color="auto" w:fill="auto"/>
            <w:noWrap/>
            <w:vAlign w:val="center"/>
          </w:tcPr>
          <w:p w14:paraId="1F81F2FC" w14:textId="7FDBE056"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143 </w:t>
            </w:r>
          </w:p>
        </w:tc>
        <w:tc>
          <w:tcPr>
            <w:tcW w:w="1229" w:type="dxa"/>
            <w:tcBorders>
              <w:top w:val="nil"/>
              <w:left w:val="nil"/>
              <w:bottom w:val="single" w:sz="4" w:space="0" w:color="auto"/>
              <w:right w:val="single" w:sz="4" w:space="0" w:color="auto"/>
            </w:tcBorders>
            <w:shd w:val="clear" w:color="auto" w:fill="auto"/>
            <w:noWrap/>
            <w:vAlign w:val="center"/>
          </w:tcPr>
          <w:p w14:paraId="5753667E" w14:textId="1DEDF07B"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146 </w:t>
            </w:r>
          </w:p>
        </w:tc>
        <w:tc>
          <w:tcPr>
            <w:tcW w:w="5307" w:type="dxa"/>
            <w:vMerge/>
            <w:tcBorders>
              <w:left w:val="single" w:sz="4" w:space="0" w:color="auto"/>
              <w:bottom w:val="single" w:sz="4" w:space="0" w:color="000000"/>
              <w:right w:val="single" w:sz="4" w:space="0" w:color="auto"/>
            </w:tcBorders>
            <w:shd w:val="clear" w:color="auto" w:fill="auto"/>
            <w:vAlign w:val="center"/>
          </w:tcPr>
          <w:p w14:paraId="358FCB69" w14:textId="77777777" w:rsidR="004F3D65" w:rsidRPr="003E76E7" w:rsidRDefault="004F3D65" w:rsidP="00C4292D">
            <w:pPr>
              <w:spacing w:before="60" w:after="60"/>
              <w:rPr>
                <w:rFonts w:ascii="Arial" w:hAnsi="Arial"/>
                <w:sz w:val="16"/>
                <w:szCs w:val="16"/>
                <w:lang w:val="en-AU"/>
              </w:rPr>
            </w:pPr>
          </w:p>
        </w:tc>
      </w:tr>
    </w:tbl>
    <w:p w14:paraId="5F4FAF85" w14:textId="77777777" w:rsidR="004F3D65" w:rsidRPr="003E76E7" w:rsidRDefault="004F3D65" w:rsidP="00C4292D">
      <w:pPr>
        <w:pStyle w:val="BodyText"/>
        <w:rPr>
          <w:rFonts w:ascii="Arial" w:hAnsi="Arial"/>
          <w:b/>
        </w:rPr>
      </w:pPr>
      <w:r w:rsidRPr="003E76E7">
        <w:br w:type="page"/>
      </w:r>
      <w:r w:rsidRPr="003E76E7">
        <w:rPr>
          <w:rFonts w:ascii="Arial" w:hAnsi="Arial"/>
          <w:b/>
        </w:rPr>
        <w:lastRenderedPageBreak/>
        <w:t>Table 54: Top 30 Military Equipment Acquisition Program Approved Projects by 2026-27 Forecast Expenditure (Gross Plan) (Continued)</w:t>
      </w:r>
      <w:r w:rsidRPr="003E76E7">
        <w:rPr>
          <w:rFonts w:ascii="Arial" w:hAnsi="Arial"/>
          <w:b/>
          <w:vertAlign w:val="superscript"/>
        </w:rPr>
        <w:t xml:space="preserve"> [a][b][c]</w:t>
      </w:r>
    </w:p>
    <w:tbl>
      <w:tblPr>
        <w:tblW w:w="4981" w:type="pct"/>
        <w:tblInd w:w="5" w:type="dxa"/>
        <w:tblLayout w:type="fixed"/>
        <w:tblLook w:val="04A0" w:firstRow="1" w:lastRow="0" w:firstColumn="1" w:lastColumn="0" w:noHBand="0" w:noVBand="1"/>
      </w:tblPr>
      <w:tblGrid>
        <w:gridCol w:w="1550"/>
        <w:gridCol w:w="1275"/>
        <w:gridCol w:w="1560"/>
        <w:gridCol w:w="1228"/>
        <w:gridCol w:w="1228"/>
        <w:gridCol w:w="1229"/>
        <w:gridCol w:w="5307"/>
      </w:tblGrid>
      <w:tr w:rsidR="00ED57D2" w:rsidRPr="003E76E7" w14:paraId="2FC4DA42" w14:textId="77777777" w:rsidTr="00ED57D2">
        <w:trPr>
          <w:trHeight w:hRule="exact" w:val="1108"/>
        </w:trPr>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0F0D5889" w14:textId="77777777" w:rsidR="00ED57D2" w:rsidRPr="003E76E7" w:rsidRDefault="00ED57D2" w:rsidP="00ED57D2">
            <w:pPr>
              <w:spacing w:after="0"/>
              <w:rPr>
                <w:rFonts w:ascii="Arial" w:hAnsi="Arial"/>
                <w:sz w:val="16"/>
                <w:szCs w:val="16"/>
                <w:lang w:val="en-AU"/>
              </w:rPr>
            </w:pPr>
            <w:r w:rsidRPr="003E76E7">
              <w:rPr>
                <w:rFonts w:ascii="Arial" w:hAnsi="Arial"/>
                <w:b/>
                <w:bCs/>
                <w:sz w:val="16"/>
                <w:szCs w:val="16"/>
              </w:rPr>
              <w:t>Domain/Project Name</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0E0A43BC" w14:textId="77777777" w:rsidR="00ED57D2" w:rsidRPr="003E76E7" w:rsidRDefault="00ED57D2" w:rsidP="00ED57D2">
            <w:pPr>
              <w:spacing w:after="0"/>
              <w:jc w:val="center"/>
              <w:rPr>
                <w:rFonts w:ascii="Arial" w:hAnsi="Arial"/>
                <w:b/>
                <w:bCs/>
                <w:sz w:val="16"/>
                <w:szCs w:val="16"/>
                <w:lang w:val="en-AU"/>
              </w:rPr>
            </w:pPr>
            <w:r w:rsidRPr="003E76E7">
              <w:rPr>
                <w:rFonts w:ascii="Arial" w:hAnsi="Arial"/>
                <w:b/>
                <w:bCs/>
                <w:sz w:val="16"/>
                <w:szCs w:val="16"/>
              </w:rPr>
              <w:t>Project Number/</w:t>
            </w:r>
            <w:r w:rsidRPr="003E76E7">
              <w:rPr>
                <w:rFonts w:ascii="Arial" w:hAnsi="Arial"/>
                <w:b/>
                <w:bCs/>
                <w:sz w:val="16"/>
                <w:szCs w:val="16"/>
              </w:rPr>
              <w:br/>
              <w:t>Phase</w:t>
            </w:r>
          </w:p>
        </w:tc>
        <w:tc>
          <w:tcPr>
            <w:tcW w:w="1560" w:type="dxa"/>
            <w:tcBorders>
              <w:top w:val="single" w:sz="4" w:space="0" w:color="auto"/>
              <w:left w:val="nil"/>
              <w:bottom w:val="single" w:sz="4" w:space="0" w:color="auto"/>
              <w:right w:val="single" w:sz="4" w:space="0" w:color="auto"/>
            </w:tcBorders>
            <w:shd w:val="clear" w:color="auto" w:fill="auto"/>
            <w:vAlign w:val="center"/>
          </w:tcPr>
          <w:p w14:paraId="3AD52D1C" w14:textId="77777777" w:rsidR="00ED57D2" w:rsidRPr="003E76E7" w:rsidRDefault="00ED57D2" w:rsidP="00ED57D2">
            <w:pPr>
              <w:spacing w:after="0"/>
              <w:rPr>
                <w:rFonts w:ascii="Arial" w:hAnsi="Arial"/>
                <w:sz w:val="16"/>
                <w:szCs w:val="16"/>
              </w:rPr>
            </w:pPr>
            <w:r w:rsidRPr="003E76E7">
              <w:rPr>
                <w:rFonts w:ascii="Arial" w:hAnsi="Arial"/>
                <w:b/>
                <w:bCs/>
                <w:sz w:val="16"/>
                <w:szCs w:val="16"/>
              </w:rPr>
              <w:t>Project Inputs to Capability</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2310DE" w14:textId="77777777" w:rsidR="00ED57D2" w:rsidRPr="003E76E7" w:rsidRDefault="00ED57D2" w:rsidP="00ED57D2">
            <w:pPr>
              <w:spacing w:before="0" w:after="0"/>
              <w:jc w:val="right"/>
              <w:rPr>
                <w:rFonts w:ascii="Arial" w:hAnsi="Arial"/>
                <w:b/>
                <w:bCs/>
                <w:sz w:val="16"/>
                <w:szCs w:val="16"/>
              </w:rPr>
            </w:pPr>
            <w:r w:rsidRPr="003E76E7">
              <w:rPr>
                <w:rFonts w:ascii="Arial" w:hAnsi="Arial"/>
                <w:b/>
                <w:bCs/>
                <w:sz w:val="16"/>
                <w:szCs w:val="16"/>
              </w:rPr>
              <w:t>Approved Project Expenditure</w:t>
            </w:r>
          </w:p>
          <w:p w14:paraId="634AD4B6" w14:textId="77777777" w:rsidR="00ED57D2" w:rsidRPr="003E76E7" w:rsidRDefault="00ED57D2" w:rsidP="00ED57D2">
            <w:pPr>
              <w:spacing w:before="0" w:after="0"/>
              <w:jc w:val="right"/>
              <w:rPr>
                <w:rFonts w:ascii="Arial" w:hAnsi="Arial"/>
                <w:b/>
                <w:bCs/>
                <w:sz w:val="16"/>
                <w:szCs w:val="16"/>
              </w:rPr>
            </w:pPr>
          </w:p>
          <w:p w14:paraId="52DF934F" w14:textId="48CF2F92" w:rsidR="00ED57D2" w:rsidRPr="003E76E7" w:rsidRDefault="00ED57D2" w:rsidP="00ED57D2">
            <w:pPr>
              <w:spacing w:after="0"/>
              <w:jc w:val="right"/>
              <w:rPr>
                <w:rFonts w:ascii="Arial" w:hAnsi="Arial"/>
                <w:sz w:val="16"/>
                <w:szCs w:val="16"/>
              </w:rPr>
            </w:pPr>
            <w:r w:rsidRPr="003E76E7">
              <w:rPr>
                <w:rFonts w:ascii="Arial" w:hAnsi="Arial"/>
                <w:b/>
                <w:bCs/>
                <w:sz w:val="16"/>
                <w:szCs w:val="16"/>
              </w:rPr>
              <w:t xml:space="preserve"> $m</w:t>
            </w:r>
          </w:p>
        </w:tc>
        <w:tc>
          <w:tcPr>
            <w:tcW w:w="1228" w:type="dxa"/>
            <w:tcBorders>
              <w:top w:val="single" w:sz="4" w:space="0" w:color="auto"/>
              <w:left w:val="nil"/>
              <w:bottom w:val="single" w:sz="4" w:space="0" w:color="auto"/>
              <w:right w:val="single" w:sz="4" w:space="0" w:color="auto"/>
            </w:tcBorders>
            <w:shd w:val="clear" w:color="auto" w:fill="auto"/>
            <w:noWrap/>
            <w:vAlign w:val="bottom"/>
          </w:tcPr>
          <w:p w14:paraId="4F70C64A" w14:textId="77777777" w:rsidR="00ED57D2" w:rsidRPr="003E76E7" w:rsidRDefault="00ED57D2" w:rsidP="00ED57D2">
            <w:pPr>
              <w:spacing w:before="0" w:after="0"/>
              <w:jc w:val="right"/>
              <w:rPr>
                <w:rFonts w:ascii="Arial" w:hAnsi="Arial"/>
                <w:b/>
                <w:bCs/>
                <w:sz w:val="16"/>
                <w:szCs w:val="16"/>
              </w:rPr>
            </w:pPr>
            <w:r w:rsidRPr="003E76E7">
              <w:rPr>
                <w:rFonts w:ascii="Arial" w:hAnsi="Arial"/>
                <w:b/>
                <w:bCs/>
                <w:sz w:val="16"/>
                <w:szCs w:val="16"/>
              </w:rPr>
              <w:t>Estimated Cumulative Expenditure to 30 June 2026</w:t>
            </w:r>
          </w:p>
          <w:p w14:paraId="6E055B60" w14:textId="3473E6D1" w:rsidR="00ED57D2" w:rsidRPr="003E76E7" w:rsidRDefault="00ED57D2" w:rsidP="00ED57D2">
            <w:pPr>
              <w:spacing w:before="0" w:after="0"/>
              <w:jc w:val="right"/>
              <w:rPr>
                <w:rFonts w:ascii="Arial" w:hAnsi="Arial"/>
                <w:sz w:val="16"/>
                <w:szCs w:val="16"/>
              </w:rPr>
            </w:pPr>
            <w:r w:rsidRPr="003E76E7">
              <w:rPr>
                <w:rFonts w:ascii="Arial" w:hAnsi="Arial"/>
                <w:b/>
                <w:bCs/>
                <w:sz w:val="16"/>
                <w:szCs w:val="16"/>
              </w:rPr>
              <w:t xml:space="preserve"> $m</w:t>
            </w:r>
          </w:p>
        </w:tc>
        <w:tc>
          <w:tcPr>
            <w:tcW w:w="1229" w:type="dxa"/>
            <w:tcBorders>
              <w:top w:val="single" w:sz="4" w:space="0" w:color="auto"/>
              <w:left w:val="nil"/>
              <w:bottom w:val="single" w:sz="4" w:space="0" w:color="auto"/>
              <w:right w:val="single" w:sz="4" w:space="0" w:color="auto"/>
            </w:tcBorders>
            <w:shd w:val="clear" w:color="auto" w:fill="auto"/>
            <w:noWrap/>
            <w:vAlign w:val="bottom"/>
          </w:tcPr>
          <w:p w14:paraId="5EF8AD51" w14:textId="77777777" w:rsidR="00ED57D2" w:rsidRPr="003E76E7" w:rsidRDefault="00ED57D2" w:rsidP="00ED57D2">
            <w:pPr>
              <w:spacing w:before="0" w:after="0"/>
              <w:jc w:val="right"/>
              <w:rPr>
                <w:rFonts w:ascii="Arial" w:hAnsi="Arial"/>
                <w:b/>
                <w:bCs/>
                <w:sz w:val="16"/>
                <w:szCs w:val="16"/>
              </w:rPr>
            </w:pPr>
            <w:r w:rsidRPr="003E76E7">
              <w:rPr>
                <w:rFonts w:ascii="Arial" w:hAnsi="Arial"/>
                <w:b/>
                <w:bCs/>
                <w:sz w:val="16"/>
                <w:szCs w:val="16"/>
              </w:rPr>
              <w:t xml:space="preserve">Budget Estimate 2026-27 </w:t>
            </w:r>
          </w:p>
          <w:p w14:paraId="051DF31E" w14:textId="77777777" w:rsidR="00ED57D2" w:rsidRPr="003E76E7" w:rsidRDefault="00ED57D2" w:rsidP="00ED57D2">
            <w:pPr>
              <w:spacing w:before="0" w:after="0"/>
              <w:jc w:val="right"/>
              <w:rPr>
                <w:rFonts w:ascii="Arial" w:hAnsi="Arial"/>
                <w:b/>
                <w:bCs/>
                <w:sz w:val="16"/>
                <w:szCs w:val="16"/>
              </w:rPr>
            </w:pPr>
          </w:p>
          <w:p w14:paraId="125F7B08" w14:textId="69046E95" w:rsidR="00ED57D2" w:rsidRPr="003E76E7" w:rsidRDefault="00ED57D2" w:rsidP="00ED57D2">
            <w:pPr>
              <w:spacing w:after="0"/>
              <w:jc w:val="right"/>
              <w:rPr>
                <w:rFonts w:ascii="Arial" w:hAnsi="Arial"/>
                <w:sz w:val="16"/>
                <w:szCs w:val="16"/>
              </w:rPr>
            </w:pPr>
            <w:r w:rsidRPr="003E76E7">
              <w:rPr>
                <w:rFonts w:ascii="Arial" w:hAnsi="Arial"/>
                <w:b/>
                <w:bCs/>
                <w:sz w:val="16"/>
                <w:szCs w:val="16"/>
              </w:rPr>
              <w:t>$m</w:t>
            </w:r>
          </w:p>
        </w:tc>
        <w:tc>
          <w:tcPr>
            <w:tcW w:w="5307" w:type="dxa"/>
            <w:tcBorders>
              <w:top w:val="single" w:sz="4" w:space="0" w:color="auto"/>
              <w:left w:val="single" w:sz="4" w:space="0" w:color="auto"/>
              <w:bottom w:val="single" w:sz="4" w:space="0" w:color="auto"/>
              <w:right w:val="single" w:sz="4" w:space="0" w:color="auto"/>
            </w:tcBorders>
            <w:shd w:val="clear" w:color="auto" w:fill="auto"/>
            <w:vAlign w:val="center"/>
          </w:tcPr>
          <w:p w14:paraId="73FF9A06" w14:textId="77777777" w:rsidR="00ED57D2" w:rsidRPr="003E76E7" w:rsidRDefault="00ED57D2" w:rsidP="00ED57D2">
            <w:pPr>
              <w:pStyle w:val="CommentText"/>
              <w:rPr>
                <w:rFonts w:ascii="Arial" w:hAnsi="Arial"/>
                <w:sz w:val="16"/>
                <w:szCs w:val="16"/>
              </w:rPr>
            </w:pPr>
            <w:r w:rsidRPr="003E76E7">
              <w:rPr>
                <w:rFonts w:ascii="Arial" w:hAnsi="Arial"/>
                <w:b/>
                <w:bCs/>
                <w:sz w:val="16"/>
                <w:szCs w:val="16"/>
              </w:rPr>
              <w:t>Top 30 Military Equipment Acquisition Project Descriptions</w:t>
            </w:r>
          </w:p>
        </w:tc>
      </w:tr>
      <w:tr w:rsidR="004F3D65" w:rsidRPr="003E76E7" w14:paraId="4B212316" w14:textId="77777777" w:rsidTr="00ED57D2">
        <w:trPr>
          <w:trHeight w:hRule="exact" w:val="355"/>
        </w:trPr>
        <w:tc>
          <w:tcPr>
            <w:tcW w:w="13377" w:type="dxa"/>
            <w:gridSpan w:val="7"/>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DF5D60B" w14:textId="77777777" w:rsidR="004F3D65" w:rsidRPr="003E76E7" w:rsidRDefault="004F3D65" w:rsidP="00C4292D">
            <w:pPr>
              <w:pStyle w:val="CommentText"/>
              <w:rPr>
                <w:rFonts w:ascii="Arial" w:hAnsi="Arial"/>
                <w:b/>
                <w:bCs/>
                <w:sz w:val="16"/>
                <w:szCs w:val="16"/>
              </w:rPr>
            </w:pPr>
            <w:r w:rsidRPr="003E76E7">
              <w:rPr>
                <w:rFonts w:ascii="Arial" w:hAnsi="Arial"/>
                <w:b/>
                <w:bCs/>
                <w:sz w:val="16"/>
                <w:szCs w:val="16"/>
              </w:rPr>
              <w:t>Land Domain (Continued)</w:t>
            </w:r>
          </w:p>
        </w:tc>
      </w:tr>
      <w:tr w:rsidR="004F3D65" w:rsidRPr="003E76E7" w14:paraId="473E7072" w14:textId="77777777" w:rsidTr="00ED57D2">
        <w:trPr>
          <w:trHeight w:hRule="exact" w:val="1175"/>
        </w:trPr>
        <w:tc>
          <w:tcPr>
            <w:tcW w:w="15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14BDA95" w14:textId="77777777" w:rsidR="004F3D65" w:rsidRPr="003E76E7" w:rsidRDefault="004F3D65" w:rsidP="00C4292D">
            <w:pPr>
              <w:spacing w:after="0"/>
              <w:rPr>
                <w:rFonts w:ascii="Arial" w:hAnsi="Arial"/>
                <w:sz w:val="16"/>
                <w:szCs w:val="16"/>
              </w:rPr>
            </w:pPr>
            <w:r w:rsidRPr="003E76E7">
              <w:rPr>
                <w:rFonts w:ascii="Arial" w:hAnsi="Arial"/>
                <w:sz w:val="16"/>
                <w:szCs w:val="16"/>
              </w:rPr>
              <w:t>UH-60M Black Hawk Utility Helicopter</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60D6CEE" w14:textId="77777777" w:rsidR="004F3D65" w:rsidRPr="003E76E7" w:rsidRDefault="004F3D65" w:rsidP="00C4292D">
            <w:pPr>
              <w:spacing w:after="0"/>
              <w:jc w:val="center"/>
              <w:rPr>
                <w:rFonts w:ascii="Arial" w:hAnsi="Arial"/>
                <w:b/>
                <w:bCs/>
                <w:sz w:val="16"/>
                <w:szCs w:val="16"/>
              </w:rPr>
            </w:pPr>
            <w:r w:rsidRPr="003E76E7">
              <w:rPr>
                <w:rFonts w:ascii="Arial" w:hAnsi="Arial"/>
                <w:b/>
                <w:bCs/>
                <w:sz w:val="16"/>
                <w:szCs w:val="16"/>
              </w:rPr>
              <w:t>LAND 4507</w:t>
            </w:r>
          </w:p>
        </w:tc>
        <w:tc>
          <w:tcPr>
            <w:tcW w:w="1560" w:type="dxa"/>
            <w:tcBorders>
              <w:top w:val="single" w:sz="4" w:space="0" w:color="auto"/>
              <w:left w:val="nil"/>
              <w:bottom w:val="single" w:sz="4" w:space="0" w:color="auto"/>
              <w:right w:val="single" w:sz="4" w:space="0" w:color="auto"/>
            </w:tcBorders>
            <w:shd w:val="clear" w:color="auto" w:fill="auto"/>
            <w:vAlign w:val="center"/>
          </w:tcPr>
          <w:p w14:paraId="2C18C865" w14:textId="77777777" w:rsidR="004F3D65" w:rsidRPr="003E76E7" w:rsidRDefault="004F3D65" w:rsidP="00C4292D">
            <w:pPr>
              <w:spacing w:after="0"/>
              <w:rPr>
                <w:rFonts w:ascii="Arial" w:hAnsi="Arial"/>
                <w:sz w:val="16"/>
                <w:szCs w:val="16"/>
              </w:rPr>
            </w:pPr>
            <w:r w:rsidRPr="003E76E7">
              <w:rPr>
                <w:rFonts w:ascii="Arial" w:hAnsi="Arial"/>
                <w:sz w:val="16"/>
                <w:szCs w:val="16"/>
              </w:rPr>
              <w:t>Military Equipment Acquisition</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CC8DAD" w14:textId="33FD6FD9"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3,368 </w:t>
            </w:r>
          </w:p>
        </w:tc>
        <w:tc>
          <w:tcPr>
            <w:tcW w:w="1228" w:type="dxa"/>
            <w:tcBorders>
              <w:top w:val="single" w:sz="4" w:space="0" w:color="auto"/>
              <w:left w:val="nil"/>
              <w:bottom w:val="single" w:sz="4" w:space="0" w:color="auto"/>
              <w:right w:val="single" w:sz="4" w:space="0" w:color="auto"/>
            </w:tcBorders>
            <w:shd w:val="clear" w:color="auto" w:fill="auto"/>
            <w:noWrap/>
            <w:vAlign w:val="center"/>
          </w:tcPr>
          <w:p w14:paraId="3B640E86" w14:textId="5EC5CBFB"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1,635 </w:t>
            </w:r>
          </w:p>
        </w:tc>
        <w:tc>
          <w:tcPr>
            <w:tcW w:w="1229" w:type="dxa"/>
            <w:tcBorders>
              <w:top w:val="single" w:sz="4" w:space="0" w:color="auto"/>
              <w:left w:val="nil"/>
              <w:bottom w:val="single" w:sz="4" w:space="0" w:color="auto"/>
              <w:right w:val="single" w:sz="4" w:space="0" w:color="auto"/>
            </w:tcBorders>
            <w:shd w:val="clear" w:color="auto" w:fill="auto"/>
            <w:noWrap/>
            <w:vAlign w:val="center"/>
          </w:tcPr>
          <w:p w14:paraId="088DFB02" w14:textId="1B89920D"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275 </w:t>
            </w:r>
          </w:p>
        </w:tc>
        <w:tc>
          <w:tcPr>
            <w:tcW w:w="5307" w:type="dxa"/>
            <w:vMerge w:val="restart"/>
            <w:tcBorders>
              <w:top w:val="single" w:sz="4" w:space="0" w:color="000000"/>
              <w:left w:val="single" w:sz="4" w:space="0" w:color="auto"/>
              <w:bottom w:val="single" w:sz="4" w:space="0" w:color="000000"/>
              <w:right w:val="single" w:sz="4" w:space="0" w:color="auto"/>
            </w:tcBorders>
            <w:shd w:val="clear" w:color="auto" w:fill="auto"/>
            <w:vAlign w:val="center"/>
          </w:tcPr>
          <w:p w14:paraId="49E3246A" w14:textId="0529EADB" w:rsidR="004F3D65" w:rsidRPr="003E76E7" w:rsidRDefault="004F3D65" w:rsidP="00C4292D">
            <w:pPr>
              <w:spacing w:before="60" w:after="60"/>
              <w:rPr>
                <w:rFonts w:ascii="Arial" w:hAnsi="Arial"/>
                <w:sz w:val="16"/>
                <w:szCs w:val="16"/>
                <w:lang w:val="en-AU"/>
              </w:rPr>
            </w:pPr>
            <w:r w:rsidRPr="003E76E7">
              <w:rPr>
                <w:rFonts w:ascii="Arial" w:hAnsi="Arial"/>
                <w:sz w:val="16"/>
                <w:szCs w:val="16"/>
                <w:lang w:val="en-AU"/>
              </w:rPr>
              <w:t xml:space="preserve">This project will acquire 40 UH-60M Black Hawks with associated role and mission equipment, training devices, spares and support through the United States Government Foreign Military Sales program. The </w:t>
            </w:r>
            <w:r w:rsidRPr="003E76E7">
              <w:rPr>
                <w:rFonts w:ascii="Arial" w:hAnsi="Arial"/>
                <w:sz w:val="16"/>
                <w:szCs w:val="16"/>
                <w:lang w:val="en-AU"/>
              </w:rPr>
              <w:br/>
              <w:t>UH-60M Black Hawk is a proven and mature combat capability able to rapidly deploy in a wide variety of air mobility and battlefield support roles.</w:t>
            </w:r>
          </w:p>
          <w:p w14:paraId="29F8C230" w14:textId="77777777" w:rsidR="004F3D65" w:rsidRPr="003E76E7" w:rsidRDefault="004F3D65" w:rsidP="00C4292D">
            <w:pPr>
              <w:keepNext/>
              <w:keepLines/>
              <w:spacing w:before="60" w:after="60"/>
              <w:rPr>
                <w:rFonts w:ascii="Arial" w:hAnsi="Arial"/>
                <w:sz w:val="16"/>
                <w:szCs w:val="16"/>
              </w:rPr>
            </w:pPr>
            <w:r w:rsidRPr="003E76E7">
              <w:rPr>
                <w:rFonts w:ascii="Arial" w:hAnsi="Arial"/>
                <w:sz w:val="16"/>
                <w:szCs w:val="16"/>
                <w:lang w:val="en-AU"/>
              </w:rPr>
              <w:t>During 2026-27, the project will acquire additional spares, tooling, deployment kits and other support system requirements to enable operations across two nodes, Holsworthy and Oakey. The final Black Hawk Aircrew Trainer will be delivered to the Aviation Training Centre, Oakey.</w:t>
            </w:r>
          </w:p>
        </w:tc>
      </w:tr>
      <w:tr w:rsidR="004F3D65" w:rsidRPr="003E76E7" w14:paraId="30E17957" w14:textId="77777777" w:rsidTr="00ED57D2">
        <w:trPr>
          <w:trHeight w:hRule="exact" w:val="1099"/>
        </w:trPr>
        <w:tc>
          <w:tcPr>
            <w:tcW w:w="1550" w:type="dxa"/>
            <w:vMerge/>
            <w:tcBorders>
              <w:left w:val="single" w:sz="4" w:space="0" w:color="auto"/>
              <w:bottom w:val="single" w:sz="4" w:space="0" w:color="auto"/>
              <w:right w:val="single" w:sz="4" w:space="0" w:color="auto"/>
            </w:tcBorders>
            <w:shd w:val="clear" w:color="auto" w:fill="auto"/>
            <w:vAlign w:val="center"/>
          </w:tcPr>
          <w:p w14:paraId="416CAA6B" w14:textId="77777777" w:rsidR="004F3D65" w:rsidRPr="003E76E7" w:rsidRDefault="004F3D65" w:rsidP="00C4292D">
            <w:pPr>
              <w:spacing w:after="0"/>
              <w:rPr>
                <w:rFonts w:ascii="Arial" w:hAnsi="Arial"/>
                <w:sz w:val="16"/>
                <w:szCs w:val="16"/>
              </w:rPr>
            </w:pPr>
          </w:p>
        </w:tc>
        <w:tc>
          <w:tcPr>
            <w:tcW w:w="1275" w:type="dxa"/>
            <w:vMerge/>
            <w:tcBorders>
              <w:left w:val="single" w:sz="4" w:space="0" w:color="auto"/>
              <w:bottom w:val="single" w:sz="4" w:space="0" w:color="auto"/>
              <w:right w:val="single" w:sz="4" w:space="0" w:color="auto"/>
            </w:tcBorders>
            <w:shd w:val="clear" w:color="auto" w:fill="auto"/>
            <w:vAlign w:val="center"/>
          </w:tcPr>
          <w:p w14:paraId="00D29F05" w14:textId="77777777" w:rsidR="004F3D65" w:rsidRPr="003E76E7" w:rsidRDefault="004F3D65" w:rsidP="00C4292D">
            <w:pPr>
              <w:spacing w:after="0"/>
              <w:jc w:val="center"/>
              <w:rPr>
                <w:rFonts w:ascii="Arial" w:hAnsi="Arial"/>
                <w:b/>
                <w:bCs/>
                <w:sz w:val="16"/>
                <w:szCs w:val="16"/>
              </w:rPr>
            </w:pPr>
          </w:p>
        </w:tc>
        <w:tc>
          <w:tcPr>
            <w:tcW w:w="1560" w:type="dxa"/>
            <w:tcBorders>
              <w:top w:val="single" w:sz="4" w:space="0" w:color="auto"/>
              <w:left w:val="nil"/>
              <w:bottom w:val="single" w:sz="4" w:space="0" w:color="auto"/>
              <w:right w:val="single" w:sz="4" w:space="0" w:color="auto"/>
            </w:tcBorders>
            <w:shd w:val="clear" w:color="auto" w:fill="auto"/>
            <w:vAlign w:val="center"/>
          </w:tcPr>
          <w:p w14:paraId="2B2B359F" w14:textId="77777777" w:rsidR="004F3D65" w:rsidRPr="003E76E7" w:rsidRDefault="004F3D65" w:rsidP="00C4292D">
            <w:pPr>
              <w:spacing w:after="0"/>
              <w:rPr>
                <w:rFonts w:ascii="Arial" w:hAnsi="Arial"/>
                <w:sz w:val="16"/>
                <w:szCs w:val="16"/>
              </w:rPr>
            </w:pPr>
            <w:r w:rsidRPr="003E76E7">
              <w:rPr>
                <w:rFonts w:ascii="Arial" w:hAnsi="Arial"/>
                <w:sz w:val="16"/>
                <w:szCs w:val="16"/>
              </w:rPr>
              <w:t>Other Project Inputs to Capability</w:t>
            </w:r>
          </w:p>
        </w:tc>
        <w:tc>
          <w:tcPr>
            <w:tcW w:w="1228" w:type="dxa"/>
            <w:tcBorders>
              <w:top w:val="nil"/>
              <w:left w:val="single" w:sz="4" w:space="0" w:color="auto"/>
              <w:bottom w:val="single" w:sz="4" w:space="0" w:color="auto"/>
              <w:right w:val="single" w:sz="4" w:space="0" w:color="auto"/>
            </w:tcBorders>
            <w:shd w:val="clear" w:color="auto" w:fill="auto"/>
            <w:noWrap/>
            <w:vAlign w:val="center"/>
          </w:tcPr>
          <w:p w14:paraId="33B4CE16" w14:textId="25A2927B"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377 </w:t>
            </w:r>
          </w:p>
        </w:tc>
        <w:tc>
          <w:tcPr>
            <w:tcW w:w="1228" w:type="dxa"/>
            <w:tcBorders>
              <w:top w:val="nil"/>
              <w:left w:val="nil"/>
              <w:bottom w:val="single" w:sz="4" w:space="0" w:color="auto"/>
              <w:right w:val="single" w:sz="4" w:space="0" w:color="auto"/>
            </w:tcBorders>
            <w:shd w:val="clear" w:color="auto" w:fill="auto"/>
            <w:noWrap/>
            <w:vAlign w:val="center"/>
          </w:tcPr>
          <w:p w14:paraId="3A52DF3F" w14:textId="182F7902"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53 </w:t>
            </w:r>
          </w:p>
        </w:tc>
        <w:tc>
          <w:tcPr>
            <w:tcW w:w="1229" w:type="dxa"/>
            <w:tcBorders>
              <w:top w:val="nil"/>
              <w:left w:val="nil"/>
              <w:bottom w:val="single" w:sz="4" w:space="0" w:color="auto"/>
              <w:right w:val="single" w:sz="4" w:space="0" w:color="auto"/>
            </w:tcBorders>
            <w:shd w:val="clear" w:color="auto" w:fill="auto"/>
            <w:noWrap/>
            <w:vAlign w:val="center"/>
          </w:tcPr>
          <w:p w14:paraId="184B4D64" w14:textId="56BD5F9D"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24 </w:t>
            </w:r>
          </w:p>
        </w:tc>
        <w:tc>
          <w:tcPr>
            <w:tcW w:w="5307" w:type="dxa"/>
            <w:vMerge/>
            <w:tcBorders>
              <w:left w:val="single" w:sz="4" w:space="0" w:color="auto"/>
              <w:bottom w:val="single" w:sz="4" w:space="0" w:color="auto"/>
              <w:right w:val="single" w:sz="4" w:space="0" w:color="auto"/>
            </w:tcBorders>
            <w:shd w:val="clear" w:color="auto" w:fill="auto"/>
          </w:tcPr>
          <w:p w14:paraId="1BE4BADD" w14:textId="77777777" w:rsidR="004F3D65" w:rsidRPr="003E76E7" w:rsidRDefault="004F3D65" w:rsidP="00C4292D">
            <w:pPr>
              <w:keepNext/>
              <w:keepLines/>
              <w:spacing w:before="60" w:after="60"/>
              <w:rPr>
                <w:rFonts w:ascii="Arial" w:hAnsi="Arial"/>
                <w:sz w:val="16"/>
                <w:szCs w:val="16"/>
              </w:rPr>
            </w:pPr>
          </w:p>
        </w:tc>
      </w:tr>
      <w:tr w:rsidR="004F3D65" w:rsidRPr="003E76E7" w14:paraId="43EFB32E" w14:textId="77777777" w:rsidTr="00ED57D2">
        <w:trPr>
          <w:trHeight w:hRule="exact" w:val="1412"/>
        </w:trPr>
        <w:tc>
          <w:tcPr>
            <w:tcW w:w="15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4F8DC44" w14:textId="4D6B0B81" w:rsidR="004F3D65" w:rsidRPr="003E76E7" w:rsidRDefault="004F3D65" w:rsidP="00C4292D">
            <w:pPr>
              <w:spacing w:after="0"/>
              <w:rPr>
                <w:rFonts w:ascii="Arial" w:hAnsi="Arial"/>
                <w:sz w:val="16"/>
                <w:szCs w:val="16"/>
              </w:rPr>
            </w:pPr>
            <w:r w:rsidRPr="003E76E7">
              <w:rPr>
                <w:rFonts w:ascii="Arial" w:hAnsi="Arial"/>
                <w:sz w:val="16"/>
                <w:szCs w:val="16"/>
              </w:rPr>
              <w:t xml:space="preserve">Army Littoral Manoeuvre - Light </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A26F87D" w14:textId="77777777" w:rsidR="004F3D65" w:rsidRPr="003E76E7" w:rsidRDefault="004F3D65" w:rsidP="00C4292D">
            <w:pPr>
              <w:spacing w:after="0"/>
              <w:jc w:val="center"/>
              <w:rPr>
                <w:rFonts w:ascii="Arial" w:hAnsi="Arial"/>
                <w:b/>
                <w:bCs/>
                <w:sz w:val="16"/>
                <w:szCs w:val="16"/>
              </w:rPr>
            </w:pPr>
            <w:r w:rsidRPr="003E76E7">
              <w:rPr>
                <w:rFonts w:ascii="Arial" w:hAnsi="Arial"/>
                <w:b/>
                <w:bCs/>
                <w:sz w:val="16"/>
                <w:szCs w:val="16"/>
              </w:rPr>
              <w:t>LAND 8710 Phase 1</w:t>
            </w:r>
          </w:p>
        </w:tc>
        <w:tc>
          <w:tcPr>
            <w:tcW w:w="1560" w:type="dxa"/>
            <w:tcBorders>
              <w:top w:val="single" w:sz="4" w:space="0" w:color="auto"/>
              <w:left w:val="nil"/>
              <w:bottom w:val="single" w:sz="4" w:space="0" w:color="auto"/>
              <w:right w:val="single" w:sz="4" w:space="0" w:color="auto"/>
            </w:tcBorders>
            <w:shd w:val="clear" w:color="auto" w:fill="auto"/>
            <w:vAlign w:val="center"/>
          </w:tcPr>
          <w:p w14:paraId="7417C0CD" w14:textId="77777777" w:rsidR="004F3D65" w:rsidRPr="003E76E7" w:rsidRDefault="004F3D65" w:rsidP="00C4292D">
            <w:pPr>
              <w:spacing w:after="0"/>
              <w:rPr>
                <w:rFonts w:ascii="Arial" w:hAnsi="Arial"/>
                <w:sz w:val="16"/>
                <w:szCs w:val="16"/>
              </w:rPr>
            </w:pPr>
            <w:r w:rsidRPr="003E76E7">
              <w:rPr>
                <w:rFonts w:ascii="Arial" w:hAnsi="Arial"/>
                <w:sz w:val="16"/>
                <w:szCs w:val="16"/>
              </w:rPr>
              <w:t>Military Equipment Acquisition</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4C802B" w14:textId="620F6CFE"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2,302 </w:t>
            </w:r>
          </w:p>
        </w:tc>
        <w:tc>
          <w:tcPr>
            <w:tcW w:w="1228" w:type="dxa"/>
            <w:tcBorders>
              <w:top w:val="single" w:sz="4" w:space="0" w:color="auto"/>
              <w:left w:val="nil"/>
              <w:bottom w:val="single" w:sz="4" w:space="0" w:color="auto"/>
              <w:right w:val="single" w:sz="4" w:space="0" w:color="auto"/>
            </w:tcBorders>
            <w:shd w:val="clear" w:color="auto" w:fill="auto"/>
            <w:noWrap/>
            <w:vAlign w:val="center"/>
          </w:tcPr>
          <w:p w14:paraId="67DDC9A9" w14:textId="788714C7"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305 </w:t>
            </w:r>
          </w:p>
        </w:tc>
        <w:tc>
          <w:tcPr>
            <w:tcW w:w="1229" w:type="dxa"/>
            <w:tcBorders>
              <w:top w:val="single" w:sz="4" w:space="0" w:color="auto"/>
              <w:left w:val="nil"/>
              <w:bottom w:val="single" w:sz="4" w:space="0" w:color="auto"/>
              <w:right w:val="single" w:sz="4" w:space="0" w:color="auto"/>
            </w:tcBorders>
            <w:shd w:val="clear" w:color="auto" w:fill="auto"/>
            <w:noWrap/>
            <w:vAlign w:val="center"/>
          </w:tcPr>
          <w:p w14:paraId="428E42A5" w14:textId="0F4821BF"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221 </w:t>
            </w:r>
          </w:p>
        </w:tc>
        <w:tc>
          <w:tcPr>
            <w:tcW w:w="530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69F7D25" w14:textId="425D6AEA" w:rsidR="004F3D65" w:rsidRPr="003E76E7" w:rsidRDefault="004F3D65" w:rsidP="00C4292D">
            <w:pPr>
              <w:keepNext/>
              <w:keepLines/>
              <w:spacing w:before="60" w:after="60"/>
              <w:rPr>
                <w:rFonts w:ascii="Arial" w:hAnsi="Arial"/>
                <w:sz w:val="16"/>
                <w:szCs w:val="16"/>
                <w:lang w:val="en-AU"/>
              </w:rPr>
            </w:pPr>
            <w:r w:rsidRPr="003E76E7">
              <w:rPr>
                <w:rFonts w:ascii="Arial" w:hAnsi="Arial"/>
                <w:sz w:val="16"/>
                <w:szCs w:val="16"/>
                <w:lang w:val="en-AU"/>
              </w:rPr>
              <w:t xml:space="preserve">This project will acquire 18 Landing Craft Medium (LCM) and </w:t>
            </w:r>
            <w:r w:rsidRPr="003E76E7">
              <w:rPr>
                <w:rFonts w:ascii="Arial" w:hAnsi="Arial"/>
                <w:sz w:val="16"/>
                <w:szCs w:val="16"/>
                <w:lang w:val="en-AU"/>
              </w:rPr>
              <w:br/>
              <w:t xml:space="preserve">15 Amphibious Vehicle Logistics (AVL), allowing Army to replace the legacy landing craft (Landing Craft Mechanized, Mark 8) and the </w:t>
            </w:r>
            <w:r w:rsidRPr="003E76E7">
              <w:rPr>
                <w:rFonts w:ascii="Arial" w:hAnsi="Arial"/>
                <w:sz w:val="16"/>
                <w:szCs w:val="16"/>
                <w:lang w:val="en-AU"/>
              </w:rPr>
              <w:br/>
              <w:t xml:space="preserve">legacy over-the-shore capability (Lighter Amphibious Re-supply Cargo 5(V) ton). The LCM provides enhanced transport and deployment capability to a wider range of landing sites. It will be lightly armed for self-protection and capable of projecting loads up to 80 tonnes (including tanks, long-range fires, infantry fighting vehicles, other combat units and supplies). The AVL will provide over-the-shore mobility and sustainment of the Integrated Force in littoral environments inaccessible to landing craft or vehicles. It will be able to transport cargo loads of around five tonnes, playing an essential role in providing access over beaches and through waterways that may be obstructed by obstacles or debris. </w:t>
            </w:r>
          </w:p>
          <w:p w14:paraId="0F90E00B" w14:textId="28FCF84D" w:rsidR="004F3D65" w:rsidRPr="003E76E7" w:rsidRDefault="00A5119F" w:rsidP="00C4292D">
            <w:pPr>
              <w:keepNext/>
              <w:keepLines/>
              <w:spacing w:before="60" w:after="60"/>
              <w:rPr>
                <w:rFonts w:ascii="Arial" w:hAnsi="Arial"/>
                <w:sz w:val="16"/>
                <w:szCs w:val="16"/>
                <w:lang w:val="en-AU"/>
              </w:rPr>
            </w:pPr>
            <w:r>
              <w:rPr>
                <w:rFonts w:ascii="Arial" w:hAnsi="Arial"/>
                <w:sz w:val="16"/>
                <w:szCs w:val="16"/>
                <w:lang w:val="en-AU"/>
              </w:rPr>
              <w:t>In</w:t>
            </w:r>
            <w:r w:rsidRPr="003E76E7">
              <w:rPr>
                <w:rFonts w:ascii="Arial" w:hAnsi="Arial"/>
                <w:sz w:val="16"/>
                <w:szCs w:val="16"/>
                <w:lang w:val="en-AU"/>
              </w:rPr>
              <w:t xml:space="preserve"> 2026-27, the project will commence production for LCM 1 and the AV-L project </w:t>
            </w:r>
            <w:r>
              <w:rPr>
                <w:rFonts w:ascii="Arial" w:hAnsi="Arial"/>
                <w:sz w:val="16"/>
                <w:szCs w:val="16"/>
                <w:lang w:val="en-AU"/>
              </w:rPr>
              <w:t>p</w:t>
            </w:r>
            <w:r w:rsidRPr="003E76E7">
              <w:rPr>
                <w:rFonts w:ascii="Arial" w:hAnsi="Arial"/>
                <w:sz w:val="16"/>
                <w:szCs w:val="16"/>
                <w:lang w:val="en-AU"/>
              </w:rPr>
              <w:t>rototype.</w:t>
            </w:r>
          </w:p>
        </w:tc>
      </w:tr>
      <w:tr w:rsidR="004F3D65" w:rsidRPr="003E76E7" w14:paraId="0FE21A82" w14:textId="77777777" w:rsidTr="00ED57D2">
        <w:trPr>
          <w:trHeight w:hRule="exact" w:val="1985"/>
        </w:trPr>
        <w:tc>
          <w:tcPr>
            <w:tcW w:w="1550" w:type="dxa"/>
            <w:vMerge/>
            <w:tcBorders>
              <w:left w:val="single" w:sz="4" w:space="0" w:color="auto"/>
              <w:bottom w:val="single" w:sz="4" w:space="0" w:color="auto"/>
              <w:right w:val="single" w:sz="4" w:space="0" w:color="auto"/>
            </w:tcBorders>
            <w:shd w:val="clear" w:color="auto" w:fill="auto"/>
            <w:vAlign w:val="center"/>
          </w:tcPr>
          <w:p w14:paraId="5DB9B37E" w14:textId="77777777" w:rsidR="004F3D65" w:rsidRPr="003E76E7" w:rsidRDefault="004F3D65" w:rsidP="00C4292D">
            <w:pPr>
              <w:spacing w:after="0"/>
              <w:rPr>
                <w:rFonts w:ascii="Arial" w:hAnsi="Arial"/>
                <w:sz w:val="16"/>
                <w:szCs w:val="16"/>
              </w:rPr>
            </w:pPr>
          </w:p>
        </w:tc>
        <w:tc>
          <w:tcPr>
            <w:tcW w:w="1275" w:type="dxa"/>
            <w:vMerge/>
            <w:tcBorders>
              <w:left w:val="single" w:sz="4" w:space="0" w:color="auto"/>
              <w:bottom w:val="single" w:sz="4" w:space="0" w:color="auto"/>
              <w:right w:val="single" w:sz="4" w:space="0" w:color="auto"/>
            </w:tcBorders>
            <w:shd w:val="clear" w:color="auto" w:fill="auto"/>
            <w:vAlign w:val="center"/>
          </w:tcPr>
          <w:p w14:paraId="3827C310" w14:textId="77777777" w:rsidR="004F3D65" w:rsidRPr="003E76E7" w:rsidRDefault="004F3D65" w:rsidP="00C4292D">
            <w:pPr>
              <w:spacing w:after="0"/>
              <w:jc w:val="center"/>
              <w:rPr>
                <w:rFonts w:ascii="Arial" w:hAnsi="Arial"/>
                <w:b/>
                <w:bCs/>
                <w:sz w:val="16"/>
                <w:szCs w:val="16"/>
              </w:rPr>
            </w:pPr>
          </w:p>
        </w:tc>
        <w:tc>
          <w:tcPr>
            <w:tcW w:w="1560" w:type="dxa"/>
            <w:tcBorders>
              <w:top w:val="single" w:sz="4" w:space="0" w:color="auto"/>
              <w:left w:val="nil"/>
              <w:bottom w:val="single" w:sz="4" w:space="0" w:color="auto"/>
              <w:right w:val="single" w:sz="4" w:space="0" w:color="auto"/>
            </w:tcBorders>
            <w:shd w:val="clear" w:color="auto" w:fill="auto"/>
            <w:vAlign w:val="center"/>
          </w:tcPr>
          <w:p w14:paraId="687311EE" w14:textId="77777777" w:rsidR="004F3D65" w:rsidRPr="003E76E7" w:rsidRDefault="004F3D65" w:rsidP="00C4292D">
            <w:pPr>
              <w:spacing w:after="0"/>
              <w:rPr>
                <w:rFonts w:ascii="Arial" w:hAnsi="Arial"/>
                <w:sz w:val="16"/>
                <w:szCs w:val="16"/>
              </w:rPr>
            </w:pPr>
            <w:r w:rsidRPr="003E76E7">
              <w:rPr>
                <w:rFonts w:ascii="Arial" w:hAnsi="Arial"/>
                <w:sz w:val="16"/>
                <w:szCs w:val="16"/>
              </w:rPr>
              <w:t>Other Project Inputs to Capability</w:t>
            </w:r>
          </w:p>
        </w:tc>
        <w:tc>
          <w:tcPr>
            <w:tcW w:w="1228" w:type="dxa"/>
            <w:tcBorders>
              <w:top w:val="nil"/>
              <w:left w:val="single" w:sz="4" w:space="0" w:color="auto"/>
              <w:bottom w:val="single" w:sz="4" w:space="0" w:color="auto"/>
              <w:right w:val="single" w:sz="4" w:space="0" w:color="auto"/>
            </w:tcBorders>
            <w:shd w:val="clear" w:color="auto" w:fill="auto"/>
            <w:noWrap/>
            <w:vAlign w:val="center"/>
          </w:tcPr>
          <w:p w14:paraId="2183BE7D" w14:textId="10A25F4A"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288 </w:t>
            </w:r>
          </w:p>
        </w:tc>
        <w:tc>
          <w:tcPr>
            <w:tcW w:w="1228" w:type="dxa"/>
            <w:tcBorders>
              <w:top w:val="nil"/>
              <w:left w:val="nil"/>
              <w:bottom w:val="single" w:sz="4" w:space="0" w:color="auto"/>
              <w:right w:val="single" w:sz="4" w:space="0" w:color="auto"/>
            </w:tcBorders>
            <w:shd w:val="clear" w:color="auto" w:fill="auto"/>
            <w:noWrap/>
            <w:vAlign w:val="center"/>
          </w:tcPr>
          <w:p w14:paraId="562F91E2" w14:textId="35C8A7BC"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52 </w:t>
            </w:r>
          </w:p>
        </w:tc>
        <w:tc>
          <w:tcPr>
            <w:tcW w:w="1229" w:type="dxa"/>
            <w:tcBorders>
              <w:top w:val="nil"/>
              <w:left w:val="nil"/>
              <w:bottom w:val="single" w:sz="4" w:space="0" w:color="auto"/>
              <w:right w:val="single" w:sz="4" w:space="0" w:color="auto"/>
            </w:tcBorders>
            <w:shd w:val="clear" w:color="auto" w:fill="auto"/>
            <w:noWrap/>
            <w:vAlign w:val="center"/>
          </w:tcPr>
          <w:p w14:paraId="79FC6816" w14:textId="34FD15F6"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38 </w:t>
            </w:r>
          </w:p>
        </w:tc>
        <w:tc>
          <w:tcPr>
            <w:tcW w:w="5307" w:type="dxa"/>
            <w:vMerge/>
            <w:tcBorders>
              <w:top w:val="single" w:sz="4" w:space="0" w:color="auto"/>
              <w:left w:val="single" w:sz="4" w:space="0" w:color="auto"/>
              <w:bottom w:val="single" w:sz="4" w:space="0" w:color="auto"/>
              <w:right w:val="single" w:sz="4" w:space="0" w:color="auto"/>
            </w:tcBorders>
            <w:shd w:val="clear" w:color="auto" w:fill="auto"/>
          </w:tcPr>
          <w:p w14:paraId="6331FDCA" w14:textId="77777777" w:rsidR="004F3D65" w:rsidRPr="003E76E7" w:rsidRDefault="004F3D65" w:rsidP="00C4292D">
            <w:pPr>
              <w:keepNext/>
              <w:keepLines/>
              <w:spacing w:before="60" w:after="60"/>
              <w:rPr>
                <w:rFonts w:ascii="Arial" w:hAnsi="Arial"/>
                <w:sz w:val="16"/>
                <w:szCs w:val="16"/>
              </w:rPr>
            </w:pPr>
          </w:p>
        </w:tc>
      </w:tr>
    </w:tbl>
    <w:p w14:paraId="701FA4D2" w14:textId="77777777" w:rsidR="004F3D65" w:rsidRPr="003E76E7" w:rsidRDefault="004F3D65" w:rsidP="00C4292D">
      <w:pPr>
        <w:pStyle w:val="BodyText"/>
        <w:rPr>
          <w:rFonts w:ascii="Arial" w:hAnsi="Arial"/>
          <w:b/>
        </w:rPr>
      </w:pPr>
      <w:r w:rsidRPr="003E76E7">
        <w:br w:type="page"/>
      </w:r>
      <w:r w:rsidRPr="003E76E7">
        <w:rPr>
          <w:rFonts w:ascii="Arial" w:hAnsi="Arial"/>
          <w:b/>
        </w:rPr>
        <w:lastRenderedPageBreak/>
        <w:t>Table 54: Top 30 Military Equipment Acquisition Program Approved Projects by 2026-27 Forecast Expenditure (Gross Plan) (Continued)</w:t>
      </w:r>
      <w:r w:rsidRPr="003E76E7">
        <w:rPr>
          <w:rFonts w:ascii="Arial" w:hAnsi="Arial"/>
          <w:b/>
          <w:vertAlign w:val="superscript"/>
        </w:rPr>
        <w:t xml:space="preserve"> [a][b][c]</w:t>
      </w:r>
    </w:p>
    <w:tbl>
      <w:tblPr>
        <w:tblW w:w="4981" w:type="pct"/>
        <w:tblInd w:w="5" w:type="dxa"/>
        <w:tblLayout w:type="fixed"/>
        <w:tblLook w:val="04A0" w:firstRow="1" w:lastRow="0" w:firstColumn="1" w:lastColumn="0" w:noHBand="0" w:noVBand="1"/>
      </w:tblPr>
      <w:tblGrid>
        <w:gridCol w:w="1711"/>
        <w:gridCol w:w="1256"/>
        <w:gridCol w:w="1559"/>
        <w:gridCol w:w="1228"/>
        <w:gridCol w:w="1229"/>
        <w:gridCol w:w="1229"/>
        <w:gridCol w:w="5165"/>
      </w:tblGrid>
      <w:tr w:rsidR="004F3D65" w:rsidRPr="003E76E7" w14:paraId="154A0C52" w14:textId="77777777" w:rsidTr="00ED57D2">
        <w:trPr>
          <w:trHeight w:hRule="exact" w:val="1108"/>
        </w:trPr>
        <w:tc>
          <w:tcPr>
            <w:tcW w:w="1711" w:type="dxa"/>
            <w:tcBorders>
              <w:top w:val="single" w:sz="4" w:space="0" w:color="auto"/>
              <w:left w:val="single" w:sz="4" w:space="0" w:color="auto"/>
              <w:right w:val="single" w:sz="4" w:space="0" w:color="auto"/>
            </w:tcBorders>
            <w:shd w:val="clear" w:color="auto" w:fill="auto"/>
            <w:vAlign w:val="center"/>
          </w:tcPr>
          <w:p w14:paraId="090303F4" w14:textId="77777777" w:rsidR="004F3D65" w:rsidRPr="003E76E7" w:rsidRDefault="004F3D65" w:rsidP="00C4292D">
            <w:pPr>
              <w:spacing w:after="0"/>
              <w:rPr>
                <w:rFonts w:ascii="Arial" w:hAnsi="Arial"/>
                <w:sz w:val="16"/>
                <w:szCs w:val="16"/>
                <w:lang w:val="en-AU"/>
              </w:rPr>
            </w:pPr>
            <w:r w:rsidRPr="003E76E7">
              <w:rPr>
                <w:rFonts w:ascii="Arial" w:hAnsi="Arial"/>
                <w:b/>
                <w:bCs/>
                <w:sz w:val="16"/>
                <w:szCs w:val="16"/>
              </w:rPr>
              <w:t>Domain/Project Name</w:t>
            </w:r>
          </w:p>
        </w:tc>
        <w:tc>
          <w:tcPr>
            <w:tcW w:w="1256" w:type="dxa"/>
            <w:tcBorders>
              <w:top w:val="single" w:sz="4" w:space="0" w:color="auto"/>
              <w:left w:val="single" w:sz="4" w:space="0" w:color="auto"/>
              <w:right w:val="single" w:sz="4" w:space="0" w:color="auto"/>
            </w:tcBorders>
            <w:shd w:val="clear" w:color="auto" w:fill="auto"/>
            <w:vAlign w:val="center"/>
          </w:tcPr>
          <w:p w14:paraId="53BB5E43" w14:textId="77777777" w:rsidR="004F3D65" w:rsidRPr="003E76E7" w:rsidRDefault="004F3D65" w:rsidP="00C4292D">
            <w:pPr>
              <w:spacing w:after="0"/>
              <w:jc w:val="center"/>
              <w:rPr>
                <w:rFonts w:ascii="Arial" w:hAnsi="Arial"/>
                <w:b/>
                <w:bCs/>
                <w:sz w:val="16"/>
                <w:szCs w:val="16"/>
                <w:lang w:val="en-AU"/>
              </w:rPr>
            </w:pPr>
            <w:r w:rsidRPr="003E76E7">
              <w:rPr>
                <w:rFonts w:ascii="Arial" w:hAnsi="Arial"/>
                <w:b/>
                <w:bCs/>
                <w:sz w:val="16"/>
                <w:szCs w:val="16"/>
              </w:rPr>
              <w:t>Project Number/</w:t>
            </w:r>
            <w:r w:rsidRPr="003E76E7">
              <w:rPr>
                <w:rFonts w:ascii="Arial" w:hAnsi="Arial"/>
                <w:b/>
                <w:bCs/>
                <w:sz w:val="16"/>
                <w:szCs w:val="16"/>
              </w:rPr>
              <w:br/>
              <w:t>Phase</w:t>
            </w:r>
          </w:p>
        </w:tc>
        <w:tc>
          <w:tcPr>
            <w:tcW w:w="1559" w:type="dxa"/>
            <w:tcBorders>
              <w:top w:val="single" w:sz="4" w:space="0" w:color="auto"/>
              <w:left w:val="nil"/>
              <w:bottom w:val="single" w:sz="4" w:space="0" w:color="auto"/>
              <w:right w:val="single" w:sz="4" w:space="0" w:color="auto"/>
            </w:tcBorders>
            <w:shd w:val="clear" w:color="auto" w:fill="auto"/>
            <w:vAlign w:val="center"/>
          </w:tcPr>
          <w:p w14:paraId="561C1A23" w14:textId="77777777" w:rsidR="004F3D65" w:rsidRPr="003E76E7" w:rsidRDefault="004F3D65" w:rsidP="00C4292D">
            <w:pPr>
              <w:spacing w:after="0"/>
              <w:rPr>
                <w:rFonts w:ascii="Arial" w:hAnsi="Arial"/>
                <w:sz w:val="16"/>
                <w:szCs w:val="16"/>
              </w:rPr>
            </w:pPr>
            <w:r w:rsidRPr="003E76E7">
              <w:rPr>
                <w:rFonts w:ascii="Arial" w:hAnsi="Arial"/>
                <w:b/>
                <w:bCs/>
                <w:sz w:val="16"/>
                <w:szCs w:val="16"/>
              </w:rPr>
              <w:t>Project Inputs to Capability</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239CD7" w14:textId="77777777" w:rsidR="004F3D65" w:rsidRPr="003E76E7" w:rsidRDefault="004F3D65" w:rsidP="00C4292D">
            <w:pPr>
              <w:spacing w:before="0" w:after="0"/>
              <w:jc w:val="right"/>
              <w:rPr>
                <w:rFonts w:ascii="Arial" w:hAnsi="Arial"/>
                <w:b/>
                <w:bCs/>
                <w:sz w:val="16"/>
                <w:szCs w:val="16"/>
              </w:rPr>
            </w:pPr>
            <w:r w:rsidRPr="003E76E7">
              <w:rPr>
                <w:rFonts w:ascii="Arial" w:hAnsi="Arial"/>
                <w:b/>
                <w:bCs/>
                <w:sz w:val="16"/>
                <w:szCs w:val="16"/>
              </w:rPr>
              <w:t>Approved Project Expenditure</w:t>
            </w:r>
          </w:p>
          <w:p w14:paraId="64449BB3" w14:textId="77777777" w:rsidR="004F3D65" w:rsidRPr="003E76E7" w:rsidRDefault="004F3D65" w:rsidP="00C4292D">
            <w:pPr>
              <w:spacing w:before="0" w:after="0"/>
              <w:jc w:val="right"/>
              <w:rPr>
                <w:rFonts w:ascii="Arial" w:hAnsi="Arial"/>
                <w:b/>
                <w:bCs/>
                <w:sz w:val="16"/>
                <w:szCs w:val="16"/>
              </w:rPr>
            </w:pPr>
          </w:p>
          <w:p w14:paraId="371619B0" w14:textId="77777777" w:rsidR="004F3D65" w:rsidRPr="003E76E7" w:rsidRDefault="004F3D65" w:rsidP="00C4292D">
            <w:pPr>
              <w:spacing w:after="0"/>
              <w:jc w:val="right"/>
              <w:rPr>
                <w:rFonts w:ascii="Arial" w:hAnsi="Arial"/>
                <w:sz w:val="16"/>
                <w:szCs w:val="16"/>
              </w:rPr>
            </w:pPr>
            <w:r w:rsidRPr="003E76E7">
              <w:rPr>
                <w:rFonts w:ascii="Arial" w:hAnsi="Arial"/>
                <w:b/>
                <w:bCs/>
                <w:sz w:val="16"/>
                <w:szCs w:val="16"/>
              </w:rPr>
              <w:t xml:space="preserve"> $m</w:t>
            </w:r>
          </w:p>
        </w:tc>
        <w:tc>
          <w:tcPr>
            <w:tcW w:w="1229" w:type="dxa"/>
            <w:tcBorders>
              <w:top w:val="single" w:sz="4" w:space="0" w:color="auto"/>
              <w:left w:val="nil"/>
              <w:bottom w:val="single" w:sz="4" w:space="0" w:color="auto"/>
              <w:right w:val="single" w:sz="4" w:space="0" w:color="auto"/>
            </w:tcBorders>
            <w:shd w:val="clear" w:color="auto" w:fill="auto"/>
            <w:noWrap/>
            <w:vAlign w:val="center"/>
          </w:tcPr>
          <w:p w14:paraId="65E451D9" w14:textId="77777777" w:rsidR="004F3D65" w:rsidRPr="003E76E7" w:rsidRDefault="004F3D65" w:rsidP="00C4292D">
            <w:pPr>
              <w:spacing w:before="0" w:after="0"/>
              <w:jc w:val="right"/>
              <w:rPr>
                <w:rFonts w:ascii="Arial" w:hAnsi="Arial"/>
                <w:b/>
                <w:bCs/>
                <w:sz w:val="16"/>
                <w:szCs w:val="16"/>
              </w:rPr>
            </w:pPr>
            <w:r w:rsidRPr="003E76E7">
              <w:rPr>
                <w:rFonts w:ascii="Arial" w:hAnsi="Arial"/>
                <w:b/>
                <w:bCs/>
                <w:sz w:val="16"/>
                <w:szCs w:val="16"/>
              </w:rPr>
              <w:t>Estimated Cumulative Expenditure to 30 June 2026</w:t>
            </w:r>
          </w:p>
          <w:p w14:paraId="0324D4AB" w14:textId="77777777" w:rsidR="004F3D65" w:rsidRPr="003E76E7" w:rsidRDefault="004F3D65" w:rsidP="00ED57D2">
            <w:pPr>
              <w:spacing w:before="0" w:after="0"/>
              <w:jc w:val="right"/>
              <w:rPr>
                <w:rFonts w:ascii="Arial" w:hAnsi="Arial"/>
                <w:sz w:val="16"/>
                <w:szCs w:val="16"/>
              </w:rPr>
            </w:pPr>
            <w:r w:rsidRPr="003E76E7">
              <w:rPr>
                <w:rFonts w:ascii="Arial" w:hAnsi="Arial"/>
                <w:b/>
                <w:bCs/>
                <w:sz w:val="16"/>
                <w:szCs w:val="16"/>
              </w:rPr>
              <w:t xml:space="preserve"> $m</w:t>
            </w:r>
          </w:p>
        </w:tc>
        <w:tc>
          <w:tcPr>
            <w:tcW w:w="1229" w:type="dxa"/>
            <w:tcBorders>
              <w:top w:val="single" w:sz="4" w:space="0" w:color="auto"/>
              <w:left w:val="nil"/>
              <w:bottom w:val="single" w:sz="4" w:space="0" w:color="auto"/>
              <w:right w:val="single" w:sz="4" w:space="0" w:color="auto"/>
            </w:tcBorders>
            <w:shd w:val="clear" w:color="auto" w:fill="auto"/>
            <w:noWrap/>
            <w:vAlign w:val="center"/>
          </w:tcPr>
          <w:p w14:paraId="36FF47A3" w14:textId="77777777" w:rsidR="004F3D65" w:rsidRPr="003E76E7" w:rsidRDefault="004F3D65" w:rsidP="00C4292D">
            <w:pPr>
              <w:spacing w:before="0" w:after="0"/>
              <w:jc w:val="right"/>
              <w:rPr>
                <w:rFonts w:ascii="Arial" w:hAnsi="Arial"/>
                <w:b/>
                <w:bCs/>
                <w:sz w:val="16"/>
                <w:szCs w:val="16"/>
              </w:rPr>
            </w:pPr>
            <w:r w:rsidRPr="003E76E7">
              <w:rPr>
                <w:rFonts w:ascii="Arial" w:hAnsi="Arial"/>
                <w:b/>
                <w:bCs/>
                <w:sz w:val="16"/>
                <w:szCs w:val="16"/>
              </w:rPr>
              <w:t xml:space="preserve">Budget Estimate 2026-27 </w:t>
            </w:r>
          </w:p>
          <w:p w14:paraId="7A6C15CD" w14:textId="77777777" w:rsidR="004F3D65" w:rsidRPr="003E76E7" w:rsidRDefault="004F3D65" w:rsidP="00C4292D">
            <w:pPr>
              <w:spacing w:before="0" w:after="0"/>
              <w:jc w:val="right"/>
              <w:rPr>
                <w:rFonts w:ascii="Arial" w:hAnsi="Arial"/>
                <w:b/>
                <w:bCs/>
                <w:sz w:val="16"/>
                <w:szCs w:val="16"/>
              </w:rPr>
            </w:pPr>
          </w:p>
          <w:p w14:paraId="1F8D454C" w14:textId="77777777" w:rsidR="004F3D65" w:rsidRPr="003E76E7" w:rsidRDefault="004F3D65" w:rsidP="00C4292D">
            <w:pPr>
              <w:spacing w:after="0"/>
              <w:jc w:val="right"/>
              <w:rPr>
                <w:rFonts w:ascii="Arial" w:hAnsi="Arial"/>
                <w:sz w:val="16"/>
                <w:szCs w:val="16"/>
              </w:rPr>
            </w:pPr>
            <w:r w:rsidRPr="003E76E7">
              <w:rPr>
                <w:rFonts w:ascii="Arial" w:hAnsi="Arial"/>
                <w:b/>
                <w:bCs/>
                <w:sz w:val="16"/>
                <w:szCs w:val="16"/>
              </w:rPr>
              <w:t>$m</w:t>
            </w:r>
          </w:p>
        </w:tc>
        <w:tc>
          <w:tcPr>
            <w:tcW w:w="5165" w:type="dxa"/>
            <w:tcBorders>
              <w:top w:val="single" w:sz="4" w:space="0" w:color="auto"/>
              <w:left w:val="single" w:sz="4" w:space="0" w:color="auto"/>
              <w:right w:val="single" w:sz="4" w:space="0" w:color="auto"/>
            </w:tcBorders>
            <w:shd w:val="clear" w:color="auto" w:fill="auto"/>
            <w:vAlign w:val="center"/>
          </w:tcPr>
          <w:p w14:paraId="09A836C6" w14:textId="77777777" w:rsidR="004F3D65" w:rsidRPr="003E76E7" w:rsidRDefault="004F3D65" w:rsidP="00C4292D">
            <w:pPr>
              <w:pStyle w:val="CommentText"/>
              <w:rPr>
                <w:rFonts w:ascii="Arial" w:hAnsi="Arial"/>
                <w:sz w:val="16"/>
                <w:szCs w:val="16"/>
              </w:rPr>
            </w:pPr>
            <w:r w:rsidRPr="003E76E7">
              <w:rPr>
                <w:rFonts w:ascii="Arial" w:hAnsi="Arial"/>
                <w:b/>
                <w:bCs/>
                <w:sz w:val="16"/>
                <w:szCs w:val="16"/>
              </w:rPr>
              <w:t>Top 30 Military Equipment Acquisition Project Descriptions</w:t>
            </w:r>
          </w:p>
        </w:tc>
      </w:tr>
      <w:tr w:rsidR="004F3D65" w:rsidRPr="003E76E7" w14:paraId="7E569BC5" w14:textId="77777777" w:rsidTr="00ED57D2">
        <w:trPr>
          <w:trHeight w:hRule="exact" w:val="355"/>
        </w:trPr>
        <w:tc>
          <w:tcPr>
            <w:tcW w:w="13377"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C756B7" w14:textId="77777777" w:rsidR="004F3D65" w:rsidRPr="003E76E7" w:rsidRDefault="004F3D65" w:rsidP="00C4292D">
            <w:pPr>
              <w:pStyle w:val="CommentText"/>
              <w:rPr>
                <w:rFonts w:ascii="Arial" w:hAnsi="Arial"/>
                <w:b/>
                <w:bCs/>
                <w:sz w:val="16"/>
                <w:szCs w:val="16"/>
              </w:rPr>
            </w:pPr>
            <w:r w:rsidRPr="003E76E7">
              <w:rPr>
                <w:rFonts w:ascii="Arial" w:hAnsi="Arial"/>
                <w:b/>
                <w:bCs/>
                <w:sz w:val="16"/>
                <w:szCs w:val="16"/>
              </w:rPr>
              <w:t>Land Domain (Continued)</w:t>
            </w:r>
            <w:r w:rsidRPr="003E76E7">
              <w:rPr>
                <w:rFonts w:ascii="Arial" w:hAnsi="Arial"/>
                <w:sz w:val="16"/>
                <w:szCs w:val="16"/>
              </w:rPr>
              <w:t> </w:t>
            </w:r>
          </w:p>
        </w:tc>
      </w:tr>
      <w:tr w:rsidR="004F3D65" w:rsidRPr="003E76E7" w14:paraId="7BCA461E" w14:textId="77777777" w:rsidTr="00ED57D2">
        <w:trPr>
          <w:trHeight w:hRule="exact" w:val="1171"/>
        </w:trPr>
        <w:tc>
          <w:tcPr>
            <w:tcW w:w="1711" w:type="dxa"/>
            <w:vMerge w:val="restart"/>
            <w:tcBorders>
              <w:top w:val="single" w:sz="4" w:space="0" w:color="auto"/>
              <w:left w:val="single" w:sz="4" w:space="0" w:color="auto"/>
              <w:right w:val="single" w:sz="4" w:space="0" w:color="auto"/>
            </w:tcBorders>
            <w:shd w:val="clear" w:color="auto" w:fill="auto"/>
            <w:vAlign w:val="center"/>
          </w:tcPr>
          <w:p w14:paraId="5BA2C6FB" w14:textId="67E7B3D0" w:rsidR="004F3D65" w:rsidRPr="003E76E7" w:rsidRDefault="004F3D65" w:rsidP="00C4292D">
            <w:pPr>
              <w:spacing w:after="0"/>
              <w:rPr>
                <w:rFonts w:ascii="Arial" w:hAnsi="Arial"/>
                <w:sz w:val="16"/>
                <w:szCs w:val="16"/>
              </w:rPr>
            </w:pPr>
            <w:r w:rsidRPr="003E76E7">
              <w:rPr>
                <w:rFonts w:ascii="Arial" w:hAnsi="Arial"/>
                <w:sz w:val="16"/>
                <w:szCs w:val="16"/>
              </w:rPr>
              <w:t>Landing Craft - Heavy</w:t>
            </w:r>
          </w:p>
        </w:tc>
        <w:tc>
          <w:tcPr>
            <w:tcW w:w="1256" w:type="dxa"/>
            <w:vMerge w:val="restart"/>
            <w:tcBorders>
              <w:top w:val="single" w:sz="4" w:space="0" w:color="auto"/>
              <w:left w:val="single" w:sz="4" w:space="0" w:color="auto"/>
              <w:right w:val="single" w:sz="4" w:space="0" w:color="auto"/>
            </w:tcBorders>
            <w:shd w:val="clear" w:color="auto" w:fill="auto"/>
            <w:vAlign w:val="center"/>
          </w:tcPr>
          <w:p w14:paraId="0EB8731D" w14:textId="77777777" w:rsidR="004F3D65" w:rsidRPr="003E76E7" w:rsidRDefault="004F3D65" w:rsidP="00C4292D">
            <w:pPr>
              <w:spacing w:after="0"/>
              <w:jc w:val="center"/>
              <w:rPr>
                <w:rFonts w:ascii="Arial" w:hAnsi="Arial"/>
                <w:b/>
                <w:bCs/>
                <w:sz w:val="16"/>
                <w:szCs w:val="16"/>
              </w:rPr>
            </w:pPr>
            <w:r w:rsidRPr="003E76E7">
              <w:rPr>
                <w:rFonts w:ascii="Arial" w:hAnsi="Arial"/>
                <w:b/>
                <w:bCs/>
                <w:sz w:val="16"/>
                <w:szCs w:val="16"/>
              </w:rPr>
              <w:t>LAND 8710 Phase 2</w:t>
            </w:r>
          </w:p>
        </w:tc>
        <w:tc>
          <w:tcPr>
            <w:tcW w:w="1559" w:type="dxa"/>
            <w:tcBorders>
              <w:top w:val="single" w:sz="4" w:space="0" w:color="auto"/>
              <w:left w:val="nil"/>
              <w:bottom w:val="single" w:sz="4" w:space="0" w:color="auto"/>
              <w:right w:val="single" w:sz="4" w:space="0" w:color="auto"/>
            </w:tcBorders>
            <w:shd w:val="clear" w:color="auto" w:fill="auto"/>
            <w:vAlign w:val="center"/>
          </w:tcPr>
          <w:p w14:paraId="5524D08A" w14:textId="77777777" w:rsidR="004F3D65" w:rsidRPr="003E76E7" w:rsidRDefault="004F3D65" w:rsidP="00C4292D">
            <w:pPr>
              <w:spacing w:after="0"/>
              <w:rPr>
                <w:rFonts w:ascii="Arial" w:hAnsi="Arial"/>
                <w:sz w:val="16"/>
                <w:szCs w:val="16"/>
              </w:rPr>
            </w:pPr>
            <w:r w:rsidRPr="003E76E7">
              <w:rPr>
                <w:rFonts w:ascii="Arial" w:hAnsi="Arial"/>
                <w:sz w:val="16"/>
                <w:szCs w:val="16"/>
              </w:rPr>
              <w:t>Military Equipment Acquisition</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611009" w14:textId="020D981B"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7,261 </w:t>
            </w:r>
          </w:p>
        </w:tc>
        <w:tc>
          <w:tcPr>
            <w:tcW w:w="1229" w:type="dxa"/>
            <w:tcBorders>
              <w:top w:val="single" w:sz="4" w:space="0" w:color="auto"/>
              <w:left w:val="nil"/>
              <w:bottom w:val="single" w:sz="4" w:space="0" w:color="auto"/>
              <w:right w:val="single" w:sz="4" w:space="0" w:color="auto"/>
            </w:tcBorders>
            <w:shd w:val="clear" w:color="auto" w:fill="auto"/>
            <w:noWrap/>
            <w:vAlign w:val="center"/>
          </w:tcPr>
          <w:p w14:paraId="26B0CAD7" w14:textId="43B93548"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105 </w:t>
            </w:r>
          </w:p>
        </w:tc>
        <w:tc>
          <w:tcPr>
            <w:tcW w:w="1229" w:type="dxa"/>
            <w:tcBorders>
              <w:top w:val="single" w:sz="4" w:space="0" w:color="auto"/>
              <w:left w:val="nil"/>
              <w:bottom w:val="single" w:sz="4" w:space="0" w:color="auto"/>
              <w:right w:val="single" w:sz="4" w:space="0" w:color="auto"/>
            </w:tcBorders>
            <w:shd w:val="clear" w:color="auto" w:fill="auto"/>
            <w:noWrap/>
            <w:vAlign w:val="center"/>
          </w:tcPr>
          <w:p w14:paraId="67625BF8" w14:textId="154F9DF2"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241 </w:t>
            </w:r>
          </w:p>
        </w:tc>
        <w:tc>
          <w:tcPr>
            <w:tcW w:w="5165" w:type="dxa"/>
            <w:vMerge w:val="restart"/>
            <w:tcBorders>
              <w:top w:val="single" w:sz="4" w:space="0" w:color="000000"/>
              <w:left w:val="single" w:sz="4" w:space="0" w:color="auto"/>
              <w:right w:val="single" w:sz="4" w:space="0" w:color="auto"/>
            </w:tcBorders>
            <w:shd w:val="clear" w:color="auto" w:fill="auto"/>
            <w:vAlign w:val="center"/>
          </w:tcPr>
          <w:p w14:paraId="436F145B" w14:textId="60E2BE8F" w:rsidR="004F3D65" w:rsidRPr="003E76E7" w:rsidRDefault="004F3D65" w:rsidP="00FB08A8">
            <w:pPr>
              <w:keepNext/>
              <w:keepLines/>
              <w:spacing w:before="0" w:after="60"/>
              <w:rPr>
                <w:rFonts w:ascii="Arial" w:hAnsi="Arial"/>
                <w:sz w:val="16"/>
                <w:szCs w:val="16"/>
              </w:rPr>
            </w:pPr>
            <w:r w:rsidRPr="003E76E7">
              <w:rPr>
                <w:rFonts w:ascii="Arial" w:hAnsi="Arial"/>
                <w:sz w:val="16"/>
                <w:szCs w:val="16"/>
              </w:rPr>
              <w:t xml:space="preserve">This project will acquire eight Landing Craft Heavy (LCH) to provide the reach and lift to manoeuvre Army’s modernised combined-arms land system in littoral environments. </w:t>
            </w:r>
          </w:p>
          <w:p w14:paraId="176CCA0B" w14:textId="77777777" w:rsidR="004F3D65" w:rsidRPr="003E76E7" w:rsidRDefault="004F3D65" w:rsidP="00C4292D">
            <w:pPr>
              <w:keepNext/>
              <w:keepLines/>
              <w:spacing w:before="60" w:after="60"/>
              <w:rPr>
                <w:rFonts w:ascii="Arial" w:hAnsi="Arial"/>
                <w:sz w:val="16"/>
                <w:szCs w:val="16"/>
              </w:rPr>
            </w:pPr>
            <w:r w:rsidRPr="003E76E7">
              <w:rPr>
                <w:rFonts w:ascii="Arial" w:hAnsi="Arial"/>
                <w:sz w:val="16"/>
                <w:szCs w:val="16"/>
              </w:rPr>
              <w:t>The LCH, designed by Damen Naval, will be capable of transporting more than 500 tonnes of long range precision strike weapons and other units by sea, greatly enhancing the Australian Defence Force’s amphibious capability and humanitarian and disaster relief.</w:t>
            </w:r>
          </w:p>
          <w:p w14:paraId="438FB973" w14:textId="5EFF9656" w:rsidR="004F3D65" w:rsidRPr="003E76E7" w:rsidRDefault="004F3D65" w:rsidP="00A5119F">
            <w:pPr>
              <w:keepNext/>
              <w:keepLines/>
              <w:spacing w:before="60" w:after="0"/>
              <w:rPr>
                <w:rFonts w:ascii="Arial" w:hAnsi="Arial"/>
                <w:sz w:val="16"/>
                <w:szCs w:val="16"/>
                <w:lang w:val="en-AU"/>
              </w:rPr>
            </w:pPr>
            <w:r w:rsidRPr="003E76E7">
              <w:rPr>
                <w:rFonts w:ascii="Arial" w:hAnsi="Arial"/>
                <w:sz w:val="16"/>
                <w:szCs w:val="16"/>
              </w:rPr>
              <w:t>During 2026-27, the project will commence production for LCH 1</w:t>
            </w:r>
            <w:r w:rsidR="00A5119F">
              <w:rPr>
                <w:rFonts w:ascii="Arial" w:hAnsi="Arial"/>
                <w:sz w:val="16"/>
                <w:szCs w:val="16"/>
              </w:rPr>
              <w:t>.</w:t>
            </w:r>
          </w:p>
        </w:tc>
      </w:tr>
      <w:tr w:rsidR="004F3D65" w:rsidRPr="003E76E7" w14:paraId="4DD6F682" w14:textId="77777777" w:rsidTr="00ED57D2">
        <w:trPr>
          <w:trHeight w:hRule="exact" w:val="1144"/>
        </w:trPr>
        <w:tc>
          <w:tcPr>
            <w:tcW w:w="1711" w:type="dxa"/>
            <w:vMerge/>
            <w:tcBorders>
              <w:left w:val="single" w:sz="4" w:space="0" w:color="auto"/>
              <w:right w:val="single" w:sz="4" w:space="0" w:color="auto"/>
            </w:tcBorders>
            <w:shd w:val="clear" w:color="auto" w:fill="auto"/>
            <w:vAlign w:val="center"/>
          </w:tcPr>
          <w:p w14:paraId="19F0E8D5" w14:textId="77777777" w:rsidR="004F3D65" w:rsidRPr="003E76E7" w:rsidRDefault="004F3D65" w:rsidP="00C4292D">
            <w:pPr>
              <w:spacing w:after="0"/>
              <w:rPr>
                <w:rFonts w:ascii="Arial" w:hAnsi="Arial"/>
                <w:sz w:val="16"/>
                <w:szCs w:val="16"/>
              </w:rPr>
            </w:pPr>
          </w:p>
        </w:tc>
        <w:tc>
          <w:tcPr>
            <w:tcW w:w="1256" w:type="dxa"/>
            <w:vMerge/>
            <w:tcBorders>
              <w:left w:val="single" w:sz="4" w:space="0" w:color="auto"/>
              <w:right w:val="single" w:sz="4" w:space="0" w:color="auto"/>
            </w:tcBorders>
            <w:shd w:val="clear" w:color="auto" w:fill="auto"/>
            <w:vAlign w:val="center"/>
          </w:tcPr>
          <w:p w14:paraId="4A20F7A3" w14:textId="77777777" w:rsidR="004F3D65" w:rsidRPr="003E76E7" w:rsidRDefault="004F3D65" w:rsidP="00C4292D">
            <w:pPr>
              <w:spacing w:after="0"/>
              <w:jc w:val="center"/>
              <w:rPr>
                <w:rFonts w:ascii="Arial" w:hAnsi="Arial"/>
                <w:b/>
                <w:bCs/>
                <w:sz w:val="16"/>
                <w:szCs w:val="16"/>
              </w:rPr>
            </w:pPr>
          </w:p>
        </w:tc>
        <w:tc>
          <w:tcPr>
            <w:tcW w:w="1559" w:type="dxa"/>
            <w:tcBorders>
              <w:top w:val="single" w:sz="4" w:space="0" w:color="auto"/>
              <w:left w:val="nil"/>
              <w:bottom w:val="single" w:sz="4" w:space="0" w:color="auto"/>
              <w:right w:val="single" w:sz="4" w:space="0" w:color="auto"/>
            </w:tcBorders>
            <w:shd w:val="clear" w:color="auto" w:fill="auto"/>
            <w:vAlign w:val="center"/>
          </w:tcPr>
          <w:p w14:paraId="6DC91442" w14:textId="77777777" w:rsidR="004F3D65" w:rsidRPr="003E76E7" w:rsidRDefault="004F3D65" w:rsidP="00C4292D">
            <w:pPr>
              <w:spacing w:after="0"/>
              <w:rPr>
                <w:rFonts w:ascii="Arial" w:hAnsi="Arial"/>
                <w:sz w:val="16"/>
                <w:szCs w:val="16"/>
              </w:rPr>
            </w:pPr>
            <w:r w:rsidRPr="003E76E7">
              <w:rPr>
                <w:rFonts w:ascii="Arial" w:hAnsi="Arial"/>
                <w:sz w:val="16"/>
                <w:szCs w:val="16"/>
              </w:rPr>
              <w:t>Other Project Inputs to Capability</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1B2555" w14:textId="355CF3DD"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1,517 </w:t>
            </w:r>
          </w:p>
        </w:tc>
        <w:tc>
          <w:tcPr>
            <w:tcW w:w="1229" w:type="dxa"/>
            <w:tcBorders>
              <w:top w:val="single" w:sz="4" w:space="0" w:color="auto"/>
              <w:left w:val="nil"/>
              <w:bottom w:val="single" w:sz="4" w:space="0" w:color="auto"/>
              <w:right w:val="single" w:sz="4" w:space="0" w:color="auto"/>
            </w:tcBorders>
            <w:shd w:val="clear" w:color="auto" w:fill="auto"/>
            <w:noWrap/>
            <w:vAlign w:val="center"/>
          </w:tcPr>
          <w:p w14:paraId="6A74035F" w14:textId="131A967E"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2 </w:t>
            </w:r>
          </w:p>
        </w:tc>
        <w:tc>
          <w:tcPr>
            <w:tcW w:w="1229" w:type="dxa"/>
            <w:tcBorders>
              <w:top w:val="single" w:sz="4" w:space="0" w:color="auto"/>
              <w:left w:val="nil"/>
              <w:bottom w:val="single" w:sz="4" w:space="0" w:color="auto"/>
              <w:right w:val="single" w:sz="4" w:space="0" w:color="auto"/>
            </w:tcBorders>
            <w:shd w:val="clear" w:color="auto" w:fill="auto"/>
            <w:noWrap/>
            <w:vAlign w:val="center"/>
          </w:tcPr>
          <w:p w14:paraId="7FB23703" w14:textId="01D017FA"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3 </w:t>
            </w:r>
          </w:p>
        </w:tc>
        <w:tc>
          <w:tcPr>
            <w:tcW w:w="5165" w:type="dxa"/>
            <w:vMerge/>
            <w:tcBorders>
              <w:left w:val="single" w:sz="4" w:space="0" w:color="auto"/>
              <w:right w:val="single" w:sz="4" w:space="0" w:color="auto"/>
            </w:tcBorders>
            <w:shd w:val="clear" w:color="auto" w:fill="auto"/>
            <w:vAlign w:val="center"/>
          </w:tcPr>
          <w:p w14:paraId="72F576AE" w14:textId="77777777" w:rsidR="004F3D65" w:rsidRPr="003E76E7" w:rsidRDefault="004F3D65" w:rsidP="00C4292D">
            <w:pPr>
              <w:kinsoku w:val="0"/>
              <w:overflowPunct w:val="0"/>
              <w:autoSpaceDE w:val="0"/>
              <w:autoSpaceDN w:val="0"/>
              <w:adjustRightInd w:val="0"/>
              <w:spacing w:before="0" w:after="0" w:line="178" w:lineRule="exact"/>
              <w:rPr>
                <w:rFonts w:ascii="Arial" w:hAnsi="Arial"/>
                <w:sz w:val="16"/>
                <w:szCs w:val="16"/>
                <w:lang w:val="en-AU"/>
              </w:rPr>
            </w:pPr>
          </w:p>
        </w:tc>
      </w:tr>
      <w:tr w:rsidR="004F3D65" w:rsidRPr="003E76E7" w14:paraId="77365B8E" w14:textId="77777777" w:rsidTr="00ED57D2">
        <w:trPr>
          <w:trHeight w:hRule="exact" w:val="1266"/>
        </w:trPr>
        <w:tc>
          <w:tcPr>
            <w:tcW w:w="1711" w:type="dxa"/>
            <w:vMerge w:val="restart"/>
            <w:tcBorders>
              <w:top w:val="single" w:sz="4" w:space="0" w:color="auto"/>
              <w:left w:val="single" w:sz="4" w:space="0" w:color="auto"/>
              <w:right w:val="single" w:sz="4" w:space="0" w:color="auto"/>
            </w:tcBorders>
            <w:shd w:val="clear" w:color="auto" w:fill="auto"/>
            <w:vAlign w:val="center"/>
          </w:tcPr>
          <w:p w14:paraId="4ABBB876" w14:textId="77777777" w:rsidR="004F3D65" w:rsidRPr="003E76E7" w:rsidRDefault="004F3D65" w:rsidP="00C4292D">
            <w:pPr>
              <w:spacing w:after="0"/>
              <w:rPr>
                <w:rFonts w:ascii="Arial" w:hAnsi="Arial"/>
                <w:sz w:val="16"/>
                <w:szCs w:val="16"/>
              </w:rPr>
            </w:pPr>
            <w:r w:rsidRPr="003E76E7">
              <w:rPr>
                <w:rFonts w:ascii="Arial" w:hAnsi="Arial"/>
                <w:sz w:val="16"/>
                <w:szCs w:val="16"/>
              </w:rPr>
              <w:t>Long Range Fires - Upgrade 2</w:t>
            </w:r>
          </w:p>
        </w:tc>
        <w:tc>
          <w:tcPr>
            <w:tcW w:w="1256" w:type="dxa"/>
            <w:vMerge w:val="restart"/>
            <w:tcBorders>
              <w:top w:val="single" w:sz="4" w:space="0" w:color="auto"/>
              <w:left w:val="single" w:sz="4" w:space="0" w:color="auto"/>
              <w:right w:val="single" w:sz="4" w:space="0" w:color="auto"/>
            </w:tcBorders>
            <w:shd w:val="clear" w:color="auto" w:fill="auto"/>
            <w:vAlign w:val="center"/>
          </w:tcPr>
          <w:p w14:paraId="1EA05B8A" w14:textId="77777777" w:rsidR="004F3D65" w:rsidRPr="003E76E7" w:rsidRDefault="004F3D65" w:rsidP="00C4292D">
            <w:pPr>
              <w:spacing w:after="0"/>
              <w:jc w:val="center"/>
              <w:rPr>
                <w:rFonts w:ascii="Arial" w:hAnsi="Arial"/>
                <w:b/>
                <w:bCs/>
                <w:sz w:val="16"/>
                <w:szCs w:val="16"/>
              </w:rPr>
            </w:pPr>
            <w:r w:rsidRPr="003E76E7">
              <w:rPr>
                <w:rFonts w:ascii="Arial" w:hAnsi="Arial"/>
                <w:b/>
                <w:bCs/>
                <w:sz w:val="16"/>
                <w:szCs w:val="16"/>
              </w:rPr>
              <w:t>LAND 8113 Phase 2</w:t>
            </w:r>
          </w:p>
        </w:tc>
        <w:tc>
          <w:tcPr>
            <w:tcW w:w="1559" w:type="dxa"/>
            <w:tcBorders>
              <w:top w:val="single" w:sz="4" w:space="0" w:color="auto"/>
              <w:left w:val="nil"/>
              <w:bottom w:val="single" w:sz="4" w:space="0" w:color="auto"/>
              <w:right w:val="single" w:sz="4" w:space="0" w:color="auto"/>
            </w:tcBorders>
            <w:shd w:val="clear" w:color="auto" w:fill="auto"/>
            <w:vAlign w:val="center"/>
          </w:tcPr>
          <w:p w14:paraId="08E47A5A" w14:textId="77777777" w:rsidR="004F3D65" w:rsidRPr="003E76E7" w:rsidRDefault="004F3D65" w:rsidP="00C4292D">
            <w:pPr>
              <w:spacing w:after="0"/>
              <w:rPr>
                <w:rFonts w:ascii="Arial" w:hAnsi="Arial"/>
                <w:sz w:val="16"/>
                <w:szCs w:val="16"/>
              </w:rPr>
            </w:pPr>
            <w:r w:rsidRPr="003E76E7">
              <w:rPr>
                <w:rFonts w:ascii="Arial" w:hAnsi="Arial"/>
                <w:sz w:val="16"/>
                <w:szCs w:val="16"/>
              </w:rPr>
              <w:t>Military Equipment Acquisition</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369188" w14:textId="40FE005C"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3,115 </w:t>
            </w:r>
          </w:p>
        </w:tc>
        <w:tc>
          <w:tcPr>
            <w:tcW w:w="1229" w:type="dxa"/>
            <w:tcBorders>
              <w:top w:val="single" w:sz="4" w:space="0" w:color="auto"/>
              <w:left w:val="nil"/>
              <w:bottom w:val="single" w:sz="4" w:space="0" w:color="auto"/>
              <w:right w:val="single" w:sz="4" w:space="0" w:color="auto"/>
            </w:tcBorders>
            <w:shd w:val="clear" w:color="auto" w:fill="auto"/>
            <w:noWrap/>
            <w:vAlign w:val="center"/>
          </w:tcPr>
          <w:p w14:paraId="0879E926" w14:textId="1933E21F"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154 </w:t>
            </w:r>
          </w:p>
        </w:tc>
        <w:tc>
          <w:tcPr>
            <w:tcW w:w="1229" w:type="dxa"/>
            <w:tcBorders>
              <w:top w:val="single" w:sz="4" w:space="0" w:color="auto"/>
              <w:left w:val="nil"/>
              <w:bottom w:val="single" w:sz="4" w:space="0" w:color="auto"/>
              <w:right w:val="single" w:sz="4" w:space="0" w:color="auto"/>
            </w:tcBorders>
            <w:shd w:val="clear" w:color="auto" w:fill="auto"/>
            <w:noWrap/>
            <w:vAlign w:val="center"/>
          </w:tcPr>
          <w:p w14:paraId="47F20902" w14:textId="41369B3E"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192 </w:t>
            </w:r>
          </w:p>
        </w:tc>
        <w:tc>
          <w:tcPr>
            <w:tcW w:w="5165" w:type="dxa"/>
            <w:vMerge w:val="restart"/>
            <w:tcBorders>
              <w:top w:val="single" w:sz="4" w:space="0" w:color="000000"/>
              <w:left w:val="single" w:sz="4" w:space="0" w:color="auto"/>
              <w:right w:val="single" w:sz="4" w:space="0" w:color="auto"/>
            </w:tcBorders>
            <w:shd w:val="clear" w:color="auto" w:fill="auto"/>
            <w:vAlign w:val="center"/>
          </w:tcPr>
          <w:p w14:paraId="2B506007" w14:textId="1D9C9E42" w:rsidR="004F3D65" w:rsidRPr="003E76E7" w:rsidRDefault="004F3D65" w:rsidP="00C4292D">
            <w:pPr>
              <w:kinsoku w:val="0"/>
              <w:overflowPunct w:val="0"/>
              <w:autoSpaceDE w:val="0"/>
              <w:autoSpaceDN w:val="0"/>
              <w:adjustRightInd w:val="0"/>
              <w:spacing w:before="60" w:after="60" w:line="178" w:lineRule="exact"/>
              <w:rPr>
                <w:rFonts w:ascii="Arial" w:hAnsi="Arial"/>
                <w:sz w:val="16"/>
                <w:szCs w:val="16"/>
                <w:lang w:val="en-AU"/>
              </w:rPr>
            </w:pPr>
            <w:r w:rsidRPr="003E76E7">
              <w:rPr>
                <w:rFonts w:ascii="Arial" w:hAnsi="Arial"/>
                <w:sz w:val="16"/>
                <w:szCs w:val="16"/>
                <w:lang w:val="en-AU"/>
              </w:rPr>
              <w:t xml:space="preserve">This project comprises two sub-projects </w:t>
            </w:r>
            <w:r w:rsidR="00A5119F">
              <w:rPr>
                <w:rFonts w:ascii="Arial" w:hAnsi="Arial"/>
                <w:sz w:val="16"/>
                <w:szCs w:val="16"/>
                <w:lang w:val="en-AU"/>
              </w:rPr>
              <w:t xml:space="preserve">at different stages of approval. </w:t>
            </w:r>
            <w:r w:rsidRPr="003E76E7">
              <w:rPr>
                <w:rFonts w:ascii="Arial" w:hAnsi="Arial"/>
                <w:sz w:val="16"/>
                <w:szCs w:val="16"/>
                <w:lang w:val="en-AU"/>
              </w:rPr>
              <w:t xml:space="preserve">Multi Mission Phased Array Radar will deliver </w:t>
            </w:r>
            <w:r w:rsidRPr="003E76E7">
              <w:rPr>
                <w:rFonts w:ascii="Arial" w:hAnsi="Arial"/>
                <w:sz w:val="16"/>
                <w:szCs w:val="16"/>
                <w:lang w:val="en-AU"/>
              </w:rPr>
              <w:br/>
              <w:t xml:space="preserve">14 land-based radar sensors capable of supporting long-range precision fires, counter-battery missions, and the integrated force. The Second Long Range Fires Regiment will expand Army’s </w:t>
            </w:r>
            <w:r w:rsidR="00D92594">
              <w:rPr>
                <w:rFonts w:ascii="Arial" w:hAnsi="Arial"/>
                <w:sz w:val="16"/>
                <w:szCs w:val="16"/>
                <w:lang w:val="en-AU"/>
              </w:rPr>
              <w:br/>
            </w:r>
            <w:r w:rsidRPr="003E76E7">
              <w:rPr>
                <w:rFonts w:ascii="Arial" w:hAnsi="Arial"/>
                <w:sz w:val="16"/>
                <w:szCs w:val="16"/>
                <w:lang w:val="en-AU"/>
              </w:rPr>
              <w:t>long-range fires capability through the delivery of a second regiment, capable of land-based maritime strike.</w:t>
            </w:r>
          </w:p>
          <w:p w14:paraId="4580BF44" w14:textId="77777777" w:rsidR="004F3D65" w:rsidRPr="003E76E7" w:rsidRDefault="004F3D65" w:rsidP="00C4292D">
            <w:pPr>
              <w:keepNext/>
              <w:keepLines/>
              <w:spacing w:before="60" w:after="60"/>
              <w:rPr>
                <w:rFonts w:ascii="Arial" w:hAnsi="Arial"/>
                <w:sz w:val="16"/>
                <w:szCs w:val="16"/>
              </w:rPr>
            </w:pPr>
            <w:r w:rsidRPr="003E76E7">
              <w:rPr>
                <w:rFonts w:ascii="Arial" w:hAnsi="Arial"/>
                <w:sz w:val="16"/>
                <w:szCs w:val="16"/>
                <w:lang w:val="en-AU"/>
              </w:rPr>
              <w:t xml:space="preserve">During 2026-27, the Multi Mission Phased Array Radar </w:t>
            </w:r>
            <w:r w:rsidRPr="003E76E7">
              <w:rPr>
                <w:rFonts w:ascii="Arial" w:hAnsi="Arial"/>
                <w:sz w:val="16"/>
                <w:szCs w:val="16"/>
                <w:lang w:val="en-AU"/>
              </w:rPr>
              <w:br/>
              <w:t xml:space="preserve">sub-project will continue key capability development activities, including Command and Control Vehicle design, facilities, training and progressing the support contract. The Second Long Range Fires Regiment sub-project will commence acquisition of the second regiment capabilities. </w:t>
            </w:r>
          </w:p>
        </w:tc>
      </w:tr>
      <w:tr w:rsidR="004F3D65" w:rsidRPr="003E76E7" w14:paraId="13C4AE79" w14:textId="77777777" w:rsidTr="00ED57D2">
        <w:trPr>
          <w:trHeight w:hRule="exact" w:val="1566"/>
        </w:trPr>
        <w:tc>
          <w:tcPr>
            <w:tcW w:w="1711" w:type="dxa"/>
            <w:vMerge/>
            <w:tcBorders>
              <w:left w:val="single" w:sz="4" w:space="0" w:color="auto"/>
              <w:bottom w:val="single" w:sz="4" w:space="0" w:color="auto"/>
              <w:right w:val="single" w:sz="4" w:space="0" w:color="auto"/>
            </w:tcBorders>
            <w:shd w:val="clear" w:color="auto" w:fill="auto"/>
            <w:vAlign w:val="center"/>
          </w:tcPr>
          <w:p w14:paraId="7B635E34" w14:textId="77777777" w:rsidR="004F3D65" w:rsidRPr="003E76E7" w:rsidRDefault="004F3D65" w:rsidP="00C4292D">
            <w:pPr>
              <w:spacing w:after="0"/>
              <w:rPr>
                <w:rFonts w:ascii="Arial" w:hAnsi="Arial"/>
                <w:sz w:val="16"/>
                <w:szCs w:val="16"/>
              </w:rPr>
            </w:pPr>
          </w:p>
        </w:tc>
        <w:tc>
          <w:tcPr>
            <w:tcW w:w="1256" w:type="dxa"/>
            <w:vMerge/>
            <w:tcBorders>
              <w:left w:val="single" w:sz="4" w:space="0" w:color="auto"/>
              <w:bottom w:val="single" w:sz="4" w:space="0" w:color="auto"/>
              <w:right w:val="single" w:sz="4" w:space="0" w:color="auto"/>
            </w:tcBorders>
            <w:shd w:val="clear" w:color="auto" w:fill="auto"/>
            <w:vAlign w:val="center"/>
          </w:tcPr>
          <w:p w14:paraId="2E21E867" w14:textId="77777777" w:rsidR="004F3D65" w:rsidRPr="003E76E7" w:rsidRDefault="004F3D65" w:rsidP="00C4292D">
            <w:pPr>
              <w:spacing w:after="0"/>
              <w:jc w:val="center"/>
              <w:rPr>
                <w:rFonts w:ascii="Arial" w:hAnsi="Arial"/>
                <w:b/>
                <w:bCs/>
                <w:sz w:val="16"/>
                <w:szCs w:val="16"/>
              </w:rPr>
            </w:pPr>
          </w:p>
        </w:tc>
        <w:tc>
          <w:tcPr>
            <w:tcW w:w="1559" w:type="dxa"/>
            <w:tcBorders>
              <w:top w:val="single" w:sz="4" w:space="0" w:color="auto"/>
              <w:left w:val="nil"/>
              <w:bottom w:val="single" w:sz="4" w:space="0" w:color="auto"/>
              <w:right w:val="single" w:sz="4" w:space="0" w:color="auto"/>
            </w:tcBorders>
            <w:shd w:val="clear" w:color="auto" w:fill="auto"/>
            <w:vAlign w:val="center"/>
          </w:tcPr>
          <w:p w14:paraId="65DD8677" w14:textId="77777777" w:rsidR="004F3D65" w:rsidRPr="003E76E7" w:rsidRDefault="004F3D65" w:rsidP="00C4292D">
            <w:pPr>
              <w:spacing w:after="0"/>
              <w:rPr>
                <w:rFonts w:ascii="Arial" w:hAnsi="Arial"/>
                <w:sz w:val="16"/>
                <w:szCs w:val="16"/>
              </w:rPr>
            </w:pPr>
            <w:r w:rsidRPr="003E76E7">
              <w:rPr>
                <w:rFonts w:ascii="Arial" w:hAnsi="Arial"/>
                <w:sz w:val="16"/>
                <w:szCs w:val="16"/>
              </w:rPr>
              <w:t>Other Project Inputs to Capability</w:t>
            </w:r>
          </w:p>
        </w:tc>
        <w:tc>
          <w:tcPr>
            <w:tcW w:w="1228" w:type="dxa"/>
            <w:tcBorders>
              <w:top w:val="nil"/>
              <w:left w:val="single" w:sz="4" w:space="0" w:color="auto"/>
              <w:bottom w:val="single" w:sz="4" w:space="0" w:color="auto"/>
              <w:right w:val="single" w:sz="4" w:space="0" w:color="auto"/>
            </w:tcBorders>
            <w:shd w:val="clear" w:color="auto" w:fill="auto"/>
            <w:noWrap/>
            <w:vAlign w:val="center"/>
          </w:tcPr>
          <w:p w14:paraId="7E7C7545" w14:textId="45F99ED8"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227 </w:t>
            </w:r>
          </w:p>
        </w:tc>
        <w:tc>
          <w:tcPr>
            <w:tcW w:w="1229" w:type="dxa"/>
            <w:tcBorders>
              <w:top w:val="nil"/>
              <w:left w:val="nil"/>
              <w:bottom w:val="single" w:sz="4" w:space="0" w:color="auto"/>
              <w:right w:val="single" w:sz="4" w:space="0" w:color="auto"/>
            </w:tcBorders>
            <w:shd w:val="clear" w:color="auto" w:fill="auto"/>
            <w:noWrap/>
            <w:vAlign w:val="center"/>
          </w:tcPr>
          <w:p w14:paraId="07ABC371" w14:textId="78690D88"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8 </w:t>
            </w:r>
          </w:p>
        </w:tc>
        <w:tc>
          <w:tcPr>
            <w:tcW w:w="1229" w:type="dxa"/>
            <w:tcBorders>
              <w:top w:val="nil"/>
              <w:left w:val="nil"/>
              <w:bottom w:val="single" w:sz="4" w:space="0" w:color="auto"/>
              <w:right w:val="single" w:sz="4" w:space="0" w:color="auto"/>
            </w:tcBorders>
            <w:shd w:val="clear" w:color="auto" w:fill="auto"/>
            <w:noWrap/>
            <w:vAlign w:val="center"/>
          </w:tcPr>
          <w:p w14:paraId="637584C4" w14:textId="3AF896A6"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49 </w:t>
            </w:r>
          </w:p>
        </w:tc>
        <w:tc>
          <w:tcPr>
            <w:tcW w:w="5165" w:type="dxa"/>
            <w:vMerge/>
            <w:tcBorders>
              <w:left w:val="single" w:sz="4" w:space="0" w:color="auto"/>
              <w:bottom w:val="single" w:sz="4" w:space="0" w:color="auto"/>
              <w:right w:val="single" w:sz="4" w:space="0" w:color="auto"/>
            </w:tcBorders>
            <w:shd w:val="clear" w:color="auto" w:fill="auto"/>
          </w:tcPr>
          <w:p w14:paraId="2E732E51" w14:textId="77777777" w:rsidR="004F3D65" w:rsidRPr="003E76E7" w:rsidRDefault="004F3D65" w:rsidP="00C4292D">
            <w:pPr>
              <w:keepNext/>
              <w:keepLines/>
              <w:spacing w:before="60" w:after="60"/>
              <w:rPr>
                <w:rFonts w:ascii="Arial" w:hAnsi="Arial"/>
                <w:sz w:val="16"/>
                <w:szCs w:val="16"/>
              </w:rPr>
            </w:pPr>
          </w:p>
        </w:tc>
      </w:tr>
    </w:tbl>
    <w:p w14:paraId="7B6611A6" w14:textId="77777777" w:rsidR="004F3D65" w:rsidRPr="003E76E7" w:rsidRDefault="004F3D65" w:rsidP="00C4292D">
      <w:pPr>
        <w:pStyle w:val="BodyText"/>
        <w:rPr>
          <w:rFonts w:ascii="Arial" w:hAnsi="Arial"/>
          <w:b/>
        </w:rPr>
      </w:pPr>
      <w:r w:rsidRPr="003E76E7">
        <w:br w:type="page"/>
      </w:r>
      <w:r w:rsidRPr="003E76E7">
        <w:rPr>
          <w:rFonts w:ascii="Arial" w:hAnsi="Arial"/>
          <w:b/>
        </w:rPr>
        <w:lastRenderedPageBreak/>
        <w:t>Table 54: Top 30 Military Equipment Acquisition Program Approved Projects by 2026-27 Forecast Expenditure (Gross Plan) (Continued)</w:t>
      </w:r>
      <w:r w:rsidRPr="003E76E7">
        <w:rPr>
          <w:rFonts w:ascii="Arial" w:hAnsi="Arial"/>
          <w:b/>
          <w:vertAlign w:val="superscript"/>
        </w:rPr>
        <w:t xml:space="preserve"> [a][b][c]</w:t>
      </w:r>
    </w:p>
    <w:tbl>
      <w:tblPr>
        <w:tblW w:w="4981" w:type="pct"/>
        <w:tblInd w:w="5" w:type="dxa"/>
        <w:tblLayout w:type="fixed"/>
        <w:tblLook w:val="04A0" w:firstRow="1" w:lastRow="0" w:firstColumn="1" w:lastColumn="0" w:noHBand="0" w:noVBand="1"/>
      </w:tblPr>
      <w:tblGrid>
        <w:gridCol w:w="1711"/>
        <w:gridCol w:w="1256"/>
        <w:gridCol w:w="1701"/>
        <w:gridCol w:w="1228"/>
        <w:gridCol w:w="1229"/>
        <w:gridCol w:w="1229"/>
        <w:gridCol w:w="5023"/>
      </w:tblGrid>
      <w:tr w:rsidR="004F3D65" w:rsidRPr="003E76E7" w14:paraId="21F748E6" w14:textId="77777777" w:rsidTr="00ED57D2">
        <w:trPr>
          <w:trHeight w:hRule="exact" w:val="1222"/>
        </w:trPr>
        <w:tc>
          <w:tcPr>
            <w:tcW w:w="1711" w:type="dxa"/>
            <w:tcBorders>
              <w:top w:val="single" w:sz="4" w:space="0" w:color="auto"/>
              <w:left w:val="single" w:sz="4" w:space="0" w:color="auto"/>
              <w:right w:val="single" w:sz="4" w:space="0" w:color="auto"/>
            </w:tcBorders>
            <w:shd w:val="clear" w:color="auto" w:fill="auto"/>
            <w:vAlign w:val="center"/>
          </w:tcPr>
          <w:p w14:paraId="15C00844" w14:textId="77777777" w:rsidR="004F3D65" w:rsidRPr="003E76E7" w:rsidRDefault="004F3D65" w:rsidP="00C4292D">
            <w:pPr>
              <w:spacing w:after="0"/>
              <w:rPr>
                <w:rFonts w:ascii="Arial" w:hAnsi="Arial"/>
                <w:sz w:val="16"/>
                <w:szCs w:val="16"/>
                <w:lang w:val="en-AU"/>
              </w:rPr>
            </w:pPr>
            <w:r w:rsidRPr="003E76E7">
              <w:rPr>
                <w:rFonts w:ascii="Arial" w:hAnsi="Arial"/>
                <w:b/>
                <w:bCs/>
                <w:sz w:val="16"/>
                <w:szCs w:val="16"/>
              </w:rPr>
              <w:t>Domain/Project Name</w:t>
            </w:r>
          </w:p>
        </w:tc>
        <w:tc>
          <w:tcPr>
            <w:tcW w:w="1256" w:type="dxa"/>
            <w:tcBorders>
              <w:top w:val="single" w:sz="4" w:space="0" w:color="auto"/>
              <w:left w:val="single" w:sz="4" w:space="0" w:color="auto"/>
              <w:right w:val="single" w:sz="4" w:space="0" w:color="auto"/>
            </w:tcBorders>
            <w:shd w:val="clear" w:color="auto" w:fill="auto"/>
            <w:vAlign w:val="center"/>
          </w:tcPr>
          <w:p w14:paraId="0309CF08" w14:textId="77777777" w:rsidR="004F3D65" w:rsidRPr="003E76E7" w:rsidRDefault="004F3D65" w:rsidP="00C4292D">
            <w:pPr>
              <w:spacing w:after="0"/>
              <w:jc w:val="center"/>
              <w:rPr>
                <w:rFonts w:ascii="Arial" w:hAnsi="Arial"/>
                <w:b/>
                <w:bCs/>
                <w:sz w:val="16"/>
                <w:szCs w:val="16"/>
                <w:lang w:val="en-AU"/>
              </w:rPr>
            </w:pPr>
            <w:r w:rsidRPr="003E76E7">
              <w:rPr>
                <w:rFonts w:ascii="Arial" w:hAnsi="Arial"/>
                <w:b/>
                <w:bCs/>
                <w:sz w:val="16"/>
                <w:szCs w:val="16"/>
              </w:rPr>
              <w:t>Project Number/</w:t>
            </w:r>
            <w:r w:rsidRPr="003E76E7">
              <w:rPr>
                <w:rFonts w:ascii="Arial" w:hAnsi="Arial"/>
                <w:b/>
                <w:bCs/>
                <w:sz w:val="16"/>
                <w:szCs w:val="16"/>
              </w:rPr>
              <w:br/>
              <w:t>Phase</w:t>
            </w:r>
          </w:p>
        </w:tc>
        <w:tc>
          <w:tcPr>
            <w:tcW w:w="1701" w:type="dxa"/>
            <w:tcBorders>
              <w:top w:val="single" w:sz="4" w:space="0" w:color="auto"/>
              <w:left w:val="nil"/>
              <w:bottom w:val="single" w:sz="4" w:space="0" w:color="auto"/>
              <w:right w:val="single" w:sz="4" w:space="0" w:color="auto"/>
            </w:tcBorders>
            <w:shd w:val="clear" w:color="auto" w:fill="auto"/>
            <w:vAlign w:val="center"/>
          </w:tcPr>
          <w:p w14:paraId="2A580D78" w14:textId="77777777" w:rsidR="004F3D65" w:rsidRPr="003E76E7" w:rsidRDefault="004F3D65" w:rsidP="00C4292D">
            <w:pPr>
              <w:spacing w:after="0"/>
              <w:rPr>
                <w:rFonts w:ascii="Arial" w:hAnsi="Arial"/>
                <w:sz w:val="16"/>
                <w:szCs w:val="16"/>
              </w:rPr>
            </w:pPr>
            <w:r w:rsidRPr="003E76E7">
              <w:rPr>
                <w:rFonts w:ascii="Arial" w:hAnsi="Arial"/>
                <w:b/>
                <w:bCs/>
                <w:sz w:val="16"/>
                <w:szCs w:val="16"/>
              </w:rPr>
              <w:t>Project Inputs to Capability</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098AD8" w14:textId="77777777" w:rsidR="004F3D65" w:rsidRPr="003E76E7" w:rsidRDefault="004F3D65" w:rsidP="00C4292D">
            <w:pPr>
              <w:spacing w:before="0" w:after="0"/>
              <w:jc w:val="right"/>
              <w:rPr>
                <w:rFonts w:ascii="Arial" w:hAnsi="Arial"/>
                <w:b/>
                <w:bCs/>
                <w:sz w:val="16"/>
                <w:szCs w:val="16"/>
              </w:rPr>
            </w:pPr>
            <w:r w:rsidRPr="003E76E7">
              <w:rPr>
                <w:rFonts w:ascii="Arial" w:hAnsi="Arial"/>
                <w:b/>
                <w:bCs/>
                <w:sz w:val="16"/>
                <w:szCs w:val="16"/>
              </w:rPr>
              <w:t>Approved Project Expenditure</w:t>
            </w:r>
          </w:p>
          <w:p w14:paraId="7C202734" w14:textId="77777777" w:rsidR="004F3D65" w:rsidRPr="003E76E7" w:rsidRDefault="004F3D65" w:rsidP="00C4292D">
            <w:pPr>
              <w:spacing w:before="0" w:after="0"/>
              <w:jc w:val="right"/>
              <w:rPr>
                <w:rFonts w:ascii="Arial" w:hAnsi="Arial"/>
                <w:b/>
                <w:bCs/>
                <w:sz w:val="16"/>
                <w:szCs w:val="16"/>
              </w:rPr>
            </w:pPr>
          </w:p>
          <w:p w14:paraId="788CF291" w14:textId="77777777" w:rsidR="004F3D65" w:rsidRPr="003E76E7" w:rsidRDefault="004F3D65" w:rsidP="00C4292D">
            <w:pPr>
              <w:spacing w:after="0"/>
              <w:jc w:val="right"/>
              <w:rPr>
                <w:rFonts w:ascii="Arial" w:hAnsi="Arial"/>
                <w:sz w:val="16"/>
                <w:szCs w:val="16"/>
              </w:rPr>
            </w:pPr>
            <w:r w:rsidRPr="003E76E7">
              <w:rPr>
                <w:rFonts w:ascii="Arial" w:hAnsi="Arial"/>
                <w:b/>
                <w:bCs/>
                <w:sz w:val="16"/>
                <w:szCs w:val="16"/>
              </w:rPr>
              <w:t xml:space="preserve"> $m</w:t>
            </w:r>
          </w:p>
        </w:tc>
        <w:tc>
          <w:tcPr>
            <w:tcW w:w="1229" w:type="dxa"/>
            <w:tcBorders>
              <w:top w:val="single" w:sz="4" w:space="0" w:color="auto"/>
              <w:left w:val="nil"/>
              <w:bottom w:val="single" w:sz="4" w:space="0" w:color="auto"/>
              <w:right w:val="single" w:sz="4" w:space="0" w:color="auto"/>
            </w:tcBorders>
            <w:shd w:val="clear" w:color="auto" w:fill="auto"/>
            <w:noWrap/>
            <w:vAlign w:val="center"/>
          </w:tcPr>
          <w:p w14:paraId="5242AE78" w14:textId="77777777" w:rsidR="004F3D65" w:rsidRPr="003E76E7" w:rsidRDefault="004F3D65" w:rsidP="00ED57D2">
            <w:pPr>
              <w:spacing w:before="0" w:after="0"/>
              <w:jc w:val="right"/>
              <w:rPr>
                <w:rFonts w:ascii="Arial" w:hAnsi="Arial"/>
                <w:b/>
                <w:bCs/>
                <w:sz w:val="16"/>
                <w:szCs w:val="16"/>
              </w:rPr>
            </w:pPr>
            <w:r w:rsidRPr="003E76E7">
              <w:rPr>
                <w:rFonts w:ascii="Arial" w:hAnsi="Arial"/>
                <w:b/>
                <w:bCs/>
                <w:sz w:val="16"/>
                <w:szCs w:val="16"/>
              </w:rPr>
              <w:t>Estimated Cumulative Expenditure to 30 June 2026</w:t>
            </w:r>
          </w:p>
          <w:p w14:paraId="632C0CEE" w14:textId="77777777" w:rsidR="004F3D65" w:rsidRPr="003E76E7" w:rsidRDefault="004F3D65" w:rsidP="00ED57D2">
            <w:pPr>
              <w:spacing w:before="0" w:after="0"/>
              <w:jc w:val="right"/>
              <w:rPr>
                <w:rFonts w:ascii="Arial" w:hAnsi="Arial"/>
                <w:sz w:val="16"/>
                <w:szCs w:val="16"/>
              </w:rPr>
            </w:pPr>
            <w:r w:rsidRPr="003E76E7">
              <w:rPr>
                <w:rFonts w:ascii="Arial" w:hAnsi="Arial"/>
                <w:b/>
                <w:bCs/>
                <w:sz w:val="16"/>
                <w:szCs w:val="16"/>
              </w:rPr>
              <w:t xml:space="preserve"> $m</w:t>
            </w:r>
          </w:p>
        </w:tc>
        <w:tc>
          <w:tcPr>
            <w:tcW w:w="1229" w:type="dxa"/>
            <w:tcBorders>
              <w:top w:val="single" w:sz="4" w:space="0" w:color="auto"/>
              <w:left w:val="nil"/>
              <w:bottom w:val="single" w:sz="4" w:space="0" w:color="auto"/>
              <w:right w:val="single" w:sz="4" w:space="0" w:color="auto"/>
            </w:tcBorders>
            <w:shd w:val="clear" w:color="auto" w:fill="auto"/>
            <w:noWrap/>
            <w:vAlign w:val="center"/>
          </w:tcPr>
          <w:p w14:paraId="2BF8F069" w14:textId="77777777" w:rsidR="004F3D65" w:rsidRPr="003E76E7" w:rsidRDefault="004F3D65" w:rsidP="00C4292D">
            <w:pPr>
              <w:spacing w:before="0" w:after="0"/>
              <w:jc w:val="right"/>
              <w:rPr>
                <w:rFonts w:ascii="Arial" w:hAnsi="Arial"/>
                <w:b/>
                <w:bCs/>
                <w:sz w:val="16"/>
                <w:szCs w:val="16"/>
              </w:rPr>
            </w:pPr>
            <w:r w:rsidRPr="003E76E7">
              <w:rPr>
                <w:rFonts w:ascii="Arial" w:hAnsi="Arial"/>
                <w:b/>
                <w:bCs/>
                <w:sz w:val="16"/>
                <w:szCs w:val="16"/>
              </w:rPr>
              <w:t xml:space="preserve">Budget Estimate 2026-27 </w:t>
            </w:r>
          </w:p>
          <w:p w14:paraId="082BBFD8" w14:textId="77777777" w:rsidR="004F3D65" w:rsidRPr="003E76E7" w:rsidRDefault="004F3D65" w:rsidP="00C4292D">
            <w:pPr>
              <w:spacing w:before="0" w:after="0"/>
              <w:jc w:val="right"/>
              <w:rPr>
                <w:rFonts w:ascii="Arial" w:hAnsi="Arial"/>
                <w:b/>
                <w:bCs/>
                <w:sz w:val="16"/>
                <w:szCs w:val="16"/>
              </w:rPr>
            </w:pPr>
          </w:p>
          <w:p w14:paraId="116B70D4" w14:textId="77777777" w:rsidR="004F3D65" w:rsidRPr="003E76E7" w:rsidRDefault="004F3D65" w:rsidP="00C4292D">
            <w:pPr>
              <w:spacing w:after="0"/>
              <w:jc w:val="right"/>
              <w:rPr>
                <w:rFonts w:ascii="Arial" w:hAnsi="Arial"/>
                <w:sz w:val="16"/>
                <w:szCs w:val="16"/>
              </w:rPr>
            </w:pPr>
            <w:r w:rsidRPr="003E76E7">
              <w:rPr>
                <w:rFonts w:ascii="Arial" w:hAnsi="Arial"/>
                <w:b/>
                <w:bCs/>
                <w:sz w:val="16"/>
                <w:szCs w:val="16"/>
              </w:rPr>
              <w:t>$m</w:t>
            </w:r>
          </w:p>
        </w:tc>
        <w:tc>
          <w:tcPr>
            <w:tcW w:w="5023" w:type="dxa"/>
            <w:tcBorders>
              <w:top w:val="single" w:sz="4" w:space="0" w:color="auto"/>
              <w:left w:val="single" w:sz="4" w:space="0" w:color="auto"/>
              <w:right w:val="single" w:sz="4" w:space="0" w:color="auto"/>
            </w:tcBorders>
            <w:shd w:val="clear" w:color="auto" w:fill="auto"/>
            <w:vAlign w:val="center"/>
          </w:tcPr>
          <w:p w14:paraId="61D420B2" w14:textId="77777777" w:rsidR="004F3D65" w:rsidRPr="003E76E7" w:rsidRDefault="004F3D65" w:rsidP="00C4292D">
            <w:pPr>
              <w:pStyle w:val="CommentText"/>
              <w:rPr>
                <w:rFonts w:ascii="Arial" w:hAnsi="Arial"/>
                <w:sz w:val="16"/>
                <w:szCs w:val="16"/>
              </w:rPr>
            </w:pPr>
            <w:r w:rsidRPr="003E76E7">
              <w:rPr>
                <w:rFonts w:ascii="Arial" w:hAnsi="Arial"/>
                <w:b/>
                <w:bCs/>
                <w:sz w:val="16"/>
                <w:szCs w:val="16"/>
              </w:rPr>
              <w:t>Top 30 Military Equipment Acquisition Project Descriptions</w:t>
            </w:r>
          </w:p>
        </w:tc>
      </w:tr>
      <w:tr w:rsidR="004F3D65" w:rsidRPr="003E76E7" w14:paraId="6FCDE0F9" w14:textId="77777777" w:rsidTr="00ED57D2">
        <w:trPr>
          <w:trHeight w:hRule="exact" w:val="355"/>
        </w:trPr>
        <w:tc>
          <w:tcPr>
            <w:tcW w:w="13377"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B4592D" w14:textId="77777777" w:rsidR="004F3D65" w:rsidRPr="003E76E7" w:rsidRDefault="004F3D65" w:rsidP="00C4292D">
            <w:pPr>
              <w:pStyle w:val="CommentText"/>
              <w:rPr>
                <w:rFonts w:ascii="Arial" w:hAnsi="Arial"/>
                <w:b/>
                <w:bCs/>
                <w:sz w:val="16"/>
                <w:szCs w:val="16"/>
              </w:rPr>
            </w:pPr>
            <w:r w:rsidRPr="003E76E7">
              <w:rPr>
                <w:rFonts w:ascii="Arial" w:hAnsi="Arial"/>
                <w:b/>
                <w:bCs/>
                <w:sz w:val="16"/>
                <w:szCs w:val="16"/>
              </w:rPr>
              <w:t>Land Domain (Continued)</w:t>
            </w:r>
            <w:r w:rsidRPr="003E76E7">
              <w:rPr>
                <w:rFonts w:ascii="Arial" w:hAnsi="Arial"/>
                <w:sz w:val="16"/>
                <w:szCs w:val="16"/>
              </w:rPr>
              <w:t> </w:t>
            </w:r>
          </w:p>
        </w:tc>
      </w:tr>
      <w:tr w:rsidR="004F3D65" w:rsidRPr="003E76E7" w14:paraId="45AC208B" w14:textId="77777777" w:rsidTr="00ED57D2">
        <w:trPr>
          <w:trHeight w:hRule="exact" w:val="881"/>
        </w:trPr>
        <w:tc>
          <w:tcPr>
            <w:tcW w:w="1711"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483C9130" w14:textId="77777777" w:rsidR="004F3D65" w:rsidRPr="003E76E7" w:rsidRDefault="004F3D65" w:rsidP="00C4292D">
            <w:pPr>
              <w:spacing w:after="0"/>
              <w:rPr>
                <w:rFonts w:ascii="Arial" w:hAnsi="Arial"/>
                <w:sz w:val="16"/>
                <w:szCs w:val="16"/>
              </w:rPr>
            </w:pPr>
            <w:r w:rsidRPr="003E76E7">
              <w:rPr>
                <w:rFonts w:ascii="Arial" w:hAnsi="Arial"/>
                <w:sz w:val="16"/>
                <w:szCs w:val="16"/>
              </w:rPr>
              <w:t>Special Operations Capability Enhancements</w:t>
            </w:r>
          </w:p>
        </w:tc>
        <w:tc>
          <w:tcPr>
            <w:tcW w:w="1256"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569ACB75" w14:textId="77777777" w:rsidR="004F3D65" w:rsidRPr="003E76E7" w:rsidRDefault="004F3D65" w:rsidP="00C4292D">
            <w:pPr>
              <w:spacing w:after="0"/>
              <w:jc w:val="center"/>
              <w:rPr>
                <w:rFonts w:ascii="Arial" w:hAnsi="Arial"/>
                <w:b/>
                <w:bCs/>
                <w:sz w:val="16"/>
                <w:szCs w:val="16"/>
              </w:rPr>
            </w:pPr>
            <w:r w:rsidRPr="003E76E7">
              <w:rPr>
                <w:rFonts w:ascii="Arial" w:hAnsi="Arial"/>
                <w:b/>
                <w:bCs/>
                <w:sz w:val="16"/>
                <w:szCs w:val="16"/>
              </w:rPr>
              <w:t>LAND 1508</w:t>
            </w:r>
          </w:p>
        </w:tc>
        <w:tc>
          <w:tcPr>
            <w:tcW w:w="1701" w:type="dxa"/>
            <w:tcBorders>
              <w:top w:val="single" w:sz="4" w:space="0" w:color="auto"/>
              <w:left w:val="nil"/>
              <w:bottom w:val="single" w:sz="4" w:space="0" w:color="auto"/>
              <w:right w:val="single" w:sz="4" w:space="0" w:color="auto"/>
            </w:tcBorders>
            <w:shd w:val="clear" w:color="auto" w:fill="auto"/>
            <w:vAlign w:val="center"/>
          </w:tcPr>
          <w:p w14:paraId="0B7C2C5C" w14:textId="77777777" w:rsidR="004F3D65" w:rsidRPr="003E76E7" w:rsidRDefault="004F3D65" w:rsidP="00C4292D">
            <w:pPr>
              <w:spacing w:after="0"/>
              <w:rPr>
                <w:rFonts w:ascii="Arial" w:hAnsi="Arial"/>
                <w:sz w:val="16"/>
                <w:szCs w:val="16"/>
              </w:rPr>
            </w:pPr>
            <w:r w:rsidRPr="003E76E7">
              <w:rPr>
                <w:rFonts w:ascii="Arial" w:hAnsi="Arial"/>
                <w:sz w:val="16"/>
                <w:szCs w:val="16"/>
              </w:rPr>
              <w:t>Military Equipment Acquisition</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BE8BA1" w14:textId="55F97553"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397 </w:t>
            </w:r>
          </w:p>
        </w:tc>
        <w:tc>
          <w:tcPr>
            <w:tcW w:w="1229" w:type="dxa"/>
            <w:tcBorders>
              <w:top w:val="single" w:sz="4" w:space="0" w:color="auto"/>
              <w:left w:val="nil"/>
              <w:bottom w:val="single" w:sz="4" w:space="0" w:color="auto"/>
              <w:right w:val="single" w:sz="4" w:space="0" w:color="auto"/>
            </w:tcBorders>
            <w:shd w:val="clear" w:color="auto" w:fill="auto"/>
            <w:noWrap/>
            <w:vAlign w:val="center"/>
          </w:tcPr>
          <w:p w14:paraId="69FF80E5" w14:textId="47CB6B29"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263 </w:t>
            </w:r>
          </w:p>
        </w:tc>
        <w:tc>
          <w:tcPr>
            <w:tcW w:w="1229" w:type="dxa"/>
            <w:tcBorders>
              <w:top w:val="single" w:sz="4" w:space="0" w:color="auto"/>
              <w:left w:val="nil"/>
              <w:bottom w:val="single" w:sz="4" w:space="0" w:color="auto"/>
              <w:right w:val="single" w:sz="4" w:space="0" w:color="auto"/>
            </w:tcBorders>
            <w:shd w:val="clear" w:color="auto" w:fill="auto"/>
            <w:noWrap/>
            <w:vAlign w:val="center"/>
          </w:tcPr>
          <w:p w14:paraId="0A00B021" w14:textId="604D2EA3"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47 </w:t>
            </w:r>
          </w:p>
        </w:tc>
        <w:tc>
          <w:tcPr>
            <w:tcW w:w="5023"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57719AC8" w14:textId="77777777" w:rsidR="004F3D65" w:rsidRPr="003E76E7" w:rsidRDefault="004F3D65" w:rsidP="00C4292D">
            <w:pPr>
              <w:spacing w:before="60" w:after="60"/>
              <w:rPr>
                <w:rFonts w:ascii="Arial" w:hAnsi="Arial"/>
                <w:sz w:val="16"/>
                <w:szCs w:val="16"/>
                <w:lang w:val="en-AU"/>
              </w:rPr>
            </w:pPr>
            <w:r w:rsidRPr="003E76E7">
              <w:rPr>
                <w:rFonts w:ascii="Arial" w:hAnsi="Arial"/>
                <w:sz w:val="16"/>
                <w:szCs w:val="16"/>
                <w:lang w:val="en-AU"/>
              </w:rPr>
              <w:t>This project will continue to rapidly evolve leading edge capability in response to the changing operational environment, emerging threats and advancing technology.</w:t>
            </w:r>
          </w:p>
          <w:p w14:paraId="3C4BDEB9" w14:textId="77777777" w:rsidR="004F3D65" w:rsidRPr="003E76E7" w:rsidRDefault="004F3D65" w:rsidP="00C4292D">
            <w:pPr>
              <w:keepNext/>
              <w:keepLines/>
              <w:spacing w:before="60" w:after="60"/>
              <w:rPr>
                <w:rFonts w:ascii="Arial" w:hAnsi="Arial"/>
                <w:sz w:val="16"/>
                <w:szCs w:val="16"/>
              </w:rPr>
            </w:pPr>
            <w:r w:rsidRPr="003E76E7">
              <w:rPr>
                <w:rFonts w:ascii="Arial" w:hAnsi="Arial"/>
                <w:sz w:val="16"/>
                <w:szCs w:val="16"/>
                <w:lang w:val="en-AU"/>
              </w:rPr>
              <w:t>During 2026-27, the project will complete Final Materiel Releases under Tranche 1, and continue to deliver Tranche 2 capabilities.</w:t>
            </w:r>
          </w:p>
        </w:tc>
      </w:tr>
      <w:tr w:rsidR="004F3D65" w:rsidRPr="003E76E7" w14:paraId="4ACBC2E5" w14:textId="77777777" w:rsidTr="00ED57D2">
        <w:trPr>
          <w:trHeight w:hRule="exact" w:val="825"/>
        </w:trPr>
        <w:tc>
          <w:tcPr>
            <w:tcW w:w="1711" w:type="dxa"/>
            <w:vMerge/>
            <w:tcBorders>
              <w:top w:val="nil"/>
              <w:left w:val="single" w:sz="4" w:space="0" w:color="auto"/>
              <w:bottom w:val="single" w:sz="4" w:space="0" w:color="auto"/>
              <w:right w:val="single" w:sz="4" w:space="0" w:color="auto"/>
            </w:tcBorders>
            <w:vAlign w:val="center"/>
          </w:tcPr>
          <w:p w14:paraId="77695D51" w14:textId="77777777" w:rsidR="004F3D65" w:rsidRPr="003E76E7" w:rsidRDefault="004F3D65" w:rsidP="00C4292D">
            <w:pPr>
              <w:spacing w:after="0"/>
              <w:rPr>
                <w:rFonts w:ascii="Arial" w:hAnsi="Arial"/>
                <w:sz w:val="16"/>
                <w:szCs w:val="16"/>
              </w:rPr>
            </w:pPr>
          </w:p>
        </w:tc>
        <w:tc>
          <w:tcPr>
            <w:tcW w:w="1256" w:type="dxa"/>
            <w:vMerge/>
            <w:tcBorders>
              <w:top w:val="nil"/>
              <w:left w:val="single" w:sz="4" w:space="0" w:color="auto"/>
              <w:bottom w:val="single" w:sz="4" w:space="0" w:color="auto"/>
              <w:right w:val="single" w:sz="4" w:space="0" w:color="auto"/>
            </w:tcBorders>
            <w:vAlign w:val="center"/>
          </w:tcPr>
          <w:p w14:paraId="202DF10D" w14:textId="77777777" w:rsidR="004F3D65" w:rsidRPr="003E76E7" w:rsidRDefault="004F3D65" w:rsidP="00C4292D">
            <w:pPr>
              <w:spacing w:after="0"/>
              <w:jc w:val="center"/>
              <w:rPr>
                <w:rFonts w:ascii="Arial" w:hAnsi="Arial"/>
                <w:b/>
                <w:bCs/>
                <w:sz w:val="16"/>
                <w:szCs w:val="16"/>
              </w:rPr>
            </w:pPr>
          </w:p>
        </w:tc>
        <w:tc>
          <w:tcPr>
            <w:tcW w:w="1701" w:type="dxa"/>
            <w:tcBorders>
              <w:top w:val="nil"/>
              <w:left w:val="nil"/>
              <w:bottom w:val="single" w:sz="4" w:space="0" w:color="auto"/>
              <w:right w:val="single" w:sz="4" w:space="0" w:color="auto"/>
            </w:tcBorders>
            <w:shd w:val="clear" w:color="auto" w:fill="auto"/>
            <w:vAlign w:val="center"/>
          </w:tcPr>
          <w:p w14:paraId="1D8546AF" w14:textId="77777777" w:rsidR="004F3D65" w:rsidRPr="003E76E7" w:rsidRDefault="004F3D65" w:rsidP="00C4292D">
            <w:pPr>
              <w:spacing w:after="0"/>
              <w:rPr>
                <w:rFonts w:ascii="Arial" w:hAnsi="Arial"/>
                <w:sz w:val="16"/>
                <w:szCs w:val="16"/>
              </w:rPr>
            </w:pPr>
            <w:r w:rsidRPr="003E76E7">
              <w:rPr>
                <w:rFonts w:ascii="Arial" w:hAnsi="Arial"/>
                <w:sz w:val="16"/>
                <w:szCs w:val="16"/>
              </w:rPr>
              <w:t>Other Project Inputs to Capability</w:t>
            </w:r>
          </w:p>
        </w:tc>
        <w:tc>
          <w:tcPr>
            <w:tcW w:w="1228" w:type="dxa"/>
            <w:tcBorders>
              <w:top w:val="nil"/>
              <w:left w:val="single" w:sz="4" w:space="0" w:color="auto"/>
              <w:bottom w:val="single" w:sz="4" w:space="0" w:color="auto"/>
              <w:right w:val="single" w:sz="4" w:space="0" w:color="auto"/>
            </w:tcBorders>
            <w:shd w:val="clear" w:color="auto" w:fill="auto"/>
            <w:noWrap/>
            <w:vAlign w:val="center"/>
          </w:tcPr>
          <w:p w14:paraId="1CF55B94" w14:textId="494A9C62"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503 </w:t>
            </w:r>
          </w:p>
        </w:tc>
        <w:tc>
          <w:tcPr>
            <w:tcW w:w="1229" w:type="dxa"/>
            <w:tcBorders>
              <w:top w:val="nil"/>
              <w:left w:val="nil"/>
              <w:bottom w:val="single" w:sz="4" w:space="0" w:color="auto"/>
              <w:right w:val="single" w:sz="4" w:space="0" w:color="auto"/>
            </w:tcBorders>
            <w:shd w:val="clear" w:color="auto" w:fill="auto"/>
            <w:noWrap/>
            <w:vAlign w:val="center"/>
          </w:tcPr>
          <w:p w14:paraId="0BC6F27E" w14:textId="691EAFD8"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226 </w:t>
            </w:r>
          </w:p>
        </w:tc>
        <w:tc>
          <w:tcPr>
            <w:tcW w:w="1229" w:type="dxa"/>
            <w:tcBorders>
              <w:top w:val="nil"/>
              <w:left w:val="nil"/>
              <w:bottom w:val="single" w:sz="4" w:space="0" w:color="auto"/>
              <w:right w:val="single" w:sz="4" w:space="0" w:color="auto"/>
            </w:tcBorders>
            <w:shd w:val="clear" w:color="auto" w:fill="auto"/>
            <w:noWrap/>
            <w:vAlign w:val="center"/>
          </w:tcPr>
          <w:p w14:paraId="6A518850" w14:textId="2BBE8FB2"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102 </w:t>
            </w:r>
          </w:p>
        </w:tc>
        <w:tc>
          <w:tcPr>
            <w:tcW w:w="5023" w:type="dxa"/>
            <w:vMerge/>
            <w:tcBorders>
              <w:top w:val="nil"/>
              <w:left w:val="single" w:sz="4" w:space="0" w:color="auto"/>
              <w:bottom w:val="single" w:sz="4" w:space="0" w:color="auto"/>
              <w:right w:val="single" w:sz="4" w:space="0" w:color="auto"/>
            </w:tcBorders>
            <w:vAlign w:val="center"/>
          </w:tcPr>
          <w:p w14:paraId="54E75C46" w14:textId="77777777" w:rsidR="004F3D65" w:rsidRPr="003E76E7" w:rsidRDefault="004F3D65" w:rsidP="00C4292D">
            <w:pPr>
              <w:keepNext/>
              <w:keepLines/>
              <w:spacing w:before="60" w:after="60"/>
              <w:rPr>
                <w:rFonts w:ascii="Arial" w:hAnsi="Arial"/>
                <w:sz w:val="16"/>
                <w:szCs w:val="16"/>
              </w:rPr>
            </w:pPr>
          </w:p>
        </w:tc>
      </w:tr>
      <w:tr w:rsidR="004F3D65" w:rsidRPr="003E76E7" w14:paraId="6115BD98" w14:textId="77777777" w:rsidTr="00ED57D2">
        <w:trPr>
          <w:trHeight w:hRule="exact" w:val="354"/>
        </w:trPr>
        <w:tc>
          <w:tcPr>
            <w:tcW w:w="13377" w:type="dxa"/>
            <w:gridSpan w:val="7"/>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600A064" w14:textId="77777777" w:rsidR="004F3D65" w:rsidRPr="003E76E7" w:rsidRDefault="004F3D65" w:rsidP="00C4292D">
            <w:pPr>
              <w:keepNext/>
              <w:keepLines/>
              <w:spacing w:before="60" w:after="60"/>
              <w:rPr>
                <w:rFonts w:ascii="Arial" w:hAnsi="Arial"/>
                <w:sz w:val="16"/>
                <w:szCs w:val="16"/>
              </w:rPr>
            </w:pPr>
            <w:r w:rsidRPr="003E76E7">
              <w:rPr>
                <w:rFonts w:ascii="Arial" w:hAnsi="Arial"/>
                <w:b/>
                <w:bCs/>
                <w:sz w:val="16"/>
                <w:szCs w:val="16"/>
              </w:rPr>
              <w:t>Maritime Domain</w:t>
            </w:r>
          </w:p>
        </w:tc>
      </w:tr>
      <w:tr w:rsidR="004F3D65" w:rsidRPr="003E76E7" w14:paraId="4A07BC09" w14:textId="77777777" w:rsidTr="00ED57D2">
        <w:trPr>
          <w:cantSplit/>
          <w:trHeight w:val="2028"/>
        </w:trPr>
        <w:tc>
          <w:tcPr>
            <w:tcW w:w="171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A1762F0" w14:textId="77777777" w:rsidR="004F3D65" w:rsidRPr="003E76E7" w:rsidRDefault="004F3D65" w:rsidP="00C4292D">
            <w:pPr>
              <w:spacing w:after="0"/>
              <w:rPr>
                <w:rFonts w:ascii="Arial" w:hAnsi="Arial"/>
                <w:sz w:val="16"/>
                <w:szCs w:val="16"/>
              </w:rPr>
            </w:pPr>
            <w:r w:rsidRPr="003E76E7">
              <w:rPr>
                <w:rFonts w:ascii="Arial" w:hAnsi="Arial"/>
                <w:sz w:val="16"/>
                <w:szCs w:val="16"/>
              </w:rPr>
              <w:t>Nuclear-Powered Submarines</w:t>
            </w:r>
          </w:p>
        </w:tc>
        <w:tc>
          <w:tcPr>
            <w:tcW w:w="125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E3B4830" w14:textId="77777777" w:rsidR="004F3D65" w:rsidRPr="003E76E7" w:rsidRDefault="004F3D65" w:rsidP="00C4292D">
            <w:pPr>
              <w:spacing w:after="0"/>
              <w:jc w:val="center"/>
              <w:rPr>
                <w:rFonts w:ascii="Arial" w:hAnsi="Arial"/>
                <w:b/>
                <w:bCs/>
                <w:sz w:val="16"/>
                <w:szCs w:val="16"/>
              </w:rPr>
            </w:pPr>
            <w:r w:rsidRPr="003E76E7">
              <w:rPr>
                <w:rFonts w:ascii="Arial" w:hAnsi="Arial"/>
                <w:b/>
                <w:bCs/>
                <w:sz w:val="16"/>
                <w:szCs w:val="16"/>
              </w:rPr>
              <w:t>DEF 1</w:t>
            </w:r>
          </w:p>
        </w:tc>
        <w:tc>
          <w:tcPr>
            <w:tcW w:w="1701" w:type="dxa"/>
            <w:tcBorders>
              <w:top w:val="single" w:sz="4" w:space="0" w:color="auto"/>
              <w:left w:val="nil"/>
              <w:bottom w:val="single" w:sz="4" w:space="0" w:color="auto"/>
              <w:right w:val="single" w:sz="4" w:space="0" w:color="auto"/>
            </w:tcBorders>
            <w:shd w:val="clear" w:color="auto" w:fill="auto"/>
            <w:vAlign w:val="center"/>
          </w:tcPr>
          <w:p w14:paraId="134D195B" w14:textId="77777777" w:rsidR="004F3D65" w:rsidRPr="003E76E7" w:rsidRDefault="004F3D65" w:rsidP="00C4292D">
            <w:pPr>
              <w:spacing w:after="0"/>
              <w:rPr>
                <w:rFonts w:ascii="Arial" w:hAnsi="Arial"/>
                <w:sz w:val="16"/>
                <w:szCs w:val="16"/>
              </w:rPr>
            </w:pPr>
            <w:r w:rsidRPr="003E76E7">
              <w:rPr>
                <w:rFonts w:ascii="Arial" w:hAnsi="Arial"/>
                <w:sz w:val="16"/>
                <w:szCs w:val="16"/>
              </w:rPr>
              <w:t>Military Equipment Acquisition</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D26937" w14:textId="3D76087F"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20,771 </w:t>
            </w:r>
          </w:p>
        </w:tc>
        <w:tc>
          <w:tcPr>
            <w:tcW w:w="1229" w:type="dxa"/>
            <w:tcBorders>
              <w:top w:val="single" w:sz="4" w:space="0" w:color="auto"/>
              <w:left w:val="nil"/>
              <w:bottom w:val="single" w:sz="4" w:space="0" w:color="auto"/>
              <w:right w:val="single" w:sz="4" w:space="0" w:color="auto"/>
            </w:tcBorders>
            <w:shd w:val="clear" w:color="auto" w:fill="auto"/>
            <w:noWrap/>
            <w:vAlign w:val="center"/>
          </w:tcPr>
          <w:p w14:paraId="161B1C74" w14:textId="7435F450"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7,357 </w:t>
            </w:r>
          </w:p>
        </w:tc>
        <w:tc>
          <w:tcPr>
            <w:tcW w:w="1229" w:type="dxa"/>
            <w:tcBorders>
              <w:top w:val="single" w:sz="4" w:space="0" w:color="auto"/>
              <w:left w:val="nil"/>
              <w:bottom w:val="single" w:sz="4" w:space="0" w:color="auto"/>
              <w:right w:val="single" w:sz="4" w:space="0" w:color="auto"/>
            </w:tcBorders>
            <w:shd w:val="clear" w:color="auto" w:fill="auto"/>
            <w:noWrap/>
            <w:vAlign w:val="center"/>
          </w:tcPr>
          <w:p w14:paraId="291F4DD5" w14:textId="675D21EC"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2,127 </w:t>
            </w:r>
          </w:p>
        </w:tc>
        <w:tc>
          <w:tcPr>
            <w:tcW w:w="502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0F9A6FE" w14:textId="1597A5B9" w:rsidR="004F3D65" w:rsidRPr="003E76E7" w:rsidRDefault="004F3D65" w:rsidP="00C4292D">
            <w:pPr>
              <w:spacing w:before="60" w:after="60"/>
              <w:rPr>
                <w:rFonts w:ascii="Arial" w:hAnsi="Arial"/>
                <w:sz w:val="16"/>
                <w:szCs w:val="16"/>
                <w:lang w:val="en-AU"/>
              </w:rPr>
            </w:pPr>
            <w:r w:rsidRPr="003E76E7">
              <w:rPr>
                <w:rFonts w:ascii="Arial" w:hAnsi="Arial"/>
                <w:sz w:val="16"/>
                <w:szCs w:val="16"/>
                <w:lang w:val="en-AU"/>
              </w:rPr>
              <w:t xml:space="preserve">Through the AUKUS partnership, this project will acquire, operate and sustain a sovereign, conventionally-armed fleet of </w:t>
            </w:r>
            <w:r w:rsidRPr="003E76E7">
              <w:rPr>
                <w:rFonts w:ascii="Arial" w:hAnsi="Arial"/>
                <w:sz w:val="16"/>
                <w:szCs w:val="16"/>
                <w:lang w:val="en-AU"/>
              </w:rPr>
              <w:br/>
              <w:t xml:space="preserve">nuclear-powered submarines. This will deliver Australia a more capable and potent submarine force to enhance Australia’s ability </w:t>
            </w:r>
            <w:r w:rsidRPr="003E76E7">
              <w:rPr>
                <w:rFonts w:ascii="Arial" w:hAnsi="Arial"/>
                <w:sz w:val="16"/>
                <w:szCs w:val="16"/>
                <w:lang w:val="en-AU"/>
              </w:rPr>
              <w:br/>
              <w:t xml:space="preserve">to deter threats to its security and stability of the Indo-Pacific. This project includes delivery of the associated infrastructure and support systems necessary to safely and securely sustain, </w:t>
            </w:r>
            <w:r w:rsidRPr="003E76E7">
              <w:rPr>
                <w:rFonts w:ascii="Arial" w:hAnsi="Arial"/>
                <w:sz w:val="16"/>
                <w:szCs w:val="16"/>
                <w:lang w:val="en-AU"/>
              </w:rPr>
              <w:br/>
              <w:t>operate, build and dispose of nuclear-powered submarines.</w:t>
            </w:r>
          </w:p>
          <w:p w14:paraId="7488241B" w14:textId="77777777" w:rsidR="004F3D65" w:rsidRPr="003E76E7" w:rsidRDefault="004F3D65" w:rsidP="00C4292D">
            <w:pPr>
              <w:keepNext/>
              <w:keepLines/>
              <w:spacing w:before="60" w:after="60"/>
              <w:rPr>
                <w:rFonts w:ascii="Arial" w:hAnsi="Arial"/>
                <w:sz w:val="16"/>
                <w:szCs w:val="16"/>
                <w:lang w:val="en-AU"/>
              </w:rPr>
            </w:pPr>
            <w:r w:rsidRPr="003E76E7">
              <w:rPr>
                <w:rFonts w:ascii="Arial" w:hAnsi="Arial"/>
                <w:sz w:val="16"/>
                <w:szCs w:val="16"/>
                <w:lang w:val="en-AU"/>
              </w:rPr>
              <w:t>During 2026-27, the project continues to:</w:t>
            </w:r>
          </w:p>
          <w:p w14:paraId="25DE04BD" w14:textId="77777777" w:rsidR="004F3D65" w:rsidRPr="003E76E7" w:rsidRDefault="004F3D65" w:rsidP="00C4292D">
            <w:pPr>
              <w:keepNext/>
              <w:keepLines/>
              <w:numPr>
                <w:ilvl w:val="0"/>
                <w:numId w:val="129"/>
              </w:numPr>
              <w:spacing w:before="60" w:after="60"/>
              <w:ind w:left="227" w:hanging="170"/>
              <w:rPr>
                <w:rFonts w:ascii="Arial" w:hAnsi="Arial"/>
                <w:sz w:val="16"/>
                <w:szCs w:val="16"/>
                <w:lang w:val="en-AU"/>
              </w:rPr>
            </w:pPr>
            <w:r w:rsidRPr="003E76E7">
              <w:rPr>
                <w:rFonts w:ascii="Arial" w:hAnsi="Arial"/>
                <w:sz w:val="16"/>
                <w:szCs w:val="16"/>
                <w:lang w:val="en-AU"/>
              </w:rPr>
              <w:t>Invest in our Royal Australian Navy personnel, Australia’s sovereign submarine partners for Submarine Rotational Force (SRF) West, and industrial base and workforce to maximise Australian opportunities for the program;</w:t>
            </w:r>
          </w:p>
          <w:p w14:paraId="516893E9" w14:textId="77777777" w:rsidR="004F3D65" w:rsidRPr="003E76E7" w:rsidRDefault="004F3D65" w:rsidP="00C4292D">
            <w:pPr>
              <w:keepNext/>
              <w:keepLines/>
              <w:numPr>
                <w:ilvl w:val="0"/>
                <w:numId w:val="129"/>
              </w:numPr>
              <w:spacing w:before="60" w:after="60"/>
              <w:ind w:left="227" w:hanging="170"/>
              <w:rPr>
                <w:rFonts w:ascii="Arial" w:hAnsi="Arial"/>
                <w:sz w:val="16"/>
                <w:szCs w:val="16"/>
                <w:lang w:val="en-AU"/>
              </w:rPr>
            </w:pPr>
            <w:r w:rsidRPr="003E76E7">
              <w:rPr>
                <w:rFonts w:ascii="Arial" w:hAnsi="Arial"/>
                <w:sz w:val="16"/>
                <w:szCs w:val="16"/>
                <w:lang w:val="en-AU"/>
              </w:rPr>
              <w:t>Work towards the acquisition of Virginia class submarines and equipment;</w:t>
            </w:r>
          </w:p>
          <w:p w14:paraId="33FF35E6" w14:textId="77777777" w:rsidR="004F3D65" w:rsidRPr="003E76E7" w:rsidRDefault="004F3D65" w:rsidP="00C4292D">
            <w:pPr>
              <w:keepNext/>
              <w:keepLines/>
              <w:numPr>
                <w:ilvl w:val="0"/>
                <w:numId w:val="129"/>
              </w:numPr>
              <w:spacing w:before="60" w:after="60"/>
              <w:ind w:left="227" w:hanging="170"/>
              <w:rPr>
                <w:rFonts w:ascii="Arial" w:hAnsi="Arial"/>
                <w:sz w:val="16"/>
                <w:szCs w:val="16"/>
                <w:lang w:val="en-AU"/>
              </w:rPr>
            </w:pPr>
            <w:r w:rsidRPr="003E76E7">
              <w:rPr>
                <w:rFonts w:ascii="Arial" w:hAnsi="Arial"/>
                <w:sz w:val="16"/>
                <w:szCs w:val="16"/>
                <w:lang w:val="en-AU"/>
              </w:rPr>
              <w:t>Implement mobilisation activities and acquire equipment in respect of the construction of SSN-AUKUS Submarines; and</w:t>
            </w:r>
          </w:p>
          <w:p w14:paraId="60C393BE" w14:textId="77777777" w:rsidR="004F3D65" w:rsidRPr="003E76E7" w:rsidRDefault="004F3D65" w:rsidP="00C4292D">
            <w:pPr>
              <w:keepNext/>
              <w:keepLines/>
              <w:numPr>
                <w:ilvl w:val="0"/>
                <w:numId w:val="129"/>
              </w:numPr>
              <w:spacing w:before="60" w:after="60"/>
              <w:ind w:left="227" w:hanging="170"/>
              <w:rPr>
                <w:rFonts w:ascii="Arial" w:hAnsi="Arial"/>
                <w:sz w:val="16"/>
                <w:szCs w:val="16"/>
                <w:lang w:val="en-AU"/>
              </w:rPr>
            </w:pPr>
            <w:r w:rsidRPr="003E76E7">
              <w:rPr>
                <w:rFonts w:ascii="Arial" w:hAnsi="Arial"/>
                <w:sz w:val="16"/>
                <w:szCs w:val="16"/>
                <w:lang w:val="en-AU"/>
              </w:rPr>
              <w:t xml:space="preserve">Deliver infrastructure works at </w:t>
            </w:r>
            <w:r w:rsidRPr="00C210BD">
              <w:rPr>
                <w:rFonts w:ascii="Arial" w:hAnsi="Arial"/>
                <w:sz w:val="16"/>
                <w:szCs w:val="16"/>
                <w:lang w:val="en-AU"/>
              </w:rPr>
              <w:t>HMAS Stirling</w:t>
            </w:r>
            <w:r w:rsidRPr="003E76E7">
              <w:rPr>
                <w:rFonts w:ascii="Arial" w:hAnsi="Arial"/>
                <w:sz w:val="16"/>
                <w:szCs w:val="16"/>
                <w:lang w:val="en-AU"/>
              </w:rPr>
              <w:t>, and provision of initial SRF-West housing requirements.</w:t>
            </w:r>
          </w:p>
        </w:tc>
      </w:tr>
      <w:tr w:rsidR="004F3D65" w:rsidRPr="003E76E7" w14:paraId="2514288D" w14:textId="77777777" w:rsidTr="00ED57D2">
        <w:trPr>
          <w:trHeight w:hRule="exact" w:val="2289"/>
        </w:trPr>
        <w:tc>
          <w:tcPr>
            <w:tcW w:w="171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5C58135" w14:textId="77777777" w:rsidR="004F3D65" w:rsidRPr="003E76E7" w:rsidRDefault="004F3D65" w:rsidP="00C4292D">
            <w:pPr>
              <w:spacing w:after="0"/>
              <w:rPr>
                <w:rFonts w:ascii="Arial" w:hAnsi="Arial"/>
                <w:sz w:val="16"/>
                <w:szCs w:val="16"/>
              </w:rPr>
            </w:pPr>
          </w:p>
        </w:tc>
        <w:tc>
          <w:tcPr>
            <w:tcW w:w="125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4FAA339" w14:textId="77777777" w:rsidR="004F3D65" w:rsidRPr="003E76E7" w:rsidRDefault="004F3D65" w:rsidP="00C4292D">
            <w:pPr>
              <w:spacing w:after="0"/>
              <w:jc w:val="center"/>
              <w:rPr>
                <w:rFonts w:ascii="Arial" w:hAnsi="Arial"/>
                <w:b/>
                <w:bCs/>
                <w:sz w:val="16"/>
                <w:szCs w:val="16"/>
              </w:rPr>
            </w:pPr>
          </w:p>
        </w:tc>
        <w:tc>
          <w:tcPr>
            <w:tcW w:w="1701" w:type="dxa"/>
            <w:tcBorders>
              <w:top w:val="single" w:sz="4" w:space="0" w:color="auto"/>
              <w:left w:val="nil"/>
              <w:bottom w:val="single" w:sz="4" w:space="0" w:color="auto"/>
              <w:right w:val="single" w:sz="4" w:space="0" w:color="auto"/>
            </w:tcBorders>
            <w:shd w:val="clear" w:color="auto" w:fill="auto"/>
            <w:vAlign w:val="center"/>
          </w:tcPr>
          <w:p w14:paraId="3E549ACC" w14:textId="77777777" w:rsidR="004F3D65" w:rsidRPr="003E76E7" w:rsidRDefault="004F3D65" w:rsidP="00C4292D">
            <w:pPr>
              <w:spacing w:after="0"/>
              <w:rPr>
                <w:rFonts w:ascii="Arial" w:hAnsi="Arial"/>
                <w:sz w:val="16"/>
                <w:szCs w:val="16"/>
              </w:rPr>
            </w:pPr>
            <w:r w:rsidRPr="003E76E7">
              <w:rPr>
                <w:rFonts w:ascii="Arial" w:hAnsi="Arial"/>
                <w:sz w:val="16"/>
                <w:szCs w:val="16"/>
              </w:rPr>
              <w:t>Other Project Inputs to Capability</w:t>
            </w:r>
          </w:p>
        </w:tc>
        <w:tc>
          <w:tcPr>
            <w:tcW w:w="1228" w:type="dxa"/>
            <w:tcBorders>
              <w:top w:val="nil"/>
              <w:left w:val="single" w:sz="4" w:space="0" w:color="auto"/>
              <w:bottom w:val="single" w:sz="4" w:space="0" w:color="auto"/>
              <w:right w:val="single" w:sz="4" w:space="0" w:color="auto"/>
            </w:tcBorders>
            <w:shd w:val="clear" w:color="auto" w:fill="auto"/>
            <w:noWrap/>
            <w:vAlign w:val="center"/>
          </w:tcPr>
          <w:p w14:paraId="4EC35CD3" w14:textId="6AE8F128"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2,455 </w:t>
            </w:r>
          </w:p>
        </w:tc>
        <w:tc>
          <w:tcPr>
            <w:tcW w:w="1229" w:type="dxa"/>
            <w:tcBorders>
              <w:top w:val="nil"/>
              <w:left w:val="nil"/>
              <w:bottom w:val="single" w:sz="4" w:space="0" w:color="auto"/>
              <w:right w:val="single" w:sz="4" w:space="0" w:color="auto"/>
            </w:tcBorders>
            <w:shd w:val="clear" w:color="auto" w:fill="auto"/>
            <w:noWrap/>
            <w:vAlign w:val="center"/>
          </w:tcPr>
          <w:p w14:paraId="37CCE6E4" w14:textId="7D6213ED"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805 </w:t>
            </w:r>
          </w:p>
        </w:tc>
        <w:tc>
          <w:tcPr>
            <w:tcW w:w="1229" w:type="dxa"/>
            <w:tcBorders>
              <w:top w:val="nil"/>
              <w:left w:val="nil"/>
              <w:bottom w:val="single" w:sz="4" w:space="0" w:color="auto"/>
              <w:right w:val="single" w:sz="4" w:space="0" w:color="auto"/>
            </w:tcBorders>
            <w:shd w:val="clear" w:color="auto" w:fill="auto"/>
            <w:noWrap/>
            <w:vAlign w:val="center"/>
          </w:tcPr>
          <w:p w14:paraId="4AC2834E" w14:textId="5C6BC52F" w:rsidR="004F3D65" w:rsidRPr="003E76E7" w:rsidRDefault="004F3D65" w:rsidP="00ED57D2">
            <w:pPr>
              <w:spacing w:after="0"/>
              <w:jc w:val="right"/>
              <w:rPr>
                <w:rFonts w:ascii="Arial" w:hAnsi="Arial"/>
                <w:sz w:val="16"/>
                <w:szCs w:val="16"/>
              </w:rPr>
            </w:pPr>
            <w:r w:rsidRPr="003E76E7">
              <w:rPr>
                <w:rFonts w:ascii="Arial" w:hAnsi="Arial"/>
                <w:sz w:val="16"/>
                <w:szCs w:val="16"/>
              </w:rPr>
              <w:t xml:space="preserve">708 </w:t>
            </w:r>
          </w:p>
        </w:tc>
        <w:tc>
          <w:tcPr>
            <w:tcW w:w="5023" w:type="dxa"/>
            <w:vMerge/>
            <w:tcBorders>
              <w:top w:val="single" w:sz="4" w:space="0" w:color="auto"/>
              <w:left w:val="single" w:sz="4" w:space="0" w:color="auto"/>
              <w:bottom w:val="single" w:sz="4" w:space="0" w:color="auto"/>
              <w:right w:val="single" w:sz="4" w:space="0" w:color="auto"/>
            </w:tcBorders>
            <w:shd w:val="clear" w:color="auto" w:fill="auto"/>
          </w:tcPr>
          <w:p w14:paraId="2334364F" w14:textId="77777777" w:rsidR="004F3D65" w:rsidRPr="003E76E7" w:rsidRDefault="004F3D65" w:rsidP="00C4292D">
            <w:pPr>
              <w:keepNext/>
              <w:keepLines/>
              <w:spacing w:before="60" w:after="60"/>
              <w:rPr>
                <w:rFonts w:ascii="Arial" w:hAnsi="Arial"/>
                <w:sz w:val="16"/>
                <w:szCs w:val="16"/>
              </w:rPr>
            </w:pPr>
          </w:p>
        </w:tc>
      </w:tr>
    </w:tbl>
    <w:p w14:paraId="11647760" w14:textId="77777777" w:rsidR="004F3D65" w:rsidRPr="003E76E7" w:rsidRDefault="004F3D65" w:rsidP="00C4292D">
      <w:pPr>
        <w:pStyle w:val="BodyText"/>
      </w:pPr>
    </w:p>
    <w:p w14:paraId="564462A8" w14:textId="77777777" w:rsidR="004F3D65" w:rsidRPr="003E76E7" w:rsidRDefault="004F3D65" w:rsidP="00C4292D">
      <w:pPr>
        <w:pStyle w:val="BodyText"/>
        <w:rPr>
          <w:rFonts w:ascii="Arial" w:hAnsi="Arial"/>
          <w:b/>
        </w:rPr>
      </w:pPr>
      <w:r w:rsidRPr="003E76E7">
        <w:rPr>
          <w:rFonts w:ascii="Arial" w:hAnsi="Arial"/>
          <w:b/>
        </w:rPr>
        <w:t>Table 54: Top 30 Military Equipment Acquisition Program Approved Projects by 2026-27 Forecast Expenditure (Gross Plan) (Continued)</w:t>
      </w:r>
      <w:r w:rsidRPr="003E76E7">
        <w:rPr>
          <w:rFonts w:ascii="Arial" w:hAnsi="Arial"/>
          <w:b/>
          <w:vertAlign w:val="superscript"/>
        </w:rPr>
        <w:t xml:space="preserve"> [a][b][c]</w:t>
      </w:r>
    </w:p>
    <w:tbl>
      <w:tblPr>
        <w:tblW w:w="4981" w:type="pct"/>
        <w:tblInd w:w="5" w:type="dxa"/>
        <w:tblLayout w:type="fixed"/>
        <w:tblLook w:val="04A0" w:firstRow="1" w:lastRow="0" w:firstColumn="1" w:lastColumn="0" w:noHBand="0" w:noVBand="1"/>
      </w:tblPr>
      <w:tblGrid>
        <w:gridCol w:w="1711"/>
        <w:gridCol w:w="1256"/>
        <w:gridCol w:w="1701"/>
        <w:gridCol w:w="1228"/>
        <w:gridCol w:w="1229"/>
        <w:gridCol w:w="1229"/>
        <w:gridCol w:w="5023"/>
      </w:tblGrid>
      <w:tr w:rsidR="001E227C" w:rsidRPr="003E76E7" w14:paraId="50B786C1" w14:textId="77777777" w:rsidTr="00B63BB1">
        <w:trPr>
          <w:trHeight w:hRule="exact" w:val="1108"/>
        </w:trPr>
        <w:tc>
          <w:tcPr>
            <w:tcW w:w="1711" w:type="dxa"/>
            <w:tcBorders>
              <w:top w:val="single" w:sz="4" w:space="0" w:color="auto"/>
              <w:left w:val="single" w:sz="4" w:space="0" w:color="auto"/>
              <w:bottom w:val="single" w:sz="4" w:space="0" w:color="auto"/>
              <w:right w:val="single" w:sz="4" w:space="0" w:color="auto"/>
            </w:tcBorders>
            <w:shd w:val="clear" w:color="auto" w:fill="auto"/>
            <w:vAlign w:val="center"/>
          </w:tcPr>
          <w:p w14:paraId="1889BD7F" w14:textId="77777777" w:rsidR="001E227C" w:rsidRPr="003E76E7" w:rsidRDefault="001E227C" w:rsidP="001E227C">
            <w:pPr>
              <w:spacing w:after="0"/>
              <w:rPr>
                <w:rFonts w:ascii="Arial" w:hAnsi="Arial"/>
                <w:sz w:val="16"/>
                <w:szCs w:val="16"/>
                <w:lang w:val="en-AU"/>
              </w:rPr>
            </w:pPr>
            <w:r w:rsidRPr="003E76E7">
              <w:rPr>
                <w:rFonts w:ascii="Arial" w:hAnsi="Arial"/>
                <w:b/>
                <w:bCs/>
                <w:sz w:val="16"/>
                <w:szCs w:val="16"/>
              </w:rPr>
              <w:t>Domain/Project Name</w:t>
            </w: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tcPr>
          <w:p w14:paraId="77376B47" w14:textId="77777777" w:rsidR="001E227C" w:rsidRPr="003E76E7" w:rsidRDefault="001E227C" w:rsidP="001E227C">
            <w:pPr>
              <w:spacing w:after="0"/>
              <w:jc w:val="center"/>
              <w:rPr>
                <w:rFonts w:ascii="Arial" w:hAnsi="Arial"/>
                <w:b/>
                <w:bCs/>
                <w:sz w:val="16"/>
                <w:szCs w:val="16"/>
                <w:lang w:val="en-AU"/>
              </w:rPr>
            </w:pPr>
            <w:r w:rsidRPr="003E76E7">
              <w:rPr>
                <w:rFonts w:ascii="Arial" w:hAnsi="Arial"/>
                <w:b/>
                <w:bCs/>
                <w:sz w:val="16"/>
                <w:szCs w:val="16"/>
              </w:rPr>
              <w:t>Project Number/</w:t>
            </w:r>
            <w:r w:rsidRPr="003E76E7">
              <w:rPr>
                <w:rFonts w:ascii="Arial" w:hAnsi="Arial"/>
                <w:b/>
                <w:bCs/>
                <w:sz w:val="16"/>
                <w:szCs w:val="16"/>
              </w:rPr>
              <w:br/>
              <w:t>Phase</w:t>
            </w:r>
          </w:p>
        </w:tc>
        <w:tc>
          <w:tcPr>
            <w:tcW w:w="1701" w:type="dxa"/>
            <w:tcBorders>
              <w:top w:val="single" w:sz="4" w:space="0" w:color="auto"/>
              <w:left w:val="nil"/>
              <w:bottom w:val="single" w:sz="4" w:space="0" w:color="auto"/>
              <w:right w:val="single" w:sz="4" w:space="0" w:color="auto"/>
            </w:tcBorders>
            <w:shd w:val="clear" w:color="auto" w:fill="auto"/>
            <w:vAlign w:val="center"/>
          </w:tcPr>
          <w:p w14:paraId="241B8133" w14:textId="77777777" w:rsidR="001E227C" w:rsidRPr="003E76E7" w:rsidRDefault="001E227C" w:rsidP="001E227C">
            <w:pPr>
              <w:spacing w:after="0"/>
              <w:rPr>
                <w:rFonts w:ascii="Arial" w:hAnsi="Arial"/>
                <w:sz w:val="16"/>
                <w:szCs w:val="16"/>
              </w:rPr>
            </w:pPr>
            <w:r w:rsidRPr="003E76E7">
              <w:rPr>
                <w:rFonts w:ascii="Arial" w:hAnsi="Arial"/>
                <w:b/>
                <w:bCs/>
                <w:sz w:val="16"/>
                <w:szCs w:val="16"/>
              </w:rPr>
              <w:t>Project Inputs to Capability</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5F450F" w14:textId="77777777" w:rsidR="001E227C" w:rsidRPr="003E76E7" w:rsidRDefault="001E227C" w:rsidP="001E227C">
            <w:pPr>
              <w:spacing w:before="0" w:after="0"/>
              <w:jc w:val="right"/>
              <w:rPr>
                <w:rFonts w:ascii="Arial" w:hAnsi="Arial"/>
                <w:b/>
                <w:bCs/>
                <w:sz w:val="16"/>
                <w:szCs w:val="16"/>
              </w:rPr>
            </w:pPr>
            <w:r>
              <w:rPr>
                <w:rFonts w:ascii="Arial" w:hAnsi="Arial"/>
                <w:b/>
                <w:bCs/>
                <w:sz w:val="16"/>
                <w:szCs w:val="16"/>
              </w:rPr>
              <w:t>Approved Project Expenditure</w:t>
            </w:r>
          </w:p>
          <w:p w14:paraId="1459E79C" w14:textId="34E94DCE" w:rsidR="001E227C" w:rsidRPr="003E76E7" w:rsidRDefault="001E227C" w:rsidP="001E227C">
            <w:pPr>
              <w:spacing w:after="0"/>
              <w:jc w:val="right"/>
              <w:rPr>
                <w:rFonts w:ascii="Arial" w:hAnsi="Arial"/>
                <w:sz w:val="16"/>
                <w:szCs w:val="16"/>
              </w:rPr>
            </w:pPr>
            <w:r w:rsidRPr="003E76E7">
              <w:rPr>
                <w:rFonts w:ascii="Arial" w:hAnsi="Arial"/>
                <w:b/>
                <w:bCs/>
                <w:sz w:val="16"/>
                <w:szCs w:val="16"/>
              </w:rPr>
              <w:t xml:space="preserve"> $m</w:t>
            </w:r>
          </w:p>
        </w:tc>
        <w:tc>
          <w:tcPr>
            <w:tcW w:w="1229" w:type="dxa"/>
            <w:tcBorders>
              <w:top w:val="single" w:sz="4" w:space="0" w:color="auto"/>
              <w:left w:val="nil"/>
              <w:bottom w:val="single" w:sz="4" w:space="0" w:color="auto"/>
              <w:right w:val="single" w:sz="4" w:space="0" w:color="auto"/>
            </w:tcBorders>
            <w:shd w:val="clear" w:color="auto" w:fill="auto"/>
            <w:noWrap/>
            <w:vAlign w:val="bottom"/>
          </w:tcPr>
          <w:p w14:paraId="32B85306" w14:textId="77777777" w:rsidR="001E227C" w:rsidRPr="003E76E7" w:rsidRDefault="001E227C" w:rsidP="001E227C">
            <w:pPr>
              <w:spacing w:before="0" w:after="0"/>
              <w:jc w:val="right"/>
              <w:rPr>
                <w:rFonts w:ascii="Arial" w:hAnsi="Arial"/>
                <w:b/>
                <w:bCs/>
                <w:sz w:val="16"/>
                <w:szCs w:val="16"/>
              </w:rPr>
            </w:pPr>
            <w:r w:rsidRPr="003E76E7">
              <w:rPr>
                <w:rFonts w:ascii="Arial" w:hAnsi="Arial"/>
                <w:b/>
                <w:bCs/>
                <w:sz w:val="16"/>
                <w:szCs w:val="16"/>
              </w:rPr>
              <w:t>Estimated Cumulative Expenditure to 30 June 2026</w:t>
            </w:r>
          </w:p>
          <w:p w14:paraId="046410B2" w14:textId="6455C90C" w:rsidR="001E227C" w:rsidRPr="003E76E7" w:rsidRDefault="001E227C" w:rsidP="001E227C">
            <w:pPr>
              <w:spacing w:before="0" w:after="0"/>
              <w:jc w:val="right"/>
              <w:rPr>
                <w:rFonts w:ascii="Arial" w:hAnsi="Arial"/>
                <w:sz w:val="16"/>
                <w:szCs w:val="16"/>
              </w:rPr>
            </w:pPr>
            <w:r w:rsidRPr="003E76E7">
              <w:rPr>
                <w:rFonts w:ascii="Arial" w:hAnsi="Arial"/>
                <w:b/>
                <w:bCs/>
                <w:sz w:val="16"/>
                <w:szCs w:val="16"/>
              </w:rPr>
              <w:t xml:space="preserve"> $m</w:t>
            </w:r>
          </w:p>
        </w:tc>
        <w:tc>
          <w:tcPr>
            <w:tcW w:w="1229" w:type="dxa"/>
            <w:tcBorders>
              <w:top w:val="single" w:sz="4" w:space="0" w:color="auto"/>
              <w:left w:val="nil"/>
              <w:bottom w:val="single" w:sz="4" w:space="0" w:color="auto"/>
              <w:right w:val="single" w:sz="4" w:space="0" w:color="auto"/>
            </w:tcBorders>
            <w:shd w:val="clear" w:color="auto" w:fill="auto"/>
            <w:noWrap/>
            <w:vAlign w:val="bottom"/>
          </w:tcPr>
          <w:p w14:paraId="308B2C89" w14:textId="77777777" w:rsidR="001E227C" w:rsidRPr="003E76E7" w:rsidRDefault="001E227C" w:rsidP="001E227C">
            <w:pPr>
              <w:spacing w:before="0" w:after="0"/>
              <w:jc w:val="right"/>
              <w:rPr>
                <w:rFonts w:ascii="Arial" w:hAnsi="Arial"/>
                <w:b/>
                <w:bCs/>
                <w:sz w:val="16"/>
                <w:szCs w:val="16"/>
              </w:rPr>
            </w:pPr>
            <w:r>
              <w:rPr>
                <w:rFonts w:ascii="Arial" w:hAnsi="Arial"/>
                <w:b/>
                <w:bCs/>
                <w:sz w:val="16"/>
                <w:szCs w:val="16"/>
              </w:rPr>
              <w:t xml:space="preserve">Budget Estimate 2026-27 </w:t>
            </w:r>
          </w:p>
          <w:p w14:paraId="47E07092" w14:textId="66385597" w:rsidR="001E227C" w:rsidRPr="003E76E7" w:rsidRDefault="001E227C" w:rsidP="001E227C">
            <w:pPr>
              <w:spacing w:after="0"/>
              <w:jc w:val="right"/>
              <w:rPr>
                <w:rFonts w:ascii="Arial" w:hAnsi="Arial"/>
                <w:sz w:val="16"/>
                <w:szCs w:val="16"/>
              </w:rPr>
            </w:pPr>
            <w:r w:rsidRPr="003E76E7">
              <w:rPr>
                <w:rFonts w:ascii="Arial" w:hAnsi="Arial"/>
                <w:b/>
                <w:bCs/>
                <w:sz w:val="16"/>
                <w:szCs w:val="16"/>
              </w:rPr>
              <w:t>$m</w:t>
            </w:r>
          </w:p>
        </w:tc>
        <w:tc>
          <w:tcPr>
            <w:tcW w:w="5023" w:type="dxa"/>
            <w:tcBorders>
              <w:top w:val="single" w:sz="4" w:space="0" w:color="auto"/>
              <w:left w:val="single" w:sz="4" w:space="0" w:color="auto"/>
              <w:bottom w:val="single" w:sz="4" w:space="0" w:color="auto"/>
              <w:right w:val="single" w:sz="4" w:space="0" w:color="auto"/>
            </w:tcBorders>
            <w:shd w:val="clear" w:color="auto" w:fill="auto"/>
            <w:vAlign w:val="center"/>
          </w:tcPr>
          <w:p w14:paraId="084B6D94" w14:textId="77777777" w:rsidR="001E227C" w:rsidRPr="003E76E7" w:rsidRDefault="001E227C" w:rsidP="001E227C">
            <w:pPr>
              <w:pStyle w:val="CommentText"/>
              <w:rPr>
                <w:rFonts w:ascii="Arial" w:hAnsi="Arial"/>
                <w:sz w:val="16"/>
                <w:szCs w:val="16"/>
              </w:rPr>
            </w:pPr>
            <w:r w:rsidRPr="003E76E7">
              <w:rPr>
                <w:rFonts w:ascii="Arial" w:hAnsi="Arial"/>
                <w:b/>
                <w:bCs/>
                <w:sz w:val="16"/>
                <w:szCs w:val="16"/>
              </w:rPr>
              <w:t>Top 30 Military Equipment Acquisition Project Descriptions</w:t>
            </w:r>
          </w:p>
        </w:tc>
      </w:tr>
      <w:tr w:rsidR="004F3D65" w:rsidRPr="003E76E7" w14:paraId="0554614C" w14:textId="77777777" w:rsidTr="001E227C">
        <w:trPr>
          <w:trHeight w:hRule="exact" w:val="355"/>
        </w:trPr>
        <w:tc>
          <w:tcPr>
            <w:tcW w:w="13377" w:type="dxa"/>
            <w:gridSpan w:val="7"/>
            <w:tcBorders>
              <w:top w:val="single" w:sz="4" w:space="0" w:color="auto"/>
              <w:left w:val="single" w:sz="4" w:space="0" w:color="auto"/>
              <w:bottom w:val="single" w:sz="4" w:space="0" w:color="000000"/>
              <w:right w:val="single" w:sz="4" w:space="0" w:color="auto"/>
            </w:tcBorders>
            <w:shd w:val="clear" w:color="auto" w:fill="E7E6E6" w:themeFill="background2"/>
            <w:vAlign w:val="center"/>
          </w:tcPr>
          <w:p w14:paraId="2BB97899" w14:textId="77777777" w:rsidR="004F3D65" w:rsidRPr="003E76E7" w:rsidRDefault="004F3D65" w:rsidP="00C4292D">
            <w:pPr>
              <w:spacing w:before="60" w:after="60"/>
              <w:rPr>
                <w:rFonts w:ascii="Arial" w:hAnsi="Arial"/>
                <w:sz w:val="16"/>
                <w:szCs w:val="16"/>
                <w:lang w:val="en-AU"/>
              </w:rPr>
            </w:pPr>
            <w:r w:rsidRPr="003E76E7">
              <w:rPr>
                <w:rFonts w:ascii="Arial" w:hAnsi="Arial"/>
                <w:b/>
                <w:bCs/>
                <w:sz w:val="16"/>
                <w:szCs w:val="16"/>
              </w:rPr>
              <w:t>Maritime Domain (Continued)</w:t>
            </w:r>
          </w:p>
        </w:tc>
      </w:tr>
      <w:tr w:rsidR="004F3D65" w:rsidRPr="003E76E7" w14:paraId="52F5A349" w14:textId="77777777" w:rsidTr="001E227C">
        <w:trPr>
          <w:trHeight w:hRule="exact" w:val="1409"/>
        </w:trPr>
        <w:tc>
          <w:tcPr>
            <w:tcW w:w="1711"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112560AD" w14:textId="77777777" w:rsidR="004F3D65" w:rsidRPr="003E76E7" w:rsidRDefault="004F3D65" w:rsidP="00C4292D">
            <w:pPr>
              <w:spacing w:after="0"/>
              <w:rPr>
                <w:rFonts w:ascii="Arial" w:hAnsi="Arial"/>
                <w:b/>
                <w:bCs/>
                <w:sz w:val="16"/>
                <w:szCs w:val="16"/>
              </w:rPr>
            </w:pPr>
            <w:r w:rsidRPr="003E76E7">
              <w:rPr>
                <w:rFonts w:ascii="Arial" w:hAnsi="Arial"/>
                <w:sz w:val="16"/>
                <w:szCs w:val="16"/>
              </w:rPr>
              <w:t>Hunter Class Frigate</w:t>
            </w:r>
          </w:p>
        </w:tc>
        <w:tc>
          <w:tcPr>
            <w:tcW w:w="1256"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61FA8BEF" w14:textId="77777777" w:rsidR="004F3D65" w:rsidRPr="003E76E7" w:rsidRDefault="004F3D65" w:rsidP="00C4292D">
            <w:pPr>
              <w:spacing w:after="0"/>
              <w:jc w:val="center"/>
              <w:rPr>
                <w:rFonts w:ascii="Arial" w:hAnsi="Arial"/>
                <w:b/>
                <w:bCs/>
                <w:sz w:val="16"/>
                <w:szCs w:val="16"/>
              </w:rPr>
            </w:pPr>
            <w:r w:rsidRPr="003E76E7">
              <w:rPr>
                <w:rFonts w:ascii="Arial" w:hAnsi="Arial"/>
                <w:b/>
                <w:bCs/>
                <w:sz w:val="16"/>
                <w:szCs w:val="16"/>
              </w:rPr>
              <w:t>SEA 5000</w:t>
            </w:r>
          </w:p>
        </w:tc>
        <w:tc>
          <w:tcPr>
            <w:tcW w:w="1701" w:type="dxa"/>
            <w:tcBorders>
              <w:top w:val="single" w:sz="4" w:space="0" w:color="auto"/>
              <w:left w:val="nil"/>
              <w:bottom w:val="single" w:sz="4" w:space="0" w:color="auto"/>
              <w:right w:val="single" w:sz="4" w:space="0" w:color="auto"/>
            </w:tcBorders>
            <w:shd w:val="clear" w:color="auto" w:fill="auto"/>
            <w:vAlign w:val="center"/>
          </w:tcPr>
          <w:p w14:paraId="63D74DC7" w14:textId="77777777" w:rsidR="004F3D65" w:rsidRPr="003E76E7" w:rsidRDefault="004F3D65" w:rsidP="00C4292D">
            <w:pPr>
              <w:spacing w:after="0"/>
              <w:rPr>
                <w:rFonts w:ascii="Arial" w:hAnsi="Arial"/>
                <w:b/>
                <w:bCs/>
                <w:sz w:val="16"/>
                <w:szCs w:val="16"/>
              </w:rPr>
            </w:pPr>
            <w:r w:rsidRPr="003E76E7">
              <w:rPr>
                <w:rFonts w:ascii="Arial" w:hAnsi="Arial"/>
                <w:sz w:val="16"/>
                <w:szCs w:val="16"/>
              </w:rPr>
              <w:t>Military Equipment Acquisition</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CFB218" w14:textId="68C0655B" w:rsidR="004F3D65" w:rsidRPr="003E76E7" w:rsidRDefault="004F3D65" w:rsidP="001E227C">
            <w:pPr>
              <w:spacing w:before="0" w:after="0"/>
              <w:jc w:val="right"/>
              <w:rPr>
                <w:rFonts w:ascii="Arial" w:hAnsi="Arial"/>
                <w:b/>
                <w:bCs/>
                <w:sz w:val="16"/>
                <w:szCs w:val="16"/>
              </w:rPr>
            </w:pPr>
            <w:r w:rsidRPr="003E76E7">
              <w:rPr>
                <w:rFonts w:ascii="Arial" w:hAnsi="Arial"/>
                <w:sz w:val="16"/>
                <w:szCs w:val="16"/>
              </w:rPr>
              <w:t xml:space="preserve">26,570 </w:t>
            </w:r>
          </w:p>
        </w:tc>
        <w:tc>
          <w:tcPr>
            <w:tcW w:w="1229" w:type="dxa"/>
            <w:tcBorders>
              <w:top w:val="single" w:sz="4" w:space="0" w:color="auto"/>
              <w:left w:val="nil"/>
              <w:bottom w:val="single" w:sz="4" w:space="0" w:color="auto"/>
              <w:right w:val="single" w:sz="4" w:space="0" w:color="auto"/>
            </w:tcBorders>
            <w:shd w:val="clear" w:color="auto" w:fill="auto"/>
            <w:noWrap/>
            <w:vAlign w:val="center"/>
          </w:tcPr>
          <w:p w14:paraId="1BF024A7" w14:textId="4872943E" w:rsidR="004F3D65" w:rsidRPr="003E76E7" w:rsidRDefault="004F3D65" w:rsidP="001E227C">
            <w:pPr>
              <w:spacing w:before="0" w:after="0"/>
              <w:jc w:val="right"/>
              <w:rPr>
                <w:rFonts w:ascii="Arial" w:hAnsi="Arial"/>
                <w:b/>
                <w:bCs/>
                <w:sz w:val="16"/>
                <w:szCs w:val="16"/>
              </w:rPr>
            </w:pPr>
            <w:r w:rsidRPr="003E76E7">
              <w:rPr>
                <w:rFonts w:ascii="Arial" w:hAnsi="Arial"/>
                <w:sz w:val="16"/>
                <w:szCs w:val="16"/>
              </w:rPr>
              <w:t xml:space="preserve">6,923 </w:t>
            </w:r>
          </w:p>
        </w:tc>
        <w:tc>
          <w:tcPr>
            <w:tcW w:w="1229" w:type="dxa"/>
            <w:tcBorders>
              <w:top w:val="single" w:sz="4" w:space="0" w:color="auto"/>
              <w:left w:val="nil"/>
              <w:bottom w:val="single" w:sz="4" w:space="0" w:color="auto"/>
              <w:right w:val="single" w:sz="4" w:space="0" w:color="auto"/>
            </w:tcBorders>
            <w:shd w:val="clear" w:color="auto" w:fill="auto"/>
            <w:noWrap/>
            <w:vAlign w:val="center"/>
          </w:tcPr>
          <w:p w14:paraId="66BADDA7" w14:textId="60A884D4" w:rsidR="004F3D65" w:rsidRPr="003E76E7" w:rsidRDefault="004F3D65" w:rsidP="001E227C">
            <w:pPr>
              <w:spacing w:before="0" w:after="0"/>
              <w:jc w:val="right"/>
              <w:rPr>
                <w:rFonts w:ascii="Arial" w:hAnsi="Arial"/>
                <w:b/>
                <w:bCs/>
                <w:sz w:val="16"/>
                <w:szCs w:val="16"/>
              </w:rPr>
            </w:pPr>
            <w:r w:rsidRPr="003E76E7">
              <w:rPr>
                <w:rFonts w:ascii="Arial" w:hAnsi="Arial"/>
                <w:sz w:val="16"/>
                <w:szCs w:val="16"/>
              </w:rPr>
              <w:t xml:space="preserve">2,465 </w:t>
            </w:r>
          </w:p>
        </w:tc>
        <w:tc>
          <w:tcPr>
            <w:tcW w:w="5023"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29D63858" w14:textId="2CB99A1C" w:rsidR="004F3D65" w:rsidRPr="003E76E7" w:rsidRDefault="004F3D65" w:rsidP="00C4292D">
            <w:pPr>
              <w:spacing w:before="60" w:after="60"/>
              <w:rPr>
                <w:rFonts w:ascii="Arial" w:hAnsi="Arial"/>
                <w:sz w:val="16"/>
                <w:szCs w:val="16"/>
                <w:lang w:val="en-AU"/>
              </w:rPr>
            </w:pPr>
            <w:r w:rsidRPr="003E76E7">
              <w:rPr>
                <w:rFonts w:ascii="Arial" w:hAnsi="Arial"/>
                <w:sz w:val="16"/>
                <w:szCs w:val="16"/>
                <w:lang w:val="en-AU"/>
              </w:rPr>
              <w:t>The project will deliver six Hunter Class anti-submarine warfare frigates, and an associated support system that includes training, spares, tools and test equipment. The Hunter Class frigates will be optimised for anti-submarine warfare to maintain the Royal Australian Navy’s Tier 1 Surface Combatant capability.</w:t>
            </w:r>
          </w:p>
          <w:p w14:paraId="1A3C584B" w14:textId="41FFA803" w:rsidR="004F3D65" w:rsidRPr="003E76E7" w:rsidRDefault="004F3D65" w:rsidP="00C4292D">
            <w:pPr>
              <w:keepNext/>
              <w:keepLines/>
              <w:spacing w:before="60" w:after="60"/>
              <w:rPr>
                <w:rFonts w:ascii="Arial" w:hAnsi="Arial"/>
                <w:sz w:val="16"/>
                <w:szCs w:val="16"/>
                <w:lang w:val="en-AU"/>
              </w:rPr>
            </w:pPr>
            <w:r w:rsidRPr="003E76E7">
              <w:rPr>
                <w:rFonts w:ascii="Arial" w:hAnsi="Arial"/>
                <w:sz w:val="16"/>
                <w:szCs w:val="16"/>
                <w:lang w:val="en-AU"/>
              </w:rPr>
              <w:t xml:space="preserve">The project transitioned to the construction phase on 1 July 2024 with the commencement of construction of the first three ships. Over half of the first ship is under construction and the second ship will commence </w:t>
            </w:r>
            <w:r w:rsidR="00A5119F">
              <w:rPr>
                <w:rFonts w:ascii="Arial" w:hAnsi="Arial"/>
                <w:sz w:val="16"/>
                <w:szCs w:val="16"/>
                <w:lang w:val="en-AU"/>
              </w:rPr>
              <w:t>in</w:t>
            </w:r>
            <w:r w:rsidRPr="003E76E7">
              <w:rPr>
                <w:rFonts w:ascii="Arial" w:hAnsi="Arial"/>
                <w:sz w:val="16"/>
                <w:szCs w:val="16"/>
                <w:lang w:val="en-AU"/>
              </w:rPr>
              <w:t xml:space="preserve"> 2026-27.</w:t>
            </w:r>
          </w:p>
          <w:p w14:paraId="1814044C" w14:textId="4F23762E" w:rsidR="004F3D65" w:rsidRPr="003E76E7" w:rsidRDefault="004F3D65" w:rsidP="00C4292D">
            <w:pPr>
              <w:keepNext/>
              <w:keepLines/>
              <w:spacing w:before="60" w:after="60"/>
              <w:rPr>
                <w:rFonts w:ascii="Arial" w:hAnsi="Arial"/>
                <w:b/>
                <w:bCs/>
                <w:sz w:val="16"/>
                <w:szCs w:val="16"/>
              </w:rPr>
            </w:pPr>
            <w:r w:rsidRPr="003E76E7">
              <w:rPr>
                <w:rFonts w:ascii="Arial" w:hAnsi="Arial"/>
                <w:sz w:val="16"/>
                <w:szCs w:val="16"/>
                <w:lang w:val="en-AU"/>
              </w:rPr>
              <w:t>The desig</w:t>
            </w:r>
            <w:r w:rsidR="00A5119F">
              <w:rPr>
                <w:rFonts w:ascii="Arial" w:hAnsi="Arial"/>
                <w:sz w:val="16"/>
                <w:szCs w:val="16"/>
                <w:lang w:val="en-AU"/>
              </w:rPr>
              <w:t>n and production</w:t>
            </w:r>
            <w:r w:rsidRPr="003E76E7">
              <w:rPr>
                <w:rFonts w:ascii="Arial" w:hAnsi="Arial"/>
                <w:sz w:val="16"/>
                <w:szCs w:val="16"/>
                <w:lang w:val="en-AU"/>
              </w:rPr>
              <w:t xml:space="preserve"> phase, which commenced in 2019 and included shipyard set to work and prototyping, is ramping down, but residual scope will continue until 2027-28.</w:t>
            </w:r>
          </w:p>
        </w:tc>
      </w:tr>
      <w:tr w:rsidR="004F3D65" w:rsidRPr="003E76E7" w14:paraId="0B686A0C" w14:textId="77777777" w:rsidTr="001E227C">
        <w:trPr>
          <w:trHeight w:hRule="exact" w:val="1286"/>
        </w:trPr>
        <w:tc>
          <w:tcPr>
            <w:tcW w:w="1711" w:type="dxa"/>
            <w:vMerge/>
            <w:tcBorders>
              <w:left w:val="single" w:sz="4" w:space="0" w:color="auto"/>
              <w:bottom w:val="single" w:sz="4" w:space="0" w:color="auto"/>
              <w:right w:val="single" w:sz="4" w:space="0" w:color="auto"/>
            </w:tcBorders>
            <w:vAlign w:val="center"/>
          </w:tcPr>
          <w:p w14:paraId="348612E5" w14:textId="77777777" w:rsidR="004F3D65" w:rsidRPr="003E76E7" w:rsidRDefault="004F3D65" w:rsidP="00C4292D">
            <w:pPr>
              <w:spacing w:after="0"/>
              <w:rPr>
                <w:rFonts w:ascii="Arial" w:hAnsi="Arial"/>
                <w:b/>
                <w:bCs/>
                <w:sz w:val="16"/>
                <w:szCs w:val="16"/>
              </w:rPr>
            </w:pPr>
          </w:p>
        </w:tc>
        <w:tc>
          <w:tcPr>
            <w:tcW w:w="1256" w:type="dxa"/>
            <w:vMerge/>
            <w:tcBorders>
              <w:left w:val="single" w:sz="4" w:space="0" w:color="auto"/>
              <w:bottom w:val="single" w:sz="4" w:space="0" w:color="auto"/>
              <w:right w:val="single" w:sz="4" w:space="0" w:color="auto"/>
            </w:tcBorders>
            <w:vAlign w:val="center"/>
          </w:tcPr>
          <w:p w14:paraId="168F99D6" w14:textId="77777777" w:rsidR="004F3D65" w:rsidRPr="003E76E7" w:rsidRDefault="004F3D65" w:rsidP="00C4292D">
            <w:pPr>
              <w:spacing w:after="0"/>
              <w:jc w:val="center"/>
              <w:rPr>
                <w:rFonts w:ascii="Arial" w:hAnsi="Arial"/>
                <w:b/>
                <w:bCs/>
                <w:sz w:val="16"/>
                <w:szCs w:val="16"/>
              </w:rPr>
            </w:pPr>
          </w:p>
        </w:tc>
        <w:tc>
          <w:tcPr>
            <w:tcW w:w="1701" w:type="dxa"/>
            <w:tcBorders>
              <w:top w:val="nil"/>
              <w:left w:val="nil"/>
              <w:bottom w:val="single" w:sz="4" w:space="0" w:color="auto"/>
              <w:right w:val="single" w:sz="4" w:space="0" w:color="auto"/>
            </w:tcBorders>
            <w:shd w:val="clear" w:color="auto" w:fill="auto"/>
            <w:vAlign w:val="center"/>
          </w:tcPr>
          <w:p w14:paraId="1E0D5487" w14:textId="77777777" w:rsidR="004F3D65" w:rsidRPr="003E76E7" w:rsidRDefault="004F3D65" w:rsidP="00C4292D">
            <w:pPr>
              <w:spacing w:after="0"/>
              <w:rPr>
                <w:rFonts w:ascii="Arial" w:hAnsi="Arial"/>
                <w:b/>
                <w:bCs/>
                <w:sz w:val="16"/>
                <w:szCs w:val="16"/>
              </w:rPr>
            </w:pPr>
            <w:r w:rsidRPr="003E76E7">
              <w:rPr>
                <w:rFonts w:ascii="Arial" w:hAnsi="Arial"/>
                <w:sz w:val="16"/>
                <w:szCs w:val="16"/>
              </w:rPr>
              <w:t>Other Project Inputs to Capability</w:t>
            </w:r>
          </w:p>
        </w:tc>
        <w:tc>
          <w:tcPr>
            <w:tcW w:w="1228" w:type="dxa"/>
            <w:tcBorders>
              <w:top w:val="nil"/>
              <w:left w:val="single" w:sz="4" w:space="0" w:color="auto"/>
              <w:bottom w:val="single" w:sz="4" w:space="0" w:color="auto"/>
              <w:right w:val="single" w:sz="4" w:space="0" w:color="auto"/>
            </w:tcBorders>
            <w:shd w:val="clear" w:color="auto" w:fill="auto"/>
            <w:noWrap/>
            <w:vAlign w:val="center"/>
          </w:tcPr>
          <w:p w14:paraId="007071D9" w14:textId="31CE704F" w:rsidR="004F3D65" w:rsidRPr="003E76E7" w:rsidRDefault="004F3D65" w:rsidP="001E227C">
            <w:pPr>
              <w:spacing w:before="0" w:after="0"/>
              <w:jc w:val="right"/>
              <w:rPr>
                <w:rFonts w:ascii="Arial" w:hAnsi="Arial"/>
                <w:b/>
                <w:bCs/>
                <w:sz w:val="16"/>
                <w:szCs w:val="16"/>
              </w:rPr>
            </w:pPr>
            <w:r w:rsidRPr="003E76E7">
              <w:rPr>
                <w:rFonts w:ascii="Arial" w:hAnsi="Arial"/>
                <w:sz w:val="16"/>
                <w:szCs w:val="16"/>
              </w:rPr>
              <w:t xml:space="preserve">1,200 </w:t>
            </w:r>
          </w:p>
        </w:tc>
        <w:tc>
          <w:tcPr>
            <w:tcW w:w="1229" w:type="dxa"/>
            <w:tcBorders>
              <w:top w:val="nil"/>
              <w:left w:val="nil"/>
              <w:bottom w:val="single" w:sz="4" w:space="0" w:color="auto"/>
              <w:right w:val="single" w:sz="4" w:space="0" w:color="auto"/>
            </w:tcBorders>
            <w:shd w:val="clear" w:color="auto" w:fill="auto"/>
            <w:noWrap/>
            <w:vAlign w:val="center"/>
          </w:tcPr>
          <w:p w14:paraId="74CC4B26" w14:textId="6F99A8FF" w:rsidR="004F3D65" w:rsidRPr="003E76E7" w:rsidRDefault="004F3D65" w:rsidP="001E227C">
            <w:pPr>
              <w:spacing w:before="0" w:after="0"/>
              <w:jc w:val="right"/>
              <w:rPr>
                <w:rFonts w:ascii="Arial" w:hAnsi="Arial"/>
                <w:b/>
                <w:bCs/>
                <w:sz w:val="16"/>
                <w:szCs w:val="16"/>
              </w:rPr>
            </w:pPr>
            <w:r w:rsidRPr="003E76E7">
              <w:rPr>
                <w:rFonts w:ascii="Arial" w:hAnsi="Arial"/>
                <w:sz w:val="16"/>
                <w:szCs w:val="16"/>
              </w:rPr>
              <w:t xml:space="preserve">725 </w:t>
            </w:r>
          </w:p>
        </w:tc>
        <w:tc>
          <w:tcPr>
            <w:tcW w:w="1229" w:type="dxa"/>
            <w:tcBorders>
              <w:top w:val="nil"/>
              <w:left w:val="nil"/>
              <w:bottom w:val="single" w:sz="4" w:space="0" w:color="auto"/>
              <w:right w:val="single" w:sz="4" w:space="0" w:color="auto"/>
            </w:tcBorders>
            <w:shd w:val="clear" w:color="auto" w:fill="auto"/>
            <w:noWrap/>
            <w:vAlign w:val="center"/>
          </w:tcPr>
          <w:p w14:paraId="5C6BEF49" w14:textId="0280CBD4" w:rsidR="004F3D65" w:rsidRPr="003E76E7" w:rsidRDefault="004F3D65" w:rsidP="001E227C">
            <w:pPr>
              <w:spacing w:before="0" w:after="0"/>
              <w:jc w:val="right"/>
              <w:rPr>
                <w:rFonts w:ascii="Arial" w:hAnsi="Arial"/>
                <w:b/>
                <w:bCs/>
                <w:sz w:val="16"/>
                <w:szCs w:val="16"/>
              </w:rPr>
            </w:pPr>
            <w:r w:rsidRPr="003E76E7">
              <w:rPr>
                <w:rFonts w:ascii="Arial" w:hAnsi="Arial"/>
                <w:sz w:val="16"/>
                <w:szCs w:val="16"/>
              </w:rPr>
              <w:t xml:space="preserve">18 </w:t>
            </w:r>
          </w:p>
        </w:tc>
        <w:tc>
          <w:tcPr>
            <w:tcW w:w="5023" w:type="dxa"/>
            <w:vMerge/>
            <w:tcBorders>
              <w:left w:val="single" w:sz="4" w:space="0" w:color="auto"/>
              <w:bottom w:val="single" w:sz="4" w:space="0" w:color="auto"/>
              <w:right w:val="single" w:sz="4" w:space="0" w:color="auto"/>
            </w:tcBorders>
            <w:vAlign w:val="center"/>
          </w:tcPr>
          <w:p w14:paraId="33C799EA" w14:textId="77777777" w:rsidR="004F3D65" w:rsidRPr="003E76E7" w:rsidRDefault="004F3D65" w:rsidP="00C4292D">
            <w:pPr>
              <w:pStyle w:val="CommentText"/>
              <w:spacing w:before="60" w:after="60"/>
              <w:rPr>
                <w:rFonts w:ascii="Arial" w:hAnsi="Arial"/>
                <w:b/>
                <w:bCs/>
                <w:sz w:val="16"/>
                <w:szCs w:val="16"/>
              </w:rPr>
            </w:pPr>
          </w:p>
        </w:tc>
      </w:tr>
      <w:tr w:rsidR="004F3D65" w:rsidRPr="003E76E7" w14:paraId="3B472B4A" w14:textId="77777777" w:rsidTr="001E227C">
        <w:trPr>
          <w:trHeight w:hRule="exact" w:val="1418"/>
        </w:trPr>
        <w:tc>
          <w:tcPr>
            <w:tcW w:w="171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FB8FF23" w14:textId="77777777" w:rsidR="004F3D65" w:rsidRPr="003E76E7" w:rsidRDefault="004F3D65" w:rsidP="00C4292D">
            <w:pPr>
              <w:spacing w:after="0"/>
              <w:rPr>
                <w:rFonts w:ascii="Arial" w:hAnsi="Arial"/>
                <w:b/>
                <w:bCs/>
                <w:sz w:val="16"/>
                <w:szCs w:val="16"/>
              </w:rPr>
            </w:pPr>
            <w:r w:rsidRPr="003E76E7">
              <w:rPr>
                <w:rFonts w:ascii="Arial" w:hAnsi="Arial"/>
                <w:sz w:val="16"/>
                <w:szCs w:val="16"/>
              </w:rPr>
              <w:t>Maritime Guided Weapons and Munitions</w:t>
            </w:r>
          </w:p>
        </w:tc>
        <w:tc>
          <w:tcPr>
            <w:tcW w:w="125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720C512" w14:textId="77777777" w:rsidR="004F3D65" w:rsidRPr="003E76E7" w:rsidRDefault="004F3D65" w:rsidP="00C4292D">
            <w:pPr>
              <w:spacing w:after="0"/>
              <w:jc w:val="center"/>
              <w:rPr>
                <w:rFonts w:ascii="Arial" w:hAnsi="Arial"/>
                <w:b/>
                <w:bCs/>
                <w:sz w:val="16"/>
                <w:szCs w:val="16"/>
              </w:rPr>
            </w:pPr>
            <w:r w:rsidRPr="003E76E7">
              <w:rPr>
                <w:rFonts w:ascii="Arial" w:hAnsi="Arial"/>
                <w:b/>
                <w:bCs/>
                <w:sz w:val="16"/>
                <w:szCs w:val="16"/>
              </w:rPr>
              <w:t>SEA 1300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F3517D4" w14:textId="77777777" w:rsidR="004F3D65" w:rsidRPr="003E76E7" w:rsidRDefault="004F3D65" w:rsidP="00C4292D">
            <w:pPr>
              <w:spacing w:after="0"/>
              <w:rPr>
                <w:rFonts w:ascii="Arial" w:hAnsi="Arial"/>
                <w:b/>
                <w:bCs/>
                <w:sz w:val="16"/>
                <w:szCs w:val="16"/>
              </w:rPr>
            </w:pPr>
            <w:r w:rsidRPr="003E76E7">
              <w:rPr>
                <w:rFonts w:ascii="Arial" w:hAnsi="Arial"/>
                <w:sz w:val="16"/>
                <w:szCs w:val="16"/>
              </w:rPr>
              <w:t>Military Equipment Acquisition</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E02D7B" w14:textId="7F29174A" w:rsidR="004F3D65" w:rsidRPr="003E76E7" w:rsidRDefault="004F3D65" w:rsidP="001E227C">
            <w:pPr>
              <w:spacing w:before="0" w:after="0"/>
              <w:jc w:val="right"/>
              <w:rPr>
                <w:rFonts w:ascii="Arial" w:hAnsi="Arial"/>
                <w:b/>
                <w:bCs/>
                <w:sz w:val="16"/>
                <w:szCs w:val="16"/>
              </w:rPr>
            </w:pPr>
            <w:r w:rsidRPr="003E76E7">
              <w:rPr>
                <w:rFonts w:ascii="Arial" w:hAnsi="Arial"/>
                <w:sz w:val="16"/>
                <w:szCs w:val="16"/>
              </w:rPr>
              <w:t xml:space="preserve">16,902 </w:t>
            </w:r>
          </w:p>
        </w:tc>
        <w:tc>
          <w:tcPr>
            <w:tcW w:w="1229" w:type="dxa"/>
            <w:tcBorders>
              <w:top w:val="single" w:sz="4" w:space="0" w:color="auto"/>
              <w:left w:val="nil"/>
              <w:bottom w:val="single" w:sz="4" w:space="0" w:color="auto"/>
              <w:right w:val="single" w:sz="4" w:space="0" w:color="auto"/>
            </w:tcBorders>
            <w:shd w:val="clear" w:color="auto" w:fill="auto"/>
            <w:noWrap/>
            <w:vAlign w:val="center"/>
          </w:tcPr>
          <w:p w14:paraId="5D3D9F20" w14:textId="60695B0E" w:rsidR="004F3D65" w:rsidRPr="003E76E7" w:rsidRDefault="004F3D65" w:rsidP="001E227C">
            <w:pPr>
              <w:spacing w:before="0" w:after="0"/>
              <w:jc w:val="right"/>
              <w:rPr>
                <w:rFonts w:ascii="Arial" w:hAnsi="Arial"/>
                <w:b/>
                <w:bCs/>
                <w:sz w:val="16"/>
                <w:szCs w:val="16"/>
              </w:rPr>
            </w:pPr>
            <w:r w:rsidRPr="003E76E7">
              <w:rPr>
                <w:rFonts w:ascii="Arial" w:hAnsi="Arial"/>
                <w:sz w:val="16"/>
                <w:szCs w:val="16"/>
              </w:rPr>
              <w:t xml:space="preserve">3,265 </w:t>
            </w:r>
          </w:p>
        </w:tc>
        <w:tc>
          <w:tcPr>
            <w:tcW w:w="1229" w:type="dxa"/>
            <w:tcBorders>
              <w:top w:val="single" w:sz="4" w:space="0" w:color="auto"/>
              <w:left w:val="nil"/>
              <w:bottom w:val="single" w:sz="4" w:space="0" w:color="auto"/>
              <w:right w:val="single" w:sz="4" w:space="0" w:color="auto"/>
            </w:tcBorders>
            <w:shd w:val="clear" w:color="auto" w:fill="auto"/>
            <w:noWrap/>
            <w:vAlign w:val="center"/>
          </w:tcPr>
          <w:p w14:paraId="200E677E" w14:textId="689A52C1" w:rsidR="004F3D65" w:rsidRPr="003E76E7" w:rsidRDefault="004F3D65" w:rsidP="001E227C">
            <w:pPr>
              <w:spacing w:before="0" w:after="0"/>
              <w:jc w:val="right"/>
              <w:rPr>
                <w:rFonts w:ascii="Arial" w:hAnsi="Arial"/>
                <w:b/>
                <w:bCs/>
                <w:sz w:val="16"/>
                <w:szCs w:val="16"/>
              </w:rPr>
            </w:pPr>
            <w:r w:rsidRPr="003E76E7">
              <w:rPr>
                <w:rFonts w:ascii="Arial" w:hAnsi="Arial"/>
                <w:sz w:val="16"/>
                <w:szCs w:val="16"/>
              </w:rPr>
              <w:t xml:space="preserve">845 </w:t>
            </w:r>
          </w:p>
        </w:tc>
        <w:tc>
          <w:tcPr>
            <w:tcW w:w="502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8DA1682" w14:textId="175FD7BF" w:rsidR="00A5119F" w:rsidRPr="003E76E7" w:rsidRDefault="00A5119F" w:rsidP="00A5119F">
            <w:pPr>
              <w:spacing w:before="60" w:after="60"/>
              <w:rPr>
                <w:rFonts w:ascii="Arial" w:hAnsi="Arial"/>
                <w:sz w:val="16"/>
                <w:szCs w:val="16"/>
                <w:lang w:val="en-AU"/>
              </w:rPr>
            </w:pPr>
            <w:r w:rsidRPr="003E76E7">
              <w:rPr>
                <w:rFonts w:ascii="Arial" w:hAnsi="Arial"/>
                <w:sz w:val="16"/>
                <w:szCs w:val="16"/>
                <w:lang w:val="en-AU"/>
              </w:rPr>
              <w:t xml:space="preserve">This Project uses a programmatic approach to deliver Navy guided weapons and munitions capabilities. The project executes through three teams: air and missile defence, maritime strike, and underwater warfare weapons. Procurement is through mechanisms including the United States Government Foreign Military Sales program, direct commercial sales and various bi-lateral and </w:t>
            </w:r>
            <w:r>
              <w:rPr>
                <w:rFonts w:ascii="Arial" w:hAnsi="Arial"/>
                <w:sz w:val="16"/>
                <w:szCs w:val="16"/>
                <w:lang w:val="en-AU"/>
              </w:rPr>
              <w:br/>
            </w:r>
            <w:r w:rsidRPr="003E76E7">
              <w:rPr>
                <w:rFonts w:ascii="Arial" w:hAnsi="Arial"/>
                <w:sz w:val="16"/>
                <w:szCs w:val="16"/>
                <w:lang w:val="en-AU"/>
              </w:rPr>
              <w:t>multi-lateral cooperative arrangements.</w:t>
            </w:r>
          </w:p>
          <w:p w14:paraId="4E7A0CBA" w14:textId="619E7CCD" w:rsidR="004F3D65" w:rsidRPr="003E76E7" w:rsidRDefault="00A5119F" w:rsidP="00A5119F">
            <w:pPr>
              <w:pStyle w:val="CommentText"/>
              <w:spacing w:before="60" w:after="60"/>
              <w:rPr>
                <w:rFonts w:ascii="Arial" w:hAnsi="Arial"/>
                <w:b/>
                <w:bCs/>
                <w:sz w:val="16"/>
                <w:szCs w:val="16"/>
              </w:rPr>
            </w:pPr>
            <w:r>
              <w:rPr>
                <w:rFonts w:ascii="Arial" w:hAnsi="Arial"/>
                <w:sz w:val="16"/>
                <w:szCs w:val="16"/>
              </w:rPr>
              <w:t>In</w:t>
            </w:r>
            <w:r w:rsidRPr="003E76E7">
              <w:rPr>
                <w:rFonts w:ascii="Arial" w:hAnsi="Arial"/>
                <w:sz w:val="16"/>
                <w:szCs w:val="16"/>
              </w:rPr>
              <w:t xml:space="preserve"> 2026-27, the project </w:t>
            </w:r>
            <w:r>
              <w:rPr>
                <w:rFonts w:ascii="Arial" w:hAnsi="Arial"/>
                <w:sz w:val="16"/>
                <w:szCs w:val="16"/>
              </w:rPr>
              <w:t xml:space="preserve">will </w:t>
            </w:r>
            <w:r w:rsidRPr="003E76E7">
              <w:rPr>
                <w:rFonts w:ascii="Arial" w:hAnsi="Arial"/>
                <w:sz w:val="16"/>
                <w:szCs w:val="16"/>
              </w:rPr>
              <w:t>continue to progress development and acquisition activities related to long-range anti-ship and land strike missiles, extended range surface-to-air missiles, air and missile defence weapons, advanced lightweight torpedoes, heavyweight torpedoes, smart sea mines, munitions and countermeasures.</w:t>
            </w:r>
          </w:p>
        </w:tc>
      </w:tr>
      <w:tr w:rsidR="004F3D65" w:rsidRPr="003E76E7" w14:paraId="2246F06D" w14:textId="77777777" w:rsidTr="001E227C">
        <w:trPr>
          <w:trHeight w:hRule="exact" w:val="1410"/>
        </w:trPr>
        <w:tc>
          <w:tcPr>
            <w:tcW w:w="171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454890E" w14:textId="77777777" w:rsidR="004F3D65" w:rsidRPr="003E76E7" w:rsidRDefault="004F3D65" w:rsidP="00C4292D">
            <w:pPr>
              <w:spacing w:after="0"/>
              <w:rPr>
                <w:rFonts w:ascii="Arial" w:hAnsi="Arial"/>
                <w:b/>
                <w:bCs/>
                <w:sz w:val="16"/>
                <w:szCs w:val="16"/>
              </w:rPr>
            </w:pPr>
          </w:p>
        </w:tc>
        <w:tc>
          <w:tcPr>
            <w:tcW w:w="125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A1AA964" w14:textId="77777777" w:rsidR="004F3D65" w:rsidRPr="003E76E7" w:rsidRDefault="004F3D65" w:rsidP="00C4292D">
            <w:pPr>
              <w:spacing w:after="0"/>
              <w:jc w:val="center"/>
              <w:rPr>
                <w:rFonts w:ascii="Arial" w:hAnsi="Arial"/>
                <w:b/>
                <w:bCs/>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BE129DB" w14:textId="77777777" w:rsidR="004F3D65" w:rsidRPr="003E76E7" w:rsidRDefault="004F3D65" w:rsidP="00C4292D">
            <w:pPr>
              <w:spacing w:after="0"/>
              <w:rPr>
                <w:rFonts w:ascii="Arial" w:hAnsi="Arial"/>
                <w:b/>
                <w:bCs/>
                <w:sz w:val="16"/>
                <w:szCs w:val="16"/>
              </w:rPr>
            </w:pPr>
            <w:r w:rsidRPr="003E76E7">
              <w:rPr>
                <w:rFonts w:ascii="Arial" w:hAnsi="Arial"/>
                <w:sz w:val="16"/>
                <w:szCs w:val="16"/>
              </w:rPr>
              <w:t>Other Project Inputs to Capability</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0FB02A" w14:textId="6EA63040" w:rsidR="004F3D65" w:rsidRPr="003E76E7" w:rsidRDefault="004F3D65" w:rsidP="001E227C">
            <w:pPr>
              <w:spacing w:before="0" w:after="0"/>
              <w:jc w:val="right"/>
              <w:rPr>
                <w:rFonts w:ascii="Arial" w:hAnsi="Arial"/>
                <w:b/>
                <w:bCs/>
                <w:sz w:val="16"/>
                <w:szCs w:val="16"/>
              </w:rPr>
            </w:pPr>
            <w:r w:rsidRPr="003E76E7">
              <w:rPr>
                <w:rFonts w:ascii="Arial" w:hAnsi="Arial"/>
                <w:sz w:val="16"/>
                <w:szCs w:val="16"/>
              </w:rPr>
              <w:t xml:space="preserve">101 </w:t>
            </w:r>
          </w:p>
        </w:tc>
        <w:tc>
          <w:tcPr>
            <w:tcW w:w="1229" w:type="dxa"/>
            <w:tcBorders>
              <w:top w:val="single" w:sz="4" w:space="0" w:color="auto"/>
              <w:left w:val="nil"/>
              <w:bottom w:val="single" w:sz="4" w:space="0" w:color="auto"/>
              <w:right w:val="single" w:sz="4" w:space="0" w:color="auto"/>
            </w:tcBorders>
            <w:shd w:val="clear" w:color="auto" w:fill="auto"/>
            <w:noWrap/>
            <w:vAlign w:val="center"/>
          </w:tcPr>
          <w:p w14:paraId="3CE633E5" w14:textId="51335908" w:rsidR="004F3D65" w:rsidRPr="003E76E7" w:rsidRDefault="004F3D65" w:rsidP="001E227C">
            <w:pPr>
              <w:spacing w:before="0" w:after="0"/>
              <w:jc w:val="right"/>
              <w:rPr>
                <w:rFonts w:ascii="Arial" w:hAnsi="Arial"/>
                <w:b/>
                <w:bCs/>
                <w:sz w:val="16"/>
                <w:szCs w:val="16"/>
              </w:rPr>
            </w:pPr>
            <w:r w:rsidRPr="003E76E7">
              <w:rPr>
                <w:rFonts w:ascii="Arial" w:hAnsi="Arial"/>
                <w:sz w:val="16"/>
                <w:szCs w:val="16"/>
              </w:rPr>
              <w:t xml:space="preserve">40 </w:t>
            </w:r>
          </w:p>
        </w:tc>
        <w:tc>
          <w:tcPr>
            <w:tcW w:w="1229" w:type="dxa"/>
            <w:tcBorders>
              <w:top w:val="single" w:sz="4" w:space="0" w:color="auto"/>
              <w:left w:val="nil"/>
              <w:bottom w:val="single" w:sz="4" w:space="0" w:color="auto"/>
              <w:right w:val="single" w:sz="4" w:space="0" w:color="auto"/>
            </w:tcBorders>
            <w:shd w:val="clear" w:color="auto" w:fill="auto"/>
            <w:noWrap/>
            <w:vAlign w:val="center"/>
          </w:tcPr>
          <w:p w14:paraId="66619C99" w14:textId="1A947925" w:rsidR="004F3D65" w:rsidRPr="003E76E7" w:rsidRDefault="004F3D65" w:rsidP="001E227C">
            <w:pPr>
              <w:spacing w:before="0" w:after="0"/>
              <w:jc w:val="right"/>
              <w:rPr>
                <w:rFonts w:ascii="Arial" w:hAnsi="Arial"/>
                <w:b/>
                <w:bCs/>
                <w:sz w:val="16"/>
                <w:szCs w:val="16"/>
              </w:rPr>
            </w:pPr>
            <w:r w:rsidRPr="003E76E7">
              <w:rPr>
                <w:rFonts w:ascii="Arial" w:hAnsi="Arial"/>
                <w:sz w:val="16"/>
                <w:szCs w:val="16"/>
              </w:rPr>
              <w:t xml:space="preserve">12 </w:t>
            </w:r>
          </w:p>
        </w:tc>
        <w:tc>
          <w:tcPr>
            <w:tcW w:w="502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9C19391" w14:textId="77777777" w:rsidR="004F3D65" w:rsidRPr="003E76E7" w:rsidRDefault="004F3D65" w:rsidP="00C4292D">
            <w:pPr>
              <w:pStyle w:val="CommentText"/>
              <w:rPr>
                <w:rFonts w:ascii="Arial" w:hAnsi="Arial"/>
                <w:b/>
                <w:bCs/>
                <w:sz w:val="16"/>
                <w:szCs w:val="16"/>
              </w:rPr>
            </w:pPr>
          </w:p>
        </w:tc>
      </w:tr>
    </w:tbl>
    <w:p w14:paraId="16825BC5" w14:textId="77777777" w:rsidR="004F3D65" w:rsidRPr="003E76E7" w:rsidRDefault="004F3D65" w:rsidP="00C4292D">
      <w:r w:rsidRPr="003E76E7">
        <w:br w:type="page"/>
      </w:r>
    </w:p>
    <w:p w14:paraId="220743B3" w14:textId="77777777" w:rsidR="004F3D65" w:rsidRPr="003E76E7" w:rsidRDefault="004F3D65" w:rsidP="00C4292D">
      <w:pPr>
        <w:pStyle w:val="BodyText"/>
        <w:rPr>
          <w:rFonts w:ascii="Arial" w:hAnsi="Arial"/>
          <w:b/>
        </w:rPr>
      </w:pPr>
      <w:r w:rsidRPr="003E76E7">
        <w:rPr>
          <w:rFonts w:ascii="Arial" w:hAnsi="Arial"/>
          <w:b/>
        </w:rPr>
        <w:lastRenderedPageBreak/>
        <w:t>Table 54: Top 30 Military Equipment Acquisition Program Approved Projects by 2026-27 Forecast Expenditure (Gross Plan) (Continued)</w:t>
      </w:r>
      <w:r w:rsidRPr="003E76E7">
        <w:rPr>
          <w:rFonts w:ascii="Arial" w:hAnsi="Arial"/>
          <w:b/>
          <w:vertAlign w:val="superscript"/>
        </w:rPr>
        <w:t xml:space="preserve"> [a][b][c]</w:t>
      </w:r>
    </w:p>
    <w:tbl>
      <w:tblPr>
        <w:tblW w:w="4981" w:type="pct"/>
        <w:tblInd w:w="5" w:type="dxa"/>
        <w:tblLayout w:type="fixed"/>
        <w:tblLook w:val="04A0" w:firstRow="1" w:lastRow="0" w:firstColumn="1" w:lastColumn="0" w:noHBand="0" w:noVBand="1"/>
      </w:tblPr>
      <w:tblGrid>
        <w:gridCol w:w="1711"/>
        <w:gridCol w:w="1398"/>
        <w:gridCol w:w="1559"/>
        <w:gridCol w:w="1228"/>
        <w:gridCol w:w="1229"/>
        <w:gridCol w:w="1229"/>
        <w:gridCol w:w="5023"/>
      </w:tblGrid>
      <w:tr w:rsidR="004F3D65" w:rsidRPr="003E76E7" w14:paraId="26B867C2" w14:textId="77777777" w:rsidTr="001E227C">
        <w:trPr>
          <w:trHeight w:hRule="exact" w:val="1108"/>
        </w:trPr>
        <w:tc>
          <w:tcPr>
            <w:tcW w:w="1711" w:type="dxa"/>
            <w:tcBorders>
              <w:top w:val="single" w:sz="4" w:space="0" w:color="auto"/>
              <w:left w:val="single" w:sz="4" w:space="0" w:color="auto"/>
              <w:bottom w:val="single" w:sz="4" w:space="0" w:color="auto"/>
              <w:right w:val="single" w:sz="4" w:space="0" w:color="auto"/>
            </w:tcBorders>
            <w:shd w:val="clear" w:color="auto" w:fill="auto"/>
            <w:vAlign w:val="center"/>
          </w:tcPr>
          <w:p w14:paraId="0BBCE72C" w14:textId="77777777" w:rsidR="004F3D65" w:rsidRPr="003E76E7" w:rsidRDefault="004F3D65" w:rsidP="00C4292D">
            <w:pPr>
              <w:spacing w:after="0"/>
              <w:rPr>
                <w:rFonts w:ascii="Arial" w:hAnsi="Arial"/>
                <w:sz w:val="16"/>
                <w:szCs w:val="16"/>
                <w:lang w:val="en-AU"/>
              </w:rPr>
            </w:pPr>
            <w:r w:rsidRPr="003E76E7">
              <w:rPr>
                <w:rFonts w:ascii="Arial" w:hAnsi="Arial"/>
                <w:b/>
                <w:bCs/>
                <w:sz w:val="16"/>
                <w:szCs w:val="16"/>
              </w:rPr>
              <w:t>Domain/Project Name</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14:paraId="68FD3EDA" w14:textId="77777777" w:rsidR="004F3D65" w:rsidRPr="003E76E7" w:rsidRDefault="004F3D65" w:rsidP="00C4292D">
            <w:pPr>
              <w:spacing w:after="0"/>
              <w:jc w:val="center"/>
              <w:rPr>
                <w:rFonts w:ascii="Arial" w:hAnsi="Arial"/>
                <w:b/>
                <w:bCs/>
                <w:sz w:val="16"/>
                <w:szCs w:val="16"/>
                <w:lang w:val="en-AU"/>
              </w:rPr>
            </w:pPr>
            <w:r w:rsidRPr="003E76E7">
              <w:rPr>
                <w:rFonts w:ascii="Arial" w:hAnsi="Arial"/>
                <w:b/>
                <w:bCs/>
                <w:sz w:val="16"/>
                <w:szCs w:val="16"/>
              </w:rPr>
              <w:t>Project Number/</w:t>
            </w:r>
            <w:r w:rsidRPr="003E76E7">
              <w:rPr>
                <w:rFonts w:ascii="Arial" w:hAnsi="Arial"/>
                <w:b/>
                <w:bCs/>
                <w:sz w:val="16"/>
                <w:szCs w:val="16"/>
              </w:rPr>
              <w:br/>
              <w:t>Phase</w:t>
            </w:r>
          </w:p>
        </w:tc>
        <w:tc>
          <w:tcPr>
            <w:tcW w:w="1559" w:type="dxa"/>
            <w:tcBorders>
              <w:top w:val="single" w:sz="4" w:space="0" w:color="auto"/>
              <w:left w:val="nil"/>
              <w:bottom w:val="single" w:sz="4" w:space="0" w:color="auto"/>
              <w:right w:val="single" w:sz="4" w:space="0" w:color="auto"/>
            </w:tcBorders>
            <w:shd w:val="clear" w:color="auto" w:fill="auto"/>
            <w:vAlign w:val="center"/>
          </w:tcPr>
          <w:p w14:paraId="5661100E" w14:textId="77777777" w:rsidR="004F3D65" w:rsidRPr="003E76E7" w:rsidRDefault="004F3D65" w:rsidP="00C4292D">
            <w:pPr>
              <w:spacing w:after="0"/>
              <w:rPr>
                <w:rFonts w:ascii="Arial" w:hAnsi="Arial"/>
                <w:sz w:val="16"/>
                <w:szCs w:val="16"/>
              </w:rPr>
            </w:pPr>
            <w:r w:rsidRPr="003E76E7">
              <w:rPr>
                <w:rFonts w:ascii="Arial" w:hAnsi="Arial"/>
                <w:b/>
                <w:bCs/>
                <w:sz w:val="16"/>
                <w:szCs w:val="16"/>
              </w:rPr>
              <w:t>Project Inputs to Capability</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50929E" w14:textId="0F74EA18" w:rsidR="004F3D65" w:rsidRPr="003E76E7" w:rsidRDefault="001E227C" w:rsidP="001E227C">
            <w:pPr>
              <w:spacing w:before="0" w:after="0"/>
              <w:jc w:val="right"/>
              <w:rPr>
                <w:rFonts w:ascii="Arial" w:hAnsi="Arial"/>
                <w:b/>
                <w:bCs/>
                <w:sz w:val="16"/>
                <w:szCs w:val="16"/>
              </w:rPr>
            </w:pPr>
            <w:r>
              <w:rPr>
                <w:rFonts w:ascii="Arial" w:hAnsi="Arial"/>
                <w:b/>
                <w:bCs/>
                <w:sz w:val="16"/>
                <w:szCs w:val="16"/>
              </w:rPr>
              <w:t>Approved Project Expenditure</w:t>
            </w:r>
          </w:p>
          <w:p w14:paraId="3815785D" w14:textId="77777777" w:rsidR="004F3D65" w:rsidRPr="003E76E7" w:rsidRDefault="004F3D65" w:rsidP="001E227C">
            <w:pPr>
              <w:spacing w:after="0"/>
              <w:jc w:val="right"/>
              <w:rPr>
                <w:rFonts w:ascii="Arial" w:hAnsi="Arial"/>
                <w:sz w:val="16"/>
                <w:szCs w:val="16"/>
              </w:rPr>
            </w:pPr>
            <w:r w:rsidRPr="003E76E7">
              <w:rPr>
                <w:rFonts w:ascii="Arial" w:hAnsi="Arial"/>
                <w:b/>
                <w:bCs/>
                <w:sz w:val="16"/>
                <w:szCs w:val="16"/>
              </w:rPr>
              <w:t xml:space="preserve"> $m</w:t>
            </w:r>
          </w:p>
        </w:tc>
        <w:tc>
          <w:tcPr>
            <w:tcW w:w="1229" w:type="dxa"/>
            <w:tcBorders>
              <w:top w:val="single" w:sz="4" w:space="0" w:color="auto"/>
              <w:left w:val="nil"/>
              <w:bottom w:val="single" w:sz="4" w:space="0" w:color="auto"/>
              <w:right w:val="single" w:sz="4" w:space="0" w:color="auto"/>
            </w:tcBorders>
            <w:shd w:val="clear" w:color="auto" w:fill="auto"/>
            <w:noWrap/>
            <w:vAlign w:val="bottom"/>
          </w:tcPr>
          <w:p w14:paraId="2AB74DC5" w14:textId="77777777" w:rsidR="004F3D65" w:rsidRPr="003E76E7" w:rsidRDefault="004F3D65" w:rsidP="001E227C">
            <w:pPr>
              <w:spacing w:before="0" w:after="0"/>
              <w:jc w:val="right"/>
              <w:rPr>
                <w:rFonts w:ascii="Arial" w:hAnsi="Arial"/>
                <w:b/>
                <w:bCs/>
                <w:sz w:val="16"/>
                <w:szCs w:val="16"/>
              </w:rPr>
            </w:pPr>
            <w:r w:rsidRPr="003E76E7">
              <w:rPr>
                <w:rFonts w:ascii="Arial" w:hAnsi="Arial"/>
                <w:b/>
                <w:bCs/>
                <w:sz w:val="16"/>
                <w:szCs w:val="16"/>
              </w:rPr>
              <w:t>Estimated Cumulative Expenditure to 30 June 2026</w:t>
            </w:r>
          </w:p>
          <w:p w14:paraId="552F4B11" w14:textId="77777777" w:rsidR="004F3D65" w:rsidRPr="003E76E7" w:rsidRDefault="004F3D65" w:rsidP="001E227C">
            <w:pPr>
              <w:spacing w:before="0" w:after="0"/>
              <w:jc w:val="right"/>
              <w:rPr>
                <w:rFonts w:ascii="Arial" w:hAnsi="Arial"/>
                <w:sz w:val="16"/>
                <w:szCs w:val="16"/>
              </w:rPr>
            </w:pPr>
            <w:r w:rsidRPr="003E76E7">
              <w:rPr>
                <w:rFonts w:ascii="Arial" w:hAnsi="Arial"/>
                <w:b/>
                <w:bCs/>
                <w:sz w:val="16"/>
                <w:szCs w:val="16"/>
              </w:rPr>
              <w:t xml:space="preserve"> $m</w:t>
            </w:r>
          </w:p>
        </w:tc>
        <w:tc>
          <w:tcPr>
            <w:tcW w:w="1229" w:type="dxa"/>
            <w:tcBorders>
              <w:top w:val="single" w:sz="4" w:space="0" w:color="auto"/>
              <w:left w:val="nil"/>
              <w:bottom w:val="single" w:sz="4" w:space="0" w:color="auto"/>
              <w:right w:val="single" w:sz="4" w:space="0" w:color="auto"/>
            </w:tcBorders>
            <w:shd w:val="clear" w:color="auto" w:fill="auto"/>
            <w:noWrap/>
            <w:vAlign w:val="bottom"/>
          </w:tcPr>
          <w:p w14:paraId="7CE81DFD" w14:textId="4E3FEC9B" w:rsidR="004F3D65" w:rsidRPr="003E76E7" w:rsidRDefault="001E227C" w:rsidP="001E227C">
            <w:pPr>
              <w:spacing w:before="0" w:after="0"/>
              <w:jc w:val="right"/>
              <w:rPr>
                <w:rFonts w:ascii="Arial" w:hAnsi="Arial"/>
                <w:b/>
                <w:bCs/>
                <w:sz w:val="16"/>
                <w:szCs w:val="16"/>
              </w:rPr>
            </w:pPr>
            <w:r>
              <w:rPr>
                <w:rFonts w:ascii="Arial" w:hAnsi="Arial"/>
                <w:b/>
                <w:bCs/>
                <w:sz w:val="16"/>
                <w:szCs w:val="16"/>
              </w:rPr>
              <w:t xml:space="preserve">Budget Estimate 2026-27 </w:t>
            </w:r>
          </w:p>
          <w:p w14:paraId="6FD37189" w14:textId="77777777" w:rsidR="004F3D65" w:rsidRPr="003E76E7" w:rsidRDefault="004F3D65" w:rsidP="001E227C">
            <w:pPr>
              <w:spacing w:after="0"/>
              <w:jc w:val="right"/>
              <w:rPr>
                <w:rFonts w:ascii="Arial" w:hAnsi="Arial"/>
                <w:sz w:val="16"/>
                <w:szCs w:val="16"/>
              </w:rPr>
            </w:pPr>
            <w:r w:rsidRPr="003E76E7">
              <w:rPr>
                <w:rFonts w:ascii="Arial" w:hAnsi="Arial"/>
                <w:b/>
                <w:bCs/>
                <w:sz w:val="16"/>
                <w:szCs w:val="16"/>
              </w:rPr>
              <w:t>$m</w:t>
            </w:r>
          </w:p>
        </w:tc>
        <w:tc>
          <w:tcPr>
            <w:tcW w:w="5023" w:type="dxa"/>
            <w:tcBorders>
              <w:top w:val="single" w:sz="4" w:space="0" w:color="auto"/>
              <w:left w:val="single" w:sz="4" w:space="0" w:color="auto"/>
              <w:bottom w:val="single" w:sz="4" w:space="0" w:color="auto"/>
              <w:right w:val="single" w:sz="4" w:space="0" w:color="auto"/>
            </w:tcBorders>
            <w:shd w:val="clear" w:color="auto" w:fill="auto"/>
            <w:vAlign w:val="center"/>
          </w:tcPr>
          <w:p w14:paraId="1DB79413" w14:textId="77777777" w:rsidR="004F3D65" w:rsidRPr="003E76E7" w:rsidRDefault="004F3D65" w:rsidP="00C4292D">
            <w:pPr>
              <w:pStyle w:val="CommentText"/>
              <w:rPr>
                <w:rFonts w:ascii="Arial" w:hAnsi="Arial"/>
                <w:sz w:val="16"/>
                <w:szCs w:val="16"/>
              </w:rPr>
            </w:pPr>
            <w:r w:rsidRPr="003E76E7">
              <w:rPr>
                <w:rFonts w:ascii="Arial" w:hAnsi="Arial"/>
                <w:b/>
                <w:bCs/>
                <w:sz w:val="16"/>
                <w:szCs w:val="16"/>
              </w:rPr>
              <w:t>Top 30 Military Equipment Acquisition Project Descriptions</w:t>
            </w:r>
          </w:p>
        </w:tc>
      </w:tr>
      <w:tr w:rsidR="004F3D65" w:rsidRPr="003E76E7" w14:paraId="131353ED" w14:textId="77777777" w:rsidTr="001E227C">
        <w:trPr>
          <w:trHeight w:hRule="exact" w:val="355"/>
        </w:trPr>
        <w:tc>
          <w:tcPr>
            <w:tcW w:w="13377" w:type="dxa"/>
            <w:gridSpan w:val="7"/>
            <w:tcBorders>
              <w:top w:val="single" w:sz="4" w:space="0" w:color="auto"/>
              <w:left w:val="single" w:sz="4" w:space="0" w:color="auto"/>
              <w:bottom w:val="single" w:sz="4" w:space="0" w:color="000000"/>
              <w:right w:val="single" w:sz="4" w:space="0" w:color="auto"/>
            </w:tcBorders>
            <w:shd w:val="clear" w:color="auto" w:fill="E7E6E6" w:themeFill="background2"/>
            <w:vAlign w:val="center"/>
          </w:tcPr>
          <w:p w14:paraId="0B714290" w14:textId="77777777" w:rsidR="004F3D65" w:rsidRPr="003E76E7" w:rsidRDefault="004F3D65" w:rsidP="00C4292D">
            <w:pPr>
              <w:spacing w:before="60" w:after="60"/>
              <w:rPr>
                <w:rFonts w:ascii="Arial" w:hAnsi="Arial"/>
                <w:sz w:val="16"/>
                <w:szCs w:val="16"/>
                <w:lang w:val="en-AU"/>
              </w:rPr>
            </w:pPr>
            <w:r w:rsidRPr="003E76E7">
              <w:rPr>
                <w:rFonts w:ascii="Arial" w:hAnsi="Arial"/>
                <w:b/>
                <w:bCs/>
                <w:sz w:val="16"/>
                <w:szCs w:val="16"/>
              </w:rPr>
              <w:t>Maritime Domain (Continued)</w:t>
            </w:r>
          </w:p>
        </w:tc>
      </w:tr>
      <w:tr w:rsidR="004F3D65" w:rsidRPr="003E76E7" w14:paraId="7B76282C" w14:textId="77777777" w:rsidTr="001E227C">
        <w:trPr>
          <w:trHeight w:hRule="exact" w:val="842"/>
        </w:trPr>
        <w:tc>
          <w:tcPr>
            <w:tcW w:w="1711" w:type="dxa"/>
            <w:vMerge w:val="restart"/>
            <w:tcBorders>
              <w:top w:val="single" w:sz="4" w:space="0" w:color="auto"/>
              <w:left w:val="single" w:sz="4" w:space="0" w:color="auto"/>
              <w:right w:val="single" w:sz="4" w:space="0" w:color="auto"/>
            </w:tcBorders>
            <w:shd w:val="clear" w:color="auto" w:fill="auto"/>
            <w:vAlign w:val="center"/>
          </w:tcPr>
          <w:p w14:paraId="678754C1" w14:textId="77777777" w:rsidR="004F3D65" w:rsidRPr="003E76E7" w:rsidRDefault="004F3D65" w:rsidP="00C4292D">
            <w:pPr>
              <w:spacing w:after="0"/>
              <w:rPr>
                <w:rFonts w:ascii="Arial" w:hAnsi="Arial"/>
                <w:b/>
                <w:bCs/>
                <w:sz w:val="16"/>
                <w:szCs w:val="16"/>
              </w:rPr>
            </w:pPr>
            <w:r w:rsidRPr="003E76E7">
              <w:rPr>
                <w:rFonts w:ascii="Arial" w:hAnsi="Arial"/>
                <w:sz w:val="16"/>
                <w:szCs w:val="16"/>
                <w:lang w:val="en-AU"/>
              </w:rPr>
              <w:t>General Purpose Frigates</w:t>
            </w:r>
          </w:p>
        </w:tc>
        <w:tc>
          <w:tcPr>
            <w:tcW w:w="1398" w:type="dxa"/>
            <w:vMerge w:val="restart"/>
            <w:tcBorders>
              <w:top w:val="single" w:sz="4" w:space="0" w:color="auto"/>
              <w:left w:val="single" w:sz="4" w:space="0" w:color="auto"/>
              <w:right w:val="single" w:sz="4" w:space="0" w:color="auto"/>
            </w:tcBorders>
            <w:shd w:val="clear" w:color="auto" w:fill="auto"/>
            <w:vAlign w:val="center"/>
          </w:tcPr>
          <w:p w14:paraId="4DCB7004" w14:textId="77777777" w:rsidR="004F3D65" w:rsidRPr="003E76E7" w:rsidRDefault="004F3D65" w:rsidP="00C4292D">
            <w:pPr>
              <w:spacing w:after="0"/>
              <w:jc w:val="center"/>
              <w:rPr>
                <w:rFonts w:ascii="Arial" w:hAnsi="Arial"/>
                <w:b/>
                <w:bCs/>
                <w:sz w:val="16"/>
                <w:szCs w:val="16"/>
              </w:rPr>
            </w:pPr>
            <w:r w:rsidRPr="003E76E7">
              <w:rPr>
                <w:rFonts w:ascii="Arial" w:hAnsi="Arial"/>
                <w:b/>
                <w:bCs/>
                <w:sz w:val="16"/>
                <w:szCs w:val="16"/>
                <w:lang w:val="en-AU"/>
              </w:rPr>
              <w:t>SEA 3000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095259E" w14:textId="77777777" w:rsidR="004F3D65" w:rsidRPr="003E76E7" w:rsidRDefault="004F3D65" w:rsidP="00C4292D">
            <w:pPr>
              <w:spacing w:after="0"/>
              <w:rPr>
                <w:rFonts w:ascii="Arial" w:hAnsi="Arial"/>
                <w:b/>
                <w:bCs/>
                <w:sz w:val="16"/>
                <w:szCs w:val="16"/>
              </w:rPr>
            </w:pPr>
            <w:r w:rsidRPr="003E76E7">
              <w:rPr>
                <w:rFonts w:ascii="Arial" w:hAnsi="Arial"/>
                <w:sz w:val="16"/>
                <w:szCs w:val="16"/>
              </w:rPr>
              <w:t>Military Equipment Acquisition</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D0E1E9" w14:textId="77777777" w:rsidR="004F3D65" w:rsidRPr="003E76E7" w:rsidRDefault="004F3D65" w:rsidP="001E227C">
            <w:pPr>
              <w:spacing w:before="0" w:after="0"/>
              <w:jc w:val="right"/>
              <w:rPr>
                <w:rFonts w:ascii="Arial" w:hAnsi="Arial"/>
                <w:b/>
                <w:bCs/>
                <w:sz w:val="16"/>
                <w:szCs w:val="16"/>
              </w:rPr>
            </w:pPr>
            <w:r w:rsidRPr="003E76E7">
              <w:rPr>
                <w:rFonts w:ascii="Arial" w:hAnsi="Arial"/>
                <w:sz w:val="16"/>
                <w:szCs w:val="16"/>
              </w:rPr>
              <w:t>7,532</w:t>
            </w:r>
          </w:p>
        </w:tc>
        <w:tc>
          <w:tcPr>
            <w:tcW w:w="1229" w:type="dxa"/>
            <w:tcBorders>
              <w:top w:val="single" w:sz="4" w:space="0" w:color="auto"/>
              <w:left w:val="nil"/>
              <w:bottom w:val="single" w:sz="4" w:space="0" w:color="auto"/>
              <w:right w:val="single" w:sz="4" w:space="0" w:color="auto"/>
            </w:tcBorders>
            <w:shd w:val="clear" w:color="auto" w:fill="auto"/>
            <w:noWrap/>
            <w:vAlign w:val="center"/>
          </w:tcPr>
          <w:p w14:paraId="1C777460" w14:textId="77777777" w:rsidR="004F3D65" w:rsidRPr="003E76E7" w:rsidRDefault="004F3D65" w:rsidP="001E227C">
            <w:pPr>
              <w:spacing w:before="0" w:after="0"/>
              <w:jc w:val="right"/>
              <w:rPr>
                <w:rFonts w:ascii="Arial" w:hAnsi="Arial"/>
                <w:b/>
                <w:bCs/>
                <w:sz w:val="16"/>
                <w:szCs w:val="16"/>
              </w:rPr>
            </w:pPr>
            <w:r w:rsidRPr="003E76E7">
              <w:rPr>
                <w:rFonts w:ascii="Arial" w:hAnsi="Arial"/>
                <w:sz w:val="16"/>
                <w:szCs w:val="16"/>
              </w:rPr>
              <w:t>96</w:t>
            </w:r>
          </w:p>
        </w:tc>
        <w:tc>
          <w:tcPr>
            <w:tcW w:w="1229" w:type="dxa"/>
            <w:tcBorders>
              <w:top w:val="single" w:sz="4" w:space="0" w:color="auto"/>
              <w:left w:val="nil"/>
              <w:bottom w:val="single" w:sz="4" w:space="0" w:color="auto"/>
              <w:right w:val="single" w:sz="4" w:space="0" w:color="auto"/>
            </w:tcBorders>
            <w:shd w:val="clear" w:color="auto" w:fill="auto"/>
            <w:noWrap/>
            <w:vAlign w:val="center"/>
          </w:tcPr>
          <w:p w14:paraId="2DB83A5A" w14:textId="77777777" w:rsidR="004F3D65" w:rsidRPr="003E76E7" w:rsidRDefault="004F3D65" w:rsidP="001E227C">
            <w:pPr>
              <w:spacing w:before="0" w:after="0"/>
              <w:jc w:val="right"/>
              <w:rPr>
                <w:rFonts w:ascii="Arial" w:hAnsi="Arial"/>
                <w:b/>
                <w:bCs/>
                <w:sz w:val="16"/>
                <w:szCs w:val="16"/>
              </w:rPr>
            </w:pPr>
            <w:r w:rsidRPr="003E76E7">
              <w:rPr>
                <w:rFonts w:ascii="Arial" w:hAnsi="Arial"/>
                <w:sz w:val="16"/>
                <w:szCs w:val="16"/>
              </w:rPr>
              <w:t>649</w:t>
            </w:r>
          </w:p>
        </w:tc>
        <w:tc>
          <w:tcPr>
            <w:tcW w:w="5023" w:type="dxa"/>
            <w:vMerge w:val="restart"/>
            <w:tcBorders>
              <w:top w:val="single" w:sz="4" w:space="0" w:color="000000"/>
              <w:left w:val="single" w:sz="4" w:space="0" w:color="auto"/>
              <w:right w:val="single" w:sz="4" w:space="0" w:color="auto"/>
            </w:tcBorders>
            <w:shd w:val="clear" w:color="auto" w:fill="auto"/>
            <w:vAlign w:val="center"/>
          </w:tcPr>
          <w:p w14:paraId="2A43E16B" w14:textId="77777777" w:rsidR="00A5119F" w:rsidRPr="003E76E7" w:rsidRDefault="00A5119F" w:rsidP="00A5119F">
            <w:pPr>
              <w:spacing w:before="60" w:after="60"/>
              <w:rPr>
                <w:rFonts w:ascii="Arial" w:hAnsi="Arial"/>
                <w:sz w:val="16"/>
                <w:szCs w:val="16"/>
              </w:rPr>
            </w:pPr>
            <w:r w:rsidRPr="003E76E7">
              <w:rPr>
                <w:rFonts w:ascii="Arial" w:hAnsi="Arial"/>
                <w:sz w:val="16"/>
                <w:szCs w:val="16"/>
                <w:lang w:val="en-AU"/>
              </w:rPr>
              <w:t xml:space="preserve">The SEA3000 General Purpose Frigate program is an accelerated capability program designed to deliver a fleet of new </w:t>
            </w:r>
            <w:r>
              <w:rPr>
                <w:rFonts w:ascii="Arial" w:hAnsi="Arial"/>
                <w:sz w:val="16"/>
                <w:szCs w:val="16"/>
                <w:lang w:val="en-AU"/>
              </w:rPr>
              <w:t xml:space="preserve">general purpose </w:t>
            </w:r>
            <w:r w:rsidRPr="003E76E7">
              <w:rPr>
                <w:rFonts w:ascii="Arial" w:hAnsi="Arial"/>
                <w:sz w:val="16"/>
                <w:szCs w:val="16"/>
                <w:lang w:val="en-AU"/>
              </w:rPr>
              <w:t>frigates to the Royal Australian Navy as fast as possible.</w:t>
            </w:r>
          </w:p>
          <w:p w14:paraId="788AAF5B" w14:textId="265D6520" w:rsidR="004F3D65" w:rsidRPr="003E76E7" w:rsidRDefault="004F3D65" w:rsidP="00520AB1">
            <w:pPr>
              <w:spacing w:before="60" w:after="60"/>
              <w:rPr>
                <w:rFonts w:ascii="Arial" w:hAnsi="Arial"/>
                <w:sz w:val="16"/>
                <w:szCs w:val="16"/>
              </w:rPr>
            </w:pPr>
            <w:r w:rsidRPr="003E76E7">
              <w:rPr>
                <w:rFonts w:ascii="Arial" w:hAnsi="Arial"/>
                <w:sz w:val="16"/>
                <w:szCs w:val="16"/>
                <w:lang w:val="en-AU"/>
              </w:rPr>
              <w:t>During 2026-27, the project will commence the construction of the first General Purpose Frigate to be delivered to th</w:t>
            </w:r>
            <w:r w:rsidR="00520AB1">
              <w:rPr>
                <w:rFonts w:ascii="Arial" w:hAnsi="Arial"/>
                <w:sz w:val="16"/>
                <w:szCs w:val="16"/>
                <w:lang w:val="en-AU"/>
              </w:rPr>
              <w:t>e Royal Australian Navy in 2029</w:t>
            </w:r>
            <w:r w:rsidRPr="003E76E7">
              <w:rPr>
                <w:rFonts w:ascii="Arial" w:hAnsi="Arial"/>
                <w:sz w:val="16"/>
                <w:szCs w:val="16"/>
                <w:lang w:val="en-AU"/>
              </w:rPr>
              <w:t>. The first three frigates will be built offshore in Japan.</w:t>
            </w:r>
          </w:p>
        </w:tc>
      </w:tr>
      <w:tr w:rsidR="004F3D65" w:rsidRPr="003E76E7" w14:paraId="7C60FAF5" w14:textId="77777777" w:rsidTr="001E227C">
        <w:trPr>
          <w:trHeight w:hRule="exact" w:val="853"/>
        </w:trPr>
        <w:tc>
          <w:tcPr>
            <w:tcW w:w="1711" w:type="dxa"/>
            <w:vMerge/>
            <w:tcBorders>
              <w:left w:val="single" w:sz="4" w:space="0" w:color="auto"/>
              <w:right w:val="single" w:sz="4" w:space="0" w:color="auto"/>
            </w:tcBorders>
            <w:shd w:val="clear" w:color="auto" w:fill="auto"/>
            <w:vAlign w:val="center"/>
          </w:tcPr>
          <w:p w14:paraId="7EF01265" w14:textId="77777777" w:rsidR="004F3D65" w:rsidRPr="003E76E7" w:rsidRDefault="004F3D65" w:rsidP="00C4292D">
            <w:pPr>
              <w:spacing w:after="0"/>
              <w:rPr>
                <w:rFonts w:ascii="Arial" w:hAnsi="Arial"/>
                <w:b/>
                <w:bCs/>
                <w:sz w:val="16"/>
                <w:szCs w:val="16"/>
              </w:rPr>
            </w:pPr>
          </w:p>
        </w:tc>
        <w:tc>
          <w:tcPr>
            <w:tcW w:w="1398" w:type="dxa"/>
            <w:vMerge/>
            <w:tcBorders>
              <w:left w:val="single" w:sz="4" w:space="0" w:color="auto"/>
              <w:right w:val="single" w:sz="4" w:space="0" w:color="auto"/>
            </w:tcBorders>
            <w:shd w:val="clear" w:color="auto" w:fill="auto"/>
            <w:vAlign w:val="center"/>
          </w:tcPr>
          <w:p w14:paraId="5AFEBAFB" w14:textId="77777777" w:rsidR="004F3D65" w:rsidRPr="003E76E7" w:rsidRDefault="004F3D65" w:rsidP="00C4292D">
            <w:pPr>
              <w:spacing w:after="0"/>
              <w:jc w:val="center"/>
              <w:rPr>
                <w:rFonts w:ascii="Arial" w:hAnsi="Arial"/>
                <w:b/>
                <w:bCs/>
                <w:sz w:val="16"/>
                <w:szCs w:val="16"/>
              </w:rPr>
            </w:pPr>
          </w:p>
        </w:tc>
        <w:tc>
          <w:tcPr>
            <w:tcW w:w="1559" w:type="dxa"/>
            <w:tcBorders>
              <w:top w:val="single" w:sz="4" w:space="0" w:color="auto"/>
              <w:left w:val="nil"/>
              <w:right w:val="single" w:sz="4" w:space="0" w:color="auto"/>
            </w:tcBorders>
            <w:shd w:val="clear" w:color="auto" w:fill="auto"/>
            <w:vAlign w:val="center"/>
          </w:tcPr>
          <w:p w14:paraId="7958069F" w14:textId="77777777" w:rsidR="004F3D65" w:rsidRPr="003E76E7" w:rsidRDefault="004F3D65" w:rsidP="00C4292D">
            <w:pPr>
              <w:spacing w:after="0"/>
              <w:rPr>
                <w:rFonts w:ascii="Arial" w:hAnsi="Arial"/>
                <w:b/>
                <w:bCs/>
                <w:sz w:val="16"/>
                <w:szCs w:val="16"/>
              </w:rPr>
            </w:pPr>
            <w:r w:rsidRPr="003E76E7">
              <w:rPr>
                <w:rFonts w:ascii="Arial" w:hAnsi="Arial"/>
                <w:sz w:val="16"/>
                <w:szCs w:val="16"/>
              </w:rPr>
              <w:t>Other Project Inputs to Capability</w:t>
            </w:r>
          </w:p>
        </w:tc>
        <w:tc>
          <w:tcPr>
            <w:tcW w:w="1228" w:type="dxa"/>
            <w:tcBorders>
              <w:top w:val="single" w:sz="4" w:space="0" w:color="auto"/>
              <w:left w:val="nil"/>
              <w:right w:val="single" w:sz="4" w:space="0" w:color="auto"/>
            </w:tcBorders>
            <w:shd w:val="clear" w:color="auto" w:fill="auto"/>
            <w:noWrap/>
            <w:vAlign w:val="center"/>
          </w:tcPr>
          <w:p w14:paraId="410300FD" w14:textId="77777777" w:rsidR="004F3D65" w:rsidRPr="003E76E7" w:rsidRDefault="004F3D65" w:rsidP="001E227C">
            <w:pPr>
              <w:spacing w:before="0" w:after="0"/>
              <w:jc w:val="right"/>
              <w:rPr>
                <w:rFonts w:ascii="Arial" w:hAnsi="Arial"/>
                <w:b/>
                <w:bCs/>
                <w:sz w:val="16"/>
                <w:szCs w:val="16"/>
              </w:rPr>
            </w:pPr>
            <w:r w:rsidRPr="003E76E7">
              <w:rPr>
                <w:rFonts w:ascii="Arial" w:hAnsi="Arial"/>
                <w:sz w:val="16"/>
                <w:szCs w:val="16"/>
              </w:rPr>
              <w:t>422</w:t>
            </w:r>
          </w:p>
        </w:tc>
        <w:tc>
          <w:tcPr>
            <w:tcW w:w="1229" w:type="dxa"/>
            <w:tcBorders>
              <w:top w:val="single" w:sz="4" w:space="0" w:color="auto"/>
              <w:left w:val="nil"/>
              <w:right w:val="single" w:sz="4" w:space="0" w:color="auto"/>
            </w:tcBorders>
            <w:shd w:val="clear" w:color="auto" w:fill="auto"/>
            <w:noWrap/>
            <w:vAlign w:val="center"/>
          </w:tcPr>
          <w:p w14:paraId="2B49D43C" w14:textId="77777777" w:rsidR="004F3D65" w:rsidRPr="003E76E7" w:rsidRDefault="004F3D65" w:rsidP="001E227C">
            <w:pPr>
              <w:spacing w:before="0" w:after="0"/>
              <w:jc w:val="right"/>
              <w:rPr>
                <w:rFonts w:ascii="Arial" w:hAnsi="Arial"/>
                <w:b/>
                <w:bCs/>
                <w:sz w:val="16"/>
                <w:szCs w:val="16"/>
              </w:rPr>
            </w:pPr>
            <w:r w:rsidRPr="003E76E7">
              <w:rPr>
                <w:rFonts w:ascii="Arial" w:hAnsi="Arial"/>
                <w:sz w:val="16"/>
                <w:szCs w:val="16"/>
              </w:rPr>
              <w:t>23</w:t>
            </w:r>
          </w:p>
        </w:tc>
        <w:tc>
          <w:tcPr>
            <w:tcW w:w="1229" w:type="dxa"/>
            <w:tcBorders>
              <w:top w:val="single" w:sz="4" w:space="0" w:color="auto"/>
              <w:left w:val="nil"/>
              <w:right w:val="single" w:sz="4" w:space="0" w:color="auto"/>
            </w:tcBorders>
            <w:shd w:val="clear" w:color="auto" w:fill="auto"/>
            <w:noWrap/>
            <w:vAlign w:val="center"/>
          </w:tcPr>
          <w:p w14:paraId="4A5FD1F8" w14:textId="77777777" w:rsidR="004F3D65" w:rsidRPr="003E76E7" w:rsidRDefault="004F3D65" w:rsidP="001E227C">
            <w:pPr>
              <w:spacing w:before="0" w:after="0"/>
              <w:jc w:val="right"/>
              <w:rPr>
                <w:rFonts w:ascii="Arial" w:hAnsi="Arial"/>
                <w:b/>
                <w:bCs/>
                <w:sz w:val="16"/>
                <w:szCs w:val="16"/>
              </w:rPr>
            </w:pPr>
            <w:r w:rsidRPr="003E76E7">
              <w:rPr>
                <w:rFonts w:ascii="Arial" w:hAnsi="Arial"/>
                <w:sz w:val="16"/>
                <w:szCs w:val="16"/>
              </w:rPr>
              <w:t>52</w:t>
            </w:r>
          </w:p>
        </w:tc>
        <w:tc>
          <w:tcPr>
            <w:tcW w:w="5023" w:type="dxa"/>
            <w:vMerge/>
            <w:tcBorders>
              <w:left w:val="single" w:sz="4" w:space="0" w:color="auto"/>
              <w:right w:val="single" w:sz="4" w:space="0" w:color="auto"/>
            </w:tcBorders>
            <w:shd w:val="clear" w:color="auto" w:fill="auto"/>
            <w:vAlign w:val="center"/>
          </w:tcPr>
          <w:p w14:paraId="5906FE92" w14:textId="77777777" w:rsidR="004F3D65" w:rsidRPr="003E76E7" w:rsidRDefault="004F3D65" w:rsidP="00C4292D">
            <w:pPr>
              <w:pStyle w:val="CommentText"/>
              <w:spacing w:before="60" w:after="60"/>
              <w:rPr>
                <w:rFonts w:ascii="Arial" w:hAnsi="Arial"/>
                <w:b/>
                <w:bCs/>
                <w:sz w:val="16"/>
                <w:szCs w:val="16"/>
              </w:rPr>
            </w:pPr>
          </w:p>
        </w:tc>
      </w:tr>
      <w:tr w:rsidR="004F3D65" w:rsidRPr="003E76E7" w14:paraId="07ADADA6" w14:textId="77777777" w:rsidTr="001E227C">
        <w:trPr>
          <w:trHeight w:hRule="exact" w:val="1131"/>
        </w:trPr>
        <w:tc>
          <w:tcPr>
            <w:tcW w:w="171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F8873A1" w14:textId="77777777" w:rsidR="004F3D65" w:rsidRPr="003E76E7" w:rsidRDefault="004F3D65" w:rsidP="00C4292D">
            <w:pPr>
              <w:spacing w:after="0"/>
              <w:rPr>
                <w:rFonts w:ascii="Arial" w:hAnsi="Arial"/>
                <w:b/>
                <w:bCs/>
                <w:sz w:val="16"/>
                <w:szCs w:val="16"/>
              </w:rPr>
            </w:pPr>
            <w:r w:rsidRPr="003E76E7">
              <w:rPr>
                <w:rFonts w:ascii="Arial" w:hAnsi="Arial"/>
                <w:sz w:val="16"/>
                <w:szCs w:val="16"/>
              </w:rPr>
              <w:t>Aegis Baseline</w:t>
            </w:r>
          </w:p>
        </w:tc>
        <w:tc>
          <w:tcPr>
            <w:tcW w:w="139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0C8AD40" w14:textId="77777777" w:rsidR="004F3D65" w:rsidRPr="003E76E7" w:rsidRDefault="004F3D65" w:rsidP="00C4292D">
            <w:pPr>
              <w:spacing w:after="0"/>
              <w:jc w:val="center"/>
              <w:rPr>
                <w:rFonts w:ascii="Arial" w:hAnsi="Arial"/>
                <w:b/>
                <w:bCs/>
                <w:sz w:val="16"/>
                <w:szCs w:val="16"/>
              </w:rPr>
            </w:pPr>
            <w:r w:rsidRPr="003E76E7">
              <w:rPr>
                <w:rFonts w:ascii="Arial" w:hAnsi="Arial"/>
                <w:b/>
                <w:bCs/>
                <w:sz w:val="16"/>
                <w:szCs w:val="16"/>
              </w:rPr>
              <w:t>SEA 4000 Phase 6</w:t>
            </w:r>
          </w:p>
        </w:tc>
        <w:tc>
          <w:tcPr>
            <w:tcW w:w="1559" w:type="dxa"/>
            <w:tcBorders>
              <w:top w:val="single" w:sz="4" w:space="0" w:color="auto"/>
              <w:left w:val="nil"/>
              <w:bottom w:val="single" w:sz="4" w:space="0" w:color="auto"/>
              <w:right w:val="single" w:sz="4" w:space="0" w:color="auto"/>
            </w:tcBorders>
            <w:shd w:val="clear" w:color="auto" w:fill="auto"/>
            <w:vAlign w:val="center"/>
          </w:tcPr>
          <w:p w14:paraId="4DAB27D9" w14:textId="77777777" w:rsidR="004F3D65" w:rsidRPr="003E76E7" w:rsidRDefault="004F3D65" w:rsidP="00C4292D">
            <w:pPr>
              <w:spacing w:after="0"/>
              <w:rPr>
                <w:rFonts w:ascii="Arial" w:hAnsi="Arial"/>
                <w:b/>
                <w:bCs/>
                <w:sz w:val="16"/>
                <w:szCs w:val="16"/>
              </w:rPr>
            </w:pPr>
            <w:r w:rsidRPr="003E76E7">
              <w:rPr>
                <w:rFonts w:ascii="Arial" w:hAnsi="Arial"/>
                <w:sz w:val="16"/>
                <w:szCs w:val="16"/>
              </w:rPr>
              <w:t>Military Equipment Acquisition</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248121" w14:textId="3F593DCB" w:rsidR="004F3D65" w:rsidRPr="003E76E7" w:rsidRDefault="004F3D65" w:rsidP="001E227C">
            <w:pPr>
              <w:spacing w:before="0" w:after="0"/>
              <w:jc w:val="right"/>
              <w:rPr>
                <w:rFonts w:ascii="Arial" w:hAnsi="Arial"/>
                <w:b/>
                <w:bCs/>
                <w:sz w:val="16"/>
                <w:szCs w:val="16"/>
              </w:rPr>
            </w:pPr>
            <w:r w:rsidRPr="003E76E7">
              <w:rPr>
                <w:rFonts w:ascii="Arial" w:hAnsi="Arial"/>
                <w:sz w:val="16"/>
                <w:szCs w:val="16"/>
              </w:rPr>
              <w:t xml:space="preserve">4,311 </w:t>
            </w:r>
          </w:p>
        </w:tc>
        <w:tc>
          <w:tcPr>
            <w:tcW w:w="1229" w:type="dxa"/>
            <w:tcBorders>
              <w:top w:val="single" w:sz="4" w:space="0" w:color="auto"/>
              <w:left w:val="nil"/>
              <w:bottom w:val="single" w:sz="4" w:space="0" w:color="auto"/>
              <w:right w:val="single" w:sz="4" w:space="0" w:color="auto"/>
            </w:tcBorders>
            <w:shd w:val="clear" w:color="auto" w:fill="auto"/>
            <w:noWrap/>
            <w:vAlign w:val="center"/>
          </w:tcPr>
          <w:p w14:paraId="257AABE7" w14:textId="505D3F79" w:rsidR="004F3D65" w:rsidRPr="003E76E7" w:rsidRDefault="004F3D65" w:rsidP="001E227C">
            <w:pPr>
              <w:spacing w:before="0" w:after="0"/>
              <w:jc w:val="right"/>
              <w:rPr>
                <w:rFonts w:ascii="Arial" w:hAnsi="Arial"/>
                <w:b/>
                <w:bCs/>
                <w:sz w:val="16"/>
                <w:szCs w:val="16"/>
              </w:rPr>
            </w:pPr>
            <w:r w:rsidRPr="003E76E7">
              <w:rPr>
                <w:rFonts w:ascii="Arial" w:hAnsi="Arial"/>
                <w:sz w:val="16"/>
                <w:szCs w:val="16"/>
              </w:rPr>
              <w:t xml:space="preserve">1,637 </w:t>
            </w:r>
          </w:p>
        </w:tc>
        <w:tc>
          <w:tcPr>
            <w:tcW w:w="1229" w:type="dxa"/>
            <w:tcBorders>
              <w:top w:val="single" w:sz="4" w:space="0" w:color="auto"/>
              <w:left w:val="nil"/>
              <w:bottom w:val="single" w:sz="4" w:space="0" w:color="auto"/>
              <w:right w:val="single" w:sz="4" w:space="0" w:color="auto"/>
            </w:tcBorders>
            <w:shd w:val="clear" w:color="auto" w:fill="auto"/>
            <w:noWrap/>
            <w:vAlign w:val="center"/>
          </w:tcPr>
          <w:p w14:paraId="6E217962" w14:textId="2BF32476" w:rsidR="004F3D65" w:rsidRPr="003E76E7" w:rsidRDefault="004F3D65" w:rsidP="001E227C">
            <w:pPr>
              <w:spacing w:before="0" w:after="0"/>
              <w:jc w:val="right"/>
              <w:rPr>
                <w:rFonts w:ascii="Arial" w:hAnsi="Arial"/>
                <w:b/>
                <w:bCs/>
                <w:sz w:val="16"/>
                <w:szCs w:val="16"/>
              </w:rPr>
            </w:pPr>
            <w:r w:rsidRPr="003E76E7">
              <w:rPr>
                <w:rFonts w:ascii="Arial" w:hAnsi="Arial"/>
                <w:sz w:val="16"/>
                <w:szCs w:val="16"/>
              </w:rPr>
              <w:t xml:space="preserve">642 </w:t>
            </w:r>
          </w:p>
        </w:tc>
        <w:tc>
          <w:tcPr>
            <w:tcW w:w="502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53A94D9" w14:textId="77777777" w:rsidR="004F3D65" w:rsidRPr="003E76E7" w:rsidRDefault="004F3D65" w:rsidP="00C4292D">
            <w:pPr>
              <w:spacing w:before="60" w:after="60"/>
              <w:rPr>
                <w:rFonts w:ascii="Arial" w:hAnsi="Arial"/>
                <w:sz w:val="16"/>
                <w:szCs w:val="16"/>
                <w:lang w:val="en-AU"/>
              </w:rPr>
            </w:pPr>
            <w:r w:rsidRPr="003E76E7">
              <w:rPr>
                <w:rFonts w:ascii="Arial" w:hAnsi="Arial"/>
                <w:sz w:val="16"/>
                <w:szCs w:val="16"/>
                <w:lang w:val="en-AU"/>
              </w:rPr>
              <w:t>This project will deliver the upgrade of the Aegis Combat System from Baseline 8 to Baseline 9, as well as the insertion of a new Australian Combat Management System - replacing the Australian Tactical Interface with a Saab developed Australian Interface.</w:t>
            </w:r>
          </w:p>
          <w:p w14:paraId="036D0035" w14:textId="5B1001F5" w:rsidR="004F3D65" w:rsidRPr="003E76E7" w:rsidRDefault="00A5119F" w:rsidP="00C4292D">
            <w:pPr>
              <w:pStyle w:val="CommentText"/>
              <w:spacing w:before="60" w:after="60"/>
              <w:rPr>
                <w:rFonts w:ascii="Arial" w:hAnsi="Arial"/>
                <w:b/>
                <w:bCs/>
                <w:sz w:val="16"/>
                <w:szCs w:val="16"/>
              </w:rPr>
            </w:pPr>
            <w:r w:rsidRPr="003E76E7">
              <w:rPr>
                <w:rFonts w:ascii="Arial" w:hAnsi="Arial"/>
                <w:sz w:val="16"/>
                <w:szCs w:val="16"/>
              </w:rPr>
              <w:t xml:space="preserve">In 2026-27, the project </w:t>
            </w:r>
            <w:r>
              <w:rPr>
                <w:rFonts w:ascii="Arial" w:hAnsi="Arial"/>
                <w:sz w:val="16"/>
                <w:szCs w:val="16"/>
              </w:rPr>
              <w:t xml:space="preserve">will </w:t>
            </w:r>
            <w:r w:rsidRPr="003E76E7">
              <w:rPr>
                <w:rFonts w:ascii="Arial" w:hAnsi="Arial"/>
                <w:sz w:val="16"/>
                <w:szCs w:val="16"/>
              </w:rPr>
              <w:t>continue to advance the Australian Defence Force’s Integrated Air and Missile Defence capability through the introduction of Aegis Baseline 9. The project remains on schedule, with Ship 1 production continuing following its commencement in 2025.</w:t>
            </w:r>
          </w:p>
        </w:tc>
      </w:tr>
      <w:tr w:rsidR="004F3D65" w:rsidRPr="003E76E7" w14:paraId="026EF7FA" w14:textId="77777777" w:rsidTr="001E227C">
        <w:trPr>
          <w:trHeight w:hRule="exact" w:val="991"/>
        </w:trPr>
        <w:tc>
          <w:tcPr>
            <w:tcW w:w="1711" w:type="dxa"/>
            <w:vMerge/>
            <w:tcBorders>
              <w:left w:val="single" w:sz="4" w:space="0" w:color="auto"/>
              <w:right w:val="single" w:sz="4" w:space="0" w:color="auto"/>
            </w:tcBorders>
            <w:shd w:val="clear" w:color="auto" w:fill="auto"/>
            <w:vAlign w:val="center"/>
          </w:tcPr>
          <w:p w14:paraId="2CEB7C38" w14:textId="77777777" w:rsidR="004F3D65" w:rsidRPr="003E76E7" w:rsidRDefault="004F3D65" w:rsidP="00C4292D">
            <w:pPr>
              <w:spacing w:after="0"/>
              <w:rPr>
                <w:rFonts w:ascii="Arial" w:hAnsi="Arial"/>
                <w:b/>
                <w:bCs/>
                <w:sz w:val="16"/>
                <w:szCs w:val="16"/>
              </w:rPr>
            </w:pPr>
          </w:p>
        </w:tc>
        <w:tc>
          <w:tcPr>
            <w:tcW w:w="1398" w:type="dxa"/>
            <w:vMerge/>
            <w:tcBorders>
              <w:left w:val="single" w:sz="4" w:space="0" w:color="auto"/>
              <w:right w:val="single" w:sz="4" w:space="0" w:color="auto"/>
            </w:tcBorders>
            <w:shd w:val="clear" w:color="auto" w:fill="auto"/>
            <w:vAlign w:val="center"/>
          </w:tcPr>
          <w:p w14:paraId="61092BAF" w14:textId="77777777" w:rsidR="004F3D65" w:rsidRPr="003E76E7" w:rsidRDefault="004F3D65" w:rsidP="00C4292D">
            <w:pPr>
              <w:spacing w:after="0"/>
              <w:jc w:val="center"/>
              <w:rPr>
                <w:rFonts w:ascii="Arial" w:hAnsi="Arial"/>
                <w:b/>
                <w:bCs/>
                <w:sz w:val="16"/>
                <w:szCs w:val="16"/>
              </w:rPr>
            </w:pPr>
          </w:p>
        </w:tc>
        <w:tc>
          <w:tcPr>
            <w:tcW w:w="1559" w:type="dxa"/>
            <w:tcBorders>
              <w:top w:val="single" w:sz="4" w:space="0" w:color="auto"/>
              <w:left w:val="nil"/>
              <w:bottom w:val="single" w:sz="4" w:space="0" w:color="auto"/>
              <w:right w:val="single" w:sz="4" w:space="0" w:color="auto"/>
            </w:tcBorders>
            <w:shd w:val="clear" w:color="auto" w:fill="auto"/>
            <w:vAlign w:val="center"/>
          </w:tcPr>
          <w:p w14:paraId="37DDD362" w14:textId="77777777" w:rsidR="004F3D65" w:rsidRPr="003E76E7" w:rsidRDefault="004F3D65" w:rsidP="00C4292D">
            <w:pPr>
              <w:spacing w:after="0"/>
              <w:rPr>
                <w:rFonts w:ascii="Arial" w:hAnsi="Arial"/>
                <w:b/>
                <w:bCs/>
                <w:sz w:val="16"/>
                <w:szCs w:val="16"/>
              </w:rPr>
            </w:pPr>
            <w:r w:rsidRPr="003E76E7">
              <w:rPr>
                <w:rFonts w:ascii="Arial" w:hAnsi="Arial"/>
                <w:sz w:val="16"/>
                <w:szCs w:val="16"/>
              </w:rPr>
              <w:t>Other Project Inputs to Capability</w:t>
            </w:r>
          </w:p>
        </w:tc>
        <w:tc>
          <w:tcPr>
            <w:tcW w:w="1228" w:type="dxa"/>
            <w:tcBorders>
              <w:top w:val="nil"/>
              <w:left w:val="single" w:sz="4" w:space="0" w:color="auto"/>
              <w:bottom w:val="single" w:sz="4" w:space="0" w:color="auto"/>
              <w:right w:val="single" w:sz="4" w:space="0" w:color="auto"/>
            </w:tcBorders>
            <w:shd w:val="clear" w:color="auto" w:fill="auto"/>
            <w:noWrap/>
            <w:vAlign w:val="center"/>
          </w:tcPr>
          <w:p w14:paraId="54032546" w14:textId="3A7E68F2" w:rsidR="004F3D65" w:rsidRPr="003E76E7" w:rsidRDefault="004F3D65" w:rsidP="001E227C">
            <w:pPr>
              <w:spacing w:before="0" w:after="0"/>
              <w:jc w:val="right"/>
              <w:rPr>
                <w:rFonts w:ascii="Arial" w:hAnsi="Arial"/>
                <w:b/>
                <w:bCs/>
                <w:sz w:val="16"/>
                <w:szCs w:val="16"/>
              </w:rPr>
            </w:pPr>
            <w:r w:rsidRPr="003E76E7">
              <w:rPr>
                <w:rFonts w:ascii="Arial" w:hAnsi="Arial"/>
                <w:sz w:val="16"/>
                <w:szCs w:val="16"/>
              </w:rPr>
              <w:t xml:space="preserve">145 </w:t>
            </w:r>
          </w:p>
        </w:tc>
        <w:tc>
          <w:tcPr>
            <w:tcW w:w="1229" w:type="dxa"/>
            <w:tcBorders>
              <w:top w:val="nil"/>
              <w:left w:val="nil"/>
              <w:bottom w:val="single" w:sz="4" w:space="0" w:color="auto"/>
              <w:right w:val="single" w:sz="4" w:space="0" w:color="auto"/>
            </w:tcBorders>
            <w:shd w:val="clear" w:color="auto" w:fill="auto"/>
            <w:noWrap/>
            <w:vAlign w:val="center"/>
          </w:tcPr>
          <w:p w14:paraId="17B9E3FF" w14:textId="3FF9C608" w:rsidR="004F3D65" w:rsidRPr="003E76E7" w:rsidRDefault="004F3D65" w:rsidP="001E227C">
            <w:pPr>
              <w:spacing w:before="0" w:after="0"/>
              <w:jc w:val="right"/>
              <w:rPr>
                <w:rFonts w:ascii="Arial" w:hAnsi="Arial"/>
                <w:b/>
                <w:bCs/>
                <w:sz w:val="16"/>
                <w:szCs w:val="16"/>
              </w:rPr>
            </w:pPr>
            <w:r w:rsidRPr="003E76E7">
              <w:rPr>
                <w:rFonts w:ascii="Arial" w:hAnsi="Arial"/>
                <w:sz w:val="16"/>
                <w:szCs w:val="16"/>
              </w:rPr>
              <w:t xml:space="preserve">25 </w:t>
            </w:r>
          </w:p>
        </w:tc>
        <w:tc>
          <w:tcPr>
            <w:tcW w:w="1229" w:type="dxa"/>
            <w:tcBorders>
              <w:top w:val="nil"/>
              <w:left w:val="nil"/>
              <w:bottom w:val="single" w:sz="4" w:space="0" w:color="auto"/>
              <w:right w:val="single" w:sz="4" w:space="0" w:color="auto"/>
            </w:tcBorders>
            <w:shd w:val="clear" w:color="auto" w:fill="auto"/>
            <w:noWrap/>
            <w:vAlign w:val="center"/>
          </w:tcPr>
          <w:p w14:paraId="516C60E3" w14:textId="44BFFD97" w:rsidR="004F3D65" w:rsidRPr="003E76E7" w:rsidRDefault="004F3D65" w:rsidP="001E227C">
            <w:pPr>
              <w:spacing w:before="0" w:after="0"/>
              <w:jc w:val="right"/>
              <w:rPr>
                <w:rFonts w:ascii="Arial" w:hAnsi="Arial"/>
                <w:b/>
                <w:bCs/>
                <w:sz w:val="16"/>
                <w:szCs w:val="16"/>
              </w:rPr>
            </w:pPr>
            <w:r w:rsidRPr="003E76E7">
              <w:rPr>
                <w:rFonts w:ascii="Arial" w:hAnsi="Arial"/>
                <w:sz w:val="16"/>
                <w:szCs w:val="16"/>
              </w:rPr>
              <w:t xml:space="preserve">13 </w:t>
            </w:r>
          </w:p>
        </w:tc>
        <w:tc>
          <w:tcPr>
            <w:tcW w:w="5023" w:type="dxa"/>
            <w:vMerge/>
            <w:tcBorders>
              <w:left w:val="single" w:sz="4" w:space="0" w:color="auto"/>
              <w:bottom w:val="single" w:sz="4" w:space="0" w:color="auto"/>
              <w:right w:val="single" w:sz="4" w:space="0" w:color="auto"/>
            </w:tcBorders>
            <w:shd w:val="clear" w:color="auto" w:fill="auto"/>
            <w:vAlign w:val="center"/>
          </w:tcPr>
          <w:p w14:paraId="45CDC798" w14:textId="77777777" w:rsidR="004F3D65" w:rsidRPr="003E76E7" w:rsidRDefault="004F3D65" w:rsidP="00C4292D">
            <w:pPr>
              <w:pStyle w:val="CommentText"/>
              <w:spacing w:before="60" w:after="60"/>
              <w:rPr>
                <w:rFonts w:ascii="Arial" w:hAnsi="Arial"/>
                <w:b/>
                <w:bCs/>
                <w:sz w:val="16"/>
                <w:szCs w:val="16"/>
              </w:rPr>
            </w:pPr>
          </w:p>
        </w:tc>
      </w:tr>
      <w:tr w:rsidR="004F3D65" w:rsidRPr="003E76E7" w14:paraId="1BD0AF2A" w14:textId="77777777" w:rsidTr="001E227C">
        <w:trPr>
          <w:trHeight w:hRule="exact" w:val="991"/>
        </w:trPr>
        <w:tc>
          <w:tcPr>
            <w:tcW w:w="171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62BD88E" w14:textId="77777777" w:rsidR="004F3D65" w:rsidRPr="003E76E7" w:rsidRDefault="004F3D65" w:rsidP="00C4292D">
            <w:pPr>
              <w:spacing w:after="0"/>
              <w:rPr>
                <w:rFonts w:ascii="Arial" w:hAnsi="Arial"/>
                <w:b/>
                <w:bCs/>
                <w:sz w:val="16"/>
                <w:szCs w:val="16"/>
              </w:rPr>
            </w:pPr>
            <w:r w:rsidRPr="003E76E7">
              <w:rPr>
                <w:rFonts w:ascii="Arial" w:hAnsi="Arial"/>
                <w:sz w:val="16"/>
                <w:szCs w:val="16"/>
              </w:rPr>
              <w:t>Uncrewed Maritime Warfare</w:t>
            </w:r>
          </w:p>
        </w:tc>
        <w:tc>
          <w:tcPr>
            <w:tcW w:w="139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B1FBC46" w14:textId="77777777" w:rsidR="004F3D65" w:rsidRPr="003E76E7" w:rsidRDefault="004F3D65" w:rsidP="00C4292D">
            <w:pPr>
              <w:spacing w:after="0"/>
              <w:jc w:val="center"/>
              <w:rPr>
                <w:rFonts w:ascii="Arial" w:hAnsi="Arial"/>
                <w:b/>
                <w:bCs/>
                <w:sz w:val="16"/>
                <w:szCs w:val="16"/>
              </w:rPr>
            </w:pPr>
            <w:r w:rsidRPr="003E76E7">
              <w:rPr>
                <w:rFonts w:ascii="Arial" w:hAnsi="Arial"/>
                <w:b/>
                <w:bCs/>
                <w:sz w:val="16"/>
                <w:szCs w:val="16"/>
              </w:rPr>
              <w:t>SEA 1200</w:t>
            </w:r>
          </w:p>
        </w:tc>
        <w:tc>
          <w:tcPr>
            <w:tcW w:w="1559" w:type="dxa"/>
            <w:tcBorders>
              <w:top w:val="single" w:sz="4" w:space="0" w:color="auto"/>
              <w:left w:val="nil"/>
              <w:bottom w:val="single" w:sz="4" w:space="0" w:color="auto"/>
              <w:right w:val="single" w:sz="4" w:space="0" w:color="auto"/>
            </w:tcBorders>
            <w:shd w:val="clear" w:color="auto" w:fill="auto"/>
            <w:vAlign w:val="center"/>
          </w:tcPr>
          <w:p w14:paraId="5B867736" w14:textId="77777777" w:rsidR="004F3D65" w:rsidRPr="003E76E7" w:rsidRDefault="004F3D65" w:rsidP="00C4292D">
            <w:pPr>
              <w:spacing w:after="0"/>
              <w:rPr>
                <w:rFonts w:ascii="Arial" w:hAnsi="Arial"/>
                <w:b/>
                <w:bCs/>
                <w:sz w:val="16"/>
                <w:szCs w:val="16"/>
              </w:rPr>
            </w:pPr>
            <w:r w:rsidRPr="003E76E7">
              <w:rPr>
                <w:rFonts w:ascii="Arial" w:hAnsi="Arial"/>
                <w:sz w:val="16"/>
                <w:szCs w:val="16"/>
              </w:rPr>
              <w:t>Military Equipment Acquisition</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982BC8" w14:textId="36EC949E" w:rsidR="004F3D65" w:rsidRPr="003E76E7" w:rsidRDefault="004F3D65" w:rsidP="001E227C">
            <w:pPr>
              <w:spacing w:before="0" w:after="0"/>
              <w:jc w:val="right"/>
              <w:rPr>
                <w:rFonts w:ascii="Arial" w:hAnsi="Arial"/>
                <w:b/>
                <w:bCs/>
                <w:sz w:val="16"/>
                <w:szCs w:val="16"/>
              </w:rPr>
            </w:pPr>
            <w:r w:rsidRPr="003E76E7">
              <w:rPr>
                <w:rFonts w:ascii="Arial" w:hAnsi="Arial"/>
                <w:sz w:val="16"/>
                <w:szCs w:val="16"/>
              </w:rPr>
              <w:t xml:space="preserve">2,053 </w:t>
            </w:r>
          </w:p>
        </w:tc>
        <w:tc>
          <w:tcPr>
            <w:tcW w:w="1229" w:type="dxa"/>
            <w:tcBorders>
              <w:top w:val="single" w:sz="4" w:space="0" w:color="auto"/>
              <w:left w:val="nil"/>
              <w:bottom w:val="single" w:sz="4" w:space="0" w:color="auto"/>
              <w:right w:val="single" w:sz="4" w:space="0" w:color="auto"/>
            </w:tcBorders>
            <w:shd w:val="clear" w:color="auto" w:fill="auto"/>
            <w:noWrap/>
            <w:vAlign w:val="center"/>
          </w:tcPr>
          <w:p w14:paraId="78D47756" w14:textId="4E86E282" w:rsidR="004F3D65" w:rsidRPr="003E76E7" w:rsidRDefault="004F3D65" w:rsidP="001E227C">
            <w:pPr>
              <w:spacing w:before="0" w:after="0"/>
              <w:jc w:val="right"/>
              <w:rPr>
                <w:rFonts w:ascii="Arial" w:hAnsi="Arial"/>
                <w:b/>
                <w:bCs/>
                <w:sz w:val="16"/>
                <w:szCs w:val="16"/>
              </w:rPr>
            </w:pPr>
            <w:r w:rsidRPr="003E76E7">
              <w:rPr>
                <w:rFonts w:ascii="Arial" w:hAnsi="Arial"/>
                <w:sz w:val="16"/>
                <w:szCs w:val="16"/>
              </w:rPr>
              <w:t xml:space="preserve">175 </w:t>
            </w:r>
          </w:p>
        </w:tc>
        <w:tc>
          <w:tcPr>
            <w:tcW w:w="1229" w:type="dxa"/>
            <w:tcBorders>
              <w:top w:val="single" w:sz="4" w:space="0" w:color="auto"/>
              <w:left w:val="nil"/>
              <w:bottom w:val="single" w:sz="4" w:space="0" w:color="auto"/>
              <w:right w:val="single" w:sz="4" w:space="0" w:color="auto"/>
            </w:tcBorders>
            <w:shd w:val="clear" w:color="auto" w:fill="auto"/>
            <w:noWrap/>
            <w:vAlign w:val="center"/>
          </w:tcPr>
          <w:p w14:paraId="09F31CBA" w14:textId="654922E9" w:rsidR="004F3D65" w:rsidRPr="003E76E7" w:rsidRDefault="004F3D65" w:rsidP="001E227C">
            <w:pPr>
              <w:spacing w:before="0" w:after="0"/>
              <w:jc w:val="right"/>
              <w:rPr>
                <w:rFonts w:ascii="Arial" w:hAnsi="Arial"/>
                <w:b/>
                <w:bCs/>
                <w:sz w:val="16"/>
                <w:szCs w:val="16"/>
              </w:rPr>
            </w:pPr>
            <w:r w:rsidRPr="003E76E7">
              <w:rPr>
                <w:rFonts w:ascii="Arial" w:hAnsi="Arial"/>
                <w:sz w:val="16"/>
                <w:szCs w:val="16"/>
              </w:rPr>
              <w:t xml:space="preserve">368 </w:t>
            </w:r>
          </w:p>
        </w:tc>
        <w:tc>
          <w:tcPr>
            <w:tcW w:w="502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EA1B00F" w14:textId="77777777" w:rsidR="004F3D65" w:rsidRPr="003E76E7" w:rsidRDefault="004F3D65" w:rsidP="00C4292D">
            <w:pPr>
              <w:spacing w:before="60" w:after="60"/>
              <w:rPr>
                <w:rFonts w:ascii="Arial" w:hAnsi="Arial" w:cs="Times New Roman"/>
                <w:sz w:val="16"/>
                <w:szCs w:val="16"/>
                <w:lang w:val="en-AU"/>
              </w:rPr>
            </w:pPr>
            <w:r w:rsidRPr="003E76E7">
              <w:rPr>
                <w:rFonts w:ascii="Arial" w:hAnsi="Arial" w:cs="Times New Roman"/>
                <w:sz w:val="16"/>
                <w:szCs w:val="16"/>
                <w:lang w:val="en-AU"/>
              </w:rPr>
              <w:t>This project will deliver multiple maritime uncrewed platforms as part of an integrated uncrewed maritime mission capability providing persistent intelligence, surveillance and reconnaissance (ISR) and contributing to strike effects.</w:t>
            </w:r>
          </w:p>
          <w:p w14:paraId="2BEC1AE6" w14:textId="77777777" w:rsidR="004F3D65" w:rsidRPr="003E76E7" w:rsidRDefault="004F3D65" w:rsidP="00C4292D">
            <w:pPr>
              <w:pStyle w:val="CommentText"/>
              <w:spacing w:before="60" w:after="60"/>
              <w:rPr>
                <w:rFonts w:ascii="Arial" w:hAnsi="Arial"/>
                <w:b/>
                <w:bCs/>
                <w:sz w:val="16"/>
                <w:szCs w:val="16"/>
              </w:rPr>
            </w:pPr>
            <w:r w:rsidRPr="003E76E7">
              <w:rPr>
                <w:rFonts w:ascii="Arial" w:hAnsi="Arial"/>
                <w:bCs/>
                <w:sz w:val="16"/>
                <w:szCs w:val="16"/>
              </w:rPr>
              <w:t>During 2026-27, the project will deliver the initial variants of the Ghost Shark and Bluebottle platforms and continue the continuous capability development and delivery of the subsequent capability variants.</w:t>
            </w:r>
          </w:p>
        </w:tc>
      </w:tr>
      <w:tr w:rsidR="004F3D65" w:rsidRPr="003E76E7" w14:paraId="08558189" w14:textId="77777777" w:rsidTr="001E227C">
        <w:trPr>
          <w:trHeight w:hRule="exact" w:val="991"/>
        </w:trPr>
        <w:tc>
          <w:tcPr>
            <w:tcW w:w="171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FDCAE48" w14:textId="77777777" w:rsidR="004F3D65" w:rsidRPr="003E76E7" w:rsidRDefault="004F3D65" w:rsidP="00C4292D">
            <w:pPr>
              <w:spacing w:after="0"/>
              <w:rPr>
                <w:rFonts w:ascii="Arial" w:hAnsi="Arial"/>
                <w:b/>
                <w:bCs/>
                <w:sz w:val="16"/>
                <w:szCs w:val="16"/>
              </w:rPr>
            </w:pPr>
          </w:p>
        </w:tc>
        <w:tc>
          <w:tcPr>
            <w:tcW w:w="139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016D9B2" w14:textId="77777777" w:rsidR="004F3D65" w:rsidRPr="003E76E7" w:rsidRDefault="004F3D65" w:rsidP="00C4292D">
            <w:pPr>
              <w:spacing w:after="0"/>
              <w:jc w:val="center"/>
              <w:rPr>
                <w:rFonts w:ascii="Arial" w:hAnsi="Arial"/>
                <w:b/>
                <w:bCs/>
                <w:sz w:val="16"/>
                <w:szCs w:val="16"/>
              </w:rPr>
            </w:pPr>
          </w:p>
        </w:tc>
        <w:tc>
          <w:tcPr>
            <w:tcW w:w="1559" w:type="dxa"/>
            <w:tcBorders>
              <w:top w:val="nil"/>
              <w:left w:val="nil"/>
              <w:bottom w:val="single" w:sz="4" w:space="0" w:color="auto"/>
              <w:right w:val="single" w:sz="4" w:space="0" w:color="auto"/>
            </w:tcBorders>
            <w:shd w:val="clear" w:color="auto" w:fill="auto"/>
            <w:vAlign w:val="center"/>
          </w:tcPr>
          <w:p w14:paraId="47AA5DD3" w14:textId="77777777" w:rsidR="004F3D65" w:rsidRPr="003E76E7" w:rsidRDefault="004F3D65" w:rsidP="00C4292D">
            <w:pPr>
              <w:spacing w:after="0"/>
              <w:rPr>
                <w:rFonts w:ascii="Arial" w:hAnsi="Arial"/>
                <w:b/>
                <w:bCs/>
                <w:sz w:val="16"/>
                <w:szCs w:val="16"/>
              </w:rPr>
            </w:pPr>
            <w:r w:rsidRPr="003E76E7">
              <w:rPr>
                <w:rFonts w:ascii="Arial" w:hAnsi="Arial"/>
                <w:sz w:val="16"/>
                <w:szCs w:val="16"/>
              </w:rPr>
              <w:t>Other Project Inputs to Capability</w:t>
            </w:r>
          </w:p>
        </w:tc>
        <w:tc>
          <w:tcPr>
            <w:tcW w:w="1228" w:type="dxa"/>
            <w:tcBorders>
              <w:top w:val="nil"/>
              <w:left w:val="single" w:sz="4" w:space="0" w:color="auto"/>
              <w:bottom w:val="single" w:sz="4" w:space="0" w:color="auto"/>
              <w:right w:val="single" w:sz="4" w:space="0" w:color="auto"/>
            </w:tcBorders>
            <w:shd w:val="clear" w:color="auto" w:fill="auto"/>
            <w:noWrap/>
            <w:vAlign w:val="center"/>
          </w:tcPr>
          <w:p w14:paraId="6DDE5186" w14:textId="0C6908AC" w:rsidR="004F3D65" w:rsidRPr="003E76E7" w:rsidRDefault="004F3D65" w:rsidP="001E227C">
            <w:pPr>
              <w:spacing w:before="0" w:after="0"/>
              <w:jc w:val="right"/>
              <w:rPr>
                <w:rFonts w:ascii="Arial" w:hAnsi="Arial"/>
                <w:b/>
                <w:bCs/>
                <w:sz w:val="16"/>
                <w:szCs w:val="16"/>
              </w:rPr>
            </w:pPr>
            <w:r w:rsidRPr="003E76E7">
              <w:rPr>
                <w:rFonts w:ascii="Arial" w:hAnsi="Arial"/>
                <w:sz w:val="16"/>
                <w:szCs w:val="16"/>
              </w:rPr>
              <w:t xml:space="preserve">152 </w:t>
            </w:r>
          </w:p>
        </w:tc>
        <w:tc>
          <w:tcPr>
            <w:tcW w:w="1229" w:type="dxa"/>
            <w:tcBorders>
              <w:top w:val="nil"/>
              <w:left w:val="nil"/>
              <w:bottom w:val="single" w:sz="4" w:space="0" w:color="auto"/>
              <w:right w:val="single" w:sz="4" w:space="0" w:color="auto"/>
            </w:tcBorders>
            <w:shd w:val="clear" w:color="auto" w:fill="auto"/>
            <w:noWrap/>
            <w:vAlign w:val="center"/>
          </w:tcPr>
          <w:p w14:paraId="04EA74C6" w14:textId="36C90F0D" w:rsidR="004F3D65" w:rsidRPr="003E76E7" w:rsidRDefault="004F3D65" w:rsidP="001E227C">
            <w:pPr>
              <w:spacing w:before="0" w:after="0"/>
              <w:jc w:val="right"/>
              <w:rPr>
                <w:rFonts w:ascii="Arial" w:hAnsi="Arial"/>
                <w:b/>
                <w:bCs/>
                <w:sz w:val="16"/>
                <w:szCs w:val="16"/>
              </w:rPr>
            </w:pPr>
            <w:r w:rsidRPr="003E76E7">
              <w:rPr>
                <w:rFonts w:ascii="Arial" w:hAnsi="Arial"/>
                <w:sz w:val="16"/>
                <w:szCs w:val="16"/>
              </w:rPr>
              <w:t xml:space="preserve">68 </w:t>
            </w:r>
          </w:p>
        </w:tc>
        <w:tc>
          <w:tcPr>
            <w:tcW w:w="1229" w:type="dxa"/>
            <w:tcBorders>
              <w:top w:val="nil"/>
              <w:left w:val="nil"/>
              <w:bottom w:val="single" w:sz="4" w:space="0" w:color="auto"/>
              <w:right w:val="single" w:sz="4" w:space="0" w:color="auto"/>
            </w:tcBorders>
            <w:shd w:val="clear" w:color="auto" w:fill="auto"/>
            <w:noWrap/>
            <w:vAlign w:val="center"/>
          </w:tcPr>
          <w:p w14:paraId="318E8368" w14:textId="5B9FDB68" w:rsidR="004F3D65" w:rsidRPr="003E76E7" w:rsidRDefault="004F3D65" w:rsidP="001E227C">
            <w:pPr>
              <w:spacing w:before="0" w:after="0"/>
              <w:jc w:val="right"/>
              <w:rPr>
                <w:rFonts w:ascii="Arial" w:hAnsi="Arial"/>
                <w:b/>
                <w:bCs/>
                <w:sz w:val="16"/>
                <w:szCs w:val="16"/>
              </w:rPr>
            </w:pPr>
            <w:r w:rsidRPr="003E76E7">
              <w:rPr>
                <w:rFonts w:ascii="Arial" w:hAnsi="Arial"/>
                <w:sz w:val="16"/>
                <w:szCs w:val="16"/>
              </w:rPr>
              <w:t xml:space="preserve">22 </w:t>
            </w:r>
          </w:p>
        </w:tc>
        <w:tc>
          <w:tcPr>
            <w:tcW w:w="502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353FE74" w14:textId="77777777" w:rsidR="004F3D65" w:rsidRPr="003E76E7" w:rsidRDefault="004F3D65" w:rsidP="00C4292D">
            <w:pPr>
              <w:pStyle w:val="CommentText"/>
              <w:rPr>
                <w:rFonts w:ascii="Arial" w:hAnsi="Arial"/>
                <w:b/>
                <w:bCs/>
                <w:sz w:val="16"/>
                <w:szCs w:val="16"/>
              </w:rPr>
            </w:pPr>
          </w:p>
        </w:tc>
      </w:tr>
    </w:tbl>
    <w:p w14:paraId="53570CA1" w14:textId="77777777" w:rsidR="004F3D65" w:rsidRPr="003E76E7" w:rsidRDefault="004F3D65" w:rsidP="00C4292D">
      <w:pPr>
        <w:pStyle w:val="BodyText"/>
        <w:rPr>
          <w:rFonts w:ascii="Arial" w:hAnsi="Arial"/>
          <w:b/>
        </w:rPr>
      </w:pPr>
      <w:r w:rsidRPr="003E76E7">
        <w:br w:type="page"/>
      </w:r>
      <w:r w:rsidRPr="003E76E7">
        <w:rPr>
          <w:rFonts w:ascii="Arial" w:hAnsi="Arial"/>
          <w:b/>
        </w:rPr>
        <w:lastRenderedPageBreak/>
        <w:t>Table 54: Top 30 Military Equipment Acquisition Program Approved Projects by 2026-27 Forecast Expenditure (Gross Plan) (Continued)</w:t>
      </w:r>
      <w:r w:rsidRPr="003E76E7">
        <w:rPr>
          <w:rFonts w:ascii="Arial" w:hAnsi="Arial"/>
          <w:b/>
          <w:vertAlign w:val="superscript"/>
        </w:rPr>
        <w:t xml:space="preserve"> [a][b][c]</w:t>
      </w:r>
    </w:p>
    <w:tbl>
      <w:tblPr>
        <w:tblW w:w="4981" w:type="pct"/>
        <w:tblInd w:w="5" w:type="dxa"/>
        <w:tblLayout w:type="fixed"/>
        <w:tblLook w:val="04A0" w:firstRow="1" w:lastRow="0" w:firstColumn="1" w:lastColumn="0" w:noHBand="0" w:noVBand="1"/>
      </w:tblPr>
      <w:tblGrid>
        <w:gridCol w:w="1711"/>
        <w:gridCol w:w="1398"/>
        <w:gridCol w:w="1559"/>
        <w:gridCol w:w="1228"/>
        <w:gridCol w:w="1229"/>
        <w:gridCol w:w="1229"/>
        <w:gridCol w:w="5023"/>
      </w:tblGrid>
      <w:tr w:rsidR="004F3D65" w:rsidRPr="003E76E7" w14:paraId="16D4B927" w14:textId="77777777" w:rsidTr="001E227C">
        <w:trPr>
          <w:trHeight w:hRule="exact" w:val="1108"/>
        </w:trPr>
        <w:tc>
          <w:tcPr>
            <w:tcW w:w="1711" w:type="dxa"/>
            <w:tcBorders>
              <w:top w:val="single" w:sz="4" w:space="0" w:color="auto"/>
              <w:left w:val="single" w:sz="4" w:space="0" w:color="auto"/>
              <w:bottom w:val="single" w:sz="4" w:space="0" w:color="auto"/>
              <w:right w:val="single" w:sz="4" w:space="0" w:color="auto"/>
            </w:tcBorders>
            <w:shd w:val="clear" w:color="auto" w:fill="auto"/>
            <w:vAlign w:val="center"/>
          </w:tcPr>
          <w:p w14:paraId="4D8C6E9B" w14:textId="77777777" w:rsidR="004F3D65" w:rsidRPr="003E76E7" w:rsidRDefault="004F3D65" w:rsidP="00C4292D">
            <w:pPr>
              <w:spacing w:after="0"/>
              <w:rPr>
                <w:rFonts w:ascii="Arial" w:hAnsi="Arial"/>
                <w:sz w:val="16"/>
                <w:szCs w:val="16"/>
                <w:lang w:val="en-AU"/>
              </w:rPr>
            </w:pPr>
            <w:r w:rsidRPr="003E76E7">
              <w:rPr>
                <w:rFonts w:ascii="Arial" w:hAnsi="Arial"/>
                <w:b/>
                <w:bCs/>
                <w:sz w:val="16"/>
                <w:szCs w:val="16"/>
              </w:rPr>
              <w:t>Domain/Project Name</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14:paraId="1F7BFC4A" w14:textId="77777777" w:rsidR="004F3D65" w:rsidRPr="003E76E7" w:rsidRDefault="004F3D65" w:rsidP="00C4292D">
            <w:pPr>
              <w:spacing w:after="0"/>
              <w:jc w:val="center"/>
              <w:rPr>
                <w:rFonts w:ascii="Arial" w:hAnsi="Arial"/>
                <w:b/>
                <w:bCs/>
                <w:sz w:val="16"/>
                <w:szCs w:val="16"/>
                <w:lang w:val="en-AU"/>
              </w:rPr>
            </w:pPr>
            <w:r w:rsidRPr="003E76E7">
              <w:rPr>
                <w:rFonts w:ascii="Arial" w:hAnsi="Arial"/>
                <w:b/>
                <w:bCs/>
                <w:sz w:val="16"/>
                <w:szCs w:val="16"/>
              </w:rPr>
              <w:t>Project Number/</w:t>
            </w:r>
            <w:r w:rsidRPr="003E76E7">
              <w:rPr>
                <w:rFonts w:ascii="Arial" w:hAnsi="Arial"/>
                <w:b/>
                <w:bCs/>
                <w:sz w:val="16"/>
                <w:szCs w:val="16"/>
              </w:rPr>
              <w:br/>
              <w:t>Phase</w:t>
            </w:r>
          </w:p>
        </w:tc>
        <w:tc>
          <w:tcPr>
            <w:tcW w:w="1559" w:type="dxa"/>
            <w:tcBorders>
              <w:top w:val="single" w:sz="4" w:space="0" w:color="auto"/>
              <w:left w:val="nil"/>
              <w:bottom w:val="single" w:sz="4" w:space="0" w:color="auto"/>
              <w:right w:val="single" w:sz="4" w:space="0" w:color="auto"/>
            </w:tcBorders>
            <w:shd w:val="clear" w:color="auto" w:fill="auto"/>
            <w:vAlign w:val="center"/>
          </w:tcPr>
          <w:p w14:paraId="728A5D66" w14:textId="77777777" w:rsidR="004F3D65" w:rsidRPr="003E76E7" w:rsidRDefault="004F3D65" w:rsidP="00C4292D">
            <w:pPr>
              <w:spacing w:after="0"/>
              <w:rPr>
                <w:rFonts w:ascii="Arial" w:hAnsi="Arial"/>
                <w:sz w:val="16"/>
                <w:szCs w:val="16"/>
              </w:rPr>
            </w:pPr>
            <w:r w:rsidRPr="003E76E7">
              <w:rPr>
                <w:rFonts w:ascii="Arial" w:hAnsi="Arial"/>
                <w:b/>
                <w:bCs/>
                <w:sz w:val="16"/>
                <w:szCs w:val="16"/>
              </w:rPr>
              <w:t>Project Inputs to Capability</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B328D5" w14:textId="3AC6054B" w:rsidR="004F3D65" w:rsidRPr="003E76E7" w:rsidRDefault="001E227C" w:rsidP="001E227C">
            <w:pPr>
              <w:spacing w:before="0" w:after="0"/>
              <w:jc w:val="right"/>
              <w:rPr>
                <w:rFonts w:ascii="Arial" w:hAnsi="Arial"/>
                <w:b/>
                <w:bCs/>
                <w:sz w:val="16"/>
                <w:szCs w:val="16"/>
              </w:rPr>
            </w:pPr>
            <w:r>
              <w:rPr>
                <w:rFonts w:ascii="Arial" w:hAnsi="Arial"/>
                <w:b/>
                <w:bCs/>
                <w:sz w:val="16"/>
                <w:szCs w:val="16"/>
              </w:rPr>
              <w:t>Approved Project Expenditure</w:t>
            </w:r>
          </w:p>
          <w:p w14:paraId="5A323E75" w14:textId="77777777" w:rsidR="004F3D65" w:rsidRPr="003E76E7" w:rsidRDefault="004F3D65" w:rsidP="001E227C">
            <w:pPr>
              <w:spacing w:after="0"/>
              <w:jc w:val="right"/>
              <w:rPr>
                <w:rFonts w:ascii="Arial" w:hAnsi="Arial"/>
                <w:sz w:val="16"/>
                <w:szCs w:val="16"/>
              </w:rPr>
            </w:pPr>
            <w:r w:rsidRPr="003E76E7">
              <w:rPr>
                <w:rFonts w:ascii="Arial" w:hAnsi="Arial"/>
                <w:b/>
                <w:bCs/>
                <w:sz w:val="16"/>
                <w:szCs w:val="16"/>
              </w:rPr>
              <w:t xml:space="preserve"> $m</w:t>
            </w:r>
          </w:p>
        </w:tc>
        <w:tc>
          <w:tcPr>
            <w:tcW w:w="1229" w:type="dxa"/>
            <w:tcBorders>
              <w:top w:val="single" w:sz="4" w:space="0" w:color="auto"/>
              <w:left w:val="nil"/>
              <w:bottom w:val="single" w:sz="4" w:space="0" w:color="auto"/>
              <w:right w:val="single" w:sz="4" w:space="0" w:color="auto"/>
            </w:tcBorders>
            <w:shd w:val="clear" w:color="auto" w:fill="auto"/>
            <w:noWrap/>
            <w:vAlign w:val="bottom"/>
          </w:tcPr>
          <w:p w14:paraId="5492E87E" w14:textId="77777777" w:rsidR="004F3D65" w:rsidRPr="003E76E7" w:rsidRDefault="004F3D65" w:rsidP="001E227C">
            <w:pPr>
              <w:spacing w:before="0" w:after="0"/>
              <w:jc w:val="right"/>
              <w:rPr>
                <w:rFonts w:ascii="Arial" w:hAnsi="Arial"/>
                <w:b/>
                <w:bCs/>
                <w:sz w:val="16"/>
                <w:szCs w:val="16"/>
              </w:rPr>
            </w:pPr>
            <w:r w:rsidRPr="003E76E7">
              <w:rPr>
                <w:rFonts w:ascii="Arial" w:hAnsi="Arial"/>
                <w:b/>
                <w:bCs/>
                <w:sz w:val="16"/>
                <w:szCs w:val="16"/>
              </w:rPr>
              <w:t>Estimated Cumulative Expenditure to 30 June 2026</w:t>
            </w:r>
          </w:p>
          <w:p w14:paraId="22EE0962" w14:textId="77777777" w:rsidR="004F3D65" w:rsidRPr="003E76E7" w:rsidRDefault="004F3D65" w:rsidP="001E227C">
            <w:pPr>
              <w:spacing w:before="0" w:after="0"/>
              <w:jc w:val="right"/>
              <w:rPr>
                <w:rFonts w:ascii="Arial" w:hAnsi="Arial"/>
                <w:sz w:val="16"/>
                <w:szCs w:val="16"/>
              </w:rPr>
            </w:pPr>
            <w:r w:rsidRPr="003E76E7">
              <w:rPr>
                <w:rFonts w:ascii="Arial" w:hAnsi="Arial"/>
                <w:b/>
                <w:bCs/>
                <w:sz w:val="16"/>
                <w:szCs w:val="16"/>
              </w:rPr>
              <w:t xml:space="preserve"> $m</w:t>
            </w:r>
          </w:p>
        </w:tc>
        <w:tc>
          <w:tcPr>
            <w:tcW w:w="1229" w:type="dxa"/>
            <w:tcBorders>
              <w:top w:val="single" w:sz="4" w:space="0" w:color="auto"/>
              <w:left w:val="nil"/>
              <w:bottom w:val="single" w:sz="4" w:space="0" w:color="auto"/>
              <w:right w:val="single" w:sz="4" w:space="0" w:color="auto"/>
            </w:tcBorders>
            <w:shd w:val="clear" w:color="auto" w:fill="auto"/>
            <w:noWrap/>
            <w:vAlign w:val="bottom"/>
          </w:tcPr>
          <w:p w14:paraId="69B125B9" w14:textId="0CDFC9ED" w:rsidR="004F3D65" w:rsidRPr="003E76E7" w:rsidRDefault="001E227C" w:rsidP="001E227C">
            <w:pPr>
              <w:spacing w:before="0" w:after="0"/>
              <w:jc w:val="right"/>
              <w:rPr>
                <w:rFonts w:ascii="Arial" w:hAnsi="Arial"/>
                <w:b/>
                <w:bCs/>
                <w:sz w:val="16"/>
                <w:szCs w:val="16"/>
              </w:rPr>
            </w:pPr>
            <w:r>
              <w:rPr>
                <w:rFonts w:ascii="Arial" w:hAnsi="Arial"/>
                <w:b/>
                <w:bCs/>
                <w:sz w:val="16"/>
                <w:szCs w:val="16"/>
              </w:rPr>
              <w:t xml:space="preserve">Budget Estimate 2026-27 </w:t>
            </w:r>
          </w:p>
          <w:p w14:paraId="4C011547" w14:textId="77777777" w:rsidR="004F3D65" w:rsidRPr="003E76E7" w:rsidRDefault="004F3D65" w:rsidP="001E227C">
            <w:pPr>
              <w:spacing w:after="0"/>
              <w:jc w:val="right"/>
              <w:rPr>
                <w:rFonts w:ascii="Arial" w:hAnsi="Arial"/>
                <w:sz w:val="16"/>
                <w:szCs w:val="16"/>
              </w:rPr>
            </w:pPr>
            <w:r w:rsidRPr="003E76E7">
              <w:rPr>
                <w:rFonts w:ascii="Arial" w:hAnsi="Arial"/>
                <w:b/>
                <w:bCs/>
                <w:sz w:val="16"/>
                <w:szCs w:val="16"/>
              </w:rPr>
              <w:t>$m</w:t>
            </w:r>
          </w:p>
        </w:tc>
        <w:tc>
          <w:tcPr>
            <w:tcW w:w="5023" w:type="dxa"/>
            <w:tcBorders>
              <w:top w:val="single" w:sz="4" w:space="0" w:color="auto"/>
              <w:left w:val="single" w:sz="4" w:space="0" w:color="auto"/>
              <w:bottom w:val="single" w:sz="4" w:space="0" w:color="auto"/>
              <w:right w:val="single" w:sz="4" w:space="0" w:color="auto"/>
            </w:tcBorders>
            <w:shd w:val="clear" w:color="auto" w:fill="auto"/>
            <w:vAlign w:val="center"/>
          </w:tcPr>
          <w:p w14:paraId="609A3449" w14:textId="77777777" w:rsidR="004F3D65" w:rsidRPr="003E76E7" w:rsidRDefault="004F3D65" w:rsidP="00C4292D">
            <w:pPr>
              <w:pStyle w:val="CommentText"/>
              <w:rPr>
                <w:rFonts w:ascii="Arial" w:hAnsi="Arial"/>
                <w:sz w:val="16"/>
                <w:szCs w:val="16"/>
              </w:rPr>
            </w:pPr>
            <w:r w:rsidRPr="003E76E7">
              <w:rPr>
                <w:rFonts w:ascii="Arial" w:hAnsi="Arial"/>
                <w:b/>
                <w:bCs/>
                <w:sz w:val="16"/>
                <w:szCs w:val="16"/>
              </w:rPr>
              <w:t>Top 30 Military Equipment Acquisition Project Descriptions</w:t>
            </w:r>
          </w:p>
        </w:tc>
      </w:tr>
      <w:tr w:rsidR="004F3D65" w:rsidRPr="003E76E7" w14:paraId="31CAEF5D" w14:textId="77777777" w:rsidTr="001E227C">
        <w:trPr>
          <w:trHeight w:hRule="exact" w:val="355"/>
        </w:trPr>
        <w:tc>
          <w:tcPr>
            <w:tcW w:w="13377" w:type="dxa"/>
            <w:gridSpan w:val="7"/>
            <w:tcBorders>
              <w:top w:val="single" w:sz="4" w:space="0" w:color="auto"/>
              <w:left w:val="single" w:sz="4" w:space="0" w:color="auto"/>
              <w:bottom w:val="single" w:sz="4" w:space="0" w:color="000000"/>
              <w:right w:val="single" w:sz="4" w:space="0" w:color="auto"/>
            </w:tcBorders>
            <w:shd w:val="clear" w:color="auto" w:fill="E7E6E6" w:themeFill="background2"/>
            <w:vAlign w:val="center"/>
          </w:tcPr>
          <w:p w14:paraId="79CFBE78" w14:textId="77777777" w:rsidR="004F3D65" w:rsidRPr="003E76E7" w:rsidRDefault="004F3D65" w:rsidP="00C4292D">
            <w:pPr>
              <w:spacing w:before="60" w:after="60"/>
              <w:rPr>
                <w:rFonts w:ascii="Arial" w:hAnsi="Arial"/>
                <w:sz w:val="16"/>
                <w:szCs w:val="16"/>
                <w:lang w:val="en-AU"/>
              </w:rPr>
            </w:pPr>
            <w:r w:rsidRPr="003E76E7">
              <w:rPr>
                <w:rFonts w:ascii="Arial" w:hAnsi="Arial"/>
                <w:b/>
                <w:bCs/>
                <w:sz w:val="16"/>
                <w:szCs w:val="16"/>
              </w:rPr>
              <w:t>Maritime Domain (Continued)</w:t>
            </w:r>
          </w:p>
        </w:tc>
      </w:tr>
      <w:tr w:rsidR="004F3D65" w:rsidRPr="003E76E7" w14:paraId="033C9E02" w14:textId="77777777" w:rsidTr="001E227C">
        <w:trPr>
          <w:trHeight w:hRule="exact" w:val="1347"/>
        </w:trPr>
        <w:tc>
          <w:tcPr>
            <w:tcW w:w="1711"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514DA0AB" w14:textId="77777777" w:rsidR="004F3D65" w:rsidRPr="003E76E7" w:rsidRDefault="004F3D65" w:rsidP="00C4292D">
            <w:pPr>
              <w:spacing w:after="0"/>
              <w:rPr>
                <w:rFonts w:ascii="Arial" w:hAnsi="Arial"/>
                <w:b/>
                <w:bCs/>
                <w:sz w:val="16"/>
                <w:szCs w:val="16"/>
              </w:rPr>
            </w:pPr>
            <w:r w:rsidRPr="003E76E7">
              <w:rPr>
                <w:rFonts w:ascii="Arial" w:hAnsi="Arial"/>
                <w:sz w:val="16"/>
                <w:szCs w:val="16"/>
              </w:rPr>
              <w:t>MH 60R Seahawk Helicopter</w:t>
            </w:r>
          </w:p>
        </w:tc>
        <w:tc>
          <w:tcPr>
            <w:tcW w:w="1398"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2A19B0D1" w14:textId="77777777" w:rsidR="004F3D65" w:rsidRPr="003E76E7" w:rsidRDefault="004F3D65" w:rsidP="00C4292D">
            <w:pPr>
              <w:spacing w:after="0"/>
              <w:jc w:val="center"/>
              <w:rPr>
                <w:rFonts w:ascii="Arial" w:hAnsi="Arial"/>
                <w:b/>
                <w:bCs/>
                <w:sz w:val="16"/>
                <w:szCs w:val="16"/>
              </w:rPr>
            </w:pPr>
            <w:r w:rsidRPr="003E76E7">
              <w:rPr>
                <w:rFonts w:ascii="Arial" w:hAnsi="Arial"/>
                <w:b/>
                <w:bCs/>
                <w:sz w:val="16"/>
                <w:szCs w:val="16"/>
              </w:rPr>
              <w:t>SEA 9100</w:t>
            </w:r>
          </w:p>
        </w:tc>
        <w:tc>
          <w:tcPr>
            <w:tcW w:w="1559" w:type="dxa"/>
            <w:tcBorders>
              <w:top w:val="single" w:sz="4" w:space="0" w:color="auto"/>
              <w:left w:val="nil"/>
              <w:bottom w:val="single" w:sz="4" w:space="0" w:color="auto"/>
              <w:right w:val="single" w:sz="4" w:space="0" w:color="auto"/>
            </w:tcBorders>
            <w:shd w:val="clear" w:color="auto" w:fill="auto"/>
            <w:vAlign w:val="center"/>
          </w:tcPr>
          <w:p w14:paraId="36A0FC98" w14:textId="77777777" w:rsidR="004F3D65" w:rsidRPr="003E76E7" w:rsidRDefault="004F3D65" w:rsidP="00C4292D">
            <w:pPr>
              <w:spacing w:after="0"/>
              <w:rPr>
                <w:rFonts w:ascii="Arial" w:hAnsi="Arial"/>
                <w:b/>
                <w:bCs/>
                <w:sz w:val="16"/>
                <w:szCs w:val="16"/>
              </w:rPr>
            </w:pPr>
            <w:r w:rsidRPr="003E76E7">
              <w:rPr>
                <w:rFonts w:ascii="Arial" w:hAnsi="Arial"/>
                <w:sz w:val="16"/>
                <w:szCs w:val="16"/>
              </w:rPr>
              <w:t>Military Equipment Acquisition</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0735AC" w14:textId="135AACB3" w:rsidR="004F3D65" w:rsidRPr="003E76E7" w:rsidRDefault="004F3D65" w:rsidP="001E227C">
            <w:pPr>
              <w:spacing w:before="0" w:after="0"/>
              <w:jc w:val="right"/>
              <w:rPr>
                <w:rFonts w:ascii="Arial" w:hAnsi="Arial"/>
                <w:b/>
                <w:bCs/>
                <w:sz w:val="16"/>
                <w:szCs w:val="16"/>
              </w:rPr>
            </w:pPr>
            <w:r w:rsidRPr="003E76E7">
              <w:rPr>
                <w:rFonts w:ascii="Arial" w:hAnsi="Arial"/>
                <w:sz w:val="16"/>
                <w:szCs w:val="16"/>
              </w:rPr>
              <w:t xml:space="preserve">4,707 </w:t>
            </w:r>
          </w:p>
        </w:tc>
        <w:tc>
          <w:tcPr>
            <w:tcW w:w="1229" w:type="dxa"/>
            <w:tcBorders>
              <w:top w:val="single" w:sz="4" w:space="0" w:color="auto"/>
              <w:left w:val="nil"/>
              <w:bottom w:val="single" w:sz="4" w:space="0" w:color="auto"/>
              <w:right w:val="single" w:sz="4" w:space="0" w:color="auto"/>
            </w:tcBorders>
            <w:shd w:val="clear" w:color="auto" w:fill="auto"/>
            <w:noWrap/>
            <w:vAlign w:val="center"/>
          </w:tcPr>
          <w:p w14:paraId="04A2FB41" w14:textId="0CD1789E" w:rsidR="004F3D65" w:rsidRPr="003E76E7" w:rsidRDefault="004F3D65" w:rsidP="001E227C">
            <w:pPr>
              <w:spacing w:before="0" w:after="0"/>
              <w:jc w:val="right"/>
              <w:rPr>
                <w:rFonts w:ascii="Arial" w:hAnsi="Arial"/>
                <w:b/>
                <w:bCs/>
                <w:sz w:val="16"/>
                <w:szCs w:val="16"/>
              </w:rPr>
            </w:pPr>
            <w:r w:rsidRPr="003E76E7">
              <w:rPr>
                <w:rFonts w:ascii="Arial" w:hAnsi="Arial"/>
                <w:sz w:val="16"/>
                <w:szCs w:val="16"/>
              </w:rPr>
              <w:t xml:space="preserve">3,576 </w:t>
            </w:r>
          </w:p>
        </w:tc>
        <w:tc>
          <w:tcPr>
            <w:tcW w:w="1229" w:type="dxa"/>
            <w:tcBorders>
              <w:top w:val="single" w:sz="4" w:space="0" w:color="auto"/>
              <w:left w:val="nil"/>
              <w:bottom w:val="single" w:sz="4" w:space="0" w:color="auto"/>
              <w:right w:val="single" w:sz="4" w:space="0" w:color="auto"/>
            </w:tcBorders>
            <w:shd w:val="clear" w:color="auto" w:fill="auto"/>
            <w:noWrap/>
            <w:vAlign w:val="center"/>
          </w:tcPr>
          <w:p w14:paraId="7B8D9213" w14:textId="3B73AB30" w:rsidR="004F3D65" w:rsidRPr="003E76E7" w:rsidRDefault="004F3D65" w:rsidP="001E227C">
            <w:pPr>
              <w:spacing w:before="0" w:after="0"/>
              <w:jc w:val="right"/>
              <w:rPr>
                <w:rFonts w:ascii="Arial" w:hAnsi="Arial"/>
                <w:b/>
                <w:bCs/>
                <w:sz w:val="16"/>
                <w:szCs w:val="16"/>
              </w:rPr>
            </w:pPr>
            <w:r w:rsidRPr="003E76E7">
              <w:rPr>
                <w:rFonts w:ascii="Arial" w:hAnsi="Arial"/>
                <w:sz w:val="16"/>
                <w:szCs w:val="16"/>
              </w:rPr>
              <w:t xml:space="preserve">293 </w:t>
            </w:r>
          </w:p>
        </w:tc>
        <w:tc>
          <w:tcPr>
            <w:tcW w:w="502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129DC37" w14:textId="79BC232B" w:rsidR="004F3D65" w:rsidRPr="003E76E7" w:rsidRDefault="004F3D65" w:rsidP="00C4292D">
            <w:pPr>
              <w:spacing w:before="60" w:after="60"/>
              <w:rPr>
                <w:rFonts w:ascii="Arial" w:hAnsi="Arial"/>
                <w:sz w:val="16"/>
                <w:szCs w:val="16"/>
                <w:lang w:val="en-AU"/>
              </w:rPr>
            </w:pPr>
            <w:r w:rsidRPr="003E76E7">
              <w:rPr>
                <w:rFonts w:ascii="Arial" w:hAnsi="Arial"/>
                <w:sz w:val="16"/>
                <w:szCs w:val="16"/>
                <w:lang w:val="en-AU"/>
              </w:rPr>
              <w:t>This project will acquire MH-60R Seahawk multi-mission helicopters and associated mission and support systems, through the United States Government Foreign Military Sales (FMS) program. This will increase Navy’s MH-60R Seahawk fleet to 36 aircraft.</w:t>
            </w:r>
          </w:p>
          <w:p w14:paraId="3DF1E074" w14:textId="0A0145B1" w:rsidR="004F3D65" w:rsidRPr="003E76E7" w:rsidRDefault="00A5119F" w:rsidP="00C4292D">
            <w:pPr>
              <w:pStyle w:val="CommentText"/>
              <w:spacing w:before="60" w:after="60"/>
              <w:rPr>
                <w:rFonts w:ascii="Arial" w:hAnsi="Arial"/>
                <w:b/>
                <w:bCs/>
                <w:sz w:val="16"/>
                <w:szCs w:val="16"/>
              </w:rPr>
            </w:pPr>
            <w:r>
              <w:rPr>
                <w:rFonts w:ascii="Arial" w:hAnsi="Arial"/>
                <w:sz w:val="16"/>
                <w:szCs w:val="16"/>
              </w:rPr>
              <w:t xml:space="preserve">In </w:t>
            </w:r>
            <w:r w:rsidRPr="003E76E7">
              <w:rPr>
                <w:rFonts w:ascii="Arial" w:hAnsi="Arial"/>
                <w:sz w:val="16"/>
                <w:szCs w:val="16"/>
              </w:rPr>
              <w:t xml:space="preserve">2026-27, the project will </w:t>
            </w:r>
            <w:r>
              <w:rPr>
                <w:rFonts w:ascii="Arial" w:hAnsi="Arial"/>
                <w:sz w:val="16"/>
                <w:szCs w:val="16"/>
              </w:rPr>
              <w:t xml:space="preserve">accept the first additional MH-60R Seahawk helicopters into service and </w:t>
            </w:r>
            <w:r w:rsidRPr="003E76E7">
              <w:rPr>
                <w:rFonts w:ascii="Arial" w:hAnsi="Arial"/>
                <w:sz w:val="16"/>
                <w:szCs w:val="16"/>
              </w:rPr>
              <w:t>declare Initial Operating Capability. The project will continue progressing the acquisition of the remaining MH-60R helicopters, procurement of additional spares and increase the support arrangements for Navy’s expanded MH-60R fleet.</w:t>
            </w:r>
          </w:p>
        </w:tc>
      </w:tr>
      <w:tr w:rsidR="004F3D65" w:rsidRPr="003E76E7" w14:paraId="7AD47768" w14:textId="77777777" w:rsidTr="001E227C">
        <w:trPr>
          <w:trHeight w:hRule="exact" w:val="1091"/>
        </w:trPr>
        <w:tc>
          <w:tcPr>
            <w:tcW w:w="1711" w:type="dxa"/>
            <w:vMerge/>
            <w:tcBorders>
              <w:left w:val="single" w:sz="4" w:space="0" w:color="auto"/>
              <w:right w:val="single" w:sz="4" w:space="0" w:color="auto"/>
            </w:tcBorders>
            <w:shd w:val="clear" w:color="auto" w:fill="auto"/>
            <w:vAlign w:val="center"/>
          </w:tcPr>
          <w:p w14:paraId="478665D4" w14:textId="77777777" w:rsidR="004F3D65" w:rsidRPr="003E76E7" w:rsidRDefault="004F3D65" w:rsidP="00C4292D">
            <w:pPr>
              <w:spacing w:after="0"/>
              <w:rPr>
                <w:rFonts w:ascii="Arial" w:hAnsi="Arial"/>
                <w:b/>
                <w:bCs/>
                <w:sz w:val="16"/>
                <w:szCs w:val="16"/>
              </w:rPr>
            </w:pPr>
          </w:p>
        </w:tc>
        <w:tc>
          <w:tcPr>
            <w:tcW w:w="1398" w:type="dxa"/>
            <w:vMerge/>
            <w:tcBorders>
              <w:left w:val="single" w:sz="4" w:space="0" w:color="auto"/>
              <w:right w:val="single" w:sz="4" w:space="0" w:color="auto"/>
            </w:tcBorders>
            <w:shd w:val="clear" w:color="auto" w:fill="auto"/>
            <w:vAlign w:val="center"/>
          </w:tcPr>
          <w:p w14:paraId="09FD4B37" w14:textId="77777777" w:rsidR="004F3D65" w:rsidRPr="003E76E7" w:rsidRDefault="004F3D65" w:rsidP="00C4292D">
            <w:pPr>
              <w:spacing w:after="0"/>
              <w:jc w:val="center"/>
              <w:rPr>
                <w:rFonts w:ascii="Arial" w:hAnsi="Arial"/>
                <w:b/>
                <w:bCs/>
                <w:sz w:val="16"/>
                <w:szCs w:val="16"/>
              </w:rPr>
            </w:pPr>
          </w:p>
        </w:tc>
        <w:tc>
          <w:tcPr>
            <w:tcW w:w="1559" w:type="dxa"/>
            <w:tcBorders>
              <w:top w:val="single" w:sz="4" w:space="0" w:color="auto"/>
              <w:left w:val="nil"/>
              <w:bottom w:val="single" w:sz="4" w:space="0" w:color="auto"/>
              <w:right w:val="single" w:sz="4" w:space="0" w:color="auto"/>
            </w:tcBorders>
            <w:shd w:val="clear" w:color="auto" w:fill="auto"/>
            <w:vAlign w:val="center"/>
          </w:tcPr>
          <w:p w14:paraId="553B3540" w14:textId="77777777" w:rsidR="004F3D65" w:rsidRPr="003E76E7" w:rsidRDefault="004F3D65" w:rsidP="00C4292D">
            <w:pPr>
              <w:spacing w:after="0"/>
              <w:rPr>
                <w:rFonts w:ascii="Arial" w:hAnsi="Arial"/>
                <w:b/>
                <w:bCs/>
                <w:sz w:val="16"/>
                <w:szCs w:val="16"/>
              </w:rPr>
            </w:pPr>
            <w:r w:rsidRPr="003E76E7">
              <w:rPr>
                <w:rFonts w:ascii="Arial" w:hAnsi="Arial"/>
                <w:sz w:val="16"/>
                <w:szCs w:val="16"/>
              </w:rPr>
              <w:t>Other Project Inputs to Capability</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76C1E6" w14:textId="165B9536" w:rsidR="004F3D65" w:rsidRPr="003E76E7" w:rsidRDefault="004F3D65" w:rsidP="001E227C">
            <w:pPr>
              <w:spacing w:before="0" w:after="0"/>
              <w:jc w:val="right"/>
              <w:rPr>
                <w:rFonts w:ascii="Arial" w:hAnsi="Arial"/>
                <w:b/>
                <w:bCs/>
                <w:sz w:val="16"/>
                <w:szCs w:val="16"/>
              </w:rPr>
            </w:pPr>
            <w:r w:rsidRPr="003E76E7">
              <w:rPr>
                <w:rFonts w:ascii="Arial" w:hAnsi="Arial"/>
                <w:sz w:val="16"/>
                <w:szCs w:val="16"/>
              </w:rPr>
              <w:t xml:space="preserve">378 </w:t>
            </w:r>
          </w:p>
        </w:tc>
        <w:tc>
          <w:tcPr>
            <w:tcW w:w="1229" w:type="dxa"/>
            <w:tcBorders>
              <w:top w:val="single" w:sz="4" w:space="0" w:color="auto"/>
              <w:left w:val="nil"/>
              <w:bottom w:val="single" w:sz="4" w:space="0" w:color="auto"/>
              <w:right w:val="single" w:sz="4" w:space="0" w:color="auto"/>
            </w:tcBorders>
            <w:shd w:val="clear" w:color="auto" w:fill="auto"/>
            <w:noWrap/>
            <w:vAlign w:val="center"/>
          </w:tcPr>
          <w:p w14:paraId="75F972BD" w14:textId="139186DD" w:rsidR="004F3D65" w:rsidRPr="003E76E7" w:rsidRDefault="004F3D65" w:rsidP="001E227C">
            <w:pPr>
              <w:spacing w:before="0" w:after="0"/>
              <w:jc w:val="right"/>
              <w:rPr>
                <w:rFonts w:ascii="Arial" w:hAnsi="Arial"/>
                <w:b/>
                <w:bCs/>
                <w:sz w:val="16"/>
                <w:szCs w:val="16"/>
              </w:rPr>
            </w:pPr>
            <w:r w:rsidRPr="003E76E7">
              <w:rPr>
                <w:rFonts w:ascii="Arial" w:hAnsi="Arial"/>
                <w:sz w:val="16"/>
                <w:szCs w:val="16"/>
              </w:rPr>
              <w:t xml:space="preserve">257 </w:t>
            </w:r>
          </w:p>
        </w:tc>
        <w:tc>
          <w:tcPr>
            <w:tcW w:w="1229" w:type="dxa"/>
            <w:tcBorders>
              <w:top w:val="single" w:sz="4" w:space="0" w:color="auto"/>
              <w:left w:val="nil"/>
              <w:bottom w:val="single" w:sz="4" w:space="0" w:color="auto"/>
              <w:right w:val="single" w:sz="4" w:space="0" w:color="auto"/>
            </w:tcBorders>
            <w:shd w:val="clear" w:color="auto" w:fill="auto"/>
            <w:noWrap/>
            <w:vAlign w:val="center"/>
          </w:tcPr>
          <w:p w14:paraId="7DB3A2DC" w14:textId="2A0D5F38" w:rsidR="004F3D65" w:rsidRPr="003E76E7" w:rsidRDefault="004F3D65" w:rsidP="001E227C">
            <w:pPr>
              <w:spacing w:before="0" w:after="0"/>
              <w:jc w:val="right"/>
              <w:rPr>
                <w:rFonts w:ascii="Arial" w:hAnsi="Arial"/>
                <w:b/>
                <w:bCs/>
                <w:sz w:val="16"/>
                <w:szCs w:val="16"/>
              </w:rPr>
            </w:pPr>
            <w:r w:rsidRPr="003E76E7">
              <w:rPr>
                <w:rFonts w:ascii="Arial" w:hAnsi="Arial"/>
                <w:sz w:val="16"/>
                <w:szCs w:val="16"/>
              </w:rPr>
              <w:t xml:space="preserve">83 </w:t>
            </w:r>
          </w:p>
        </w:tc>
        <w:tc>
          <w:tcPr>
            <w:tcW w:w="5023" w:type="dxa"/>
            <w:vMerge/>
            <w:tcBorders>
              <w:left w:val="single" w:sz="4" w:space="0" w:color="auto"/>
              <w:right w:val="single" w:sz="4" w:space="0" w:color="auto"/>
            </w:tcBorders>
            <w:shd w:val="clear" w:color="auto" w:fill="auto"/>
            <w:vAlign w:val="center"/>
          </w:tcPr>
          <w:p w14:paraId="6F7BC8D5" w14:textId="77777777" w:rsidR="004F3D65" w:rsidRPr="003E76E7" w:rsidRDefault="004F3D65" w:rsidP="00C4292D">
            <w:pPr>
              <w:pStyle w:val="CommentText"/>
              <w:spacing w:before="60" w:after="60"/>
              <w:rPr>
                <w:rFonts w:ascii="Arial" w:hAnsi="Arial"/>
                <w:b/>
                <w:bCs/>
                <w:sz w:val="16"/>
                <w:szCs w:val="16"/>
              </w:rPr>
            </w:pPr>
          </w:p>
        </w:tc>
      </w:tr>
      <w:tr w:rsidR="004F3D65" w:rsidRPr="003E76E7" w14:paraId="523039EA" w14:textId="77777777" w:rsidTr="001E227C">
        <w:trPr>
          <w:trHeight w:hRule="exact" w:val="1045"/>
        </w:trPr>
        <w:tc>
          <w:tcPr>
            <w:tcW w:w="1711" w:type="dxa"/>
            <w:vMerge w:val="restart"/>
            <w:tcBorders>
              <w:top w:val="single" w:sz="4" w:space="0" w:color="auto"/>
              <w:left w:val="single" w:sz="4" w:space="0" w:color="auto"/>
              <w:right w:val="single" w:sz="4" w:space="0" w:color="auto"/>
            </w:tcBorders>
            <w:shd w:val="clear" w:color="auto" w:fill="auto"/>
            <w:vAlign w:val="center"/>
          </w:tcPr>
          <w:p w14:paraId="43F5BD81" w14:textId="77777777" w:rsidR="004F3D65" w:rsidRPr="003E76E7" w:rsidRDefault="004F3D65" w:rsidP="00C4292D">
            <w:pPr>
              <w:spacing w:after="0"/>
              <w:rPr>
                <w:rFonts w:ascii="Arial" w:hAnsi="Arial"/>
                <w:b/>
                <w:bCs/>
                <w:sz w:val="16"/>
                <w:szCs w:val="16"/>
              </w:rPr>
            </w:pPr>
            <w:r w:rsidRPr="003E76E7">
              <w:rPr>
                <w:rFonts w:ascii="Arial" w:hAnsi="Arial"/>
                <w:sz w:val="16"/>
                <w:szCs w:val="16"/>
              </w:rPr>
              <w:t>Arafura Class</w:t>
            </w:r>
          </w:p>
        </w:tc>
        <w:tc>
          <w:tcPr>
            <w:tcW w:w="1398" w:type="dxa"/>
            <w:vMerge w:val="restart"/>
            <w:tcBorders>
              <w:top w:val="single" w:sz="4" w:space="0" w:color="auto"/>
              <w:left w:val="single" w:sz="4" w:space="0" w:color="auto"/>
              <w:right w:val="single" w:sz="4" w:space="0" w:color="auto"/>
            </w:tcBorders>
            <w:shd w:val="clear" w:color="auto" w:fill="auto"/>
            <w:vAlign w:val="center"/>
          </w:tcPr>
          <w:p w14:paraId="4573C6EB" w14:textId="77777777" w:rsidR="004F3D65" w:rsidRPr="003E76E7" w:rsidRDefault="004F3D65" w:rsidP="00C4292D">
            <w:pPr>
              <w:spacing w:after="0"/>
              <w:jc w:val="center"/>
              <w:rPr>
                <w:rFonts w:ascii="Arial" w:hAnsi="Arial"/>
                <w:b/>
                <w:bCs/>
                <w:sz w:val="16"/>
                <w:szCs w:val="16"/>
              </w:rPr>
            </w:pPr>
            <w:r w:rsidRPr="003E76E7">
              <w:rPr>
                <w:rFonts w:ascii="Arial" w:hAnsi="Arial"/>
                <w:b/>
                <w:bCs/>
                <w:sz w:val="16"/>
                <w:szCs w:val="16"/>
              </w:rPr>
              <w:t>SEA 1180</w:t>
            </w:r>
          </w:p>
        </w:tc>
        <w:tc>
          <w:tcPr>
            <w:tcW w:w="1559" w:type="dxa"/>
            <w:tcBorders>
              <w:top w:val="single" w:sz="4" w:space="0" w:color="auto"/>
              <w:left w:val="nil"/>
              <w:bottom w:val="single" w:sz="4" w:space="0" w:color="auto"/>
              <w:right w:val="single" w:sz="4" w:space="0" w:color="auto"/>
            </w:tcBorders>
            <w:shd w:val="clear" w:color="auto" w:fill="auto"/>
            <w:vAlign w:val="center"/>
          </w:tcPr>
          <w:p w14:paraId="05A30309" w14:textId="77777777" w:rsidR="004F3D65" w:rsidRPr="003E76E7" w:rsidRDefault="004F3D65" w:rsidP="00C4292D">
            <w:pPr>
              <w:spacing w:after="0"/>
              <w:rPr>
                <w:rFonts w:ascii="Arial" w:hAnsi="Arial"/>
                <w:b/>
                <w:bCs/>
                <w:sz w:val="16"/>
                <w:szCs w:val="16"/>
              </w:rPr>
            </w:pPr>
            <w:r w:rsidRPr="003E76E7">
              <w:rPr>
                <w:rFonts w:ascii="Arial" w:hAnsi="Arial"/>
                <w:sz w:val="16"/>
                <w:szCs w:val="16"/>
              </w:rPr>
              <w:t>Military Equipment Acquisition</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B825B1" w14:textId="63AB22C5" w:rsidR="004F3D65" w:rsidRPr="003E76E7" w:rsidRDefault="004F3D65" w:rsidP="001E227C">
            <w:pPr>
              <w:spacing w:before="0" w:after="0"/>
              <w:jc w:val="right"/>
              <w:rPr>
                <w:rFonts w:ascii="Arial" w:hAnsi="Arial"/>
                <w:b/>
                <w:bCs/>
                <w:sz w:val="16"/>
                <w:szCs w:val="16"/>
              </w:rPr>
            </w:pPr>
            <w:r w:rsidRPr="003E76E7">
              <w:rPr>
                <w:rFonts w:ascii="Arial" w:hAnsi="Arial"/>
                <w:sz w:val="16"/>
                <w:szCs w:val="16"/>
              </w:rPr>
              <w:t xml:space="preserve">3,739 </w:t>
            </w:r>
          </w:p>
        </w:tc>
        <w:tc>
          <w:tcPr>
            <w:tcW w:w="1229" w:type="dxa"/>
            <w:tcBorders>
              <w:top w:val="single" w:sz="4" w:space="0" w:color="auto"/>
              <w:left w:val="nil"/>
              <w:bottom w:val="single" w:sz="4" w:space="0" w:color="auto"/>
              <w:right w:val="single" w:sz="4" w:space="0" w:color="auto"/>
            </w:tcBorders>
            <w:shd w:val="clear" w:color="auto" w:fill="auto"/>
            <w:noWrap/>
            <w:vAlign w:val="center"/>
          </w:tcPr>
          <w:p w14:paraId="088AE4B3" w14:textId="41323F24" w:rsidR="004F3D65" w:rsidRPr="003E76E7" w:rsidRDefault="004F3D65" w:rsidP="001E227C">
            <w:pPr>
              <w:spacing w:before="0" w:after="0"/>
              <w:jc w:val="right"/>
              <w:rPr>
                <w:rFonts w:ascii="Arial" w:hAnsi="Arial"/>
                <w:b/>
                <w:bCs/>
                <w:sz w:val="16"/>
                <w:szCs w:val="16"/>
              </w:rPr>
            </w:pPr>
            <w:r w:rsidRPr="003E76E7">
              <w:rPr>
                <w:rFonts w:ascii="Arial" w:hAnsi="Arial"/>
                <w:sz w:val="16"/>
                <w:szCs w:val="16"/>
              </w:rPr>
              <w:t xml:space="preserve">2,257 </w:t>
            </w:r>
          </w:p>
        </w:tc>
        <w:tc>
          <w:tcPr>
            <w:tcW w:w="1229" w:type="dxa"/>
            <w:tcBorders>
              <w:top w:val="single" w:sz="4" w:space="0" w:color="auto"/>
              <w:left w:val="nil"/>
              <w:bottom w:val="single" w:sz="4" w:space="0" w:color="auto"/>
              <w:right w:val="single" w:sz="4" w:space="0" w:color="auto"/>
            </w:tcBorders>
            <w:shd w:val="clear" w:color="auto" w:fill="auto"/>
            <w:noWrap/>
            <w:vAlign w:val="center"/>
          </w:tcPr>
          <w:p w14:paraId="537461FF" w14:textId="6EE4F83B" w:rsidR="004F3D65" w:rsidRPr="003E76E7" w:rsidRDefault="004F3D65" w:rsidP="001E227C">
            <w:pPr>
              <w:spacing w:before="0" w:after="0"/>
              <w:jc w:val="right"/>
              <w:rPr>
                <w:rFonts w:ascii="Arial" w:hAnsi="Arial"/>
                <w:b/>
                <w:bCs/>
                <w:sz w:val="16"/>
                <w:szCs w:val="16"/>
              </w:rPr>
            </w:pPr>
            <w:r w:rsidRPr="003E76E7">
              <w:rPr>
                <w:rFonts w:ascii="Arial" w:hAnsi="Arial"/>
                <w:sz w:val="16"/>
                <w:szCs w:val="16"/>
              </w:rPr>
              <w:t xml:space="preserve">256 </w:t>
            </w:r>
          </w:p>
        </w:tc>
        <w:tc>
          <w:tcPr>
            <w:tcW w:w="5023" w:type="dxa"/>
            <w:vMerge w:val="restart"/>
            <w:tcBorders>
              <w:top w:val="single" w:sz="4" w:space="0" w:color="auto"/>
              <w:left w:val="single" w:sz="4" w:space="0" w:color="auto"/>
              <w:right w:val="single" w:sz="4" w:space="0" w:color="auto"/>
            </w:tcBorders>
            <w:shd w:val="clear" w:color="auto" w:fill="auto"/>
            <w:vAlign w:val="center"/>
          </w:tcPr>
          <w:p w14:paraId="32E04B9B" w14:textId="5709323E" w:rsidR="004F3D65" w:rsidRPr="003E76E7" w:rsidRDefault="004F3D65" w:rsidP="00C4292D">
            <w:pPr>
              <w:spacing w:before="60" w:after="60"/>
              <w:rPr>
                <w:rFonts w:ascii="Arial" w:hAnsi="Arial"/>
                <w:sz w:val="16"/>
                <w:szCs w:val="16"/>
                <w:lang w:val="en-AU"/>
              </w:rPr>
            </w:pPr>
            <w:r w:rsidRPr="003E76E7">
              <w:rPr>
                <w:rFonts w:ascii="Arial" w:hAnsi="Arial"/>
                <w:sz w:val="16"/>
                <w:szCs w:val="16"/>
                <w:lang w:val="en-AU"/>
              </w:rPr>
              <w:t>This project will acquire six Arafura class Offshore Patrol Vessel (OPV) to support maritime border patrol and response.</w:t>
            </w:r>
          </w:p>
          <w:p w14:paraId="61C13639" w14:textId="5F14704D" w:rsidR="004F3D65" w:rsidRPr="003E76E7" w:rsidRDefault="004F3D65" w:rsidP="00C4292D">
            <w:pPr>
              <w:spacing w:before="60" w:after="60"/>
              <w:rPr>
                <w:rFonts w:ascii="Arial" w:hAnsi="Arial"/>
                <w:sz w:val="16"/>
                <w:szCs w:val="16"/>
                <w:lang w:val="en-AU"/>
              </w:rPr>
            </w:pPr>
            <w:r w:rsidRPr="003E76E7">
              <w:rPr>
                <w:rFonts w:ascii="Arial" w:hAnsi="Arial"/>
                <w:sz w:val="16"/>
                <w:szCs w:val="16"/>
                <w:lang w:val="en-AU"/>
              </w:rPr>
              <w:t xml:space="preserve">The project achieved Contract Acceptance in January 2025 and September 2025 respectively for the first and second OPV </w:t>
            </w:r>
            <w:r w:rsidRPr="003E76E7">
              <w:rPr>
                <w:rFonts w:ascii="Arial" w:hAnsi="Arial"/>
                <w:sz w:val="16"/>
                <w:szCs w:val="16"/>
                <w:lang w:val="en-AU"/>
              </w:rPr>
              <w:br/>
              <w:t>following construction in Adelaide, South Australia. OPV 1 was commissioned in June 2025.</w:t>
            </w:r>
          </w:p>
          <w:p w14:paraId="4C4A1C65" w14:textId="2B78C56C" w:rsidR="004F3D65" w:rsidRPr="003E76E7" w:rsidRDefault="004F3D65" w:rsidP="00C4292D">
            <w:pPr>
              <w:pStyle w:val="CommentText"/>
              <w:spacing w:before="60" w:after="60"/>
              <w:rPr>
                <w:rFonts w:ascii="Arial" w:hAnsi="Arial"/>
                <w:b/>
                <w:bCs/>
                <w:sz w:val="16"/>
                <w:szCs w:val="16"/>
              </w:rPr>
            </w:pPr>
            <w:r w:rsidRPr="003E76E7">
              <w:rPr>
                <w:rFonts w:ascii="Arial" w:hAnsi="Arial"/>
                <w:sz w:val="16"/>
                <w:szCs w:val="16"/>
              </w:rPr>
              <w:t xml:space="preserve">The next four OPVs are under construction at Henderson, </w:t>
            </w:r>
            <w:r w:rsidRPr="003E76E7">
              <w:rPr>
                <w:rFonts w:ascii="Arial" w:hAnsi="Arial"/>
                <w:sz w:val="16"/>
                <w:szCs w:val="16"/>
              </w:rPr>
              <w:br/>
              <w:t xml:space="preserve">Western Australia. </w:t>
            </w:r>
            <w:r w:rsidRPr="003E76E7">
              <w:rPr>
                <w:rFonts w:ascii="Arial" w:hAnsi="Arial" w:cs="Arial"/>
                <w:sz w:val="16"/>
                <w:szCs w:val="16"/>
              </w:rPr>
              <w:t>The third OPV was launched in October 2025.</w:t>
            </w:r>
            <w:r w:rsidRPr="003E76E7">
              <w:rPr>
                <w:rFonts w:ascii="Arial" w:hAnsi="Arial"/>
                <w:sz w:val="16"/>
                <w:szCs w:val="16"/>
              </w:rPr>
              <w:t xml:space="preserve"> </w:t>
            </w:r>
          </w:p>
        </w:tc>
      </w:tr>
      <w:tr w:rsidR="004F3D65" w:rsidRPr="003E76E7" w14:paraId="63FF5A0E" w14:textId="77777777" w:rsidTr="001E227C">
        <w:trPr>
          <w:trHeight w:hRule="exact" w:val="1003"/>
        </w:trPr>
        <w:tc>
          <w:tcPr>
            <w:tcW w:w="1711" w:type="dxa"/>
            <w:vMerge/>
            <w:tcBorders>
              <w:left w:val="single" w:sz="4" w:space="0" w:color="auto"/>
              <w:right w:val="single" w:sz="4" w:space="0" w:color="auto"/>
            </w:tcBorders>
            <w:shd w:val="clear" w:color="auto" w:fill="auto"/>
            <w:vAlign w:val="center"/>
          </w:tcPr>
          <w:p w14:paraId="1F2A9D14" w14:textId="77777777" w:rsidR="004F3D65" w:rsidRPr="003E76E7" w:rsidRDefault="004F3D65" w:rsidP="00C4292D">
            <w:pPr>
              <w:spacing w:after="0"/>
              <w:rPr>
                <w:rFonts w:ascii="Arial" w:hAnsi="Arial"/>
                <w:b/>
                <w:bCs/>
                <w:sz w:val="16"/>
                <w:szCs w:val="16"/>
              </w:rPr>
            </w:pPr>
          </w:p>
        </w:tc>
        <w:tc>
          <w:tcPr>
            <w:tcW w:w="1398" w:type="dxa"/>
            <w:vMerge/>
            <w:tcBorders>
              <w:left w:val="single" w:sz="4" w:space="0" w:color="auto"/>
              <w:right w:val="single" w:sz="4" w:space="0" w:color="auto"/>
            </w:tcBorders>
            <w:shd w:val="clear" w:color="auto" w:fill="auto"/>
            <w:vAlign w:val="center"/>
          </w:tcPr>
          <w:p w14:paraId="40D8BE4A" w14:textId="77777777" w:rsidR="004F3D65" w:rsidRPr="003E76E7" w:rsidRDefault="004F3D65" w:rsidP="00C4292D">
            <w:pPr>
              <w:spacing w:after="0"/>
              <w:jc w:val="center"/>
              <w:rPr>
                <w:rFonts w:ascii="Arial" w:hAnsi="Arial"/>
                <w:b/>
                <w:bCs/>
                <w:sz w:val="16"/>
                <w:szCs w:val="16"/>
              </w:rPr>
            </w:pPr>
          </w:p>
        </w:tc>
        <w:tc>
          <w:tcPr>
            <w:tcW w:w="1559" w:type="dxa"/>
            <w:tcBorders>
              <w:top w:val="single" w:sz="4" w:space="0" w:color="auto"/>
              <w:left w:val="nil"/>
              <w:bottom w:val="single" w:sz="4" w:space="0" w:color="auto"/>
              <w:right w:val="single" w:sz="4" w:space="0" w:color="auto"/>
            </w:tcBorders>
            <w:shd w:val="clear" w:color="auto" w:fill="auto"/>
            <w:vAlign w:val="center"/>
          </w:tcPr>
          <w:p w14:paraId="5608F54C" w14:textId="77777777" w:rsidR="004F3D65" w:rsidRPr="003E76E7" w:rsidRDefault="004F3D65" w:rsidP="00C4292D">
            <w:pPr>
              <w:spacing w:after="0"/>
              <w:rPr>
                <w:rFonts w:ascii="Arial" w:hAnsi="Arial"/>
                <w:b/>
                <w:bCs/>
                <w:sz w:val="16"/>
                <w:szCs w:val="16"/>
              </w:rPr>
            </w:pPr>
            <w:r w:rsidRPr="003E76E7">
              <w:rPr>
                <w:rFonts w:ascii="Arial" w:hAnsi="Arial"/>
                <w:sz w:val="16"/>
                <w:szCs w:val="16"/>
              </w:rPr>
              <w:t>Other Project Inputs to Capability</w:t>
            </w:r>
          </w:p>
        </w:tc>
        <w:tc>
          <w:tcPr>
            <w:tcW w:w="1228" w:type="dxa"/>
            <w:tcBorders>
              <w:top w:val="nil"/>
              <w:left w:val="single" w:sz="4" w:space="0" w:color="auto"/>
              <w:bottom w:val="single" w:sz="4" w:space="0" w:color="auto"/>
              <w:right w:val="single" w:sz="4" w:space="0" w:color="auto"/>
            </w:tcBorders>
            <w:shd w:val="clear" w:color="auto" w:fill="auto"/>
            <w:noWrap/>
            <w:vAlign w:val="center"/>
          </w:tcPr>
          <w:p w14:paraId="30B74B56" w14:textId="6A037547" w:rsidR="004F3D65" w:rsidRPr="003E76E7" w:rsidRDefault="004F3D65" w:rsidP="001E227C">
            <w:pPr>
              <w:spacing w:before="0" w:after="0"/>
              <w:jc w:val="right"/>
              <w:rPr>
                <w:rFonts w:ascii="Arial" w:hAnsi="Arial"/>
                <w:b/>
                <w:bCs/>
                <w:sz w:val="16"/>
                <w:szCs w:val="16"/>
              </w:rPr>
            </w:pPr>
            <w:r w:rsidRPr="003E76E7">
              <w:rPr>
                <w:rFonts w:ascii="Arial" w:hAnsi="Arial"/>
                <w:sz w:val="16"/>
                <w:szCs w:val="16"/>
              </w:rPr>
              <w:t xml:space="preserve">984 </w:t>
            </w:r>
          </w:p>
        </w:tc>
        <w:tc>
          <w:tcPr>
            <w:tcW w:w="1229" w:type="dxa"/>
            <w:tcBorders>
              <w:top w:val="nil"/>
              <w:left w:val="nil"/>
              <w:bottom w:val="single" w:sz="4" w:space="0" w:color="auto"/>
              <w:right w:val="single" w:sz="4" w:space="0" w:color="auto"/>
            </w:tcBorders>
            <w:shd w:val="clear" w:color="auto" w:fill="auto"/>
            <w:noWrap/>
            <w:vAlign w:val="center"/>
          </w:tcPr>
          <w:p w14:paraId="02D1FD36" w14:textId="74754BF1" w:rsidR="004F3D65" w:rsidRPr="003E76E7" w:rsidRDefault="004F3D65" w:rsidP="001E227C">
            <w:pPr>
              <w:spacing w:before="0" w:after="0"/>
              <w:jc w:val="right"/>
              <w:rPr>
                <w:rFonts w:ascii="Arial" w:hAnsi="Arial"/>
                <w:b/>
                <w:bCs/>
                <w:sz w:val="16"/>
                <w:szCs w:val="16"/>
              </w:rPr>
            </w:pPr>
            <w:r w:rsidRPr="003E76E7">
              <w:rPr>
                <w:rFonts w:ascii="Arial" w:hAnsi="Arial"/>
                <w:sz w:val="16"/>
                <w:szCs w:val="16"/>
              </w:rPr>
              <w:t xml:space="preserve">742 </w:t>
            </w:r>
          </w:p>
        </w:tc>
        <w:tc>
          <w:tcPr>
            <w:tcW w:w="1229" w:type="dxa"/>
            <w:tcBorders>
              <w:top w:val="nil"/>
              <w:left w:val="nil"/>
              <w:bottom w:val="single" w:sz="4" w:space="0" w:color="auto"/>
              <w:right w:val="single" w:sz="4" w:space="0" w:color="auto"/>
            </w:tcBorders>
            <w:shd w:val="clear" w:color="auto" w:fill="auto"/>
            <w:noWrap/>
            <w:vAlign w:val="center"/>
          </w:tcPr>
          <w:p w14:paraId="4CEBA15C" w14:textId="5C607432" w:rsidR="004F3D65" w:rsidRPr="003E76E7" w:rsidRDefault="004F3D65" w:rsidP="001E227C">
            <w:pPr>
              <w:spacing w:before="0" w:after="0"/>
              <w:jc w:val="right"/>
              <w:rPr>
                <w:rFonts w:ascii="Arial" w:hAnsi="Arial"/>
                <w:b/>
                <w:bCs/>
                <w:sz w:val="16"/>
                <w:szCs w:val="16"/>
              </w:rPr>
            </w:pPr>
            <w:r w:rsidRPr="003E76E7">
              <w:rPr>
                <w:rFonts w:ascii="Arial" w:hAnsi="Arial"/>
                <w:sz w:val="16"/>
                <w:szCs w:val="16"/>
              </w:rPr>
              <w:t xml:space="preserve">71 </w:t>
            </w:r>
          </w:p>
        </w:tc>
        <w:tc>
          <w:tcPr>
            <w:tcW w:w="5023" w:type="dxa"/>
            <w:vMerge/>
            <w:tcBorders>
              <w:left w:val="single" w:sz="4" w:space="0" w:color="auto"/>
              <w:right w:val="single" w:sz="4" w:space="0" w:color="auto"/>
            </w:tcBorders>
            <w:shd w:val="clear" w:color="auto" w:fill="auto"/>
            <w:vAlign w:val="center"/>
          </w:tcPr>
          <w:p w14:paraId="069A2EBA" w14:textId="77777777" w:rsidR="004F3D65" w:rsidRPr="003E76E7" w:rsidRDefault="004F3D65" w:rsidP="00C4292D">
            <w:pPr>
              <w:pStyle w:val="CommentText"/>
              <w:spacing w:before="60" w:after="60"/>
              <w:rPr>
                <w:rFonts w:ascii="Arial" w:hAnsi="Arial"/>
                <w:b/>
                <w:bCs/>
                <w:sz w:val="16"/>
                <w:szCs w:val="16"/>
              </w:rPr>
            </w:pPr>
          </w:p>
        </w:tc>
      </w:tr>
      <w:tr w:rsidR="004F3D65" w:rsidRPr="003E76E7" w14:paraId="06D03533" w14:textId="77777777" w:rsidTr="001E227C">
        <w:trPr>
          <w:trHeight w:hRule="exact" w:val="773"/>
        </w:trPr>
        <w:tc>
          <w:tcPr>
            <w:tcW w:w="1711" w:type="dxa"/>
            <w:vMerge w:val="restart"/>
            <w:tcBorders>
              <w:top w:val="single" w:sz="4" w:space="0" w:color="auto"/>
              <w:left w:val="single" w:sz="4" w:space="0" w:color="auto"/>
              <w:right w:val="single" w:sz="4" w:space="0" w:color="auto"/>
            </w:tcBorders>
            <w:shd w:val="clear" w:color="auto" w:fill="auto"/>
            <w:vAlign w:val="center"/>
          </w:tcPr>
          <w:p w14:paraId="562EA5AC" w14:textId="77777777" w:rsidR="004F3D65" w:rsidRPr="003E76E7" w:rsidRDefault="004F3D65" w:rsidP="00C4292D">
            <w:pPr>
              <w:spacing w:after="0"/>
              <w:rPr>
                <w:rFonts w:ascii="Arial" w:hAnsi="Arial"/>
                <w:b/>
                <w:bCs/>
                <w:sz w:val="16"/>
                <w:szCs w:val="16"/>
              </w:rPr>
            </w:pPr>
            <w:r w:rsidRPr="003E76E7">
              <w:rPr>
                <w:rFonts w:ascii="Arial" w:hAnsi="Arial"/>
                <w:sz w:val="16"/>
                <w:szCs w:val="16"/>
              </w:rPr>
              <w:t>Collins Life Of Type Extension</w:t>
            </w:r>
          </w:p>
        </w:tc>
        <w:tc>
          <w:tcPr>
            <w:tcW w:w="1398" w:type="dxa"/>
            <w:vMerge w:val="restart"/>
            <w:tcBorders>
              <w:top w:val="single" w:sz="4" w:space="0" w:color="auto"/>
              <w:left w:val="single" w:sz="4" w:space="0" w:color="auto"/>
              <w:right w:val="single" w:sz="4" w:space="0" w:color="auto"/>
            </w:tcBorders>
            <w:shd w:val="clear" w:color="auto" w:fill="auto"/>
            <w:vAlign w:val="center"/>
          </w:tcPr>
          <w:p w14:paraId="5696A87A" w14:textId="77777777" w:rsidR="004F3D65" w:rsidRPr="003E76E7" w:rsidRDefault="004F3D65" w:rsidP="00C4292D">
            <w:pPr>
              <w:spacing w:after="0"/>
              <w:jc w:val="center"/>
              <w:rPr>
                <w:rFonts w:ascii="Arial" w:hAnsi="Arial"/>
                <w:b/>
                <w:bCs/>
                <w:sz w:val="16"/>
                <w:szCs w:val="16"/>
              </w:rPr>
            </w:pPr>
            <w:r w:rsidRPr="003E76E7">
              <w:rPr>
                <w:rFonts w:ascii="Arial" w:hAnsi="Arial"/>
                <w:b/>
                <w:bCs/>
                <w:sz w:val="16"/>
                <w:szCs w:val="16"/>
              </w:rPr>
              <w:t>SEA 1450</w:t>
            </w:r>
          </w:p>
        </w:tc>
        <w:tc>
          <w:tcPr>
            <w:tcW w:w="1559" w:type="dxa"/>
            <w:tcBorders>
              <w:top w:val="single" w:sz="4" w:space="0" w:color="auto"/>
              <w:left w:val="nil"/>
              <w:bottom w:val="single" w:sz="4" w:space="0" w:color="auto"/>
              <w:right w:val="single" w:sz="4" w:space="0" w:color="auto"/>
            </w:tcBorders>
            <w:shd w:val="clear" w:color="auto" w:fill="auto"/>
            <w:vAlign w:val="center"/>
          </w:tcPr>
          <w:p w14:paraId="6CCA26DC" w14:textId="77777777" w:rsidR="004F3D65" w:rsidRPr="003E76E7" w:rsidRDefault="004F3D65" w:rsidP="00A5119F">
            <w:pPr>
              <w:spacing w:after="0"/>
              <w:rPr>
                <w:rFonts w:ascii="Arial" w:hAnsi="Arial"/>
                <w:b/>
                <w:bCs/>
                <w:sz w:val="16"/>
                <w:szCs w:val="16"/>
              </w:rPr>
            </w:pPr>
            <w:r w:rsidRPr="003E76E7">
              <w:rPr>
                <w:rFonts w:ascii="Arial" w:hAnsi="Arial"/>
                <w:sz w:val="16"/>
                <w:szCs w:val="16"/>
              </w:rPr>
              <w:t>Military Equipment Acquisition</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41BE42" w14:textId="450C5827" w:rsidR="004F3D65" w:rsidRPr="003E76E7" w:rsidRDefault="004F3D65" w:rsidP="001E227C">
            <w:pPr>
              <w:spacing w:before="0" w:after="0"/>
              <w:jc w:val="right"/>
              <w:rPr>
                <w:rFonts w:ascii="Arial" w:hAnsi="Arial"/>
                <w:b/>
                <w:bCs/>
                <w:sz w:val="16"/>
                <w:szCs w:val="16"/>
              </w:rPr>
            </w:pPr>
            <w:r w:rsidRPr="003E76E7">
              <w:rPr>
                <w:rFonts w:ascii="Arial" w:hAnsi="Arial"/>
                <w:sz w:val="16"/>
                <w:szCs w:val="16"/>
              </w:rPr>
              <w:t xml:space="preserve">1,429 </w:t>
            </w:r>
          </w:p>
        </w:tc>
        <w:tc>
          <w:tcPr>
            <w:tcW w:w="1229" w:type="dxa"/>
            <w:tcBorders>
              <w:top w:val="single" w:sz="4" w:space="0" w:color="auto"/>
              <w:left w:val="nil"/>
              <w:bottom w:val="single" w:sz="4" w:space="0" w:color="auto"/>
              <w:right w:val="single" w:sz="4" w:space="0" w:color="auto"/>
            </w:tcBorders>
            <w:shd w:val="clear" w:color="auto" w:fill="auto"/>
            <w:noWrap/>
            <w:vAlign w:val="center"/>
          </w:tcPr>
          <w:p w14:paraId="4F2CB906" w14:textId="2A1682B5" w:rsidR="004F3D65" w:rsidRPr="003E76E7" w:rsidRDefault="004F3D65" w:rsidP="001E227C">
            <w:pPr>
              <w:spacing w:before="0" w:after="0"/>
              <w:jc w:val="right"/>
              <w:rPr>
                <w:rFonts w:ascii="Arial" w:hAnsi="Arial"/>
                <w:b/>
                <w:bCs/>
                <w:sz w:val="16"/>
                <w:szCs w:val="16"/>
              </w:rPr>
            </w:pPr>
            <w:r w:rsidRPr="003E76E7">
              <w:rPr>
                <w:rFonts w:ascii="Arial" w:hAnsi="Arial"/>
                <w:sz w:val="16"/>
                <w:szCs w:val="16"/>
              </w:rPr>
              <w:t xml:space="preserve">519 </w:t>
            </w:r>
          </w:p>
        </w:tc>
        <w:tc>
          <w:tcPr>
            <w:tcW w:w="1229" w:type="dxa"/>
            <w:tcBorders>
              <w:top w:val="single" w:sz="4" w:space="0" w:color="auto"/>
              <w:left w:val="nil"/>
              <w:bottom w:val="single" w:sz="4" w:space="0" w:color="auto"/>
              <w:right w:val="single" w:sz="4" w:space="0" w:color="auto"/>
            </w:tcBorders>
            <w:shd w:val="clear" w:color="auto" w:fill="auto"/>
            <w:noWrap/>
            <w:vAlign w:val="center"/>
          </w:tcPr>
          <w:p w14:paraId="01C30D3A" w14:textId="11DF766D" w:rsidR="004F3D65" w:rsidRPr="003E76E7" w:rsidRDefault="004F3D65" w:rsidP="001E227C">
            <w:pPr>
              <w:spacing w:before="0" w:after="0"/>
              <w:jc w:val="right"/>
              <w:rPr>
                <w:rFonts w:ascii="Arial" w:hAnsi="Arial"/>
                <w:b/>
                <w:bCs/>
                <w:sz w:val="16"/>
                <w:szCs w:val="16"/>
              </w:rPr>
            </w:pPr>
            <w:r w:rsidRPr="003E76E7">
              <w:rPr>
                <w:rFonts w:ascii="Arial" w:hAnsi="Arial"/>
                <w:sz w:val="16"/>
                <w:szCs w:val="16"/>
              </w:rPr>
              <w:t xml:space="preserve">262 </w:t>
            </w:r>
          </w:p>
        </w:tc>
        <w:tc>
          <w:tcPr>
            <w:tcW w:w="502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CFBCC3A" w14:textId="77777777" w:rsidR="00A5119F" w:rsidRPr="003E76E7" w:rsidRDefault="00A5119F" w:rsidP="00A5119F">
            <w:pPr>
              <w:spacing w:before="60" w:after="60"/>
              <w:rPr>
                <w:rFonts w:ascii="Arial" w:hAnsi="Arial"/>
                <w:sz w:val="16"/>
                <w:szCs w:val="16"/>
                <w:lang w:val="en-AU"/>
              </w:rPr>
            </w:pPr>
            <w:r w:rsidRPr="003E76E7">
              <w:rPr>
                <w:rFonts w:ascii="Arial" w:hAnsi="Arial"/>
                <w:sz w:val="16"/>
                <w:szCs w:val="16"/>
                <w:lang w:val="en-AU"/>
              </w:rPr>
              <w:t xml:space="preserve">This project is one of the three elements of the Collins Class Submarine (CCSM) Life of Type Extension (LOTE) Program. </w:t>
            </w:r>
          </w:p>
          <w:p w14:paraId="315E397D" w14:textId="02D67F47" w:rsidR="004F3D65" w:rsidRPr="003E76E7" w:rsidRDefault="00A5119F" w:rsidP="00A5119F">
            <w:pPr>
              <w:pStyle w:val="CommentText"/>
              <w:spacing w:before="60" w:after="60"/>
              <w:rPr>
                <w:rFonts w:ascii="Arial" w:hAnsi="Arial"/>
                <w:b/>
                <w:bCs/>
                <w:sz w:val="16"/>
                <w:szCs w:val="16"/>
              </w:rPr>
            </w:pPr>
            <w:r>
              <w:rPr>
                <w:rFonts w:ascii="Arial" w:hAnsi="Arial"/>
                <w:sz w:val="16"/>
                <w:szCs w:val="16"/>
              </w:rPr>
              <w:t>In</w:t>
            </w:r>
            <w:r w:rsidRPr="003E76E7">
              <w:rPr>
                <w:rFonts w:ascii="Arial" w:hAnsi="Arial"/>
                <w:sz w:val="16"/>
                <w:szCs w:val="16"/>
              </w:rPr>
              <w:t xml:space="preserve"> 2026-27, the project </w:t>
            </w:r>
            <w:r>
              <w:rPr>
                <w:rFonts w:ascii="Arial" w:hAnsi="Arial"/>
                <w:sz w:val="16"/>
                <w:szCs w:val="16"/>
              </w:rPr>
              <w:t xml:space="preserve">will </w:t>
            </w:r>
            <w:r w:rsidRPr="003E76E7">
              <w:rPr>
                <w:rFonts w:ascii="Arial" w:hAnsi="Arial"/>
                <w:sz w:val="16"/>
                <w:szCs w:val="16"/>
              </w:rPr>
              <w:t xml:space="preserve">continue to </w:t>
            </w:r>
            <w:r>
              <w:rPr>
                <w:rFonts w:ascii="Arial" w:hAnsi="Arial"/>
                <w:sz w:val="16"/>
                <w:szCs w:val="16"/>
              </w:rPr>
              <w:t xml:space="preserve">optimise </w:t>
            </w:r>
            <w:r w:rsidRPr="003E76E7">
              <w:rPr>
                <w:rFonts w:ascii="Arial" w:hAnsi="Arial"/>
                <w:sz w:val="16"/>
                <w:szCs w:val="16"/>
              </w:rPr>
              <w:t>availability and reliability of CCSM out to the Amended Planned Withdrawal Date.</w:t>
            </w:r>
          </w:p>
        </w:tc>
      </w:tr>
      <w:tr w:rsidR="004F3D65" w:rsidRPr="003E76E7" w14:paraId="47F7397C" w14:textId="77777777" w:rsidTr="001E227C">
        <w:trPr>
          <w:trHeight w:hRule="exact" w:val="864"/>
        </w:trPr>
        <w:tc>
          <w:tcPr>
            <w:tcW w:w="1711" w:type="dxa"/>
            <w:vMerge/>
            <w:tcBorders>
              <w:left w:val="single" w:sz="4" w:space="0" w:color="auto"/>
              <w:bottom w:val="single" w:sz="4" w:space="0" w:color="auto"/>
              <w:right w:val="single" w:sz="4" w:space="0" w:color="auto"/>
            </w:tcBorders>
            <w:shd w:val="clear" w:color="auto" w:fill="auto"/>
            <w:vAlign w:val="center"/>
          </w:tcPr>
          <w:p w14:paraId="7C958F42" w14:textId="77777777" w:rsidR="004F3D65" w:rsidRPr="003E76E7" w:rsidRDefault="004F3D65" w:rsidP="00C4292D">
            <w:pPr>
              <w:spacing w:after="0"/>
              <w:rPr>
                <w:rFonts w:ascii="Arial" w:hAnsi="Arial"/>
                <w:b/>
                <w:bCs/>
                <w:sz w:val="16"/>
                <w:szCs w:val="16"/>
              </w:rPr>
            </w:pPr>
          </w:p>
        </w:tc>
        <w:tc>
          <w:tcPr>
            <w:tcW w:w="1398" w:type="dxa"/>
            <w:vMerge/>
            <w:tcBorders>
              <w:left w:val="single" w:sz="4" w:space="0" w:color="auto"/>
              <w:bottom w:val="single" w:sz="4" w:space="0" w:color="auto"/>
              <w:right w:val="single" w:sz="4" w:space="0" w:color="auto"/>
            </w:tcBorders>
            <w:shd w:val="clear" w:color="auto" w:fill="auto"/>
            <w:vAlign w:val="center"/>
          </w:tcPr>
          <w:p w14:paraId="10A5DDDA" w14:textId="77777777" w:rsidR="004F3D65" w:rsidRPr="003E76E7" w:rsidRDefault="004F3D65" w:rsidP="00C4292D">
            <w:pPr>
              <w:spacing w:after="0"/>
              <w:jc w:val="center"/>
              <w:rPr>
                <w:rFonts w:ascii="Arial" w:hAnsi="Arial"/>
                <w:b/>
                <w:bCs/>
                <w:sz w:val="16"/>
                <w:szCs w:val="16"/>
              </w:rPr>
            </w:pPr>
          </w:p>
        </w:tc>
        <w:tc>
          <w:tcPr>
            <w:tcW w:w="1559" w:type="dxa"/>
            <w:tcBorders>
              <w:top w:val="single" w:sz="4" w:space="0" w:color="auto"/>
              <w:left w:val="nil"/>
              <w:bottom w:val="single" w:sz="4" w:space="0" w:color="auto"/>
              <w:right w:val="single" w:sz="4" w:space="0" w:color="auto"/>
            </w:tcBorders>
            <w:shd w:val="clear" w:color="auto" w:fill="auto"/>
            <w:vAlign w:val="center"/>
          </w:tcPr>
          <w:p w14:paraId="463CA5DF" w14:textId="77777777" w:rsidR="004F3D65" w:rsidRPr="003E76E7" w:rsidRDefault="004F3D65" w:rsidP="00A5119F">
            <w:pPr>
              <w:spacing w:before="0" w:after="0"/>
              <w:rPr>
                <w:rFonts w:ascii="Arial" w:hAnsi="Arial"/>
                <w:b/>
                <w:bCs/>
                <w:sz w:val="16"/>
                <w:szCs w:val="16"/>
              </w:rPr>
            </w:pPr>
            <w:r w:rsidRPr="003E76E7">
              <w:rPr>
                <w:rFonts w:ascii="Arial" w:hAnsi="Arial"/>
                <w:sz w:val="16"/>
                <w:szCs w:val="16"/>
              </w:rPr>
              <w:t>Other Project Inputs to Capability</w:t>
            </w:r>
          </w:p>
        </w:tc>
        <w:tc>
          <w:tcPr>
            <w:tcW w:w="1228" w:type="dxa"/>
            <w:tcBorders>
              <w:top w:val="nil"/>
              <w:left w:val="single" w:sz="4" w:space="0" w:color="auto"/>
              <w:bottom w:val="single" w:sz="4" w:space="0" w:color="auto"/>
              <w:right w:val="single" w:sz="4" w:space="0" w:color="auto"/>
            </w:tcBorders>
            <w:shd w:val="clear" w:color="auto" w:fill="auto"/>
            <w:noWrap/>
            <w:vAlign w:val="center"/>
          </w:tcPr>
          <w:p w14:paraId="1FB44643" w14:textId="70653B1C" w:rsidR="004F3D65" w:rsidRPr="003E76E7" w:rsidRDefault="004F3D65" w:rsidP="001E227C">
            <w:pPr>
              <w:spacing w:before="0" w:after="0"/>
              <w:jc w:val="right"/>
              <w:rPr>
                <w:rFonts w:ascii="Arial" w:hAnsi="Arial"/>
                <w:b/>
                <w:bCs/>
                <w:sz w:val="16"/>
                <w:szCs w:val="16"/>
              </w:rPr>
            </w:pPr>
            <w:r w:rsidRPr="003E76E7">
              <w:rPr>
                <w:rFonts w:ascii="Arial" w:hAnsi="Arial"/>
                <w:sz w:val="16"/>
                <w:szCs w:val="16"/>
              </w:rPr>
              <w:t xml:space="preserve">15 </w:t>
            </w:r>
          </w:p>
        </w:tc>
        <w:tc>
          <w:tcPr>
            <w:tcW w:w="1229" w:type="dxa"/>
            <w:tcBorders>
              <w:top w:val="nil"/>
              <w:left w:val="nil"/>
              <w:bottom w:val="single" w:sz="4" w:space="0" w:color="auto"/>
              <w:right w:val="single" w:sz="4" w:space="0" w:color="auto"/>
            </w:tcBorders>
            <w:shd w:val="clear" w:color="auto" w:fill="auto"/>
            <w:noWrap/>
            <w:vAlign w:val="center"/>
          </w:tcPr>
          <w:p w14:paraId="61F8418B" w14:textId="55905B63" w:rsidR="004F3D65" w:rsidRPr="003E76E7" w:rsidRDefault="004F3D65" w:rsidP="001E227C">
            <w:pPr>
              <w:spacing w:before="0" w:after="0"/>
              <w:jc w:val="right"/>
              <w:rPr>
                <w:rFonts w:ascii="Arial" w:hAnsi="Arial"/>
                <w:b/>
                <w:bCs/>
                <w:sz w:val="16"/>
                <w:szCs w:val="16"/>
              </w:rPr>
            </w:pPr>
            <w:r w:rsidRPr="003E76E7">
              <w:rPr>
                <w:rFonts w:ascii="Arial" w:hAnsi="Arial"/>
                <w:sz w:val="16"/>
                <w:szCs w:val="16"/>
              </w:rPr>
              <w:t xml:space="preserve">3 </w:t>
            </w:r>
          </w:p>
        </w:tc>
        <w:tc>
          <w:tcPr>
            <w:tcW w:w="1229" w:type="dxa"/>
            <w:tcBorders>
              <w:top w:val="nil"/>
              <w:left w:val="nil"/>
              <w:bottom w:val="single" w:sz="4" w:space="0" w:color="auto"/>
              <w:right w:val="single" w:sz="4" w:space="0" w:color="auto"/>
            </w:tcBorders>
            <w:shd w:val="clear" w:color="auto" w:fill="auto"/>
            <w:noWrap/>
            <w:vAlign w:val="center"/>
          </w:tcPr>
          <w:p w14:paraId="0BF75D19" w14:textId="7E497B5B" w:rsidR="004F3D65" w:rsidRPr="003E76E7" w:rsidRDefault="004F3D65" w:rsidP="001E227C">
            <w:pPr>
              <w:spacing w:before="0" w:after="0"/>
              <w:jc w:val="right"/>
              <w:rPr>
                <w:rFonts w:ascii="Arial" w:hAnsi="Arial"/>
                <w:b/>
                <w:bCs/>
                <w:sz w:val="16"/>
                <w:szCs w:val="16"/>
              </w:rPr>
            </w:pPr>
            <w:r w:rsidRPr="003E76E7">
              <w:rPr>
                <w:rFonts w:ascii="Arial" w:hAnsi="Arial"/>
                <w:sz w:val="16"/>
                <w:szCs w:val="16"/>
              </w:rPr>
              <w:t xml:space="preserve">6 </w:t>
            </w:r>
          </w:p>
        </w:tc>
        <w:tc>
          <w:tcPr>
            <w:tcW w:w="5023" w:type="dxa"/>
            <w:vMerge/>
            <w:tcBorders>
              <w:left w:val="single" w:sz="4" w:space="0" w:color="auto"/>
              <w:bottom w:val="single" w:sz="4" w:space="0" w:color="auto"/>
              <w:right w:val="single" w:sz="4" w:space="0" w:color="auto"/>
            </w:tcBorders>
            <w:shd w:val="clear" w:color="auto" w:fill="auto"/>
            <w:vAlign w:val="center"/>
          </w:tcPr>
          <w:p w14:paraId="2BBB3544" w14:textId="77777777" w:rsidR="004F3D65" w:rsidRPr="003E76E7" w:rsidRDefault="004F3D65" w:rsidP="00C4292D">
            <w:pPr>
              <w:pStyle w:val="CommentText"/>
              <w:rPr>
                <w:rFonts w:ascii="Arial" w:hAnsi="Arial"/>
                <w:b/>
                <w:bCs/>
                <w:sz w:val="16"/>
                <w:szCs w:val="16"/>
              </w:rPr>
            </w:pPr>
          </w:p>
        </w:tc>
      </w:tr>
    </w:tbl>
    <w:p w14:paraId="72652455" w14:textId="77777777" w:rsidR="004F3D65" w:rsidRPr="003E76E7" w:rsidRDefault="004F3D65" w:rsidP="00C4292D">
      <w:pPr>
        <w:pStyle w:val="BodyText"/>
        <w:rPr>
          <w:rFonts w:ascii="Arial" w:hAnsi="Arial"/>
          <w:b/>
        </w:rPr>
      </w:pPr>
      <w:r w:rsidRPr="003E76E7">
        <w:br w:type="page"/>
      </w:r>
      <w:r w:rsidRPr="003E76E7">
        <w:rPr>
          <w:rFonts w:ascii="Arial" w:hAnsi="Arial"/>
          <w:b/>
        </w:rPr>
        <w:lastRenderedPageBreak/>
        <w:t>Table 54: Top 30 Military Equipment Acquisition Program Approved Projects by 2026-27 Forecast Expenditure (Gross Plan) (Continued)</w:t>
      </w:r>
      <w:r w:rsidRPr="003E76E7">
        <w:rPr>
          <w:rFonts w:ascii="Arial" w:hAnsi="Arial"/>
          <w:b/>
          <w:vertAlign w:val="superscript"/>
        </w:rPr>
        <w:t xml:space="preserve"> [a][b][c]</w:t>
      </w:r>
    </w:p>
    <w:tbl>
      <w:tblPr>
        <w:tblW w:w="4981" w:type="pct"/>
        <w:tblInd w:w="5" w:type="dxa"/>
        <w:tblLayout w:type="fixed"/>
        <w:tblLook w:val="04A0" w:firstRow="1" w:lastRow="0" w:firstColumn="1" w:lastColumn="0" w:noHBand="0" w:noVBand="1"/>
      </w:tblPr>
      <w:tblGrid>
        <w:gridCol w:w="1711"/>
        <w:gridCol w:w="1398"/>
        <w:gridCol w:w="1559"/>
        <w:gridCol w:w="1228"/>
        <w:gridCol w:w="1229"/>
        <w:gridCol w:w="1229"/>
        <w:gridCol w:w="5023"/>
      </w:tblGrid>
      <w:tr w:rsidR="001E227C" w:rsidRPr="003E76E7" w14:paraId="784E717D" w14:textId="77777777" w:rsidTr="00B63BB1">
        <w:trPr>
          <w:trHeight w:hRule="exact" w:val="1108"/>
        </w:trPr>
        <w:tc>
          <w:tcPr>
            <w:tcW w:w="1711" w:type="dxa"/>
            <w:tcBorders>
              <w:top w:val="single" w:sz="4" w:space="0" w:color="auto"/>
              <w:left w:val="single" w:sz="4" w:space="0" w:color="auto"/>
              <w:bottom w:val="single" w:sz="4" w:space="0" w:color="auto"/>
              <w:right w:val="single" w:sz="4" w:space="0" w:color="auto"/>
            </w:tcBorders>
            <w:shd w:val="clear" w:color="auto" w:fill="auto"/>
            <w:vAlign w:val="center"/>
          </w:tcPr>
          <w:p w14:paraId="2D2FCC5D" w14:textId="77777777" w:rsidR="001E227C" w:rsidRPr="003E76E7" w:rsidRDefault="001E227C" w:rsidP="001E227C">
            <w:pPr>
              <w:spacing w:after="0"/>
              <w:rPr>
                <w:rFonts w:ascii="Arial" w:hAnsi="Arial"/>
                <w:sz w:val="16"/>
                <w:szCs w:val="16"/>
                <w:lang w:val="en-AU"/>
              </w:rPr>
            </w:pPr>
            <w:r w:rsidRPr="003E76E7">
              <w:rPr>
                <w:rFonts w:ascii="Arial" w:hAnsi="Arial"/>
                <w:b/>
                <w:bCs/>
                <w:sz w:val="16"/>
                <w:szCs w:val="16"/>
              </w:rPr>
              <w:t>Domain/Project Name</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14:paraId="1DBFCC73" w14:textId="77777777" w:rsidR="001E227C" w:rsidRPr="003E76E7" w:rsidRDefault="001E227C" w:rsidP="001E227C">
            <w:pPr>
              <w:spacing w:after="0"/>
              <w:jc w:val="center"/>
              <w:rPr>
                <w:rFonts w:ascii="Arial" w:hAnsi="Arial"/>
                <w:b/>
                <w:bCs/>
                <w:sz w:val="16"/>
                <w:szCs w:val="16"/>
                <w:lang w:val="en-AU"/>
              </w:rPr>
            </w:pPr>
            <w:r w:rsidRPr="003E76E7">
              <w:rPr>
                <w:rFonts w:ascii="Arial" w:hAnsi="Arial"/>
                <w:b/>
                <w:bCs/>
                <w:sz w:val="16"/>
                <w:szCs w:val="16"/>
              </w:rPr>
              <w:t>Project Number/</w:t>
            </w:r>
            <w:r w:rsidRPr="003E76E7">
              <w:rPr>
                <w:rFonts w:ascii="Arial" w:hAnsi="Arial"/>
                <w:b/>
                <w:bCs/>
                <w:sz w:val="16"/>
                <w:szCs w:val="16"/>
              </w:rPr>
              <w:br/>
              <w:t>Phase</w:t>
            </w:r>
          </w:p>
        </w:tc>
        <w:tc>
          <w:tcPr>
            <w:tcW w:w="1559" w:type="dxa"/>
            <w:tcBorders>
              <w:top w:val="single" w:sz="4" w:space="0" w:color="auto"/>
              <w:left w:val="nil"/>
              <w:bottom w:val="single" w:sz="4" w:space="0" w:color="auto"/>
              <w:right w:val="single" w:sz="4" w:space="0" w:color="auto"/>
            </w:tcBorders>
            <w:shd w:val="clear" w:color="auto" w:fill="auto"/>
            <w:vAlign w:val="center"/>
          </w:tcPr>
          <w:p w14:paraId="62132840" w14:textId="77777777" w:rsidR="001E227C" w:rsidRPr="003E76E7" w:rsidRDefault="001E227C" w:rsidP="001E227C">
            <w:pPr>
              <w:spacing w:after="0"/>
              <w:rPr>
                <w:rFonts w:ascii="Arial" w:hAnsi="Arial"/>
                <w:sz w:val="16"/>
                <w:szCs w:val="16"/>
              </w:rPr>
            </w:pPr>
            <w:r w:rsidRPr="003E76E7">
              <w:rPr>
                <w:rFonts w:ascii="Arial" w:hAnsi="Arial"/>
                <w:b/>
                <w:bCs/>
                <w:sz w:val="16"/>
                <w:szCs w:val="16"/>
              </w:rPr>
              <w:t>Project Inputs to Capability</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288989" w14:textId="77777777" w:rsidR="001E227C" w:rsidRPr="003E76E7" w:rsidRDefault="001E227C" w:rsidP="001E227C">
            <w:pPr>
              <w:spacing w:before="0" w:after="0"/>
              <w:jc w:val="right"/>
              <w:rPr>
                <w:rFonts w:ascii="Arial" w:hAnsi="Arial"/>
                <w:b/>
                <w:bCs/>
                <w:sz w:val="16"/>
                <w:szCs w:val="16"/>
              </w:rPr>
            </w:pPr>
            <w:r>
              <w:rPr>
                <w:rFonts w:ascii="Arial" w:hAnsi="Arial"/>
                <w:b/>
                <w:bCs/>
                <w:sz w:val="16"/>
                <w:szCs w:val="16"/>
              </w:rPr>
              <w:t>Approved Project Expenditure</w:t>
            </w:r>
          </w:p>
          <w:p w14:paraId="70477A56" w14:textId="6E311C44" w:rsidR="001E227C" w:rsidRPr="003E76E7" w:rsidRDefault="001E227C" w:rsidP="001E227C">
            <w:pPr>
              <w:spacing w:after="0"/>
              <w:jc w:val="right"/>
              <w:rPr>
                <w:rFonts w:ascii="Arial" w:hAnsi="Arial"/>
                <w:sz w:val="16"/>
                <w:szCs w:val="16"/>
              </w:rPr>
            </w:pPr>
            <w:r w:rsidRPr="003E76E7">
              <w:rPr>
                <w:rFonts w:ascii="Arial" w:hAnsi="Arial"/>
                <w:b/>
                <w:bCs/>
                <w:sz w:val="16"/>
                <w:szCs w:val="16"/>
              </w:rPr>
              <w:t xml:space="preserve"> $m</w:t>
            </w:r>
          </w:p>
        </w:tc>
        <w:tc>
          <w:tcPr>
            <w:tcW w:w="1229" w:type="dxa"/>
            <w:tcBorders>
              <w:top w:val="single" w:sz="4" w:space="0" w:color="auto"/>
              <w:left w:val="nil"/>
              <w:bottom w:val="single" w:sz="4" w:space="0" w:color="auto"/>
              <w:right w:val="single" w:sz="4" w:space="0" w:color="auto"/>
            </w:tcBorders>
            <w:shd w:val="clear" w:color="auto" w:fill="auto"/>
            <w:noWrap/>
            <w:vAlign w:val="bottom"/>
          </w:tcPr>
          <w:p w14:paraId="0C5BF473" w14:textId="77777777" w:rsidR="001E227C" w:rsidRPr="003E76E7" w:rsidRDefault="001E227C" w:rsidP="001E227C">
            <w:pPr>
              <w:spacing w:before="0" w:after="0"/>
              <w:jc w:val="right"/>
              <w:rPr>
                <w:rFonts w:ascii="Arial" w:hAnsi="Arial"/>
                <w:b/>
                <w:bCs/>
                <w:sz w:val="16"/>
                <w:szCs w:val="16"/>
              </w:rPr>
            </w:pPr>
            <w:r w:rsidRPr="003E76E7">
              <w:rPr>
                <w:rFonts w:ascii="Arial" w:hAnsi="Arial"/>
                <w:b/>
                <w:bCs/>
                <w:sz w:val="16"/>
                <w:szCs w:val="16"/>
              </w:rPr>
              <w:t>Estimated Cumulative Expenditure to 30 June 2026</w:t>
            </w:r>
          </w:p>
          <w:p w14:paraId="3F064120" w14:textId="3EBDA0BE" w:rsidR="001E227C" w:rsidRPr="003E76E7" w:rsidRDefault="001E227C" w:rsidP="001E227C">
            <w:pPr>
              <w:spacing w:before="0" w:after="0"/>
              <w:jc w:val="right"/>
              <w:rPr>
                <w:rFonts w:ascii="Arial" w:hAnsi="Arial"/>
                <w:sz w:val="16"/>
                <w:szCs w:val="16"/>
              </w:rPr>
            </w:pPr>
            <w:r w:rsidRPr="003E76E7">
              <w:rPr>
                <w:rFonts w:ascii="Arial" w:hAnsi="Arial"/>
                <w:b/>
                <w:bCs/>
                <w:sz w:val="16"/>
                <w:szCs w:val="16"/>
              </w:rPr>
              <w:t xml:space="preserve"> $m</w:t>
            </w:r>
          </w:p>
        </w:tc>
        <w:tc>
          <w:tcPr>
            <w:tcW w:w="1229" w:type="dxa"/>
            <w:tcBorders>
              <w:top w:val="single" w:sz="4" w:space="0" w:color="auto"/>
              <w:left w:val="nil"/>
              <w:bottom w:val="single" w:sz="4" w:space="0" w:color="auto"/>
              <w:right w:val="single" w:sz="4" w:space="0" w:color="auto"/>
            </w:tcBorders>
            <w:shd w:val="clear" w:color="auto" w:fill="auto"/>
            <w:noWrap/>
            <w:vAlign w:val="bottom"/>
          </w:tcPr>
          <w:p w14:paraId="3A659C3B" w14:textId="77777777" w:rsidR="001E227C" w:rsidRPr="003E76E7" w:rsidRDefault="001E227C" w:rsidP="001E227C">
            <w:pPr>
              <w:spacing w:before="0" w:after="0"/>
              <w:jc w:val="right"/>
              <w:rPr>
                <w:rFonts w:ascii="Arial" w:hAnsi="Arial"/>
                <w:b/>
                <w:bCs/>
                <w:sz w:val="16"/>
                <w:szCs w:val="16"/>
              </w:rPr>
            </w:pPr>
            <w:r>
              <w:rPr>
                <w:rFonts w:ascii="Arial" w:hAnsi="Arial"/>
                <w:b/>
                <w:bCs/>
                <w:sz w:val="16"/>
                <w:szCs w:val="16"/>
              </w:rPr>
              <w:t xml:space="preserve">Budget Estimate 2026-27 </w:t>
            </w:r>
          </w:p>
          <w:p w14:paraId="52DC80D5" w14:textId="6727485E" w:rsidR="001E227C" w:rsidRPr="003E76E7" w:rsidRDefault="001E227C" w:rsidP="001E227C">
            <w:pPr>
              <w:spacing w:after="0"/>
              <w:jc w:val="right"/>
              <w:rPr>
                <w:rFonts w:ascii="Arial" w:hAnsi="Arial"/>
                <w:sz w:val="16"/>
                <w:szCs w:val="16"/>
              </w:rPr>
            </w:pPr>
            <w:r w:rsidRPr="003E76E7">
              <w:rPr>
                <w:rFonts w:ascii="Arial" w:hAnsi="Arial"/>
                <w:b/>
                <w:bCs/>
                <w:sz w:val="16"/>
                <w:szCs w:val="16"/>
              </w:rPr>
              <w:t>$m</w:t>
            </w:r>
          </w:p>
        </w:tc>
        <w:tc>
          <w:tcPr>
            <w:tcW w:w="5023" w:type="dxa"/>
            <w:tcBorders>
              <w:top w:val="single" w:sz="4" w:space="0" w:color="auto"/>
              <w:left w:val="single" w:sz="4" w:space="0" w:color="auto"/>
              <w:bottom w:val="single" w:sz="4" w:space="0" w:color="auto"/>
              <w:right w:val="single" w:sz="4" w:space="0" w:color="auto"/>
            </w:tcBorders>
            <w:shd w:val="clear" w:color="auto" w:fill="auto"/>
            <w:vAlign w:val="center"/>
          </w:tcPr>
          <w:p w14:paraId="70473F25" w14:textId="77777777" w:rsidR="001E227C" w:rsidRPr="003E76E7" w:rsidRDefault="001E227C" w:rsidP="001E227C">
            <w:pPr>
              <w:pStyle w:val="CommentText"/>
              <w:rPr>
                <w:rFonts w:ascii="Arial" w:hAnsi="Arial"/>
                <w:sz w:val="16"/>
                <w:szCs w:val="16"/>
              </w:rPr>
            </w:pPr>
            <w:r w:rsidRPr="003E76E7">
              <w:rPr>
                <w:rFonts w:ascii="Arial" w:hAnsi="Arial"/>
                <w:b/>
                <w:bCs/>
                <w:sz w:val="16"/>
                <w:szCs w:val="16"/>
              </w:rPr>
              <w:t>Top 30 Military Equipment Acquisition Project Descriptions</w:t>
            </w:r>
          </w:p>
        </w:tc>
      </w:tr>
      <w:tr w:rsidR="004F3D65" w:rsidRPr="003E76E7" w14:paraId="57AAD537" w14:textId="77777777" w:rsidTr="001E227C">
        <w:trPr>
          <w:trHeight w:hRule="exact" w:val="355"/>
        </w:trPr>
        <w:tc>
          <w:tcPr>
            <w:tcW w:w="13377" w:type="dxa"/>
            <w:gridSpan w:val="7"/>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464BCC5" w14:textId="77777777" w:rsidR="004F3D65" w:rsidRPr="003E76E7" w:rsidRDefault="004F3D65" w:rsidP="00C4292D">
            <w:pPr>
              <w:kinsoku w:val="0"/>
              <w:overflowPunct w:val="0"/>
              <w:autoSpaceDE w:val="0"/>
              <w:autoSpaceDN w:val="0"/>
              <w:adjustRightInd w:val="0"/>
              <w:spacing w:before="60" w:after="60" w:line="178" w:lineRule="exact"/>
              <w:rPr>
                <w:rFonts w:ascii="Arial" w:hAnsi="Arial"/>
                <w:sz w:val="16"/>
                <w:szCs w:val="16"/>
                <w:lang w:val="en-AU"/>
              </w:rPr>
            </w:pPr>
            <w:r w:rsidRPr="003E76E7">
              <w:rPr>
                <w:rFonts w:ascii="Arial" w:hAnsi="Arial"/>
                <w:b/>
                <w:bCs/>
                <w:sz w:val="16"/>
                <w:szCs w:val="16"/>
              </w:rPr>
              <w:t>Maritime Domain (Continued)</w:t>
            </w:r>
          </w:p>
        </w:tc>
      </w:tr>
      <w:tr w:rsidR="004F3D65" w:rsidRPr="003E76E7" w14:paraId="6F8CA070" w14:textId="77777777" w:rsidTr="001E227C">
        <w:trPr>
          <w:trHeight w:hRule="exact" w:val="881"/>
        </w:trPr>
        <w:tc>
          <w:tcPr>
            <w:tcW w:w="171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FC27E5D" w14:textId="77777777" w:rsidR="004F3D65" w:rsidRPr="003E76E7" w:rsidRDefault="004F3D65" w:rsidP="00C4292D">
            <w:pPr>
              <w:spacing w:after="0"/>
              <w:rPr>
                <w:rFonts w:ascii="Arial" w:hAnsi="Arial"/>
                <w:b/>
                <w:bCs/>
                <w:sz w:val="16"/>
                <w:szCs w:val="16"/>
              </w:rPr>
            </w:pPr>
            <w:r w:rsidRPr="003E76E7">
              <w:rPr>
                <w:rFonts w:ascii="Arial" w:hAnsi="Arial"/>
                <w:sz w:val="16"/>
                <w:szCs w:val="16"/>
              </w:rPr>
              <w:t>Maritime Electromagnetic Manoeuvre</w:t>
            </w:r>
          </w:p>
        </w:tc>
        <w:tc>
          <w:tcPr>
            <w:tcW w:w="139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3769863" w14:textId="77777777" w:rsidR="004F3D65" w:rsidRPr="003E76E7" w:rsidRDefault="004F3D65" w:rsidP="00C4292D">
            <w:pPr>
              <w:spacing w:after="0"/>
              <w:jc w:val="center"/>
              <w:rPr>
                <w:rFonts w:ascii="Arial" w:hAnsi="Arial"/>
                <w:b/>
                <w:bCs/>
                <w:sz w:val="16"/>
                <w:szCs w:val="16"/>
              </w:rPr>
            </w:pPr>
            <w:r w:rsidRPr="003E76E7">
              <w:rPr>
                <w:rFonts w:ascii="Arial" w:hAnsi="Arial"/>
                <w:b/>
                <w:bCs/>
                <w:sz w:val="16"/>
                <w:szCs w:val="16"/>
              </w:rPr>
              <w:t xml:space="preserve">SEA 5011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7C10FAB" w14:textId="77777777" w:rsidR="004F3D65" w:rsidRPr="003E76E7" w:rsidRDefault="004F3D65" w:rsidP="00C4292D">
            <w:pPr>
              <w:spacing w:after="0"/>
              <w:rPr>
                <w:rFonts w:ascii="Arial" w:hAnsi="Arial"/>
                <w:b/>
                <w:bCs/>
                <w:sz w:val="16"/>
                <w:szCs w:val="16"/>
              </w:rPr>
            </w:pPr>
            <w:r w:rsidRPr="003E76E7">
              <w:rPr>
                <w:rFonts w:ascii="Arial" w:hAnsi="Arial"/>
                <w:sz w:val="16"/>
                <w:szCs w:val="16"/>
              </w:rPr>
              <w:t>Military Equipment Acquisition</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82D6C8" w14:textId="239AB184" w:rsidR="004F3D65" w:rsidRPr="003E76E7" w:rsidRDefault="004F3D65" w:rsidP="001E227C">
            <w:pPr>
              <w:spacing w:before="0" w:after="0"/>
              <w:jc w:val="right"/>
              <w:rPr>
                <w:rFonts w:ascii="Arial" w:hAnsi="Arial"/>
                <w:b/>
                <w:bCs/>
                <w:sz w:val="16"/>
                <w:szCs w:val="16"/>
              </w:rPr>
            </w:pPr>
            <w:r w:rsidRPr="003E76E7">
              <w:rPr>
                <w:rFonts w:ascii="Arial" w:hAnsi="Arial"/>
                <w:sz w:val="16"/>
                <w:szCs w:val="16"/>
              </w:rPr>
              <w:t xml:space="preserve">764 </w:t>
            </w:r>
          </w:p>
        </w:tc>
        <w:tc>
          <w:tcPr>
            <w:tcW w:w="1229" w:type="dxa"/>
            <w:tcBorders>
              <w:top w:val="single" w:sz="4" w:space="0" w:color="auto"/>
              <w:left w:val="nil"/>
              <w:bottom w:val="single" w:sz="4" w:space="0" w:color="auto"/>
              <w:right w:val="single" w:sz="4" w:space="0" w:color="auto"/>
            </w:tcBorders>
            <w:shd w:val="clear" w:color="auto" w:fill="auto"/>
            <w:noWrap/>
            <w:vAlign w:val="center"/>
          </w:tcPr>
          <w:p w14:paraId="1A769152" w14:textId="77F2F790" w:rsidR="004F3D65" w:rsidRPr="003E76E7" w:rsidRDefault="004F3D65" w:rsidP="001E227C">
            <w:pPr>
              <w:spacing w:before="0" w:after="0"/>
              <w:jc w:val="right"/>
              <w:rPr>
                <w:rFonts w:ascii="Arial" w:hAnsi="Arial"/>
                <w:b/>
                <w:bCs/>
                <w:sz w:val="16"/>
                <w:szCs w:val="16"/>
              </w:rPr>
            </w:pPr>
            <w:r w:rsidRPr="003E76E7">
              <w:rPr>
                <w:rFonts w:ascii="Arial" w:hAnsi="Arial"/>
                <w:sz w:val="16"/>
                <w:szCs w:val="16"/>
              </w:rPr>
              <w:t xml:space="preserve">421 </w:t>
            </w:r>
          </w:p>
        </w:tc>
        <w:tc>
          <w:tcPr>
            <w:tcW w:w="1229" w:type="dxa"/>
            <w:tcBorders>
              <w:top w:val="single" w:sz="4" w:space="0" w:color="auto"/>
              <w:left w:val="nil"/>
              <w:bottom w:val="single" w:sz="4" w:space="0" w:color="auto"/>
              <w:right w:val="single" w:sz="4" w:space="0" w:color="auto"/>
            </w:tcBorders>
            <w:shd w:val="clear" w:color="auto" w:fill="auto"/>
            <w:noWrap/>
            <w:vAlign w:val="center"/>
          </w:tcPr>
          <w:p w14:paraId="51B1C863" w14:textId="2ED6D3E6" w:rsidR="004F3D65" w:rsidRPr="003E76E7" w:rsidRDefault="004F3D65" w:rsidP="001E227C">
            <w:pPr>
              <w:spacing w:before="0" w:after="0"/>
              <w:jc w:val="right"/>
              <w:rPr>
                <w:rFonts w:ascii="Arial" w:hAnsi="Arial"/>
                <w:b/>
                <w:bCs/>
                <w:sz w:val="16"/>
                <w:szCs w:val="16"/>
              </w:rPr>
            </w:pPr>
            <w:r w:rsidRPr="003E76E7">
              <w:rPr>
                <w:rFonts w:ascii="Arial" w:hAnsi="Arial"/>
                <w:sz w:val="16"/>
                <w:szCs w:val="16"/>
              </w:rPr>
              <w:t xml:space="preserve">161 </w:t>
            </w:r>
          </w:p>
        </w:tc>
        <w:tc>
          <w:tcPr>
            <w:tcW w:w="502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C615063" w14:textId="77777777" w:rsidR="004F3D65" w:rsidRPr="003E76E7" w:rsidRDefault="004F3D65" w:rsidP="00C4292D">
            <w:pPr>
              <w:kinsoku w:val="0"/>
              <w:overflowPunct w:val="0"/>
              <w:autoSpaceDE w:val="0"/>
              <w:autoSpaceDN w:val="0"/>
              <w:adjustRightInd w:val="0"/>
              <w:spacing w:before="60" w:after="60" w:line="178" w:lineRule="exact"/>
              <w:rPr>
                <w:rFonts w:ascii="Arial" w:hAnsi="Arial"/>
                <w:sz w:val="16"/>
                <w:szCs w:val="16"/>
                <w:lang w:val="en-AU"/>
              </w:rPr>
            </w:pPr>
            <w:r w:rsidRPr="003E76E7">
              <w:rPr>
                <w:rFonts w:ascii="Arial" w:hAnsi="Arial"/>
                <w:sz w:val="16"/>
                <w:szCs w:val="16"/>
                <w:lang w:val="en-AU"/>
              </w:rPr>
              <w:t>This project will deliver the next generation of Maritime Electronic Warfare Systems to Navy. This includes the acquisition, integration and sustainment of a suite of new and extant electronic warfare capabilities.</w:t>
            </w:r>
          </w:p>
          <w:p w14:paraId="2C55B850" w14:textId="65B5FBCA" w:rsidR="004F3D65" w:rsidRPr="003E76E7" w:rsidRDefault="004F3D65" w:rsidP="00C4292D">
            <w:pPr>
              <w:pStyle w:val="CommentText"/>
              <w:spacing w:before="60" w:after="60"/>
              <w:rPr>
                <w:rFonts w:ascii="Arial" w:hAnsi="Arial"/>
                <w:b/>
                <w:bCs/>
                <w:sz w:val="16"/>
                <w:szCs w:val="16"/>
              </w:rPr>
            </w:pPr>
            <w:r w:rsidRPr="003E76E7">
              <w:rPr>
                <w:rFonts w:ascii="Arial" w:hAnsi="Arial"/>
                <w:sz w:val="16"/>
                <w:szCs w:val="16"/>
              </w:rPr>
              <w:t>During 2026-27, the program will deliver and install a suite of new passive decoys on surface combatant platforms. Additionally</w:t>
            </w:r>
            <w:r w:rsidR="00D92594">
              <w:rPr>
                <w:rFonts w:ascii="Arial" w:hAnsi="Arial"/>
                <w:sz w:val="16"/>
                <w:szCs w:val="16"/>
              </w:rPr>
              <w:t>,</w:t>
            </w:r>
            <w:r w:rsidRPr="003E76E7">
              <w:rPr>
                <w:rFonts w:ascii="Arial" w:hAnsi="Arial"/>
                <w:sz w:val="16"/>
                <w:szCs w:val="16"/>
              </w:rPr>
              <w:t xml:space="preserve"> the program will continue to mature a number of emergent technologies and capabilities in the Electronic Warfare Domain.</w:t>
            </w:r>
          </w:p>
        </w:tc>
      </w:tr>
      <w:tr w:rsidR="004F3D65" w:rsidRPr="003E76E7" w14:paraId="6BDB880F" w14:textId="77777777" w:rsidTr="001E227C">
        <w:trPr>
          <w:trHeight w:hRule="exact" w:val="881"/>
        </w:trPr>
        <w:tc>
          <w:tcPr>
            <w:tcW w:w="171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0F3DE8E" w14:textId="77777777" w:rsidR="004F3D65" w:rsidRPr="003E76E7" w:rsidRDefault="004F3D65" w:rsidP="00C4292D">
            <w:pPr>
              <w:spacing w:after="0"/>
              <w:rPr>
                <w:rFonts w:ascii="Arial" w:hAnsi="Arial"/>
                <w:b/>
                <w:bCs/>
                <w:sz w:val="16"/>
                <w:szCs w:val="16"/>
              </w:rPr>
            </w:pPr>
          </w:p>
        </w:tc>
        <w:tc>
          <w:tcPr>
            <w:tcW w:w="139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6AD966C" w14:textId="77777777" w:rsidR="004F3D65" w:rsidRPr="003E76E7" w:rsidRDefault="004F3D65" w:rsidP="00C4292D">
            <w:pPr>
              <w:spacing w:after="0"/>
              <w:jc w:val="center"/>
              <w:rPr>
                <w:rFonts w:ascii="Arial" w:hAnsi="Arial"/>
                <w:b/>
                <w:bCs/>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C7086D9" w14:textId="77777777" w:rsidR="004F3D65" w:rsidRPr="003E76E7" w:rsidRDefault="004F3D65" w:rsidP="00C4292D">
            <w:pPr>
              <w:spacing w:after="0"/>
              <w:rPr>
                <w:rFonts w:ascii="Arial" w:hAnsi="Arial"/>
                <w:b/>
                <w:bCs/>
                <w:sz w:val="16"/>
                <w:szCs w:val="16"/>
              </w:rPr>
            </w:pPr>
            <w:r w:rsidRPr="003E76E7">
              <w:rPr>
                <w:rFonts w:ascii="Arial" w:hAnsi="Arial"/>
                <w:sz w:val="16"/>
                <w:szCs w:val="16"/>
              </w:rPr>
              <w:t>Other Project Inputs to Capability</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F22177" w14:textId="2931E39B" w:rsidR="004F3D65" w:rsidRPr="003E76E7" w:rsidRDefault="004F3D65" w:rsidP="001E227C">
            <w:pPr>
              <w:spacing w:before="0" w:after="0"/>
              <w:jc w:val="right"/>
              <w:rPr>
                <w:rFonts w:ascii="Arial" w:hAnsi="Arial"/>
                <w:b/>
                <w:bCs/>
                <w:sz w:val="16"/>
                <w:szCs w:val="16"/>
              </w:rPr>
            </w:pPr>
            <w:r w:rsidRPr="003E76E7">
              <w:rPr>
                <w:rFonts w:ascii="Arial" w:hAnsi="Arial"/>
                <w:sz w:val="16"/>
                <w:szCs w:val="16"/>
              </w:rPr>
              <w:t xml:space="preserve">63 </w:t>
            </w:r>
          </w:p>
        </w:tc>
        <w:tc>
          <w:tcPr>
            <w:tcW w:w="1229" w:type="dxa"/>
            <w:tcBorders>
              <w:top w:val="single" w:sz="4" w:space="0" w:color="auto"/>
              <w:left w:val="nil"/>
              <w:bottom w:val="single" w:sz="4" w:space="0" w:color="auto"/>
              <w:right w:val="single" w:sz="4" w:space="0" w:color="auto"/>
            </w:tcBorders>
            <w:shd w:val="clear" w:color="auto" w:fill="auto"/>
            <w:noWrap/>
            <w:vAlign w:val="center"/>
          </w:tcPr>
          <w:p w14:paraId="6AFAA061" w14:textId="1842B317" w:rsidR="004F3D65" w:rsidRPr="003E76E7" w:rsidRDefault="004F3D65" w:rsidP="001E227C">
            <w:pPr>
              <w:spacing w:before="0" w:after="0"/>
              <w:jc w:val="right"/>
              <w:rPr>
                <w:rFonts w:ascii="Arial" w:hAnsi="Arial"/>
                <w:b/>
                <w:bCs/>
                <w:sz w:val="16"/>
                <w:szCs w:val="16"/>
              </w:rPr>
            </w:pPr>
            <w:r w:rsidRPr="003E76E7">
              <w:rPr>
                <w:rFonts w:ascii="Arial" w:hAnsi="Arial"/>
                <w:sz w:val="16"/>
                <w:szCs w:val="16"/>
              </w:rPr>
              <w:t xml:space="preserve">33 </w:t>
            </w:r>
          </w:p>
        </w:tc>
        <w:tc>
          <w:tcPr>
            <w:tcW w:w="1229" w:type="dxa"/>
            <w:tcBorders>
              <w:top w:val="single" w:sz="4" w:space="0" w:color="auto"/>
              <w:left w:val="nil"/>
              <w:bottom w:val="single" w:sz="4" w:space="0" w:color="auto"/>
              <w:right w:val="single" w:sz="4" w:space="0" w:color="auto"/>
            </w:tcBorders>
            <w:shd w:val="clear" w:color="auto" w:fill="auto"/>
            <w:noWrap/>
            <w:vAlign w:val="center"/>
          </w:tcPr>
          <w:p w14:paraId="2BE79463" w14:textId="60CA45BE" w:rsidR="004F3D65" w:rsidRPr="003E76E7" w:rsidRDefault="004F3D65" w:rsidP="001E227C">
            <w:pPr>
              <w:spacing w:before="0" w:after="0"/>
              <w:jc w:val="right"/>
              <w:rPr>
                <w:rFonts w:ascii="Arial" w:hAnsi="Arial"/>
                <w:b/>
                <w:bCs/>
                <w:sz w:val="16"/>
                <w:szCs w:val="16"/>
              </w:rPr>
            </w:pPr>
            <w:r w:rsidRPr="003E76E7">
              <w:rPr>
                <w:rFonts w:ascii="Arial" w:hAnsi="Arial"/>
                <w:sz w:val="16"/>
                <w:szCs w:val="16"/>
              </w:rPr>
              <w:t xml:space="preserve">18 </w:t>
            </w:r>
          </w:p>
        </w:tc>
        <w:tc>
          <w:tcPr>
            <w:tcW w:w="502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E346A36" w14:textId="77777777" w:rsidR="004F3D65" w:rsidRPr="003E76E7" w:rsidRDefault="004F3D65" w:rsidP="00C4292D">
            <w:pPr>
              <w:pStyle w:val="CommentText"/>
              <w:rPr>
                <w:rFonts w:ascii="Arial" w:hAnsi="Arial"/>
                <w:b/>
                <w:bCs/>
                <w:sz w:val="16"/>
                <w:szCs w:val="16"/>
              </w:rPr>
            </w:pPr>
          </w:p>
        </w:tc>
      </w:tr>
    </w:tbl>
    <w:p w14:paraId="5FFF9DC2" w14:textId="77777777" w:rsidR="004F3D65" w:rsidRPr="003E76E7" w:rsidRDefault="004F3D65" w:rsidP="00C4292D">
      <w:pPr>
        <w:spacing w:before="0" w:after="0"/>
        <w:rPr>
          <w:rFonts w:ascii="Arial" w:hAnsi="Arial"/>
          <w:b/>
          <w:sz w:val="16"/>
          <w:szCs w:val="16"/>
          <w:lang w:val="en-AU"/>
        </w:rPr>
      </w:pPr>
    </w:p>
    <w:p w14:paraId="12E4EBEE" w14:textId="34BB0F88" w:rsidR="004F3D65" w:rsidRPr="003E76E7" w:rsidRDefault="004F3D65" w:rsidP="00C4292D">
      <w:pPr>
        <w:spacing w:before="0" w:after="0"/>
        <w:rPr>
          <w:rFonts w:ascii="Arial" w:hAnsi="Arial"/>
          <w:b/>
        </w:rPr>
      </w:pPr>
      <w:r w:rsidRPr="003E76E7">
        <w:br w:type="page"/>
      </w:r>
    </w:p>
    <w:p w14:paraId="306EDC8A" w14:textId="7FD4699F" w:rsidR="00B2321B" w:rsidRPr="003E76E7" w:rsidRDefault="00B2321B" w:rsidP="00C4292D">
      <w:pPr>
        <w:pStyle w:val="BodyText"/>
        <w:rPr>
          <w:b/>
        </w:rPr>
      </w:pPr>
      <w:r w:rsidRPr="003E76E7">
        <w:rPr>
          <w:rFonts w:ascii="Arial" w:hAnsi="Arial"/>
          <w:b/>
        </w:rPr>
        <w:lastRenderedPageBreak/>
        <w:t>Table 54: Top 30 Military Equipment Acquisition Program Approved Projects by 2026-27 Forecast Expenditure (Gross Plan) (Continued)</w:t>
      </w:r>
      <w:r w:rsidRPr="003E76E7">
        <w:rPr>
          <w:rFonts w:ascii="Arial" w:hAnsi="Arial"/>
          <w:b/>
          <w:vertAlign w:val="superscript"/>
        </w:rPr>
        <w:t xml:space="preserve"> [a][b][c]</w:t>
      </w:r>
    </w:p>
    <w:tbl>
      <w:tblPr>
        <w:tblW w:w="4062" w:type="pct"/>
        <w:tblInd w:w="103" w:type="dxa"/>
        <w:tblLook w:val="04A0" w:firstRow="1" w:lastRow="0" w:firstColumn="1" w:lastColumn="0" w:noHBand="0" w:noVBand="1"/>
      </w:tblPr>
      <w:tblGrid>
        <w:gridCol w:w="6760"/>
        <w:gridCol w:w="1383"/>
        <w:gridCol w:w="1383"/>
        <w:gridCol w:w="1383"/>
      </w:tblGrid>
      <w:tr w:rsidR="004F3D65" w:rsidRPr="003E76E7" w14:paraId="3D11975F" w14:textId="77777777" w:rsidTr="004F3D65">
        <w:trPr>
          <w:trHeight w:val="255"/>
        </w:trPr>
        <w:tc>
          <w:tcPr>
            <w:tcW w:w="6760" w:type="dxa"/>
            <w:tcBorders>
              <w:top w:val="single" w:sz="4" w:space="0" w:color="auto"/>
              <w:left w:val="single" w:sz="4" w:space="0" w:color="auto"/>
              <w:bottom w:val="single" w:sz="4" w:space="0" w:color="auto"/>
              <w:right w:val="single" w:sz="4" w:space="0" w:color="auto"/>
            </w:tcBorders>
            <w:shd w:val="clear" w:color="000000" w:fill="auto"/>
            <w:vAlign w:val="bottom"/>
          </w:tcPr>
          <w:p w14:paraId="3A12B71A" w14:textId="77777777" w:rsidR="004F3D65" w:rsidRPr="003E76E7" w:rsidRDefault="004F3D65" w:rsidP="00C4292D">
            <w:pPr>
              <w:spacing w:before="0" w:after="0"/>
              <w:rPr>
                <w:rFonts w:ascii="Arial" w:hAnsi="Arial"/>
                <w:sz w:val="16"/>
                <w:szCs w:val="16"/>
                <w:lang w:val="en-AU"/>
              </w:rPr>
            </w:pPr>
            <w:bookmarkStart w:id="1282" w:name="OLE_LINK2"/>
          </w:p>
        </w:tc>
        <w:tc>
          <w:tcPr>
            <w:tcW w:w="1383" w:type="dxa"/>
            <w:tcBorders>
              <w:top w:val="single" w:sz="4" w:space="0" w:color="auto"/>
              <w:left w:val="single" w:sz="4" w:space="0" w:color="auto"/>
              <w:bottom w:val="single" w:sz="4" w:space="0" w:color="auto"/>
              <w:right w:val="single" w:sz="4" w:space="0" w:color="auto"/>
            </w:tcBorders>
            <w:shd w:val="clear" w:color="000000" w:fill="auto"/>
          </w:tcPr>
          <w:p w14:paraId="7B072D9E" w14:textId="77777777" w:rsidR="004F3D65" w:rsidRPr="003E76E7" w:rsidRDefault="004F3D65" w:rsidP="00C4292D">
            <w:pPr>
              <w:spacing w:before="0" w:after="0"/>
              <w:jc w:val="right"/>
              <w:rPr>
                <w:rFonts w:ascii="Arial" w:hAnsi="Arial"/>
                <w:b/>
                <w:bCs/>
                <w:sz w:val="16"/>
                <w:szCs w:val="16"/>
                <w:lang w:val="en-AU"/>
              </w:rPr>
            </w:pPr>
            <w:r w:rsidRPr="003E76E7">
              <w:rPr>
                <w:rFonts w:ascii="Arial" w:hAnsi="Arial"/>
                <w:b/>
                <w:bCs/>
                <w:sz w:val="16"/>
                <w:szCs w:val="16"/>
                <w:lang w:val="en-AU"/>
              </w:rPr>
              <w:t xml:space="preserve">Approved Project Expenditure </w:t>
            </w:r>
          </w:p>
          <w:p w14:paraId="5D6E0A0C" w14:textId="77777777" w:rsidR="004F3D65" w:rsidRPr="003E76E7" w:rsidRDefault="004F3D65" w:rsidP="00C4292D">
            <w:pPr>
              <w:spacing w:before="0" w:after="0"/>
              <w:jc w:val="right"/>
              <w:rPr>
                <w:rFonts w:ascii="Arial" w:hAnsi="Arial"/>
                <w:b/>
                <w:bCs/>
                <w:sz w:val="16"/>
                <w:szCs w:val="16"/>
                <w:lang w:val="en-AU"/>
              </w:rPr>
            </w:pPr>
          </w:p>
          <w:p w14:paraId="61844DBE" w14:textId="77777777" w:rsidR="004F3D65" w:rsidRPr="003E76E7" w:rsidRDefault="004F3D65" w:rsidP="00C4292D">
            <w:pPr>
              <w:spacing w:before="0" w:after="0"/>
              <w:jc w:val="right"/>
              <w:rPr>
                <w:rFonts w:ascii="Arial" w:hAnsi="Arial"/>
                <w:b/>
                <w:bCs/>
                <w:sz w:val="16"/>
                <w:szCs w:val="16"/>
                <w:lang w:val="en-AU"/>
              </w:rPr>
            </w:pPr>
            <w:r w:rsidRPr="003E76E7">
              <w:rPr>
                <w:rFonts w:ascii="Arial" w:hAnsi="Arial"/>
                <w:b/>
                <w:bCs/>
                <w:sz w:val="16"/>
                <w:szCs w:val="16"/>
                <w:lang w:val="en-AU"/>
              </w:rPr>
              <w:t>$m</w:t>
            </w:r>
          </w:p>
        </w:tc>
        <w:tc>
          <w:tcPr>
            <w:tcW w:w="1383" w:type="dxa"/>
            <w:tcBorders>
              <w:top w:val="single" w:sz="4" w:space="0" w:color="auto"/>
              <w:left w:val="single" w:sz="4" w:space="0" w:color="auto"/>
              <w:bottom w:val="single" w:sz="4" w:space="0" w:color="auto"/>
              <w:right w:val="single" w:sz="4" w:space="0" w:color="auto"/>
            </w:tcBorders>
            <w:shd w:val="clear" w:color="000000" w:fill="auto"/>
          </w:tcPr>
          <w:p w14:paraId="2BA754A1" w14:textId="77777777" w:rsidR="004F3D65" w:rsidRPr="003E76E7" w:rsidRDefault="004F3D65" w:rsidP="00C4292D">
            <w:pPr>
              <w:spacing w:before="0" w:after="0"/>
              <w:jc w:val="right"/>
              <w:rPr>
                <w:rFonts w:ascii="Arial" w:hAnsi="Arial"/>
                <w:b/>
                <w:bCs/>
                <w:sz w:val="16"/>
                <w:szCs w:val="16"/>
                <w:lang w:val="en-AU"/>
              </w:rPr>
            </w:pPr>
            <w:r w:rsidRPr="003E76E7">
              <w:rPr>
                <w:rFonts w:ascii="Arial" w:hAnsi="Arial"/>
                <w:b/>
                <w:bCs/>
                <w:sz w:val="16"/>
                <w:szCs w:val="16"/>
                <w:lang w:val="en-AU"/>
              </w:rPr>
              <w:t>Estimated Cumulative Expenditure to 30 June 2026 $m</w:t>
            </w:r>
          </w:p>
        </w:tc>
        <w:tc>
          <w:tcPr>
            <w:tcW w:w="1383" w:type="dxa"/>
            <w:tcBorders>
              <w:top w:val="single" w:sz="4" w:space="0" w:color="auto"/>
              <w:left w:val="single" w:sz="4" w:space="0" w:color="auto"/>
              <w:bottom w:val="single" w:sz="4" w:space="0" w:color="auto"/>
              <w:right w:val="single" w:sz="4" w:space="0" w:color="auto"/>
            </w:tcBorders>
            <w:shd w:val="clear" w:color="000000" w:fill="auto"/>
          </w:tcPr>
          <w:p w14:paraId="4D667FD3" w14:textId="77777777" w:rsidR="004F3D65" w:rsidRPr="003E76E7" w:rsidRDefault="004F3D65" w:rsidP="00C4292D">
            <w:pPr>
              <w:spacing w:before="0" w:after="0"/>
              <w:jc w:val="right"/>
              <w:rPr>
                <w:rFonts w:ascii="Arial" w:hAnsi="Arial"/>
                <w:b/>
                <w:bCs/>
                <w:sz w:val="16"/>
                <w:szCs w:val="16"/>
                <w:lang w:val="en-AU"/>
              </w:rPr>
            </w:pPr>
            <w:r w:rsidRPr="003E76E7">
              <w:rPr>
                <w:rFonts w:ascii="Arial" w:hAnsi="Arial"/>
                <w:b/>
                <w:bCs/>
                <w:sz w:val="16"/>
                <w:szCs w:val="16"/>
                <w:lang w:val="en-AU"/>
              </w:rPr>
              <w:t>Budget Estimate 2026</w:t>
            </w:r>
            <w:r w:rsidRPr="003E76E7">
              <w:rPr>
                <w:rFonts w:ascii="Arial" w:hAnsi="Arial"/>
                <w:b/>
                <w:bCs/>
                <w:sz w:val="16"/>
                <w:szCs w:val="16"/>
                <w:lang w:val="en-AU"/>
              </w:rPr>
              <w:noBreakHyphen/>
              <w:t xml:space="preserve">27 </w:t>
            </w:r>
          </w:p>
          <w:p w14:paraId="7042AB99" w14:textId="77777777" w:rsidR="004F3D65" w:rsidRPr="003E76E7" w:rsidRDefault="004F3D65" w:rsidP="00C4292D">
            <w:pPr>
              <w:spacing w:before="0" w:after="0"/>
              <w:jc w:val="right"/>
              <w:rPr>
                <w:rFonts w:ascii="Arial" w:hAnsi="Arial"/>
                <w:b/>
                <w:bCs/>
                <w:sz w:val="16"/>
                <w:szCs w:val="16"/>
                <w:lang w:val="en-AU"/>
              </w:rPr>
            </w:pPr>
          </w:p>
          <w:p w14:paraId="48BE06A4" w14:textId="77777777" w:rsidR="004F3D65" w:rsidRPr="003E76E7" w:rsidRDefault="004F3D65" w:rsidP="00C4292D">
            <w:pPr>
              <w:spacing w:before="0" w:after="0"/>
              <w:jc w:val="right"/>
              <w:rPr>
                <w:rFonts w:ascii="Arial" w:hAnsi="Arial"/>
                <w:b/>
                <w:bCs/>
                <w:sz w:val="16"/>
                <w:szCs w:val="16"/>
                <w:lang w:val="en-AU"/>
              </w:rPr>
            </w:pPr>
            <w:r w:rsidRPr="003E76E7">
              <w:rPr>
                <w:rFonts w:ascii="Arial" w:hAnsi="Arial"/>
                <w:b/>
                <w:bCs/>
                <w:sz w:val="16"/>
                <w:szCs w:val="16"/>
                <w:lang w:val="en-AU"/>
              </w:rPr>
              <w:t>$m</w:t>
            </w:r>
          </w:p>
        </w:tc>
      </w:tr>
      <w:tr w:rsidR="004F3D65" w:rsidRPr="003E76E7" w14:paraId="5CF34E1D" w14:textId="77777777" w:rsidTr="004F3D65">
        <w:trPr>
          <w:trHeight w:val="255"/>
        </w:trPr>
        <w:tc>
          <w:tcPr>
            <w:tcW w:w="6760" w:type="dxa"/>
            <w:tcBorders>
              <w:top w:val="single" w:sz="4" w:space="0" w:color="auto"/>
              <w:left w:val="single" w:sz="4" w:space="0" w:color="auto"/>
              <w:bottom w:val="nil"/>
              <w:right w:val="nil"/>
            </w:tcBorders>
            <w:shd w:val="clear" w:color="auto" w:fill="E6E6E6"/>
            <w:vAlign w:val="bottom"/>
          </w:tcPr>
          <w:p w14:paraId="66E8F086" w14:textId="77777777" w:rsidR="004F3D65" w:rsidRPr="003E76E7" w:rsidRDefault="004F3D65" w:rsidP="00C4292D">
            <w:pPr>
              <w:spacing w:before="0" w:after="0"/>
              <w:rPr>
                <w:rFonts w:ascii="Arial" w:hAnsi="Arial"/>
                <w:sz w:val="16"/>
                <w:szCs w:val="16"/>
                <w:lang w:val="en-AU"/>
              </w:rPr>
            </w:pPr>
          </w:p>
        </w:tc>
        <w:tc>
          <w:tcPr>
            <w:tcW w:w="1383" w:type="dxa"/>
            <w:tcBorders>
              <w:top w:val="single" w:sz="4" w:space="0" w:color="auto"/>
              <w:left w:val="nil"/>
              <w:bottom w:val="nil"/>
              <w:right w:val="nil"/>
            </w:tcBorders>
            <w:shd w:val="clear" w:color="auto" w:fill="E6E6E6"/>
            <w:vAlign w:val="bottom"/>
          </w:tcPr>
          <w:p w14:paraId="11603CCB" w14:textId="77777777" w:rsidR="004F3D65" w:rsidRPr="003E76E7" w:rsidRDefault="004F3D65" w:rsidP="00C4292D">
            <w:pPr>
              <w:spacing w:before="0" w:after="0"/>
              <w:rPr>
                <w:rFonts w:ascii="Arial" w:hAnsi="Arial"/>
                <w:sz w:val="16"/>
                <w:szCs w:val="16"/>
                <w:lang w:val="en-AU"/>
              </w:rPr>
            </w:pPr>
          </w:p>
        </w:tc>
        <w:tc>
          <w:tcPr>
            <w:tcW w:w="1383" w:type="dxa"/>
            <w:tcBorders>
              <w:top w:val="single" w:sz="4" w:space="0" w:color="auto"/>
              <w:left w:val="nil"/>
              <w:bottom w:val="nil"/>
              <w:right w:val="nil"/>
            </w:tcBorders>
            <w:shd w:val="clear" w:color="auto" w:fill="E6E6E6"/>
            <w:vAlign w:val="bottom"/>
          </w:tcPr>
          <w:p w14:paraId="3408F1BE" w14:textId="77777777" w:rsidR="004F3D65" w:rsidRPr="003E76E7" w:rsidRDefault="004F3D65" w:rsidP="00C4292D">
            <w:pPr>
              <w:spacing w:before="0" w:after="0"/>
              <w:rPr>
                <w:rFonts w:ascii="Arial" w:hAnsi="Arial"/>
                <w:sz w:val="16"/>
                <w:szCs w:val="16"/>
                <w:lang w:val="en-AU"/>
              </w:rPr>
            </w:pPr>
          </w:p>
        </w:tc>
        <w:tc>
          <w:tcPr>
            <w:tcW w:w="1383" w:type="dxa"/>
            <w:tcBorders>
              <w:top w:val="single" w:sz="4" w:space="0" w:color="auto"/>
              <w:left w:val="nil"/>
              <w:bottom w:val="single" w:sz="4" w:space="0" w:color="auto"/>
              <w:right w:val="single" w:sz="4" w:space="0" w:color="auto"/>
            </w:tcBorders>
            <w:shd w:val="clear" w:color="auto" w:fill="E6E6E6"/>
            <w:vAlign w:val="bottom"/>
          </w:tcPr>
          <w:p w14:paraId="562ED020" w14:textId="77777777" w:rsidR="004F3D65" w:rsidRPr="003E76E7" w:rsidRDefault="004F3D65" w:rsidP="00C4292D">
            <w:pPr>
              <w:spacing w:before="0" w:after="0"/>
              <w:rPr>
                <w:rFonts w:ascii="Arial" w:hAnsi="Arial"/>
                <w:sz w:val="16"/>
                <w:szCs w:val="16"/>
                <w:lang w:val="en-AU"/>
              </w:rPr>
            </w:pPr>
          </w:p>
        </w:tc>
      </w:tr>
      <w:tr w:rsidR="0083547B" w:rsidRPr="003E76E7" w14:paraId="7BA2A82B" w14:textId="77777777" w:rsidTr="004F3D65">
        <w:trPr>
          <w:trHeight w:val="510"/>
        </w:trPr>
        <w:tc>
          <w:tcPr>
            <w:tcW w:w="6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089D5A" w14:textId="57E5E47E" w:rsidR="0083547B" w:rsidRPr="003E76E7" w:rsidRDefault="0083547B" w:rsidP="00C4292D">
            <w:pPr>
              <w:spacing w:before="0" w:after="0"/>
              <w:ind w:left="-57" w:right="-57"/>
              <w:rPr>
                <w:rFonts w:ascii="Arial" w:hAnsi="Arial"/>
                <w:b/>
                <w:bCs/>
                <w:sz w:val="16"/>
                <w:szCs w:val="16"/>
                <w:lang w:val="en-AU"/>
              </w:rPr>
            </w:pPr>
            <w:r w:rsidRPr="003E76E7">
              <w:rPr>
                <w:rFonts w:ascii="Arial" w:hAnsi="Arial"/>
                <w:b/>
                <w:bCs/>
                <w:sz w:val="16"/>
                <w:szCs w:val="16"/>
                <w:lang w:val="en-AU"/>
              </w:rPr>
              <w:t>Total Top 30 Projects (Gross Plan) - Total</w:t>
            </w:r>
          </w:p>
        </w:tc>
        <w:tc>
          <w:tcPr>
            <w:tcW w:w="13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897856" w14:textId="04E24478" w:rsidR="0083547B" w:rsidRPr="003E76E7" w:rsidRDefault="0083547B" w:rsidP="00C4292D">
            <w:pPr>
              <w:spacing w:before="0" w:after="0"/>
              <w:jc w:val="right"/>
              <w:rPr>
                <w:rFonts w:ascii="Arial" w:hAnsi="Arial"/>
                <w:b/>
                <w:bCs/>
                <w:sz w:val="16"/>
                <w:szCs w:val="16"/>
              </w:rPr>
            </w:pPr>
            <w:r w:rsidRPr="003E76E7">
              <w:rPr>
                <w:rFonts w:ascii="Arial" w:hAnsi="Arial"/>
                <w:b/>
                <w:bCs/>
                <w:sz w:val="16"/>
                <w:szCs w:val="16"/>
              </w:rPr>
              <w:t>192,670</w:t>
            </w:r>
          </w:p>
        </w:tc>
        <w:tc>
          <w:tcPr>
            <w:tcW w:w="1383" w:type="dxa"/>
            <w:tcBorders>
              <w:top w:val="single" w:sz="4" w:space="0" w:color="auto"/>
              <w:left w:val="nil"/>
              <w:bottom w:val="single" w:sz="4" w:space="0" w:color="auto"/>
              <w:right w:val="single" w:sz="4" w:space="0" w:color="auto"/>
            </w:tcBorders>
            <w:shd w:val="clear" w:color="auto" w:fill="auto"/>
            <w:noWrap/>
            <w:vAlign w:val="center"/>
          </w:tcPr>
          <w:p w14:paraId="0ADA51CA" w14:textId="20E23D06" w:rsidR="0083547B" w:rsidRPr="003E76E7" w:rsidRDefault="0083547B" w:rsidP="00C4292D">
            <w:pPr>
              <w:spacing w:before="0" w:after="0"/>
              <w:jc w:val="right"/>
              <w:rPr>
                <w:rFonts w:ascii="Arial" w:hAnsi="Arial"/>
                <w:b/>
                <w:bCs/>
                <w:sz w:val="16"/>
                <w:szCs w:val="16"/>
              </w:rPr>
            </w:pPr>
            <w:r w:rsidRPr="003E76E7">
              <w:rPr>
                <w:rFonts w:ascii="Arial" w:hAnsi="Arial"/>
                <w:b/>
                <w:bCs/>
                <w:sz w:val="16"/>
                <w:szCs w:val="16"/>
              </w:rPr>
              <w:t>70,231</w:t>
            </w:r>
          </w:p>
        </w:tc>
        <w:tc>
          <w:tcPr>
            <w:tcW w:w="1383" w:type="dxa"/>
            <w:tcBorders>
              <w:top w:val="single" w:sz="4" w:space="0" w:color="auto"/>
              <w:left w:val="nil"/>
              <w:bottom w:val="single" w:sz="4" w:space="0" w:color="auto"/>
              <w:right w:val="single" w:sz="4" w:space="0" w:color="auto"/>
            </w:tcBorders>
            <w:shd w:val="clear" w:color="auto" w:fill="auto"/>
            <w:noWrap/>
            <w:vAlign w:val="center"/>
          </w:tcPr>
          <w:p w14:paraId="74805DFD" w14:textId="524BD81D" w:rsidR="0083547B" w:rsidRPr="003E76E7" w:rsidRDefault="0083547B" w:rsidP="00C4292D">
            <w:pPr>
              <w:spacing w:before="0" w:after="0"/>
              <w:jc w:val="right"/>
              <w:rPr>
                <w:rFonts w:ascii="Arial" w:hAnsi="Arial"/>
                <w:b/>
                <w:bCs/>
                <w:sz w:val="16"/>
                <w:szCs w:val="16"/>
              </w:rPr>
            </w:pPr>
            <w:r w:rsidRPr="003E76E7">
              <w:rPr>
                <w:rFonts w:ascii="Arial" w:hAnsi="Arial"/>
                <w:b/>
                <w:bCs/>
                <w:sz w:val="16"/>
                <w:szCs w:val="16"/>
              </w:rPr>
              <w:t>17,276</w:t>
            </w:r>
          </w:p>
        </w:tc>
      </w:tr>
      <w:tr w:rsidR="0083547B" w:rsidRPr="003E76E7" w14:paraId="28D61216" w14:textId="77777777" w:rsidTr="004F3D65">
        <w:trPr>
          <w:trHeight w:val="510"/>
        </w:trPr>
        <w:tc>
          <w:tcPr>
            <w:tcW w:w="6760" w:type="dxa"/>
            <w:tcBorders>
              <w:top w:val="nil"/>
              <w:left w:val="single" w:sz="4" w:space="0" w:color="auto"/>
              <w:bottom w:val="nil"/>
              <w:right w:val="single" w:sz="4" w:space="0" w:color="000000"/>
            </w:tcBorders>
            <w:shd w:val="clear" w:color="auto" w:fill="auto"/>
            <w:vAlign w:val="center"/>
            <w:hideMark/>
          </w:tcPr>
          <w:p w14:paraId="2A1A842A" w14:textId="41523BFB" w:rsidR="0083547B" w:rsidRPr="003E76E7" w:rsidRDefault="0083547B" w:rsidP="00C4292D">
            <w:pPr>
              <w:spacing w:before="0" w:after="0"/>
              <w:ind w:left="-57" w:right="-57"/>
              <w:rPr>
                <w:rFonts w:ascii="Arial" w:hAnsi="Arial"/>
                <w:b/>
                <w:bCs/>
                <w:sz w:val="16"/>
                <w:szCs w:val="16"/>
                <w:lang w:val="en-AU"/>
              </w:rPr>
            </w:pPr>
            <w:r w:rsidRPr="003E76E7">
              <w:rPr>
                <w:rFonts w:ascii="Arial" w:hAnsi="Arial"/>
                <w:b/>
                <w:bCs/>
                <w:sz w:val="16"/>
                <w:szCs w:val="16"/>
                <w:lang w:val="en-AU"/>
              </w:rPr>
              <w:t>Total Top 30 Projects (Gross Plan) - Other Project Inputs to Capability</w:t>
            </w:r>
          </w:p>
        </w:tc>
        <w:tc>
          <w:tcPr>
            <w:tcW w:w="1383" w:type="dxa"/>
            <w:tcBorders>
              <w:top w:val="nil"/>
              <w:left w:val="single" w:sz="4" w:space="0" w:color="auto"/>
              <w:bottom w:val="single" w:sz="4" w:space="0" w:color="auto"/>
              <w:right w:val="single" w:sz="4" w:space="0" w:color="auto"/>
            </w:tcBorders>
            <w:shd w:val="clear" w:color="auto" w:fill="auto"/>
            <w:noWrap/>
            <w:vAlign w:val="center"/>
          </w:tcPr>
          <w:p w14:paraId="564D138D" w14:textId="4CDEE7A6" w:rsidR="0083547B" w:rsidRPr="003E76E7" w:rsidRDefault="0083547B" w:rsidP="00C4292D">
            <w:pPr>
              <w:spacing w:before="0" w:after="0"/>
              <w:jc w:val="right"/>
              <w:rPr>
                <w:rFonts w:ascii="Arial" w:hAnsi="Arial"/>
                <w:b/>
                <w:bCs/>
                <w:sz w:val="16"/>
                <w:szCs w:val="16"/>
              </w:rPr>
            </w:pPr>
            <w:r w:rsidRPr="003E76E7">
              <w:rPr>
                <w:rFonts w:ascii="Arial" w:hAnsi="Arial"/>
                <w:b/>
                <w:bCs/>
                <w:sz w:val="16"/>
                <w:szCs w:val="16"/>
              </w:rPr>
              <w:t>14,246</w:t>
            </w:r>
          </w:p>
        </w:tc>
        <w:tc>
          <w:tcPr>
            <w:tcW w:w="1383" w:type="dxa"/>
            <w:tcBorders>
              <w:top w:val="nil"/>
              <w:left w:val="nil"/>
              <w:bottom w:val="single" w:sz="4" w:space="0" w:color="auto"/>
              <w:right w:val="single" w:sz="4" w:space="0" w:color="auto"/>
            </w:tcBorders>
            <w:shd w:val="clear" w:color="auto" w:fill="auto"/>
            <w:noWrap/>
            <w:vAlign w:val="center"/>
          </w:tcPr>
          <w:p w14:paraId="65F3EF52" w14:textId="2128A986" w:rsidR="0083547B" w:rsidRPr="003E76E7" w:rsidRDefault="0083547B" w:rsidP="00C4292D">
            <w:pPr>
              <w:spacing w:before="0" w:after="0"/>
              <w:jc w:val="right"/>
              <w:rPr>
                <w:rFonts w:ascii="Arial" w:hAnsi="Arial"/>
                <w:b/>
                <w:bCs/>
                <w:sz w:val="16"/>
                <w:szCs w:val="16"/>
              </w:rPr>
            </w:pPr>
            <w:r w:rsidRPr="003E76E7">
              <w:rPr>
                <w:rFonts w:ascii="Arial" w:hAnsi="Arial"/>
                <w:b/>
                <w:bCs/>
                <w:sz w:val="16"/>
                <w:szCs w:val="16"/>
              </w:rPr>
              <w:t>6,056</w:t>
            </w:r>
          </w:p>
        </w:tc>
        <w:tc>
          <w:tcPr>
            <w:tcW w:w="1383" w:type="dxa"/>
            <w:tcBorders>
              <w:top w:val="nil"/>
              <w:left w:val="nil"/>
              <w:bottom w:val="single" w:sz="4" w:space="0" w:color="auto"/>
              <w:right w:val="single" w:sz="4" w:space="0" w:color="auto"/>
            </w:tcBorders>
            <w:shd w:val="clear" w:color="auto" w:fill="auto"/>
            <w:noWrap/>
            <w:vAlign w:val="center"/>
          </w:tcPr>
          <w:p w14:paraId="5A311A98" w14:textId="668BD266" w:rsidR="0083547B" w:rsidRPr="003E76E7" w:rsidRDefault="0083547B" w:rsidP="00C4292D">
            <w:pPr>
              <w:spacing w:before="0" w:after="0"/>
              <w:jc w:val="right"/>
              <w:rPr>
                <w:rFonts w:ascii="Arial" w:hAnsi="Arial"/>
                <w:b/>
                <w:bCs/>
                <w:sz w:val="16"/>
                <w:szCs w:val="16"/>
              </w:rPr>
            </w:pPr>
            <w:r w:rsidRPr="003E76E7">
              <w:rPr>
                <w:rFonts w:ascii="Arial" w:hAnsi="Arial"/>
                <w:b/>
                <w:bCs/>
                <w:sz w:val="16"/>
                <w:szCs w:val="16"/>
              </w:rPr>
              <w:t>1,939</w:t>
            </w:r>
          </w:p>
        </w:tc>
      </w:tr>
      <w:tr w:rsidR="0083547B" w:rsidRPr="003E76E7" w14:paraId="778B381B" w14:textId="77777777" w:rsidTr="004F3D65">
        <w:trPr>
          <w:trHeight w:val="510"/>
        </w:trPr>
        <w:tc>
          <w:tcPr>
            <w:tcW w:w="6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8099CE" w14:textId="1144B0D4" w:rsidR="0083547B" w:rsidRPr="003E76E7" w:rsidRDefault="0083547B" w:rsidP="00C4292D">
            <w:pPr>
              <w:spacing w:before="0" w:after="0"/>
              <w:ind w:left="-57" w:right="-57"/>
              <w:rPr>
                <w:rFonts w:ascii="Arial" w:hAnsi="Arial"/>
                <w:b/>
                <w:bCs/>
                <w:sz w:val="16"/>
                <w:szCs w:val="16"/>
                <w:lang w:val="en-AU"/>
              </w:rPr>
            </w:pPr>
            <w:r w:rsidRPr="003E76E7">
              <w:rPr>
                <w:rFonts w:ascii="Arial" w:hAnsi="Arial"/>
                <w:b/>
                <w:bCs/>
                <w:sz w:val="16"/>
                <w:szCs w:val="16"/>
                <w:lang w:val="en-AU"/>
              </w:rPr>
              <w:t>Total Top 30 Projects (Gross Plan) - Military Equipment Acquisition</w:t>
            </w:r>
          </w:p>
        </w:tc>
        <w:tc>
          <w:tcPr>
            <w:tcW w:w="1383" w:type="dxa"/>
            <w:tcBorders>
              <w:top w:val="nil"/>
              <w:left w:val="single" w:sz="4" w:space="0" w:color="auto"/>
              <w:bottom w:val="single" w:sz="4" w:space="0" w:color="auto"/>
              <w:right w:val="single" w:sz="4" w:space="0" w:color="auto"/>
            </w:tcBorders>
            <w:shd w:val="clear" w:color="auto" w:fill="auto"/>
            <w:noWrap/>
            <w:vAlign w:val="center"/>
          </w:tcPr>
          <w:p w14:paraId="5B993612" w14:textId="277FCC42" w:rsidR="0083547B" w:rsidRPr="003E76E7" w:rsidRDefault="0083547B" w:rsidP="00C4292D">
            <w:pPr>
              <w:spacing w:before="0" w:after="0"/>
              <w:jc w:val="right"/>
              <w:rPr>
                <w:rFonts w:ascii="Arial" w:hAnsi="Arial"/>
                <w:b/>
                <w:bCs/>
                <w:sz w:val="16"/>
                <w:szCs w:val="16"/>
              </w:rPr>
            </w:pPr>
            <w:r w:rsidRPr="003E76E7">
              <w:rPr>
                <w:rFonts w:ascii="Arial" w:hAnsi="Arial"/>
                <w:b/>
                <w:bCs/>
                <w:sz w:val="16"/>
                <w:szCs w:val="16"/>
              </w:rPr>
              <w:t>178,423</w:t>
            </w:r>
          </w:p>
        </w:tc>
        <w:tc>
          <w:tcPr>
            <w:tcW w:w="1383" w:type="dxa"/>
            <w:tcBorders>
              <w:top w:val="nil"/>
              <w:left w:val="nil"/>
              <w:bottom w:val="single" w:sz="4" w:space="0" w:color="auto"/>
              <w:right w:val="single" w:sz="4" w:space="0" w:color="auto"/>
            </w:tcBorders>
            <w:shd w:val="clear" w:color="auto" w:fill="auto"/>
            <w:noWrap/>
            <w:vAlign w:val="center"/>
          </w:tcPr>
          <w:p w14:paraId="1FBC4042" w14:textId="632AFBB3" w:rsidR="0083547B" w:rsidRPr="003E76E7" w:rsidRDefault="0083547B" w:rsidP="00C4292D">
            <w:pPr>
              <w:spacing w:before="0" w:after="0"/>
              <w:jc w:val="right"/>
              <w:rPr>
                <w:rFonts w:ascii="Arial" w:hAnsi="Arial"/>
                <w:b/>
                <w:bCs/>
                <w:sz w:val="16"/>
                <w:szCs w:val="16"/>
              </w:rPr>
            </w:pPr>
            <w:r w:rsidRPr="003E76E7">
              <w:rPr>
                <w:rFonts w:ascii="Arial" w:hAnsi="Arial"/>
                <w:b/>
                <w:bCs/>
                <w:sz w:val="16"/>
                <w:szCs w:val="16"/>
              </w:rPr>
              <w:t>64,176</w:t>
            </w:r>
          </w:p>
        </w:tc>
        <w:tc>
          <w:tcPr>
            <w:tcW w:w="1383" w:type="dxa"/>
            <w:tcBorders>
              <w:top w:val="nil"/>
              <w:left w:val="nil"/>
              <w:bottom w:val="single" w:sz="4" w:space="0" w:color="auto"/>
              <w:right w:val="single" w:sz="4" w:space="0" w:color="auto"/>
            </w:tcBorders>
            <w:shd w:val="clear" w:color="auto" w:fill="auto"/>
            <w:noWrap/>
            <w:vAlign w:val="center"/>
          </w:tcPr>
          <w:p w14:paraId="13F9F726" w14:textId="3C74FF8F" w:rsidR="0083547B" w:rsidRPr="003E76E7" w:rsidRDefault="0083547B" w:rsidP="00C4292D">
            <w:pPr>
              <w:spacing w:before="0" w:after="0"/>
              <w:jc w:val="right"/>
              <w:rPr>
                <w:rFonts w:ascii="Arial" w:hAnsi="Arial"/>
                <w:b/>
                <w:bCs/>
                <w:sz w:val="16"/>
                <w:szCs w:val="16"/>
              </w:rPr>
            </w:pPr>
            <w:r w:rsidRPr="003E76E7">
              <w:rPr>
                <w:rFonts w:ascii="Arial" w:hAnsi="Arial"/>
                <w:b/>
                <w:bCs/>
                <w:sz w:val="16"/>
                <w:szCs w:val="16"/>
              </w:rPr>
              <w:t>15,337</w:t>
            </w:r>
          </w:p>
        </w:tc>
      </w:tr>
      <w:tr w:rsidR="0083547B" w:rsidRPr="003E76E7" w14:paraId="5CD4D3FC" w14:textId="77777777" w:rsidTr="004F3D65">
        <w:trPr>
          <w:trHeight w:val="510"/>
        </w:trPr>
        <w:tc>
          <w:tcPr>
            <w:tcW w:w="6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F452B4" w14:textId="241A8926" w:rsidR="0083547B" w:rsidRPr="003E76E7" w:rsidRDefault="0083547B" w:rsidP="00C4292D">
            <w:pPr>
              <w:spacing w:before="0" w:after="0"/>
              <w:ind w:left="-57" w:right="-57"/>
              <w:rPr>
                <w:rFonts w:ascii="Arial" w:hAnsi="Arial"/>
                <w:sz w:val="16"/>
                <w:szCs w:val="16"/>
                <w:lang w:val="en-AU"/>
              </w:rPr>
            </w:pPr>
            <w:r w:rsidRPr="003E76E7">
              <w:rPr>
                <w:rFonts w:ascii="Arial" w:hAnsi="Arial"/>
                <w:sz w:val="16"/>
                <w:szCs w:val="16"/>
                <w:lang w:val="en-AU"/>
              </w:rPr>
              <w:t>Other Approved Project Gross Plans - Military Equipment Acquisition</w:t>
            </w:r>
          </w:p>
        </w:tc>
        <w:tc>
          <w:tcPr>
            <w:tcW w:w="1383" w:type="dxa"/>
            <w:tcBorders>
              <w:top w:val="nil"/>
              <w:left w:val="single" w:sz="4" w:space="0" w:color="auto"/>
              <w:bottom w:val="single" w:sz="4" w:space="0" w:color="auto"/>
              <w:right w:val="single" w:sz="4" w:space="0" w:color="auto"/>
            </w:tcBorders>
            <w:shd w:val="clear" w:color="auto" w:fill="auto"/>
            <w:noWrap/>
            <w:vAlign w:val="center"/>
          </w:tcPr>
          <w:p w14:paraId="621596A2" w14:textId="5628B683" w:rsidR="0083547B" w:rsidRPr="003E76E7" w:rsidRDefault="0083547B" w:rsidP="00C4292D">
            <w:pPr>
              <w:spacing w:before="0" w:after="0"/>
              <w:jc w:val="right"/>
              <w:rPr>
                <w:rFonts w:ascii="Arial" w:hAnsi="Arial"/>
                <w:sz w:val="16"/>
                <w:szCs w:val="16"/>
              </w:rPr>
            </w:pPr>
            <w:r w:rsidRPr="003E76E7">
              <w:rPr>
                <w:rFonts w:ascii="Arial" w:hAnsi="Arial"/>
                <w:sz w:val="16"/>
                <w:szCs w:val="16"/>
              </w:rPr>
              <w:t>60,269</w:t>
            </w:r>
          </w:p>
        </w:tc>
        <w:tc>
          <w:tcPr>
            <w:tcW w:w="1383" w:type="dxa"/>
            <w:tcBorders>
              <w:top w:val="nil"/>
              <w:left w:val="nil"/>
              <w:bottom w:val="single" w:sz="4" w:space="0" w:color="auto"/>
              <w:right w:val="single" w:sz="4" w:space="0" w:color="auto"/>
            </w:tcBorders>
            <w:shd w:val="clear" w:color="auto" w:fill="auto"/>
            <w:noWrap/>
            <w:vAlign w:val="center"/>
          </w:tcPr>
          <w:p w14:paraId="7140BD7C" w14:textId="48698CA6" w:rsidR="0083547B" w:rsidRPr="003E76E7" w:rsidRDefault="0083547B" w:rsidP="00C4292D">
            <w:pPr>
              <w:spacing w:before="0" w:after="0"/>
              <w:jc w:val="right"/>
              <w:rPr>
                <w:rFonts w:ascii="Arial" w:hAnsi="Arial"/>
                <w:sz w:val="16"/>
                <w:szCs w:val="16"/>
              </w:rPr>
            </w:pPr>
            <w:r w:rsidRPr="003E76E7">
              <w:rPr>
                <w:rFonts w:ascii="Arial" w:hAnsi="Arial"/>
                <w:sz w:val="16"/>
                <w:szCs w:val="16"/>
              </w:rPr>
              <w:t>40,993</w:t>
            </w:r>
          </w:p>
        </w:tc>
        <w:tc>
          <w:tcPr>
            <w:tcW w:w="1383" w:type="dxa"/>
            <w:tcBorders>
              <w:top w:val="nil"/>
              <w:left w:val="nil"/>
              <w:bottom w:val="single" w:sz="4" w:space="0" w:color="auto"/>
              <w:right w:val="single" w:sz="4" w:space="0" w:color="auto"/>
            </w:tcBorders>
            <w:shd w:val="clear" w:color="auto" w:fill="auto"/>
            <w:noWrap/>
            <w:vAlign w:val="center"/>
          </w:tcPr>
          <w:p w14:paraId="5BB228D1" w14:textId="4B0B6D38" w:rsidR="0083547B" w:rsidRPr="003E76E7" w:rsidRDefault="0083547B" w:rsidP="00C4292D">
            <w:pPr>
              <w:spacing w:before="0" w:after="0"/>
              <w:jc w:val="right"/>
              <w:rPr>
                <w:rFonts w:ascii="Arial" w:hAnsi="Arial"/>
                <w:sz w:val="16"/>
                <w:szCs w:val="16"/>
              </w:rPr>
            </w:pPr>
            <w:r w:rsidRPr="003E76E7">
              <w:rPr>
                <w:rFonts w:ascii="Arial" w:hAnsi="Arial"/>
                <w:sz w:val="16"/>
                <w:szCs w:val="16"/>
              </w:rPr>
              <w:t>3,259</w:t>
            </w:r>
          </w:p>
        </w:tc>
      </w:tr>
      <w:tr w:rsidR="0083547B" w:rsidRPr="003E76E7" w14:paraId="7F8FFCFC" w14:textId="77777777" w:rsidTr="004F3D65">
        <w:trPr>
          <w:trHeight w:val="510"/>
        </w:trPr>
        <w:tc>
          <w:tcPr>
            <w:tcW w:w="6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54043" w14:textId="479935EF" w:rsidR="0083547B" w:rsidRPr="003E76E7" w:rsidRDefault="0083547B" w:rsidP="00C4292D">
            <w:pPr>
              <w:spacing w:before="0" w:after="0"/>
              <w:ind w:left="-57" w:right="-57"/>
              <w:rPr>
                <w:rFonts w:ascii="Arial" w:hAnsi="Arial"/>
                <w:b/>
                <w:bCs/>
                <w:sz w:val="16"/>
                <w:szCs w:val="16"/>
                <w:lang w:val="en-AU"/>
              </w:rPr>
            </w:pPr>
            <w:r w:rsidRPr="003E76E7">
              <w:rPr>
                <w:rFonts w:ascii="Arial" w:hAnsi="Arial"/>
                <w:b/>
                <w:bCs/>
                <w:sz w:val="16"/>
                <w:szCs w:val="16"/>
                <w:lang w:val="en-AU"/>
              </w:rPr>
              <w:t>Total Approved Projects (Gross Plan) - Military Equipment Acquisition</w:t>
            </w:r>
          </w:p>
        </w:tc>
        <w:tc>
          <w:tcPr>
            <w:tcW w:w="1383" w:type="dxa"/>
            <w:tcBorders>
              <w:top w:val="nil"/>
              <w:left w:val="single" w:sz="4" w:space="0" w:color="auto"/>
              <w:bottom w:val="single" w:sz="4" w:space="0" w:color="auto"/>
              <w:right w:val="single" w:sz="4" w:space="0" w:color="auto"/>
            </w:tcBorders>
            <w:shd w:val="clear" w:color="auto" w:fill="auto"/>
            <w:noWrap/>
            <w:vAlign w:val="center"/>
          </w:tcPr>
          <w:p w14:paraId="6F0F42BF" w14:textId="16448A5C" w:rsidR="0083547B" w:rsidRPr="003E76E7" w:rsidRDefault="0083547B" w:rsidP="00C4292D">
            <w:pPr>
              <w:spacing w:before="0" w:after="0"/>
              <w:jc w:val="right"/>
              <w:rPr>
                <w:rFonts w:ascii="Arial" w:hAnsi="Arial"/>
                <w:b/>
                <w:bCs/>
                <w:sz w:val="16"/>
                <w:szCs w:val="16"/>
              </w:rPr>
            </w:pPr>
            <w:r w:rsidRPr="003E76E7">
              <w:rPr>
                <w:rFonts w:ascii="Arial" w:hAnsi="Arial"/>
                <w:b/>
                <w:bCs/>
                <w:sz w:val="16"/>
                <w:szCs w:val="16"/>
              </w:rPr>
              <w:t>238,692</w:t>
            </w:r>
          </w:p>
        </w:tc>
        <w:tc>
          <w:tcPr>
            <w:tcW w:w="1383" w:type="dxa"/>
            <w:tcBorders>
              <w:top w:val="nil"/>
              <w:left w:val="nil"/>
              <w:bottom w:val="single" w:sz="4" w:space="0" w:color="auto"/>
              <w:right w:val="single" w:sz="4" w:space="0" w:color="auto"/>
            </w:tcBorders>
            <w:shd w:val="clear" w:color="auto" w:fill="auto"/>
            <w:noWrap/>
            <w:vAlign w:val="center"/>
          </w:tcPr>
          <w:p w14:paraId="378095B2" w14:textId="6FE85834" w:rsidR="0083547B" w:rsidRPr="003E76E7" w:rsidRDefault="0083547B" w:rsidP="00C4292D">
            <w:pPr>
              <w:spacing w:before="0" w:after="0"/>
              <w:jc w:val="right"/>
              <w:rPr>
                <w:rFonts w:ascii="Arial" w:hAnsi="Arial"/>
                <w:b/>
                <w:bCs/>
                <w:sz w:val="16"/>
                <w:szCs w:val="16"/>
              </w:rPr>
            </w:pPr>
            <w:r w:rsidRPr="003E76E7">
              <w:rPr>
                <w:rFonts w:ascii="Arial" w:hAnsi="Arial"/>
                <w:b/>
                <w:bCs/>
                <w:sz w:val="16"/>
                <w:szCs w:val="16"/>
              </w:rPr>
              <w:t>105,168</w:t>
            </w:r>
          </w:p>
        </w:tc>
        <w:tc>
          <w:tcPr>
            <w:tcW w:w="1383" w:type="dxa"/>
            <w:tcBorders>
              <w:top w:val="nil"/>
              <w:left w:val="nil"/>
              <w:bottom w:val="single" w:sz="4" w:space="0" w:color="auto"/>
              <w:right w:val="single" w:sz="4" w:space="0" w:color="auto"/>
            </w:tcBorders>
            <w:shd w:val="clear" w:color="auto" w:fill="auto"/>
            <w:noWrap/>
            <w:vAlign w:val="center"/>
          </w:tcPr>
          <w:p w14:paraId="5AFB8E53" w14:textId="1561CA43" w:rsidR="0083547B" w:rsidRPr="003E76E7" w:rsidRDefault="0083547B" w:rsidP="00C4292D">
            <w:pPr>
              <w:spacing w:before="0" w:after="0"/>
              <w:jc w:val="right"/>
              <w:rPr>
                <w:rFonts w:ascii="Arial" w:hAnsi="Arial"/>
                <w:b/>
                <w:bCs/>
                <w:sz w:val="16"/>
                <w:szCs w:val="16"/>
              </w:rPr>
            </w:pPr>
            <w:r w:rsidRPr="003E76E7">
              <w:rPr>
                <w:rFonts w:ascii="Arial" w:hAnsi="Arial"/>
                <w:b/>
                <w:bCs/>
                <w:sz w:val="16"/>
                <w:szCs w:val="16"/>
              </w:rPr>
              <w:t>18,596</w:t>
            </w:r>
          </w:p>
        </w:tc>
      </w:tr>
      <w:tr w:rsidR="0083547B" w:rsidRPr="003E76E7" w14:paraId="50945026" w14:textId="77777777" w:rsidTr="004F3D65">
        <w:trPr>
          <w:trHeight w:val="510"/>
        </w:trPr>
        <w:tc>
          <w:tcPr>
            <w:tcW w:w="6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E952E5" w14:textId="0720E72D" w:rsidR="0083547B" w:rsidRPr="003E76E7" w:rsidRDefault="0083547B" w:rsidP="00C4292D">
            <w:pPr>
              <w:spacing w:before="0" w:after="0"/>
              <w:rPr>
                <w:rFonts w:ascii="Arial" w:hAnsi="Arial"/>
                <w:sz w:val="16"/>
                <w:szCs w:val="16"/>
                <w:lang w:val="en-AU"/>
              </w:rPr>
            </w:pPr>
            <w:r w:rsidRPr="003E76E7">
              <w:rPr>
                <w:rFonts w:ascii="Arial" w:hAnsi="Arial"/>
                <w:sz w:val="16"/>
                <w:szCs w:val="16"/>
                <w:lang w:val="en-AU"/>
              </w:rPr>
              <w:t>Over-programming - Military Equipment Acquisition</w:t>
            </w:r>
          </w:p>
        </w:tc>
        <w:tc>
          <w:tcPr>
            <w:tcW w:w="1383" w:type="dxa"/>
            <w:tcBorders>
              <w:top w:val="nil"/>
              <w:left w:val="single" w:sz="4" w:space="0" w:color="auto"/>
              <w:bottom w:val="single" w:sz="4" w:space="0" w:color="auto"/>
              <w:right w:val="single" w:sz="4" w:space="0" w:color="auto"/>
            </w:tcBorders>
            <w:shd w:val="clear" w:color="auto" w:fill="auto"/>
            <w:noWrap/>
            <w:vAlign w:val="center"/>
          </w:tcPr>
          <w:p w14:paraId="7F1E0510" w14:textId="77777777" w:rsidR="0083547B" w:rsidRPr="003E76E7" w:rsidRDefault="0083547B" w:rsidP="00C4292D">
            <w:pPr>
              <w:spacing w:before="0" w:after="0"/>
              <w:rPr>
                <w:rFonts w:ascii="Arial" w:hAnsi="Arial"/>
                <w:sz w:val="16"/>
                <w:szCs w:val="16"/>
              </w:rPr>
            </w:pPr>
          </w:p>
        </w:tc>
        <w:tc>
          <w:tcPr>
            <w:tcW w:w="1383" w:type="dxa"/>
            <w:tcBorders>
              <w:top w:val="nil"/>
              <w:left w:val="nil"/>
              <w:bottom w:val="single" w:sz="4" w:space="0" w:color="auto"/>
              <w:right w:val="single" w:sz="4" w:space="0" w:color="auto"/>
            </w:tcBorders>
            <w:shd w:val="clear" w:color="auto" w:fill="auto"/>
            <w:noWrap/>
            <w:vAlign w:val="center"/>
          </w:tcPr>
          <w:p w14:paraId="3DB529E7" w14:textId="77777777" w:rsidR="0083547B" w:rsidRPr="003E76E7" w:rsidRDefault="0083547B" w:rsidP="00C4292D">
            <w:pPr>
              <w:spacing w:before="0" w:after="0"/>
              <w:rPr>
                <w:rFonts w:ascii="Arial" w:hAnsi="Arial"/>
                <w:szCs w:val="20"/>
              </w:rPr>
            </w:pPr>
          </w:p>
        </w:tc>
        <w:tc>
          <w:tcPr>
            <w:tcW w:w="1383" w:type="dxa"/>
            <w:tcBorders>
              <w:top w:val="nil"/>
              <w:left w:val="nil"/>
              <w:bottom w:val="single" w:sz="4" w:space="0" w:color="auto"/>
              <w:right w:val="single" w:sz="4" w:space="0" w:color="auto"/>
            </w:tcBorders>
            <w:shd w:val="clear" w:color="auto" w:fill="auto"/>
            <w:vAlign w:val="center"/>
          </w:tcPr>
          <w:p w14:paraId="6A155CC1" w14:textId="2EC8346D" w:rsidR="0083547B" w:rsidRPr="003E76E7" w:rsidRDefault="00F034BA" w:rsidP="00C4292D">
            <w:pPr>
              <w:spacing w:before="0" w:after="0"/>
              <w:jc w:val="right"/>
              <w:rPr>
                <w:rFonts w:ascii="Arial" w:hAnsi="Arial"/>
                <w:sz w:val="16"/>
                <w:szCs w:val="16"/>
              </w:rPr>
            </w:pPr>
            <w:r>
              <w:rPr>
                <w:rFonts w:ascii="Arial" w:hAnsi="Arial"/>
                <w:sz w:val="16"/>
                <w:szCs w:val="16"/>
              </w:rPr>
              <w:t>-</w:t>
            </w:r>
            <w:r w:rsidR="0083547B" w:rsidRPr="003E76E7">
              <w:rPr>
                <w:rFonts w:ascii="Arial" w:hAnsi="Arial"/>
                <w:sz w:val="16"/>
                <w:szCs w:val="16"/>
              </w:rPr>
              <w:t>4,016</w:t>
            </w:r>
          </w:p>
        </w:tc>
      </w:tr>
      <w:tr w:rsidR="0083547B" w:rsidRPr="003E76E7" w14:paraId="2C10B758" w14:textId="77777777" w:rsidTr="006473DF">
        <w:trPr>
          <w:trHeight w:val="510"/>
        </w:trPr>
        <w:tc>
          <w:tcPr>
            <w:tcW w:w="676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4D39B31" w14:textId="6F9B67C1" w:rsidR="0083547B" w:rsidRPr="003E76E7" w:rsidRDefault="0083547B" w:rsidP="00C4292D">
            <w:pPr>
              <w:spacing w:before="0" w:after="0"/>
              <w:rPr>
                <w:rFonts w:ascii="Arial" w:hAnsi="Arial"/>
                <w:b/>
                <w:sz w:val="16"/>
                <w:szCs w:val="16"/>
                <w:lang w:val="en-AU"/>
              </w:rPr>
            </w:pPr>
            <w:r w:rsidRPr="003E76E7">
              <w:rPr>
                <w:rFonts w:ascii="Arial" w:hAnsi="Arial"/>
                <w:b/>
                <w:sz w:val="16"/>
                <w:szCs w:val="16"/>
                <w:lang w:val="en-AU"/>
              </w:rPr>
              <w:t>Net Approved Program - Military Equipment Acquisition</w:t>
            </w:r>
          </w:p>
        </w:tc>
        <w:tc>
          <w:tcPr>
            <w:tcW w:w="1383" w:type="dxa"/>
            <w:tcBorders>
              <w:top w:val="nil"/>
              <w:left w:val="single" w:sz="4" w:space="0" w:color="auto"/>
              <w:bottom w:val="single" w:sz="4" w:space="0" w:color="auto"/>
              <w:right w:val="single" w:sz="4" w:space="0" w:color="auto"/>
            </w:tcBorders>
            <w:shd w:val="clear" w:color="auto" w:fill="E7E6E6" w:themeFill="background2"/>
            <w:noWrap/>
            <w:vAlign w:val="center"/>
          </w:tcPr>
          <w:p w14:paraId="24F59B64" w14:textId="77777777" w:rsidR="0083547B" w:rsidRPr="003E76E7" w:rsidRDefault="0083547B" w:rsidP="00C4292D">
            <w:pPr>
              <w:spacing w:before="0" w:after="0"/>
              <w:rPr>
                <w:rFonts w:ascii="Arial" w:hAnsi="Arial"/>
                <w:b/>
                <w:bCs/>
                <w:sz w:val="16"/>
                <w:szCs w:val="16"/>
              </w:rPr>
            </w:pPr>
          </w:p>
        </w:tc>
        <w:tc>
          <w:tcPr>
            <w:tcW w:w="1383" w:type="dxa"/>
            <w:tcBorders>
              <w:top w:val="nil"/>
              <w:left w:val="nil"/>
              <w:bottom w:val="single" w:sz="4" w:space="0" w:color="auto"/>
              <w:right w:val="single" w:sz="4" w:space="0" w:color="auto"/>
            </w:tcBorders>
            <w:shd w:val="clear" w:color="auto" w:fill="E7E6E6" w:themeFill="background2"/>
            <w:noWrap/>
            <w:vAlign w:val="center"/>
          </w:tcPr>
          <w:p w14:paraId="7D571714" w14:textId="77777777" w:rsidR="0083547B" w:rsidRPr="003E76E7" w:rsidRDefault="0083547B" w:rsidP="00C4292D">
            <w:pPr>
              <w:spacing w:before="0" w:after="0"/>
              <w:rPr>
                <w:rFonts w:ascii="Arial" w:hAnsi="Arial"/>
                <w:b/>
                <w:bCs/>
                <w:szCs w:val="20"/>
              </w:rPr>
            </w:pPr>
          </w:p>
        </w:tc>
        <w:tc>
          <w:tcPr>
            <w:tcW w:w="1383" w:type="dxa"/>
            <w:tcBorders>
              <w:top w:val="nil"/>
              <w:left w:val="nil"/>
              <w:bottom w:val="single" w:sz="4" w:space="0" w:color="auto"/>
              <w:right w:val="single" w:sz="4" w:space="0" w:color="auto"/>
            </w:tcBorders>
            <w:shd w:val="clear" w:color="auto" w:fill="E7E6E6" w:themeFill="background2"/>
            <w:vAlign w:val="center"/>
          </w:tcPr>
          <w:p w14:paraId="111D4C9C" w14:textId="67B26CDD" w:rsidR="0083547B" w:rsidRPr="003E76E7" w:rsidRDefault="0083547B" w:rsidP="00C4292D">
            <w:pPr>
              <w:spacing w:before="0" w:after="0"/>
              <w:jc w:val="right"/>
              <w:rPr>
                <w:rFonts w:ascii="Arial" w:hAnsi="Arial"/>
                <w:b/>
                <w:bCs/>
                <w:sz w:val="16"/>
                <w:szCs w:val="16"/>
              </w:rPr>
            </w:pPr>
            <w:r w:rsidRPr="003E76E7">
              <w:rPr>
                <w:rFonts w:ascii="Arial" w:hAnsi="Arial"/>
                <w:b/>
                <w:bCs/>
                <w:sz w:val="16"/>
                <w:szCs w:val="16"/>
              </w:rPr>
              <w:t>14,580</w:t>
            </w:r>
          </w:p>
        </w:tc>
      </w:tr>
      <w:bookmarkEnd w:id="1282"/>
    </w:tbl>
    <w:p w14:paraId="18566710" w14:textId="77777777" w:rsidR="004F3D65" w:rsidRPr="003E76E7" w:rsidRDefault="004F3D65" w:rsidP="00C4292D">
      <w:pPr>
        <w:spacing w:before="0" w:after="0"/>
        <w:rPr>
          <w:rFonts w:ascii="Arial" w:hAnsi="Arial"/>
          <w:b/>
          <w:sz w:val="16"/>
          <w:szCs w:val="16"/>
          <w:lang w:val="en-AU"/>
        </w:rPr>
      </w:pPr>
    </w:p>
    <w:p w14:paraId="45BC9E37" w14:textId="77777777" w:rsidR="004F3D65" w:rsidRPr="003E76E7" w:rsidRDefault="004F3D65" w:rsidP="00C4292D">
      <w:pPr>
        <w:spacing w:before="0" w:after="0"/>
        <w:rPr>
          <w:rFonts w:ascii="Arial" w:hAnsi="Arial"/>
          <w:b/>
          <w:sz w:val="14"/>
          <w:szCs w:val="14"/>
          <w:lang w:val="en-AU"/>
        </w:rPr>
      </w:pPr>
      <w:r w:rsidRPr="003E76E7">
        <w:rPr>
          <w:rFonts w:ascii="Arial" w:hAnsi="Arial"/>
          <w:b/>
          <w:sz w:val="14"/>
          <w:szCs w:val="14"/>
          <w:lang w:val="en-AU"/>
        </w:rPr>
        <w:t>Notes</w:t>
      </w:r>
    </w:p>
    <w:p w14:paraId="700E6FCE" w14:textId="7D4BF40A" w:rsidR="004F3D65" w:rsidRPr="00FE5A03" w:rsidRDefault="004F3D65" w:rsidP="00C4292D">
      <w:pPr>
        <w:tabs>
          <w:tab w:val="left" w:pos="284"/>
        </w:tabs>
        <w:spacing w:before="0" w:after="0"/>
        <w:ind w:left="284" w:hanging="284"/>
        <w:rPr>
          <w:rFonts w:ascii="Arial" w:hAnsi="Arial"/>
          <w:sz w:val="14"/>
          <w:szCs w:val="14"/>
          <w:lang w:val="en-AU"/>
        </w:rPr>
      </w:pPr>
      <w:r w:rsidRPr="00FE5A03">
        <w:rPr>
          <w:rFonts w:ascii="Arial" w:hAnsi="Arial"/>
          <w:sz w:val="14"/>
          <w:szCs w:val="14"/>
          <w:lang w:val="en-AU"/>
        </w:rPr>
        <w:t xml:space="preserve">a. </w:t>
      </w:r>
      <w:r w:rsidRPr="00FE5A03">
        <w:rPr>
          <w:rFonts w:ascii="Arial" w:hAnsi="Arial"/>
          <w:sz w:val="14"/>
          <w:szCs w:val="14"/>
          <w:lang w:val="en-AU"/>
        </w:rPr>
        <w:tab/>
        <w:t>Approved Project Expenditure, Cumulative Expenditure to 30 June 2026 and Budget Estimate 2026-27 are on an accrual basis, and funded by appropriation.</w:t>
      </w:r>
    </w:p>
    <w:p w14:paraId="74E42B24" w14:textId="031961D4" w:rsidR="004F3D65" w:rsidRPr="00FE5A03" w:rsidRDefault="004F3D65" w:rsidP="00C4292D">
      <w:pPr>
        <w:tabs>
          <w:tab w:val="left" w:pos="284"/>
        </w:tabs>
        <w:spacing w:before="0" w:after="0"/>
        <w:rPr>
          <w:rFonts w:ascii="Arial" w:hAnsi="Arial"/>
          <w:sz w:val="14"/>
          <w:szCs w:val="14"/>
          <w:lang w:val="en-AU"/>
        </w:rPr>
      </w:pPr>
      <w:r w:rsidRPr="00FE5A03">
        <w:rPr>
          <w:rFonts w:ascii="Arial" w:hAnsi="Arial"/>
          <w:sz w:val="14"/>
          <w:szCs w:val="14"/>
          <w:lang w:val="en-AU"/>
        </w:rPr>
        <w:t xml:space="preserve">b. </w:t>
      </w:r>
      <w:r w:rsidRPr="00FE5A03">
        <w:rPr>
          <w:rFonts w:ascii="Arial" w:hAnsi="Arial"/>
          <w:sz w:val="14"/>
          <w:szCs w:val="14"/>
          <w:lang w:val="en-AU"/>
        </w:rPr>
        <w:tab/>
        <w:t>Budget estimates shown as 0 are amounts greater than $0 but less than $500,000.</w:t>
      </w:r>
      <w:r w:rsidRPr="00FE5A03">
        <w:rPr>
          <w:rFonts w:ascii="Arial" w:hAnsi="Arial"/>
          <w:sz w:val="14"/>
          <w:szCs w:val="14"/>
          <w:lang w:val="en-AU"/>
        </w:rPr>
        <w:br/>
        <w:t xml:space="preserve">c. </w:t>
      </w:r>
      <w:r w:rsidRPr="00FE5A03">
        <w:rPr>
          <w:rFonts w:ascii="Arial" w:hAnsi="Arial"/>
          <w:sz w:val="14"/>
          <w:szCs w:val="14"/>
          <w:lang w:val="en-AU"/>
        </w:rPr>
        <w:tab/>
        <w:t xml:space="preserve">Figures may not add due to rounding. </w:t>
      </w:r>
    </w:p>
    <w:p w14:paraId="70580746" w14:textId="381980B6" w:rsidR="004F3D65" w:rsidRPr="00FE5A03" w:rsidRDefault="004F3D65" w:rsidP="00C4292D">
      <w:pPr>
        <w:tabs>
          <w:tab w:val="left" w:pos="284"/>
        </w:tabs>
        <w:spacing w:before="0" w:after="0"/>
        <w:rPr>
          <w:rFonts w:ascii="Arial" w:hAnsi="Arial"/>
          <w:sz w:val="14"/>
          <w:szCs w:val="14"/>
          <w:lang w:val="en-AU"/>
        </w:rPr>
      </w:pPr>
      <w:r w:rsidRPr="00FE5A03">
        <w:rPr>
          <w:rFonts w:ascii="Arial" w:hAnsi="Arial"/>
          <w:sz w:val="14"/>
          <w:szCs w:val="14"/>
          <w:lang w:val="en-AU"/>
        </w:rPr>
        <w:t xml:space="preserve">d. </w:t>
      </w:r>
      <w:r w:rsidRPr="00FE5A03">
        <w:rPr>
          <w:rFonts w:ascii="Arial" w:hAnsi="Arial"/>
          <w:sz w:val="14"/>
          <w:szCs w:val="14"/>
          <w:lang w:val="en-AU"/>
        </w:rPr>
        <w:tab/>
        <w:t>Project Number/Phase has changed from the</w:t>
      </w:r>
      <w:r w:rsidRPr="00DE0200">
        <w:rPr>
          <w:rFonts w:ascii="Arial" w:hAnsi="Arial"/>
          <w:i/>
          <w:sz w:val="14"/>
          <w:szCs w:val="14"/>
          <w:lang w:val="en-AU"/>
        </w:rPr>
        <w:t xml:space="preserve"> Defence Portfolio Budget </w:t>
      </w:r>
      <w:r w:rsidR="00DE0200" w:rsidRPr="00DE0200">
        <w:rPr>
          <w:rFonts w:ascii="Arial" w:hAnsi="Arial"/>
          <w:i/>
          <w:sz w:val="14"/>
          <w:szCs w:val="14"/>
          <w:lang w:val="en-AU"/>
        </w:rPr>
        <w:t>Statements 2025-26</w:t>
      </w:r>
      <w:r w:rsidRPr="00FE5A03">
        <w:rPr>
          <w:rFonts w:ascii="Arial" w:hAnsi="Arial"/>
          <w:sz w:val="14"/>
          <w:szCs w:val="14"/>
          <w:lang w:val="en-AU"/>
        </w:rPr>
        <w:t>, from JP 2087 and JP 2092.</w:t>
      </w:r>
    </w:p>
    <w:p w14:paraId="5CFD2690" w14:textId="77777777" w:rsidR="00000590" w:rsidRPr="00FE5A03" w:rsidRDefault="00000590" w:rsidP="00C4292D">
      <w:pPr>
        <w:spacing w:before="0" w:after="0"/>
        <w:rPr>
          <w:rFonts w:ascii="Arial" w:hAnsi="Arial"/>
          <w:b/>
          <w:sz w:val="14"/>
          <w:szCs w:val="14"/>
        </w:rPr>
      </w:pPr>
      <w:r w:rsidRPr="00FE5A03">
        <w:rPr>
          <w:sz w:val="14"/>
          <w:szCs w:val="14"/>
        </w:rPr>
        <w:br w:type="page"/>
      </w:r>
    </w:p>
    <w:p w14:paraId="32D8FE37" w14:textId="36A804E7" w:rsidR="00003B8B" w:rsidRPr="003E76E7" w:rsidRDefault="00217AB4" w:rsidP="00C4292D">
      <w:pPr>
        <w:pStyle w:val="Heading4"/>
        <w:rPr>
          <w:sz w:val="26"/>
          <w:szCs w:val="26"/>
          <w:lang w:val="en-AU"/>
        </w:rPr>
      </w:pPr>
      <w:bookmarkStart w:id="1283" w:name="_Toc222129933"/>
      <w:bookmarkStart w:id="1284" w:name="_Toc222148363"/>
      <w:bookmarkStart w:id="1285" w:name="_Toc225847991"/>
      <w:bookmarkStart w:id="1286" w:name="_Toc225848074"/>
      <w:bookmarkStart w:id="1287" w:name="_Toc225848157"/>
      <w:bookmarkStart w:id="1288" w:name="_Toc225848496"/>
      <w:bookmarkStart w:id="1289" w:name="_Toc225941563"/>
      <w:bookmarkStart w:id="1290" w:name="_Toc225942570"/>
      <w:bookmarkStart w:id="1291" w:name="_Toc227334380"/>
      <w:bookmarkStart w:id="1292" w:name="_Toc229072455"/>
      <w:bookmarkStart w:id="1293" w:name="_Toc229072627"/>
      <w:r w:rsidRPr="003E76E7">
        <w:rPr>
          <w:sz w:val="26"/>
          <w:szCs w:val="26"/>
          <w:lang w:val="en-AU"/>
        </w:rPr>
        <w:lastRenderedPageBreak/>
        <w:t xml:space="preserve">Appendix C: </w:t>
      </w:r>
      <w:r w:rsidR="00003B8B" w:rsidRPr="003E76E7">
        <w:rPr>
          <w:sz w:val="26"/>
          <w:szCs w:val="26"/>
          <w:lang w:val="en-AU"/>
        </w:rPr>
        <w:t xml:space="preserve">Top 30 </w:t>
      </w:r>
      <w:r w:rsidR="009026EF" w:rsidRPr="003E76E7">
        <w:rPr>
          <w:sz w:val="26"/>
          <w:szCs w:val="26"/>
          <w:lang w:val="en-AU"/>
        </w:rPr>
        <w:t xml:space="preserve">Capability </w:t>
      </w:r>
      <w:r w:rsidR="00003B8B" w:rsidRPr="003E76E7">
        <w:rPr>
          <w:sz w:val="26"/>
          <w:szCs w:val="26"/>
          <w:lang w:val="en-AU"/>
        </w:rPr>
        <w:t>Sustainment Products</w:t>
      </w:r>
      <w:bookmarkEnd w:id="1270"/>
      <w:bookmarkEnd w:id="1271"/>
      <w:bookmarkEnd w:id="1272"/>
      <w:bookmarkEnd w:id="1273"/>
      <w:bookmarkEnd w:id="1274"/>
      <w:bookmarkEnd w:id="1275"/>
      <w:bookmarkEnd w:id="1276"/>
      <w:bookmarkEnd w:id="1277"/>
      <w:bookmarkEnd w:id="1278"/>
      <w:bookmarkEnd w:id="1279"/>
      <w:bookmarkEnd w:id="1280"/>
      <w:bookmarkEnd w:id="1281"/>
      <w:bookmarkEnd w:id="1283"/>
      <w:bookmarkEnd w:id="1284"/>
      <w:bookmarkEnd w:id="1285"/>
      <w:bookmarkEnd w:id="1286"/>
      <w:bookmarkEnd w:id="1287"/>
      <w:bookmarkEnd w:id="1288"/>
      <w:bookmarkEnd w:id="1289"/>
      <w:bookmarkEnd w:id="1290"/>
      <w:bookmarkEnd w:id="1291"/>
      <w:bookmarkEnd w:id="1292"/>
      <w:bookmarkEnd w:id="1293"/>
    </w:p>
    <w:p w14:paraId="499D41B9" w14:textId="23F4AAA1" w:rsidR="005859B6" w:rsidRPr="003E76E7" w:rsidRDefault="005859B6" w:rsidP="00C4292D">
      <w:pPr>
        <w:spacing w:before="0" w:after="0"/>
      </w:pPr>
      <w:r w:rsidRPr="003E76E7">
        <w:t>The Top 30 Capability Sustainment products are grouped in the revised domain structure introduced through Defence’s Capability Program Architecture</w:t>
      </w:r>
      <w:r w:rsidR="00EA42BE" w:rsidRPr="003E76E7">
        <w:t>.</w:t>
      </w:r>
    </w:p>
    <w:p w14:paraId="7C4299EF" w14:textId="46D9C121" w:rsidR="00992C17" w:rsidRPr="003E76E7" w:rsidRDefault="00992C17" w:rsidP="00C4292D">
      <w:pPr>
        <w:pStyle w:val="TableHeading"/>
        <w:numPr>
          <w:ilvl w:val="0"/>
          <w:numId w:val="61"/>
        </w:numPr>
        <w:spacing w:before="100"/>
        <w:outlineLvl w:val="4"/>
      </w:pPr>
      <w:r w:rsidRPr="003E76E7">
        <w:t xml:space="preserve">Top 30 Capability Sustainment Products by End of Financial Year Outcome 2026-27 </w:t>
      </w:r>
      <w:r w:rsidRPr="003E76E7">
        <w:rPr>
          <w:vertAlign w:val="superscript"/>
        </w:rPr>
        <w:t>[a]</w:t>
      </w:r>
      <w:r w:rsidR="00AC24B7" w:rsidRPr="003E76E7">
        <w:rPr>
          <w:vertAlign w:val="superscript"/>
        </w:rPr>
        <w:t xml:space="preserve"> </w:t>
      </w:r>
      <w:r w:rsidRPr="003E76E7">
        <w:rPr>
          <w:vertAlign w:val="superscript"/>
        </w:rPr>
        <w:t>[b]</w:t>
      </w:r>
    </w:p>
    <w:tbl>
      <w:tblPr>
        <w:tblW w:w="13453" w:type="dxa"/>
        <w:tblInd w:w="-34" w:type="dxa"/>
        <w:tblLayout w:type="fixed"/>
        <w:tblLook w:val="04A0" w:firstRow="1" w:lastRow="0" w:firstColumn="1" w:lastColumn="0" w:noHBand="0" w:noVBand="1"/>
      </w:tblPr>
      <w:tblGrid>
        <w:gridCol w:w="1558"/>
        <w:gridCol w:w="942"/>
        <w:gridCol w:w="899"/>
        <w:gridCol w:w="10054"/>
      </w:tblGrid>
      <w:tr w:rsidR="007E7201" w:rsidRPr="003E76E7" w14:paraId="4310E7C9" w14:textId="77777777" w:rsidTr="00311E44">
        <w:trPr>
          <w:trHeight w:val="283"/>
          <w:tblHeader/>
        </w:trPr>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45864C4A" w14:textId="172DB8E4" w:rsidR="007E7201" w:rsidRPr="003E76E7" w:rsidRDefault="007E7201" w:rsidP="00C4292D">
            <w:pPr>
              <w:spacing w:before="0" w:after="0"/>
              <w:rPr>
                <w:rFonts w:ascii="Arial" w:hAnsi="Arial"/>
                <w:sz w:val="16"/>
                <w:szCs w:val="16"/>
                <w:lang w:val="en-AU"/>
              </w:rPr>
            </w:pPr>
            <w:r w:rsidRPr="003E76E7">
              <w:rPr>
                <w:rFonts w:ascii="Arial" w:hAnsi="Arial"/>
                <w:b/>
                <w:bCs/>
                <w:sz w:val="16"/>
                <w:szCs w:val="16"/>
                <w:lang w:val="en-AU"/>
              </w:rPr>
              <w:t>Domain/Product Name</w:t>
            </w:r>
          </w:p>
        </w:tc>
        <w:tc>
          <w:tcPr>
            <w:tcW w:w="942" w:type="dxa"/>
            <w:tcBorders>
              <w:top w:val="single" w:sz="4" w:space="0" w:color="auto"/>
              <w:left w:val="single" w:sz="4" w:space="0" w:color="auto"/>
              <w:bottom w:val="single" w:sz="4" w:space="0" w:color="auto"/>
              <w:right w:val="single" w:sz="4" w:space="0" w:color="auto"/>
            </w:tcBorders>
            <w:shd w:val="clear" w:color="auto" w:fill="auto"/>
            <w:vAlign w:val="center"/>
          </w:tcPr>
          <w:p w14:paraId="4C299A35" w14:textId="2D1E1C82" w:rsidR="007E7201" w:rsidRPr="003E76E7" w:rsidRDefault="007E7201" w:rsidP="00C4292D">
            <w:pPr>
              <w:spacing w:before="0" w:after="0"/>
              <w:jc w:val="center"/>
              <w:rPr>
                <w:rFonts w:ascii="Arial" w:hAnsi="Arial"/>
                <w:b/>
                <w:bCs/>
                <w:sz w:val="16"/>
                <w:szCs w:val="16"/>
                <w:lang w:val="en-AU"/>
              </w:rPr>
            </w:pPr>
            <w:r w:rsidRPr="003E76E7">
              <w:rPr>
                <w:rFonts w:ascii="Arial" w:hAnsi="Arial"/>
                <w:b/>
                <w:bCs/>
                <w:sz w:val="16"/>
                <w:szCs w:val="16"/>
                <w:lang w:val="en-AU"/>
              </w:rPr>
              <w:t>Product Serial</w:t>
            </w:r>
          </w:p>
        </w:tc>
        <w:tc>
          <w:tcPr>
            <w:tcW w:w="899" w:type="dxa"/>
            <w:tcBorders>
              <w:top w:val="single" w:sz="4" w:space="0" w:color="auto"/>
              <w:left w:val="single" w:sz="4" w:space="0" w:color="auto"/>
              <w:bottom w:val="single" w:sz="4" w:space="0" w:color="auto"/>
              <w:right w:val="single" w:sz="4" w:space="0" w:color="auto"/>
            </w:tcBorders>
            <w:shd w:val="clear" w:color="auto" w:fill="auto"/>
          </w:tcPr>
          <w:p w14:paraId="730DCF99" w14:textId="4D3520ED" w:rsidR="007E7201" w:rsidRPr="003E76E7" w:rsidRDefault="007E7201" w:rsidP="00C4292D">
            <w:pPr>
              <w:spacing w:before="0" w:after="0"/>
              <w:jc w:val="right"/>
              <w:rPr>
                <w:rFonts w:ascii="Arial" w:hAnsi="Arial"/>
                <w:sz w:val="16"/>
                <w:szCs w:val="16"/>
                <w:lang w:val="en-AU"/>
              </w:rPr>
            </w:pPr>
            <w:r w:rsidRPr="003E76E7">
              <w:rPr>
                <w:rFonts w:ascii="Arial" w:hAnsi="Arial"/>
                <w:b/>
                <w:bCs/>
                <w:sz w:val="16"/>
                <w:szCs w:val="16"/>
                <w:lang w:val="en-AU"/>
              </w:rPr>
              <w:t>Budget Estimate 2026-27 $m</w:t>
            </w:r>
            <w:r w:rsidRPr="003E76E7">
              <w:rPr>
                <w:rFonts w:ascii="Arial" w:hAnsi="Arial"/>
                <w:b/>
                <w:bCs/>
                <w:sz w:val="16"/>
                <w:szCs w:val="16"/>
                <w:vertAlign w:val="superscript"/>
                <w:lang w:val="en-AU"/>
              </w:rPr>
              <w:t xml:space="preserve"> </w:t>
            </w:r>
          </w:p>
        </w:tc>
        <w:tc>
          <w:tcPr>
            <w:tcW w:w="10054" w:type="dxa"/>
            <w:tcBorders>
              <w:top w:val="single" w:sz="4" w:space="0" w:color="auto"/>
              <w:left w:val="single" w:sz="4" w:space="0" w:color="auto"/>
              <w:bottom w:val="single" w:sz="4" w:space="0" w:color="auto"/>
              <w:right w:val="single" w:sz="4" w:space="0" w:color="auto"/>
            </w:tcBorders>
            <w:shd w:val="clear" w:color="auto" w:fill="auto"/>
            <w:vAlign w:val="center"/>
          </w:tcPr>
          <w:p w14:paraId="73E21372" w14:textId="61202F45" w:rsidR="007E7201" w:rsidRPr="003E76E7" w:rsidRDefault="007E7201" w:rsidP="00C4292D">
            <w:pPr>
              <w:spacing w:before="0" w:after="0"/>
              <w:rPr>
                <w:rFonts w:ascii="Arial" w:hAnsi="Arial"/>
                <w:sz w:val="16"/>
                <w:szCs w:val="16"/>
                <w:lang w:val="en-AU"/>
              </w:rPr>
            </w:pPr>
            <w:r w:rsidRPr="003E76E7">
              <w:rPr>
                <w:rFonts w:ascii="Arial" w:hAnsi="Arial"/>
                <w:b/>
                <w:bCs/>
                <w:sz w:val="16"/>
                <w:szCs w:val="16"/>
                <w:lang w:val="en-AU"/>
              </w:rPr>
              <w:t>Top 30 Capability Sustainment Product Descriptions</w:t>
            </w:r>
          </w:p>
        </w:tc>
      </w:tr>
      <w:tr w:rsidR="00996837" w:rsidRPr="003E76E7" w14:paraId="58196D32" w14:textId="77777777" w:rsidTr="00F92728">
        <w:trPr>
          <w:trHeight w:val="325"/>
        </w:trPr>
        <w:tc>
          <w:tcPr>
            <w:tcW w:w="13453"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A98EF18" w14:textId="77777777" w:rsidR="00996837" w:rsidRPr="003E76E7" w:rsidRDefault="00996837" w:rsidP="00C4292D">
            <w:pPr>
              <w:kinsoku w:val="0"/>
              <w:overflowPunct w:val="0"/>
              <w:autoSpaceDE w:val="0"/>
              <w:autoSpaceDN w:val="0"/>
              <w:adjustRightInd w:val="0"/>
              <w:spacing w:before="60" w:after="60" w:line="178" w:lineRule="exact"/>
              <w:rPr>
                <w:rFonts w:ascii="Arial" w:hAnsi="Arial"/>
                <w:sz w:val="16"/>
                <w:szCs w:val="16"/>
                <w:lang w:val="en-AU"/>
              </w:rPr>
            </w:pPr>
            <w:r w:rsidRPr="003E76E7">
              <w:rPr>
                <w:rFonts w:ascii="Arial" w:hAnsi="Arial"/>
                <w:b/>
                <w:bCs/>
                <w:sz w:val="16"/>
                <w:szCs w:val="16"/>
              </w:rPr>
              <w:t xml:space="preserve">Air Domain  </w:t>
            </w:r>
          </w:p>
        </w:tc>
      </w:tr>
      <w:tr w:rsidR="00996837" w:rsidRPr="003E76E7" w14:paraId="3BFB14EB" w14:textId="77777777" w:rsidTr="00F92728">
        <w:trPr>
          <w:trHeight w:val="980"/>
        </w:trPr>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27EEC35" w14:textId="77777777" w:rsidR="00996837" w:rsidRPr="003E76E7" w:rsidRDefault="00996837" w:rsidP="00C4292D">
            <w:pPr>
              <w:rPr>
                <w:rFonts w:ascii="Arial" w:hAnsi="Arial"/>
                <w:sz w:val="16"/>
                <w:szCs w:val="16"/>
              </w:rPr>
            </w:pPr>
            <w:r w:rsidRPr="003E76E7">
              <w:rPr>
                <w:rFonts w:ascii="Arial" w:hAnsi="Arial"/>
                <w:sz w:val="16"/>
                <w:szCs w:val="16"/>
              </w:rPr>
              <w:t>F-35 Joint Strike Fighter</w:t>
            </w:r>
          </w:p>
        </w:tc>
        <w:tc>
          <w:tcPr>
            <w:tcW w:w="942" w:type="dxa"/>
            <w:tcBorders>
              <w:top w:val="single" w:sz="4" w:space="0" w:color="auto"/>
              <w:left w:val="nil"/>
              <w:bottom w:val="single" w:sz="4" w:space="0" w:color="auto"/>
              <w:right w:val="single" w:sz="4" w:space="0" w:color="auto"/>
            </w:tcBorders>
            <w:shd w:val="clear" w:color="auto" w:fill="auto"/>
            <w:vAlign w:val="center"/>
          </w:tcPr>
          <w:p w14:paraId="3A388D50" w14:textId="77777777" w:rsidR="00996837" w:rsidRPr="003E76E7" w:rsidRDefault="00996837" w:rsidP="00C4292D">
            <w:pPr>
              <w:jc w:val="center"/>
              <w:rPr>
                <w:rFonts w:ascii="Arial" w:hAnsi="Arial"/>
                <w:b/>
                <w:bCs/>
                <w:sz w:val="16"/>
                <w:szCs w:val="16"/>
              </w:rPr>
            </w:pPr>
            <w:r w:rsidRPr="003E76E7">
              <w:rPr>
                <w:rFonts w:ascii="Arial" w:hAnsi="Arial"/>
                <w:b/>
                <w:bCs/>
                <w:sz w:val="16"/>
                <w:szCs w:val="16"/>
              </w:rPr>
              <w:t>CAF30</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14:paraId="26920AA9" w14:textId="77777777" w:rsidR="00996837" w:rsidRPr="003E76E7" w:rsidRDefault="00996837" w:rsidP="00C4292D">
            <w:pPr>
              <w:jc w:val="center"/>
              <w:rPr>
                <w:rFonts w:ascii="Arial" w:hAnsi="Arial"/>
                <w:sz w:val="16"/>
                <w:szCs w:val="16"/>
              </w:rPr>
            </w:pPr>
            <w:r w:rsidRPr="003E76E7">
              <w:rPr>
                <w:rFonts w:ascii="Arial" w:hAnsi="Arial"/>
                <w:sz w:val="16"/>
                <w:szCs w:val="16"/>
              </w:rPr>
              <w:t>688</w:t>
            </w:r>
          </w:p>
        </w:tc>
        <w:tc>
          <w:tcPr>
            <w:tcW w:w="10054" w:type="dxa"/>
            <w:tcBorders>
              <w:top w:val="single" w:sz="4" w:space="0" w:color="auto"/>
              <w:left w:val="nil"/>
              <w:bottom w:val="single" w:sz="4" w:space="0" w:color="auto"/>
              <w:right w:val="single" w:sz="4" w:space="0" w:color="auto"/>
            </w:tcBorders>
            <w:shd w:val="clear" w:color="auto" w:fill="auto"/>
            <w:vAlign w:val="center"/>
          </w:tcPr>
          <w:p w14:paraId="4BAFABA4" w14:textId="77777777" w:rsidR="00996837" w:rsidRPr="003E76E7" w:rsidRDefault="00996837" w:rsidP="00C4292D">
            <w:pPr>
              <w:kinsoku w:val="0"/>
              <w:overflowPunct w:val="0"/>
              <w:autoSpaceDE w:val="0"/>
              <w:autoSpaceDN w:val="0"/>
              <w:adjustRightInd w:val="0"/>
              <w:spacing w:before="60" w:after="60"/>
              <w:ind w:right="3"/>
              <w:rPr>
                <w:rFonts w:ascii="Arial" w:hAnsi="Arial"/>
                <w:sz w:val="16"/>
                <w:szCs w:val="16"/>
                <w:lang w:val="en-AU"/>
              </w:rPr>
            </w:pPr>
            <w:r w:rsidRPr="003E76E7">
              <w:rPr>
                <w:rFonts w:ascii="Arial" w:hAnsi="Arial"/>
                <w:sz w:val="16"/>
                <w:szCs w:val="16"/>
                <w:lang w:val="en-AU"/>
              </w:rPr>
              <w:t>The F-35A Lightning II capability comprises 72 aircraft (and associated support elements) operating from RAAF Base Williamtown, NSW and RAAF Base Tindal, NT. The F-35A Lightning II capability provides Australia with a fifth-generation Air Combat capability. Sustainment is primarily delivered through the F-35 Global Support Solution facilitated by the United States based F-35 Joint Program Office and supplemented through sovereign direct commercial arrangements.</w:t>
            </w:r>
          </w:p>
          <w:p w14:paraId="2D589FE6" w14:textId="77777777" w:rsidR="00996837" w:rsidRPr="003E76E7" w:rsidRDefault="00996837" w:rsidP="00C4292D">
            <w:pPr>
              <w:kinsoku w:val="0"/>
              <w:overflowPunct w:val="0"/>
              <w:autoSpaceDE w:val="0"/>
              <w:autoSpaceDN w:val="0"/>
              <w:adjustRightInd w:val="0"/>
              <w:spacing w:before="60" w:after="60" w:line="178" w:lineRule="exact"/>
              <w:rPr>
                <w:rFonts w:ascii="Arial" w:hAnsi="Arial"/>
                <w:sz w:val="16"/>
                <w:szCs w:val="16"/>
                <w:lang w:val="en-AU"/>
              </w:rPr>
            </w:pPr>
            <w:r w:rsidRPr="003E76E7">
              <w:rPr>
                <w:rFonts w:ascii="Arial" w:hAnsi="Arial"/>
                <w:sz w:val="16"/>
                <w:szCs w:val="16"/>
                <w:lang w:val="en-AU"/>
              </w:rPr>
              <w:t>During 2026-27, Defence will continue to mature the F-35A Lightning II sustainment support system to meet the directed level of operational capability and Air Force pilot training throughput requirements.</w:t>
            </w:r>
          </w:p>
        </w:tc>
      </w:tr>
      <w:tr w:rsidR="00996837" w:rsidRPr="003E76E7" w14:paraId="7C1C3E5C" w14:textId="77777777" w:rsidTr="00F92728">
        <w:trPr>
          <w:trHeight w:val="980"/>
        </w:trPr>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2A5E5776" w14:textId="77777777" w:rsidR="00996837" w:rsidRPr="003E76E7" w:rsidRDefault="00996837" w:rsidP="00C4292D">
            <w:pPr>
              <w:rPr>
                <w:rFonts w:ascii="Arial" w:hAnsi="Arial"/>
                <w:sz w:val="16"/>
                <w:szCs w:val="16"/>
              </w:rPr>
            </w:pPr>
            <w:r w:rsidRPr="003E76E7">
              <w:rPr>
                <w:rFonts w:ascii="Arial" w:hAnsi="Arial"/>
                <w:sz w:val="16"/>
                <w:szCs w:val="16"/>
              </w:rPr>
              <w:t>F/A-18F Super Hornet &amp; Growler Weapon System</w:t>
            </w:r>
          </w:p>
        </w:tc>
        <w:tc>
          <w:tcPr>
            <w:tcW w:w="942" w:type="dxa"/>
            <w:tcBorders>
              <w:top w:val="single" w:sz="4" w:space="0" w:color="auto"/>
              <w:left w:val="nil"/>
              <w:bottom w:val="single" w:sz="4" w:space="0" w:color="auto"/>
              <w:right w:val="single" w:sz="4" w:space="0" w:color="auto"/>
            </w:tcBorders>
            <w:shd w:val="clear" w:color="auto" w:fill="auto"/>
            <w:vAlign w:val="center"/>
          </w:tcPr>
          <w:p w14:paraId="004E066A" w14:textId="77777777" w:rsidR="00996837" w:rsidRPr="003E76E7" w:rsidRDefault="00996837" w:rsidP="00C4292D">
            <w:pPr>
              <w:jc w:val="center"/>
              <w:rPr>
                <w:rFonts w:ascii="Arial" w:hAnsi="Arial"/>
                <w:b/>
                <w:bCs/>
                <w:sz w:val="16"/>
                <w:szCs w:val="16"/>
              </w:rPr>
            </w:pPr>
            <w:r w:rsidRPr="003E76E7">
              <w:rPr>
                <w:rFonts w:ascii="Arial" w:hAnsi="Arial"/>
                <w:b/>
                <w:bCs/>
                <w:sz w:val="16"/>
                <w:szCs w:val="16"/>
              </w:rPr>
              <w:t>CAF21</w:t>
            </w:r>
          </w:p>
        </w:tc>
        <w:tc>
          <w:tcPr>
            <w:tcW w:w="899" w:type="dxa"/>
            <w:tcBorders>
              <w:top w:val="nil"/>
              <w:left w:val="single" w:sz="4" w:space="0" w:color="auto"/>
              <w:bottom w:val="single" w:sz="4" w:space="0" w:color="auto"/>
              <w:right w:val="single" w:sz="4" w:space="0" w:color="auto"/>
            </w:tcBorders>
            <w:shd w:val="clear" w:color="auto" w:fill="auto"/>
            <w:vAlign w:val="center"/>
          </w:tcPr>
          <w:p w14:paraId="4C58BAFE" w14:textId="77777777" w:rsidR="00996837" w:rsidRPr="003E76E7" w:rsidRDefault="00996837" w:rsidP="00C4292D">
            <w:pPr>
              <w:jc w:val="center"/>
              <w:rPr>
                <w:rFonts w:ascii="Arial" w:hAnsi="Arial"/>
                <w:sz w:val="16"/>
                <w:szCs w:val="16"/>
              </w:rPr>
            </w:pPr>
            <w:r w:rsidRPr="003E76E7">
              <w:rPr>
                <w:rFonts w:ascii="Arial" w:hAnsi="Arial"/>
                <w:sz w:val="16"/>
                <w:szCs w:val="16"/>
              </w:rPr>
              <w:t>541</w:t>
            </w:r>
          </w:p>
        </w:tc>
        <w:tc>
          <w:tcPr>
            <w:tcW w:w="10054" w:type="dxa"/>
            <w:tcBorders>
              <w:top w:val="single" w:sz="4" w:space="0" w:color="auto"/>
              <w:left w:val="nil"/>
              <w:bottom w:val="single" w:sz="4" w:space="0" w:color="auto"/>
              <w:right w:val="single" w:sz="4" w:space="0" w:color="auto"/>
            </w:tcBorders>
            <w:shd w:val="clear" w:color="auto" w:fill="auto"/>
            <w:vAlign w:val="center"/>
          </w:tcPr>
          <w:p w14:paraId="030A7BBE" w14:textId="77777777" w:rsidR="00996837" w:rsidRPr="003E76E7" w:rsidRDefault="00996837" w:rsidP="00C4292D">
            <w:pPr>
              <w:kinsoku w:val="0"/>
              <w:overflowPunct w:val="0"/>
              <w:autoSpaceDE w:val="0"/>
              <w:autoSpaceDN w:val="0"/>
              <w:adjustRightInd w:val="0"/>
              <w:spacing w:before="60" w:after="60"/>
              <w:ind w:right="3"/>
              <w:rPr>
                <w:rFonts w:ascii="Arial" w:hAnsi="Arial"/>
                <w:sz w:val="16"/>
                <w:szCs w:val="16"/>
                <w:lang w:val="en-AU"/>
              </w:rPr>
            </w:pPr>
            <w:r w:rsidRPr="003E76E7">
              <w:rPr>
                <w:rFonts w:ascii="Arial" w:hAnsi="Arial"/>
                <w:sz w:val="16"/>
                <w:szCs w:val="16"/>
                <w:lang w:val="en-AU"/>
              </w:rPr>
              <w:t>The Air Combat and Airborne Electronic Attack capability comprises a fleet of 24 F/A-18F Super Hornet and 12 EA-18G Growler aircraft, with associated support elements operating from RAAF Base Amberley, QLD.</w:t>
            </w:r>
          </w:p>
          <w:p w14:paraId="4439E53D" w14:textId="77777777" w:rsidR="00996837" w:rsidRPr="003E76E7" w:rsidRDefault="00996837" w:rsidP="00C4292D">
            <w:pPr>
              <w:kinsoku w:val="0"/>
              <w:overflowPunct w:val="0"/>
              <w:autoSpaceDE w:val="0"/>
              <w:autoSpaceDN w:val="0"/>
              <w:adjustRightInd w:val="0"/>
              <w:spacing w:before="60" w:after="60" w:line="178" w:lineRule="exact"/>
              <w:rPr>
                <w:rFonts w:ascii="Arial" w:hAnsi="Arial"/>
                <w:sz w:val="16"/>
                <w:szCs w:val="16"/>
                <w:lang w:val="en-AU"/>
              </w:rPr>
            </w:pPr>
            <w:r w:rsidRPr="003E76E7">
              <w:rPr>
                <w:rFonts w:ascii="Arial" w:hAnsi="Arial"/>
                <w:sz w:val="16"/>
                <w:szCs w:val="16"/>
                <w:lang w:val="en-AU"/>
              </w:rPr>
              <w:t>During 2026-27, the F/A-18F Super Hornet and EA-18G Growler fleets continue to deliver the force generation outcomes. The Spiral Upgrade Program delivers hardware, software and training system upgrades to the F/A-18F Super Hornet and EA-18G Growler fleets and the integration of a range of new weapons and stores. This integration work will enhance the lethality and survivability of the platforms and maintain interoperability with the United States Navy.</w:t>
            </w:r>
          </w:p>
        </w:tc>
      </w:tr>
      <w:tr w:rsidR="00996837" w:rsidRPr="003E76E7" w14:paraId="67D23DB4" w14:textId="77777777" w:rsidTr="00F92728">
        <w:trPr>
          <w:trHeight w:val="980"/>
        </w:trPr>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2914129" w14:textId="77777777" w:rsidR="00996837" w:rsidRPr="003E76E7" w:rsidRDefault="00996837" w:rsidP="00C4292D">
            <w:pPr>
              <w:rPr>
                <w:rFonts w:ascii="Arial" w:hAnsi="Arial"/>
                <w:sz w:val="16"/>
                <w:szCs w:val="18"/>
              </w:rPr>
            </w:pPr>
            <w:r w:rsidRPr="003E76E7">
              <w:rPr>
                <w:rFonts w:ascii="Arial" w:hAnsi="Arial"/>
                <w:sz w:val="16"/>
                <w:szCs w:val="16"/>
              </w:rPr>
              <w:t>Airborne Early Warning and Control System</w:t>
            </w:r>
          </w:p>
        </w:tc>
        <w:tc>
          <w:tcPr>
            <w:tcW w:w="942" w:type="dxa"/>
            <w:tcBorders>
              <w:top w:val="single" w:sz="4" w:space="0" w:color="auto"/>
              <w:left w:val="nil"/>
              <w:bottom w:val="single" w:sz="4" w:space="0" w:color="auto"/>
              <w:right w:val="single" w:sz="4" w:space="0" w:color="auto"/>
            </w:tcBorders>
            <w:shd w:val="clear" w:color="auto" w:fill="auto"/>
            <w:vAlign w:val="center"/>
          </w:tcPr>
          <w:p w14:paraId="797DB7E7" w14:textId="77777777" w:rsidR="00996837" w:rsidRPr="003E76E7" w:rsidRDefault="00996837" w:rsidP="00C4292D">
            <w:pPr>
              <w:jc w:val="center"/>
              <w:rPr>
                <w:rFonts w:ascii="Arial" w:hAnsi="Arial"/>
                <w:b/>
                <w:bCs/>
                <w:sz w:val="16"/>
                <w:szCs w:val="18"/>
              </w:rPr>
            </w:pPr>
            <w:r w:rsidRPr="003E76E7">
              <w:rPr>
                <w:rFonts w:ascii="Arial" w:hAnsi="Arial"/>
                <w:b/>
                <w:bCs/>
                <w:sz w:val="16"/>
                <w:szCs w:val="16"/>
              </w:rPr>
              <w:t>CAF20</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14:paraId="67051C57" w14:textId="77777777" w:rsidR="00996837" w:rsidRPr="003E76E7" w:rsidRDefault="00996837" w:rsidP="00C4292D">
            <w:pPr>
              <w:jc w:val="center"/>
              <w:rPr>
                <w:rFonts w:ascii="Arial" w:hAnsi="Arial"/>
                <w:sz w:val="16"/>
                <w:szCs w:val="16"/>
              </w:rPr>
            </w:pPr>
            <w:r w:rsidRPr="003E76E7">
              <w:rPr>
                <w:rFonts w:ascii="Arial" w:hAnsi="Arial"/>
                <w:sz w:val="16"/>
                <w:szCs w:val="16"/>
              </w:rPr>
              <w:t>358</w:t>
            </w:r>
          </w:p>
        </w:tc>
        <w:tc>
          <w:tcPr>
            <w:tcW w:w="10054" w:type="dxa"/>
            <w:tcBorders>
              <w:top w:val="single" w:sz="4" w:space="0" w:color="auto"/>
              <w:left w:val="nil"/>
              <w:bottom w:val="single" w:sz="4" w:space="0" w:color="auto"/>
              <w:right w:val="single" w:sz="4" w:space="0" w:color="auto"/>
            </w:tcBorders>
            <w:shd w:val="clear" w:color="auto" w:fill="auto"/>
            <w:vAlign w:val="center"/>
          </w:tcPr>
          <w:p w14:paraId="4A1D2686" w14:textId="6D23A92A" w:rsidR="00996837" w:rsidRPr="003E76E7" w:rsidRDefault="00996837" w:rsidP="00C4292D">
            <w:pPr>
              <w:kinsoku w:val="0"/>
              <w:overflowPunct w:val="0"/>
              <w:autoSpaceDE w:val="0"/>
              <w:autoSpaceDN w:val="0"/>
              <w:adjustRightInd w:val="0"/>
              <w:spacing w:before="60" w:after="60"/>
              <w:ind w:right="3"/>
              <w:rPr>
                <w:rFonts w:ascii="Arial" w:hAnsi="Arial"/>
                <w:sz w:val="16"/>
                <w:szCs w:val="16"/>
                <w:lang w:val="en-AU"/>
              </w:rPr>
            </w:pPr>
            <w:r w:rsidRPr="003E76E7">
              <w:rPr>
                <w:rFonts w:ascii="Arial" w:hAnsi="Arial"/>
                <w:sz w:val="16"/>
                <w:szCs w:val="16"/>
                <w:lang w:val="en-AU"/>
              </w:rPr>
              <w:t xml:space="preserve">The Airborne Early Warning and </w:t>
            </w:r>
            <w:r w:rsidR="00F92728" w:rsidRPr="003E76E7">
              <w:rPr>
                <w:rFonts w:ascii="Arial" w:hAnsi="Arial"/>
                <w:sz w:val="16"/>
                <w:szCs w:val="16"/>
                <w:lang w:val="en-AU"/>
              </w:rPr>
              <w:t>Control capability comprises six</w:t>
            </w:r>
            <w:r w:rsidRPr="003E76E7">
              <w:rPr>
                <w:rFonts w:ascii="Arial" w:hAnsi="Arial"/>
                <w:sz w:val="16"/>
                <w:szCs w:val="16"/>
                <w:lang w:val="en-AU"/>
              </w:rPr>
              <w:t xml:space="preserve"> E-7A Wedgetail aircraft and associated support elements operated from RAAF Base Williamtown, NSW. Sustainment is conducted under a performance-based arrangement for maintenance, logistics, engineering, training and program management to support the capability.</w:t>
            </w:r>
          </w:p>
          <w:p w14:paraId="5B5BB241" w14:textId="77777777" w:rsidR="00996837" w:rsidRPr="003E76E7" w:rsidRDefault="00996837" w:rsidP="00C4292D">
            <w:pPr>
              <w:spacing w:before="60" w:after="60"/>
              <w:rPr>
                <w:rFonts w:ascii="Arial" w:hAnsi="Arial"/>
                <w:sz w:val="16"/>
                <w:szCs w:val="16"/>
              </w:rPr>
            </w:pPr>
            <w:r w:rsidRPr="003E76E7">
              <w:rPr>
                <w:rFonts w:ascii="Arial" w:hAnsi="Arial"/>
                <w:sz w:val="16"/>
                <w:szCs w:val="16"/>
                <w:lang w:val="en-AU"/>
              </w:rPr>
              <w:t>During 2026-27, E-7A Wedgetail capability will continue to support military operations and force-generation requirements, with sustainment efforts prioritising the management of mission and support system obsolescence. Focussed improvements to sustainment performance through deeper maintenance improvement initiatives will aim to optimise aircraft availability.</w:t>
            </w:r>
          </w:p>
        </w:tc>
      </w:tr>
      <w:tr w:rsidR="00996837" w:rsidRPr="003E76E7" w14:paraId="0BC024DB" w14:textId="77777777" w:rsidTr="00F92728">
        <w:trPr>
          <w:trHeight w:val="1125"/>
        </w:trPr>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07961748" w14:textId="77777777" w:rsidR="00996837" w:rsidRPr="003E76E7" w:rsidRDefault="00996837" w:rsidP="00C4292D">
            <w:pPr>
              <w:keepNext/>
              <w:keepLines/>
              <w:spacing w:before="0" w:after="0"/>
              <w:rPr>
                <w:rFonts w:ascii="Arial" w:hAnsi="Arial"/>
                <w:sz w:val="16"/>
                <w:szCs w:val="18"/>
                <w:lang w:val="en-AU"/>
              </w:rPr>
            </w:pPr>
            <w:r w:rsidRPr="003E76E7">
              <w:rPr>
                <w:rFonts w:ascii="Arial" w:hAnsi="Arial"/>
                <w:sz w:val="16"/>
                <w:szCs w:val="16"/>
              </w:rPr>
              <w:t>P-8A Poseidon Maritime Patrol and Response</w:t>
            </w:r>
          </w:p>
        </w:tc>
        <w:tc>
          <w:tcPr>
            <w:tcW w:w="942" w:type="dxa"/>
            <w:tcBorders>
              <w:top w:val="single" w:sz="4" w:space="0" w:color="auto"/>
              <w:left w:val="nil"/>
              <w:bottom w:val="single" w:sz="4" w:space="0" w:color="auto"/>
              <w:right w:val="single" w:sz="4" w:space="0" w:color="auto"/>
            </w:tcBorders>
            <w:shd w:val="clear" w:color="auto" w:fill="auto"/>
            <w:vAlign w:val="center"/>
          </w:tcPr>
          <w:p w14:paraId="2407E66C" w14:textId="77777777" w:rsidR="00996837" w:rsidRPr="003E76E7" w:rsidRDefault="00996837" w:rsidP="00C4292D">
            <w:pPr>
              <w:keepNext/>
              <w:keepLines/>
              <w:jc w:val="center"/>
              <w:rPr>
                <w:rFonts w:ascii="Arial" w:hAnsi="Arial"/>
                <w:b/>
                <w:bCs/>
                <w:sz w:val="16"/>
                <w:szCs w:val="18"/>
              </w:rPr>
            </w:pPr>
            <w:r w:rsidRPr="003E76E7">
              <w:rPr>
                <w:rFonts w:ascii="Arial" w:hAnsi="Arial"/>
                <w:b/>
                <w:bCs/>
                <w:sz w:val="16"/>
                <w:szCs w:val="16"/>
              </w:rPr>
              <w:t>CAF35</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14:paraId="5E1F78BA" w14:textId="77777777" w:rsidR="00996837" w:rsidRPr="003E76E7" w:rsidRDefault="00996837" w:rsidP="00C4292D">
            <w:pPr>
              <w:jc w:val="center"/>
              <w:rPr>
                <w:rFonts w:ascii="Arial" w:hAnsi="Arial"/>
                <w:sz w:val="16"/>
                <w:szCs w:val="16"/>
              </w:rPr>
            </w:pPr>
            <w:r w:rsidRPr="003E76E7">
              <w:rPr>
                <w:rFonts w:ascii="Arial" w:hAnsi="Arial"/>
                <w:sz w:val="16"/>
                <w:szCs w:val="16"/>
              </w:rPr>
              <w:t>255</w:t>
            </w:r>
          </w:p>
        </w:tc>
        <w:tc>
          <w:tcPr>
            <w:tcW w:w="10054" w:type="dxa"/>
            <w:tcBorders>
              <w:top w:val="single" w:sz="4" w:space="0" w:color="auto"/>
              <w:left w:val="nil"/>
              <w:bottom w:val="single" w:sz="4" w:space="0" w:color="auto"/>
              <w:right w:val="single" w:sz="4" w:space="0" w:color="auto"/>
            </w:tcBorders>
            <w:shd w:val="clear" w:color="auto" w:fill="auto"/>
            <w:vAlign w:val="center"/>
          </w:tcPr>
          <w:p w14:paraId="786759F3" w14:textId="1660C638" w:rsidR="00996837" w:rsidRPr="003E76E7" w:rsidRDefault="00996837" w:rsidP="00C4292D">
            <w:pPr>
              <w:kinsoku w:val="0"/>
              <w:overflowPunct w:val="0"/>
              <w:autoSpaceDE w:val="0"/>
              <w:autoSpaceDN w:val="0"/>
              <w:adjustRightInd w:val="0"/>
              <w:spacing w:before="60" w:after="60"/>
              <w:ind w:right="3"/>
              <w:rPr>
                <w:rFonts w:ascii="Arial" w:hAnsi="Arial"/>
                <w:sz w:val="16"/>
                <w:szCs w:val="16"/>
                <w:lang w:val="en-AU"/>
              </w:rPr>
            </w:pPr>
            <w:r w:rsidRPr="003E76E7">
              <w:rPr>
                <w:rFonts w:ascii="Arial" w:hAnsi="Arial"/>
                <w:sz w:val="16"/>
                <w:szCs w:val="16"/>
                <w:lang w:val="en-AU"/>
              </w:rPr>
              <w:t xml:space="preserve">The P-8A Poseidon capability currently comprises 13 aircraft and support elements operated from RAAF Base Edinburgh, SA. Support elements include </w:t>
            </w:r>
            <w:r w:rsidR="00856889" w:rsidRPr="003E76E7">
              <w:rPr>
                <w:rFonts w:ascii="Arial" w:hAnsi="Arial"/>
                <w:sz w:val="16"/>
                <w:szCs w:val="16"/>
                <w:lang w:val="en-AU"/>
              </w:rPr>
              <w:t xml:space="preserve">three </w:t>
            </w:r>
            <w:r w:rsidRPr="003E76E7">
              <w:rPr>
                <w:rFonts w:ascii="Arial" w:hAnsi="Arial"/>
                <w:sz w:val="16"/>
                <w:szCs w:val="16"/>
                <w:lang w:val="en-AU"/>
              </w:rPr>
              <w:t xml:space="preserve">Mobile Tactical Operation Centres including deployable flyaway kits, and various training support systems including </w:t>
            </w:r>
            <w:r w:rsidR="00F92728" w:rsidRPr="003E76E7">
              <w:rPr>
                <w:rFonts w:ascii="Arial" w:hAnsi="Arial"/>
                <w:sz w:val="16"/>
                <w:szCs w:val="16"/>
                <w:lang w:val="en-AU"/>
              </w:rPr>
              <w:br/>
              <w:t>two</w:t>
            </w:r>
            <w:r w:rsidRPr="003E76E7">
              <w:rPr>
                <w:rFonts w:ascii="Arial" w:hAnsi="Arial"/>
                <w:sz w:val="16"/>
                <w:szCs w:val="16"/>
                <w:lang w:val="en-AU"/>
              </w:rPr>
              <w:t xml:space="preserve"> operational flight trainers and weapons tactics trainers. The capability is supported via a cooperative program with the United States Navy and a through life support contract for sustainment within Australia.</w:t>
            </w:r>
          </w:p>
          <w:p w14:paraId="2FF2AC13" w14:textId="77777777" w:rsidR="00996837" w:rsidRPr="003E76E7" w:rsidRDefault="00996837" w:rsidP="00C4292D">
            <w:pPr>
              <w:keepNext/>
              <w:keepLines/>
              <w:spacing w:before="60" w:after="60"/>
              <w:rPr>
                <w:rFonts w:ascii="Arial" w:hAnsi="Arial"/>
                <w:sz w:val="16"/>
                <w:szCs w:val="16"/>
              </w:rPr>
            </w:pPr>
            <w:r w:rsidRPr="003E76E7">
              <w:rPr>
                <w:rFonts w:ascii="Arial" w:hAnsi="Arial"/>
                <w:sz w:val="16"/>
                <w:szCs w:val="16"/>
                <w:lang w:val="en-AU"/>
              </w:rPr>
              <w:t>During 2026-27, the P-8A Poseidon fleet will continue to support military operations and force generation, including transition to operate Increment 3 upgraded aircraft. Growth in aircrew numbers and annual flying hours is planned to meet National Defence Strategy requirements. Contracted aircraft maintenance will move into the new Deeper Maintenance and Modification Facility.</w:t>
            </w:r>
          </w:p>
        </w:tc>
      </w:tr>
    </w:tbl>
    <w:p w14:paraId="655291C4" w14:textId="77777777" w:rsidR="00996837" w:rsidRPr="003E76E7" w:rsidRDefault="00996837" w:rsidP="00C4292D">
      <w:pPr>
        <w:pStyle w:val="BodyText"/>
      </w:pPr>
    </w:p>
    <w:tbl>
      <w:tblPr>
        <w:tblW w:w="13453" w:type="dxa"/>
        <w:tblInd w:w="-34" w:type="dxa"/>
        <w:tblLayout w:type="fixed"/>
        <w:tblLook w:val="04A0" w:firstRow="1" w:lastRow="0" w:firstColumn="1" w:lastColumn="0" w:noHBand="0" w:noVBand="1"/>
      </w:tblPr>
      <w:tblGrid>
        <w:gridCol w:w="1558"/>
        <w:gridCol w:w="942"/>
        <w:gridCol w:w="899"/>
        <w:gridCol w:w="10054"/>
      </w:tblGrid>
      <w:tr w:rsidR="00996837" w:rsidRPr="003E76E7" w14:paraId="70B33A8B" w14:textId="77777777" w:rsidTr="00F92728">
        <w:trPr>
          <w:trHeight w:val="283"/>
          <w:tblHeader/>
        </w:trPr>
        <w:tc>
          <w:tcPr>
            <w:tcW w:w="13453" w:type="dxa"/>
            <w:gridSpan w:val="4"/>
            <w:tcBorders>
              <w:bottom w:val="single" w:sz="4" w:space="0" w:color="auto"/>
            </w:tcBorders>
            <w:shd w:val="clear" w:color="auto" w:fill="auto"/>
            <w:vAlign w:val="bottom"/>
          </w:tcPr>
          <w:p w14:paraId="2BAEEC7D" w14:textId="0787D66A" w:rsidR="00996837" w:rsidRPr="003E76E7" w:rsidRDefault="00996837" w:rsidP="00C4292D">
            <w:pPr>
              <w:spacing w:before="0" w:after="60"/>
              <w:ind w:left="-113"/>
              <w:rPr>
                <w:rFonts w:ascii="Arial" w:hAnsi="Arial"/>
                <w:b/>
              </w:rPr>
            </w:pPr>
            <w:r w:rsidRPr="003E76E7">
              <w:rPr>
                <w:rFonts w:ascii="Arial" w:hAnsi="Arial"/>
                <w:b/>
              </w:rPr>
              <w:lastRenderedPageBreak/>
              <w:t>Table 55: Top 30 Capability Sustainment Products by End of Financial Year Outcome 2026-27 (Continued)</w:t>
            </w:r>
            <w:r w:rsidRPr="003E76E7">
              <w:rPr>
                <w:rFonts w:ascii="Arial" w:hAnsi="Arial"/>
                <w:b/>
                <w:vertAlign w:val="superscript"/>
              </w:rPr>
              <w:t xml:space="preserve"> [a]</w:t>
            </w:r>
            <w:r w:rsidR="007E7201" w:rsidRPr="003E76E7">
              <w:rPr>
                <w:rFonts w:ascii="Arial" w:hAnsi="Arial"/>
                <w:b/>
                <w:vertAlign w:val="superscript"/>
              </w:rPr>
              <w:t xml:space="preserve"> </w:t>
            </w:r>
            <w:r w:rsidRPr="003E76E7">
              <w:rPr>
                <w:rFonts w:ascii="Arial" w:hAnsi="Arial"/>
                <w:b/>
                <w:vertAlign w:val="superscript"/>
              </w:rPr>
              <w:t>[b]</w:t>
            </w:r>
          </w:p>
        </w:tc>
      </w:tr>
      <w:tr w:rsidR="007E7201" w:rsidRPr="003E76E7" w14:paraId="2ECC4CCF" w14:textId="77777777" w:rsidTr="00311E44">
        <w:trPr>
          <w:trHeight w:val="283"/>
          <w:tblHeader/>
        </w:trPr>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26D9DD1C" w14:textId="7C7907EB" w:rsidR="007E7201" w:rsidRPr="003E76E7" w:rsidRDefault="007E7201" w:rsidP="00C4292D">
            <w:pPr>
              <w:spacing w:before="0" w:after="0"/>
              <w:rPr>
                <w:rFonts w:ascii="Arial" w:hAnsi="Arial"/>
                <w:sz w:val="16"/>
                <w:szCs w:val="16"/>
                <w:lang w:val="en-AU"/>
              </w:rPr>
            </w:pPr>
            <w:r w:rsidRPr="003E76E7">
              <w:rPr>
                <w:rFonts w:ascii="Arial" w:hAnsi="Arial"/>
                <w:b/>
                <w:bCs/>
                <w:sz w:val="16"/>
                <w:szCs w:val="16"/>
                <w:lang w:val="en-AU"/>
              </w:rPr>
              <w:t>Domain/Product Name</w:t>
            </w:r>
          </w:p>
        </w:tc>
        <w:tc>
          <w:tcPr>
            <w:tcW w:w="942" w:type="dxa"/>
            <w:tcBorders>
              <w:top w:val="single" w:sz="4" w:space="0" w:color="auto"/>
              <w:left w:val="single" w:sz="4" w:space="0" w:color="auto"/>
              <w:bottom w:val="single" w:sz="4" w:space="0" w:color="auto"/>
              <w:right w:val="single" w:sz="4" w:space="0" w:color="auto"/>
            </w:tcBorders>
            <w:shd w:val="clear" w:color="auto" w:fill="auto"/>
            <w:vAlign w:val="center"/>
          </w:tcPr>
          <w:p w14:paraId="0F044355" w14:textId="7086E438" w:rsidR="007E7201" w:rsidRPr="003E76E7" w:rsidRDefault="007E7201" w:rsidP="00C4292D">
            <w:pPr>
              <w:spacing w:before="0" w:after="0"/>
              <w:jc w:val="center"/>
              <w:rPr>
                <w:rFonts w:ascii="Arial" w:hAnsi="Arial"/>
                <w:b/>
                <w:bCs/>
                <w:sz w:val="16"/>
                <w:szCs w:val="16"/>
                <w:lang w:val="en-AU"/>
              </w:rPr>
            </w:pPr>
            <w:r w:rsidRPr="003E76E7">
              <w:rPr>
                <w:rFonts w:ascii="Arial" w:hAnsi="Arial"/>
                <w:b/>
                <w:bCs/>
                <w:sz w:val="16"/>
                <w:szCs w:val="16"/>
                <w:lang w:val="en-AU"/>
              </w:rPr>
              <w:t>Product Serial</w:t>
            </w:r>
          </w:p>
        </w:tc>
        <w:tc>
          <w:tcPr>
            <w:tcW w:w="899" w:type="dxa"/>
            <w:tcBorders>
              <w:top w:val="single" w:sz="4" w:space="0" w:color="auto"/>
              <w:left w:val="single" w:sz="4" w:space="0" w:color="auto"/>
              <w:bottom w:val="single" w:sz="4" w:space="0" w:color="auto"/>
              <w:right w:val="single" w:sz="4" w:space="0" w:color="auto"/>
            </w:tcBorders>
            <w:shd w:val="clear" w:color="auto" w:fill="auto"/>
          </w:tcPr>
          <w:p w14:paraId="3197C449" w14:textId="273EEFC0" w:rsidR="007E7201" w:rsidRPr="003E76E7" w:rsidRDefault="007E7201" w:rsidP="00C4292D">
            <w:pPr>
              <w:spacing w:before="0" w:after="0"/>
              <w:jc w:val="right"/>
              <w:rPr>
                <w:rFonts w:ascii="Arial" w:hAnsi="Arial"/>
                <w:sz w:val="16"/>
                <w:szCs w:val="16"/>
                <w:lang w:val="en-AU"/>
              </w:rPr>
            </w:pPr>
            <w:r w:rsidRPr="003E76E7">
              <w:rPr>
                <w:rFonts w:ascii="Arial" w:hAnsi="Arial"/>
                <w:b/>
                <w:bCs/>
                <w:sz w:val="16"/>
                <w:szCs w:val="16"/>
                <w:lang w:val="en-AU"/>
              </w:rPr>
              <w:t>Budget Estimate 2026-27 $m</w:t>
            </w:r>
            <w:r w:rsidRPr="003E76E7">
              <w:rPr>
                <w:rFonts w:ascii="Arial" w:hAnsi="Arial"/>
                <w:b/>
                <w:bCs/>
                <w:sz w:val="16"/>
                <w:szCs w:val="16"/>
                <w:vertAlign w:val="superscript"/>
                <w:lang w:val="en-AU"/>
              </w:rPr>
              <w:t xml:space="preserve"> </w:t>
            </w:r>
          </w:p>
        </w:tc>
        <w:tc>
          <w:tcPr>
            <w:tcW w:w="10054" w:type="dxa"/>
            <w:tcBorders>
              <w:top w:val="single" w:sz="4" w:space="0" w:color="auto"/>
              <w:left w:val="single" w:sz="4" w:space="0" w:color="auto"/>
              <w:bottom w:val="single" w:sz="4" w:space="0" w:color="auto"/>
              <w:right w:val="single" w:sz="4" w:space="0" w:color="auto"/>
            </w:tcBorders>
            <w:shd w:val="clear" w:color="auto" w:fill="auto"/>
            <w:vAlign w:val="center"/>
          </w:tcPr>
          <w:p w14:paraId="2651E509" w14:textId="39AE4D99" w:rsidR="007E7201" w:rsidRPr="003E76E7" w:rsidRDefault="007E7201" w:rsidP="00C4292D">
            <w:pPr>
              <w:spacing w:before="0" w:after="0"/>
              <w:rPr>
                <w:rFonts w:ascii="Arial" w:hAnsi="Arial"/>
                <w:sz w:val="16"/>
                <w:szCs w:val="16"/>
                <w:lang w:val="en-AU"/>
              </w:rPr>
            </w:pPr>
            <w:r w:rsidRPr="003E76E7">
              <w:rPr>
                <w:rFonts w:ascii="Arial" w:hAnsi="Arial"/>
                <w:b/>
                <w:bCs/>
                <w:sz w:val="16"/>
                <w:szCs w:val="16"/>
                <w:lang w:val="en-AU"/>
              </w:rPr>
              <w:t>Top 30 Capability Sustainment Product Descriptions</w:t>
            </w:r>
          </w:p>
        </w:tc>
      </w:tr>
      <w:tr w:rsidR="00996837" w:rsidRPr="003E76E7" w14:paraId="3F912EDD" w14:textId="77777777" w:rsidTr="00F92728">
        <w:trPr>
          <w:trHeight w:val="325"/>
        </w:trPr>
        <w:tc>
          <w:tcPr>
            <w:tcW w:w="13453"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EAB6010" w14:textId="77777777" w:rsidR="00996837" w:rsidRPr="003E76E7" w:rsidRDefault="00996837" w:rsidP="00C4292D">
            <w:pPr>
              <w:kinsoku w:val="0"/>
              <w:overflowPunct w:val="0"/>
              <w:autoSpaceDE w:val="0"/>
              <w:autoSpaceDN w:val="0"/>
              <w:adjustRightInd w:val="0"/>
              <w:spacing w:before="60" w:after="60" w:line="178" w:lineRule="exact"/>
              <w:rPr>
                <w:rFonts w:ascii="Arial" w:hAnsi="Arial"/>
                <w:sz w:val="16"/>
                <w:szCs w:val="16"/>
                <w:lang w:val="en-AU"/>
              </w:rPr>
            </w:pPr>
            <w:r w:rsidRPr="003E76E7">
              <w:rPr>
                <w:rFonts w:ascii="Arial" w:hAnsi="Arial"/>
                <w:b/>
                <w:bCs/>
                <w:sz w:val="16"/>
                <w:szCs w:val="16"/>
              </w:rPr>
              <w:t xml:space="preserve">Air Domain (Continued) </w:t>
            </w:r>
          </w:p>
        </w:tc>
      </w:tr>
      <w:tr w:rsidR="00996837" w:rsidRPr="003E76E7" w14:paraId="7ABAB4B8" w14:textId="77777777" w:rsidTr="00F92728">
        <w:trPr>
          <w:trHeight w:val="980"/>
        </w:trPr>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3FBFA13D" w14:textId="77777777" w:rsidR="00996837" w:rsidRPr="003E76E7" w:rsidRDefault="00996837" w:rsidP="00C4292D">
            <w:pPr>
              <w:rPr>
                <w:rFonts w:ascii="Arial" w:hAnsi="Arial"/>
                <w:sz w:val="16"/>
                <w:szCs w:val="16"/>
              </w:rPr>
            </w:pPr>
            <w:r w:rsidRPr="003E76E7">
              <w:rPr>
                <w:rFonts w:ascii="Arial" w:hAnsi="Arial"/>
                <w:sz w:val="16"/>
                <w:szCs w:val="16"/>
              </w:rPr>
              <w:t>KC-30A Weapon System Multi-role Tanker Transport</w:t>
            </w:r>
          </w:p>
        </w:tc>
        <w:tc>
          <w:tcPr>
            <w:tcW w:w="942" w:type="dxa"/>
            <w:tcBorders>
              <w:top w:val="single" w:sz="4" w:space="0" w:color="auto"/>
              <w:left w:val="nil"/>
              <w:bottom w:val="single" w:sz="4" w:space="0" w:color="auto"/>
              <w:right w:val="single" w:sz="4" w:space="0" w:color="auto"/>
            </w:tcBorders>
            <w:shd w:val="clear" w:color="auto" w:fill="auto"/>
            <w:vAlign w:val="center"/>
          </w:tcPr>
          <w:p w14:paraId="3599698B" w14:textId="77777777" w:rsidR="00996837" w:rsidRPr="003E76E7" w:rsidRDefault="00996837" w:rsidP="00C4292D">
            <w:pPr>
              <w:jc w:val="center"/>
              <w:rPr>
                <w:rFonts w:ascii="Arial" w:hAnsi="Arial"/>
                <w:b/>
                <w:bCs/>
                <w:sz w:val="16"/>
                <w:szCs w:val="16"/>
              </w:rPr>
            </w:pPr>
            <w:r w:rsidRPr="003E76E7">
              <w:rPr>
                <w:rFonts w:ascii="Arial" w:hAnsi="Arial"/>
                <w:b/>
                <w:bCs/>
                <w:sz w:val="16"/>
                <w:szCs w:val="16"/>
              </w:rPr>
              <w:t>CAF22</w:t>
            </w:r>
          </w:p>
        </w:tc>
        <w:tc>
          <w:tcPr>
            <w:tcW w:w="899" w:type="dxa"/>
            <w:tcBorders>
              <w:top w:val="single" w:sz="4" w:space="0" w:color="auto"/>
              <w:left w:val="nil"/>
              <w:bottom w:val="single" w:sz="4" w:space="0" w:color="auto"/>
              <w:right w:val="single" w:sz="4" w:space="0" w:color="auto"/>
            </w:tcBorders>
            <w:shd w:val="clear" w:color="auto" w:fill="auto"/>
            <w:vAlign w:val="center"/>
          </w:tcPr>
          <w:p w14:paraId="5972BECE" w14:textId="77777777" w:rsidR="00996837" w:rsidRPr="003E76E7" w:rsidRDefault="00996837" w:rsidP="00C4292D">
            <w:pPr>
              <w:jc w:val="center"/>
              <w:rPr>
                <w:rFonts w:ascii="Arial" w:hAnsi="Arial"/>
                <w:sz w:val="16"/>
                <w:szCs w:val="16"/>
              </w:rPr>
            </w:pPr>
            <w:r w:rsidRPr="003E76E7">
              <w:rPr>
                <w:rFonts w:ascii="Arial" w:hAnsi="Arial"/>
                <w:sz w:val="16"/>
                <w:szCs w:val="16"/>
              </w:rPr>
              <w:t>200</w:t>
            </w:r>
          </w:p>
        </w:tc>
        <w:tc>
          <w:tcPr>
            <w:tcW w:w="10054" w:type="dxa"/>
            <w:tcBorders>
              <w:top w:val="single" w:sz="4" w:space="0" w:color="auto"/>
              <w:left w:val="nil"/>
              <w:bottom w:val="single" w:sz="4" w:space="0" w:color="auto"/>
              <w:right w:val="single" w:sz="4" w:space="0" w:color="auto"/>
            </w:tcBorders>
            <w:shd w:val="clear" w:color="auto" w:fill="auto"/>
            <w:vAlign w:val="center"/>
          </w:tcPr>
          <w:p w14:paraId="220EBF5A" w14:textId="6757F7CC" w:rsidR="00996837" w:rsidRPr="003E76E7" w:rsidRDefault="00996837" w:rsidP="00C4292D">
            <w:pPr>
              <w:kinsoku w:val="0"/>
              <w:overflowPunct w:val="0"/>
              <w:autoSpaceDE w:val="0"/>
              <w:autoSpaceDN w:val="0"/>
              <w:adjustRightInd w:val="0"/>
              <w:spacing w:before="60" w:after="60" w:line="178" w:lineRule="exact"/>
              <w:rPr>
                <w:rFonts w:ascii="Arial" w:hAnsi="Arial"/>
                <w:sz w:val="16"/>
                <w:szCs w:val="16"/>
                <w:lang w:val="en-AU"/>
              </w:rPr>
            </w:pPr>
            <w:r w:rsidRPr="003E76E7">
              <w:rPr>
                <w:rFonts w:ascii="Arial" w:hAnsi="Arial"/>
                <w:sz w:val="16"/>
                <w:szCs w:val="16"/>
                <w:lang w:val="en-AU"/>
              </w:rPr>
              <w:t>The Multi-Role Tanker</w:t>
            </w:r>
            <w:r w:rsidR="00F92728" w:rsidRPr="003E76E7">
              <w:rPr>
                <w:rFonts w:ascii="Arial" w:hAnsi="Arial"/>
                <w:sz w:val="16"/>
                <w:szCs w:val="16"/>
                <w:lang w:val="en-AU"/>
              </w:rPr>
              <w:t xml:space="preserve"> Transport capability comprises seven</w:t>
            </w:r>
            <w:r w:rsidRPr="003E76E7">
              <w:rPr>
                <w:rFonts w:ascii="Arial" w:hAnsi="Arial"/>
                <w:sz w:val="16"/>
                <w:szCs w:val="16"/>
                <w:lang w:val="en-AU"/>
              </w:rPr>
              <w:t xml:space="preserve"> KC-30A aircraft, a flight simulator and associated support elements, operated from RA</w:t>
            </w:r>
            <w:r w:rsidR="00F92728" w:rsidRPr="003E76E7">
              <w:rPr>
                <w:rFonts w:ascii="Arial" w:hAnsi="Arial"/>
                <w:sz w:val="16"/>
                <w:szCs w:val="16"/>
                <w:lang w:val="en-AU"/>
              </w:rPr>
              <w:t>AF Base Amberley, QLD. All seven</w:t>
            </w:r>
            <w:r w:rsidRPr="003E76E7">
              <w:rPr>
                <w:rFonts w:ascii="Arial" w:hAnsi="Arial"/>
                <w:sz w:val="16"/>
                <w:szCs w:val="16"/>
                <w:lang w:val="en-AU"/>
              </w:rPr>
              <w:t xml:space="preserve"> aircraft are capable of air-to-air refuelling from pod and boom systems and airlift logistics support. Support is provided through a performance-based arrangement for maintenance, logistics, engineering, training and program management.</w:t>
            </w:r>
          </w:p>
          <w:p w14:paraId="2ACFA35B" w14:textId="77777777" w:rsidR="00996837" w:rsidRPr="003E76E7" w:rsidRDefault="00996837" w:rsidP="00C4292D">
            <w:pPr>
              <w:kinsoku w:val="0"/>
              <w:overflowPunct w:val="0"/>
              <w:autoSpaceDE w:val="0"/>
              <w:autoSpaceDN w:val="0"/>
              <w:adjustRightInd w:val="0"/>
              <w:spacing w:before="60" w:after="60" w:line="178" w:lineRule="exact"/>
              <w:rPr>
                <w:rFonts w:ascii="Arial" w:hAnsi="Arial"/>
                <w:sz w:val="16"/>
                <w:szCs w:val="16"/>
                <w:lang w:val="en-AU"/>
              </w:rPr>
            </w:pPr>
            <w:r w:rsidRPr="003E76E7">
              <w:rPr>
                <w:rFonts w:ascii="Arial" w:hAnsi="Arial"/>
                <w:sz w:val="16"/>
                <w:szCs w:val="16"/>
                <w:lang w:val="en-AU"/>
              </w:rPr>
              <w:t>During 2026-27, Defence’s operational readiness will be strengthened by ensuring robust support to military operations, optimising sustainment performance, and advancing critical mid</w:t>
            </w:r>
            <w:r w:rsidRPr="003E76E7">
              <w:rPr>
                <w:rFonts w:ascii="Cambria Math" w:hAnsi="Cambria Math" w:cs="Cambria Math"/>
                <w:sz w:val="16"/>
                <w:szCs w:val="16"/>
                <w:lang w:val="en-AU"/>
              </w:rPr>
              <w:t>‑</w:t>
            </w:r>
            <w:r w:rsidRPr="003E76E7">
              <w:rPr>
                <w:rFonts w:ascii="Arial" w:hAnsi="Arial"/>
                <w:sz w:val="16"/>
                <w:szCs w:val="16"/>
                <w:lang w:val="en-AU"/>
              </w:rPr>
              <w:t>life upgrade and obsolescence management programs. The capability will further enhance force</w:t>
            </w:r>
            <w:r w:rsidRPr="003E76E7">
              <w:rPr>
                <w:rFonts w:ascii="Cambria Math" w:hAnsi="Cambria Math" w:cs="Cambria Math"/>
                <w:sz w:val="16"/>
                <w:szCs w:val="16"/>
                <w:lang w:val="en-AU"/>
              </w:rPr>
              <w:t>‑</w:t>
            </w:r>
            <w:r w:rsidRPr="003E76E7">
              <w:rPr>
                <w:rFonts w:ascii="Arial" w:hAnsi="Arial"/>
                <w:sz w:val="16"/>
                <w:szCs w:val="16"/>
                <w:lang w:val="en-AU"/>
              </w:rPr>
              <w:t>level integration by expanding the portfolio of aircraft certified for air</w:t>
            </w:r>
            <w:r w:rsidRPr="003E76E7">
              <w:rPr>
                <w:rFonts w:ascii="Cambria Math" w:hAnsi="Cambria Math" w:cs="Cambria Math"/>
                <w:sz w:val="16"/>
                <w:szCs w:val="16"/>
                <w:lang w:val="en-AU"/>
              </w:rPr>
              <w:t>‑</w:t>
            </w:r>
            <w:r w:rsidRPr="003E76E7">
              <w:rPr>
                <w:rFonts w:ascii="Arial" w:hAnsi="Arial"/>
                <w:sz w:val="16"/>
                <w:szCs w:val="16"/>
                <w:lang w:val="en-AU"/>
              </w:rPr>
              <w:t>to</w:t>
            </w:r>
            <w:r w:rsidRPr="003E76E7">
              <w:rPr>
                <w:rFonts w:ascii="Cambria Math" w:hAnsi="Cambria Math" w:cs="Cambria Math"/>
                <w:sz w:val="16"/>
                <w:szCs w:val="16"/>
                <w:lang w:val="en-AU"/>
              </w:rPr>
              <w:t>‑</w:t>
            </w:r>
            <w:r w:rsidRPr="003E76E7">
              <w:rPr>
                <w:rFonts w:ascii="Arial" w:hAnsi="Arial"/>
                <w:sz w:val="16"/>
                <w:szCs w:val="16"/>
                <w:lang w:val="en-AU"/>
              </w:rPr>
              <w:t>air refuelling from the KC</w:t>
            </w:r>
            <w:r w:rsidRPr="003E76E7">
              <w:rPr>
                <w:rFonts w:ascii="Cambria Math" w:hAnsi="Cambria Math" w:cs="Cambria Math"/>
                <w:sz w:val="16"/>
                <w:szCs w:val="16"/>
                <w:lang w:val="en-AU"/>
              </w:rPr>
              <w:t>‑</w:t>
            </w:r>
            <w:r w:rsidRPr="003E76E7">
              <w:rPr>
                <w:rFonts w:ascii="Arial" w:hAnsi="Arial"/>
                <w:sz w:val="16"/>
                <w:szCs w:val="16"/>
                <w:lang w:val="en-AU"/>
              </w:rPr>
              <w:t>30A Multi</w:t>
            </w:r>
            <w:r w:rsidRPr="003E76E7">
              <w:rPr>
                <w:rFonts w:ascii="Cambria Math" w:hAnsi="Cambria Math" w:cs="Cambria Math"/>
                <w:sz w:val="16"/>
                <w:szCs w:val="16"/>
                <w:lang w:val="en-AU"/>
              </w:rPr>
              <w:t>‑</w:t>
            </w:r>
            <w:r w:rsidRPr="003E76E7">
              <w:rPr>
                <w:rFonts w:ascii="Arial" w:hAnsi="Arial"/>
                <w:sz w:val="16"/>
                <w:szCs w:val="16"/>
                <w:lang w:val="en-AU"/>
              </w:rPr>
              <w:t>Role Tanker Transport, reinforcing Australia’s preparedness and sovereign operational flexibility.</w:t>
            </w:r>
          </w:p>
        </w:tc>
      </w:tr>
      <w:tr w:rsidR="00996837" w:rsidRPr="003E76E7" w14:paraId="693C92C6" w14:textId="77777777" w:rsidTr="00F92728">
        <w:trPr>
          <w:trHeight w:val="980"/>
        </w:trPr>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7B3EECD" w14:textId="77777777" w:rsidR="00996837" w:rsidRPr="003E76E7" w:rsidRDefault="00996837" w:rsidP="00C4292D">
            <w:pPr>
              <w:rPr>
                <w:rFonts w:ascii="Arial" w:hAnsi="Arial"/>
                <w:sz w:val="16"/>
                <w:szCs w:val="16"/>
              </w:rPr>
            </w:pPr>
            <w:r w:rsidRPr="003E76E7">
              <w:rPr>
                <w:rFonts w:ascii="Arial" w:hAnsi="Arial"/>
                <w:sz w:val="16"/>
                <w:szCs w:val="16"/>
              </w:rPr>
              <w:t>C-17 Heavy Air Lift Weapons System</w:t>
            </w:r>
          </w:p>
        </w:tc>
        <w:tc>
          <w:tcPr>
            <w:tcW w:w="942" w:type="dxa"/>
            <w:tcBorders>
              <w:top w:val="single" w:sz="4" w:space="0" w:color="auto"/>
              <w:left w:val="nil"/>
              <w:bottom w:val="single" w:sz="4" w:space="0" w:color="auto"/>
              <w:right w:val="single" w:sz="4" w:space="0" w:color="auto"/>
            </w:tcBorders>
            <w:shd w:val="clear" w:color="auto" w:fill="auto"/>
            <w:vAlign w:val="center"/>
          </w:tcPr>
          <w:p w14:paraId="7CDD2754" w14:textId="77777777" w:rsidR="00996837" w:rsidRPr="003E76E7" w:rsidRDefault="00996837" w:rsidP="00C4292D">
            <w:pPr>
              <w:jc w:val="center"/>
              <w:rPr>
                <w:rFonts w:ascii="Arial" w:hAnsi="Arial"/>
                <w:b/>
                <w:bCs/>
                <w:sz w:val="16"/>
                <w:szCs w:val="16"/>
              </w:rPr>
            </w:pPr>
            <w:r w:rsidRPr="003E76E7">
              <w:rPr>
                <w:rFonts w:ascii="Arial" w:hAnsi="Arial"/>
                <w:b/>
                <w:bCs/>
                <w:sz w:val="16"/>
                <w:szCs w:val="16"/>
              </w:rPr>
              <w:t>CAF19</w:t>
            </w:r>
          </w:p>
        </w:tc>
        <w:tc>
          <w:tcPr>
            <w:tcW w:w="899" w:type="dxa"/>
            <w:tcBorders>
              <w:top w:val="single" w:sz="4" w:space="0" w:color="auto"/>
              <w:left w:val="nil"/>
              <w:bottom w:val="single" w:sz="4" w:space="0" w:color="auto"/>
              <w:right w:val="single" w:sz="4" w:space="0" w:color="auto"/>
            </w:tcBorders>
            <w:shd w:val="clear" w:color="auto" w:fill="auto"/>
            <w:vAlign w:val="center"/>
          </w:tcPr>
          <w:p w14:paraId="4B3AC131" w14:textId="77777777" w:rsidR="00996837" w:rsidRPr="003E76E7" w:rsidRDefault="00996837" w:rsidP="00C4292D">
            <w:pPr>
              <w:jc w:val="center"/>
              <w:rPr>
                <w:rFonts w:ascii="Arial" w:hAnsi="Arial"/>
                <w:sz w:val="16"/>
                <w:szCs w:val="16"/>
              </w:rPr>
            </w:pPr>
            <w:r w:rsidRPr="003E76E7">
              <w:rPr>
                <w:rFonts w:ascii="Arial" w:hAnsi="Arial"/>
                <w:sz w:val="16"/>
                <w:szCs w:val="16"/>
              </w:rPr>
              <w:t>172</w:t>
            </w:r>
          </w:p>
        </w:tc>
        <w:tc>
          <w:tcPr>
            <w:tcW w:w="10054" w:type="dxa"/>
            <w:tcBorders>
              <w:top w:val="single" w:sz="4" w:space="0" w:color="auto"/>
              <w:left w:val="nil"/>
              <w:bottom w:val="single" w:sz="4" w:space="0" w:color="auto"/>
              <w:right w:val="single" w:sz="4" w:space="0" w:color="auto"/>
            </w:tcBorders>
            <w:shd w:val="clear" w:color="auto" w:fill="auto"/>
            <w:vAlign w:val="center"/>
          </w:tcPr>
          <w:p w14:paraId="2812626C" w14:textId="24489391" w:rsidR="00996837" w:rsidRPr="003E76E7" w:rsidRDefault="00996837" w:rsidP="00C4292D">
            <w:pPr>
              <w:kinsoku w:val="0"/>
              <w:overflowPunct w:val="0"/>
              <w:autoSpaceDE w:val="0"/>
              <w:autoSpaceDN w:val="0"/>
              <w:adjustRightInd w:val="0"/>
              <w:spacing w:before="60" w:after="60"/>
              <w:ind w:right="91"/>
              <w:rPr>
                <w:rFonts w:ascii="Arial" w:hAnsi="Arial"/>
                <w:sz w:val="16"/>
                <w:szCs w:val="16"/>
                <w:lang w:val="en-AU"/>
              </w:rPr>
            </w:pPr>
            <w:r w:rsidRPr="003E76E7">
              <w:rPr>
                <w:rFonts w:ascii="Arial" w:hAnsi="Arial"/>
                <w:sz w:val="16"/>
                <w:szCs w:val="16"/>
                <w:lang w:val="en-AU"/>
              </w:rPr>
              <w:t xml:space="preserve">The Heavy Airlift capability comprises </w:t>
            </w:r>
            <w:r w:rsidR="00F92728" w:rsidRPr="003E76E7">
              <w:rPr>
                <w:rFonts w:ascii="Arial" w:hAnsi="Arial"/>
                <w:sz w:val="16"/>
                <w:szCs w:val="16"/>
                <w:lang w:val="en-AU"/>
              </w:rPr>
              <w:t>eight</w:t>
            </w:r>
            <w:r w:rsidRPr="003E76E7">
              <w:rPr>
                <w:rFonts w:ascii="Arial" w:hAnsi="Arial"/>
                <w:sz w:val="16"/>
                <w:szCs w:val="16"/>
                <w:lang w:val="en-AU"/>
              </w:rPr>
              <w:t xml:space="preserve"> C-17A Globemaster III aircraft, a flight simulator, and associated support elements operated from RAAF Base Amberley, QLD. The majority of sustainment support for aircraft and training systems is provided via United States </w:t>
            </w:r>
            <w:r w:rsidR="00F92728" w:rsidRPr="003E76E7">
              <w:rPr>
                <w:rFonts w:ascii="Arial" w:hAnsi="Arial"/>
                <w:sz w:val="16"/>
                <w:szCs w:val="16"/>
                <w:lang w:val="en-AU"/>
              </w:rPr>
              <w:br/>
            </w:r>
            <w:r w:rsidRPr="003E76E7">
              <w:rPr>
                <w:rFonts w:ascii="Arial" w:hAnsi="Arial"/>
                <w:sz w:val="16"/>
                <w:szCs w:val="16"/>
                <w:lang w:val="en-AU"/>
              </w:rPr>
              <w:t>Air Force Foreign Military Sales global support arrangements for the worldwide C-17A Globemaster fleet. These global sustainment arrangements are supplemented by a contract for support services within Australia.</w:t>
            </w:r>
          </w:p>
          <w:p w14:paraId="6456991B" w14:textId="77777777" w:rsidR="00996837" w:rsidRPr="003E76E7" w:rsidRDefault="00996837" w:rsidP="00C4292D">
            <w:pPr>
              <w:kinsoku w:val="0"/>
              <w:overflowPunct w:val="0"/>
              <w:autoSpaceDE w:val="0"/>
              <w:autoSpaceDN w:val="0"/>
              <w:adjustRightInd w:val="0"/>
              <w:spacing w:before="60" w:after="60" w:line="178" w:lineRule="exact"/>
              <w:rPr>
                <w:rFonts w:ascii="Arial" w:hAnsi="Arial"/>
                <w:sz w:val="16"/>
                <w:szCs w:val="16"/>
                <w:lang w:val="en-AU"/>
              </w:rPr>
            </w:pPr>
            <w:r w:rsidRPr="003E76E7">
              <w:rPr>
                <w:rFonts w:ascii="Arial" w:hAnsi="Arial"/>
                <w:sz w:val="16"/>
                <w:szCs w:val="16"/>
                <w:lang w:val="en-AU"/>
              </w:rPr>
              <w:t>During 2026-27, through a structured program of fleet modifications and targeted upgrades, the fleet will continue to address emerging obsolescence while sustaining and enhancing performance, availability and readiness. The capability will maintain configuration alignment with the United States Air Force, in order to ensure an enduring level of interoperability and sustainment resilience.</w:t>
            </w:r>
          </w:p>
        </w:tc>
      </w:tr>
      <w:tr w:rsidR="00996837" w:rsidRPr="003E76E7" w14:paraId="071F01BA" w14:textId="77777777" w:rsidTr="00F92728">
        <w:trPr>
          <w:trHeight w:val="980"/>
        </w:trPr>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53D79A55" w14:textId="77777777" w:rsidR="00996837" w:rsidRPr="003E76E7" w:rsidRDefault="00996837" w:rsidP="00C4292D">
            <w:pPr>
              <w:rPr>
                <w:rFonts w:ascii="Arial" w:hAnsi="Arial"/>
                <w:sz w:val="16"/>
                <w:szCs w:val="18"/>
              </w:rPr>
            </w:pPr>
            <w:r w:rsidRPr="003E76E7">
              <w:rPr>
                <w:rFonts w:ascii="Arial" w:hAnsi="Arial"/>
                <w:sz w:val="16"/>
                <w:szCs w:val="16"/>
              </w:rPr>
              <w:t>Lead-In Fighter Hawk 127 Weapon System</w:t>
            </w:r>
          </w:p>
        </w:tc>
        <w:tc>
          <w:tcPr>
            <w:tcW w:w="942" w:type="dxa"/>
            <w:tcBorders>
              <w:top w:val="single" w:sz="4" w:space="0" w:color="auto"/>
              <w:left w:val="nil"/>
              <w:bottom w:val="single" w:sz="4" w:space="0" w:color="auto"/>
              <w:right w:val="single" w:sz="4" w:space="0" w:color="auto"/>
            </w:tcBorders>
            <w:shd w:val="clear" w:color="auto" w:fill="auto"/>
            <w:vAlign w:val="center"/>
          </w:tcPr>
          <w:p w14:paraId="11489802" w14:textId="77777777" w:rsidR="00996837" w:rsidRPr="003E76E7" w:rsidRDefault="00996837" w:rsidP="00C4292D">
            <w:pPr>
              <w:jc w:val="center"/>
              <w:rPr>
                <w:rFonts w:ascii="Arial" w:hAnsi="Arial"/>
                <w:b/>
                <w:bCs/>
                <w:sz w:val="16"/>
                <w:szCs w:val="18"/>
              </w:rPr>
            </w:pPr>
            <w:r w:rsidRPr="003E76E7">
              <w:rPr>
                <w:rFonts w:ascii="Arial" w:hAnsi="Arial"/>
                <w:b/>
                <w:bCs/>
                <w:sz w:val="16"/>
                <w:szCs w:val="16"/>
              </w:rPr>
              <w:t>CAF03</w:t>
            </w:r>
          </w:p>
        </w:tc>
        <w:tc>
          <w:tcPr>
            <w:tcW w:w="899" w:type="dxa"/>
            <w:tcBorders>
              <w:top w:val="single" w:sz="4" w:space="0" w:color="auto"/>
              <w:left w:val="nil"/>
              <w:bottom w:val="single" w:sz="4" w:space="0" w:color="auto"/>
              <w:right w:val="single" w:sz="4" w:space="0" w:color="auto"/>
            </w:tcBorders>
            <w:shd w:val="clear" w:color="auto" w:fill="auto"/>
            <w:vAlign w:val="center"/>
          </w:tcPr>
          <w:p w14:paraId="28FC3223" w14:textId="77777777" w:rsidR="00996837" w:rsidRPr="003E76E7" w:rsidRDefault="00996837" w:rsidP="00C4292D">
            <w:pPr>
              <w:jc w:val="center"/>
              <w:rPr>
                <w:rFonts w:ascii="Arial" w:hAnsi="Arial"/>
                <w:sz w:val="16"/>
                <w:szCs w:val="16"/>
              </w:rPr>
            </w:pPr>
            <w:r w:rsidRPr="003E76E7">
              <w:rPr>
                <w:rFonts w:ascii="Arial" w:hAnsi="Arial"/>
                <w:sz w:val="16"/>
                <w:szCs w:val="16"/>
              </w:rPr>
              <w:fldChar w:fldCharType="begin"/>
            </w:r>
            <w:r w:rsidRPr="003E76E7">
              <w:rPr>
                <w:rFonts w:ascii="Arial" w:hAnsi="Arial"/>
                <w:sz w:val="16"/>
                <w:szCs w:val="16"/>
              </w:rPr>
              <w:instrText xml:space="preserve"> LINK Excel.Sheet.12 "C:\\Users\\rebecca.salvestrin\\Objective\\Objects\\BO54981777.xlsx" "Top 30 Table!R13C6" \a \f 4 \h  \* MERGEFORMAT </w:instrText>
            </w:r>
            <w:r w:rsidRPr="003E76E7">
              <w:rPr>
                <w:rFonts w:ascii="Arial" w:hAnsi="Arial"/>
                <w:sz w:val="16"/>
                <w:szCs w:val="16"/>
              </w:rPr>
              <w:fldChar w:fldCharType="separate"/>
            </w:r>
          </w:p>
          <w:p w14:paraId="6E1C1F09" w14:textId="77777777" w:rsidR="00996837" w:rsidRPr="003E76E7" w:rsidRDefault="00996837" w:rsidP="00C4292D">
            <w:pPr>
              <w:spacing w:before="0" w:after="0"/>
              <w:jc w:val="center"/>
              <w:rPr>
                <w:rFonts w:ascii="Arial" w:hAnsi="Arial"/>
                <w:sz w:val="16"/>
                <w:szCs w:val="16"/>
              </w:rPr>
            </w:pPr>
            <w:r w:rsidRPr="003E76E7">
              <w:rPr>
                <w:rFonts w:ascii="Arial" w:hAnsi="Arial"/>
                <w:sz w:val="16"/>
                <w:szCs w:val="16"/>
              </w:rPr>
              <w:t>147</w:t>
            </w:r>
          </w:p>
          <w:p w14:paraId="47DF908F" w14:textId="77777777" w:rsidR="00996837" w:rsidRPr="003E76E7" w:rsidRDefault="00996837" w:rsidP="00C4292D">
            <w:pPr>
              <w:jc w:val="center"/>
              <w:rPr>
                <w:rFonts w:ascii="Arial" w:hAnsi="Arial"/>
                <w:sz w:val="16"/>
                <w:szCs w:val="16"/>
              </w:rPr>
            </w:pPr>
            <w:r w:rsidRPr="003E76E7">
              <w:rPr>
                <w:rFonts w:ascii="Arial" w:hAnsi="Arial"/>
                <w:sz w:val="16"/>
                <w:szCs w:val="16"/>
              </w:rPr>
              <w:fldChar w:fldCharType="end"/>
            </w:r>
          </w:p>
        </w:tc>
        <w:tc>
          <w:tcPr>
            <w:tcW w:w="10054" w:type="dxa"/>
            <w:tcBorders>
              <w:top w:val="single" w:sz="4" w:space="0" w:color="auto"/>
              <w:left w:val="nil"/>
              <w:bottom w:val="single" w:sz="4" w:space="0" w:color="auto"/>
              <w:right w:val="single" w:sz="4" w:space="0" w:color="auto"/>
            </w:tcBorders>
            <w:shd w:val="clear" w:color="auto" w:fill="auto"/>
            <w:vAlign w:val="center"/>
          </w:tcPr>
          <w:p w14:paraId="66B99431" w14:textId="3A90C2B2" w:rsidR="00996837" w:rsidRPr="003E76E7" w:rsidRDefault="00996837" w:rsidP="00C4292D">
            <w:pPr>
              <w:kinsoku w:val="0"/>
              <w:overflowPunct w:val="0"/>
              <w:autoSpaceDE w:val="0"/>
              <w:autoSpaceDN w:val="0"/>
              <w:adjustRightInd w:val="0"/>
              <w:spacing w:before="60" w:after="60" w:line="178" w:lineRule="exact"/>
              <w:rPr>
                <w:rFonts w:ascii="Arial" w:hAnsi="Arial"/>
                <w:sz w:val="16"/>
                <w:szCs w:val="16"/>
                <w:lang w:val="en-AU"/>
              </w:rPr>
            </w:pPr>
            <w:r w:rsidRPr="003E76E7">
              <w:rPr>
                <w:rFonts w:ascii="Arial" w:hAnsi="Arial"/>
                <w:sz w:val="16"/>
                <w:szCs w:val="16"/>
                <w:lang w:val="en-AU"/>
              </w:rPr>
              <w:t xml:space="preserve">The Lead-In Fighter Training System comprises 33 Hawk 127 Lead-In Fighter aircraft and related support systems operated from </w:t>
            </w:r>
            <w:r w:rsidR="00F92728" w:rsidRPr="003E76E7">
              <w:rPr>
                <w:rFonts w:ascii="Arial" w:hAnsi="Arial"/>
                <w:sz w:val="16"/>
                <w:szCs w:val="16"/>
                <w:lang w:val="en-AU"/>
              </w:rPr>
              <w:br/>
            </w:r>
            <w:r w:rsidRPr="003E76E7">
              <w:rPr>
                <w:rFonts w:ascii="Arial" w:hAnsi="Arial"/>
                <w:sz w:val="16"/>
                <w:szCs w:val="16"/>
                <w:lang w:val="en-AU"/>
              </w:rPr>
              <w:t>RAAF Base Williamtown, NSW and RAAF Base Pearce, WA.</w:t>
            </w:r>
          </w:p>
          <w:p w14:paraId="7876F842" w14:textId="77777777" w:rsidR="00996837" w:rsidRPr="003E76E7" w:rsidRDefault="00996837" w:rsidP="00C4292D">
            <w:pPr>
              <w:spacing w:before="60" w:after="60"/>
              <w:rPr>
                <w:rFonts w:ascii="Arial" w:hAnsi="Arial"/>
                <w:sz w:val="16"/>
                <w:szCs w:val="16"/>
              </w:rPr>
            </w:pPr>
            <w:r w:rsidRPr="003E76E7">
              <w:rPr>
                <w:rFonts w:ascii="Arial" w:hAnsi="Arial"/>
                <w:sz w:val="16"/>
                <w:szCs w:val="16"/>
                <w:lang w:val="en-AU"/>
              </w:rPr>
              <w:t>During 2026-27, the focus remains on generating required rates of availability to support Air Force pilot training requirements, while delivering assurance activities to enable sustained capability output through to planned withdrawal date.</w:t>
            </w:r>
          </w:p>
        </w:tc>
      </w:tr>
      <w:tr w:rsidR="00996837" w:rsidRPr="003E76E7" w14:paraId="21364752" w14:textId="77777777" w:rsidTr="00F92728">
        <w:trPr>
          <w:trHeight w:val="1125"/>
        </w:trPr>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4B91F8E3" w14:textId="2D991EA2" w:rsidR="00996837" w:rsidRPr="003E76E7" w:rsidRDefault="00996837" w:rsidP="00C4292D">
            <w:pPr>
              <w:keepNext/>
              <w:keepLines/>
              <w:spacing w:before="0" w:after="0"/>
              <w:rPr>
                <w:rFonts w:ascii="Arial" w:hAnsi="Arial"/>
                <w:sz w:val="16"/>
                <w:szCs w:val="18"/>
                <w:lang w:val="en-AU"/>
              </w:rPr>
            </w:pPr>
            <w:r w:rsidRPr="003E76E7">
              <w:rPr>
                <w:rFonts w:ascii="Arial" w:hAnsi="Arial"/>
                <w:sz w:val="16"/>
                <w:szCs w:val="16"/>
              </w:rPr>
              <w:t>C</w:t>
            </w:r>
            <w:r w:rsidR="00A5119F">
              <w:rPr>
                <w:rFonts w:ascii="Arial" w:hAnsi="Arial"/>
                <w:sz w:val="16"/>
                <w:szCs w:val="16"/>
              </w:rPr>
              <w:t>-</w:t>
            </w:r>
            <w:r w:rsidRPr="003E76E7">
              <w:rPr>
                <w:rFonts w:ascii="Arial" w:hAnsi="Arial"/>
                <w:sz w:val="16"/>
                <w:szCs w:val="16"/>
              </w:rPr>
              <w:t>130J-30 Weapon System</w:t>
            </w:r>
          </w:p>
        </w:tc>
        <w:tc>
          <w:tcPr>
            <w:tcW w:w="942" w:type="dxa"/>
            <w:tcBorders>
              <w:top w:val="single" w:sz="4" w:space="0" w:color="auto"/>
              <w:left w:val="nil"/>
              <w:bottom w:val="single" w:sz="4" w:space="0" w:color="auto"/>
              <w:right w:val="single" w:sz="4" w:space="0" w:color="auto"/>
            </w:tcBorders>
            <w:shd w:val="clear" w:color="auto" w:fill="auto"/>
            <w:vAlign w:val="center"/>
          </w:tcPr>
          <w:p w14:paraId="3A05FEC5" w14:textId="77777777" w:rsidR="00996837" w:rsidRPr="003E76E7" w:rsidRDefault="00996837" w:rsidP="00C4292D">
            <w:pPr>
              <w:keepNext/>
              <w:keepLines/>
              <w:jc w:val="center"/>
              <w:rPr>
                <w:rFonts w:ascii="Arial" w:hAnsi="Arial"/>
                <w:b/>
                <w:bCs/>
                <w:sz w:val="16"/>
                <w:szCs w:val="18"/>
              </w:rPr>
            </w:pPr>
            <w:r w:rsidRPr="003E76E7">
              <w:rPr>
                <w:rFonts w:ascii="Arial" w:hAnsi="Arial"/>
                <w:b/>
                <w:bCs/>
                <w:sz w:val="16"/>
                <w:szCs w:val="16"/>
              </w:rPr>
              <w:t>CAF06</w:t>
            </w:r>
          </w:p>
        </w:tc>
        <w:tc>
          <w:tcPr>
            <w:tcW w:w="899" w:type="dxa"/>
            <w:tcBorders>
              <w:top w:val="single" w:sz="4" w:space="0" w:color="auto"/>
              <w:left w:val="nil"/>
              <w:bottom w:val="single" w:sz="4" w:space="0" w:color="auto"/>
              <w:right w:val="single" w:sz="4" w:space="0" w:color="auto"/>
            </w:tcBorders>
            <w:shd w:val="clear" w:color="auto" w:fill="auto"/>
            <w:vAlign w:val="center"/>
          </w:tcPr>
          <w:p w14:paraId="130BB166" w14:textId="77777777" w:rsidR="00996837" w:rsidRPr="003E76E7" w:rsidRDefault="00996837" w:rsidP="00C4292D">
            <w:pPr>
              <w:jc w:val="center"/>
              <w:rPr>
                <w:rFonts w:ascii="Arial" w:hAnsi="Arial"/>
                <w:sz w:val="16"/>
                <w:szCs w:val="16"/>
              </w:rPr>
            </w:pPr>
            <w:r w:rsidRPr="003E76E7">
              <w:rPr>
                <w:rFonts w:ascii="Arial" w:hAnsi="Arial"/>
                <w:sz w:val="16"/>
                <w:szCs w:val="16"/>
              </w:rPr>
              <w:fldChar w:fldCharType="begin"/>
            </w:r>
            <w:r w:rsidRPr="003E76E7">
              <w:rPr>
                <w:rFonts w:ascii="Arial" w:hAnsi="Arial"/>
                <w:sz w:val="16"/>
                <w:szCs w:val="16"/>
              </w:rPr>
              <w:instrText xml:space="preserve"> LINK Excel.Sheet.12 "C:\\Users\\rebecca.salvestrin\\Objective\\Objects\\BO54981777.xlsx" "Top 30 Table!R14C6" \a \f 4 \h  \* MERGEFORMAT </w:instrText>
            </w:r>
            <w:r w:rsidRPr="003E76E7">
              <w:rPr>
                <w:rFonts w:ascii="Arial" w:hAnsi="Arial"/>
                <w:sz w:val="16"/>
                <w:szCs w:val="16"/>
              </w:rPr>
              <w:fldChar w:fldCharType="separate"/>
            </w:r>
          </w:p>
          <w:p w14:paraId="42A143C3" w14:textId="77777777" w:rsidR="00996837" w:rsidRPr="003E76E7" w:rsidRDefault="00996837" w:rsidP="00C4292D">
            <w:pPr>
              <w:spacing w:before="0" w:after="0"/>
              <w:jc w:val="center"/>
              <w:rPr>
                <w:rFonts w:ascii="Arial" w:hAnsi="Arial"/>
                <w:sz w:val="16"/>
                <w:szCs w:val="16"/>
              </w:rPr>
            </w:pPr>
            <w:r w:rsidRPr="003E76E7">
              <w:rPr>
                <w:rFonts w:ascii="Arial" w:hAnsi="Arial"/>
                <w:sz w:val="16"/>
                <w:szCs w:val="16"/>
              </w:rPr>
              <w:t>138</w:t>
            </w:r>
          </w:p>
          <w:p w14:paraId="3FB16209" w14:textId="77777777" w:rsidR="00996837" w:rsidRPr="003E76E7" w:rsidRDefault="00996837" w:rsidP="00C4292D">
            <w:pPr>
              <w:jc w:val="center"/>
              <w:rPr>
                <w:rFonts w:ascii="Arial" w:hAnsi="Arial"/>
                <w:sz w:val="16"/>
                <w:szCs w:val="16"/>
              </w:rPr>
            </w:pPr>
            <w:r w:rsidRPr="003E76E7">
              <w:rPr>
                <w:rFonts w:ascii="Arial" w:hAnsi="Arial"/>
                <w:sz w:val="16"/>
                <w:szCs w:val="16"/>
              </w:rPr>
              <w:fldChar w:fldCharType="end"/>
            </w:r>
          </w:p>
        </w:tc>
        <w:tc>
          <w:tcPr>
            <w:tcW w:w="10054" w:type="dxa"/>
            <w:tcBorders>
              <w:top w:val="single" w:sz="4" w:space="0" w:color="auto"/>
              <w:left w:val="nil"/>
              <w:bottom w:val="single" w:sz="4" w:space="0" w:color="auto"/>
              <w:right w:val="single" w:sz="4" w:space="0" w:color="auto"/>
            </w:tcBorders>
            <w:shd w:val="clear" w:color="auto" w:fill="auto"/>
            <w:vAlign w:val="center"/>
          </w:tcPr>
          <w:p w14:paraId="130AD714" w14:textId="0885D663" w:rsidR="00996837" w:rsidRPr="003E76E7" w:rsidRDefault="00996837" w:rsidP="00C4292D">
            <w:pPr>
              <w:kinsoku w:val="0"/>
              <w:overflowPunct w:val="0"/>
              <w:autoSpaceDE w:val="0"/>
              <w:autoSpaceDN w:val="0"/>
              <w:adjustRightInd w:val="0"/>
              <w:spacing w:before="60" w:after="60" w:line="178" w:lineRule="exact"/>
              <w:rPr>
                <w:rFonts w:ascii="Arial" w:hAnsi="Arial"/>
                <w:sz w:val="16"/>
                <w:szCs w:val="16"/>
                <w:lang w:val="en-AU"/>
              </w:rPr>
            </w:pPr>
            <w:r w:rsidRPr="003E76E7">
              <w:rPr>
                <w:rFonts w:ascii="Arial" w:hAnsi="Arial"/>
                <w:sz w:val="16"/>
                <w:szCs w:val="16"/>
                <w:lang w:val="en-AU"/>
              </w:rPr>
              <w:t xml:space="preserve">The Medium Airlift capability consists of 12 C-130J-30 Hercules aircraft, a flight simulator, and associated support elements operated from RAAF Base Richmond, NSW. The capability is supported by </w:t>
            </w:r>
            <w:r w:rsidR="00F92728" w:rsidRPr="003E76E7">
              <w:rPr>
                <w:rFonts w:ascii="Arial" w:hAnsi="Arial"/>
                <w:sz w:val="16"/>
                <w:szCs w:val="16"/>
                <w:lang w:val="en-AU"/>
              </w:rPr>
              <w:t>two</w:t>
            </w:r>
            <w:r w:rsidRPr="003E76E7">
              <w:rPr>
                <w:rFonts w:ascii="Arial" w:hAnsi="Arial"/>
                <w:sz w:val="16"/>
                <w:szCs w:val="16"/>
                <w:lang w:val="en-AU"/>
              </w:rPr>
              <w:t xml:space="preserve"> performance-based contracts for deeper level maintenance, logistics and engineering support for the aircraft, and for support for the propulsion system.</w:t>
            </w:r>
          </w:p>
          <w:p w14:paraId="21E9CBA5" w14:textId="4F8D5E0C" w:rsidR="00996837" w:rsidRPr="003E76E7" w:rsidRDefault="00A5119F" w:rsidP="00C4292D">
            <w:pPr>
              <w:keepNext/>
              <w:keepLines/>
              <w:spacing w:before="60" w:after="60"/>
              <w:rPr>
                <w:rFonts w:ascii="Arial" w:hAnsi="Arial"/>
                <w:sz w:val="16"/>
                <w:szCs w:val="16"/>
              </w:rPr>
            </w:pPr>
            <w:r w:rsidRPr="003E76E7">
              <w:rPr>
                <w:rFonts w:ascii="Arial" w:hAnsi="Arial"/>
                <w:sz w:val="16"/>
                <w:szCs w:val="16"/>
                <w:lang w:val="en-AU"/>
              </w:rPr>
              <w:t xml:space="preserve">During 2026-27, the focus remains on generating required rates of availability to support Air Force requirements and executing sustainment assurance activities that deliver </w:t>
            </w:r>
            <w:r>
              <w:rPr>
                <w:rFonts w:ascii="Arial" w:hAnsi="Arial"/>
                <w:sz w:val="16"/>
                <w:szCs w:val="16"/>
                <w:lang w:val="en-AU"/>
              </w:rPr>
              <w:t xml:space="preserve">the </w:t>
            </w:r>
            <w:r w:rsidRPr="003E76E7">
              <w:rPr>
                <w:rFonts w:ascii="Arial" w:hAnsi="Arial"/>
                <w:sz w:val="16"/>
                <w:szCs w:val="16"/>
                <w:lang w:val="en-AU"/>
              </w:rPr>
              <w:t>directed capability output. Minor refinement of the extant commercial arrangements will be considered to ensure the C</w:t>
            </w:r>
            <w:r>
              <w:rPr>
                <w:rFonts w:ascii="Arial" w:hAnsi="Arial"/>
                <w:sz w:val="16"/>
                <w:szCs w:val="16"/>
                <w:lang w:val="en-AU"/>
              </w:rPr>
              <w:t>-</w:t>
            </w:r>
            <w:r w:rsidRPr="003E76E7">
              <w:rPr>
                <w:rFonts w:ascii="Arial" w:hAnsi="Arial"/>
                <w:sz w:val="16"/>
                <w:szCs w:val="16"/>
                <w:lang w:val="en-AU"/>
              </w:rPr>
              <w:t>130J remains fit for purpose through to planned withdrawal date.</w:t>
            </w:r>
          </w:p>
        </w:tc>
      </w:tr>
      <w:tr w:rsidR="00996837" w:rsidRPr="003E76E7" w14:paraId="17103D24" w14:textId="77777777" w:rsidTr="00F92728">
        <w:trPr>
          <w:trHeight w:val="506"/>
        </w:trPr>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3A5AC81E" w14:textId="77777777" w:rsidR="00996837" w:rsidRPr="003E76E7" w:rsidRDefault="00996837" w:rsidP="00C4292D">
            <w:pPr>
              <w:rPr>
                <w:rFonts w:ascii="Arial" w:hAnsi="Arial"/>
                <w:sz w:val="16"/>
                <w:szCs w:val="18"/>
              </w:rPr>
            </w:pPr>
            <w:r w:rsidRPr="003E76E7">
              <w:rPr>
                <w:rFonts w:ascii="Arial" w:hAnsi="Arial"/>
                <w:sz w:val="16"/>
                <w:szCs w:val="16"/>
              </w:rPr>
              <w:t>Pilot Training System</w:t>
            </w:r>
          </w:p>
        </w:tc>
        <w:tc>
          <w:tcPr>
            <w:tcW w:w="942" w:type="dxa"/>
            <w:tcBorders>
              <w:top w:val="single" w:sz="4" w:space="0" w:color="auto"/>
              <w:left w:val="nil"/>
              <w:bottom w:val="single" w:sz="4" w:space="0" w:color="auto"/>
              <w:right w:val="single" w:sz="4" w:space="0" w:color="auto"/>
            </w:tcBorders>
            <w:shd w:val="clear" w:color="auto" w:fill="auto"/>
            <w:vAlign w:val="center"/>
          </w:tcPr>
          <w:p w14:paraId="47BBEAA2" w14:textId="77777777" w:rsidR="00996837" w:rsidRPr="003E76E7" w:rsidRDefault="00996837" w:rsidP="00C4292D">
            <w:pPr>
              <w:jc w:val="center"/>
              <w:rPr>
                <w:rFonts w:ascii="Arial" w:hAnsi="Arial"/>
                <w:b/>
                <w:bCs/>
                <w:sz w:val="16"/>
                <w:szCs w:val="18"/>
              </w:rPr>
            </w:pPr>
            <w:r w:rsidRPr="003E76E7">
              <w:rPr>
                <w:rFonts w:ascii="Arial" w:hAnsi="Arial"/>
                <w:b/>
                <w:bCs/>
                <w:sz w:val="16"/>
                <w:szCs w:val="16"/>
              </w:rPr>
              <w:t>CAF37</w:t>
            </w:r>
          </w:p>
        </w:tc>
        <w:tc>
          <w:tcPr>
            <w:tcW w:w="899" w:type="dxa"/>
            <w:tcBorders>
              <w:top w:val="single" w:sz="4" w:space="0" w:color="auto"/>
              <w:left w:val="nil"/>
              <w:bottom w:val="single" w:sz="4" w:space="0" w:color="auto"/>
              <w:right w:val="single" w:sz="4" w:space="0" w:color="auto"/>
            </w:tcBorders>
            <w:shd w:val="clear" w:color="auto" w:fill="auto"/>
            <w:vAlign w:val="center"/>
          </w:tcPr>
          <w:p w14:paraId="0F252A7D" w14:textId="77777777" w:rsidR="00996837" w:rsidRPr="003E76E7" w:rsidRDefault="00996837" w:rsidP="00C4292D">
            <w:pPr>
              <w:jc w:val="right"/>
              <w:rPr>
                <w:rFonts w:ascii="Arial" w:hAnsi="Arial"/>
                <w:sz w:val="16"/>
                <w:szCs w:val="16"/>
              </w:rPr>
            </w:pPr>
            <w:r w:rsidRPr="003E76E7">
              <w:rPr>
                <w:rFonts w:ascii="Arial" w:hAnsi="Arial"/>
                <w:sz w:val="16"/>
                <w:szCs w:val="16"/>
              </w:rPr>
              <w:fldChar w:fldCharType="begin"/>
            </w:r>
            <w:r w:rsidRPr="003E76E7">
              <w:rPr>
                <w:rFonts w:ascii="Arial" w:hAnsi="Arial"/>
                <w:sz w:val="16"/>
                <w:szCs w:val="16"/>
              </w:rPr>
              <w:instrText xml:space="preserve"> LINK Excel.Sheet.12 "C:\\Users\\rebecca.salvestrin\\Objective\\Objects\\BO54981777.xlsx" "Top 30 Table!R15C6" \a \f 4 \h  \* MERGEFORMAT </w:instrText>
            </w:r>
            <w:r w:rsidRPr="003E76E7">
              <w:rPr>
                <w:rFonts w:ascii="Arial" w:hAnsi="Arial"/>
                <w:sz w:val="16"/>
                <w:szCs w:val="16"/>
              </w:rPr>
              <w:fldChar w:fldCharType="separate"/>
            </w:r>
          </w:p>
          <w:p w14:paraId="1FDBA486" w14:textId="77777777" w:rsidR="00996837" w:rsidRPr="003E76E7" w:rsidRDefault="00996837" w:rsidP="00C4292D">
            <w:pPr>
              <w:spacing w:before="0" w:after="0"/>
              <w:jc w:val="center"/>
              <w:rPr>
                <w:rFonts w:ascii="Arial" w:hAnsi="Arial"/>
                <w:sz w:val="16"/>
                <w:szCs w:val="16"/>
              </w:rPr>
            </w:pPr>
            <w:r w:rsidRPr="003E76E7">
              <w:rPr>
                <w:rFonts w:ascii="Arial" w:hAnsi="Arial"/>
                <w:sz w:val="16"/>
                <w:szCs w:val="16"/>
              </w:rPr>
              <w:t>136</w:t>
            </w:r>
          </w:p>
          <w:p w14:paraId="48437B7A" w14:textId="77777777" w:rsidR="00996837" w:rsidRPr="003E76E7" w:rsidRDefault="00996837" w:rsidP="00C4292D">
            <w:pPr>
              <w:jc w:val="right"/>
              <w:rPr>
                <w:rFonts w:ascii="Arial" w:hAnsi="Arial"/>
                <w:sz w:val="16"/>
                <w:szCs w:val="16"/>
              </w:rPr>
            </w:pPr>
            <w:r w:rsidRPr="003E76E7">
              <w:rPr>
                <w:rFonts w:ascii="Arial" w:hAnsi="Arial"/>
                <w:sz w:val="16"/>
                <w:szCs w:val="16"/>
              </w:rPr>
              <w:fldChar w:fldCharType="end"/>
            </w:r>
          </w:p>
        </w:tc>
        <w:tc>
          <w:tcPr>
            <w:tcW w:w="10054" w:type="dxa"/>
            <w:tcBorders>
              <w:top w:val="single" w:sz="4" w:space="0" w:color="auto"/>
              <w:left w:val="nil"/>
              <w:bottom w:val="single" w:sz="4" w:space="0" w:color="auto"/>
              <w:right w:val="single" w:sz="4" w:space="0" w:color="auto"/>
            </w:tcBorders>
            <w:shd w:val="clear" w:color="auto" w:fill="auto"/>
            <w:vAlign w:val="center"/>
          </w:tcPr>
          <w:p w14:paraId="5FE4C625" w14:textId="77777777" w:rsidR="00996837" w:rsidRPr="003E76E7" w:rsidRDefault="00996837" w:rsidP="00C4292D">
            <w:pPr>
              <w:kinsoku w:val="0"/>
              <w:overflowPunct w:val="0"/>
              <w:autoSpaceDE w:val="0"/>
              <w:autoSpaceDN w:val="0"/>
              <w:adjustRightInd w:val="0"/>
              <w:spacing w:before="60" w:after="60"/>
              <w:ind w:right="91"/>
              <w:rPr>
                <w:rFonts w:ascii="Arial" w:hAnsi="Arial"/>
                <w:sz w:val="16"/>
                <w:szCs w:val="16"/>
                <w:lang w:val="en-AU"/>
              </w:rPr>
            </w:pPr>
            <w:r w:rsidRPr="003E76E7">
              <w:rPr>
                <w:rFonts w:ascii="Arial" w:hAnsi="Arial"/>
                <w:sz w:val="16"/>
                <w:szCs w:val="16"/>
                <w:lang w:val="en-AU"/>
              </w:rPr>
              <w:t>This capability provides an integrated fixed-wing pilot training system, consisting of 49 PC-21 aircraft, a variety of training devices and associated courseware, for ab-initio pilots and qualified flying instructors for Navy, Army and Air Force. Aircraft currently operate from RAAF Base East Sale (VIC), RAAF Base Pearce (WA), RAAF Base Edinburgh (SA) and RAAF Base Williamtown (NSW).</w:t>
            </w:r>
          </w:p>
          <w:p w14:paraId="66925693" w14:textId="77777777" w:rsidR="00996837" w:rsidRPr="003E76E7" w:rsidRDefault="00996837" w:rsidP="00C4292D">
            <w:pPr>
              <w:keepNext/>
              <w:spacing w:before="60" w:after="60"/>
              <w:rPr>
                <w:rFonts w:ascii="Arial" w:hAnsi="Arial"/>
                <w:sz w:val="16"/>
                <w:szCs w:val="16"/>
              </w:rPr>
            </w:pPr>
            <w:r w:rsidRPr="003E76E7">
              <w:rPr>
                <w:rFonts w:ascii="Arial" w:hAnsi="Arial"/>
                <w:sz w:val="16"/>
                <w:szCs w:val="16"/>
                <w:lang w:val="en-AU"/>
              </w:rPr>
              <w:t>During 2026-27, the focus is on ensuring the sustainable delivery of the Pilot Training System.</w:t>
            </w:r>
          </w:p>
        </w:tc>
      </w:tr>
    </w:tbl>
    <w:p w14:paraId="65064B98" w14:textId="77777777" w:rsidR="00996837" w:rsidRPr="003E76E7" w:rsidRDefault="00996837" w:rsidP="00C4292D">
      <w:r w:rsidRPr="003E76E7">
        <w:br w:type="page"/>
      </w:r>
    </w:p>
    <w:tbl>
      <w:tblPr>
        <w:tblW w:w="13453" w:type="dxa"/>
        <w:tblInd w:w="-34" w:type="dxa"/>
        <w:tblLayout w:type="fixed"/>
        <w:tblLook w:val="04A0" w:firstRow="1" w:lastRow="0" w:firstColumn="1" w:lastColumn="0" w:noHBand="0" w:noVBand="1"/>
      </w:tblPr>
      <w:tblGrid>
        <w:gridCol w:w="1558"/>
        <w:gridCol w:w="942"/>
        <w:gridCol w:w="899"/>
        <w:gridCol w:w="10054"/>
      </w:tblGrid>
      <w:tr w:rsidR="00996837" w:rsidRPr="003E76E7" w14:paraId="2DF148B7" w14:textId="77777777" w:rsidTr="00F92728">
        <w:trPr>
          <w:trHeight w:val="283"/>
          <w:tblHeader/>
        </w:trPr>
        <w:tc>
          <w:tcPr>
            <w:tcW w:w="13453" w:type="dxa"/>
            <w:gridSpan w:val="4"/>
            <w:tcBorders>
              <w:bottom w:val="single" w:sz="4" w:space="0" w:color="auto"/>
            </w:tcBorders>
            <w:shd w:val="clear" w:color="auto" w:fill="auto"/>
            <w:vAlign w:val="bottom"/>
          </w:tcPr>
          <w:p w14:paraId="3D8EE4EE" w14:textId="185D065F" w:rsidR="00996837" w:rsidRPr="003E76E7" w:rsidRDefault="00996837" w:rsidP="00C4292D">
            <w:pPr>
              <w:spacing w:before="0" w:after="60"/>
              <w:ind w:left="-113"/>
              <w:rPr>
                <w:rFonts w:ascii="Arial" w:hAnsi="Arial"/>
                <w:b/>
              </w:rPr>
            </w:pPr>
            <w:r w:rsidRPr="003E76E7">
              <w:rPr>
                <w:rFonts w:ascii="Arial" w:hAnsi="Arial"/>
                <w:b/>
              </w:rPr>
              <w:lastRenderedPageBreak/>
              <w:t>Table 55: Top 30 Capability Sustainment Products by End of Financial Year Outcome 2026-27 (Continued)</w:t>
            </w:r>
            <w:r w:rsidRPr="003E76E7">
              <w:rPr>
                <w:rFonts w:ascii="Arial" w:hAnsi="Arial"/>
                <w:b/>
                <w:vertAlign w:val="superscript"/>
              </w:rPr>
              <w:t xml:space="preserve"> [a]</w:t>
            </w:r>
            <w:r w:rsidR="007E7201" w:rsidRPr="003E76E7">
              <w:rPr>
                <w:rFonts w:ascii="Arial" w:hAnsi="Arial"/>
                <w:b/>
                <w:vertAlign w:val="superscript"/>
              </w:rPr>
              <w:t xml:space="preserve"> </w:t>
            </w:r>
            <w:r w:rsidRPr="003E76E7">
              <w:rPr>
                <w:rFonts w:ascii="Arial" w:hAnsi="Arial"/>
                <w:b/>
                <w:vertAlign w:val="superscript"/>
              </w:rPr>
              <w:t>[b]</w:t>
            </w:r>
          </w:p>
        </w:tc>
      </w:tr>
      <w:tr w:rsidR="007E7201" w:rsidRPr="003E76E7" w14:paraId="60E2E3D3" w14:textId="77777777" w:rsidTr="00311E44">
        <w:trPr>
          <w:trHeight w:val="283"/>
          <w:tblHeader/>
        </w:trPr>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1C7F6E8C" w14:textId="39EF771C" w:rsidR="007E7201" w:rsidRPr="003E76E7" w:rsidRDefault="007E7201" w:rsidP="00C4292D">
            <w:pPr>
              <w:spacing w:before="0" w:after="0"/>
              <w:rPr>
                <w:rFonts w:ascii="Arial" w:hAnsi="Arial"/>
                <w:sz w:val="16"/>
                <w:szCs w:val="16"/>
                <w:lang w:val="en-AU"/>
              </w:rPr>
            </w:pPr>
            <w:r w:rsidRPr="003E76E7">
              <w:rPr>
                <w:rFonts w:ascii="Arial" w:hAnsi="Arial"/>
                <w:b/>
                <w:bCs/>
                <w:sz w:val="16"/>
                <w:szCs w:val="16"/>
                <w:lang w:val="en-AU"/>
              </w:rPr>
              <w:t>Domain/Product Name</w:t>
            </w:r>
          </w:p>
        </w:tc>
        <w:tc>
          <w:tcPr>
            <w:tcW w:w="942" w:type="dxa"/>
            <w:tcBorders>
              <w:top w:val="single" w:sz="4" w:space="0" w:color="auto"/>
              <w:left w:val="single" w:sz="4" w:space="0" w:color="auto"/>
              <w:bottom w:val="single" w:sz="4" w:space="0" w:color="auto"/>
              <w:right w:val="single" w:sz="4" w:space="0" w:color="auto"/>
            </w:tcBorders>
            <w:shd w:val="clear" w:color="auto" w:fill="auto"/>
            <w:vAlign w:val="center"/>
          </w:tcPr>
          <w:p w14:paraId="5FC0B112" w14:textId="0A02A2F6" w:rsidR="007E7201" w:rsidRPr="003E76E7" w:rsidRDefault="007E7201" w:rsidP="00C4292D">
            <w:pPr>
              <w:spacing w:before="0" w:after="0"/>
              <w:jc w:val="center"/>
              <w:rPr>
                <w:rFonts w:ascii="Arial" w:hAnsi="Arial"/>
                <w:b/>
                <w:bCs/>
                <w:sz w:val="16"/>
                <w:szCs w:val="16"/>
                <w:lang w:val="en-AU"/>
              </w:rPr>
            </w:pPr>
            <w:r w:rsidRPr="003E76E7">
              <w:rPr>
                <w:rFonts w:ascii="Arial" w:hAnsi="Arial"/>
                <w:b/>
                <w:bCs/>
                <w:sz w:val="16"/>
                <w:szCs w:val="16"/>
                <w:lang w:val="en-AU"/>
              </w:rPr>
              <w:t>Product Serial</w:t>
            </w:r>
          </w:p>
        </w:tc>
        <w:tc>
          <w:tcPr>
            <w:tcW w:w="899" w:type="dxa"/>
            <w:tcBorders>
              <w:top w:val="single" w:sz="4" w:space="0" w:color="auto"/>
              <w:left w:val="single" w:sz="4" w:space="0" w:color="auto"/>
              <w:bottom w:val="single" w:sz="4" w:space="0" w:color="auto"/>
              <w:right w:val="single" w:sz="4" w:space="0" w:color="auto"/>
            </w:tcBorders>
            <w:shd w:val="clear" w:color="auto" w:fill="auto"/>
          </w:tcPr>
          <w:p w14:paraId="7E55F2ED" w14:textId="0541FABD" w:rsidR="007E7201" w:rsidRPr="003E76E7" w:rsidRDefault="007E7201" w:rsidP="00C4292D">
            <w:pPr>
              <w:spacing w:before="0" w:after="0"/>
              <w:jc w:val="right"/>
              <w:rPr>
                <w:rFonts w:ascii="Arial" w:hAnsi="Arial"/>
                <w:sz w:val="16"/>
                <w:szCs w:val="16"/>
                <w:lang w:val="en-AU"/>
              </w:rPr>
            </w:pPr>
            <w:r w:rsidRPr="003E76E7">
              <w:rPr>
                <w:rFonts w:ascii="Arial" w:hAnsi="Arial"/>
                <w:b/>
                <w:bCs/>
                <w:sz w:val="16"/>
                <w:szCs w:val="16"/>
                <w:lang w:val="en-AU"/>
              </w:rPr>
              <w:t>Budget Estimate 2026-27 $m</w:t>
            </w:r>
            <w:r w:rsidRPr="003E76E7">
              <w:rPr>
                <w:rFonts w:ascii="Arial" w:hAnsi="Arial"/>
                <w:b/>
                <w:bCs/>
                <w:sz w:val="16"/>
                <w:szCs w:val="16"/>
                <w:vertAlign w:val="superscript"/>
                <w:lang w:val="en-AU"/>
              </w:rPr>
              <w:t xml:space="preserve"> </w:t>
            </w:r>
          </w:p>
        </w:tc>
        <w:tc>
          <w:tcPr>
            <w:tcW w:w="10054" w:type="dxa"/>
            <w:tcBorders>
              <w:top w:val="single" w:sz="4" w:space="0" w:color="auto"/>
              <w:left w:val="single" w:sz="4" w:space="0" w:color="auto"/>
              <w:bottom w:val="single" w:sz="4" w:space="0" w:color="auto"/>
              <w:right w:val="single" w:sz="4" w:space="0" w:color="auto"/>
            </w:tcBorders>
            <w:shd w:val="clear" w:color="auto" w:fill="auto"/>
            <w:vAlign w:val="center"/>
          </w:tcPr>
          <w:p w14:paraId="425563CF" w14:textId="699EC684" w:rsidR="007E7201" w:rsidRPr="003E76E7" w:rsidRDefault="007E7201" w:rsidP="00C4292D">
            <w:pPr>
              <w:spacing w:before="0" w:after="0"/>
              <w:rPr>
                <w:rFonts w:ascii="Arial" w:hAnsi="Arial"/>
                <w:sz w:val="16"/>
                <w:szCs w:val="16"/>
                <w:lang w:val="en-AU"/>
              </w:rPr>
            </w:pPr>
            <w:r w:rsidRPr="003E76E7">
              <w:rPr>
                <w:rFonts w:ascii="Arial" w:hAnsi="Arial"/>
                <w:b/>
                <w:bCs/>
                <w:sz w:val="16"/>
                <w:szCs w:val="16"/>
                <w:lang w:val="en-AU"/>
              </w:rPr>
              <w:t>Top 30 Capability Sustainment Product Descriptions</w:t>
            </w:r>
          </w:p>
        </w:tc>
      </w:tr>
      <w:tr w:rsidR="00996837" w:rsidRPr="003E76E7" w14:paraId="0606189C" w14:textId="77777777" w:rsidTr="00F92728">
        <w:trPr>
          <w:trHeight w:val="274"/>
        </w:trPr>
        <w:tc>
          <w:tcPr>
            <w:tcW w:w="13453"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B4AF781" w14:textId="77777777" w:rsidR="00996837" w:rsidRPr="003E76E7" w:rsidRDefault="00996837" w:rsidP="00C4292D">
            <w:pPr>
              <w:kinsoku w:val="0"/>
              <w:overflowPunct w:val="0"/>
              <w:autoSpaceDE w:val="0"/>
              <w:autoSpaceDN w:val="0"/>
              <w:adjustRightInd w:val="0"/>
              <w:spacing w:before="60" w:after="60" w:line="178" w:lineRule="exact"/>
              <w:rPr>
                <w:rFonts w:ascii="Arial" w:hAnsi="Arial"/>
                <w:sz w:val="16"/>
                <w:szCs w:val="16"/>
                <w:lang w:val="en-AU"/>
              </w:rPr>
            </w:pPr>
            <w:r w:rsidRPr="003E76E7">
              <w:rPr>
                <w:rFonts w:ascii="Arial" w:hAnsi="Arial"/>
                <w:b/>
                <w:bCs/>
                <w:sz w:val="16"/>
                <w:szCs w:val="16"/>
              </w:rPr>
              <w:t>Air Domain (Continued)</w:t>
            </w:r>
          </w:p>
        </w:tc>
      </w:tr>
      <w:tr w:rsidR="00996837" w:rsidRPr="003E76E7" w14:paraId="2561105D" w14:textId="77777777" w:rsidTr="00F92728">
        <w:trPr>
          <w:trHeight w:val="1009"/>
        </w:trPr>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32EADF2E" w14:textId="77777777" w:rsidR="00996837" w:rsidRPr="003E76E7" w:rsidRDefault="00996837" w:rsidP="00C4292D">
            <w:pPr>
              <w:rPr>
                <w:rFonts w:ascii="Arial" w:hAnsi="Arial"/>
                <w:sz w:val="16"/>
                <w:szCs w:val="18"/>
              </w:rPr>
            </w:pPr>
            <w:r w:rsidRPr="003E76E7">
              <w:rPr>
                <w:rFonts w:ascii="Arial" w:hAnsi="Arial"/>
                <w:sz w:val="16"/>
                <w:szCs w:val="16"/>
              </w:rPr>
              <w:t>MC-55A Long Range ISREW Aircraft</w:t>
            </w:r>
          </w:p>
        </w:tc>
        <w:tc>
          <w:tcPr>
            <w:tcW w:w="942" w:type="dxa"/>
            <w:tcBorders>
              <w:top w:val="single" w:sz="4" w:space="0" w:color="auto"/>
              <w:left w:val="nil"/>
              <w:bottom w:val="single" w:sz="4" w:space="0" w:color="auto"/>
              <w:right w:val="single" w:sz="4" w:space="0" w:color="auto"/>
            </w:tcBorders>
            <w:shd w:val="clear" w:color="auto" w:fill="auto"/>
            <w:vAlign w:val="center"/>
          </w:tcPr>
          <w:p w14:paraId="7780BEA0" w14:textId="77777777" w:rsidR="00996837" w:rsidRPr="003E76E7" w:rsidRDefault="00996837" w:rsidP="00C4292D">
            <w:pPr>
              <w:jc w:val="center"/>
              <w:rPr>
                <w:rFonts w:ascii="Arial" w:hAnsi="Arial"/>
                <w:b/>
                <w:bCs/>
                <w:sz w:val="16"/>
                <w:szCs w:val="18"/>
              </w:rPr>
            </w:pPr>
            <w:r w:rsidRPr="003E76E7">
              <w:rPr>
                <w:rFonts w:ascii="Arial" w:hAnsi="Arial"/>
                <w:b/>
                <w:bCs/>
                <w:sz w:val="16"/>
                <w:szCs w:val="16"/>
              </w:rPr>
              <w:t>CAF40</w:t>
            </w:r>
          </w:p>
        </w:tc>
        <w:tc>
          <w:tcPr>
            <w:tcW w:w="899" w:type="dxa"/>
            <w:tcBorders>
              <w:top w:val="single" w:sz="4" w:space="0" w:color="auto"/>
              <w:left w:val="nil"/>
              <w:bottom w:val="single" w:sz="4" w:space="0" w:color="auto"/>
              <w:right w:val="single" w:sz="4" w:space="0" w:color="auto"/>
            </w:tcBorders>
            <w:shd w:val="clear" w:color="auto" w:fill="auto"/>
            <w:vAlign w:val="center"/>
          </w:tcPr>
          <w:p w14:paraId="211DF4F1" w14:textId="77777777" w:rsidR="00996837" w:rsidRPr="003E76E7" w:rsidRDefault="00996837" w:rsidP="00C4292D">
            <w:pPr>
              <w:jc w:val="center"/>
              <w:rPr>
                <w:rFonts w:ascii="Arial" w:hAnsi="Arial"/>
                <w:sz w:val="16"/>
                <w:szCs w:val="16"/>
              </w:rPr>
            </w:pPr>
            <w:r w:rsidRPr="003E76E7">
              <w:rPr>
                <w:rFonts w:ascii="Arial" w:hAnsi="Arial"/>
                <w:sz w:val="16"/>
                <w:szCs w:val="16"/>
              </w:rPr>
              <w:fldChar w:fldCharType="begin"/>
            </w:r>
            <w:r w:rsidRPr="003E76E7">
              <w:rPr>
                <w:rFonts w:ascii="Arial" w:hAnsi="Arial"/>
                <w:sz w:val="16"/>
                <w:szCs w:val="16"/>
              </w:rPr>
              <w:instrText xml:space="preserve"> LINK Excel.Sheet.12 "C:\\Users\\rebecca.salvestrin\\Objective\\Objects\\BO54981777.xlsx" "Top 30 Table!R16C6" \a \f 4 \h  \* MERGEFORMAT </w:instrText>
            </w:r>
            <w:r w:rsidRPr="003E76E7">
              <w:rPr>
                <w:rFonts w:ascii="Arial" w:hAnsi="Arial"/>
                <w:sz w:val="16"/>
                <w:szCs w:val="16"/>
              </w:rPr>
              <w:fldChar w:fldCharType="separate"/>
            </w:r>
          </w:p>
          <w:p w14:paraId="154A7BEC" w14:textId="77777777" w:rsidR="00996837" w:rsidRPr="003E76E7" w:rsidRDefault="00996837" w:rsidP="00C4292D">
            <w:pPr>
              <w:spacing w:before="0" w:after="0"/>
              <w:jc w:val="center"/>
              <w:rPr>
                <w:rFonts w:ascii="Arial" w:hAnsi="Arial"/>
                <w:sz w:val="16"/>
                <w:szCs w:val="16"/>
              </w:rPr>
            </w:pPr>
            <w:r w:rsidRPr="003E76E7">
              <w:rPr>
                <w:rFonts w:ascii="Arial" w:hAnsi="Arial"/>
                <w:sz w:val="16"/>
                <w:szCs w:val="16"/>
              </w:rPr>
              <w:t>136</w:t>
            </w:r>
          </w:p>
          <w:p w14:paraId="6580D351" w14:textId="77777777" w:rsidR="00996837" w:rsidRPr="003E76E7" w:rsidRDefault="00996837" w:rsidP="00C4292D">
            <w:pPr>
              <w:jc w:val="center"/>
              <w:rPr>
                <w:rFonts w:ascii="Arial" w:hAnsi="Arial"/>
                <w:sz w:val="16"/>
                <w:szCs w:val="16"/>
              </w:rPr>
            </w:pPr>
            <w:r w:rsidRPr="003E76E7">
              <w:rPr>
                <w:rFonts w:ascii="Arial" w:hAnsi="Arial"/>
                <w:sz w:val="16"/>
                <w:szCs w:val="16"/>
              </w:rPr>
              <w:fldChar w:fldCharType="end"/>
            </w:r>
          </w:p>
        </w:tc>
        <w:tc>
          <w:tcPr>
            <w:tcW w:w="10054" w:type="dxa"/>
            <w:tcBorders>
              <w:top w:val="single" w:sz="4" w:space="0" w:color="auto"/>
              <w:left w:val="nil"/>
              <w:bottom w:val="single" w:sz="4" w:space="0" w:color="auto"/>
              <w:right w:val="single" w:sz="4" w:space="0" w:color="auto"/>
            </w:tcBorders>
            <w:shd w:val="clear" w:color="auto" w:fill="auto"/>
            <w:vAlign w:val="center"/>
          </w:tcPr>
          <w:p w14:paraId="1A37A850" w14:textId="4AE8CBE6" w:rsidR="00996837" w:rsidRPr="003E76E7" w:rsidRDefault="00996837" w:rsidP="00C4292D">
            <w:pPr>
              <w:kinsoku w:val="0"/>
              <w:overflowPunct w:val="0"/>
              <w:autoSpaceDE w:val="0"/>
              <w:autoSpaceDN w:val="0"/>
              <w:adjustRightInd w:val="0"/>
              <w:spacing w:before="60" w:after="60" w:line="178" w:lineRule="exact"/>
              <w:rPr>
                <w:rFonts w:ascii="Arial" w:hAnsi="Arial"/>
                <w:sz w:val="16"/>
                <w:szCs w:val="16"/>
                <w:lang w:val="en-AU"/>
              </w:rPr>
            </w:pPr>
            <w:r w:rsidRPr="003E76E7">
              <w:rPr>
                <w:rFonts w:ascii="Arial" w:hAnsi="Arial"/>
                <w:sz w:val="16"/>
                <w:szCs w:val="16"/>
                <w:lang w:val="en-AU"/>
              </w:rPr>
              <w:t xml:space="preserve">The MC-55A Peregrine Airborne Intelligence Surveillance, Reconnaissance and Electronic Warfare Capability will sustain a fleet of </w:t>
            </w:r>
            <w:r w:rsidR="00A30B2C" w:rsidRPr="003E76E7">
              <w:rPr>
                <w:rFonts w:ascii="Arial" w:hAnsi="Arial"/>
                <w:sz w:val="16"/>
                <w:szCs w:val="16"/>
                <w:lang w:val="en-AU"/>
              </w:rPr>
              <w:br/>
            </w:r>
            <w:r w:rsidRPr="003E76E7">
              <w:rPr>
                <w:rFonts w:ascii="Arial" w:hAnsi="Arial"/>
                <w:sz w:val="16"/>
                <w:szCs w:val="16"/>
                <w:lang w:val="en-AU"/>
              </w:rPr>
              <w:t>MC-55A Peregrine aircraft and related support systems.</w:t>
            </w:r>
          </w:p>
          <w:p w14:paraId="6440CF64" w14:textId="77777777" w:rsidR="00996837" w:rsidRPr="003E76E7" w:rsidRDefault="00996837" w:rsidP="00C4292D">
            <w:pPr>
              <w:spacing w:before="60" w:after="60"/>
              <w:rPr>
                <w:rFonts w:ascii="Arial" w:hAnsi="Arial"/>
                <w:sz w:val="16"/>
                <w:szCs w:val="16"/>
              </w:rPr>
            </w:pPr>
            <w:r w:rsidRPr="003E76E7">
              <w:rPr>
                <w:rFonts w:ascii="Arial" w:hAnsi="Arial"/>
                <w:sz w:val="16"/>
                <w:szCs w:val="16"/>
                <w:lang w:val="en-AU"/>
              </w:rPr>
              <w:t>During 2026-27, the focus is on supporting the newly delivered capability, continuing to mature the initial sustainment arrangements, and establishing the spiral development and deeper maintenance program.</w:t>
            </w:r>
          </w:p>
        </w:tc>
      </w:tr>
      <w:tr w:rsidR="00996837" w:rsidRPr="003E76E7" w14:paraId="3423D0D7" w14:textId="77777777" w:rsidTr="00F92728">
        <w:trPr>
          <w:trHeight w:val="1172"/>
        </w:trPr>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17BD7BE1" w14:textId="77777777" w:rsidR="00996837" w:rsidRPr="003E76E7" w:rsidRDefault="00996837" w:rsidP="00C4292D">
            <w:pPr>
              <w:rPr>
                <w:rFonts w:ascii="Arial" w:hAnsi="Arial"/>
                <w:sz w:val="16"/>
                <w:szCs w:val="18"/>
              </w:rPr>
            </w:pPr>
            <w:r w:rsidRPr="003E76E7">
              <w:rPr>
                <w:rFonts w:ascii="Arial" w:hAnsi="Arial"/>
                <w:sz w:val="16"/>
                <w:szCs w:val="16"/>
              </w:rPr>
              <w:t>Advanced Testing &amp; Training Environment</w:t>
            </w:r>
          </w:p>
        </w:tc>
        <w:tc>
          <w:tcPr>
            <w:tcW w:w="942" w:type="dxa"/>
            <w:tcBorders>
              <w:top w:val="single" w:sz="4" w:space="0" w:color="auto"/>
              <w:left w:val="nil"/>
              <w:bottom w:val="single" w:sz="4" w:space="0" w:color="auto"/>
              <w:right w:val="single" w:sz="4" w:space="0" w:color="auto"/>
            </w:tcBorders>
            <w:shd w:val="clear" w:color="auto" w:fill="auto"/>
            <w:vAlign w:val="center"/>
          </w:tcPr>
          <w:p w14:paraId="5B463423" w14:textId="77777777" w:rsidR="00996837" w:rsidRPr="003E76E7" w:rsidRDefault="00996837" w:rsidP="00C4292D">
            <w:pPr>
              <w:jc w:val="center"/>
              <w:rPr>
                <w:rFonts w:ascii="Arial" w:hAnsi="Arial"/>
                <w:b/>
                <w:bCs/>
                <w:sz w:val="16"/>
                <w:szCs w:val="18"/>
              </w:rPr>
            </w:pPr>
            <w:r w:rsidRPr="003E76E7">
              <w:rPr>
                <w:rFonts w:ascii="Arial" w:hAnsi="Arial"/>
                <w:b/>
                <w:bCs/>
                <w:sz w:val="16"/>
                <w:szCs w:val="16"/>
              </w:rPr>
              <w:t>CAF23</w:t>
            </w:r>
          </w:p>
        </w:tc>
        <w:tc>
          <w:tcPr>
            <w:tcW w:w="899" w:type="dxa"/>
            <w:tcBorders>
              <w:top w:val="single" w:sz="4" w:space="0" w:color="auto"/>
              <w:left w:val="nil"/>
              <w:bottom w:val="single" w:sz="4" w:space="0" w:color="auto"/>
              <w:right w:val="single" w:sz="4" w:space="0" w:color="auto"/>
            </w:tcBorders>
            <w:shd w:val="clear" w:color="auto" w:fill="auto"/>
            <w:vAlign w:val="center"/>
          </w:tcPr>
          <w:p w14:paraId="2F4B14E8" w14:textId="77777777" w:rsidR="00996837" w:rsidRPr="003E76E7" w:rsidRDefault="00996837" w:rsidP="00C4292D">
            <w:pPr>
              <w:jc w:val="center"/>
              <w:rPr>
                <w:rFonts w:ascii="Arial" w:hAnsi="Arial"/>
                <w:sz w:val="16"/>
                <w:szCs w:val="16"/>
              </w:rPr>
            </w:pPr>
            <w:r w:rsidRPr="003E76E7">
              <w:rPr>
                <w:rFonts w:ascii="Arial" w:hAnsi="Arial"/>
                <w:sz w:val="16"/>
                <w:szCs w:val="16"/>
              </w:rPr>
              <w:fldChar w:fldCharType="begin"/>
            </w:r>
            <w:r w:rsidRPr="003E76E7">
              <w:rPr>
                <w:rFonts w:ascii="Arial" w:hAnsi="Arial"/>
                <w:sz w:val="16"/>
                <w:szCs w:val="16"/>
              </w:rPr>
              <w:instrText xml:space="preserve"> LINK Excel.Sheet.12 "C:\\Users\\rebecca.salvestrin\\Objective\\Objects\\BO54981777.xlsx" "Top 30 Table!R17C6" \a \f 4 \h  \* MERGEFORMAT </w:instrText>
            </w:r>
            <w:r w:rsidRPr="003E76E7">
              <w:rPr>
                <w:rFonts w:ascii="Arial" w:hAnsi="Arial"/>
                <w:sz w:val="16"/>
                <w:szCs w:val="16"/>
              </w:rPr>
              <w:fldChar w:fldCharType="separate"/>
            </w:r>
          </w:p>
          <w:p w14:paraId="6E6DDB39" w14:textId="77777777" w:rsidR="00996837" w:rsidRPr="003E76E7" w:rsidRDefault="00996837" w:rsidP="00C4292D">
            <w:pPr>
              <w:spacing w:before="0" w:after="0"/>
              <w:jc w:val="center"/>
              <w:rPr>
                <w:rFonts w:ascii="Arial" w:hAnsi="Arial"/>
                <w:sz w:val="16"/>
                <w:szCs w:val="16"/>
              </w:rPr>
            </w:pPr>
            <w:r w:rsidRPr="003E76E7">
              <w:rPr>
                <w:rFonts w:ascii="Arial" w:hAnsi="Arial"/>
                <w:sz w:val="16"/>
                <w:szCs w:val="16"/>
              </w:rPr>
              <w:t>129</w:t>
            </w:r>
          </w:p>
          <w:p w14:paraId="07801CD6" w14:textId="77777777" w:rsidR="00996837" w:rsidRPr="003E76E7" w:rsidRDefault="00996837" w:rsidP="00C4292D">
            <w:pPr>
              <w:jc w:val="center"/>
              <w:rPr>
                <w:rFonts w:ascii="Arial" w:hAnsi="Arial"/>
                <w:sz w:val="16"/>
                <w:szCs w:val="16"/>
              </w:rPr>
            </w:pPr>
            <w:r w:rsidRPr="003E76E7">
              <w:rPr>
                <w:rFonts w:ascii="Arial" w:hAnsi="Arial"/>
                <w:sz w:val="16"/>
                <w:szCs w:val="16"/>
              </w:rPr>
              <w:fldChar w:fldCharType="end"/>
            </w:r>
          </w:p>
        </w:tc>
        <w:tc>
          <w:tcPr>
            <w:tcW w:w="10054" w:type="dxa"/>
            <w:tcBorders>
              <w:top w:val="single" w:sz="4" w:space="0" w:color="auto"/>
              <w:left w:val="nil"/>
              <w:bottom w:val="single" w:sz="4" w:space="0" w:color="auto"/>
              <w:right w:val="single" w:sz="4" w:space="0" w:color="auto"/>
            </w:tcBorders>
            <w:shd w:val="clear" w:color="auto" w:fill="auto"/>
            <w:vAlign w:val="center"/>
          </w:tcPr>
          <w:p w14:paraId="58DEEC6C" w14:textId="77777777" w:rsidR="00996837" w:rsidRPr="003E76E7" w:rsidRDefault="00996837" w:rsidP="00C4292D">
            <w:pPr>
              <w:kinsoku w:val="0"/>
              <w:overflowPunct w:val="0"/>
              <w:autoSpaceDE w:val="0"/>
              <w:autoSpaceDN w:val="0"/>
              <w:adjustRightInd w:val="0"/>
              <w:spacing w:before="60" w:after="60"/>
              <w:ind w:right="3"/>
              <w:rPr>
                <w:rFonts w:ascii="Arial" w:hAnsi="Arial"/>
                <w:sz w:val="16"/>
                <w:szCs w:val="16"/>
                <w:lang w:val="en-AU"/>
              </w:rPr>
            </w:pPr>
            <w:r w:rsidRPr="003E76E7">
              <w:rPr>
                <w:rFonts w:ascii="Arial" w:hAnsi="Arial"/>
                <w:sz w:val="16"/>
                <w:szCs w:val="16"/>
                <w:lang w:val="en-AU"/>
              </w:rPr>
              <w:t>The Advanced Test and Training Environment (ATTE) comprises a number of live and synthetic test and training areas, that combine with crucial supporting capabilities to provide the war fighter with a realistic and threat representative ecosystem. This ecosystem delivers force generation outcomes across the Air Domain, supporting training, mission assurance, operational planning, and risk reduction activities.</w:t>
            </w:r>
          </w:p>
          <w:p w14:paraId="7B20CB4A" w14:textId="07BB3F40" w:rsidR="00996837" w:rsidRPr="003E76E7" w:rsidRDefault="00996837" w:rsidP="00C4292D">
            <w:pPr>
              <w:keepNext/>
              <w:keepLines/>
              <w:spacing w:before="60" w:after="60"/>
              <w:rPr>
                <w:rFonts w:ascii="Arial" w:hAnsi="Arial"/>
                <w:sz w:val="16"/>
                <w:szCs w:val="16"/>
              </w:rPr>
            </w:pPr>
            <w:r w:rsidRPr="003E76E7">
              <w:rPr>
                <w:rFonts w:ascii="Arial" w:hAnsi="Arial"/>
                <w:sz w:val="16"/>
                <w:szCs w:val="16"/>
                <w:lang w:val="en-AU"/>
              </w:rPr>
              <w:t xml:space="preserve">During 2026-27, the ATTE will continue to support Air Domain training outcomes and high priority test activities such as MQ-28A </w:t>
            </w:r>
            <w:r w:rsidR="00F92728" w:rsidRPr="003E76E7">
              <w:rPr>
                <w:rFonts w:ascii="Arial" w:hAnsi="Arial"/>
                <w:sz w:val="16"/>
                <w:szCs w:val="16"/>
                <w:lang w:val="en-AU"/>
              </w:rPr>
              <w:br/>
              <w:t>Ghost Bat.</w:t>
            </w:r>
          </w:p>
        </w:tc>
      </w:tr>
      <w:tr w:rsidR="00996837" w:rsidRPr="003E76E7" w14:paraId="3C31CDAC" w14:textId="77777777" w:rsidTr="00F92728">
        <w:trPr>
          <w:trHeight w:val="283"/>
        </w:trPr>
        <w:tc>
          <w:tcPr>
            <w:tcW w:w="13453"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14:paraId="5D0FA4CA" w14:textId="77777777" w:rsidR="00996837" w:rsidRPr="003E76E7" w:rsidRDefault="00996837" w:rsidP="00C4292D">
            <w:pPr>
              <w:keepNext/>
              <w:keepLines/>
              <w:spacing w:before="0" w:after="0"/>
              <w:jc w:val="both"/>
              <w:rPr>
                <w:rFonts w:ascii="Arial" w:hAnsi="Arial"/>
                <w:sz w:val="16"/>
                <w:szCs w:val="16"/>
              </w:rPr>
            </w:pPr>
            <w:r w:rsidRPr="003E76E7">
              <w:rPr>
                <w:rFonts w:ascii="Arial" w:hAnsi="Arial"/>
                <w:b/>
                <w:bCs/>
                <w:sz w:val="16"/>
                <w:szCs w:val="16"/>
              </w:rPr>
              <w:t>Defence Enterprise Programs</w:t>
            </w:r>
          </w:p>
        </w:tc>
      </w:tr>
      <w:tr w:rsidR="00996837" w:rsidRPr="003E76E7" w14:paraId="2E85CF56" w14:textId="77777777" w:rsidTr="00F92728">
        <w:trPr>
          <w:trHeight w:val="1690"/>
        </w:trPr>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5DAC15BA" w14:textId="77777777" w:rsidR="00996837" w:rsidRPr="003E76E7" w:rsidRDefault="00996837" w:rsidP="00C4292D">
            <w:pPr>
              <w:keepNext/>
              <w:keepLines/>
              <w:spacing w:before="0" w:after="0"/>
              <w:rPr>
                <w:rFonts w:ascii="Arial" w:hAnsi="Arial"/>
                <w:sz w:val="16"/>
                <w:szCs w:val="16"/>
              </w:rPr>
            </w:pPr>
            <w:r w:rsidRPr="003E76E7">
              <w:rPr>
                <w:rFonts w:ascii="Arial" w:hAnsi="Arial"/>
                <w:sz w:val="16"/>
                <w:szCs w:val="16"/>
              </w:rPr>
              <w:t>Explosive Ordnance Manufacturing Facilities</w:t>
            </w:r>
          </w:p>
        </w:tc>
        <w:tc>
          <w:tcPr>
            <w:tcW w:w="942" w:type="dxa"/>
            <w:tcBorders>
              <w:top w:val="single" w:sz="4" w:space="0" w:color="auto"/>
              <w:left w:val="nil"/>
              <w:bottom w:val="single" w:sz="4" w:space="0" w:color="auto"/>
              <w:right w:val="single" w:sz="4" w:space="0" w:color="auto"/>
            </w:tcBorders>
            <w:shd w:val="clear" w:color="auto" w:fill="auto"/>
            <w:vAlign w:val="center"/>
          </w:tcPr>
          <w:p w14:paraId="2DCA5D09" w14:textId="77777777" w:rsidR="00996837" w:rsidRPr="003E76E7" w:rsidRDefault="00996837" w:rsidP="00C4292D">
            <w:pPr>
              <w:keepNext/>
              <w:keepLines/>
              <w:jc w:val="center"/>
              <w:rPr>
                <w:rFonts w:ascii="Arial" w:hAnsi="Arial"/>
                <w:b/>
                <w:bCs/>
                <w:sz w:val="16"/>
                <w:szCs w:val="16"/>
              </w:rPr>
            </w:pPr>
            <w:r w:rsidRPr="003E76E7">
              <w:rPr>
                <w:rFonts w:ascii="Arial" w:hAnsi="Arial"/>
                <w:b/>
                <w:bCs/>
                <w:sz w:val="16"/>
                <w:szCs w:val="16"/>
              </w:rPr>
              <w:t>GWEO01</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14:paraId="475FDB4A" w14:textId="77777777" w:rsidR="00996837" w:rsidRPr="003E76E7" w:rsidRDefault="00996837" w:rsidP="00C4292D">
            <w:pPr>
              <w:jc w:val="center"/>
              <w:rPr>
                <w:rFonts w:ascii="Arial" w:hAnsi="Arial"/>
                <w:sz w:val="16"/>
                <w:szCs w:val="16"/>
              </w:rPr>
            </w:pPr>
            <w:r w:rsidRPr="003E76E7">
              <w:rPr>
                <w:rFonts w:ascii="Arial" w:hAnsi="Arial"/>
                <w:sz w:val="16"/>
                <w:szCs w:val="16"/>
              </w:rPr>
              <w:t>169</w:t>
            </w:r>
          </w:p>
        </w:tc>
        <w:tc>
          <w:tcPr>
            <w:tcW w:w="10054" w:type="dxa"/>
            <w:tcBorders>
              <w:top w:val="single" w:sz="4" w:space="0" w:color="auto"/>
              <w:left w:val="nil"/>
              <w:bottom w:val="single" w:sz="4" w:space="0" w:color="auto"/>
              <w:right w:val="single" w:sz="4" w:space="0" w:color="auto"/>
            </w:tcBorders>
            <w:shd w:val="clear" w:color="auto" w:fill="auto"/>
            <w:vAlign w:val="center"/>
          </w:tcPr>
          <w:p w14:paraId="436C887D" w14:textId="77777777" w:rsidR="00996837" w:rsidRPr="003E76E7" w:rsidRDefault="00996837" w:rsidP="00C4292D">
            <w:pPr>
              <w:kinsoku w:val="0"/>
              <w:overflowPunct w:val="0"/>
              <w:autoSpaceDE w:val="0"/>
              <w:autoSpaceDN w:val="0"/>
              <w:adjustRightInd w:val="0"/>
              <w:spacing w:before="60" w:after="60"/>
              <w:ind w:right="3"/>
              <w:rPr>
                <w:rFonts w:ascii="Arial" w:hAnsi="Arial"/>
                <w:sz w:val="16"/>
                <w:szCs w:val="16"/>
                <w:lang w:val="en-AU"/>
              </w:rPr>
            </w:pPr>
            <w:r w:rsidRPr="003E76E7">
              <w:rPr>
                <w:rFonts w:ascii="Arial" w:hAnsi="Arial"/>
                <w:sz w:val="16"/>
                <w:szCs w:val="16"/>
                <w:lang w:val="en-AU"/>
              </w:rPr>
              <w:t>Explosive Ordnance Manufacturing Facilities provides for the safe, compliant, and sustainable operation of the Government Owned, Contractor Operated munitions and explosives factories at Benalla (VIC) and Mulwala (NSW). These facilities provide the Australian Defence Force with a supply of specified domestically manufactured munitions and a surge capability to be able to generate and maintain munitions stock surety.</w:t>
            </w:r>
          </w:p>
          <w:p w14:paraId="35BCFEC0" w14:textId="77777777" w:rsidR="00996837" w:rsidRPr="003E76E7" w:rsidRDefault="00996837" w:rsidP="00C4292D">
            <w:pPr>
              <w:kinsoku w:val="0"/>
              <w:overflowPunct w:val="0"/>
              <w:autoSpaceDE w:val="0"/>
              <w:autoSpaceDN w:val="0"/>
              <w:adjustRightInd w:val="0"/>
              <w:spacing w:before="60" w:after="60"/>
              <w:ind w:right="3"/>
              <w:rPr>
                <w:rFonts w:ascii="Arial" w:hAnsi="Arial"/>
                <w:sz w:val="16"/>
                <w:szCs w:val="16"/>
              </w:rPr>
            </w:pPr>
            <w:r w:rsidRPr="003E76E7">
              <w:rPr>
                <w:rFonts w:ascii="Arial" w:hAnsi="Arial"/>
                <w:sz w:val="16"/>
                <w:szCs w:val="16"/>
                <w:lang w:val="en-AU"/>
              </w:rPr>
              <w:t>During 2026-27, critical sustainment outcomes will continue to be achieved with a strong and enduring commitment to safety, security and capability realisation. The facilities will preserve their existing explosives and munitions manufacturing capabilities, strengthening resilient supply chains for Australia and our strategic partners.</w:t>
            </w:r>
          </w:p>
        </w:tc>
      </w:tr>
      <w:tr w:rsidR="00996837" w:rsidRPr="003E76E7" w14:paraId="51D13631" w14:textId="77777777" w:rsidTr="00F92728">
        <w:trPr>
          <w:trHeight w:val="983"/>
        </w:trPr>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5E6FE9F0" w14:textId="77777777" w:rsidR="00996837" w:rsidRPr="003E76E7" w:rsidRDefault="00996837" w:rsidP="00C4292D">
            <w:pPr>
              <w:keepNext/>
              <w:keepLines/>
              <w:spacing w:before="0" w:after="0"/>
              <w:rPr>
                <w:rFonts w:ascii="Arial" w:hAnsi="Arial"/>
                <w:sz w:val="16"/>
                <w:szCs w:val="16"/>
              </w:rPr>
            </w:pPr>
            <w:r w:rsidRPr="003E76E7">
              <w:rPr>
                <w:rFonts w:ascii="Arial" w:hAnsi="Arial"/>
                <w:sz w:val="16"/>
                <w:szCs w:val="16"/>
              </w:rPr>
              <w:t>Defence Logistics</w:t>
            </w:r>
          </w:p>
        </w:tc>
        <w:tc>
          <w:tcPr>
            <w:tcW w:w="942" w:type="dxa"/>
            <w:tcBorders>
              <w:top w:val="single" w:sz="4" w:space="0" w:color="auto"/>
              <w:left w:val="nil"/>
              <w:bottom w:val="single" w:sz="4" w:space="0" w:color="auto"/>
              <w:right w:val="single" w:sz="4" w:space="0" w:color="auto"/>
            </w:tcBorders>
            <w:shd w:val="clear" w:color="auto" w:fill="auto"/>
            <w:vAlign w:val="center"/>
          </w:tcPr>
          <w:p w14:paraId="066E71E9" w14:textId="77777777" w:rsidR="00996837" w:rsidRPr="003E76E7" w:rsidRDefault="00996837" w:rsidP="00C4292D">
            <w:pPr>
              <w:keepNext/>
              <w:keepLines/>
              <w:jc w:val="center"/>
              <w:rPr>
                <w:rFonts w:ascii="Arial" w:hAnsi="Arial"/>
                <w:b/>
                <w:bCs/>
                <w:sz w:val="16"/>
                <w:szCs w:val="16"/>
              </w:rPr>
            </w:pPr>
            <w:r w:rsidRPr="003E76E7">
              <w:rPr>
                <w:rFonts w:ascii="Arial" w:hAnsi="Arial"/>
                <w:b/>
                <w:bCs/>
                <w:sz w:val="16"/>
                <w:szCs w:val="16"/>
              </w:rPr>
              <w:t>CJC034</w:t>
            </w:r>
          </w:p>
        </w:tc>
        <w:tc>
          <w:tcPr>
            <w:tcW w:w="899" w:type="dxa"/>
            <w:tcBorders>
              <w:top w:val="nil"/>
              <w:left w:val="single" w:sz="4" w:space="0" w:color="auto"/>
              <w:bottom w:val="single" w:sz="4" w:space="0" w:color="auto"/>
              <w:right w:val="single" w:sz="4" w:space="0" w:color="auto"/>
            </w:tcBorders>
            <w:shd w:val="clear" w:color="auto" w:fill="auto"/>
            <w:vAlign w:val="center"/>
          </w:tcPr>
          <w:p w14:paraId="5614A354" w14:textId="77777777" w:rsidR="00996837" w:rsidRPr="003E76E7" w:rsidRDefault="00996837" w:rsidP="00C4292D">
            <w:pPr>
              <w:jc w:val="center"/>
              <w:rPr>
                <w:rFonts w:ascii="Arial" w:hAnsi="Arial"/>
                <w:sz w:val="16"/>
                <w:szCs w:val="16"/>
              </w:rPr>
            </w:pPr>
            <w:r w:rsidRPr="003E76E7">
              <w:rPr>
                <w:rFonts w:ascii="Arial" w:hAnsi="Arial"/>
                <w:sz w:val="16"/>
                <w:szCs w:val="16"/>
              </w:rPr>
              <w:t>135</w:t>
            </w:r>
          </w:p>
        </w:tc>
        <w:tc>
          <w:tcPr>
            <w:tcW w:w="10054" w:type="dxa"/>
            <w:tcBorders>
              <w:top w:val="single" w:sz="4" w:space="0" w:color="auto"/>
              <w:left w:val="nil"/>
              <w:bottom w:val="single" w:sz="4" w:space="0" w:color="auto"/>
              <w:right w:val="single" w:sz="4" w:space="0" w:color="auto"/>
            </w:tcBorders>
            <w:shd w:val="clear" w:color="auto" w:fill="auto"/>
            <w:vAlign w:val="center"/>
          </w:tcPr>
          <w:p w14:paraId="70CAA361" w14:textId="39BEEB7A" w:rsidR="00996837" w:rsidRPr="003E76E7" w:rsidRDefault="00996837" w:rsidP="00C4292D">
            <w:pPr>
              <w:keepNext/>
              <w:keepLines/>
              <w:spacing w:before="60" w:after="60"/>
              <w:rPr>
                <w:rFonts w:ascii="Arial" w:hAnsi="Arial"/>
                <w:sz w:val="16"/>
                <w:szCs w:val="16"/>
              </w:rPr>
            </w:pPr>
            <w:r w:rsidRPr="003E76E7">
              <w:rPr>
                <w:rFonts w:ascii="Arial" w:hAnsi="Arial"/>
                <w:sz w:val="16"/>
                <w:szCs w:val="16"/>
              </w:rPr>
              <w:t>The Defence Logistics product operates warehouses across the Logistic network to support the national support base</w:t>
            </w:r>
            <w:r w:rsidR="00B64927">
              <w:rPr>
                <w:rFonts w:ascii="Arial" w:hAnsi="Arial"/>
                <w:sz w:val="16"/>
                <w:szCs w:val="16"/>
              </w:rPr>
              <w:t>,</w:t>
            </w:r>
            <w:r w:rsidRPr="003E76E7">
              <w:rPr>
                <w:rFonts w:ascii="Arial" w:hAnsi="Arial"/>
                <w:sz w:val="16"/>
                <w:szCs w:val="16"/>
              </w:rPr>
              <w:t xml:space="preserve"> including the provision of frei</w:t>
            </w:r>
            <w:r w:rsidR="00B64927">
              <w:rPr>
                <w:rFonts w:ascii="Arial" w:hAnsi="Arial"/>
                <w:sz w:val="16"/>
                <w:szCs w:val="16"/>
              </w:rPr>
              <w:t>ght services (domestically and i</w:t>
            </w:r>
            <w:r w:rsidRPr="003E76E7">
              <w:rPr>
                <w:rFonts w:ascii="Arial" w:hAnsi="Arial"/>
                <w:sz w:val="16"/>
                <w:szCs w:val="16"/>
              </w:rPr>
              <w:t xml:space="preserve">nternational), along with the provision of clothing and retail stores services.  </w:t>
            </w:r>
          </w:p>
          <w:p w14:paraId="28EAC696" w14:textId="77777777" w:rsidR="00996837" w:rsidRPr="003E76E7" w:rsidRDefault="00996837" w:rsidP="00C4292D">
            <w:pPr>
              <w:keepNext/>
              <w:keepLines/>
              <w:spacing w:before="60" w:after="60"/>
              <w:rPr>
                <w:rFonts w:ascii="Arial" w:hAnsi="Arial"/>
                <w:sz w:val="16"/>
                <w:szCs w:val="16"/>
              </w:rPr>
            </w:pPr>
            <w:r w:rsidRPr="003E76E7">
              <w:rPr>
                <w:rFonts w:ascii="Arial" w:hAnsi="Arial"/>
                <w:sz w:val="16"/>
                <w:szCs w:val="16"/>
              </w:rPr>
              <w:t>During 2026-27, the focus will be on maturing the transition into service and the amalgamation of existing warehousing and distribution contract and the provision of retail stores into one encompassing contract whilst continuing to support the Australian Defence Force and partners.</w:t>
            </w:r>
          </w:p>
        </w:tc>
      </w:tr>
    </w:tbl>
    <w:p w14:paraId="6218DD80" w14:textId="77777777" w:rsidR="00996837" w:rsidRPr="003E76E7" w:rsidRDefault="00996837" w:rsidP="00C4292D">
      <w:r w:rsidRPr="003E76E7">
        <w:br w:type="page"/>
      </w:r>
    </w:p>
    <w:tbl>
      <w:tblPr>
        <w:tblW w:w="13453" w:type="dxa"/>
        <w:tblInd w:w="-34" w:type="dxa"/>
        <w:tblLayout w:type="fixed"/>
        <w:tblLook w:val="04A0" w:firstRow="1" w:lastRow="0" w:firstColumn="1" w:lastColumn="0" w:noHBand="0" w:noVBand="1"/>
      </w:tblPr>
      <w:tblGrid>
        <w:gridCol w:w="1558"/>
        <w:gridCol w:w="942"/>
        <w:gridCol w:w="899"/>
        <w:gridCol w:w="10054"/>
      </w:tblGrid>
      <w:tr w:rsidR="00996837" w:rsidRPr="003E76E7" w14:paraId="7CDA2E69" w14:textId="77777777" w:rsidTr="00F92728">
        <w:trPr>
          <w:trHeight w:val="283"/>
          <w:tblHeader/>
        </w:trPr>
        <w:tc>
          <w:tcPr>
            <w:tcW w:w="13453" w:type="dxa"/>
            <w:gridSpan w:val="4"/>
            <w:tcBorders>
              <w:bottom w:val="single" w:sz="4" w:space="0" w:color="auto"/>
            </w:tcBorders>
            <w:shd w:val="clear" w:color="auto" w:fill="auto"/>
            <w:vAlign w:val="bottom"/>
          </w:tcPr>
          <w:p w14:paraId="6EF66052" w14:textId="2B51A2AC" w:rsidR="00996837" w:rsidRPr="003E76E7" w:rsidRDefault="00996837" w:rsidP="00C4292D">
            <w:pPr>
              <w:spacing w:before="0" w:after="60"/>
              <w:ind w:left="-113"/>
              <w:rPr>
                <w:rFonts w:ascii="Arial" w:hAnsi="Arial"/>
                <w:b/>
              </w:rPr>
            </w:pPr>
            <w:r w:rsidRPr="003E76E7">
              <w:rPr>
                <w:rFonts w:ascii="Arial" w:hAnsi="Arial"/>
                <w:b/>
              </w:rPr>
              <w:lastRenderedPageBreak/>
              <w:t>Table 55: Top 30 Capability Sustainment Products by End of Financial Year Outcome 2026-27 (Continued)</w:t>
            </w:r>
            <w:r w:rsidRPr="003E76E7">
              <w:rPr>
                <w:rFonts w:ascii="Arial" w:hAnsi="Arial"/>
                <w:b/>
                <w:vertAlign w:val="superscript"/>
              </w:rPr>
              <w:t xml:space="preserve"> [a]</w:t>
            </w:r>
            <w:r w:rsidR="007E7201" w:rsidRPr="003E76E7">
              <w:rPr>
                <w:rFonts w:ascii="Arial" w:hAnsi="Arial"/>
                <w:b/>
                <w:vertAlign w:val="superscript"/>
              </w:rPr>
              <w:t xml:space="preserve"> </w:t>
            </w:r>
            <w:r w:rsidRPr="003E76E7">
              <w:rPr>
                <w:rFonts w:ascii="Arial" w:hAnsi="Arial"/>
                <w:b/>
                <w:vertAlign w:val="superscript"/>
              </w:rPr>
              <w:t>[b]</w:t>
            </w:r>
          </w:p>
        </w:tc>
      </w:tr>
      <w:tr w:rsidR="007E7201" w:rsidRPr="003E76E7" w14:paraId="72EEC792" w14:textId="77777777" w:rsidTr="00311E44">
        <w:trPr>
          <w:trHeight w:val="283"/>
          <w:tblHeader/>
        </w:trPr>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59335F77" w14:textId="36FAAFE7" w:rsidR="007E7201" w:rsidRPr="003E76E7" w:rsidRDefault="007E7201" w:rsidP="00C4292D">
            <w:pPr>
              <w:spacing w:before="0" w:after="0"/>
              <w:rPr>
                <w:rFonts w:ascii="Arial" w:hAnsi="Arial"/>
                <w:sz w:val="16"/>
                <w:szCs w:val="16"/>
                <w:lang w:val="en-AU"/>
              </w:rPr>
            </w:pPr>
            <w:r w:rsidRPr="003E76E7">
              <w:rPr>
                <w:rFonts w:ascii="Arial" w:hAnsi="Arial"/>
                <w:b/>
                <w:bCs/>
                <w:sz w:val="16"/>
                <w:szCs w:val="16"/>
                <w:lang w:val="en-AU"/>
              </w:rPr>
              <w:t>Domain/Product Name</w:t>
            </w:r>
          </w:p>
        </w:tc>
        <w:tc>
          <w:tcPr>
            <w:tcW w:w="942" w:type="dxa"/>
            <w:tcBorders>
              <w:top w:val="single" w:sz="4" w:space="0" w:color="auto"/>
              <w:left w:val="single" w:sz="4" w:space="0" w:color="auto"/>
              <w:bottom w:val="single" w:sz="4" w:space="0" w:color="auto"/>
              <w:right w:val="single" w:sz="4" w:space="0" w:color="auto"/>
            </w:tcBorders>
            <w:shd w:val="clear" w:color="auto" w:fill="auto"/>
            <w:vAlign w:val="center"/>
          </w:tcPr>
          <w:p w14:paraId="22E232AC" w14:textId="579F748F" w:rsidR="007E7201" w:rsidRPr="003E76E7" w:rsidRDefault="007E7201" w:rsidP="00C4292D">
            <w:pPr>
              <w:spacing w:before="0" w:after="0"/>
              <w:jc w:val="center"/>
              <w:rPr>
                <w:rFonts w:ascii="Arial" w:hAnsi="Arial"/>
                <w:b/>
                <w:bCs/>
                <w:sz w:val="16"/>
                <w:szCs w:val="16"/>
                <w:lang w:val="en-AU"/>
              </w:rPr>
            </w:pPr>
            <w:r w:rsidRPr="003E76E7">
              <w:rPr>
                <w:rFonts w:ascii="Arial" w:hAnsi="Arial"/>
                <w:b/>
                <w:bCs/>
                <w:sz w:val="16"/>
                <w:szCs w:val="16"/>
                <w:lang w:val="en-AU"/>
              </w:rPr>
              <w:t>Product Serial</w:t>
            </w:r>
          </w:p>
        </w:tc>
        <w:tc>
          <w:tcPr>
            <w:tcW w:w="899" w:type="dxa"/>
            <w:tcBorders>
              <w:top w:val="single" w:sz="4" w:space="0" w:color="auto"/>
              <w:left w:val="single" w:sz="4" w:space="0" w:color="auto"/>
              <w:bottom w:val="single" w:sz="4" w:space="0" w:color="auto"/>
              <w:right w:val="single" w:sz="4" w:space="0" w:color="auto"/>
            </w:tcBorders>
            <w:shd w:val="clear" w:color="auto" w:fill="auto"/>
          </w:tcPr>
          <w:p w14:paraId="5ABEAD2D" w14:textId="202C9CF8" w:rsidR="007E7201" w:rsidRPr="003E76E7" w:rsidRDefault="007E7201" w:rsidP="00C4292D">
            <w:pPr>
              <w:spacing w:before="0" w:after="0"/>
              <w:jc w:val="right"/>
              <w:rPr>
                <w:rFonts w:ascii="Arial" w:hAnsi="Arial"/>
                <w:sz w:val="16"/>
                <w:szCs w:val="16"/>
                <w:lang w:val="en-AU"/>
              </w:rPr>
            </w:pPr>
            <w:r w:rsidRPr="003E76E7">
              <w:rPr>
                <w:rFonts w:ascii="Arial" w:hAnsi="Arial"/>
                <w:b/>
                <w:bCs/>
                <w:sz w:val="16"/>
                <w:szCs w:val="16"/>
                <w:lang w:val="en-AU"/>
              </w:rPr>
              <w:t>Budget Estimate 2026-27 $m</w:t>
            </w:r>
            <w:r w:rsidRPr="003E76E7">
              <w:rPr>
                <w:rFonts w:ascii="Arial" w:hAnsi="Arial"/>
                <w:b/>
                <w:bCs/>
                <w:sz w:val="16"/>
                <w:szCs w:val="16"/>
                <w:vertAlign w:val="superscript"/>
                <w:lang w:val="en-AU"/>
              </w:rPr>
              <w:t xml:space="preserve"> </w:t>
            </w:r>
          </w:p>
        </w:tc>
        <w:tc>
          <w:tcPr>
            <w:tcW w:w="10054" w:type="dxa"/>
            <w:tcBorders>
              <w:top w:val="single" w:sz="4" w:space="0" w:color="auto"/>
              <w:left w:val="single" w:sz="4" w:space="0" w:color="auto"/>
              <w:bottom w:val="single" w:sz="4" w:space="0" w:color="auto"/>
              <w:right w:val="single" w:sz="4" w:space="0" w:color="auto"/>
            </w:tcBorders>
            <w:shd w:val="clear" w:color="auto" w:fill="auto"/>
            <w:vAlign w:val="center"/>
          </w:tcPr>
          <w:p w14:paraId="60067621" w14:textId="7A1AEDE1" w:rsidR="007E7201" w:rsidRPr="003E76E7" w:rsidRDefault="007E7201" w:rsidP="00C4292D">
            <w:pPr>
              <w:spacing w:before="0" w:after="0"/>
              <w:rPr>
                <w:rFonts w:ascii="Arial" w:hAnsi="Arial"/>
                <w:sz w:val="16"/>
                <w:szCs w:val="16"/>
                <w:lang w:val="en-AU"/>
              </w:rPr>
            </w:pPr>
            <w:r w:rsidRPr="003E76E7">
              <w:rPr>
                <w:rFonts w:ascii="Arial" w:hAnsi="Arial"/>
                <w:b/>
                <w:bCs/>
                <w:sz w:val="16"/>
                <w:szCs w:val="16"/>
                <w:lang w:val="en-AU"/>
              </w:rPr>
              <w:t>Top 30 Capability Sustainment Product Descriptions</w:t>
            </w:r>
          </w:p>
        </w:tc>
      </w:tr>
      <w:tr w:rsidR="00996837" w:rsidRPr="003E76E7" w14:paraId="22F79EFF" w14:textId="77777777" w:rsidTr="00F92728">
        <w:trPr>
          <w:trHeight w:val="283"/>
        </w:trPr>
        <w:tc>
          <w:tcPr>
            <w:tcW w:w="13453"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14:paraId="4D6B2858" w14:textId="77777777" w:rsidR="00996837" w:rsidRPr="003E76E7" w:rsidRDefault="00996837" w:rsidP="00C4292D">
            <w:pPr>
              <w:keepNext/>
              <w:keepLines/>
              <w:spacing w:before="0" w:after="0"/>
              <w:rPr>
                <w:rFonts w:ascii="Arial" w:hAnsi="Arial"/>
                <w:b/>
                <w:bCs/>
                <w:sz w:val="16"/>
                <w:szCs w:val="16"/>
              </w:rPr>
            </w:pPr>
            <w:r w:rsidRPr="003E76E7">
              <w:rPr>
                <w:rFonts w:ascii="Arial" w:hAnsi="Arial"/>
                <w:b/>
                <w:bCs/>
                <w:sz w:val="16"/>
                <w:szCs w:val="16"/>
              </w:rPr>
              <w:t>Land Domain </w:t>
            </w:r>
          </w:p>
        </w:tc>
      </w:tr>
      <w:tr w:rsidR="00996837" w:rsidRPr="003E76E7" w14:paraId="509BFBE5" w14:textId="77777777" w:rsidTr="00F92728">
        <w:trPr>
          <w:trHeight w:val="283"/>
        </w:trPr>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109B6D1D" w14:textId="77777777" w:rsidR="00996837" w:rsidRPr="003E76E7" w:rsidRDefault="00996837" w:rsidP="00C4292D">
            <w:pPr>
              <w:spacing w:before="0" w:after="0"/>
              <w:rPr>
                <w:rFonts w:ascii="Arial" w:hAnsi="Arial"/>
                <w:sz w:val="16"/>
                <w:szCs w:val="16"/>
                <w:lang w:val="en-AU"/>
              </w:rPr>
            </w:pPr>
            <w:r w:rsidRPr="003E76E7">
              <w:rPr>
                <w:rFonts w:ascii="Arial" w:hAnsi="Arial"/>
                <w:sz w:val="16"/>
                <w:szCs w:val="16"/>
              </w:rPr>
              <w:t>Explosive Ordnance - Army Munitions Branch</w:t>
            </w:r>
          </w:p>
        </w:tc>
        <w:tc>
          <w:tcPr>
            <w:tcW w:w="942" w:type="dxa"/>
            <w:tcBorders>
              <w:top w:val="single" w:sz="4" w:space="0" w:color="auto"/>
              <w:left w:val="nil"/>
              <w:bottom w:val="single" w:sz="4" w:space="0" w:color="auto"/>
              <w:right w:val="single" w:sz="4" w:space="0" w:color="auto"/>
            </w:tcBorders>
            <w:shd w:val="clear" w:color="auto" w:fill="auto"/>
            <w:vAlign w:val="center"/>
          </w:tcPr>
          <w:p w14:paraId="35B5A829" w14:textId="77777777" w:rsidR="00996837" w:rsidRPr="003E76E7" w:rsidRDefault="00996837" w:rsidP="00C4292D">
            <w:pPr>
              <w:jc w:val="center"/>
              <w:rPr>
                <w:rFonts w:ascii="Arial" w:hAnsi="Arial"/>
                <w:b/>
                <w:bCs/>
                <w:sz w:val="16"/>
                <w:szCs w:val="16"/>
              </w:rPr>
            </w:pPr>
            <w:r w:rsidRPr="003E76E7">
              <w:rPr>
                <w:rFonts w:ascii="Arial" w:hAnsi="Arial"/>
                <w:b/>
                <w:bCs/>
                <w:sz w:val="16"/>
                <w:szCs w:val="16"/>
              </w:rPr>
              <w:t>CA59</w:t>
            </w:r>
          </w:p>
        </w:tc>
        <w:tc>
          <w:tcPr>
            <w:tcW w:w="899" w:type="dxa"/>
            <w:tcBorders>
              <w:top w:val="single" w:sz="4" w:space="0" w:color="auto"/>
              <w:left w:val="nil"/>
              <w:bottom w:val="single" w:sz="4" w:space="0" w:color="auto"/>
              <w:right w:val="single" w:sz="4" w:space="0" w:color="auto"/>
            </w:tcBorders>
            <w:shd w:val="clear" w:color="auto" w:fill="auto"/>
            <w:vAlign w:val="center"/>
          </w:tcPr>
          <w:p w14:paraId="1500F055" w14:textId="77777777" w:rsidR="00996837" w:rsidRPr="003E76E7" w:rsidRDefault="00996837" w:rsidP="00C4292D">
            <w:pPr>
              <w:jc w:val="center"/>
              <w:rPr>
                <w:rFonts w:ascii="Arial" w:hAnsi="Arial"/>
                <w:sz w:val="16"/>
                <w:szCs w:val="16"/>
              </w:rPr>
            </w:pPr>
            <w:r w:rsidRPr="003E76E7">
              <w:rPr>
                <w:rFonts w:ascii="Arial" w:hAnsi="Arial"/>
                <w:sz w:val="16"/>
                <w:szCs w:val="16"/>
              </w:rPr>
              <w:fldChar w:fldCharType="begin"/>
            </w:r>
            <w:r w:rsidRPr="003E76E7">
              <w:rPr>
                <w:rFonts w:ascii="Arial" w:hAnsi="Arial"/>
                <w:sz w:val="16"/>
                <w:szCs w:val="16"/>
              </w:rPr>
              <w:instrText xml:space="preserve"> LINK Excel.Sheet.12 "C:\\Users\\rebecca.salvestrin\\Objective\\Objects\\BO54981777.xlsx" "Top 30 Table!R23C6" \a \f 4 \h  \* MERGEFORMAT </w:instrText>
            </w:r>
            <w:r w:rsidRPr="003E76E7">
              <w:rPr>
                <w:rFonts w:ascii="Arial" w:hAnsi="Arial"/>
                <w:sz w:val="16"/>
                <w:szCs w:val="16"/>
              </w:rPr>
              <w:fldChar w:fldCharType="separate"/>
            </w:r>
          </w:p>
          <w:p w14:paraId="6010B2A3" w14:textId="77777777" w:rsidR="00996837" w:rsidRPr="003E76E7" w:rsidRDefault="00996837" w:rsidP="00C4292D">
            <w:pPr>
              <w:spacing w:before="0" w:after="0"/>
              <w:jc w:val="center"/>
              <w:rPr>
                <w:rFonts w:ascii="Arial" w:hAnsi="Arial"/>
                <w:sz w:val="16"/>
                <w:szCs w:val="16"/>
              </w:rPr>
            </w:pPr>
            <w:r w:rsidRPr="003E76E7">
              <w:rPr>
                <w:rFonts w:ascii="Arial" w:hAnsi="Arial"/>
                <w:sz w:val="16"/>
                <w:szCs w:val="16"/>
              </w:rPr>
              <w:t>348</w:t>
            </w:r>
          </w:p>
          <w:p w14:paraId="7BA1F52C" w14:textId="77777777" w:rsidR="00996837" w:rsidRPr="003E76E7" w:rsidRDefault="00996837" w:rsidP="00C4292D">
            <w:pPr>
              <w:jc w:val="center"/>
              <w:rPr>
                <w:rFonts w:ascii="Arial" w:hAnsi="Arial"/>
                <w:sz w:val="16"/>
                <w:szCs w:val="16"/>
              </w:rPr>
            </w:pPr>
            <w:r w:rsidRPr="003E76E7">
              <w:rPr>
                <w:rFonts w:ascii="Arial" w:hAnsi="Arial"/>
                <w:sz w:val="16"/>
                <w:szCs w:val="16"/>
              </w:rPr>
              <w:fldChar w:fldCharType="end"/>
            </w:r>
          </w:p>
        </w:tc>
        <w:tc>
          <w:tcPr>
            <w:tcW w:w="10054" w:type="dxa"/>
            <w:tcBorders>
              <w:top w:val="single" w:sz="4" w:space="0" w:color="auto"/>
              <w:left w:val="nil"/>
              <w:bottom w:val="single" w:sz="4" w:space="0" w:color="auto"/>
              <w:right w:val="single" w:sz="4" w:space="0" w:color="auto"/>
            </w:tcBorders>
            <w:shd w:val="clear" w:color="auto" w:fill="auto"/>
            <w:vAlign w:val="center"/>
          </w:tcPr>
          <w:p w14:paraId="0F4790A6" w14:textId="46785740" w:rsidR="00996837" w:rsidRPr="003E76E7" w:rsidRDefault="00996837" w:rsidP="00C4292D">
            <w:pPr>
              <w:kinsoku w:val="0"/>
              <w:overflowPunct w:val="0"/>
              <w:autoSpaceDE w:val="0"/>
              <w:autoSpaceDN w:val="0"/>
              <w:adjustRightInd w:val="0"/>
              <w:spacing w:before="60" w:after="60"/>
              <w:ind w:right="50"/>
              <w:rPr>
                <w:rFonts w:ascii="Arial" w:hAnsi="Arial"/>
                <w:sz w:val="16"/>
                <w:szCs w:val="16"/>
                <w:lang w:val="en-AU"/>
              </w:rPr>
            </w:pPr>
            <w:r w:rsidRPr="003E76E7">
              <w:rPr>
                <w:rFonts w:ascii="Arial" w:hAnsi="Arial"/>
                <w:sz w:val="16"/>
                <w:szCs w:val="16"/>
                <w:lang w:val="en-AU"/>
              </w:rPr>
              <w:t>This product supports the sustainment of Army munitions and guided weapons inventory</w:t>
            </w:r>
            <w:r w:rsidR="00B64927">
              <w:rPr>
                <w:rFonts w:ascii="Arial" w:hAnsi="Arial"/>
                <w:sz w:val="16"/>
                <w:szCs w:val="16"/>
                <w:lang w:val="en-AU"/>
              </w:rPr>
              <w:t>,</w:t>
            </w:r>
            <w:r w:rsidRPr="003E76E7">
              <w:rPr>
                <w:rFonts w:ascii="Arial" w:hAnsi="Arial"/>
                <w:sz w:val="16"/>
                <w:szCs w:val="16"/>
                <w:lang w:val="en-AU"/>
              </w:rPr>
              <w:t xml:space="preserve"> which consists of small arms ammunition, pyrotechnics, mortar and artillery ammunition, special purpose ammunition, demolitions stores, vehicle, aviation and direct fire ammunition, and guided weapons. This also includes sustainment of inventory used by Navy and Air Force where Army is the </w:t>
            </w:r>
            <w:r w:rsidR="00F92728" w:rsidRPr="003E76E7">
              <w:rPr>
                <w:rFonts w:ascii="Arial" w:hAnsi="Arial"/>
                <w:sz w:val="16"/>
                <w:szCs w:val="16"/>
                <w:lang w:val="en-AU"/>
              </w:rPr>
              <w:br/>
            </w:r>
            <w:r w:rsidRPr="003E76E7">
              <w:rPr>
                <w:rFonts w:ascii="Arial" w:hAnsi="Arial"/>
                <w:sz w:val="16"/>
                <w:szCs w:val="16"/>
                <w:lang w:val="en-AU"/>
              </w:rPr>
              <w:t>lead service.</w:t>
            </w:r>
          </w:p>
          <w:p w14:paraId="4784E6ED" w14:textId="6F3C705E" w:rsidR="00996837" w:rsidRPr="003E76E7" w:rsidRDefault="00996837" w:rsidP="00C4292D">
            <w:pPr>
              <w:keepNext/>
              <w:keepLines/>
              <w:spacing w:before="60" w:after="60"/>
              <w:rPr>
                <w:rFonts w:ascii="Arial" w:hAnsi="Arial"/>
                <w:sz w:val="16"/>
                <w:szCs w:val="16"/>
              </w:rPr>
            </w:pPr>
            <w:r w:rsidRPr="003E76E7">
              <w:rPr>
                <w:rFonts w:ascii="Arial" w:hAnsi="Arial"/>
                <w:sz w:val="16"/>
                <w:szCs w:val="16"/>
              </w:rPr>
              <w:t>During 2026-27, key sustainment activities include ongoing optimisation of land explosive ordnance inventory with Army, maturing through life management plans, and transitioning new capabilities procured by major projects to in-service sustainment. The product continues to refine the long-term forecast with Army to mitigate supply chain uncertainty and consider opportunities, which include considerations around potential d</w:t>
            </w:r>
            <w:r w:rsidR="00F92728" w:rsidRPr="003E76E7">
              <w:rPr>
                <w:rFonts w:ascii="Arial" w:hAnsi="Arial"/>
                <w:sz w:val="16"/>
                <w:szCs w:val="16"/>
              </w:rPr>
              <w:t>omestic manufacturing options.</w:t>
            </w:r>
          </w:p>
        </w:tc>
      </w:tr>
      <w:tr w:rsidR="00996837" w:rsidRPr="003E76E7" w14:paraId="76B3F394" w14:textId="77777777" w:rsidTr="00F92728">
        <w:trPr>
          <w:trHeight w:val="931"/>
        </w:trPr>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0B1B6C51" w14:textId="77777777" w:rsidR="00996837" w:rsidRPr="003E76E7" w:rsidRDefault="00996837" w:rsidP="00C4292D">
            <w:pPr>
              <w:rPr>
                <w:rFonts w:ascii="Arial" w:hAnsi="Arial"/>
                <w:sz w:val="16"/>
                <w:szCs w:val="16"/>
              </w:rPr>
            </w:pPr>
            <w:r w:rsidRPr="003E76E7">
              <w:rPr>
                <w:rFonts w:ascii="Arial" w:hAnsi="Arial"/>
                <w:sz w:val="16"/>
                <w:szCs w:val="16"/>
              </w:rPr>
              <w:t>Battlespace Communication Systems</w:t>
            </w:r>
          </w:p>
        </w:tc>
        <w:tc>
          <w:tcPr>
            <w:tcW w:w="942" w:type="dxa"/>
            <w:tcBorders>
              <w:top w:val="single" w:sz="4" w:space="0" w:color="auto"/>
              <w:left w:val="nil"/>
              <w:bottom w:val="single" w:sz="4" w:space="0" w:color="auto"/>
              <w:right w:val="single" w:sz="4" w:space="0" w:color="auto"/>
            </w:tcBorders>
            <w:shd w:val="clear" w:color="auto" w:fill="auto"/>
            <w:vAlign w:val="center"/>
          </w:tcPr>
          <w:p w14:paraId="36171706" w14:textId="77777777" w:rsidR="00996837" w:rsidRPr="003E76E7" w:rsidRDefault="00996837" w:rsidP="00C4292D">
            <w:pPr>
              <w:jc w:val="center"/>
              <w:rPr>
                <w:rFonts w:ascii="Arial" w:hAnsi="Arial"/>
                <w:b/>
                <w:bCs/>
                <w:sz w:val="16"/>
                <w:szCs w:val="16"/>
              </w:rPr>
            </w:pPr>
            <w:r w:rsidRPr="003E76E7">
              <w:rPr>
                <w:rFonts w:ascii="Arial" w:hAnsi="Arial"/>
                <w:b/>
                <w:bCs/>
                <w:sz w:val="16"/>
                <w:szCs w:val="16"/>
              </w:rPr>
              <w:t>CA31</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14:paraId="2EDB127A" w14:textId="77777777" w:rsidR="00996837" w:rsidRPr="003E76E7" w:rsidRDefault="00996837" w:rsidP="00C4292D">
            <w:pPr>
              <w:jc w:val="center"/>
              <w:rPr>
                <w:rFonts w:ascii="Arial" w:hAnsi="Arial"/>
                <w:sz w:val="16"/>
                <w:szCs w:val="16"/>
              </w:rPr>
            </w:pPr>
            <w:r w:rsidRPr="003E76E7">
              <w:rPr>
                <w:rFonts w:ascii="Arial" w:hAnsi="Arial"/>
                <w:sz w:val="16"/>
                <w:szCs w:val="16"/>
              </w:rPr>
              <w:t>239</w:t>
            </w:r>
          </w:p>
        </w:tc>
        <w:tc>
          <w:tcPr>
            <w:tcW w:w="10054" w:type="dxa"/>
            <w:tcBorders>
              <w:top w:val="single" w:sz="4" w:space="0" w:color="auto"/>
              <w:left w:val="nil"/>
              <w:bottom w:val="single" w:sz="4" w:space="0" w:color="auto"/>
              <w:right w:val="single" w:sz="4" w:space="0" w:color="auto"/>
            </w:tcBorders>
            <w:shd w:val="clear" w:color="auto" w:fill="auto"/>
            <w:vAlign w:val="center"/>
          </w:tcPr>
          <w:p w14:paraId="2560AF3C" w14:textId="77777777" w:rsidR="00996837" w:rsidRPr="003E76E7" w:rsidRDefault="00996837" w:rsidP="00C4292D">
            <w:pPr>
              <w:kinsoku w:val="0"/>
              <w:overflowPunct w:val="0"/>
              <w:autoSpaceDE w:val="0"/>
              <w:autoSpaceDN w:val="0"/>
              <w:adjustRightInd w:val="0"/>
              <w:spacing w:before="60" w:after="60" w:line="178" w:lineRule="exact"/>
              <w:rPr>
                <w:rFonts w:ascii="Arial" w:hAnsi="Arial"/>
                <w:sz w:val="16"/>
                <w:szCs w:val="16"/>
                <w:lang w:val="en-AU"/>
              </w:rPr>
            </w:pPr>
            <w:r w:rsidRPr="003E76E7">
              <w:rPr>
                <w:rFonts w:ascii="Arial" w:hAnsi="Arial"/>
                <w:sz w:val="16"/>
                <w:szCs w:val="16"/>
                <w:lang w:val="en-AU"/>
              </w:rPr>
              <w:t>This product supports the sustainment of a range of deployable voice and data communications systems for battlespace command and control.</w:t>
            </w:r>
          </w:p>
          <w:p w14:paraId="092F4D45" w14:textId="41F5F6A2" w:rsidR="00996837" w:rsidRPr="003E76E7" w:rsidRDefault="00996837" w:rsidP="00C4292D">
            <w:pPr>
              <w:keepNext/>
              <w:keepLines/>
              <w:spacing w:before="60" w:after="60"/>
              <w:rPr>
                <w:rFonts w:ascii="Arial" w:hAnsi="Arial"/>
                <w:sz w:val="16"/>
                <w:szCs w:val="16"/>
              </w:rPr>
            </w:pPr>
            <w:r w:rsidRPr="003E76E7">
              <w:rPr>
                <w:rFonts w:ascii="Arial" w:hAnsi="Arial"/>
                <w:sz w:val="16"/>
                <w:szCs w:val="16"/>
                <w:lang w:val="en-AU"/>
              </w:rPr>
              <w:t xml:space="preserve">During 2026-27, Defence will continue with further capability enhancements to the Integrated Battlespace Telecommunications Network, the ongoing management of Tactical Communication Network equipment, the reduction and disposal of obsolete radio systems, the continued rationalisation and improvement of Land Force headset fleets, and provide support for the design, acquisition and sustainment </w:t>
            </w:r>
            <w:r w:rsidR="00F92728" w:rsidRPr="003E76E7">
              <w:rPr>
                <w:rFonts w:ascii="Arial" w:hAnsi="Arial"/>
                <w:sz w:val="16"/>
                <w:szCs w:val="16"/>
                <w:lang w:val="en-AU"/>
              </w:rPr>
              <w:br/>
            </w:r>
            <w:r w:rsidRPr="003E76E7">
              <w:rPr>
                <w:rFonts w:ascii="Arial" w:hAnsi="Arial"/>
                <w:sz w:val="16"/>
                <w:szCs w:val="16"/>
                <w:lang w:val="en-AU"/>
              </w:rPr>
              <w:t>of related systems.</w:t>
            </w:r>
          </w:p>
        </w:tc>
      </w:tr>
      <w:tr w:rsidR="00996837" w:rsidRPr="003E76E7" w14:paraId="4328977E" w14:textId="77777777" w:rsidTr="00F92728">
        <w:trPr>
          <w:trHeight w:val="1270"/>
        </w:trPr>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709478B6" w14:textId="77777777" w:rsidR="00996837" w:rsidRPr="003E76E7" w:rsidRDefault="00996837" w:rsidP="00C4292D">
            <w:pPr>
              <w:rPr>
                <w:rFonts w:ascii="Arial" w:hAnsi="Arial"/>
                <w:sz w:val="16"/>
                <w:szCs w:val="16"/>
              </w:rPr>
            </w:pPr>
            <w:r w:rsidRPr="003E76E7">
              <w:rPr>
                <w:rFonts w:ascii="Arial" w:hAnsi="Arial"/>
                <w:sz w:val="16"/>
                <w:szCs w:val="16"/>
              </w:rPr>
              <w:t>Protected Mobility Fleet - Bushranger</w:t>
            </w:r>
          </w:p>
        </w:tc>
        <w:tc>
          <w:tcPr>
            <w:tcW w:w="942" w:type="dxa"/>
            <w:tcBorders>
              <w:top w:val="single" w:sz="4" w:space="0" w:color="auto"/>
              <w:left w:val="nil"/>
              <w:bottom w:val="single" w:sz="4" w:space="0" w:color="auto"/>
              <w:right w:val="single" w:sz="4" w:space="0" w:color="auto"/>
            </w:tcBorders>
            <w:shd w:val="clear" w:color="auto" w:fill="auto"/>
            <w:vAlign w:val="center"/>
          </w:tcPr>
          <w:p w14:paraId="0AE7D961" w14:textId="77777777" w:rsidR="00996837" w:rsidRPr="003E76E7" w:rsidRDefault="00996837" w:rsidP="00C4292D">
            <w:pPr>
              <w:jc w:val="center"/>
              <w:rPr>
                <w:rFonts w:ascii="Arial" w:hAnsi="Arial"/>
                <w:b/>
                <w:bCs/>
                <w:sz w:val="16"/>
                <w:szCs w:val="16"/>
              </w:rPr>
            </w:pPr>
            <w:r w:rsidRPr="003E76E7">
              <w:rPr>
                <w:rFonts w:ascii="Arial" w:hAnsi="Arial"/>
                <w:b/>
                <w:bCs/>
                <w:sz w:val="16"/>
                <w:szCs w:val="16"/>
              </w:rPr>
              <w:t>CA04</w:t>
            </w:r>
          </w:p>
        </w:tc>
        <w:tc>
          <w:tcPr>
            <w:tcW w:w="899" w:type="dxa"/>
            <w:tcBorders>
              <w:top w:val="nil"/>
              <w:left w:val="single" w:sz="4" w:space="0" w:color="auto"/>
              <w:bottom w:val="single" w:sz="4" w:space="0" w:color="auto"/>
              <w:right w:val="single" w:sz="4" w:space="0" w:color="auto"/>
            </w:tcBorders>
            <w:shd w:val="clear" w:color="auto" w:fill="auto"/>
            <w:vAlign w:val="center"/>
          </w:tcPr>
          <w:p w14:paraId="7B8B0A11" w14:textId="77777777" w:rsidR="00996837" w:rsidRPr="003E76E7" w:rsidRDefault="00996837" w:rsidP="00C4292D">
            <w:pPr>
              <w:jc w:val="center"/>
              <w:rPr>
                <w:rFonts w:ascii="Arial" w:hAnsi="Arial"/>
                <w:sz w:val="16"/>
                <w:szCs w:val="16"/>
              </w:rPr>
            </w:pPr>
            <w:r w:rsidRPr="003E76E7">
              <w:rPr>
                <w:rFonts w:ascii="Arial" w:hAnsi="Arial"/>
                <w:sz w:val="16"/>
                <w:szCs w:val="16"/>
              </w:rPr>
              <w:t>147</w:t>
            </w:r>
          </w:p>
        </w:tc>
        <w:tc>
          <w:tcPr>
            <w:tcW w:w="10054" w:type="dxa"/>
            <w:tcBorders>
              <w:top w:val="single" w:sz="4" w:space="0" w:color="auto"/>
              <w:left w:val="nil"/>
              <w:bottom w:val="single" w:sz="4" w:space="0" w:color="auto"/>
              <w:right w:val="single" w:sz="4" w:space="0" w:color="auto"/>
            </w:tcBorders>
            <w:shd w:val="clear" w:color="auto" w:fill="auto"/>
            <w:vAlign w:val="center"/>
          </w:tcPr>
          <w:p w14:paraId="200E3859" w14:textId="77777777" w:rsidR="00996837" w:rsidRPr="003E76E7" w:rsidRDefault="00996837" w:rsidP="00C4292D">
            <w:pPr>
              <w:kinsoku w:val="0"/>
              <w:overflowPunct w:val="0"/>
              <w:autoSpaceDE w:val="0"/>
              <w:autoSpaceDN w:val="0"/>
              <w:adjustRightInd w:val="0"/>
              <w:spacing w:before="60" w:after="60"/>
              <w:ind w:right="84"/>
              <w:rPr>
                <w:rFonts w:ascii="Arial" w:hAnsi="Arial"/>
                <w:sz w:val="16"/>
                <w:szCs w:val="16"/>
                <w:lang w:val="en-AU"/>
              </w:rPr>
            </w:pPr>
            <w:r w:rsidRPr="003E76E7">
              <w:rPr>
                <w:rFonts w:ascii="Arial" w:hAnsi="Arial"/>
                <w:sz w:val="16"/>
                <w:szCs w:val="16"/>
                <w:lang w:val="en-AU"/>
              </w:rPr>
              <w:t>This product provides in-service support for the Bushmaster Medium Protected Mobility Vehicles and Hawkei Light Protected Mobility Vehicles. Support is provided by Regional Joint Logistics Units and the vehicle manufacturer, Thales Australia. Contract deliverables include engineering support, spare parts and vehicle heavy grade repair.</w:t>
            </w:r>
          </w:p>
          <w:p w14:paraId="5C945FB5" w14:textId="77777777" w:rsidR="00996837" w:rsidRPr="003E76E7" w:rsidRDefault="00996837" w:rsidP="00C4292D">
            <w:pPr>
              <w:keepNext/>
              <w:keepLines/>
              <w:spacing w:before="60" w:after="60"/>
              <w:rPr>
                <w:rFonts w:ascii="Arial" w:hAnsi="Arial"/>
                <w:sz w:val="16"/>
                <w:szCs w:val="16"/>
              </w:rPr>
            </w:pPr>
            <w:r w:rsidRPr="003E76E7">
              <w:rPr>
                <w:rFonts w:ascii="Arial" w:hAnsi="Arial"/>
                <w:sz w:val="16"/>
                <w:szCs w:val="16"/>
                <w:lang w:val="en-AU"/>
              </w:rPr>
              <w:t>During 2026-27, Defence continues to sustain the Bushmaster and Hawkei fleets, ensuring the support systems for both fleets are optimised to meet Army’s requirements.</w:t>
            </w:r>
          </w:p>
        </w:tc>
      </w:tr>
      <w:tr w:rsidR="00996837" w:rsidRPr="003E76E7" w14:paraId="36BFA170" w14:textId="77777777" w:rsidTr="00F92728">
        <w:trPr>
          <w:trHeight w:val="1404"/>
        </w:trPr>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07489677" w14:textId="77777777" w:rsidR="00996837" w:rsidRPr="003E76E7" w:rsidRDefault="00996837" w:rsidP="00C4292D">
            <w:pPr>
              <w:rPr>
                <w:rFonts w:ascii="Arial" w:hAnsi="Arial"/>
                <w:sz w:val="16"/>
                <w:szCs w:val="16"/>
              </w:rPr>
            </w:pPr>
            <w:r w:rsidRPr="003E76E7">
              <w:rPr>
                <w:rFonts w:ascii="Arial" w:hAnsi="Arial"/>
                <w:sz w:val="16"/>
                <w:szCs w:val="16"/>
              </w:rPr>
              <w:t>Black Hawk Weapons System</w:t>
            </w:r>
          </w:p>
        </w:tc>
        <w:tc>
          <w:tcPr>
            <w:tcW w:w="942" w:type="dxa"/>
            <w:tcBorders>
              <w:top w:val="single" w:sz="4" w:space="0" w:color="auto"/>
              <w:left w:val="nil"/>
              <w:bottom w:val="single" w:sz="4" w:space="0" w:color="auto"/>
              <w:right w:val="single" w:sz="4" w:space="0" w:color="auto"/>
            </w:tcBorders>
            <w:shd w:val="clear" w:color="auto" w:fill="auto"/>
            <w:vAlign w:val="center"/>
          </w:tcPr>
          <w:p w14:paraId="06C116F8" w14:textId="77777777" w:rsidR="00996837" w:rsidRPr="003E76E7" w:rsidRDefault="00996837" w:rsidP="00C4292D">
            <w:pPr>
              <w:jc w:val="center"/>
              <w:rPr>
                <w:rFonts w:ascii="Arial" w:hAnsi="Arial"/>
                <w:b/>
                <w:bCs/>
                <w:sz w:val="16"/>
                <w:szCs w:val="16"/>
              </w:rPr>
            </w:pPr>
            <w:r w:rsidRPr="003E76E7">
              <w:rPr>
                <w:rFonts w:ascii="Arial" w:hAnsi="Arial"/>
                <w:b/>
                <w:bCs/>
                <w:sz w:val="16"/>
                <w:szCs w:val="16"/>
              </w:rPr>
              <w:t>CA11</w:t>
            </w:r>
          </w:p>
        </w:tc>
        <w:tc>
          <w:tcPr>
            <w:tcW w:w="899" w:type="dxa"/>
            <w:tcBorders>
              <w:top w:val="single" w:sz="4" w:space="0" w:color="auto"/>
              <w:left w:val="nil"/>
              <w:bottom w:val="single" w:sz="4" w:space="0" w:color="auto"/>
              <w:right w:val="single" w:sz="4" w:space="0" w:color="auto"/>
            </w:tcBorders>
            <w:shd w:val="clear" w:color="auto" w:fill="auto"/>
            <w:vAlign w:val="center"/>
          </w:tcPr>
          <w:p w14:paraId="389AE35D" w14:textId="77777777" w:rsidR="00996837" w:rsidRPr="003E76E7" w:rsidRDefault="00996837" w:rsidP="00C4292D">
            <w:pPr>
              <w:jc w:val="center"/>
              <w:rPr>
                <w:rFonts w:ascii="Arial" w:hAnsi="Arial"/>
                <w:sz w:val="16"/>
                <w:szCs w:val="16"/>
              </w:rPr>
            </w:pPr>
            <w:r w:rsidRPr="003E76E7">
              <w:rPr>
                <w:rFonts w:ascii="Arial" w:hAnsi="Arial"/>
                <w:sz w:val="16"/>
                <w:szCs w:val="16"/>
              </w:rPr>
              <w:fldChar w:fldCharType="begin"/>
            </w:r>
            <w:r w:rsidRPr="003E76E7">
              <w:rPr>
                <w:rFonts w:ascii="Arial" w:hAnsi="Arial"/>
                <w:sz w:val="16"/>
                <w:szCs w:val="16"/>
              </w:rPr>
              <w:instrText xml:space="preserve"> LINK Excel.Sheet.12 "C:\\Users\\rebecca.salvestrin\\Objective\\Objects\\BO54981777.xlsx" "Top 30 Table!R26C6" \a \f 4 \h  \* MERGEFORMAT </w:instrText>
            </w:r>
            <w:r w:rsidRPr="003E76E7">
              <w:rPr>
                <w:rFonts w:ascii="Arial" w:hAnsi="Arial"/>
                <w:sz w:val="16"/>
                <w:szCs w:val="16"/>
              </w:rPr>
              <w:fldChar w:fldCharType="separate"/>
            </w:r>
          </w:p>
          <w:p w14:paraId="29113443" w14:textId="77777777" w:rsidR="00996837" w:rsidRPr="003E76E7" w:rsidRDefault="00996837" w:rsidP="00C4292D">
            <w:pPr>
              <w:spacing w:before="0" w:after="0"/>
              <w:jc w:val="center"/>
              <w:rPr>
                <w:rFonts w:ascii="Arial" w:hAnsi="Arial"/>
                <w:sz w:val="16"/>
                <w:szCs w:val="16"/>
              </w:rPr>
            </w:pPr>
            <w:r w:rsidRPr="003E76E7">
              <w:rPr>
                <w:rFonts w:ascii="Arial" w:hAnsi="Arial"/>
                <w:sz w:val="16"/>
                <w:szCs w:val="16"/>
              </w:rPr>
              <w:t>142</w:t>
            </w:r>
          </w:p>
          <w:p w14:paraId="140EC123" w14:textId="77777777" w:rsidR="00996837" w:rsidRPr="003E76E7" w:rsidRDefault="00996837" w:rsidP="00C4292D">
            <w:pPr>
              <w:jc w:val="center"/>
              <w:rPr>
                <w:rFonts w:ascii="Arial" w:hAnsi="Arial"/>
                <w:sz w:val="16"/>
                <w:szCs w:val="16"/>
              </w:rPr>
            </w:pPr>
            <w:r w:rsidRPr="003E76E7">
              <w:rPr>
                <w:rFonts w:ascii="Arial" w:hAnsi="Arial"/>
                <w:sz w:val="16"/>
                <w:szCs w:val="16"/>
              </w:rPr>
              <w:fldChar w:fldCharType="end"/>
            </w:r>
          </w:p>
        </w:tc>
        <w:tc>
          <w:tcPr>
            <w:tcW w:w="10054" w:type="dxa"/>
            <w:tcBorders>
              <w:top w:val="single" w:sz="4" w:space="0" w:color="auto"/>
              <w:left w:val="nil"/>
              <w:bottom w:val="single" w:sz="4" w:space="0" w:color="auto"/>
              <w:right w:val="single" w:sz="4" w:space="0" w:color="auto"/>
            </w:tcBorders>
            <w:shd w:val="clear" w:color="auto" w:fill="auto"/>
            <w:vAlign w:val="center"/>
          </w:tcPr>
          <w:p w14:paraId="15142A8B" w14:textId="77777777" w:rsidR="00996837" w:rsidRPr="003E76E7" w:rsidRDefault="00996837" w:rsidP="00C4292D">
            <w:pPr>
              <w:kinsoku w:val="0"/>
              <w:overflowPunct w:val="0"/>
              <w:autoSpaceDE w:val="0"/>
              <w:autoSpaceDN w:val="0"/>
              <w:adjustRightInd w:val="0"/>
              <w:spacing w:before="60" w:after="60"/>
              <w:ind w:right="129"/>
              <w:rPr>
                <w:rFonts w:ascii="Arial" w:hAnsi="Arial"/>
                <w:sz w:val="16"/>
                <w:szCs w:val="16"/>
                <w:lang w:val="en-AU"/>
              </w:rPr>
            </w:pPr>
            <w:r w:rsidRPr="003E76E7">
              <w:rPr>
                <w:rFonts w:ascii="Arial" w:hAnsi="Arial"/>
                <w:sz w:val="16"/>
                <w:szCs w:val="16"/>
                <w:lang w:val="en-AU"/>
              </w:rPr>
              <w:t>This product sustains the UH-60M Black Hawk helicopter capability and associated training devices. In-service support is led by the Commonwealth and complemented by support contracts with Australian industry and the United States Government Foreign Military Sales program.</w:t>
            </w:r>
          </w:p>
          <w:p w14:paraId="41B0CD45" w14:textId="0F2271A1" w:rsidR="00996837" w:rsidRPr="003E76E7" w:rsidRDefault="00996837" w:rsidP="00A5119F">
            <w:pPr>
              <w:keepNext/>
              <w:keepLines/>
              <w:spacing w:before="60" w:after="60"/>
              <w:rPr>
                <w:rFonts w:ascii="Arial" w:hAnsi="Arial"/>
                <w:sz w:val="16"/>
                <w:szCs w:val="16"/>
              </w:rPr>
            </w:pPr>
            <w:r w:rsidRPr="003E76E7">
              <w:rPr>
                <w:rFonts w:ascii="Arial" w:hAnsi="Arial"/>
                <w:sz w:val="16"/>
                <w:szCs w:val="16"/>
                <w:lang w:val="en-AU"/>
              </w:rPr>
              <w:t>During 2026-27, the capability will consolidate and expand the Air Assault capability, supported by continued maturation of operating and support systems through the build-up of spares, tooling, deployment kits and maintenance capabilities. Pilot and maintainer training will continue to mature with all major training devices delivered to the Army Aviation Training Centre in 2026.</w:t>
            </w:r>
          </w:p>
        </w:tc>
      </w:tr>
      <w:tr w:rsidR="00996837" w:rsidRPr="003E76E7" w14:paraId="7E3CB87C" w14:textId="77777777" w:rsidTr="00F92728">
        <w:trPr>
          <w:trHeight w:val="761"/>
        </w:trPr>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70A12990" w14:textId="77777777" w:rsidR="00996837" w:rsidRPr="003E76E7" w:rsidRDefault="00996837" w:rsidP="00C4292D">
            <w:pPr>
              <w:rPr>
                <w:rFonts w:ascii="Arial" w:hAnsi="Arial"/>
                <w:sz w:val="16"/>
                <w:szCs w:val="16"/>
              </w:rPr>
            </w:pPr>
            <w:r w:rsidRPr="003E76E7">
              <w:rPr>
                <w:rFonts w:ascii="Arial" w:hAnsi="Arial"/>
                <w:sz w:val="16"/>
                <w:szCs w:val="16"/>
              </w:rPr>
              <w:t>Apache</w:t>
            </w:r>
          </w:p>
        </w:tc>
        <w:tc>
          <w:tcPr>
            <w:tcW w:w="942" w:type="dxa"/>
            <w:tcBorders>
              <w:top w:val="single" w:sz="4" w:space="0" w:color="auto"/>
              <w:left w:val="nil"/>
              <w:bottom w:val="single" w:sz="4" w:space="0" w:color="auto"/>
              <w:right w:val="single" w:sz="4" w:space="0" w:color="auto"/>
            </w:tcBorders>
            <w:shd w:val="clear" w:color="auto" w:fill="auto"/>
            <w:vAlign w:val="center"/>
          </w:tcPr>
          <w:p w14:paraId="71C47E62" w14:textId="77777777" w:rsidR="00996837" w:rsidRPr="003E76E7" w:rsidRDefault="00996837" w:rsidP="00C4292D">
            <w:pPr>
              <w:jc w:val="center"/>
              <w:rPr>
                <w:rFonts w:ascii="Arial" w:hAnsi="Arial"/>
                <w:b/>
                <w:bCs/>
                <w:sz w:val="16"/>
                <w:szCs w:val="16"/>
              </w:rPr>
            </w:pPr>
            <w:r w:rsidRPr="003E76E7">
              <w:rPr>
                <w:rFonts w:ascii="Arial" w:hAnsi="Arial"/>
                <w:b/>
                <w:bCs/>
                <w:sz w:val="16"/>
                <w:szCs w:val="16"/>
              </w:rPr>
              <w:t>CA67</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14:paraId="1A316639" w14:textId="77777777" w:rsidR="00996837" w:rsidRPr="003E76E7" w:rsidRDefault="00996837" w:rsidP="00C4292D">
            <w:pPr>
              <w:jc w:val="center"/>
              <w:rPr>
                <w:rFonts w:ascii="Arial" w:hAnsi="Arial"/>
                <w:sz w:val="16"/>
                <w:szCs w:val="16"/>
              </w:rPr>
            </w:pPr>
            <w:r w:rsidRPr="003E76E7">
              <w:rPr>
                <w:rFonts w:ascii="Arial" w:hAnsi="Arial"/>
                <w:sz w:val="16"/>
                <w:szCs w:val="16"/>
              </w:rPr>
              <w:t>111</w:t>
            </w:r>
          </w:p>
        </w:tc>
        <w:tc>
          <w:tcPr>
            <w:tcW w:w="10054" w:type="dxa"/>
            <w:tcBorders>
              <w:top w:val="single" w:sz="4" w:space="0" w:color="auto"/>
              <w:left w:val="nil"/>
              <w:bottom w:val="single" w:sz="4" w:space="0" w:color="auto"/>
              <w:right w:val="single" w:sz="4" w:space="0" w:color="auto"/>
            </w:tcBorders>
            <w:shd w:val="clear" w:color="auto" w:fill="auto"/>
            <w:vAlign w:val="center"/>
          </w:tcPr>
          <w:p w14:paraId="742B4C7B" w14:textId="77777777" w:rsidR="00996837" w:rsidRPr="003E76E7" w:rsidRDefault="00996837" w:rsidP="00C4292D">
            <w:pPr>
              <w:kinsoku w:val="0"/>
              <w:overflowPunct w:val="0"/>
              <w:autoSpaceDE w:val="0"/>
              <w:autoSpaceDN w:val="0"/>
              <w:adjustRightInd w:val="0"/>
              <w:spacing w:before="60" w:after="60"/>
              <w:ind w:right="4"/>
              <w:rPr>
                <w:rFonts w:ascii="Arial" w:hAnsi="Arial"/>
                <w:sz w:val="16"/>
                <w:szCs w:val="16"/>
                <w:lang w:val="en-AU"/>
              </w:rPr>
            </w:pPr>
            <w:r w:rsidRPr="003E76E7">
              <w:rPr>
                <w:rFonts w:ascii="Arial" w:hAnsi="Arial"/>
                <w:sz w:val="16"/>
                <w:szCs w:val="16"/>
                <w:lang w:val="en-AU"/>
              </w:rPr>
              <w:t>This product sustains the AH-64E Apache Attack Helicopter capability and associated training devices. In-service support is led by the Commonwealth and complemented by support contracts with Australian industry and the United States Government Foreign Military Sales program.</w:t>
            </w:r>
          </w:p>
          <w:p w14:paraId="3C21F83B" w14:textId="77777777" w:rsidR="00996837" w:rsidRPr="003E76E7" w:rsidRDefault="00996837" w:rsidP="00C4292D">
            <w:pPr>
              <w:kinsoku w:val="0"/>
              <w:overflowPunct w:val="0"/>
              <w:autoSpaceDE w:val="0"/>
              <w:autoSpaceDN w:val="0"/>
              <w:adjustRightInd w:val="0"/>
              <w:spacing w:before="60" w:after="60"/>
              <w:ind w:right="4"/>
              <w:rPr>
                <w:rFonts w:ascii="Arial" w:hAnsi="Arial"/>
                <w:sz w:val="16"/>
                <w:szCs w:val="16"/>
                <w:lang w:val="en-AU"/>
              </w:rPr>
            </w:pPr>
            <w:r w:rsidRPr="003E76E7">
              <w:rPr>
                <w:rFonts w:ascii="Arial" w:hAnsi="Arial"/>
                <w:sz w:val="16"/>
                <w:szCs w:val="16"/>
                <w:lang w:val="en-AU"/>
              </w:rPr>
              <w:t xml:space="preserve">During 2026-27, the sustainment focus is supporting the acceptance of additional helicopters, key mission equipment (including the </w:t>
            </w:r>
            <w:r w:rsidRPr="003E76E7">
              <w:rPr>
                <w:rFonts w:ascii="Arial" w:hAnsi="Arial"/>
                <w:sz w:val="16"/>
                <w:szCs w:val="16"/>
                <w:lang w:val="en-AU"/>
              </w:rPr>
              <w:br/>
              <w:t>mast-mounted Fire Control Radar), continued in-lay of spares and maturation of the Apache support system.</w:t>
            </w:r>
          </w:p>
        </w:tc>
      </w:tr>
    </w:tbl>
    <w:p w14:paraId="7A7E7111" w14:textId="50B45331" w:rsidR="00996837" w:rsidRPr="003E76E7" w:rsidRDefault="00996837" w:rsidP="00C4292D">
      <w:pPr>
        <w:rPr>
          <w:rFonts w:ascii="Arial" w:hAnsi="Arial"/>
          <w:b/>
        </w:rPr>
      </w:pPr>
      <w:r w:rsidRPr="003E76E7">
        <w:br w:type="page"/>
      </w:r>
      <w:r w:rsidRPr="003E76E7">
        <w:rPr>
          <w:rFonts w:ascii="Arial" w:hAnsi="Arial"/>
          <w:b/>
        </w:rPr>
        <w:lastRenderedPageBreak/>
        <w:t>Table 55: Top 30 Capability Sustainment Products by End of Financial Year Outcome 2026-27 (Continued)</w:t>
      </w:r>
      <w:r w:rsidRPr="003E76E7">
        <w:rPr>
          <w:rFonts w:ascii="Arial" w:hAnsi="Arial"/>
          <w:b/>
          <w:vertAlign w:val="superscript"/>
        </w:rPr>
        <w:t xml:space="preserve"> [a]</w:t>
      </w:r>
      <w:r w:rsidR="007E7201" w:rsidRPr="003E76E7">
        <w:rPr>
          <w:rFonts w:ascii="Arial" w:hAnsi="Arial"/>
          <w:b/>
          <w:vertAlign w:val="superscript"/>
        </w:rPr>
        <w:t xml:space="preserve"> </w:t>
      </w:r>
      <w:r w:rsidRPr="003E76E7">
        <w:rPr>
          <w:rFonts w:ascii="Arial" w:hAnsi="Arial"/>
          <w:b/>
          <w:vertAlign w:val="superscript"/>
        </w:rPr>
        <w:t>[b]</w:t>
      </w:r>
    </w:p>
    <w:tbl>
      <w:tblPr>
        <w:tblW w:w="13458" w:type="dxa"/>
        <w:tblInd w:w="-39" w:type="dxa"/>
        <w:tblLayout w:type="fixed"/>
        <w:tblLook w:val="04A0" w:firstRow="1" w:lastRow="0" w:firstColumn="1" w:lastColumn="0" w:noHBand="0" w:noVBand="1"/>
      </w:tblPr>
      <w:tblGrid>
        <w:gridCol w:w="1559"/>
        <w:gridCol w:w="942"/>
        <w:gridCol w:w="899"/>
        <w:gridCol w:w="10058"/>
      </w:tblGrid>
      <w:tr w:rsidR="007E7201" w:rsidRPr="003E76E7" w14:paraId="1B0F6C6D" w14:textId="77777777" w:rsidTr="00311E44">
        <w:trPr>
          <w:trHeight w:val="283"/>
          <w:tblHeader/>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FC49B79" w14:textId="4D23E969" w:rsidR="007E7201" w:rsidRPr="003E76E7" w:rsidRDefault="007E7201" w:rsidP="00C4292D">
            <w:pPr>
              <w:spacing w:before="0" w:after="0"/>
              <w:rPr>
                <w:rFonts w:ascii="Arial" w:hAnsi="Arial"/>
                <w:sz w:val="16"/>
                <w:szCs w:val="16"/>
                <w:lang w:val="en-AU"/>
              </w:rPr>
            </w:pPr>
            <w:r w:rsidRPr="003E76E7">
              <w:rPr>
                <w:rFonts w:ascii="Arial" w:hAnsi="Arial"/>
                <w:b/>
                <w:bCs/>
                <w:sz w:val="16"/>
                <w:szCs w:val="16"/>
                <w:lang w:val="en-AU"/>
              </w:rPr>
              <w:t>Domain/Product Name</w:t>
            </w:r>
          </w:p>
        </w:tc>
        <w:tc>
          <w:tcPr>
            <w:tcW w:w="942" w:type="dxa"/>
            <w:tcBorders>
              <w:top w:val="single" w:sz="4" w:space="0" w:color="auto"/>
              <w:left w:val="single" w:sz="4" w:space="0" w:color="auto"/>
              <w:bottom w:val="single" w:sz="4" w:space="0" w:color="auto"/>
              <w:right w:val="single" w:sz="4" w:space="0" w:color="auto"/>
            </w:tcBorders>
            <w:shd w:val="clear" w:color="auto" w:fill="auto"/>
            <w:vAlign w:val="center"/>
          </w:tcPr>
          <w:p w14:paraId="148D6C5E" w14:textId="1D42EEB9" w:rsidR="007E7201" w:rsidRPr="003E76E7" w:rsidRDefault="007E7201" w:rsidP="00C4292D">
            <w:pPr>
              <w:spacing w:before="0" w:after="0"/>
              <w:jc w:val="center"/>
              <w:rPr>
                <w:rFonts w:ascii="Arial" w:hAnsi="Arial"/>
                <w:b/>
                <w:bCs/>
                <w:sz w:val="16"/>
                <w:szCs w:val="16"/>
                <w:lang w:val="en-AU"/>
              </w:rPr>
            </w:pPr>
            <w:r w:rsidRPr="003E76E7">
              <w:rPr>
                <w:rFonts w:ascii="Arial" w:hAnsi="Arial"/>
                <w:b/>
                <w:bCs/>
                <w:sz w:val="16"/>
                <w:szCs w:val="16"/>
                <w:lang w:val="en-AU"/>
              </w:rPr>
              <w:t>Product Serial</w:t>
            </w:r>
          </w:p>
        </w:tc>
        <w:tc>
          <w:tcPr>
            <w:tcW w:w="899" w:type="dxa"/>
            <w:tcBorders>
              <w:top w:val="single" w:sz="4" w:space="0" w:color="auto"/>
              <w:left w:val="single" w:sz="4" w:space="0" w:color="auto"/>
              <w:bottom w:val="single" w:sz="4" w:space="0" w:color="auto"/>
              <w:right w:val="single" w:sz="4" w:space="0" w:color="auto"/>
            </w:tcBorders>
            <w:shd w:val="clear" w:color="auto" w:fill="auto"/>
          </w:tcPr>
          <w:p w14:paraId="10830BD9" w14:textId="6F6316C2" w:rsidR="007E7201" w:rsidRPr="003E76E7" w:rsidRDefault="007E7201" w:rsidP="00C4292D">
            <w:pPr>
              <w:spacing w:before="0" w:after="0"/>
              <w:jc w:val="right"/>
              <w:rPr>
                <w:rFonts w:ascii="Arial" w:hAnsi="Arial"/>
                <w:sz w:val="16"/>
                <w:szCs w:val="16"/>
                <w:lang w:val="en-AU"/>
              </w:rPr>
            </w:pPr>
            <w:r w:rsidRPr="003E76E7">
              <w:rPr>
                <w:rFonts w:ascii="Arial" w:hAnsi="Arial"/>
                <w:b/>
                <w:bCs/>
                <w:sz w:val="16"/>
                <w:szCs w:val="16"/>
                <w:lang w:val="en-AU"/>
              </w:rPr>
              <w:t>Budget Estimate 2026-27 $m</w:t>
            </w:r>
            <w:r w:rsidRPr="003E76E7">
              <w:rPr>
                <w:rFonts w:ascii="Arial" w:hAnsi="Arial"/>
                <w:b/>
                <w:bCs/>
                <w:sz w:val="16"/>
                <w:szCs w:val="16"/>
                <w:vertAlign w:val="superscript"/>
                <w:lang w:val="en-AU"/>
              </w:rPr>
              <w:t xml:space="preserve"> </w:t>
            </w:r>
          </w:p>
        </w:tc>
        <w:tc>
          <w:tcPr>
            <w:tcW w:w="10058" w:type="dxa"/>
            <w:tcBorders>
              <w:top w:val="single" w:sz="4" w:space="0" w:color="auto"/>
              <w:left w:val="single" w:sz="4" w:space="0" w:color="auto"/>
              <w:bottom w:val="single" w:sz="4" w:space="0" w:color="auto"/>
              <w:right w:val="single" w:sz="4" w:space="0" w:color="auto"/>
            </w:tcBorders>
            <w:shd w:val="clear" w:color="auto" w:fill="auto"/>
            <w:vAlign w:val="center"/>
          </w:tcPr>
          <w:p w14:paraId="0E6A3211" w14:textId="3DE677CE" w:rsidR="007E7201" w:rsidRPr="003E76E7" w:rsidRDefault="007E7201" w:rsidP="00C4292D">
            <w:pPr>
              <w:spacing w:before="0" w:after="0"/>
              <w:rPr>
                <w:rFonts w:ascii="Arial" w:hAnsi="Arial"/>
                <w:sz w:val="16"/>
                <w:szCs w:val="16"/>
                <w:lang w:val="en-AU"/>
              </w:rPr>
            </w:pPr>
            <w:r w:rsidRPr="003E76E7">
              <w:rPr>
                <w:rFonts w:ascii="Arial" w:hAnsi="Arial"/>
                <w:b/>
                <w:bCs/>
                <w:sz w:val="16"/>
                <w:szCs w:val="16"/>
                <w:lang w:val="en-AU"/>
              </w:rPr>
              <w:t>Top 30 Capability Sustainment Product Descriptions</w:t>
            </w:r>
          </w:p>
        </w:tc>
      </w:tr>
      <w:tr w:rsidR="00996837" w:rsidRPr="003E76E7" w14:paraId="7CB519F2" w14:textId="77777777" w:rsidTr="00F92728">
        <w:trPr>
          <w:trHeight w:val="364"/>
        </w:trPr>
        <w:tc>
          <w:tcPr>
            <w:tcW w:w="13458"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9BF588E" w14:textId="77777777" w:rsidR="00996837" w:rsidRPr="003E76E7" w:rsidRDefault="00996837" w:rsidP="00C4292D">
            <w:pPr>
              <w:kinsoku w:val="0"/>
              <w:overflowPunct w:val="0"/>
              <w:autoSpaceDE w:val="0"/>
              <w:autoSpaceDN w:val="0"/>
              <w:adjustRightInd w:val="0"/>
              <w:spacing w:before="60" w:after="60"/>
              <w:ind w:right="4"/>
              <w:rPr>
                <w:rFonts w:ascii="Arial" w:hAnsi="Arial"/>
                <w:sz w:val="16"/>
                <w:szCs w:val="16"/>
                <w:lang w:val="en-AU"/>
              </w:rPr>
            </w:pPr>
            <w:r w:rsidRPr="003E76E7">
              <w:rPr>
                <w:rFonts w:ascii="Arial" w:hAnsi="Arial"/>
                <w:b/>
                <w:bCs/>
                <w:sz w:val="16"/>
                <w:szCs w:val="16"/>
              </w:rPr>
              <w:t xml:space="preserve">Land Domain (Continued) </w:t>
            </w:r>
          </w:p>
        </w:tc>
      </w:tr>
      <w:tr w:rsidR="00996837" w:rsidRPr="003E76E7" w14:paraId="73FE2C56" w14:textId="77777777" w:rsidTr="00F92728">
        <w:trPr>
          <w:trHeight w:val="761"/>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AB15B5D" w14:textId="77777777" w:rsidR="00996837" w:rsidRPr="003E76E7" w:rsidRDefault="00996837" w:rsidP="00C4292D">
            <w:pPr>
              <w:rPr>
                <w:rFonts w:ascii="Arial" w:hAnsi="Arial"/>
                <w:sz w:val="16"/>
                <w:szCs w:val="16"/>
                <w:lang w:val="en-AU"/>
              </w:rPr>
            </w:pPr>
            <w:r w:rsidRPr="003E76E7">
              <w:rPr>
                <w:rFonts w:ascii="Arial" w:hAnsi="Arial"/>
                <w:sz w:val="16"/>
                <w:szCs w:val="16"/>
              </w:rPr>
              <w:t>Commercial Vehicles Fleet</w:t>
            </w:r>
          </w:p>
        </w:tc>
        <w:tc>
          <w:tcPr>
            <w:tcW w:w="942" w:type="dxa"/>
            <w:tcBorders>
              <w:top w:val="single" w:sz="4" w:space="0" w:color="auto"/>
              <w:left w:val="nil"/>
              <w:bottom w:val="single" w:sz="4" w:space="0" w:color="auto"/>
              <w:right w:val="single" w:sz="4" w:space="0" w:color="auto"/>
            </w:tcBorders>
            <w:shd w:val="clear" w:color="auto" w:fill="auto"/>
            <w:vAlign w:val="center"/>
          </w:tcPr>
          <w:p w14:paraId="110AE1C5" w14:textId="77777777" w:rsidR="00996837" w:rsidRPr="003E76E7" w:rsidRDefault="00996837" w:rsidP="00C4292D">
            <w:pPr>
              <w:jc w:val="center"/>
              <w:rPr>
                <w:rFonts w:ascii="Arial" w:hAnsi="Arial"/>
                <w:b/>
                <w:bCs/>
                <w:sz w:val="16"/>
                <w:szCs w:val="16"/>
                <w:lang w:val="en-AU"/>
              </w:rPr>
            </w:pPr>
            <w:r w:rsidRPr="003E76E7">
              <w:rPr>
                <w:rFonts w:ascii="Arial" w:hAnsi="Arial"/>
                <w:b/>
                <w:bCs/>
                <w:sz w:val="16"/>
                <w:szCs w:val="16"/>
              </w:rPr>
              <w:t>CA19</w:t>
            </w:r>
          </w:p>
        </w:tc>
        <w:tc>
          <w:tcPr>
            <w:tcW w:w="899" w:type="dxa"/>
            <w:tcBorders>
              <w:top w:val="nil"/>
              <w:left w:val="single" w:sz="4" w:space="0" w:color="auto"/>
              <w:bottom w:val="single" w:sz="4" w:space="0" w:color="auto"/>
              <w:right w:val="single" w:sz="4" w:space="0" w:color="auto"/>
            </w:tcBorders>
            <w:shd w:val="clear" w:color="auto" w:fill="auto"/>
            <w:vAlign w:val="center"/>
          </w:tcPr>
          <w:p w14:paraId="6983F404" w14:textId="77777777" w:rsidR="00996837" w:rsidRPr="003E76E7" w:rsidRDefault="00996837" w:rsidP="00C4292D">
            <w:pPr>
              <w:jc w:val="center"/>
              <w:rPr>
                <w:rFonts w:ascii="Arial" w:hAnsi="Arial"/>
                <w:sz w:val="16"/>
                <w:szCs w:val="16"/>
              </w:rPr>
            </w:pPr>
            <w:r w:rsidRPr="003E76E7">
              <w:rPr>
                <w:rFonts w:ascii="Arial" w:hAnsi="Arial"/>
                <w:sz w:val="16"/>
                <w:szCs w:val="16"/>
              </w:rPr>
              <w:t>111</w:t>
            </w:r>
          </w:p>
        </w:tc>
        <w:tc>
          <w:tcPr>
            <w:tcW w:w="10058" w:type="dxa"/>
            <w:tcBorders>
              <w:top w:val="single" w:sz="4" w:space="0" w:color="auto"/>
              <w:left w:val="nil"/>
              <w:bottom w:val="single" w:sz="4" w:space="0" w:color="auto"/>
              <w:right w:val="single" w:sz="4" w:space="0" w:color="auto"/>
            </w:tcBorders>
            <w:shd w:val="clear" w:color="auto" w:fill="auto"/>
            <w:vAlign w:val="center"/>
          </w:tcPr>
          <w:p w14:paraId="0635392A" w14:textId="77777777" w:rsidR="00996837" w:rsidRPr="003E76E7" w:rsidRDefault="00996837" w:rsidP="00C4292D">
            <w:pPr>
              <w:kinsoku w:val="0"/>
              <w:overflowPunct w:val="0"/>
              <w:autoSpaceDE w:val="0"/>
              <w:autoSpaceDN w:val="0"/>
              <w:adjustRightInd w:val="0"/>
              <w:spacing w:before="60" w:after="60"/>
              <w:ind w:right="4"/>
              <w:rPr>
                <w:rFonts w:ascii="Arial" w:hAnsi="Arial"/>
                <w:sz w:val="16"/>
                <w:szCs w:val="16"/>
                <w:lang w:val="en-AU"/>
              </w:rPr>
            </w:pPr>
            <w:r w:rsidRPr="003E76E7">
              <w:rPr>
                <w:rFonts w:ascii="Arial" w:hAnsi="Arial"/>
                <w:sz w:val="16"/>
                <w:szCs w:val="16"/>
                <w:lang w:val="en-AU"/>
              </w:rPr>
              <w:t>This product consists of, and provides in-service support to, approximately 7,000 commercial off-the-shelf vehicles, including passenger vehicles through to heavy rigid trucks, aviation-refuelling vehicles, and touring coaches.</w:t>
            </w:r>
          </w:p>
          <w:p w14:paraId="42DEAF76" w14:textId="77777777" w:rsidR="00996837" w:rsidRPr="003E76E7" w:rsidRDefault="00996837" w:rsidP="00C4292D">
            <w:pPr>
              <w:kinsoku w:val="0"/>
              <w:overflowPunct w:val="0"/>
              <w:autoSpaceDE w:val="0"/>
              <w:autoSpaceDN w:val="0"/>
              <w:adjustRightInd w:val="0"/>
              <w:spacing w:before="60" w:after="60"/>
              <w:ind w:right="4"/>
              <w:rPr>
                <w:rFonts w:ascii="Arial" w:hAnsi="Arial"/>
                <w:sz w:val="16"/>
                <w:szCs w:val="16"/>
                <w:lang w:val="en-AU"/>
              </w:rPr>
            </w:pPr>
            <w:r w:rsidRPr="003E76E7">
              <w:rPr>
                <w:rFonts w:ascii="Arial" w:hAnsi="Arial"/>
                <w:sz w:val="16"/>
                <w:szCs w:val="16"/>
                <w:lang w:val="en-AU"/>
              </w:rPr>
              <w:t>During 2026-27, Defence will continue to acquire and sustain the commercial off-the-shelf vehicles fleet, including specialist-built capabilities, such as Medical Evacuation Vehicles and Multi-Purpose Tow Vehicles.</w:t>
            </w:r>
          </w:p>
        </w:tc>
      </w:tr>
      <w:tr w:rsidR="00996837" w:rsidRPr="003E76E7" w14:paraId="58E7C2B7" w14:textId="77777777" w:rsidTr="00F92728">
        <w:trPr>
          <w:trHeight w:val="384"/>
        </w:trPr>
        <w:tc>
          <w:tcPr>
            <w:tcW w:w="13458"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8F7E3B6" w14:textId="77777777" w:rsidR="00996837" w:rsidRPr="003E76E7" w:rsidRDefault="00996837" w:rsidP="00C4292D">
            <w:pPr>
              <w:kinsoku w:val="0"/>
              <w:overflowPunct w:val="0"/>
              <w:autoSpaceDE w:val="0"/>
              <w:autoSpaceDN w:val="0"/>
              <w:adjustRightInd w:val="0"/>
              <w:spacing w:before="60" w:after="60"/>
              <w:ind w:right="4"/>
              <w:rPr>
                <w:rFonts w:ascii="Arial" w:hAnsi="Arial"/>
                <w:sz w:val="16"/>
                <w:szCs w:val="16"/>
                <w:lang w:val="en-AU"/>
              </w:rPr>
            </w:pPr>
            <w:r w:rsidRPr="003E76E7">
              <w:rPr>
                <w:rFonts w:ascii="Arial" w:hAnsi="Arial"/>
                <w:b/>
                <w:bCs/>
                <w:sz w:val="16"/>
                <w:szCs w:val="16"/>
              </w:rPr>
              <w:t>Maritime Domain</w:t>
            </w:r>
          </w:p>
        </w:tc>
      </w:tr>
      <w:tr w:rsidR="00996837" w:rsidRPr="003E76E7" w14:paraId="3E1D7348" w14:textId="77777777" w:rsidTr="00F92728">
        <w:trPr>
          <w:trHeight w:val="761"/>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E25BB39" w14:textId="77777777" w:rsidR="00996837" w:rsidRPr="003E76E7" w:rsidRDefault="00996837" w:rsidP="00C4292D">
            <w:pPr>
              <w:rPr>
                <w:rFonts w:ascii="Arial" w:hAnsi="Arial"/>
                <w:sz w:val="16"/>
                <w:szCs w:val="16"/>
              </w:rPr>
            </w:pPr>
            <w:r w:rsidRPr="003E76E7">
              <w:rPr>
                <w:rFonts w:ascii="Arial" w:hAnsi="Arial"/>
                <w:sz w:val="16"/>
                <w:szCs w:val="16"/>
              </w:rPr>
              <w:t>Collins Class Submarine</w:t>
            </w:r>
          </w:p>
        </w:tc>
        <w:tc>
          <w:tcPr>
            <w:tcW w:w="942" w:type="dxa"/>
            <w:tcBorders>
              <w:top w:val="single" w:sz="4" w:space="0" w:color="auto"/>
              <w:left w:val="nil"/>
              <w:bottom w:val="single" w:sz="4" w:space="0" w:color="auto"/>
              <w:right w:val="single" w:sz="4" w:space="0" w:color="auto"/>
            </w:tcBorders>
            <w:shd w:val="clear" w:color="auto" w:fill="auto"/>
            <w:vAlign w:val="center"/>
          </w:tcPr>
          <w:p w14:paraId="188C6442" w14:textId="77777777" w:rsidR="00996837" w:rsidRPr="003E76E7" w:rsidRDefault="00996837" w:rsidP="00C4292D">
            <w:pPr>
              <w:jc w:val="center"/>
              <w:rPr>
                <w:rFonts w:ascii="Arial" w:hAnsi="Arial"/>
                <w:b/>
                <w:bCs/>
                <w:sz w:val="16"/>
                <w:szCs w:val="16"/>
              </w:rPr>
            </w:pPr>
            <w:r w:rsidRPr="003E76E7">
              <w:rPr>
                <w:rFonts w:ascii="Arial" w:hAnsi="Arial"/>
                <w:b/>
                <w:bCs/>
                <w:sz w:val="16"/>
                <w:szCs w:val="16"/>
              </w:rPr>
              <w:t>CN10</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14:paraId="5CEEF6B1" w14:textId="77777777" w:rsidR="00996837" w:rsidRPr="003E76E7" w:rsidRDefault="00996837" w:rsidP="00C4292D">
            <w:pPr>
              <w:jc w:val="center"/>
              <w:rPr>
                <w:rFonts w:ascii="Arial" w:hAnsi="Arial"/>
                <w:sz w:val="16"/>
                <w:szCs w:val="16"/>
              </w:rPr>
            </w:pPr>
            <w:r w:rsidRPr="003E76E7">
              <w:rPr>
                <w:rFonts w:ascii="Arial" w:hAnsi="Arial"/>
                <w:sz w:val="16"/>
                <w:szCs w:val="16"/>
              </w:rPr>
              <w:t>921</w:t>
            </w:r>
          </w:p>
        </w:tc>
        <w:tc>
          <w:tcPr>
            <w:tcW w:w="10058" w:type="dxa"/>
            <w:tcBorders>
              <w:top w:val="single" w:sz="4" w:space="0" w:color="auto"/>
              <w:left w:val="nil"/>
              <w:bottom w:val="single" w:sz="4" w:space="0" w:color="auto"/>
              <w:right w:val="single" w:sz="4" w:space="0" w:color="auto"/>
            </w:tcBorders>
            <w:shd w:val="clear" w:color="auto" w:fill="auto"/>
            <w:vAlign w:val="center"/>
          </w:tcPr>
          <w:p w14:paraId="567ABF6A" w14:textId="14E736C9" w:rsidR="00996837" w:rsidRPr="003E76E7" w:rsidRDefault="00996837" w:rsidP="00C4292D">
            <w:pPr>
              <w:kinsoku w:val="0"/>
              <w:overflowPunct w:val="0"/>
              <w:autoSpaceDE w:val="0"/>
              <w:autoSpaceDN w:val="0"/>
              <w:adjustRightInd w:val="0"/>
              <w:spacing w:before="60" w:after="60" w:line="178" w:lineRule="exact"/>
              <w:rPr>
                <w:rFonts w:ascii="Arial" w:hAnsi="Arial"/>
                <w:sz w:val="16"/>
                <w:szCs w:val="16"/>
                <w:lang w:val="en-AU"/>
              </w:rPr>
            </w:pPr>
            <w:r w:rsidRPr="003E76E7">
              <w:rPr>
                <w:rFonts w:ascii="Arial" w:hAnsi="Arial"/>
                <w:sz w:val="16"/>
                <w:szCs w:val="16"/>
                <w:lang w:val="en-AU"/>
              </w:rPr>
              <w:t>This product comprises support arrangements to safely maint</w:t>
            </w:r>
            <w:r w:rsidR="00F92728" w:rsidRPr="003E76E7">
              <w:rPr>
                <w:rFonts w:ascii="Arial" w:hAnsi="Arial"/>
                <w:sz w:val="16"/>
                <w:szCs w:val="16"/>
                <w:lang w:val="en-AU"/>
              </w:rPr>
              <w:t>ain the materiel capability of six</w:t>
            </w:r>
            <w:r w:rsidRPr="003E76E7">
              <w:rPr>
                <w:rFonts w:ascii="Arial" w:hAnsi="Arial"/>
                <w:sz w:val="16"/>
                <w:szCs w:val="16"/>
                <w:lang w:val="en-AU"/>
              </w:rPr>
              <w:t xml:space="preserve"> Collins class submarines and the present submarine escape and rescue capability. This work is conducted under enterprise arrangements with industry</w:t>
            </w:r>
            <w:r w:rsidRPr="003E76E7">
              <w:rPr>
                <w:rFonts w:ascii="Arial" w:hAnsi="Arial"/>
                <w:spacing w:val="-1"/>
                <w:sz w:val="16"/>
                <w:szCs w:val="16"/>
                <w:lang w:val="en-AU"/>
              </w:rPr>
              <w:t xml:space="preserve"> </w:t>
            </w:r>
            <w:r w:rsidRPr="003E76E7">
              <w:rPr>
                <w:rFonts w:ascii="Arial" w:hAnsi="Arial"/>
                <w:sz w:val="16"/>
                <w:szCs w:val="16"/>
                <w:lang w:val="en-AU"/>
              </w:rPr>
              <w:t>and through key</w:t>
            </w:r>
            <w:r w:rsidRPr="003E76E7">
              <w:rPr>
                <w:rFonts w:ascii="Arial" w:hAnsi="Arial"/>
                <w:spacing w:val="-1"/>
                <w:sz w:val="16"/>
                <w:szCs w:val="16"/>
                <w:lang w:val="en-AU"/>
              </w:rPr>
              <w:t xml:space="preserve"> </w:t>
            </w:r>
            <w:r w:rsidRPr="003E76E7">
              <w:rPr>
                <w:rFonts w:ascii="Arial" w:hAnsi="Arial"/>
                <w:sz w:val="16"/>
                <w:szCs w:val="16"/>
                <w:lang w:val="en-AU"/>
              </w:rPr>
              <w:t>contracts with ASC Pty Ltd, Raytheon Australia, Thales Australia, BAE Systems, PMB Defence, JFD Australia, and other providers.</w:t>
            </w:r>
          </w:p>
          <w:p w14:paraId="3E0E1A8D" w14:textId="77777777" w:rsidR="00996837" w:rsidRPr="003E76E7" w:rsidRDefault="00996837" w:rsidP="00C4292D">
            <w:pPr>
              <w:kinsoku w:val="0"/>
              <w:overflowPunct w:val="0"/>
              <w:autoSpaceDE w:val="0"/>
              <w:autoSpaceDN w:val="0"/>
              <w:adjustRightInd w:val="0"/>
              <w:spacing w:before="60" w:after="60"/>
              <w:ind w:right="4"/>
              <w:rPr>
                <w:rFonts w:ascii="Arial" w:hAnsi="Arial"/>
                <w:sz w:val="16"/>
                <w:szCs w:val="16"/>
                <w:lang w:val="en-AU"/>
              </w:rPr>
            </w:pPr>
            <w:r w:rsidRPr="003E76E7">
              <w:rPr>
                <w:rFonts w:ascii="Arial" w:hAnsi="Arial"/>
                <w:sz w:val="16"/>
                <w:szCs w:val="16"/>
              </w:rPr>
              <w:t>Collins class sustainment was declared a</w:t>
            </w:r>
            <w:r w:rsidRPr="003E76E7">
              <w:rPr>
                <w:rFonts w:ascii="CIDFont+F1" w:hAnsi="CIDFont+F1" w:cs="CIDFont+F1"/>
                <w:sz w:val="16"/>
                <w:szCs w:val="16"/>
              </w:rPr>
              <w:t xml:space="preserve"> Product of Concern in December 2024. During 2026-27, the program will continue to progress activities to remediate performance towards meeting Navy's agreed Collins Class submarine performance targets, as continual improvement and efficiency initiatives are implemented. Ongoing Collins Class submarine life-of-type extension work (through SEA 1450) will continue to integrate with sustainment plans for the Collins Class fleet through CN10.</w:t>
            </w:r>
          </w:p>
        </w:tc>
      </w:tr>
      <w:tr w:rsidR="00996837" w:rsidRPr="003E76E7" w14:paraId="7659FBB3" w14:textId="77777777" w:rsidTr="00F92728">
        <w:trPr>
          <w:trHeight w:val="761"/>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ADC65C1" w14:textId="77777777" w:rsidR="00996837" w:rsidRPr="003E76E7" w:rsidRDefault="00996837" w:rsidP="00C4292D">
            <w:pPr>
              <w:rPr>
                <w:rFonts w:ascii="Arial" w:hAnsi="Arial"/>
                <w:sz w:val="16"/>
                <w:szCs w:val="16"/>
              </w:rPr>
            </w:pPr>
            <w:r w:rsidRPr="003E76E7">
              <w:rPr>
                <w:rFonts w:ascii="Arial" w:hAnsi="Arial"/>
                <w:sz w:val="16"/>
                <w:szCs w:val="16"/>
              </w:rPr>
              <w:t>Anzac Class Frigate</w:t>
            </w:r>
          </w:p>
        </w:tc>
        <w:tc>
          <w:tcPr>
            <w:tcW w:w="942" w:type="dxa"/>
            <w:tcBorders>
              <w:top w:val="single" w:sz="4" w:space="0" w:color="auto"/>
              <w:left w:val="nil"/>
              <w:bottom w:val="single" w:sz="4" w:space="0" w:color="auto"/>
              <w:right w:val="single" w:sz="4" w:space="0" w:color="auto"/>
            </w:tcBorders>
            <w:shd w:val="clear" w:color="auto" w:fill="auto"/>
            <w:vAlign w:val="center"/>
          </w:tcPr>
          <w:p w14:paraId="4438535D" w14:textId="77777777" w:rsidR="00996837" w:rsidRPr="003E76E7" w:rsidRDefault="00996837" w:rsidP="00C4292D">
            <w:pPr>
              <w:jc w:val="center"/>
              <w:rPr>
                <w:rFonts w:ascii="Arial" w:hAnsi="Arial"/>
                <w:b/>
                <w:bCs/>
                <w:sz w:val="16"/>
                <w:szCs w:val="16"/>
              </w:rPr>
            </w:pPr>
            <w:r w:rsidRPr="003E76E7">
              <w:rPr>
                <w:rFonts w:ascii="Arial" w:hAnsi="Arial"/>
                <w:b/>
                <w:bCs/>
                <w:sz w:val="16"/>
                <w:szCs w:val="16"/>
              </w:rPr>
              <w:t>CN02</w:t>
            </w:r>
          </w:p>
        </w:tc>
        <w:tc>
          <w:tcPr>
            <w:tcW w:w="899" w:type="dxa"/>
            <w:tcBorders>
              <w:top w:val="nil"/>
              <w:left w:val="single" w:sz="4" w:space="0" w:color="auto"/>
              <w:bottom w:val="single" w:sz="4" w:space="0" w:color="auto"/>
              <w:right w:val="single" w:sz="4" w:space="0" w:color="auto"/>
            </w:tcBorders>
            <w:shd w:val="clear" w:color="auto" w:fill="auto"/>
            <w:vAlign w:val="center"/>
          </w:tcPr>
          <w:p w14:paraId="3FE2DDBE" w14:textId="77777777" w:rsidR="00996837" w:rsidRPr="003E76E7" w:rsidRDefault="00996837" w:rsidP="00C4292D">
            <w:pPr>
              <w:jc w:val="center"/>
              <w:rPr>
                <w:rFonts w:ascii="Arial" w:hAnsi="Arial"/>
                <w:sz w:val="16"/>
                <w:szCs w:val="16"/>
              </w:rPr>
            </w:pPr>
            <w:r w:rsidRPr="003E76E7">
              <w:rPr>
                <w:rFonts w:ascii="Arial" w:hAnsi="Arial"/>
                <w:sz w:val="16"/>
                <w:szCs w:val="16"/>
              </w:rPr>
              <w:t>419</w:t>
            </w:r>
          </w:p>
        </w:tc>
        <w:tc>
          <w:tcPr>
            <w:tcW w:w="10058" w:type="dxa"/>
            <w:tcBorders>
              <w:top w:val="single" w:sz="4" w:space="0" w:color="auto"/>
              <w:left w:val="nil"/>
              <w:bottom w:val="single" w:sz="4" w:space="0" w:color="auto"/>
              <w:right w:val="single" w:sz="4" w:space="0" w:color="auto"/>
            </w:tcBorders>
            <w:shd w:val="clear" w:color="auto" w:fill="auto"/>
            <w:vAlign w:val="center"/>
          </w:tcPr>
          <w:p w14:paraId="7D619C62" w14:textId="7B2E1BDF" w:rsidR="00996837" w:rsidRPr="003E76E7" w:rsidRDefault="00996837" w:rsidP="00C4292D">
            <w:pPr>
              <w:keepNext/>
              <w:keepLines/>
              <w:spacing w:before="60" w:after="60"/>
              <w:rPr>
                <w:rFonts w:ascii="Arial" w:hAnsi="Arial"/>
                <w:sz w:val="16"/>
                <w:szCs w:val="16"/>
              </w:rPr>
            </w:pPr>
            <w:r w:rsidRPr="003E76E7">
              <w:rPr>
                <w:rFonts w:ascii="Arial" w:hAnsi="Arial"/>
                <w:sz w:val="16"/>
                <w:szCs w:val="16"/>
              </w:rPr>
              <w:t xml:space="preserve">This product supports </w:t>
            </w:r>
            <w:r w:rsidR="00F92728" w:rsidRPr="003E76E7">
              <w:rPr>
                <w:rFonts w:ascii="Arial" w:hAnsi="Arial"/>
                <w:sz w:val="16"/>
                <w:szCs w:val="16"/>
              </w:rPr>
              <w:t>seven</w:t>
            </w:r>
            <w:r w:rsidRPr="003E76E7">
              <w:rPr>
                <w:rFonts w:ascii="Arial" w:hAnsi="Arial"/>
                <w:sz w:val="16"/>
                <w:szCs w:val="16"/>
              </w:rPr>
              <w:t xml:space="preserve"> Anzac Class frigates and associated support systems through the provision of materiel support, maintenance and engineering services.</w:t>
            </w:r>
          </w:p>
          <w:p w14:paraId="24B95E0E" w14:textId="4C84BDE9" w:rsidR="00996837" w:rsidRPr="003E76E7" w:rsidRDefault="00A5119F" w:rsidP="00C4292D">
            <w:pPr>
              <w:kinsoku w:val="0"/>
              <w:overflowPunct w:val="0"/>
              <w:autoSpaceDE w:val="0"/>
              <w:autoSpaceDN w:val="0"/>
              <w:adjustRightInd w:val="0"/>
              <w:spacing w:before="60" w:after="60"/>
              <w:ind w:right="4"/>
              <w:rPr>
                <w:rFonts w:ascii="Arial" w:hAnsi="Arial"/>
                <w:sz w:val="16"/>
                <w:szCs w:val="16"/>
                <w:lang w:val="en-AU"/>
              </w:rPr>
            </w:pPr>
            <w:r>
              <w:rPr>
                <w:rFonts w:ascii="Arial" w:hAnsi="Arial"/>
                <w:sz w:val="16"/>
                <w:szCs w:val="16"/>
                <w:lang w:val="en-AU"/>
              </w:rPr>
              <w:t xml:space="preserve">In </w:t>
            </w:r>
            <w:r w:rsidRPr="003E76E7">
              <w:rPr>
                <w:rFonts w:ascii="Arial" w:hAnsi="Arial"/>
                <w:sz w:val="16"/>
                <w:szCs w:val="16"/>
                <w:lang w:val="en-AU"/>
              </w:rPr>
              <w:t xml:space="preserve">2026-27, the focus will be on completing the scheduled and corrective maintenance activities across the remaining Anzac Class </w:t>
            </w:r>
            <w:r>
              <w:rPr>
                <w:rFonts w:ascii="Arial" w:hAnsi="Arial"/>
                <w:sz w:val="16"/>
                <w:szCs w:val="16"/>
                <w:lang w:val="en-AU"/>
              </w:rPr>
              <w:t xml:space="preserve">frigates </w:t>
            </w:r>
            <w:r w:rsidRPr="003E76E7">
              <w:rPr>
                <w:rFonts w:ascii="Arial" w:hAnsi="Arial"/>
                <w:sz w:val="16"/>
                <w:szCs w:val="16"/>
                <w:lang w:val="en-AU"/>
              </w:rPr>
              <w:t>to ensure Navy’s availability and seaworthiness requirements are met; continued implementation of the class usage and upkeep cycle to align with the delivery</w:t>
            </w:r>
            <w:r w:rsidRPr="003E76E7">
              <w:rPr>
                <w:rFonts w:ascii="Arial" w:hAnsi="Arial"/>
                <w:spacing w:val="-1"/>
                <w:sz w:val="16"/>
                <w:szCs w:val="16"/>
                <w:lang w:val="en-AU"/>
              </w:rPr>
              <w:t xml:space="preserve"> </w:t>
            </w:r>
            <w:r w:rsidRPr="003E76E7">
              <w:rPr>
                <w:rFonts w:ascii="Arial" w:hAnsi="Arial"/>
                <w:sz w:val="16"/>
                <w:szCs w:val="16"/>
                <w:lang w:val="en-AU"/>
              </w:rPr>
              <w:t>of the General Purpose Frigates; and the ongoing installation of platform upgrades.</w:t>
            </w:r>
          </w:p>
        </w:tc>
      </w:tr>
      <w:tr w:rsidR="00996837" w:rsidRPr="003E76E7" w14:paraId="4169D781" w14:textId="77777777" w:rsidTr="00F92728">
        <w:trPr>
          <w:trHeight w:val="761"/>
        </w:trPr>
        <w:tc>
          <w:tcPr>
            <w:tcW w:w="1559" w:type="dxa"/>
            <w:tcBorders>
              <w:top w:val="nil"/>
              <w:left w:val="single" w:sz="4" w:space="0" w:color="auto"/>
              <w:bottom w:val="single" w:sz="4" w:space="0" w:color="auto"/>
              <w:right w:val="single" w:sz="4" w:space="0" w:color="auto"/>
            </w:tcBorders>
            <w:shd w:val="clear" w:color="auto" w:fill="auto"/>
            <w:vAlign w:val="center"/>
          </w:tcPr>
          <w:p w14:paraId="751A0034" w14:textId="77777777" w:rsidR="00996837" w:rsidRPr="003E76E7" w:rsidRDefault="00996837" w:rsidP="00C4292D">
            <w:pPr>
              <w:rPr>
                <w:rFonts w:ascii="Arial" w:hAnsi="Arial"/>
                <w:sz w:val="16"/>
                <w:szCs w:val="16"/>
              </w:rPr>
            </w:pPr>
            <w:r w:rsidRPr="003E76E7">
              <w:rPr>
                <w:rFonts w:ascii="Arial" w:hAnsi="Arial"/>
                <w:sz w:val="16"/>
                <w:szCs w:val="16"/>
              </w:rPr>
              <w:t>Hobart Class Destroyer</w:t>
            </w:r>
          </w:p>
        </w:tc>
        <w:tc>
          <w:tcPr>
            <w:tcW w:w="942" w:type="dxa"/>
            <w:tcBorders>
              <w:top w:val="nil"/>
              <w:left w:val="nil"/>
              <w:bottom w:val="single" w:sz="4" w:space="0" w:color="auto"/>
              <w:right w:val="single" w:sz="4" w:space="0" w:color="auto"/>
            </w:tcBorders>
            <w:shd w:val="clear" w:color="auto" w:fill="auto"/>
            <w:vAlign w:val="center"/>
          </w:tcPr>
          <w:p w14:paraId="0186C69A" w14:textId="77777777" w:rsidR="00996837" w:rsidRPr="003E76E7" w:rsidRDefault="00996837" w:rsidP="00C4292D">
            <w:pPr>
              <w:jc w:val="center"/>
              <w:rPr>
                <w:rFonts w:ascii="Arial" w:hAnsi="Arial"/>
                <w:b/>
                <w:bCs/>
                <w:sz w:val="16"/>
                <w:szCs w:val="16"/>
              </w:rPr>
            </w:pPr>
            <w:r w:rsidRPr="003E76E7">
              <w:rPr>
                <w:rFonts w:ascii="Arial" w:hAnsi="Arial"/>
                <w:b/>
                <w:bCs/>
                <w:sz w:val="16"/>
                <w:szCs w:val="16"/>
              </w:rPr>
              <w:t>CN40</w:t>
            </w:r>
          </w:p>
        </w:tc>
        <w:tc>
          <w:tcPr>
            <w:tcW w:w="899" w:type="dxa"/>
            <w:tcBorders>
              <w:top w:val="nil"/>
              <w:left w:val="single" w:sz="4" w:space="0" w:color="auto"/>
              <w:bottom w:val="single" w:sz="4" w:space="0" w:color="auto"/>
              <w:right w:val="single" w:sz="4" w:space="0" w:color="auto"/>
            </w:tcBorders>
            <w:shd w:val="clear" w:color="auto" w:fill="auto"/>
            <w:vAlign w:val="center"/>
          </w:tcPr>
          <w:p w14:paraId="2A7DB13A" w14:textId="77777777" w:rsidR="00996837" w:rsidRPr="003E76E7" w:rsidRDefault="00996837" w:rsidP="00C4292D">
            <w:pPr>
              <w:jc w:val="center"/>
              <w:rPr>
                <w:rFonts w:ascii="Arial" w:hAnsi="Arial"/>
                <w:sz w:val="16"/>
                <w:szCs w:val="16"/>
              </w:rPr>
            </w:pPr>
            <w:r w:rsidRPr="003E76E7">
              <w:rPr>
                <w:rFonts w:ascii="Arial" w:hAnsi="Arial"/>
                <w:sz w:val="16"/>
                <w:szCs w:val="16"/>
              </w:rPr>
              <w:t>294</w:t>
            </w:r>
          </w:p>
        </w:tc>
        <w:tc>
          <w:tcPr>
            <w:tcW w:w="10058" w:type="dxa"/>
            <w:tcBorders>
              <w:top w:val="nil"/>
              <w:left w:val="nil"/>
              <w:bottom w:val="single" w:sz="4" w:space="0" w:color="auto"/>
              <w:right w:val="single" w:sz="4" w:space="0" w:color="auto"/>
            </w:tcBorders>
            <w:shd w:val="clear" w:color="auto" w:fill="auto"/>
            <w:vAlign w:val="center"/>
          </w:tcPr>
          <w:p w14:paraId="3304C927" w14:textId="2C864937" w:rsidR="00996837" w:rsidRPr="003E76E7" w:rsidRDefault="00996837" w:rsidP="00C4292D">
            <w:pPr>
              <w:keepNext/>
              <w:keepLines/>
              <w:spacing w:before="60" w:after="60"/>
              <w:rPr>
                <w:rFonts w:ascii="Arial" w:hAnsi="Arial"/>
                <w:sz w:val="16"/>
                <w:szCs w:val="16"/>
              </w:rPr>
            </w:pPr>
            <w:r w:rsidRPr="003E76E7">
              <w:rPr>
                <w:rFonts w:ascii="Arial" w:hAnsi="Arial"/>
                <w:sz w:val="16"/>
                <w:szCs w:val="16"/>
              </w:rPr>
              <w:t xml:space="preserve">This product supports the </w:t>
            </w:r>
            <w:r w:rsidR="00F92728" w:rsidRPr="003E76E7">
              <w:rPr>
                <w:rFonts w:ascii="Arial" w:hAnsi="Arial"/>
                <w:sz w:val="16"/>
                <w:szCs w:val="16"/>
              </w:rPr>
              <w:t>three</w:t>
            </w:r>
            <w:r w:rsidRPr="003E76E7">
              <w:rPr>
                <w:rFonts w:ascii="Arial" w:hAnsi="Arial"/>
                <w:sz w:val="16"/>
                <w:szCs w:val="16"/>
              </w:rPr>
              <w:t xml:space="preserve"> Hobart Class destroyers through the provision of materiel support and ongoing maintenance of the ships and associated equipment, systems and operator training facilities.</w:t>
            </w:r>
          </w:p>
          <w:p w14:paraId="59A59C4B" w14:textId="77777777" w:rsidR="00996837" w:rsidRPr="003E76E7" w:rsidRDefault="00996837" w:rsidP="00C4292D">
            <w:pPr>
              <w:kinsoku w:val="0"/>
              <w:overflowPunct w:val="0"/>
              <w:autoSpaceDE w:val="0"/>
              <w:autoSpaceDN w:val="0"/>
              <w:adjustRightInd w:val="0"/>
              <w:spacing w:before="60" w:after="60"/>
              <w:ind w:right="4"/>
              <w:rPr>
                <w:rFonts w:ascii="Arial" w:hAnsi="Arial"/>
                <w:sz w:val="16"/>
                <w:szCs w:val="16"/>
                <w:lang w:val="en-AU"/>
              </w:rPr>
            </w:pPr>
            <w:r w:rsidRPr="003E76E7">
              <w:rPr>
                <w:rFonts w:ascii="Arial" w:hAnsi="Arial"/>
                <w:sz w:val="16"/>
                <w:szCs w:val="16"/>
              </w:rPr>
              <w:t>During 2026-27, the focus will be on completing the scheduled and corrective maintenance activities across the Hobart Class to ensure Navy’s availability and seaworthiness requirements are met; and progressing the Destroyer Capability Enhancement Program, inclusive of the Aegis Upgrade Program (SEA 4000 Phase 6), taking place at the Osborne Naval Shipyard in Adelaide.</w:t>
            </w:r>
          </w:p>
        </w:tc>
      </w:tr>
      <w:tr w:rsidR="00996837" w:rsidRPr="003E76E7" w14:paraId="3F7A5E08" w14:textId="77777777" w:rsidTr="00F92728">
        <w:trPr>
          <w:trHeight w:val="761"/>
        </w:trPr>
        <w:tc>
          <w:tcPr>
            <w:tcW w:w="1559" w:type="dxa"/>
            <w:tcBorders>
              <w:top w:val="nil"/>
              <w:left w:val="single" w:sz="4" w:space="0" w:color="auto"/>
              <w:bottom w:val="single" w:sz="4" w:space="0" w:color="auto"/>
              <w:right w:val="single" w:sz="4" w:space="0" w:color="auto"/>
            </w:tcBorders>
            <w:shd w:val="clear" w:color="auto" w:fill="auto"/>
            <w:vAlign w:val="center"/>
          </w:tcPr>
          <w:p w14:paraId="147D4163" w14:textId="77777777" w:rsidR="00996837" w:rsidRPr="003E76E7" w:rsidRDefault="00996837" w:rsidP="00C4292D">
            <w:pPr>
              <w:rPr>
                <w:rFonts w:ascii="Arial" w:hAnsi="Arial"/>
                <w:sz w:val="16"/>
                <w:szCs w:val="16"/>
              </w:rPr>
            </w:pPr>
            <w:r w:rsidRPr="003E76E7">
              <w:rPr>
                <w:rFonts w:ascii="Arial" w:hAnsi="Arial"/>
                <w:sz w:val="16"/>
                <w:szCs w:val="16"/>
              </w:rPr>
              <w:t>MH-60R Seahawk Romeo Helicopter</w:t>
            </w:r>
          </w:p>
        </w:tc>
        <w:tc>
          <w:tcPr>
            <w:tcW w:w="942" w:type="dxa"/>
            <w:tcBorders>
              <w:top w:val="nil"/>
              <w:left w:val="nil"/>
              <w:bottom w:val="single" w:sz="4" w:space="0" w:color="auto"/>
              <w:right w:val="single" w:sz="4" w:space="0" w:color="auto"/>
            </w:tcBorders>
            <w:shd w:val="clear" w:color="auto" w:fill="auto"/>
            <w:vAlign w:val="center"/>
          </w:tcPr>
          <w:p w14:paraId="24423E6B" w14:textId="77777777" w:rsidR="00996837" w:rsidRPr="003E76E7" w:rsidRDefault="00996837" w:rsidP="00C4292D">
            <w:pPr>
              <w:jc w:val="center"/>
              <w:rPr>
                <w:rFonts w:ascii="Arial" w:hAnsi="Arial"/>
                <w:b/>
                <w:bCs/>
                <w:sz w:val="16"/>
                <w:szCs w:val="16"/>
              </w:rPr>
            </w:pPr>
            <w:r w:rsidRPr="003E76E7">
              <w:rPr>
                <w:rFonts w:ascii="Arial" w:hAnsi="Arial"/>
                <w:b/>
                <w:bCs/>
                <w:sz w:val="16"/>
                <w:szCs w:val="16"/>
              </w:rPr>
              <w:t>CN35</w:t>
            </w:r>
          </w:p>
        </w:tc>
        <w:tc>
          <w:tcPr>
            <w:tcW w:w="899" w:type="dxa"/>
            <w:tcBorders>
              <w:top w:val="nil"/>
              <w:left w:val="single" w:sz="4" w:space="0" w:color="auto"/>
              <w:bottom w:val="single" w:sz="4" w:space="0" w:color="auto"/>
              <w:right w:val="single" w:sz="4" w:space="0" w:color="auto"/>
            </w:tcBorders>
            <w:shd w:val="clear" w:color="auto" w:fill="auto"/>
            <w:vAlign w:val="center"/>
          </w:tcPr>
          <w:p w14:paraId="1C616557" w14:textId="77777777" w:rsidR="00996837" w:rsidRPr="003E76E7" w:rsidRDefault="00996837" w:rsidP="00C4292D">
            <w:pPr>
              <w:jc w:val="center"/>
              <w:rPr>
                <w:rFonts w:ascii="Arial" w:hAnsi="Arial"/>
                <w:sz w:val="16"/>
                <w:szCs w:val="16"/>
              </w:rPr>
            </w:pPr>
            <w:r w:rsidRPr="003E76E7">
              <w:rPr>
                <w:rFonts w:ascii="Arial" w:hAnsi="Arial"/>
                <w:sz w:val="16"/>
                <w:szCs w:val="16"/>
              </w:rPr>
              <w:t>241</w:t>
            </w:r>
          </w:p>
        </w:tc>
        <w:tc>
          <w:tcPr>
            <w:tcW w:w="10058" w:type="dxa"/>
            <w:tcBorders>
              <w:top w:val="nil"/>
              <w:left w:val="nil"/>
              <w:bottom w:val="single" w:sz="4" w:space="0" w:color="auto"/>
              <w:right w:val="single" w:sz="4" w:space="0" w:color="auto"/>
            </w:tcBorders>
            <w:shd w:val="clear" w:color="auto" w:fill="auto"/>
            <w:vAlign w:val="center"/>
          </w:tcPr>
          <w:p w14:paraId="5F79859B" w14:textId="55990EA4" w:rsidR="00996837" w:rsidRPr="003E76E7" w:rsidRDefault="00996837" w:rsidP="00C4292D">
            <w:pPr>
              <w:kinsoku w:val="0"/>
              <w:overflowPunct w:val="0"/>
              <w:autoSpaceDE w:val="0"/>
              <w:autoSpaceDN w:val="0"/>
              <w:adjustRightInd w:val="0"/>
              <w:spacing w:before="60" w:after="60" w:line="178" w:lineRule="exact"/>
              <w:rPr>
                <w:rFonts w:ascii="Arial" w:hAnsi="Arial"/>
                <w:sz w:val="16"/>
                <w:szCs w:val="16"/>
                <w:lang w:val="en-AU"/>
              </w:rPr>
            </w:pPr>
            <w:r w:rsidRPr="003E76E7">
              <w:rPr>
                <w:rFonts w:ascii="Arial" w:hAnsi="Arial"/>
                <w:sz w:val="16"/>
                <w:szCs w:val="16"/>
                <w:lang w:val="en-AU"/>
              </w:rPr>
              <w:t xml:space="preserve">This product sustains the MH-60R Seahawk helicopters and associated training devices. The MH-60R capability is operated from </w:t>
            </w:r>
            <w:r w:rsidR="00F92728" w:rsidRPr="003E76E7">
              <w:rPr>
                <w:rFonts w:ascii="Arial" w:hAnsi="Arial"/>
                <w:sz w:val="16"/>
                <w:szCs w:val="16"/>
                <w:lang w:val="en-AU"/>
              </w:rPr>
              <w:br/>
            </w:r>
            <w:r w:rsidRPr="003E76E7">
              <w:rPr>
                <w:rFonts w:ascii="Arial" w:hAnsi="Arial"/>
                <w:sz w:val="16"/>
                <w:szCs w:val="16"/>
                <w:lang w:val="en-AU"/>
              </w:rPr>
              <w:t xml:space="preserve">HMAS </w:t>
            </w:r>
            <w:r w:rsidR="002F62D4" w:rsidRPr="002F62D4">
              <w:rPr>
                <w:rFonts w:ascii="Arial" w:hAnsi="Arial"/>
                <w:sz w:val="16"/>
                <w:szCs w:val="16"/>
                <w:lang w:val="en-AU"/>
              </w:rPr>
              <w:t>Albatross</w:t>
            </w:r>
            <w:r w:rsidRPr="003E76E7">
              <w:rPr>
                <w:rFonts w:ascii="Arial" w:hAnsi="Arial"/>
                <w:sz w:val="16"/>
                <w:szCs w:val="16"/>
                <w:lang w:val="en-AU"/>
              </w:rPr>
              <w:t xml:space="preserve"> in Nowra NSW and currently supports up to eight embarked flights on Royal Australian Navy ships. In-service support is led by the Commonwealth and provided through the United States Government Foreign Military Sales program.</w:t>
            </w:r>
          </w:p>
          <w:p w14:paraId="540784B1" w14:textId="303D73DB" w:rsidR="00996837" w:rsidRPr="003E76E7" w:rsidRDefault="00996837" w:rsidP="00C4292D">
            <w:pPr>
              <w:kinsoku w:val="0"/>
              <w:overflowPunct w:val="0"/>
              <w:autoSpaceDE w:val="0"/>
              <w:autoSpaceDN w:val="0"/>
              <w:adjustRightInd w:val="0"/>
              <w:spacing w:before="60" w:after="60"/>
              <w:ind w:right="4"/>
              <w:rPr>
                <w:rFonts w:ascii="Arial" w:hAnsi="Arial"/>
                <w:sz w:val="16"/>
                <w:szCs w:val="16"/>
                <w:lang w:val="en-AU"/>
              </w:rPr>
            </w:pPr>
            <w:r w:rsidRPr="003E76E7">
              <w:rPr>
                <w:rFonts w:ascii="Arial" w:hAnsi="Arial"/>
                <w:sz w:val="16"/>
                <w:szCs w:val="16"/>
                <w:lang w:val="en-AU"/>
              </w:rPr>
              <w:t xml:space="preserve">During 2026-27, the product will increase sustainment support as additional MH-60R aircraft and associated spares are delivered through the SEA 9100 project. This will expand embarked maritime aviation capability to </w:t>
            </w:r>
            <w:r w:rsidR="00F92728" w:rsidRPr="003E76E7">
              <w:rPr>
                <w:rFonts w:ascii="Arial" w:hAnsi="Arial"/>
                <w:sz w:val="16"/>
                <w:szCs w:val="16"/>
                <w:lang w:val="en-AU"/>
              </w:rPr>
              <w:t>nine</w:t>
            </w:r>
            <w:r w:rsidRPr="003E76E7">
              <w:rPr>
                <w:rFonts w:ascii="Arial" w:hAnsi="Arial"/>
                <w:sz w:val="16"/>
                <w:szCs w:val="16"/>
                <w:lang w:val="en-AU"/>
              </w:rPr>
              <w:t xml:space="preserve"> flights.</w:t>
            </w:r>
          </w:p>
        </w:tc>
      </w:tr>
    </w:tbl>
    <w:p w14:paraId="547629AE" w14:textId="752F0B1D" w:rsidR="00996837" w:rsidRPr="003E76E7" w:rsidRDefault="00996837" w:rsidP="00C4292D">
      <w:pPr>
        <w:rPr>
          <w:rFonts w:ascii="Arial" w:hAnsi="Arial"/>
          <w:b/>
        </w:rPr>
      </w:pPr>
      <w:r w:rsidRPr="003E76E7">
        <w:br w:type="page"/>
      </w:r>
      <w:r w:rsidRPr="003E76E7">
        <w:rPr>
          <w:rFonts w:ascii="Arial" w:hAnsi="Arial"/>
          <w:b/>
        </w:rPr>
        <w:lastRenderedPageBreak/>
        <w:t>Table 55: Top 30 Capability Sustainment Products by End of Financial Year Outcome 2026-27 (Continued)</w:t>
      </w:r>
      <w:r w:rsidRPr="003E76E7">
        <w:rPr>
          <w:rFonts w:ascii="Arial" w:hAnsi="Arial"/>
          <w:b/>
          <w:vertAlign w:val="superscript"/>
        </w:rPr>
        <w:t xml:space="preserve"> [a]</w:t>
      </w:r>
      <w:r w:rsidR="007E7201" w:rsidRPr="003E76E7">
        <w:rPr>
          <w:rFonts w:ascii="Arial" w:hAnsi="Arial"/>
          <w:b/>
          <w:vertAlign w:val="superscript"/>
        </w:rPr>
        <w:t xml:space="preserve"> </w:t>
      </w:r>
      <w:r w:rsidRPr="003E76E7">
        <w:rPr>
          <w:rFonts w:ascii="Arial" w:hAnsi="Arial"/>
          <w:b/>
          <w:vertAlign w:val="superscript"/>
        </w:rPr>
        <w:t>[b]</w:t>
      </w:r>
    </w:p>
    <w:tbl>
      <w:tblPr>
        <w:tblW w:w="13458" w:type="dxa"/>
        <w:tblInd w:w="-39" w:type="dxa"/>
        <w:tblLayout w:type="fixed"/>
        <w:tblLook w:val="04A0" w:firstRow="1" w:lastRow="0" w:firstColumn="1" w:lastColumn="0" w:noHBand="0" w:noVBand="1"/>
      </w:tblPr>
      <w:tblGrid>
        <w:gridCol w:w="1559"/>
        <w:gridCol w:w="942"/>
        <w:gridCol w:w="899"/>
        <w:gridCol w:w="10058"/>
      </w:tblGrid>
      <w:tr w:rsidR="007E7201" w:rsidRPr="003E76E7" w14:paraId="20899427" w14:textId="77777777" w:rsidTr="00311E44">
        <w:trPr>
          <w:trHeight w:val="283"/>
          <w:tblHeader/>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429CAB5" w14:textId="2D7C1D7C" w:rsidR="007E7201" w:rsidRPr="003E76E7" w:rsidRDefault="007E7201" w:rsidP="00C4292D">
            <w:pPr>
              <w:spacing w:before="0" w:after="0"/>
              <w:rPr>
                <w:rFonts w:ascii="Arial" w:hAnsi="Arial"/>
                <w:sz w:val="16"/>
                <w:szCs w:val="16"/>
                <w:lang w:val="en-AU"/>
              </w:rPr>
            </w:pPr>
            <w:r w:rsidRPr="003E76E7">
              <w:rPr>
                <w:rFonts w:ascii="Arial" w:hAnsi="Arial"/>
                <w:b/>
                <w:bCs/>
                <w:sz w:val="16"/>
                <w:szCs w:val="16"/>
                <w:lang w:val="en-AU"/>
              </w:rPr>
              <w:t>Domain/Product Name</w:t>
            </w:r>
          </w:p>
        </w:tc>
        <w:tc>
          <w:tcPr>
            <w:tcW w:w="942" w:type="dxa"/>
            <w:tcBorders>
              <w:top w:val="single" w:sz="4" w:space="0" w:color="auto"/>
              <w:left w:val="single" w:sz="4" w:space="0" w:color="auto"/>
              <w:bottom w:val="single" w:sz="4" w:space="0" w:color="auto"/>
              <w:right w:val="single" w:sz="4" w:space="0" w:color="auto"/>
            </w:tcBorders>
            <w:shd w:val="clear" w:color="auto" w:fill="auto"/>
            <w:vAlign w:val="center"/>
          </w:tcPr>
          <w:p w14:paraId="62525B11" w14:textId="18B8A8EF" w:rsidR="007E7201" w:rsidRPr="003E76E7" w:rsidRDefault="007E7201" w:rsidP="00C4292D">
            <w:pPr>
              <w:spacing w:before="0" w:after="0"/>
              <w:jc w:val="center"/>
              <w:rPr>
                <w:rFonts w:ascii="Arial" w:hAnsi="Arial"/>
                <w:b/>
                <w:bCs/>
                <w:sz w:val="16"/>
                <w:szCs w:val="16"/>
                <w:lang w:val="en-AU"/>
              </w:rPr>
            </w:pPr>
            <w:r w:rsidRPr="003E76E7">
              <w:rPr>
                <w:rFonts w:ascii="Arial" w:hAnsi="Arial"/>
                <w:b/>
                <w:bCs/>
                <w:sz w:val="16"/>
                <w:szCs w:val="16"/>
                <w:lang w:val="en-AU"/>
              </w:rPr>
              <w:t>Product Serial</w:t>
            </w:r>
          </w:p>
        </w:tc>
        <w:tc>
          <w:tcPr>
            <w:tcW w:w="899" w:type="dxa"/>
            <w:tcBorders>
              <w:top w:val="single" w:sz="4" w:space="0" w:color="auto"/>
              <w:left w:val="single" w:sz="4" w:space="0" w:color="auto"/>
              <w:bottom w:val="single" w:sz="4" w:space="0" w:color="auto"/>
              <w:right w:val="single" w:sz="4" w:space="0" w:color="auto"/>
            </w:tcBorders>
            <w:shd w:val="clear" w:color="auto" w:fill="auto"/>
          </w:tcPr>
          <w:p w14:paraId="0C7C88CD" w14:textId="48A9C5B9" w:rsidR="007E7201" w:rsidRPr="003E76E7" w:rsidRDefault="007E7201" w:rsidP="00C4292D">
            <w:pPr>
              <w:spacing w:before="0" w:after="0"/>
              <w:jc w:val="right"/>
              <w:rPr>
                <w:rFonts w:ascii="Arial" w:hAnsi="Arial"/>
                <w:sz w:val="16"/>
                <w:szCs w:val="16"/>
                <w:lang w:val="en-AU"/>
              </w:rPr>
            </w:pPr>
            <w:r w:rsidRPr="003E76E7">
              <w:rPr>
                <w:rFonts w:ascii="Arial" w:hAnsi="Arial"/>
                <w:b/>
                <w:bCs/>
                <w:sz w:val="16"/>
                <w:szCs w:val="16"/>
                <w:lang w:val="en-AU"/>
              </w:rPr>
              <w:t>Budget Estimate 2026-27 $m</w:t>
            </w:r>
            <w:r w:rsidRPr="003E76E7">
              <w:rPr>
                <w:rFonts w:ascii="Arial" w:hAnsi="Arial"/>
                <w:b/>
                <w:bCs/>
                <w:sz w:val="16"/>
                <w:szCs w:val="16"/>
                <w:vertAlign w:val="superscript"/>
                <w:lang w:val="en-AU"/>
              </w:rPr>
              <w:t xml:space="preserve"> </w:t>
            </w:r>
          </w:p>
        </w:tc>
        <w:tc>
          <w:tcPr>
            <w:tcW w:w="10058" w:type="dxa"/>
            <w:tcBorders>
              <w:top w:val="single" w:sz="4" w:space="0" w:color="auto"/>
              <w:left w:val="single" w:sz="4" w:space="0" w:color="auto"/>
              <w:bottom w:val="single" w:sz="4" w:space="0" w:color="auto"/>
              <w:right w:val="single" w:sz="4" w:space="0" w:color="auto"/>
            </w:tcBorders>
            <w:shd w:val="clear" w:color="auto" w:fill="auto"/>
            <w:vAlign w:val="center"/>
          </w:tcPr>
          <w:p w14:paraId="2098C9FC" w14:textId="605D0F5F" w:rsidR="007E7201" w:rsidRPr="003E76E7" w:rsidRDefault="007E7201" w:rsidP="00C4292D">
            <w:pPr>
              <w:spacing w:before="0" w:after="0"/>
              <w:rPr>
                <w:rFonts w:ascii="Arial" w:hAnsi="Arial"/>
                <w:sz w:val="16"/>
                <w:szCs w:val="16"/>
                <w:lang w:val="en-AU"/>
              </w:rPr>
            </w:pPr>
            <w:r w:rsidRPr="003E76E7">
              <w:rPr>
                <w:rFonts w:ascii="Arial" w:hAnsi="Arial"/>
                <w:b/>
                <w:bCs/>
                <w:sz w:val="16"/>
                <w:szCs w:val="16"/>
                <w:lang w:val="en-AU"/>
              </w:rPr>
              <w:t>Top 30 Capability Sustainment Product Descriptions</w:t>
            </w:r>
          </w:p>
        </w:tc>
      </w:tr>
      <w:tr w:rsidR="00996837" w:rsidRPr="003E76E7" w14:paraId="3D628C61" w14:textId="77777777" w:rsidTr="00F92728">
        <w:trPr>
          <w:trHeight w:val="364"/>
        </w:trPr>
        <w:tc>
          <w:tcPr>
            <w:tcW w:w="13458"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9055A35" w14:textId="77777777" w:rsidR="00996837" w:rsidRPr="003E76E7" w:rsidRDefault="00996837" w:rsidP="00C4292D">
            <w:pPr>
              <w:kinsoku w:val="0"/>
              <w:overflowPunct w:val="0"/>
              <w:autoSpaceDE w:val="0"/>
              <w:autoSpaceDN w:val="0"/>
              <w:adjustRightInd w:val="0"/>
              <w:spacing w:before="60" w:after="60"/>
              <w:ind w:right="4"/>
              <w:rPr>
                <w:rFonts w:ascii="Arial" w:hAnsi="Arial"/>
                <w:sz w:val="16"/>
                <w:szCs w:val="16"/>
                <w:lang w:val="en-AU"/>
              </w:rPr>
            </w:pPr>
            <w:r w:rsidRPr="003E76E7">
              <w:rPr>
                <w:rFonts w:ascii="Arial" w:hAnsi="Arial"/>
                <w:b/>
                <w:bCs/>
                <w:sz w:val="16"/>
                <w:szCs w:val="16"/>
              </w:rPr>
              <w:t xml:space="preserve">Maritime Domain (Continued) </w:t>
            </w:r>
          </w:p>
        </w:tc>
      </w:tr>
      <w:tr w:rsidR="00996837" w:rsidRPr="003E76E7" w14:paraId="6215DF19" w14:textId="77777777" w:rsidTr="00F92728">
        <w:trPr>
          <w:trHeight w:val="761"/>
        </w:trPr>
        <w:tc>
          <w:tcPr>
            <w:tcW w:w="1559" w:type="dxa"/>
            <w:tcBorders>
              <w:top w:val="nil"/>
              <w:left w:val="single" w:sz="4" w:space="0" w:color="auto"/>
              <w:bottom w:val="single" w:sz="4" w:space="0" w:color="auto"/>
              <w:right w:val="single" w:sz="4" w:space="0" w:color="auto"/>
            </w:tcBorders>
            <w:shd w:val="clear" w:color="auto" w:fill="auto"/>
            <w:vAlign w:val="center"/>
          </w:tcPr>
          <w:p w14:paraId="08B03903" w14:textId="77777777" w:rsidR="00996837" w:rsidRPr="003E76E7" w:rsidRDefault="00996837" w:rsidP="00C4292D">
            <w:pPr>
              <w:rPr>
                <w:rFonts w:ascii="Arial" w:hAnsi="Arial"/>
                <w:sz w:val="16"/>
                <w:szCs w:val="16"/>
              </w:rPr>
            </w:pPr>
            <w:r w:rsidRPr="003E76E7">
              <w:rPr>
                <w:rFonts w:ascii="Arial" w:hAnsi="Arial"/>
                <w:sz w:val="16"/>
                <w:szCs w:val="16"/>
                <w:lang w:val="en-AU"/>
              </w:rPr>
              <w:t>Large Hull Vessels</w:t>
            </w:r>
          </w:p>
        </w:tc>
        <w:tc>
          <w:tcPr>
            <w:tcW w:w="942" w:type="dxa"/>
            <w:tcBorders>
              <w:top w:val="nil"/>
              <w:left w:val="nil"/>
              <w:bottom w:val="single" w:sz="4" w:space="0" w:color="auto"/>
              <w:right w:val="single" w:sz="4" w:space="0" w:color="auto"/>
            </w:tcBorders>
            <w:shd w:val="clear" w:color="auto" w:fill="auto"/>
            <w:vAlign w:val="center"/>
          </w:tcPr>
          <w:p w14:paraId="6B87DE69" w14:textId="77777777" w:rsidR="00996837" w:rsidRPr="003E76E7" w:rsidRDefault="00996837" w:rsidP="00C4292D">
            <w:pPr>
              <w:jc w:val="center"/>
              <w:rPr>
                <w:rFonts w:ascii="Arial" w:hAnsi="Arial"/>
                <w:b/>
                <w:bCs/>
                <w:sz w:val="16"/>
                <w:szCs w:val="16"/>
              </w:rPr>
            </w:pPr>
            <w:r w:rsidRPr="003E76E7">
              <w:rPr>
                <w:rFonts w:ascii="Arial" w:hAnsi="Arial"/>
                <w:b/>
                <w:bCs/>
                <w:sz w:val="16"/>
                <w:szCs w:val="16"/>
              </w:rPr>
              <w:t>CN58</w:t>
            </w:r>
          </w:p>
        </w:tc>
        <w:tc>
          <w:tcPr>
            <w:tcW w:w="899" w:type="dxa"/>
            <w:tcBorders>
              <w:top w:val="nil"/>
              <w:left w:val="nil"/>
              <w:bottom w:val="single" w:sz="4" w:space="0" w:color="auto"/>
              <w:right w:val="single" w:sz="4" w:space="0" w:color="auto"/>
            </w:tcBorders>
            <w:shd w:val="clear" w:color="auto" w:fill="auto"/>
            <w:vAlign w:val="center"/>
          </w:tcPr>
          <w:p w14:paraId="566C566F" w14:textId="77777777" w:rsidR="00996837" w:rsidRPr="003E76E7" w:rsidRDefault="00996837" w:rsidP="00C4292D">
            <w:pPr>
              <w:jc w:val="center"/>
              <w:rPr>
                <w:rFonts w:ascii="Arial" w:hAnsi="Arial"/>
                <w:sz w:val="16"/>
                <w:szCs w:val="16"/>
              </w:rPr>
            </w:pPr>
            <w:r w:rsidRPr="003E76E7">
              <w:rPr>
                <w:rFonts w:ascii="Arial" w:hAnsi="Arial"/>
                <w:sz w:val="16"/>
                <w:szCs w:val="16"/>
              </w:rPr>
              <w:t>176</w:t>
            </w:r>
          </w:p>
        </w:tc>
        <w:tc>
          <w:tcPr>
            <w:tcW w:w="10058" w:type="dxa"/>
            <w:tcBorders>
              <w:top w:val="nil"/>
              <w:left w:val="nil"/>
              <w:bottom w:val="single" w:sz="4" w:space="0" w:color="auto"/>
              <w:right w:val="single" w:sz="4" w:space="0" w:color="auto"/>
            </w:tcBorders>
            <w:shd w:val="clear" w:color="auto" w:fill="auto"/>
            <w:vAlign w:val="center"/>
          </w:tcPr>
          <w:p w14:paraId="153CB692" w14:textId="77777777" w:rsidR="00996837" w:rsidRPr="003E76E7" w:rsidRDefault="00996837" w:rsidP="00C4292D">
            <w:pPr>
              <w:keepNext/>
              <w:keepLines/>
              <w:spacing w:before="60" w:after="60"/>
              <w:rPr>
                <w:rFonts w:ascii="Arial" w:hAnsi="Arial"/>
                <w:sz w:val="16"/>
                <w:szCs w:val="16"/>
              </w:rPr>
            </w:pPr>
            <w:r w:rsidRPr="003E76E7">
              <w:rPr>
                <w:rFonts w:ascii="Arial" w:hAnsi="Arial"/>
                <w:sz w:val="16"/>
                <w:szCs w:val="16"/>
              </w:rPr>
              <w:t>This product supports offshore auxiliary vessels including ADV Ocean Protector, ADV Besant, ADV Stoker, ADV Sycamore, ADV Reliant, ADV Guidance and MV Mercator through the provision of contractor vessel operation, materiel support, maintenance and engineering and other sustainment requirements.</w:t>
            </w:r>
          </w:p>
          <w:p w14:paraId="5534B523" w14:textId="77777777" w:rsidR="00996837" w:rsidRPr="003E76E7" w:rsidRDefault="00996837" w:rsidP="00C4292D">
            <w:pPr>
              <w:kinsoku w:val="0"/>
              <w:overflowPunct w:val="0"/>
              <w:autoSpaceDE w:val="0"/>
              <w:autoSpaceDN w:val="0"/>
              <w:adjustRightInd w:val="0"/>
              <w:spacing w:before="60" w:after="60"/>
              <w:ind w:right="4"/>
              <w:rPr>
                <w:rFonts w:ascii="Arial" w:hAnsi="Arial"/>
                <w:sz w:val="16"/>
                <w:szCs w:val="16"/>
                <w:lang w:val="en-AU"/>
              </w:rPr>
            </w:pPr>
            <w:r w:rsidRPr="003E76E7">
              <w:rPr>
                <w:rFonts w:ascii="Arial" w:hAnsi="Arial"/>
                <w:sz w:val="16"/>
                <w:szCs w:val="16"/>
                <w:lang w:val="en-AU"/>
              </w:rPr>
              <w:t>During 2026-27, the focus will be on completing the scheduled and corrective maintenance activities across the commercial auxiliary fleet</w:t>
            </w:r>
            <w:r w:rsidRPr="003E76E7">
              <w:rPr>
                <w:rFonts w:ascii="Arial" w:hAnsi="Arial"/>
                <w:sz w:val="16"/>
                <w:szCs w:val="16"/>
              </w:rPr>
              <w:t xml:space="preserve"> </w:t>
            </w:r>
            <w:r w:rsidRPr="003E76E7">
              <w:rPr>
                <w:rFonts w:ascii="Arial" w:hAnsi="Arial"/>
                <w:sz w:val="16"/>
                <w:szCs w:val="16"/>
                <w:lang w:val="en-AU"/>
              </w:rPr>
              <w:t>to ensure Navy’s availability and seaworthiness requirements are met.</w:t>
            </w:r>
          </w:p>
        </w:tc>
      </w:tr>
      <w:tr w:rsidR="00996837" w:rsidRPr="003E76E7" w14:paraId="3510ECA3" w14:textId="77777777" w:rsidTr="00F92728">
        <w:trPr>
          <w:trHeight w:val="761"/>
        </w:trPr>
        <w:tc>
          <w:tcPr>
            <w:tcW w:w="1559" w:type="dxa"/>
            <w:tcBorders>
              <w:top w:val="nil"/>
              <w:left w:val="single" w:sz="4" w:space="0" w:color="auto"/>
              <w:bottom w:val="single" w:sz="4" w:space="0" w:color="auto"/>
              <w:right w:val="single" w:sz="4" w:space="0" w:color="auto"/>
            </w:tcBorders>
            <w:shd w:val="clear" w:color="auto" w:fill="auto"/>
            <w:vAlign w:val="center"/>
          </w:tcPr>
          <w:p w14:paraId="7C1CA4AF" w14:textId="77777777" w:rsidR="00996837" w:rsidRPr="003E76E7" w:rsidRDefault="00996837" w:rsidP="00C4292D">
            <w:pPr>
              <w:rPr>
                <w:rFonts w:ascii="Arial" w:hAnsi="Arial"/>
                <w:sz w:val="16"/>
                <w:szCs w:val="16"/>
              </w:rPr>
            </w:pPr>
            <w:r w:rsidRPr="003E76E7">
              <w:rPr>
                <w:rFonts w:ascii="Arial" w:hAnsi="Arial"/>
                <w:sz w:val="16"/>
                <w:szCs w:val="16"/>
              </w:rPr>
              <w:t>Canberra Class Amphibious Ship</w:t>
            </w:r>
          </w:p>
        </w:tc>
        <w:tc>
          <w:tcPr>
            <w:tcW w:w="942" w:type="dxa"/>
            <w:tcBorders>
              <w:top w:val="nil"/>
              <w:left w:val="nil"/>
              <w:bottom w:val="single" w:sz="4" w:space="0" w:color="auto"/>
              <w:right w:val="single" w:sz="4" w:space="0" w:color="auto"/>
            </w:tcBorders>
            <w:shd w:val="clear" w:color="auto" w:fill="auto"/>
            <w:vAlign w:val="center"/>
          </w:tcPr>
          <w:p w14:paraId="71E6CF46" w14:textId="77777777" w:rsidR="00996837" w:rsidRPr="003E76E7" w:rsidRDefault="00996837" w:rsidP="00C4292D">
            <w:pPr>
              <w:jc w:val="center"/>
              <w:rPr>
                <w:rFonts w:ascii="Arial" w:hAnsi="Arial"/>
                <w:b/>
                <w:bCs/>
                <w:sz w:val="16"/>
                <w:szCs w:val="16"/>
              </w:rPr>
            </w:pPr>
            <w:r w:rsidRPr="003E76E7">
              <w:rPr>
                <w:rFonts w:ascii="Arial" w:hAnsi="Arial"/>
                <w:b/>
                <w:bCs/>
                <w:sz w:val="16"/>
                <w:szCs w:val="16"/>
              </w:rPr>
              <w:t>CN34</w:t>
            </w:r>
          </w:p>
        </w:tc>
        <w:tc>
          <w:tcPr>
            <w:tcW w:w="899" w:type="dxa"/>
            <w:tcBorders>
              <w:top w:val="nil"/>
              <w:left w:val="nil"/>
              <w:bottom w:val="single" w:sz="4" w:space="0" w:color="auto"/>
              <w:right w:val="single" w:sz="4" w:space="0" w:color="auto"/>
            </w:tcBorders>
            <w:shd w:val="clear" w:color="auto" w:fill="auto"/>
            <w:vAlign w:val="center"/>
          </w:tcPr>
          <w:p w14:paraId="3EAA9A74" w14:textId="77777777" w:rsidR="00996837" w:rsidRPr="003E76E7" w:rsidRDefault="00996837" w:rsidP="00C4292D">
            <w:pPr>
              <w:jc w:val="center"/>
              <w:rPr>
                <w:rFonts w:ascii="Arial" w:hAnsi="Arial"/>
                <w:sz w:val="16"/>
                <w:szCs w:val="16"/>
              </w:rPr>
            </w:pPr>
            <w:r w:rsidRPr="003E76E7">
              <w:rPr>
                <w:rFonts w:ascii="Arial" w:hAnsi="Arial"/>
                <w:sz w:val="16"/>
                <w:szCs w:val="16"/>
              </w:rPr>
              <w:t>167</w:t>
            </w:r>
          </w:p>
        </w:tc>
        <w:tc>
          <w:tcPr>
            <w:tcW w:w="10058" w:type="dxa"/>
            <w:tcBorders>
              <w:top w:val="nil"/>
              <w:left w:val="nil"/>
              <w:bottom w:val="single" w:sz="4" w:space="0" w:color="auto"/>
              <w:right w:val="single" w:sz="4" w:space="0" w:color="auto"/>
            </w:tcBorders>
            <w:shd w:val="clear" w:color="auto" w:fill="auto"/>
            <w:vAlign w:val="center"/>
          </w:tcPr>
          <w:p w14:paraId="31F42EE1" w14:textId="4D3B741D" w:rsidR="00996837" w:rsidRPr="003E76E7" w:rsidRDefault="00F92728" w:rsidP="00C4292D">
            <w:pPr>
              <w:keepNext/>
              <w:keepLines/>
              <w:spacing w:before="60" w:after="60"/>
              <w:rPr>
                <w:rFonts w:ascii="Arial" w:hAnsi="Arial"/>
                <w:sz w:val="16"/>
                <w:szCs w:val="16"/>
              </w:rPr>
            </w:pPr>
            <w:r w:rsidRPr="003E76E7">
              <w:rPr>
                <w:rFonts w:ascii="Arial" w:hAnsi="Arial"/>
                <w:sz w:val="16"/>
                <w:szCs w:val="16"/>
              </w:rPr>
              <w:t>This product supports the two</w:t>
            </w:r>
            <w:r w:rsidR="00996837" w:rsidRPr="003E76E7">
              <w:rPr>
                <w:rFonts w:ascii="Arial" w:hAnsi="Arial"/>
                <w:sz w:val="16"/>
                <w:szCs w:val="16"/>
              </w:rPr>
              <w:t xml:space="preserve"> Canberra Class Landing Helicopter Docks (LHDs) and 12 LHD landing craft, through the provision of materiel support and ongoing maintenance of the ships and associated equipment, systems and operator training facilities. </w:t>
            </w:r>
          </w:p>
          <w:p w14:paraId="7FB7464D" w14:textId="0963992B" w:rsidR="00996837" w:rsidRPr="003E76E7" w:rsidRDefault="00996837" w:rsidP="00C4292D">
            <w:pPr>
              <w:keepNext/>
              <w:keepLines/>
              <w:spacing w:before="60" w:after="60"/>
              <w:rPr>
                <w:rFonts w:ascii="Arial" w:hAnsi="Arial"/>
                <w:sz w:val="16"/>
                <w:szCs w:val="16"/>
                <w:lang w:val="en-AU"/>
              </w:rPr>
            </w:pPr>
            <w:r w:rsidRPr="003E76E7">
              <w:rPr>
                <w:rFonts w:ascii="Arial" w:hAnsi="Arial"/>
                <w:sz w:val="16"/>
                <w:szCs w:val="16"/>
              </w:rPr>
              <w:t>During 2026-27, the focus will be on completing the scheduled and corrective maintenance activities across the Canberra Class to ensure Navy’s availability and seaworthiness requirements are met; and continuing installation activities for the Canberra</w:t>
            </w:r>
            <w:r w:rsidR="00973BC2" w:rsidRPr="003E76E7">
              <w:rPr>
                <w:rFonts w:ascii="Arial" w:hAnsi="Arial"/>
                <w:sz w:val="16"/>
                <w:szCs w:val="16"/>
              </w:rPr>
              <w:t xml:space="preserve"> </w:t>
            </w:r>
            <w:r w:rsidRPr="003E76E7">
              <w:rPr>
                <w:rFonts w:ascii="Arial" w:hAnsi="Arial"/>
                <w:sz w:val="16"/>
                <w:szCs w:val="16"/>
              </w:rPr>
              <w:t>Class</w:t>
            </w:r>
            <w:r w:rsidR="00973BC2" w:rsidRPr="003E76E7">
              <w:rPr>
                <w:rFonts w:ascii="Arial" w:hAnsi="Arial"/>
                <w:sz w:val="16"/>
                <w:szCs w:val="16"/>
              </w:rPr>
              <w:t xml:space="preserve"> </w:t>
            </w:r>
            <w:r w:rsidRPr="003E76E7">
              <w:rPr>
                <w:rFonts w:ascii="Arial" w:hAnsi="Arial"/>
                <w:sz w:val="16"/>
                <w:szCs w:val="16"/>
              </w:rPr>
              <w:t>capability assurance program (SEA 2048 Phase 6).</w:t>
            </w:r>
          </w:p>
        </w:tc>
      </w:tr>
      <w:tr w:rsidR="00996837" w:rsidRPr="003E76E7" w14:paraId="2D6B7FC3" w14:textId="77777777" w:rsidTr="00F92728">
        <w:trPr>
          <w:trHeight w:val="761"/>
        </w:trPr>
        <w:tc>
          <w:tcPr>
            <w:tcW w:w="1559" w:type="dxa"/>
            <w:tcBorders>
              <w:top w:val="nil"/>
              <w:left w:val="single" w:sz="4" w:space="0" w:color="auto"/>
              <w:bottom w:val="single" w:sz="4" w:space="0" w:color="auto"/>
              <w:right w:val="single" w:sz="4" w:space="0" w:color="auto"/>
            </w:tcBorders>
            <w:shd w:val="clear" w:color="auto" w:fill="auto"/>
            <w:vAlign w:val="center"/>
          </w:tcPr>
          <w:p w14:paraId="6552FC02" w14:textId="77777777" w:rsidR="00996837" w:rsidRPr="003E76E7" w:rsidRDefault="00996837" w:rsidP="00C4292D">
            <w:pPr>
              <w:rPr>
                <w:rFonts w:ascii="Arial" w:hAnsi="Arial"/>
                <w:sz w:val="16"/>
                <w:szCs w:val="16"/>
              </w:rPr>
            </w:pPr>
            <w:r w:rsidRPr="003E76E7">
              <w:rPr>
                <w:rFonts w:ascii="Arial" w:hAnsi="Arial"/>
                <w:sz w:val="16"/>
                <w:szCs w:val="16"/>
              </w:rPr>
              <w:t>Navy Explosive Ordnance</w:t>
            </w:r>
          </w:p>
        </w:tc>
        <w:tc>
          <w:tcPr>
            <w:tcW w:w="942" w:type="dxa"/>
            <w:tcBorders>
              <w:top w:val="nil"/>
              <w:left w:val="nil"/>
              <w:bottom w:val="single" w:sz="4" w:space="0" w:color="auto"/>
              <w:right w:val="single" w:sz="4" w:space="0" w:color="auto"/>
            </w:tcBorders>
            <w:shd w:val="clear" w:color="auto" w:fill="auto"/>
            <w:vAlign w:val="center"/>
          </w:tcPr>
          <w:p w14:paraId="3B9ACDEA" w14:textId="77777777" w:rsidR="00996837" w:rsidRPr="003E76E7" w:rsidRDefault="00996837" w:rsidP="00C4292D">
            <w:pPr>
              <w:jc w:val="center"/>
              <w:rPr>
                <w:rFonts w:ascii="Arial" w:hAnsi="Arial"/>
                <w:b/>
                <w:bCs/>
                <w:sz w:val="16"/>
                <w:szCs w:val="16"/>
              </w:rPr>
            </w:pPr>
            <w:r w:rsidRPr="003E76E7">
              <w:rPr>
                <w:rFonts w:ascii="Arial" w:hAnsi="Arial"/>
                <w:b/>
                <w:bCs/>
                <w:sz w:val="16"/>
                <w:szCs w:val="16"/>
              </w:rPr>
              <w:t>CN54</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14:paraId="3CDA6725" w14:textId="77777777" w:rsidR="00996837" w:rsidRPr="003E76E7" w:rsidRDefault="00996837" w:rsidP="00C4292D">
            <w:pPr>
              <w:jc w:val="center"/>
              <w:rPr>
                <w:rFonts w:ascii="Arial" w:hAnsi="Arial"/>
                <w:sz w:val="16"/>
                <w:szCs w:val="16"/>
              </w:rPr>
            </w:pPr>
            <w:r w:rsidRPr="003E76E7">
              <w:rPr>
                <w:rFonts w:ascii="Arial" w:hAnsi="Arial"/>
                <w:sz w:val="16"/>
                <w:szCs w:val="16"/>
              </w:rPr>
              <w:t>150</w:t>
            </w:r>
          </w:p>
        </w:tc>
        <w:tc>
          <w:tcPr>
            <w:tcW w:w="10058" w:type="dxa"/>
            <w:tcBorders>
              <w:top w:val="nil"/>
              <w:left w:val="nil"/>
              <w:bottom w:val="single" w:sz="4" w:space="0" w:color="auto"/>
              <w:right w:val="single" w:sz="4" w:space="0" w:color="auto"/>
            </w:tcBorders>
            <w:shd w:val="clear" w:color="auto" w:fill="auto"/>
            <w:vAlign w:val="center"/>
          </w:tcPr>
          <w:p w14:paraId="21B3C7D1" w14:textId="77777777" w:rsidR="00996837" w:rsidRPr="003E76E7" w:rsidRDefault="00996837" w:rsidP="00C4292D">
            <w:pPr>
              <w:keepNext/>
              <w:keepLines/>
              <w:spacing w:before="60" w:after="60"/>
              <w:rPr>
                <w:rFonts w:ascii="Arial" w:hAnsi="Arial"/>
                <w:sz w:val="16"/>
                <w:szCs w:val="16"/>
              </w:rPr>
            </w:pPr>
            <w:r w:rsidRPr="003E76E7">
              <w:rPr>
                <w:rFonts w:ascii="Arial" w:hAnsi="Arial"/>
                <w:sz w:val="16"/>
                <w:szCs w:val="16"/>
                <w:lang w:val="en-AU"/>
              </w:rPr>
              <w:t xml:space="preserve">Navy Explosive </w:t>
            </w:r>
            <w:r w:rsidRPr="003E76E7">
              <w:rPr>
                <w:rFonts w:ascii="Arial" w:hAnsi="Arial"/>
                <w:sz w:val="16"/>
                <w:szCs w:val="16"/>
              </w:rPr>
              <w:t>Ordnance supports Navy's guided weapons and munitions capabilities including countermeasures, navigational outfits and Naval gunnery. Asset management is executed through three teams: air and missile defence, maritime strike and munitions, and, underwater warfare weapons. The asset management objective is to maximise weapon availability.</w:t>
            </w:r>
          </w:p>
          <w:p w14:paraId="09055A72" w14:textId="77777777" w:rsidR="00996837" w:rsidRPr="003E76E7" w:rsidRDefault="00996837" w:rsidP="00C4292D">
            <w:pPr>
              <w:keepNext/>
              <w:keepLines/>
              <w:spacing w:before="60" w:after="60"/>
              <w:rPr>
                <w:rFonts w:ascii="Arial" w:hAnsi="Arial"/>
                <w:sz w:val="16"/>
                <w:szCs w:val="16"/>
                <w:lang w:val="en-AU"/>
              </w:rPr>
            </w:pPr>
            <w:r w:rsidRPr="003E76E7">
              <w:rPr>
                <w:rFonts w:ascii="Arial" w:hAnsi="Arial"/>
                <w:sz w:val="16"/>
                <w:szCs w:val="16"/>
              </w:rPr>
              <w:t xml:space="preserve">During 2026-27, the focus is on increasing and maintaining availability of in-service inventories, incorporating new products into existing support systems, and preparing support systems to meet future inventory demand forecasts. This will also include consideration of domestic manufacturing opportunities and in-country maintenance, repair, overhaul and upgrades where it increases weapon availability. </w:t>
            </w:r>
          </w:p>
        </w:tc>
      </w:tr>
      <w:tr w:rsidR="00996837" w:rsidRPr="003E76E7" w14:paraId="262A87E8" w14:textId="77777777" w:rsidTr="00F92728">
        <w:trPr>
          <w:trHeight w:val="761"/>
        </w:trPr>
        <w:tc>
          <w:tcPr>
            <w:tcW w:w="1559" w:type="dxa"/>
            <w:tcBorders>
              <w:top w:val="nil"/>
              <w:left w:val="single" w:sz="4" w:space="0" w:color="auto"/>
              <w:bottom w:val="single" w:sz="4" w:space="0" w:color="auto"/>
              <w:right w:val="single" w:sz="4" w:space="0" w:color="auto"/>
            </w:tcBorders>
            <w:shd w:val="clear" w:color="auto" w:fill="auto"/>
            <w:vAlign w:val="center"/>
          </w:tcPr>
          <w:p w14:paraId="10112619" w14:textId="77777777" w:rsidR="00996837" w:rsidRPr="003E76E7" w:rsidRDefault="00996837" w:rsidP="00C4292D">
            <w:pPr>
              <w:rPr>
                <w:rFonts w:ascii="Arial" w:hAnsi="Arial"/>
                <w:sz w:val="16"/>
                <w:szCs w:val="16"/>
              </w:rPr>
            </w:pPr>
            <w:r w:rsidRPr="003E76E7">
              <w:rPr>
                <w:rFonts w:ascii="Arial" w:hAnsi="Arial"/>
                <w:sz w:val="16"/>
                <w:szCs w:val="18"/>
              </w:rPr>
              <w:t>Armidale Class Patrol Boat</w:t>
            </w:r>
          </w:p>
        </w:tc>
        <w:tc>
          <w:tcPr>
            <w:tcW w:w="942" w:type="dxa"/>
            <w:tcBorders>
              <w:top w:val="nil"/>
              <w:left w:val="nil"/>
              <w:bottom w:val="single" w:sz="4" w:space="0" w:color="auto"/>
              <w:right w:val="single" w:sz="4" w:space="0" w:color="auto"/>
            </w:tcBorders>
            <w:shd w:val="clear" w:color="auto" w:fill="auto"/>
            <w:vAlign w:val="center"/>
          </w:tcPr>
          <w:p w14:paraId="7CEF40C7" w14:textId="77777777" w:rsidR="00996837" w:rsidRPr="003E76E7" w:rsidRDefault="00996837" w:rsidP="00C4292D">
            <w:pPr>
              <w:jc w:val="center"/>
              <w:rPr>
                <w:rFonts w:ascii="Arial" w:hAnsi="Arial"/>
                <w:b/>
                <w:bCs/>
                <w:sz w:val="16"/>
                <w:szCs w:val="16"/>
              </w:rPr>
            </w:pPr>
            <w:r w:rsidRPr="003E76E7">
              <w:rPr>
                <w:rFonts w:ascii="Arial" w:hAnsi="Arial"/>
                <w:b/>
                <w:bCs/>
                <w:sz w:val="16"/>
                <w:szCs w:val="18"/>
              </w:rPr>
              <w:t>CN09</w:t>
            </w:r>
          </w:p>
        </w:tc>
        <w:tc>
          <w:tcPr>
            <w:tcW w:w="899" w:type="dxa"/>
            <w:tcBorders>
              <w:top w:val="nil"/>
              <w:left w:val="single" w:sz="4" w:space="0" w:color="auto"/>
              <w:bottom w:val="single" w:sz="4" w:space="0" w:color="auto"/>
              <w:right w:val="single" w:sz="4" w:space="0" w:color="auto"/>
            </w:tcBorders>
            <w:shd w:val="clear" w:color="auto" w:fill="auto"/>
            <w:vAlign w:val="center"/>
          </w:tcPr>
          <w:p w14:paraId="01951F3D" w14:textId="77777777" w:rsidR="00996837" w:rsidRPr="003E76E7" w:rsidRDefault="00996837" w:rsidP="00C4292D">
            <w:pPr>
              <w:jc w:val="center"/>
              <w:rPr>
                <w:rFonts w:ascii="Arial" w:hAnsi="Arial"/>
                <w:sz w:val="16"/>
                <w:szCs w:val="16"/>
              </w:rPr>
            </w:pPr>
            <w:r w:rsidRPr="003E76E7">
              <w:rPr>
                <w:rFonts w:ascii="Arial" w:hAnsi="Arial"/>
                <w:sz w:val="16"/>
                <w:szCs w:val="16"/>
              </w:rPr>
              <w:t>129</w:t>
            </w:r>
          </w:p>
        </w:tc>
        <w:tc>
          <w:tcPr>
            <w:tcW w:w="10058" w:type="dxa"/>
            <w:tcBorders>
              <w:top w:val="nil"/>
              <w:left w:val="nil"/>
              <w:bottom w:val="single" w:sz="4" w:space="0" w:color="auto"/>
              <w:right w:val="single" w:sz="4" w:space="0" w:color="auto"/>
            </w:tcBorders>
            <w:shd w:val="clear" w:color="auto" w:fill="auto"/>
            <w:vAlign w:val="center"/>
          </w:tcPr>
          <w:p w14:paraId="50DC0DE6" w14:textId="77777777" w:rsidR="00996837" w:rsidRPr="003E76E7" w:rsidRDefault="00996837" w:rsidP="00C4292D">
            <w:pPr>
              <w:keepNext/>
              <w:keepLines/>
              <w:spacing w:before="60" w:after="60"/>
              <w:rPr>
                <w:rFonts w:ascii="Arial" w:hAnsi="Arial"/>
                <w:sz w:val="16"/>
                <w:szCs w:val="16"/>
              </w:rPr>
            </w:pPr>
            <w:r w:rsidRPr="003E76E7">
              <w:rPr>
                <w:rFonts w:ascii="Arial" w:hAnsi="Arial"/>
                <w:sz w:val="16"/>
                <w:szCs w:val="16"/>
              </w:rPr>
              <w:t>This product supports the Armidale Class Patrol Boats, Cape Class Patrol Boats and Evolved Cape Class Patrol Boats through the provision of materiel support of the ships and associated equipment and systems.</w:t>
            </w:r>
          </w:p>
          <w:p w14:paraId="250E06E0" w14:textId="77777777" w:rsidR="00996837" w:rsidRPr="003E76E7" w:rsidRDefault="00996837" w:rsidP="00C4292D">
            <w:pPr>
              <w:kinsoku w:val="0"/>
              <w:overflowPunct w:val="0"/>
              <w:autoSpaceDE w:val="0"/>
              <w:autoSpaceDN w:val="0"/>
              <w:adjustRightInd w:val="0"/>
              <w:spacing w:before="60" w:after="60"/>
              <w:ind w:right="4"/>
              <w:rPr>
                <w:rFonts w:ascii="Arial" w:hAnsi="Arial"/>
                <w:sz w:val="16"/>
                <w:szCs w:val="16"/>
                <w:lang w:val="en-AU"/>
              </w:rPr>
            </w:pPr>
            <w:r w:rsidRPr="003E76E7">
              <w:rPr>
                <w:rFonts w:ascii="Arial" w:hAnsi="Arial"/>
                <w:sz w:val="16"/>
                <w:szCs w:val="16"/>
              </w:rPr>
              <w:t>During 2026-27, the focus will be on continued materiel delivery in support of the patrol force, including asset management, engineering and logistics support and development of the enduring support system for the Evolved Cape Class Patrol Boats.</w:t>
            </w:r>
          </w:p>
        </w:tc>
      </w:tr>
      <w:tr w:rsidR="00996837" w:rsidRPr="003E76E7" w14:paraId="60524AEF" w14:textId="77777777" w:rsidTr="00F92728">
        <w:trPr>
          <w:trHeight w:val="761"/>
        </w:trPr>
        <w:tc>
          <w:tcPr>
            <w:tcW w:w="1559" w:type="dxa"/>
            <w:tcBorders>
              <w:top w:val="nil"/>
              <w:left w:val="single" w:sz="4" w:space="0" w:color="auto"/>
              <w:bottom w:val="single" w:sz="4" w:space="0" w:color="auto"/>
              <w:right w:val="single" w:sz="4" w:space="0" w:color="auto"/>
            </w:tcBorders>
            <w:shd w:val="clear" w:color="auto" w:fill="auto"/>
            <w:vAlign w:val="center"/>
          </w:tcPr>
          <w:p w14:paraId="48ACA287" w14:textId="77777777" w:rsidR="00996837" w:rsidRPr="003E76E7" w:rsidRDefault="00996837" w:rsidP="00C4292D">
            <w:pPr>
              <w:rPr>
                <w:rFonts w:ascii="Arial" w:hAnsi="Arial"/>
                <w:sz w:val="16"/>
                <w:szCs w:val="16"/>
              </w:rPr>
            </w:pPr>
            <w:r w:rsidRPr="003E76E7">
              <w:rPr>
                <w:rFonts w:ascii="Arial" w:hAnsi="Arial"/>
                <w:sz w:val="16"/>
                <w:szCs w:val="16"/>
              </w:rPr>
              <w:t>Aegis Combat System</w:t>
            </w:r>
          </w:p>
        </w:tc>
        <w:tc>
          <w:tcPr>
            <w:tcW w:w="942" w:type="dxa"/>
            <w:tcBorders>
              <w:top w:val="nil"/>
              <w:left w:val="nil"/>
              <w:bottom w:val="single" w:sz="4" w:space="0" w:color="auto"/>
              <w:right w:val="single" w:sz="4" w:space="0" w:color="auto"/>
            </w:tcBorders>
            <w:shd w:val="clear" w:color="auto" w:fill="auto"/>
            <w:vAlign w:val="center"/>
          </w:tcPr>
          <w:p w14:paraId="21E3E751" w14:textId="77777777" w:rsidR="00996837" w:rsidRPr="003E76E7" w:rsidRDefault="00996837" w:rsidP="00C4292D">
            <w:pPr>
              <w:jc w:val="center"/>
              <w:rPr>
                <w:rFonts w:ascii="Arial" w:hAnsi="Arial"/>
                <w:b/>
                <w:bCs/>
                <w:sz w:val="16"/>
                <w:szCs w:val="16"/>
              </w:rPr>
            </w:pPr>
            <w:r w:rsidRPr="003E76E7">
              <w:rPr>
                <w:rFonts w:ascii="Arial" w:hAnsi="Arial"/>
                <w:b/>
                <w:bCs/>
                <w:sz w:val="16"/>
                <w:szCs w:val="16"/>
              </w:rPr>
              <w:t>CN60</w:t>
            </w:r>
          </w:p>
        </w:tc>
        <w:tc>
          <w:tcPr>
            <w:tcW w:w="899" w:type="dxa"/>
            <w:tcBorders>
              <w:top w:val="nil"/>
              <w:left w:val="single" w:sz="4" w:space="0" w:color="auto"/>
              <w:bottom w:val="single" w:sz="4" w:space="0" w:color="auto"/>
              <w:right w:val="single" w:sz="4" w:space="0" w:color="auto"/>
            </w:tcBorders>
            <w:shd w:val="clear" w:color="auto" w:fill="auto"/>
            <w:vAlign w:val="center"/>
          </w:tcPr>
          <w:p w14:paraId="3F2DD2D6" w14:textId="77777777" w:rsidR="00996837" w:rsidRPr="003E76E7" w:rsidRDefault="00996837" w:rsidP="00C4292D">
            <w:pPr>
              <w:jc w:val="center"/>
              <w:rPr>
                <w:rFonts w:ascii="Arial" w:hAnsi="Arial"/>
                <w:sz w:val="16"/>
                <w:szCs w:val="16"/>
              </w:rPr>
            </w:pPr>
            <w:r w:rsidRPr="003E76E7">
              <w:rPr>
                <w:rFonts w:ascii="Arial" w:hAnsi="Arial"/>
                <w:sz w:val="16"/>
                <w:szCs w:val="16"/>
              </w:rPr>
              <w:t>125</w:t>
            </w:r>
          </w:p>
        </w:tc>
        <w:tc>
          <w:tcPr>
            <w:tcW w:w="10058" w:type="dxa"/>
            <w:tcBorders>
              <w:top w:val="nil"/>
              <w:left w:val="nil"/>
              <w:bottom w:val="single" w:sz="4" w:space="0" w:color="auto"/>
              <w:right w:val="single" w:sz="4" w:space="0" w:color="auto"/>
            </w:tcBorders>
            <w:shd w:val="clear" w:color="auto" w:fill="auto"/>
            <w:vAlign w:val="center"/>
          </w:tcPr>
          <w:p w14:paraId="5BFE2F5C" w14:textId="3D3BB281" w:rsidR="00996837" w:rsidRPr="003E76E7" w:rsidRDefault="00996837" w:rsidP="00C4292D">
            <w:pPr>
              <w:kinsoku w:val="0"/>
              <w:overflowPunct w:val="0"/>
              <w:autoSpaceDE w:val="0"/>
              <w:autoSpaceDN w:val="0"/>
              <w:adjustRightInd w:val="0"/>
              <w:spacing w:before="60" w:after="60"/>
              <w:ind w:right="4"/>
              <w:rPr>
                <w:rFonts w:ascii="Arial" w:hAnsi="Arial"/>
                <w:sz w:val="16"/>
                <w:szCs w:val="16"/>
              </w:rPr>
            </w:pPr>
            <w:r w:rsidRPr="003E76E7">
              <w:rPr>
                <w:rFonts w:ascii="Arial" w:hAnsi="Arial"/>
                <w:sz w:val="16"/>
                <w:szCs w:val="16"/>
              </w:rPr>
              <w:t>This product covers the Aeg</w:t>
            </w:r>
            <w:r w:rsidR="00271881">
              <w:rPr>
                <w:rFonts w:ascii="Arial" w:hAnsi="Arial"/>
                <w:sz w:val="16"/>
                <w:szCs w:val="16"/>
              </w:rPr>
              <w:t>is Combat System in the Hobart C</w:t>
            </w:r>
            <w:r w:rsidRPr="003E76E7">
              <w:rPr>
                <w:rFonts w:ascii="Arial" w:hAnsi="Arial"/>
                <w:sz w:val="16"/>
                <w:szCs w:val="16"/>
              </w:rPr>
              <w:t xml:space="preserve">lass destroyer, as well as the related shore-based test and training infrastructure in Australia and the United States. </w:t>
            </w:r>
          </w:p>
          <w:p w14:paraId="416BD189" w14:textId="127A9F0A" w:rsidR="00996837" w:rsidRPr="003E76E7" w:rsidRDefault="00996837" w:rsidP="00C4292D">
            <w:pPr>
              <w:kinsoku w:val="0"/>
              <w:overflowPunct w:val="0"/>
              <w:autoSpaceDE w:val="0"/>
              <w:autoSpaceDN w:val="0"/>
              <w:adjustRightInd w:val="0"/>
              <w:spacing w:before="60" w:after="60"/>
              <w:ind w:right="4"/>
              <w:rPr>
                <w:rFonts w:ascii="Arial" w:hAnsi="Arial"/>
                <w:sz w:val="16"/>
                <w:szCs w:val="16"/>
                <w:lang w:val="en-AU"/>
              </w:rPr>
            </w:pPr>
            <w:r w:rsidRPr="003E76E7">
              <w:rPr>
                <w:rFonts w:ascii="Arial" w:hAnsi="Arial"/>
                <w:sz w:val="16"/>
                <w:szCs w:val="16"/>
              </w:rPr>
              <w:t>During 2026-27, the focus is for read</w:t>
            </w:r>
            <w:r w:rsidR="00271881">
              <w:rPr>
                <w:rFonts w:ascii="Arial" w:hAnsi="Arial"/>
                <w:sz w:val="16"/>
                <w:szCs w:val="16"/>
              </w:rPr>
              <w:t>y, reliable and capable Hobart C</w:t>
            </w:r>
            <w:r w:rsidRPr="003E76E7">
              <w:rPr>
                <w:rFonts w:ascii="Arial" w:hAnsi="Arial"/>
                <w:sz w:val="16"/>
                <w:szCs w:val="16"/>
              </w:rPr>
              <w:t>lass destroyers, optimised to deter and respond in the primary operating environment; and further developing Australian Industry capability and capacity to support this outcome.</w:t>
            </w:r>
          </w:p>
        </w:tc>
      </w:tr>
      <w:tr w:rsidR="00996837" w:rsidRPr="003E76E7" w14:paraId="0BD46DA8" w14:textId="77777777" w:rsidTr="00F92728">
        <w:trPr>
          <w:trHeight w:val="761"/>
        </w:trPr>
        <w:tc>
          <w:tcPr>
            <w:tcW w:w="1559" w:type="dxa"/>
            <w:tcBorders>
              <w:top w:val="nil"/>
              <w:left w:val="single" w:sz="4" w:space="0" w:color="auto"/>
              <w:bottom w:val="single" w:sz="4" w:space="0" w:color="auto"/>
              <w:right w:val="single" w:sz="4" w:space="0" w:color="auto"/>
            </w:tcBorders>
            <w:shd w:val="clear" w:color="auto" w:fill="auto"/>
            <w:vAlign w:val="center"/>
          </w:tcPr>
          <w:p w14:paraId="5011AEAE" w14:textId="77777777" w:rsidR="00996837" w:rsidRPr="003E76E7" w:rsidRDefault="00996837" w:rsidP="00C4292D">
            <w:pPr>
              <w:rPr>
                <w:rFonts w:ascii="Arial" w:hAnsi="Arial"/>
                <w:sz w:val="16"/>
                <w:szCs w:val="16"/>
              </w:rPr>
            </w:pPr>
            <w:r w:rsidRPr="003E76E7">
              <w:rPr>
                <w:rFonts w:ascii="Arial" w:hAnsi="Arial"/>
                <w:sz w:val="16"/>
                <w:szCs w:val="16"/>
              </w:rPr>
              <w:t>Maritime Electronic Warfare And Radar Systems</w:t>
            </w:r>
          </w:p>
        </w:tc>
        <w:tc>
          <w:tcPr>
            <w:tcW w:w="942" w:type="dxa"/>
            <w:tcBorders>
              <w:top w:val="nil"/>
              <w:left w:val="nil"/>
              <w:bottom w:val="single" w:sz="4" w:space="0" w:color="auto"/>
              <w:right w:val="single" w:sz="4" w:space="0" w:color="auto"/>
            </w:tcBorders>
            <w:shd w:val="clear" w:color="auto" w:fill="auto"/>
            <w:vAlign w:val="center"/>
          </w:tcPr>
          <w:p w14:paraId="51672CB7" w14:textId="77777777" w:rsidR="00996837" w:rsidRPr="003E76E7" w:rsidRDefault="00996837" w:rsidP="00C4292D">
            <w:pPr>
              <w:jc w:val="center"/>
              <w:rPr>
                <w:rFonts w:ascii="Arial" w:hAnsi="Arial"/>
                <w:b/>
                <w:bCs/>
                <w:sz w:val="16"/>
                <w:szCs w:val="16"/>
              </w:rPr>
            </w:pPr>
            <w:r w:rsidRPr="003E76E7">
              <w:rPr>
                <w:rFonts w:ascii="Arial" w:hAnsi="Arial"/>
                <w:b/>
                <w:bCs/>
                <w:sz w:val="16"/>
                <w:szCs w:val="16"/>
              </w:rPr>
              <w:t>CN24</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14:paraId="7E2B4AB5" w14:textId="77777777" w:rsidR="00996837" w:rsidRPr="003E76E7" w:rsidRDefault="00996837" w:rsidP="00C4292D">
            <w:pPr>
              <w:jc w:val="center"/>
              <w:rPr>
                <w:rFonts w:ascii="Arial" w:hAnsi="Arial"/>
                <w:sz w:val="16"/>
                <w:szCs w:val="16"/>
              </w:rPr>
            </w:pPr>
            <w:r w:rsidRPr="003E76E7">
              <w:rPr>
                <w:rFonts w:ascii="Arial" w:hAnsi="Arial"/>
                <w:sz w:val="16"/>
                <w:szCs w:val="16"/>
              </w:rPr>
              <w:t>119</w:t>
            </w:r>
          </w:p>
        </w:tc>
        <w:tc>
          <w:tcPr>
            <w:tcW w:w="10058" w:type="dxa"/>
            <w:tcBorders>
              <w:top w:val="nil"/>
              <w:left w:val="nil"/>
              <w:bottom w:val="single" w:sz="4" w:space="0" w:color="auto"/>
              <w:right w:val="single" w:sz="4" w:space="0" w:color="auto"/>
            </w:tcBorders>
            <w:shd w:val="clear" w:color="auto" w:fill="auto"/>
            <w:vAlign w:val="center"/>
          </w:tcPr>
          <w:p w14:paraId="5DDE06FA" w14:textId="6CF8D31C" w:rsidR="00996837" w:rsidRPr="003E76E7" w:rsidRDefault="00996837" w:rsidP="00C4292D">
            <w:pPr>
              <w:keepNext/>
              <w:keepLines/>
              <w:spacing w:before="60" w:after="60"/>
              <w:rPr>
                <w:rFonts w:ascii="Arial" w:hAnsi="Arial"/>
                <w:sz w:val="16"/>
                <w:szCs w:val="16"/>
              </w:rPr>
            </w:pPr>
            <w:r w:rsidRPr="003E76E7">
              <w:rPr>
                <w:rFonts w:ascii="Arial" w:hAnsi="Arial"/>
                <w:sz w:val="16"/>
                <w:szCs w:val="16"/>
              </w:rPr>
              <w:t xml:space="preserve">The Maritime Electronic Warfare and Radar Systems Product provides sustainment services for Electronic Warfare capabilities. These </w:t>
            </w:r>
            <w:r w:rsidR="00271881">
              <w:rPr>
                <w:rFonts w:ascii="Arial" w:hAnsi="Arial"/>
                <w:sz w:val="16"/>
                <w:szCs w:val="16"/>
              </w:rPr>
              <w:t>capabilities include the Nulka Active Missile D</w:t>
            </w:r>
            <w:r w:rsidRPr="003E76E7">
              <w:rPr>
                <w:rFonts w:ascii="Arial" w:hAnsi="Arial"/>
                <w:sz w:val="16"/>
                <w:szCs w:val="16"/>
              </w:rPr>
              <w:t xml:space="preserve">ecoy capability, Radar and Communication Electronic Support capabilities, the </w:t>
            </w:r>
            <w:r w:rsidRPr="003E76E7">
              <w:rPr>
                <w:rFonts w:ascii="Arial" w:hAnsi="Arial"/>
                <w:sz w:val="16"/>
                <w:szCs w:val="16"/>
              </w:rPr>
              <w:br/>
              <w:t>Multi-Ammunition Softkill System (MASS), and the supporting Capability Assurance Program that maintains these systems with contemporary and relevant Mission Data.</w:t>
            </w:r>
          </w:p>
          <w:p w14:paraId="29BE7D2A" w14:textId="77777777" w:rsidR="00996837" w:rsidRPr="003E76E7" w:rsidRDefault="00996837" w:rsidP="00C4292D">
            <w:pPr>
              <w:kinsoku w:val="0"/>
              <w:overflowPunct w:val="0"/>
              <w:autoSpaceDE w:val="0"/>
              <w:autoSpaceDN w:val="0"/>
              <w:adjustRightInd w:val="0"/>
              <w:spacing w:before="60" w:after="60"/>
              <w:ind w:right="4"/>
              <w:rPr>
                <w:rFonts w:ascii="Arial" w:hAnsi="Arial"/>
                <w:sz w:val="16"/>
                <w:szCs w:val="16"/>
                <w:lang w:val="en-AU"/>
              </w:rPr>
            </w:pPr>
            <w:r w:rsidRPr="003E76E7">
              <w:rPr>
                <w:rFonts w:ascii="Arial" w:hAnsi="Arial"/>
                <w:sz w:val="16"/>
                <w:szCs w:val="16"/>
              </w:rPr>
              <w:t>During 2026-27, Defence will continue to sustain Royal Australian Navy electronic warfare capabilities. This includes the provision for the associated support infrastructure and classified facilities that assure the ongoing viability and operation of these capabilities.</w:t>
            </w:r>
          </w:p>
        </w:tc>
      </w:tr>
    </w:tbl>
    <w:p w14:paraId="6F7F7EC0" w14:textId="2E0301BD" w:rsidR="00996837" w:rsidRPr="003E76E7" w:rsidRDefault="00996837" w:rsidP="00C4292D">
      <w:pPr>
        <w:rPr>
          <w:rFonts w:ascii="Arial" w:hAnsi="Arial"/>
          <w:b/>
        </w:rPr>
      </w:pPr>
      <w:r w:rsidRPr="003E76E7">
        <w:br w:type="page"/>
      </w:r>
      <w:r w:rsidRPr="003E76E7">
        <w:rPr>
          <w:rFonts w:ascii="Arial" w:hAnsi="Arial"/>
          <w:b/>
        </w:rPr>
        <w:lastRenderedPageBreak/>
        <w:t>Table 55: Top 30 Capability Sustainment Products by End of Financial Year Outcome 2026-27 (Continued)</w:t>
      </w:r>
      <w:r w:rsidRPr="003E76E7">
        <w:rPr>
          <w:rFonts w:ascii="Arial" w:hAnsi="Arial"/>
          <w:b/>
          <w:vertAlign w:val="superscript"/>
        </w:rPr>
        <w:t xml:space="preserve"> [a]</w:t>
      </w:r>
      <w:r w:rsidR="007E7201" w:rsidRPr="003E76E7">
        <w:rPr>
          <w:rFonts w:ascii="Arial" w:hAnsi="Arial"/>
          <w:b/>
          <w:vertAlign w:val="superscript"/>
        </w:rPr>
        <w:t xml:space="preserve"> </w:t>
      </w:r>
      <w:r w:rsidRPr="003E76E7">
        <w:rPr>
          <w:rFonts w:ascii="Arial" w:hAnsi="Arial"/>
          <w:b/>
          <w:vertAlign w:val="superscript"/>
        </w:rPr>
        <w:t>[b]</w:t>
      </w:r>
    </w:p>
    <w:tbl>
      <w:tblPr>
        <w:tblW w:w="13458" w:type="dxa"/>
        <w:tblInd w:w="-39" w:type="dxa"/>
        <w:tblLayout w:type="fixed"/>
        <w:tblLook w:val="04A0" w:firstRow="1" w:lastRow="0" w:firstColumn="1" w:lastColumn="0" w:noHBand="0" w:noVBand="1"/>
      </w:tblPr>
      <w:tblGrid>
        <w:gridCol w:w="1559"/>
        <w:gridCol w:w="942"/>
        <w:gridCol w:w="899"/>
        <w:gridCol w:w="10058"/>
      </w:tblGrid>
      <w:tr w:rsidR="00996837" w:rsidRPr="003E76E7" w14:paraId="17ED35CF" w14:textId="77777777" w:rsidTr="007E7201">
        <w:trPr>
          <w:trHeight w:val="283"/>
          <w:tblHeader/>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92E78D9" w14:textId="77777777" w:rsidR="00996837" w:rsidRPr="003E76E7" w:rsidRDefault="00996837" w:rsidP="00C4292D">
            <w:pPr>
              <w:spacing w:before="0" w:after="0"/>
              <w:rPr>
                <w:rFonts w:ascii="Arial" w:hAnsi="Arial"/>
                <w:sz w:val="16"/>
                <w:szCs w:val="16"/>
                <w:lang w:val="en-AU"/>
              </w:rPr>
            </w:pPr>
            <w:r w:rsidRPr="003E76E7">
              <w:rPr>
                <w:rFonts w:ascii="Arial" w:hAnsi="Arial"/>
                <w:b/>
                <w:bCs/>
                <w:sz w:val="16"/>
                <w:szCs w:val="16"/>
                <w:lang w:val="en-AU"/>
              </w:rPr>
              <w:t>Domain/Product Name</w:t>
            </w:r>
          </w:p>
        </w:tc>
        <w:tc>
          <w:tcPr>
            <w:tcW w:w="942" w:type="dxa"/>
            <w:tcBorders>
              <w:top w:val="single" w:sz="4" w:space="0" w:color="auto"/>
              <w:left w:val="single" w:sz="4" w:space="0" w:color="auto"/>
              <w:bottom w:val="single" w:sz="4" w:space="0" w:color="auto"/>
              <w:right w:val="single" w:sz="4" w:space="0" w:color="auto"/>
            </w:tcBorders>
            <w:shd w:val="clear" w:color="auto" w:fill="auto"/>
            <w:vAlign w:val="center"/>
          </w:tcPr>
          <w:p w14:paraId="56DEE24A" w14:textId="77777777" w:rsidR="00996837" w:rsidRPr="003E76E7" w:rsidRDefault="00996837" w:rsidP="00C4292D">
            <w:pPr>
              <w:spacing w:before="0" w:after="0"/>
              <w:jc w:val="center"/>
              <w:rPr>
                <w:rFonts w:ascii="Arial" w:hAnsi="Arial"/>
                <w:b/>
                <w:bCs/>
                <w:sz w:val="16"/>
                <w:szCs w:val="16"/>
                <w:lang w:val="en-AU"/>
              </w:rPr>
            </w:pPr>
            <w:r w:rsidRPr="003E76E7">
              <w:rPr>
                <w:rFonts w:ascii="Arial" w:hAnsi="Arial"/>
                <w:b/>
                <w:bCs/>
                <w:sz w:val="16"/>
                <w:szCs w:val="16"/>
                <w:lang w:val="en-AU"/>
              </w:rPr>
              <w:t>Product Serial</w:t>
            </w:r>
          </w:p>
        </w:tc>
        <w:tc>
          <w:tcPr>
            <w:tcW w:w="899" w:type="dxa"/>
            <w:tcBorders>
              <w:top w:val="single" w:sz="4" w:space="0" w:color="auto"/>
              <w:left w:val="single" w:sz="4" w:space="0" w:color="auto"/>
              <w:bottom w:val="single" w:sz="4" w:space="0" w:color="auto"/>
              <w:right w:val="single" w:sz="4" w:space="0" w:color="auto"/>
            </w:tcBorders>
            <w:shd w:val="clear" w:color="auto" w:fill="auto"/>
          </w:tcPr>
          <w:p w14:paraId="3F9C1955" w14:textId="77777777" w:rsidR="00996837" w:rsidRPr="003E76E7" w:rsidRDefault="00996837" w:rsidP="00C4292D">
            <w:pPr>
              <w:spacing w:before="0" w:after="0"/>
              <w:jc w:val="right"/>
              <w:rPr>
                <w:rFonts w:ascii="Arial" w:hAnsi="Arial"/>
                <w:sz w:val="16"/>
                <w:szCs w:val="16"/>
                <w:lang w:val="en-AU"/>
              </w:rPr>
            </w:pPr>
            <w:r w:rsidRPr="003E76E7">
              <w:rPr>
                <w:rFonts w:ascii="Arial" w:hAnsi="Arial"/>
                <w:b/>
                <w:bCs/>
                <w:sz w:val="16"/>
                <w:szCs w:val="16"/>
                <w:lang w:val="en-AU"/>
              </w:rPr>
              <w:t>Budget Estimate 2026-27 $m</w:t>
            </w:r>
            <w:r w:rsidRPr="003E76E7">
              <w:rPr>
                <w:rFonts w:ascii="Arial" w:hAnsi="Arial"/>
                <w:b/>
                <w:bCs/>
                <w:sz w:val="16"/>
                <w:szCs w:val="16"/>
                <w:vertAlign w:val="superscript"/>
                <w:lang w:val="en-AU"/>
              </w:rPr>
              <w:t xml:space="preserve"> </w:t>
            </w:r>
          </w:p>
        </w:tc>
        <w:tc>
          <w:tcPr>
            <w:tcW w:w="10058" w:type="dxa"/>
            <w:tcBorders>
              <w:top w:val="single" w:sz="4" w:space="0" w:color="auto"/>
              <w:left w:val="single" w:sz="4" w:space="0" w:color="auto"/>
              <w:bottom w:val="single" w:sz="4" w:space="0" w:color="auto"/>
              <w:right w:val="single" w:sz="4" w:space="0" w:color="auto"/>
            </w:tcBorders>
            <w:shd w:val="clear" w:color="auto" w:fill="auto"/>
            <w:vAlign w:val="center"/>
          </w:tcPr>
          <w:p w14:paraId="6284B3A9" w14:textId="77777777" w:rsidR="00996837" w:rsidRPr="003E76E7" w:rsidRDefault="00996837" w:rsidP="00C4292D">
            <w:pPr>
              <w:spacing w:before="0" w:after="0"/>
              <w:rPr>
                <w:rFonts w:ascii="Arial" w:hAnsi="Arial"/>
                <w:sz w:val="16"/>
                <w:szCs w:val="16"/>
                <w:lang w:val="en-AU"/>
              </w:rPr>
            </w:pPr>
            <w:r w:rsidRPr="003E76E7">
              <w:rPr>
                <w:rFonts w:ascii="Arial" w:hAnsi="Arial"/>
                <w:b/>
                <w:bCs/>
                <w:sz w:val="16"/>
                <w:szCs w:val="16"/>
                <w:lang w:val="en-AU"/>
              </w:rPr>
              <w:t>Top 30 Capability Sustainment Product Descriptions</w:t>
            </w:r>
          </w:p>
        </w:tc>
      </w:tr>
      <w:tr w:rsidR="00996837" w:rsidRPr="003E76E7" w14:paraId="6F2D8BAF" w14:textId="77777777" w:rsidTr="00F92728">
        <w:trPr>
          <w:trHeight w:val="364"/>
        </w:trPr>
        <w:tc>
          <w:tcPr>
            <w:tcW w:w="13458"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23610C2" w14:textId="77777777" w:rsidR="00996837" w:rsidRPr="003E76E7" w:rsidRDefault="00996837" w:rsidP="00C4292D">
            <w:pPr>
              <w:kinsoku w:val="0"/>
              <w:overflowPunct w:val="0"/>
              <w:autoSpaceDE w:val="0"/>
              <w:autoSpaceDN w:val="0"/>
              <w:adjustRightInd w:val="0"/>
              <w:spacing w:before="60" w:after="60"/>
              <w:ind w:right="4"/>
              <w:rPr>
                <w:rFonts w:ascii="Arial" w:hAnsi="Arial"/>
                <w:sz w:val="16"/>
                <w:szCs w:val="16"/>
                <w:lang w:val="en-AU"/>
              </w:rPr>
            </w:pPr>
            <w:r w:rsidRPr="003E76E7">
              <w:rPr>
                <w:rFonts w:ascii="Arial" w:hAnsi="Arial"/>
                <w:b/>
                <w:bCs/>
                <w:sz w:val="16"/>
                <w:szCs w:val="16"/>
              </w:rPr>
              <w:t xml:space="preserve">Maritime Domain (Continued) </w:t>
            </w:r>
          </w:p>
        </w:tc>
      </w:tr>
      <w:tr w:rsidR="00996837" w:rsidRPr="003E76E7" w14:paraId="7DA85E31" w14:textId="77777777" w:rsidTr="00F92728">
        <w:trPr>
          <w:trHeight w:val="761"/>
        </w:trPr>
        <w:tc>
          <w:tcPr>
            <w:tcW w:w="1559" w:type="dxa"/>
            <w:tcBorders>
              <w:top w:val="nil"/>
              <w:left w:val="single" w:sz="4" w:space="0" w:color="auto"/>
              <w:bottom w:val="single" w:sz="4" w:space="0" w:color="auto"/>
              <w:right w:val="single" w:sz="4" w:space="0" w:color="auto"/>
            </w:tcBorders>
            <w:shd w:val="clear" w:color="auto" w:fill="auto"/>
            <w:vAlign w:val="center"/>
          </w:tcPr>
          <w:p w14:paraId="4154B508" w14:textId="77777777" w:rsidR="00996837" w:rsidRPr="003E76E7" w:rsidRDefault="00996837" w:rsidP="00C4292D">
            <w:pPr>
              <w:rPr>
                <w:rFonts w:ascii="Arial" w:hAnsi="Arial"/>
                <w:sz w:val="16"/>
                <w:szCs w:val="16"/>
              </w:rPr>
            </w:pPr>
            <w:r w:rsidRPr="003E76E7">
              <w:rPr>
                <w:rFonts w:ascii="Arial" w:hAnsi="Arial"/>
                <w:sz w:val="16"/>
                <w:szCs w:val="16"/>
              </w:rPr>
              <w:t>Maritime Aviation Support</w:t>
            </w:r>
          </w:p>
        </w:tc>
        <w:tc>
          <w:tcPr>
            <w:tcW w:w="942" w:type="dxa"/>
            <w:tcBorders>
              <w:top w:val="nil"/>
              <w:left w:val="nil"/>
              <w:bottom w:val="single" w:sz="4" w:space="0" w:color="auto"/>
              <w:right w:val="single" w:sz="4" w:space="0" w:color="auto"/>
            </w:tcBorders>
            <w:shd w:val="clear" w:color="auto" w:fill="auto"/>
            <w:vAlign w:val="center"/>
          </w:tcPr>
          <w:p w14:paraId="69B1D96F" w14:textId="77777777" w:rsidR="00996837" w:rsidRPr="003E76E7" w:rsidRDefault="00996837" w:rsidP="00C4292D">
            <w:pPr>
              <w:jc w:val="center"/>
              <w:rPr>
                <w:rFonts w:ascii="Arial" w:hAnsi="Arial"/>
                <w:b/>
                <w:bCs/>
                <w:sz w:val="16"/>
                <w:szCs w:val="16"/>
              </w:rPr>
            </w:pPr>
            <w:r w:rsidRPr="003E76E7">
              <w:rPr>
                <w:rFonts w:ascii="Arial" w:hAnsi="Arial"/>
                <w:b/>
                <w:bCs/>
                <w:sz w:val="16"/>
                <w:szCs w:val="16"/>
              </w:rPr>
              <w:t>CN48</w:t>
            </w:r>
          </w:p>
        </w:tc>
        <w:tc>
          <w:tcPr>
            <w:tcW w:w="899" w:type="dxa"/>
            <w:tcBorders>
              <w:top w:val="nil"/>
              <w:left w:val="single" w:sz="4" w:space="0" w:color="auto"/>
              <w:bottom w:val="single" w:sz="4" w:space="0" w:color="auto"/>
              <w:right w:val="single" w:sz="4" w:space="0" w:color="auto"/>
            </w:tcBorders>
            <w:shd w:val="clear" w:color="auto" w:fill="auto"/>
            <w:vAlign w:val="center"/>
          </w:tcPr>
          <w:p w14:paraId="66EF55E2" w14:textId="77777777" w:rsidR="00996837" w:rsidRPr="003E76E7" w:rsidRDefault="00996837" w:rsidP="00C4292D">
            <w:pPr>
              <w:jc w:val="center"/>
              <w:rPr>
                <w:rFonts w:ascii="Arial" w:hAnsi="Arial"/>
                <w:sz w:val="16"/>
                <w:szCs w:val="16"/>
              </w:rPr>
            </w:pPr>
            <w:r w:rsidRPr="003E76E7">
              <w:rPr>
                <w:rFonts w:ascii="Arial" w:hAnsi="Arial"/>
                <w:sz w:val="16"/>
                <w:szCs w:val="16"/>
              </w:rPr>
              <w:t>114</w:t>
            </w:r>
          </w:p>
        </w:tc>
        <w:tc>
          <w:tcPr>
            <w:tcW w:w="10058" w:type="dxa"/>
            <w:tcBorders>
              <w:top w:val="nil"/>
              <w:left w:val="nil"/>
              <w:bottom w:val="single" w:sz="4" w:space="0" w:color="auto"/>
              <w:right w:val="single" w:sz="4" w:space="0" w:color="auto"/>
            </w:tcBorders>
            <w:shd w:val="clear" w:color="auto" w:fill="auto"/>
            <w:vAlign w:val="center"/>
          </w:tcPr>
          <w:p w14:paraId="06BEA1C9" w14:textId="77777777" w:rsidR="00996837" w:rsidRPr="003E76E7" w:rsidRDefault="00996837" w:rsidP="00C4292D">
            <w:pPr>
              <w:keepNext/>
              <w:keepLines/>
              <w:spacing w:before="60" w:after="60"/>
              <w:rPr>
                <w:rFonts w:ascii="Arial" w:hAnsi="Arial"/>
                <w:sz w:val="16"/>
                <w:szCs w:val="16"/>
              </w:rPr>
            </w:pPr>
            <w:r w:rsidRPr="003E76E7">
              <w:rPr>
                <w:rFonts w:ascii="Arial" w:hAnsi="Arial"/>
                <w:sz w:val="16"/>
                <w:szCs w:val="16"/>
              </w:rPr>
              <w:t xml:space="preserve">This product provides critical enabling support for Navy's unique embarked aviation operations, delivering support equipment, technical support and other shipborne aviation and integration equipment to Navy’s air capable ships. This product also provides contract management of all ADF Aviation Search and Rescue (SAR) and other specialist capability-support contracts. </w:t>
            </w:r>
          </w:p>
          <w:p w14:paraId="5A5157F6" w14:textId="77777777" w:rsidR="00996837" w:rsidRPr="003E76E7" w:rsidRDefault="00996837" w:rsidP="00C4292D">
            <w:pPr>
              <w:kinsoku w:val="0"/>
              <w:overflowPunct w:val="0"/>
              <w:autoSpaceDE w:val="0"/>
              <w:autoSpaceDN w:val="0"/>
              <w:adjustRightInd w:val="0"/>
              <w:spacing w:before="60" w:after="60"/>
              <w:ind w:right="4"/>
              <w:rPr>
                <w:rFonts w:ascii="Arial" w:hAnsi="Arial"/>
                <w:sz w:val="16"/>
                <w:szCs w:val="16"/>
                <w:lang w:val="en-AU"/>
              </w:rPr>
            </w:pPr>
            <w:r w:rsidRPr="003E76E7">
              <w:rPr>
                <w:rFonts w:ascii="Arial" w:hAnsi="Arial"/>
                <w:sz w:val="16"/>
                <w:szCs w:val="16"/>
              </w:rPr>
              <w:t>During 2026-27, the product will commence the transition of existing ADF SAR contract arrangements into a single Defence Search and Rescue Services contract.</w:t>
            </w:r>
          </w:p>
        </w:tc>
      </w:tr>
    </w:tbl>
    <w:p w14:paraId="3F32783C" w14:textId="77777777" w:rsidR="00996837" w:rsidRPr="003E76E7" w:rsidRDefault="00996837" w:rsidP="00C4292D">
      <w:pPr>
        <w:tabs>
          <w:tab w:val="left" w:pos="6480"/>
        </w:tabs>
        <w:spacing w:before="0" w:after="0"/>
        <w:ind w:left="-34"/>
        <w:rPr>
          <w:rFonts w:ascii="Arial" w:hAnsi="Arial"/>
          <w:b/>
          <w:bCs/>
          <w:sz w:val="16"/>
          <w:szCs w:val="16"/>
          <w:lang w:val="en-AU"/>
        </w:rPr>
      </w:pPr>
      <w:r w:rsidRPr="003E76E7">
        <w:rPr>
          <w:rFonts w:ascii="Arial" w:hAnsi="Arial"/>
          <w:b/>
          <w:bCs/>
          <w:sz w:val="16"/>
          <w:szCs w:val="16"/>
          <w:lang w:val="en-AU"/>
        </w:rPr>
        <w:t xml:space="preserve"> </w:t>
      </w:r>
    </w:p>
    <w:tbl>
      <w:tblPr>
        <w:tblW w:w="7259" w:type="dxa"/>
        <w:tblInd w:w="-34" w:type="dxa"/>
        <w:tblLayout w:type="fixed"/>
        <w:tblLook w:val="04A0" w:firstRow="1" w:lastRow="0" w:firstColumn="1" w:lastColumn="0" w:noHBand="0" w:noVBand="1"/>
      </w:tblPr>
      <w:tblGrid>
        <w:gridCol w:w="4707"/>
        <w:gridCol w:w="2552"/>
      </w:tblGrid>
      <w:tr w:rsidR="0083547B" w:rsidRPr="003E76E7" w14:paraId="4A062DCA" w14:textId="77777777" w:rsidTr="00AE11E0">
        <w:trPr>
          <w:trHeight w:val="283"/>
        </w:trPr>
        <w:tc>
          <w:tcPr>
            <w:tcW w:w="4707" w:type="dxa"/>
            <w:tcBorders>
              <w:top w:val="single" w:sz="4" w:space="0" w:color="auto"/>
              <w:left w:val="single" w:sz="4" w:space="0" w:color="auto"/>
              <w:bottom w:val="single" w:sz="4" w:space="0" w:color="auto"/>
              <w:right w:val="single" w:sz="4" w:space="0" w:color="auto"/>
            </w:tcBorders>
            <w:shd w:val="clear" w:color="auto" w:fill="E6E6E6"/>
            <w:vAlign w:val="center"/>
          </w:tcPr>
          <w:p w14:paraId="0E3B6825" w14:textId="77777777" w:rsidR="0083547B" w:rsidRPr="003E76E7" w:rsidRDefault="0083547B" w:rsidP="00C4292D">
            <w:pPr>
              <w:spacing w:before="0" w:after="0"/>
              <w:jc w:val="right"/>
              <w:rPr>
                <w:rFonts w:ascii="Arial" w:hAnsi="Arial"/>
                <w:b/>
                <w:bCs/>
                <w:sz w:val="16"/>
                <w:szCs w:val="16"/>
                <w:lang w:val="en-AU"/>
              </w:rPr>
            </w:pPr>
          </w:p>
        </w:tc>
        <w:tc>
          <w:tcPr>
            <w:tcW w:w="2552" w:type="dxa"/>
            <w:tcBorders>
              <w:top w:val="single" w:sz="4" w:space="0" w:color="auto"/>
              <w:left w:val="single" w:sz="4" w:space="0" w:color="auto"/>
              <w:bottom w:val="single" w:sz="4" w:space="0" w:color="auto"/>
              <w:right w:val="single" w:sz="4" w:space="0" w:color="auto"/>
            </w:tcBorders>
            <w:shd w:val="clear" w:color="auto" w:fill="E6E6E6"/>
            <w:vAlign w:val="center"/>
          </w:tcPr>
          <w:p w14:paraId="41E309E9" w14:textId="6FB650C0" w:rsidR="0083547B" w:rsidRPr="003E76E7" w:rsidRDefault="0083547B" w:rsidP="00C4292D">
            <w:pPr>
              <w:spacing w:before="0" w:after="0"/>
              <w:jc w:val="right"/>
              <w:rPr>
                <w:rFonts w:ascii="Arial" w:hAnsi="Arial"/>
                <w:b/>
                <w:bCs/>
                <w:sz w:val="16"/>
                <w:szCs w:val="16"/>
                <w:lang w:val="en-AU"/>
              </w:rPr>
            </w:pPr>
            <w:r w:rsidRPr="003E76E7">
              <w:rPr>
                <w:rFonts w:ascii="Arial" w:hAnsi="Arial"/>
                <w:b/>
                <w:bCs/>
                <w:sz w:val="16"/>
                <w:szCs w:val="16"/>
                <w:lang w:val="en-AU"/>
              </w:rPr>
              <w:t>Budget</w:t>
            </w:r>
            <w:r w:rsidRPr="003E76E7">
              <w:rPr>
                <w:rFonts w:ascii="Arial" w:hAnsi="Arial"/>
                <w:b/>
                <w:bCs/>
                <w:sz w:val="16"/>
                <w:szCs w:val="16"/>
                <w:lang w:val="en-AU"/>
              </w:rPr>
              <w:br/>
              <w:t>Estimate</w:t>
            </w:r>
          </w:p>
          <w:p w14:paraId="18171ED2" w14:textId="4160C23A" w:rsidR="0083547B" w:rsidRPr="003E76E7" w:rsidRDefault="0083547B" w:rsidP="00C4292D">
            <w:pPr>
              <w:spacing w:before="0" w:after="0"/>
              <w:jc w:val="right"/>
              <w:rPr>
                <w:rFonts w:ascii="Arial" w:hAnsi="Arial"/>
                <w:b/>
                <w:bCs/>
                <w:sz w:val="16"/>
                <w:szCs w:val="16"/>
                <w:lang w:val="en-AU"/>
              </w:rPr>
            </w:pPr>
            <w:r w:rsidRPr="003E76E7">
              <w:rPr>
                <w:rFonts w:ascii="Arial" w:hAnsi="Arial"/>
                <w:b/>
                <w:bCs/>
                <w:sz w:val="16"/>
                <w:szCs w:val="16"/>
                <w:lang w:val="en-AU"/>
              </w:rPr>
              <w:t>2026-27</w:t>
            </w:r>
            <w:r w:rsidRPr="003E76E7">
              <w:rPr>
                <w:rFonts w:ascii="Arial" w:hAnsi="Arial"/>
                <w:b/>
                <w:bCs/>
                <w:sz w:val="16"/>
                <w:szCs w:val="16"/>
                <w:lang w:val="en-AU"/>
              </w:rPr>
              <w:br/>
              <w:t>$m</w:t>
            </w:r>
            <w:r w:rsidRPr="003E76E7">
              <w:rPr>
                <w:rFonts w:ascii="Arial" w:hAnsi="Arial"/>
                <w:b/>
                <w:bCs/>
                <w:sz w:val="16"/>
                <w:szCs w:val="16"/>
                <w:vertAlign w:val="superscript"/>
                <w:lang w:val="en-AU"/>
              </w:rPr>
              <w:t xml:space="preserve"> </w:t>
            </w:r>
          </w:p>
        </w:tc>
      </w:tr>
      <w:tr w:rsidR="0083547B" w:rsidRPr="003E76E7" w14:paraId="2C35E044" w14:textId="77777777" w:rsidTr="00AE11E0">
        <w:trPr>
          <w:trHeight w:val="283"/>
        </w:trPr>
        <w:tc>
          <w:tcPr>
            <w:tcW w:w="4707" w:type="dxa"/>
            <w:tcBorders>
              <w:top w:val="single" w:sz="4" w:space="0" w:color="auto"/>
              <w:left w:val="single" w:sz="4" w:space="0" w:color="auto"/>
              <w:bottom w:val="single" w:sz="4" w:space="0" w:color="auto"/>
              <w:right w:val="single" w:sz="4" w:space="0" w:color="auto"/>
            </w:tcBorders>
            <w:shd w:val="clear" w:color="auto" w:fill="auto"/>
            <w:vAlign w:val="center"/>
          </w:tcPr>
          <w:p w14:paraId="6A176D81" w14:textId="642FA711" w:rsidR="0083547B" w:rsidRPr="003E76E7" w:rsidRDefault="0083547B" w:rsidP="00C4292D">
            <w:pPr>
              <w:spacing w:before="60" w:after="60"/>
              <w:rPr>
                <w:rFonts w:ascii="Arial" w:hAnsi="Arial"/>
                <w:b/>
                <w:bCs/>
                <w:sz w:val="16"/>
                <w:szCs w:val="16"/>
                <w:lang w:val="en-AU"/>
              </w:rPr>
            </w:pPr>
            <w:r w:rsidRPr="003E76E7">
              <w:rPr>
                <w:rFonts w:ascii="Arial" w:hAnsi="Arial"/>
                <w:b/>
                <w:bCs/>
                <w:sz w:val="16"/>
                <w:szCs w:val="16"/>
              </w:rPr>
              <w:t>Total Top 30 Capability Sustainment Products</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D0E6E0" w14:textId="2D726A9B" w:rsidR="0083547B" w:rsidRPr="003E76E7" w:rsidRDefault="0083547B" w:rsidP="00C4292D">
            <w:pPr>
              <w:spacing w:before="60" w:after="60"/>
              <w:jc w:val="right"/>
              <w:rPr>
                <w:rFonts w:ascii="Arial" w:hAnsi="Arial"/>
                <w:b/>
                <w:bCs/>
                <w:sz w:val="16"/>
                <w:szCs w:val="16"/>
              </w:rPr>
            </w:pPr>
            <w:r w:rsidRPr="003E76E7">
              <w:rPr>
                <w:rFonts w:ascii="Arial" w:hAnsi="Arial"/>
                <w:b/>
                <w:bCs/>
                <w:sz w:val="16"/>
                <w:szCs w:val="16"/>
              </w:rPr>
              <w:t>7,159</w:t>
            </w:r>
          </w:p>
        </w:tc>
      </w:tr>
      <w:tr w:rsidR="0083547B" w:rsidRPr="003E76E7" w14:paraId="0FFEBE28" w14:textId="77777777" w:rsidTr="007D6BE6">
        <w:trPr>
          <w:trHeight w:val="283"/>
        </w:trPr>
        <w:tc>
          <w:tcPr>
            <w:tcW w:w="4707" w:type="dxa"/>
            <w:tcBorders>
              <w:top w:val="nil"/>
              <w:left w:val="single" w:sz="4" w:space="0" w:color="auto"/>
              <w:bottom w:val="single" w:sz="4" w:space="0" w:color="auto"/>
              <w:right w:val="single" w:sz="4" w:space="0" w:color="auto"/>
            </w:tcBorders>
            <w:shd w:val="clear" w:color="auto" w:fill="auto"/>
            <w:vAlign w:val="center"/>
          </w:tcPr>
          <w:p w14:paraId="29E94FB8" w14:textId="0A7FF80E" w:rsidR="0083547B" w:rsidRPr="003E76E7" w:rsidRDefault="0083547B" w:rsidP="00C4292D">
            <w:pPr>
              <w:spacing w:before="60" w:after="60"/>
              <w:rPr>
                <w:rFonts w:ascii="Arial" w:hAnsi="Arial"/>
                <w:sz w:val="16"/>
                <w:szCs w:val="16"/>
              </w:rPr>
            </w:pPr>
            <w:r w:rsidRPr="003E76E7">
              <w:rPr>
                <w:rFonts w:ascii="Arial" w:hAnsi="Arial"/>
                <w:sz w:val="16"/>
                <w:szCs w:val="16"/>
              </w:rPr>
              <w:t>Other Sustainment Product Estimates</w:t>
            </w:r>
          </w:p>
        </w:tc>
        <w:tc>
          <w:tcPr>
            <w:tcW w:w="2552" w:type="dxa"/>
            <w:tcBorders>
              <w:top w:val="nil"/>
              <w:left w:val="single" w:sz="4" w:space="0" w:color="auto"/>
              <w:bottom w:val="single" w:sz="4" w:space="0" w:color="auto"/>
              <w:right w:val="single" w:sz="4" w:space="0" w:color="auto"/>
            </w:tcBorders>
            <w:shd w:val="clear" w:color="auto" w:fill="auto"/>
            <w:noWrap/>
            <w:vAlign w:val="center"/>
          </w:tcPr>
          <w:p w14:paraId="76A41677" w14:textId="6433A4C6" w:rsidR="0083547B" w:rsidRPr="003E76E7" w:rsidRDefault="0083547B" w:rsidP="00C4292D">
            <w:pPr>
              <w:spacing w:before="60" w:after="60"/>
              <w:jc w:val="right"/>
              <w:rPr>
                <w:rFonts w:ascii="Arial" w:hAnsi="Arial"/>
                <w:sz w:val="16"/>
                <w:szCs w:val="16"/>
              </w:rPr>
            </w:pPr>
            <w:r w:rsidRPr="003E76E7">
              <w:rPr>
                <w:rFonts w:ascii="Arial" w:hAnsi="Arial"/>
                <w:sz w:val="16"/>
                <w:szCs w:val="16"/>
              </w:rPr>
              <w:t>4,010</w:t>
            </w:r>
          </w:p>
        </w:tc>
      </w:tr>
      <w:tr w:rsidR="0083547B" w:rsidRPr="003E76E7" w14:paraId="79708512" w14:textId="77777777" w:rsidTr="0083547B">
        <w:trPr>
          <w:trHeight w:val="279"/>
        </w:trPr>
        <w:tc>
          <w:tcPr>
            <w:tcW w:w="4707" w:type="dxa"/>
            <w:tcBorders>
              <w:top w:val="nil"/>
              <w:left w:val="single" w:sz="4" w:space="0" w:color="auto"/>
              <w:bottom w:val="single" w:sz="4" w:space="0" w:color="auto"/>
              <w:right w:val="single" w:sz="4" w:space="0" w:color="auto"/>
            </w:tcBorders>
            <w:shd w:val="clear" w:color="auto" w:fill="E7E6E6" w:themeFill="background2"/>
            <w:vAlign w:val="center"/>
          </w:tcPr>
          <w:p w14:paraId="3AD1BFCD" w14:textId="741C93AA" w:rsidR="0083547B" w:rsidRPr="003E76E7" w:rsidRDefault="0083547B" w:rsidP="00C4292D">
            <w:pPr>
              <w:spacing w:before="60" w:after="60"/>
              <w:rPr>
                <w:rFonts w:ascii="Arial" w:hAnsi="Arial"/>
                <w:b/>
                <w:bCs/>
                <w:sz w:val="16"/>
                <w:szCs w:val="16"/>
              </w:rPr>
            </w:pPr>
            <w:r w:rsidRPr="003E76E7">
              <w:rPr>
                <w:rFonts w:ascii="Arial" w:hAnsi="Arial"/>
                <w:b/>
                <w:bCs/>
                <w:sz w:val="16"/>
                <w:szCs w:val="16"/>
              </w:rPr>
              <w:t>Total Capability Sustainment Product Funds Available</w:t>
            </w:r>
          </w:p>
        </w:tc>
        <w:tc>
          <w:tcPr>
            <w:tcW w:w="2552" w:type="dxa"/>
            <w:tcBorders>
              <w:top w:val="nil"/>
              <w:left w:val="single" w:sz="4" w:space="0" w:color="auto"/>
              <w:bottom w:val="single" w:sz="4" w:space="0" w:color="auto"/>
              <w:right w:val="single" w:sz="4" w:space="0" w:color="auto"/>
            </w:tcBorders>
            <w:shd w:val="clear" w:color="auto" w:fill="E7E6E6" w:themeFill="background2"/>
            <w:noWrap/>
            <w:vAlign w:val="center"/>
          </w:tcPr>
          <w:p w14:paraId="1BB7E8F3" w14:textId="1BAB2B0D" w:rsidR="0083547B" w:rsidRPr="003E76E7" w:rsidRDefault="0083547B" w:rsidP="00C4292D">
            <w:pPr>
              <w:spacing w:before="60" w:after="60"/>
              <w:jc w:val="right"/>
              <w:rPr>
                <w:rFonts w:ascii="Arial" w:hAnsi="Arial"/>
                <w:b/>
                <w:bCs/>
                <w:sz w:val="16"/>
                <w:szCs w:val="16"/>
              </w:rPr>
            </w:pPr>
            <w:r w:rsidRPr="003E76E7">
              <w:rPr>
                <w:rFonts w:ascii="Arial" w:hAnsi="Arial"/>
                <w:b/>
                <w:bCs/>
                <w:sz w:val="16"/>
                <w:szCs w:val="16"/>
              </w:rPr>
              <w:t>11,169</w:t>
            </w:r>
          </w:p>
        </w:tc>
      </w:tr>
    </w:tbl>
    <w:p w14:paraId="4E74481E" w14:textId="77777777" w:rsidR="0008019D" w:rsidRPr="003E76E7" w:rsidRDefault="0008019D" w:rsidP="00C4292D">
      <w:pPr>
        <w:spacing w:before="0" w:after="0"/>
        <w:ind w:left="-142"/>
        <w:rPr>
          <w:rFonts w:ascii="Arial" w:hAnsi="Arial"/>
          <w:b/>
          <w:sz w:val="14"/>
          <w:szCs w:val="16"/>
          <w:lang w:val="en-AU"/>
        </w:rPr>
      </w:pPr>
    </w:p>
    <w:p w14:paraId="5DFF7BB7" w14:textId="46A016B6" w:rsidR="00633505" w:rsidRPr="003E76E7" w:rsidRDefault="00633505" w:rsidP="00C4292D">
      <w:pPr>
        <w:spacing w:before="0" w:after="0"/>
        <w:rPr>
          <w:rFonts w:ascii="Arial" w:hAnsi="Arial"/>
          <w:b/>
          <w:sz w:val="14"/>
          <w:szCs w:val="14"/>
          <w:lang w:val="en-AU"/>
        </w:rPr>
      </w:pPr>
      <w:r w:rsidRPr="003E76E7">
        <w:rPr>
          <w:rFonts w:ascii="Arial" w:hAnsi="Arial"/>
          <w:b/>
          <w:sz w:val="14"/>
          <w:szCs w:val="14"/>
          <w:lang w:val="en-AU"/>
        </w:rPr>
        <w:t>Note</w:t>
      </w:r>
      <w:r w:rsidR="00992C17" w:rsidRPr="003E76E7">
        <w:rPr>
          <w:rFonts w:ascii="Arial" w:hAnsi="Arial"/>
          <w:b/>
          <w:sz w:val="14"/>
          <w:szCs w:val="14"/>
          <w:lang w:val="en-AU"/>
        </w:rPr>
        <w:t>s</w:t>
      </w:r>
    </w:p>
    <w:p w14:paraId="2D3F657B" w14:textId="77777777" w:rsidR="00992C17" w:rsidRPr="00FE5A03" w:rsidRDefault="00633505" w:rsidP="00C4292D">
      <w:pPr>
        <w:pStyle w:val="ListParagraph"/>
        <w:numPr>
          <w:ilvl w:val="0"/>
          <w:numId w:val="35"/>
        </w:numPr>
        <w:spacing w:before="0" w:after="0"/>
        <w:ind w:left="284" w:hanging="284"/>
        <w:rPr>
          <w:rFonts w:ascii="Arial" w:hAnsi="Arial"/>
          <w:sz w:val="14"/>
          <w:szCs w:val="14"/>
          <w:lang w:val="en-AU"/>
        </w:rPr>
      </w:pPr>
      <w:r w:rsidRPr="00FE5A03">
        <w:rPr>
          <w:rFonts w:ascii="Arial" w:hAnsi="Arial"/>
          <w:sz w:val="14"/>
          <w:szCs w:val="14"/>
          <w:lang w:val="en-AU"/>
        </w:rPr>
        <w:tab/>
      </w:r>
      <w:bookmarkStart w:id="1294" w:name="_Toc476581164"/>
      <w:bookmarkStart w:id="1295" w:name="_Toc507595432"/>
      <w:bookmarkStart w:id="1296" w:name="_Toc536089239"/>
      <w:bookmarkStart w:id="1297" w:name="_Toc536089499"/>
      <w:r w:rsidR="00992C17" w:rsidRPr="00FE5A03">
        <w:rPr>
          <w:rFonts w:ascii="Arial" w:hAnsi="Arial"/>
          <w:sz w:val="14"/>
          <w:szCs w:val="14"/>
          <w:lang w:val="en-AU"/>
        </w:rPr>
        <w:t>Budget Estimate 2026-27 is on an accrual basis, and funded by appropriation.</w:t>
      </w:r>
    </w:p>
    <w:p w14:paraId="7424F2DA" w14:textId="77777777" w:rsidR="00992C17" w:rsidRPr="00FE5A03" w:rsidRDefault="00992C17" w:rsidP="00C4292D">
      <w:pPr>
        <w:pStyle w:val="ListParagraph"/>
        <w:numPr>
          <w:ilvl w:val="0"/>
          <w:numId w:val="35"/>
        </w:numPr>
        <w:spacing w:before="0" w:after="0"/>
        <w:ind w:left="284" w:hanging="284"/>
        <w:rPr>
          <w:rFonts w:ascii="Arial" w:hAnsi="Arial"/>
          <w:sz w:val="14"/>
          <w:szCs w:val="14"/>
          <w:lang w:val="en-AU"/>
        </w:rPr>
      </w:pPr>
      <w:r w:rsidRPr="00FE5A03">
        <w:rPr>
          <w:rFonts w:ascii="Arial" w:hAnsi="Arial"/>
          <w:sz w:val="14"/>
          <w:szCs w:val="14"/>
          <w:lang w:val="en-AU"/>
        </w:rPr>
        <w:tab/>
        <w:t xml:space="preserve">Figures many not add due to rounding. </w:t>
      </w:r>
    </w:p>
    <w:p w14:paraId="0F2A3EFD" w14:textId="77777777" w:rsidR="00992C17" w:rsidRPr="003E76E7" w:rsidRDefault="00992C17" w:rsidP="00C4292D">
      <w:pPr>
        <w:spacing w:before="0" w:after="0"/>
        <w:rPr>
          <w:rFonts w:ascii="Arial" w:hAnsi="Arial"/>
          <w:sz w:val="14"/>
          <w:szCs w:val="14"/>
          <w:lang w:val="en-AU"/>
        </w:rPr>
      </w:pPr>
    </w:p>
    <w:p w14:paraId="7EEA66A2" w14:textId="50362B1A" w:rsidR="00992C17" w:rsidRPr="003E76E7" w:rsidRDefault="00992C17" w:rsidP="00C4292D">
      <w:pPr>
        <w:spacing w:before="0" w:after="0"/>
        <w:rPr>
          <w:rFonts w:ascii="Arial" w:hAnsi="Arial"/>
          <w:sz w:val="14"/>
          <w:szCs w:val="14"/>
          <w:lang w:val="en-AU"/>
        </w:rPr>
      </w:pPr>
    </w:p>
    <w:p w14:paraId="27117399" w14:textId="77777777" w:rsidR="00633505" w:rsidRPr="003E76E7" w:rsidRDefault="00633505" w:rsidP="00C4292D">
      <w:pPr>
        <w:rPr>
          <w:sz w:val="14"/>
          <w:szCs w:val="14"/>
          <w:lang w:val="en-AU"/>
        </w:rPr>
        <w:sectPr w:rsidR="00633505" w:rsidRPr="003E76E7" w:rsidSect="00C30BE6">
          <w:headerReference w:type="even" r:id="rId130"/>
          <w:headerReference w:type="default" r:id="rId131"/>
          <w:footerReference w:type="even" r:id="rId132"/>
          <w:footerReference w:type="default" r:id="rId133"/>
          <w:pgSz w:w="16840" w:h="11907" w:orient="landscape" w:code="9"/>
          <w:pgMar w:top="1928" w:right="1701" w:bottom="1361" w:left="1701" w:header="720" w:footer="720" w:gutter="0"/>
          <w:cols w:space="720"/>
          <w:noEndnote/>
          <w:docGrid w:linePitch="272"/>
        </w:sectPr>
      </w:pPr>
    </w:p>
    <w:p w14:paraId="638C69B4" w14:textId="1E19EB24" w:rsidR="00003B8B" w:rsidRPr="003E76E7" w:rsidRDefault="00003B8B" w:rsidP="00C4292D">
      <w:pPr>
        <w:pStyle w:val="Heading4"/>
        <w:rPr>
          <w:sz w:val="26"/>
          <w:szCs w:val="26"/>
          <w:lang w:val="en-AU"/>
        </w:rPr>
      </w:pPr>
      <w:bookmarkStart w:id="1298" w:name="_Toc1561690"/>
      <w:bookmarkStart w:id="1299" w:name="_Toc69917850"/>
      <w:bookmarkStart w:id="1300" w:name="_Toc51691687"/>
      <w:bookmarkStart w:id="1301" w:name="_Toc97747839"/>
      <w:bookmarkStart w:id="1302" w:name="_Toc108088950"/>
      <w:bookmarkStart w:id="1303" w:name="_Toc109227746"/>
      <w:bookmarkStart w:id="1304" w:name="_Toc159499694"/>
      <w:bookmarkStart w:id="1305" w:name="_Toc159859111"/>
      <w:bookmarkStart w:id="1306" w:name="_Toc222129934"/>
      <w:bookmarkStart w:id="1307" w:name="_Toc222148364"/>
      <w:bookmarkStart w:id="1308" w:name="_Toc225847992"/>
      <w:bookmarkStart w:id="1309" w:name="_Toc225848075"/>
      <w:bookmarkStart w:id="1310" w:name="_Toc225848158"/>
      <w:bookmarkStart w:id="1311" w:name="_Toc225848497"/>
      <w:bookmarkStart w:id="1312" w:name="_Toc225941564"/>
      <w:bookmarkStart w:id="1313" w:name="_Toc225942571"/>
      <w:bookmarkStart w:id="1314" w:name="_Toc227334381"/>
      <w:bookmarkStart w:id="1315" w:name="_Toc229072456"/>
      <w:bookmarkStart w:id="1316" w:name="_Toc229072628"/>
      <w:r w:rsidRPr="003E76E7">
        <w:rPr>
          <w:sz w:val="26"/>
          <w:szCs w:val="26"/>
          <w:lang w:val="en-AU"/>
        </w:rPr>
        <w:lastRenderedPageBreak/>
        <w:t xml:space="preserve">Appendix </w:t>
      </w:r>
      <w:r w:rsidR="00F800D6" w:rsidRPr="003E76E7">
        <w:rPr>
          <w:sz w:val="26"/>
          <w:szCs w:val="26"/>
          <w:lang w:val="en-AU"/>
        </w:rPr>
        <w:t>D</w:t>
      </w:r>
      <w:r w:rsidRPr="003E76E7">
        <w:rPr>
          <w:sz w:val="26"/>
          <w:szCs w:val="26"/>
          <w:lang w:val="en-AU"/>
        </w:rPr>
        <w:t xml:space="preserve">: </w:t>
      </w:r>
      <w:r w:rsidR="00EB2D8F" w:rsidRPr="003E76E7">
        <w:rPr>
          <w:sz w:val="26"/>
          <w:szCs w:val="26"/>
          <w:lang w:val="en-AU"/>
        </w:rPr>
        <w:t>Enterprise Estate</w:t>
      </w:r>
      <w:r w:rsidRPr="003E76E7">
        <w:rPr>
          <w:sz w:val="26"/>
          <w:szCs w:val="26"/>
          <w:lang w:val="en-AU"/>
        </w:rPr>
        <w:t xml:space="preserve"> and Infrastructure</w:t>
      </w:r>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p>
    <w:p w14:paraId="2BE13E81" w14:textId="77777777" w:rsidR="008A7ABF" w:rsidRPr="003E76E7" w:rsidRDefault="008A7ABF" w:rsidP="00C4292D">
      <w:r w:rsidRPr="003E76E7">
        <w:t xml:space="preserve">The Enterprise Estate and Infrastructure Program component of the Integrated Investment Program comprises approved and unapproved major and medium capital facilities and infrastructure projects. These projects provide new and refurbished facilities and infrastructure to sustain the Defence Estate, support current and future capability requirements, support Government initiatives, and ensure compliance with legislative obligations. The upgrade and development of Australia’s northern network of bases, ports and barracks are being prioritised to support the implementation of the National Defence Strategy and Integrated Investment Program. </w:t>
      </w:r>
    </w:p>
    <w:p w14:paraId="7B27B2E7" w14:textId="77777777" w:rsidR="008A7ABF" w:rsidRPr="003E76E7" w:rsidRDefault="008A7ABF" w:rsidP="00C4292D">
      <w:r w:rsidRPr="003E76E7">
        <w:t xml:space="preserve">Major capital facilities and infrastructure projects are defined as having expenditure of $75 million and over (excluding GST) and are subject to Government and Parliamentary approval. Medium capital facilities and infrastructure projects have expenditure between $5 million and $75 million (excluding GST), and are subject to Government approval and notification to the Parliamentary Standing Committee on Public Works. Details of approved major and medium Enterprise Estate and Infrastructure Program projects are provided in this Appendix. </w:t>
      </w:r>
    </w:p>
    <w:p w14:paraId="3D07322B" w14:textId="77777777" w:rsidR="008A7ABF" w:rsidRPr="003E76E7" w:rsidRDefault="008A7ABF" w:rsidP="00C4292D">
      <w:pPr>
        <w:pStyle w:val="Heading4level5"/>
        <w:spacing w:before="0" w:after="120"/>
      </w:pPr>
      <w:r w:rsidRPr="003E76E7">
        <w:t>Approved Major and Medium Enterprise Estate and Infrastructure Program Projects</w:t>
      </w:r>
    </w:p>
    <w:p w14:paraId="0D5C7AF6" w14:textId="4EAA77E4" w:rsidR="008A7ABF" w:rsidRPr="003E76E7" w:rsidRDefault="008A7ABF" w:rsidP="00C4292D">
      <w:pPr>
        <w:spacing w:before="0" w:after="120"/>
      </w:pPr>
      <w:r w:rsidRPr="003E76E7">
        <w:t>The table below, and the following descriptions, provide details on the progress and expenditure of approved major and medium Enterprise Estate and Infrastructure Program projects for 2026</w:t>
      </w:r>
      <w:r w:rsidRPr="003E76E7">
        <w:noBreakHyphen/>
        <w:t>27.</w:t>
      </w:r>
    </w:p>
    <w:p w14:paraId="10A8E51D" w14:textId="5D310142" w:rsidR="00003B8B" w:rsidRPr="003E76E7" w:rsidRDefault="00003B8B" w:rsidP="00C4292D">
      <w:pPr>
        <w:pStyle w:val="TableHeading"/>
        <w:numPr>
          <w:ilvl w:val="0"/>
          <w:numId w:val="61"/>
        </w:numPr>
        <w:spacing w:before="100"/>
        <w:ind w:left="0" w:firstLine="0"/>
        <w:outlineLvl w:val="4"/>
      </w:pPr>
      <w:r w:rsidRPr="003E76E7">
        <w:t>Approved</w:t>
      </w:r>
      <w:r w:rsidR="001A1F80" w:rsidRPr="003E76E7">
        <w:t xml:space="preserve"> Major and Medium</w:t>
      </w:r>
      <w:r w:rsidRPr="003E76E7">
        <w:t xml:space="preserve"> </w:t>
      </w:r>
      <w:r w:rsidR="00195216" w:rsidRPr="003E76E7">
        <w:t xml:space="preserve">Enterprise Estate and Infrastructure Program </w:t>
      </w:r>
      <w:r w:rsidRPr="003E76E7">
        <w:t xml:space="preserve">Projects </w:t>
      </w:r>
      <w:r w:rsidR="00DD6ABE" w:rsidRPr="003E76E7">
        <w:t>by State and Federal Electorate</w:t>
      </w:r>
    </w:p>
    <w:p w14:paraId="3C0A1E7D" w14:textId="77777777" w:rsidR="00463A75" w:rsidRPr="003E76E7" w:rsidRDefault="00463A75" w:rsidP="00C4292D">
      <w:pPr>
        <w:spacing w:before="0" w:after="0"/>
        <w:rPr>
          <w:sz w:val="4"/>
          <w:szCs w:val="4"/>
        </w:rPr>
      </w:pPr>
    </w:p>
    <w:tbl>
      <w:tblPr>
        <w:tblW w:w="9156" w:type="dxa"/>
        <w:tblLook w:val="04A0" w:firstRow="1" w:lastRow="0" w:firstColumn="1" w:lastColumn="0" w:noHBand="0" w:noVBand="1"/>
      </w:tblPr>
      <w:tblGrid>
        <w:gridCol w:w="3160"/>
        <w:gridCol w:w="2116"/>
        <w:gridCol w:w="1141"/>
        <w:gridCol w:w="1374"/>
        <w:gridCol w:w="1365"/>
      </w:tblGrid>
      <w:tr w:rsidR="00463A75" w:rsidRPr="003E76E7" w14:paraId="5AB42033" w14:textId="77777777" w:rsidTr="00B17397">
        <w:trPr>
          <w:trHeight w:val="982"/>
        </w:trPr>
        <w:tc>
          <w:tcPr>
            <w:tcW w:w="3202" w:type="dxa"/>
            <w:tcBorders>
              <w:top w:val="single" w:sz="4" w:space="0" w:color="auto"/>
              <w:left w:val="nil"/>
              <w:bottom w:val="single" w:sz="4" w:space="0" w:color="auto"/>
              <w:right w:val="nil"/>
            </w:tcBorders>
            <w:shd w:val="clear" w:color="auto" w:fill="auto"/>
            <w:vAlign w:val="bottom"/>
            <w:hideMark/>
          </w:tcPr>
          <w:p w14:paraId="6F83E93B" w14:textId="77777777" w:rsidR="00463A75" w:rsidRPr="003E76E7" w:rsidRDefault="00463A75" w:rsidP="00C4292D">
            <w:pPr>
              <w:spacing w:before="0" w:after="0"/>
              <w:rPr>
                <w:rFonts w:ascii="Arial" w:hAnsi="Arial"/>
                <w:b/>
                <w:bCs/>
                <w:color w:val="000000"/>
                <w:sz w:val="16"/>
                <w:szCs w:val="16"/>
                <w:lang w:val="en-AU"/>
              </w:rPr>
            </w:pPr>
            <w:bookmarkStart w:id="1317" w:name="_Toc476581165"/>
            <w:bookmarkStart w:id="1318" w:name="_Toc507595433"/>
            <w:bookmarkStart w:id="1319" w:name="_Toc536089240"/>
            <w:bookmarkStart w:id="1320" w:name="_Toc536089500"/>
            <w:r w:rsidRPr="003E76E7">
              <w:rPr>
                <w:rFonts w:ascii="Arial" w:hAnsi="Arial"/>
                <w:b/>
                <w:bCs/>
                <w:color w:val="000000"/>
                <w:sz w:val="16"/>
                <w:szCs w:val="16"/>
                <w:lang w:val="en-AU"/>
              </w:rPr>
              <w:t>Project</w:t>
            </w:r>
          </w:p>
        </w:tc>
        <w:tc>
          <w:tcPr>
            <w:tcW w:w="2116" w:type="dxa"/>
            <w:tcBorders>
              <w:top w:val="single" w:sz="4" w:space="0" w:color="auto"/>
              <w:left w:val="nil"/>
              <w:bottom w:val="single" w:sz="4" w:space="0" w:color="auto"/>
              <w:right w:val="nil"/>
            </w:tcBorders>
            <w:shd w:val="clear" w:color="auto" w:fill="auto"/>
            <w:vAlign w:val="bottom"/>
            <w:hideMark/>
          </w:tcPr>
          <w:p w14:paraId="32976B8E"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State and</w:t>
            </w:r>
          </w:p>
          <w:p w14:paraId="7605E872"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Federal</w:t>
            </w:r>
          </w:p>
          <w:p w14:paraId="5BB350A7"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Electorate</w:t>
            </w:r>
          </w:p>
        </w:tc>
        <w:tc>
          <w:tcPr>
            <w:tcW w:w="1099" w:type="dxa"/>
            <w:tcBorders>
              <w:top w:val="single" w:sz="4" w:space="0" w:color="auto"/>
              <w:left w:val="nil"/>
              <w:bottom w:val="single" w:sz="4" w:space="0" w:color="auto"/>
              <w:right w:val="nil"/>
            </w:tcBorders>
            <w:shd w:val="clear" w:color="auto" w:fill="auto"/>
            <w:vAlign w:val="bottom"/>
            <w:hideMark/>
          </w:tcPr>
          <w:p w14:paraId="0929FE99"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 xml:space="preserve">Total Estimated Expenditure </w:t>
            </w:r>
            <w:r w:rsidRPr="003E76E7">
              <w:rPr>
                <w:rFonts w:ascii="Arial" w:hAnsi="Arial"/>
                <w:b/>
                <w:bCs/>
                <w:color w:val="000000"/>
                <w:sz w:val="16"/>
                <w:szCs w:val="16"/>
                <w:lang w:val="en-AU"/>
              </w:rPr>
              <w:br/>
              <w:t>$m</w:t>
            </w:r>
          </w:p>
        </w:tc>
        <w:tc>
          <w:tcPr>
            <w:tcW w:w="1374" w:type="dxa"/>
            <w:tcBorders>
              <w:top w:val="single" w:sz="4" w:space="0" w:color="auto"/>
              <w:left w:val="nil"/>
              <w:bottom w:val="single" w:sz="4" w:space="0" w:color="auto"/>
              <w:right w:val="nil"/>
            </w:tcBorders>
            <w:shd w:val="clear" w:color="auto" w:fill="auto"/>
            <w:vAlign w:val="bottom"/>
            <w:hideMark/>
          </w:tcPr>
          <w:p w14:paraId="2B18E496"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Estimated Cumulative Expenditure to 30 June 2026</w:t>
            </w:r>
            <w:r w:rsidRPr="003E76E7">
              <w:rPr>
                <w:rFonts w:ascii="Arial" w:hAnsi="Arial"/>
                <w:b/>
                <w:bCs/>
                <w:color w:val="000000"/>
                <w:sz w:val="16"/>
                <w:szCs w:val="16"/>
                <w:lang w:val="en-AU"/>
              </w:rPr>
              <w:br/>
              <w:t>$m</w:t>
            </w:r>
          </w:p>
        </w:tc>
        <w:tc>
          <w:tcPr>
            <w:tcW w:w="1365" w:type="dxa"/>
            <w:tcBorders>
              <w:top w:val="single" w:sz="4" w:space="0" w:color="auto"/>
              <w:left w:val="nil"/>
              <w:bottom w:val="single" w:sz="4" w:space="0" w:color="auto"/>
              <w:right w:val="nil"/>
            </w:tcBorders>
            <w:shd w:val="clear" w:color="auto" w:fill="auto"/>
            <w:vAlign w:val="bottom"/>
            <w:hideMark/>
          </w:tcPr>
          <w:p w14:paraId="75062063"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2026-27</w:t>
            </w:r>
          </w:p>
          <w:p w14:paraId="07156443"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 xml:space="preserve">Budget Estimate </w:t>
            </w:r>
            <w:r w:rsidRPr="003E76E7">
              <w:rPr>
                <w:rFonts w:ascii="Arial" w:hAnsi="Arial"/>
                <w:b/>
                <w:bCs/>
                <w:color w:val="000000"/>
                <w:sz w:val="16"/>
                <w:szCs w:val="16"/>
                <w:lang w:val="en-AU"/>
              </w:rPr>
              <w:br/>
              <w:t>$m</w:t>
            </w:r>
          </w:p>
        </w:tc>
      </w:tr>
      <w:tr w:rsidR="00463A75" w:rsidRPr="003E76E7" w14:paraId="7307B34F" w14:textId="77777777" w:rsidTr="00B17397">
        <w:trPr>
          <w:trHeight w:val="226"/>
        </w:trPr>
        <w:tc>
          <w:tcPr>
            <w:tcW w:w="3202" w:type="dxa"/>
            <w:tcBorders>
              <w:top w:val="nil"/>
              <w:left w:val="nil"/>
              <w:bottom w:val="nil"/>
              <w:right w:val="nil"/>
            </w:tcBorders>
            <w:shd w:val="clear" w:color="auto" w:fill="auto"/>
            <w:vAlign w:val="bottom"/>
            <w:hideMark/>
          </w:tcPr>
          <w:p w14:paraId="4B4437C4" w14:textId="4A90AC0F"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xml:space="preserve">DEF 01 Submarine Rotational Force - West Infrastructure Project </w:t>
            </w:r>
            <w:r w:rsidRPr="003E76E7">
              <w:rPr>
                <w:rFonts w:ascii="Arial" w:hAnsi="Arial"/>
                <w:b/>
                <w:bCs/>
                <w:color w:val="000000"/>
                <w:sz w:val="16"/>
                <w:szCs w:val="16"/>
                <w:lang w:val="en-AU"/>
              </w:rPr>
              <w:br/>
              <w:t>Priority Works</w:t>
            </w:r>
          </w:p>
        </w:tc>
        <w:tc>
          <w:tcPr>
            <w:tcW w:w="2116" w:type="dxa"/>
            <w:tcBorders>
              <w:top w:val="nil"/>
              <w:left w:val="nil"/>
              <w:bottom w:val="nil"/>
              <w:right w:val="nil"/>
            </w:tcBorders>
            <w:shd w:val="clear" w:color="auto" w:fill="auto"/>
            <w:noWrap/>
            <w:vAlign w:val="bottom"/>
            <w:hideMark/>
          </w:tcPr>
          <w:p w14:paraId="131C41FB" w14:textId="77777777" w:rsidR="00463A75" w:rsidRPr="003E76E7" w:rsidRDefault="00463A75" w:rsidP="00C4292D">
            <w:pPr>
              <w:spacing w:before="0" w:after="0"/>
              <w:rPr>
                <w:rFonts w:ascii="Arial" w:hAnsi="Arial"/>
                <w:b/>
                <w:bCs/>
                <w:color w:val="000000"/>
                <w:sz w:val="16"/>
                <w:szCs w:val="16"/>
                <w:lang w:val="en-AU"/>
              </w:rPr>
            </w:pPr>
          </w:p>
        </w:tc>
        <w:tc>
          <w:tcPr>
            <w:tcW w:w="1099" w:type="dxa"/>
            <w:tcBorders>
              <w:top w:val="nil"/>
              <w:left w:val="nil"/>
              <w:bottom w:val="nil"/>
              <w:right w:val="nil"/>
            </w:tcBorders>
            <w:shd w:val="clear" w:color="auto" w:fill="auto"/>
            <w:noWrap/>
            <w:vAlign w:val="bottom"/>
            <w:hideMark/>
          </w:tcPr>
          <w:p w14:paraId="3E1C039D" w14:textId="77777777" w:rsidR="00463A75" w:rsidRPr="003E76E7" w:rsidRDefault="00463A75" w:rsidP="00C4292D">
            <w:pPr>
              <w:spacing w:before="0" w:after="0"/>
              <w:jc w:val="right"/>
              <w:rPr>
                <w:rFonts w:ascii="Times New Roman" w:hAnsi="Times New Roman" w:cs="Times New Roman"/>
                <w:szCs w:val="20"/>
                <w:lang w:val="en-AU"/>
              </w:rPr>
            </w:pPr>
          </w:p>
        </w:tc>
        <w:tc>
          <w:tcPr>
            <w:tcW w:w="1374" w:type="dxa"/>
            <w:tcBorders>
              <w:top w:val="nil"/>
              <w:left w:val="nil"/>
              <w:bottom w:val="nil"/>
              <w:right w:val="nil"/>
            </w:tcBorders>
            <w:shd w:val="clear" w:color="auto" w:fill="auto"/>
            <w:noWrap/>
            <w:vAlign w:val="bottom"/>
            <w:hideMark/>
          </w:tcPr>
          <w:p w14:paraId="53C3782C" w14:textId="77777777" w:rsidR="00463A75" w:rsidRPr="003E76E7" w:rsidRDefault="00463A75" w:rsidP="00C4292D">
            <w:pPr>
              <w:spacing w:before="0" w:after="0"/>
              <w:jc w:val="right"/>
              <w:rPr>
                <w:rFonts w:ascii="Times New Roman" w:hAnsi="Times New Roman" w:cs="Times New Roman"/>
                <w:szCs w:val="20"/>
                <w:lang w:val="en-AU"/>
              </w:rPr>
            </w:pPr>
          </w:p>
        </w:tc>
        <w:tc>
          <w:tcPr>
            <w:tcW w:w="1365" w:type="dxa"/>
            <w:tcBorders>
              <w:top w:val="nil"/>
              <w:left w:val="nil"/>
              <w:bottom w:val="nil"/>
              <w:right w:val="nil"/>
            </w:tcBorders>
            <w:shd w:val="clear" w:color="auto" w:fill="auto"/>
            <w:noWrap/>
            <w:vAlign w:val="bottom"/>
            <w:hideMark/>
          </w:tcPr>
          <w:p w14:paraId="0CE61D88" w14:textId="77777777" w:rsidR="00463A75" w:rsidRPr="003E76E7" w:rsidRDefault="00463A75" w:rsidP="00C4292D">
            <w:pPr>
              <w:spacing w:before="0" w:after="0"/>
              <w:jc w:val="right"/>
              <w:rPr>
                <w:rFonts w:ascii="Times New Roman" w:hAnsi="Times New Roman" w:cs="Times New Roman"/>
                <w:szCs w:val="20"/>
                <w:lang w:val="en-AU"/>
              </w:rPr>
            </w:pPr>
          </w:p>
        </w:tc>
      </w:tr>
      <w:tr w:rsidR="00463A75" w:rsidRPr="003E76E7" w14:paraId="37749F5D" w14:textId="77777777" w:rsidTr="00B17397">
        <w:trPr>
          <w:trHeight w:val="226"/>
        </w:trPr>
        <w:tc>
          <w:tcPr>
            <w:tcW w:w="3202" w:type="dxa"/>
            <w:tcBorders>
              <w:top w:val="nil"/>
              <w:left w:val="nil"/>
              <w:bottom w:val="single" w:sz="4" w:space="0" w:color="auto"/>
              <w:right w:val="nil"/>
            </w:tcBorders>
            <w:shd w:val="clear" w:color="auto" w:fill="auto"/>
            <w:vAlign w:val="bottom"/>
            <w:hideMark/>
          </w:tcPr>
          <w:p w14:paraId="0976D3CA" w14:textId="77777777" w:rsidR="00463A75" w:rsidRPr="00C210BD" w:rsidRDefault="00463A75" w:rsidP="00C4292D">
            <w:pPr>
              <w:spacing w:before="0" w:after="0"/>
              <w:ind w:left="4"/>
              <w:rPr>
                <w:rFonts w:ascii="Arial" w:hAnsi="Arial"/>
                <w:color w:val="000000"/>
                <w:sz w:val="16"/>
                <w:szCs w:val="16"/>
                <w:lang w:val="en-AU"/>
              </w:rPr>
            </w:pPr>
            <w:r w:rsidRPr="00C210BD">
              <w:rPr>
                <w:rFonts w:ascii="Arial" w:hAnsi="Arial"/>
                <w:color w:val="000000"/>
                <w:sz w:val="16"/>
                <w:szCs w:val="16"/>
                <w:lang w:val="en-AU"/>
              </w:rPr>
              <w:t xml:space="preserve">HMAS </w:t>
            </w:r>
            <w:r w:rsidRPr="00C210BD">
              <w:rPr>
                <w:rFonts w:ascii="Arial" w:hAnsi="Arial"/>
                <w:iCs/>
                <w:color w:val="000000"/>
                <w:sz w:val="16"/>
                <w:szCs w:val="16"/>
                <w:lang w:val="en-AU"/>
              </w:rPr>
              <w:t>Stirling</w:t>
            </w:r>
          </w:p>
        </w:tc>
        <w:tc>
          <w:tcPr>
            <w:tcW w:w="2116" w:type="dxa"/>
            <w:tcBorders>
              <w:top w:val="nil"/>
              <w:left w:val="nil"/>
              <w:bottom w:val="single" w:sz="4" w:space="0" w:color="auto"/>
              <w:right w:val="nil"/>
            </w:tcBorders>
            <w:shd w:val="clear" w:color="auto" w:fill="auto"/>
            <w:noWrap/>
            <w:vAlign w:val="bottom"/>
            <w:hideMark/>
          </w:tcPr>
          <w:p w14:paraId="2EA7AA0D"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WA - Brand</w:t>
            </w:r>
          </w:p>
        </w:tc>
        <w:tc>
          <w:tcPr>
            <w:tcW w:w="1099" w:type="dxa"/>
            <w:tcBorders>
              <w:top w:val="nil"/>
              <w:left w:val="nil"/>
              <w:bottom w:val="single" w:sz="4" w:space="0" w:color="auto"/>
              <w:right w:val="nil"/>
            </w:tcBorders>
            <w:shd w:val="clear" w:color="auto" w:fill="auto"/>
            <w:noWrap/>
            <w:vAlign w:val="bottom"/>
            <w:hideMark/>
          </w:tcPr>
          <w:p w14:paraId="71337B01"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2,256.7</w:t>
            </w:r>
          </w:p>
        </w:tc>
        <w:tc>
          <w:tcPr>
            <w:tcW w:w="1374" w:type="dxa"/>
            <w:tcBorders>
              <w:top w:val="nil"/>
              <w:left w:val="nil"/>
              <w:bottom w:val="single" w:sz="4" w:space="0" w:color="auto"/>
              <w:right w:val="nil"/>
            </w:tcBorders>
            <w:shd w:val="clear" w:color="auto" w:fill="auto"/>
            <w:noWrap/>
            <w:vAlign w:val="bottom"/>
            <w:hideMark/>
          </w:tcPr>
          <w:p w14:paraId="5F02BDBD"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667.4</w:t>
            </w:r>
          </w:p>
        </w:tc>
        <w:tc>
          <w:tcPr>
            <w:tcW w:w="1365" w:type="dxa"/>
            <w:tcBorders>
              <w:top w:val="nil"/>
              <w:left w:val="nil"/>
              <w:bottom w:val="single" w:sz="4" w:space="0" w:color="auto"/>
              <w:right w:val="nil"/>
            </w:tcBorders>
            <w:shd w:val="clear" w:color="auto" w:fill="auto"/>
            <w:noWrap/>
            <w:vAlign w:val="bottom"/>
            <w:hideMark/>
          </w:tcPr>
          <w:p w14:paraId="0735D68D"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659.3</w:t>
            </w:r>
          </w:p>
        </w:tc>
      </w:tr>
      <w:tr w:rsidR="00463A75" w:rsidRPr="003E76E7" w14:paraId="6918A5D4" w14:textId="77777777" w:rsidTr="00B17397">
        <w:trPr>
          <w:trHeight w:val="226"/>
        </w:trPr>
        <w:tc>
          <w:tcPr>
            <w:tcW w:w="3202" w:type="dxa"/>
            <w:tcBorders>
              <w:top w:val="nil"/>
              <w:left w:val="nil"/>
              <w:bottom w:val="nil"/>
              <w:right w:val="nil"/>
            </w:tcBorders>
            <w:shd w:val="clear" w:color="auto" w:fill="auto"/>
            <w:vAlign w:val="center"/>
            <w:hideMark/>
          </w:tcPr>
          <w:p w14:paraId="101278D9"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xml:space="preserve">RAAF Base Tindal Redevelopment </w:t>
            </w:r>
            <w:r w:rsidRPr="003E76E7">
              <w:rPr>
                <w:rFonts w:ascii="Arial" w:hAnsi="Arial"/>
                <w:b/>
                <w:bCs/>
                <w:color w:val="000000"/>
                <w:sz w:val="16"/>
                <w:szCs w:val="16"/>
                <w:lang w:val="en-AU"/>
              </w:rPr>
              <w:br/>
              <w:t>Stage 6 and United States Force Posture Initiative (USFPI) Airfield Works and Associated Infrastructure</w:t>
            </w:r>
          </w:p>
        </w:tc>
        <w:tc>
          <w:tcPr>
            <w:tcW w:w="2116" w:type="dxa"/>
            <w:tcBorders>
              <w:top w:val="nil"/>
              <w:left w:val="nil"/>
              <w:bottom w:val="nil"/>
              <w:right w:val="nil"/>
            </w:tcBorders>
            <w:shd w:val="clear" w:color="auto" w:fill="auto"/>
            <w:vAlign w:val="center"/>
            <w:hideMark/>
          </w:tcPr>
          <w:p w14:paraId="2FB2C9F1"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099" w:type="dxa"/>
            <w:tcBorders>
              <w:top w:val="nil"/>
              <w:left w:val="nil"/>
              <w:bottom w:val="nil"/>
              <w:right w:val="nil"/>
            </w:tcBorders>
            <w:shd w:val="clear" w:color="auto" w:fill="auto"/>
            <w:vAlign w:val="center"/>
            <w:hideMark/>
          </w:tcPr>
          <w:p w14:paraId="78F9E35C"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374" w:type="dxa"/>
            <w:tcBorders>
              <w:top w:val="nil"/>
              <w:left w:val="nil"/>
              <w:bottom w:val="nil"/>
              <w:right w:val="nil"/>
            </w:tcBorders>
            <w:shd w:val="clear" w:color="auto" w:fill="auto"/>
            <w:vAlign w:val="center"/>
            <w:hideMark/>
          </w:tcPr>
          <w:p w14:paraId="25944532"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365" w:type="dxa"/>
            <w:tcBorders>
              <w:top w:val="nil"/>
              <w:left w:val="nil"/>
              <w:bottom w:val="nil"/>
              <w:right w:val="nil"/>
            </w:tcBorders>
            <w:shd w:val="clear" w:color="auto" w:fill="auto"/>
            <w:vAlign w:val="center"/>
            <w:hideMark/>
          </w:tcPr>
          <w:p w14:paraId="442F63E8"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r>
      <w:tr w:rsidR="00463A75" w:rsidRPr="003E76E7" w14:paraId="3AD7949C" w14:textId="77777777" w:rsidTr="00B17397">
        <w:trPr>
          <w:trHeight w:val="226"/>
        </w:trPr>
        <w:tc>
          <w:tcPr>
            <w:tcW w:w="3202" w:type="dxa"/>
            <w:tcBorders>
              <w:top w:val="nil"/>
              <w:left w:val="nil"/>
              <w:bottom w:val="single" w:sz="4" w:space="0" w:color="auto"/>
              <w:right w:val="nil"/>
            </w:tcBorders>
            <w:shd w:val="clear" w:color="auto" w:fill="auto"/>
            <w:vAlign w:val="bottom"/>
            <w:hideMark/>
          </w:tcPr>
          <w:p w14:paraId="719E9B17"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RAAF Base Tindal</w:t>
            </w:r>
          </w:p>
        </w:tc>
        <w:tc>
          <w:tcPr>
            <w:tcW w:w="2116" w:type="dxa"/>
            <w:tcBorders>
              <w:top w:val="nil"/>
              <w:left w:val="nil"/>
              <w:bottom w:val="single" w:sz="4" w:space="0" w:color="auto"/>
              <w:right w:val="nil"/>
            </w:tcBorders>
            <w:shd w:val="clear" w:color="auto" w:fill="auto"/>
            <w:noWrap/>
            <w:vAlign w:val="bottom"/>
            <w:hideMark/>
          </w:tcPr>
          <w:p w14:paraId="6CB0C2D4"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NT - Lingiari</w:t>
            </w:r>
          </w:p>
        </w:tc>
        <w:tc>
          <w:tcPr>
            <w:tcW w:w="1099" w:type="dxa"/>
            <w:tcBorders>
              <w:top w:val="nil"/>
              <w:left w:val="nil"/>
              <w:bottom w:val="single" w:sz="4" w:space="0" w:color="auto"/>
              <w:right w:val="nil"/>
            </w:tcBorders>
            <w:shd w:val="clear" w:color="auto" w:fill="auto"/>
            <w:noWrap/>
            <w:vAlign w:val="bottom"/>
            <w:hideMark/>
          </w:tcPr>
          <w:p w14:paraId="542F3A6C"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1,582.0</w:t>
            </w:r>
          </w:p>
        </w:tc>
        <w:tc>
          <w:tcPr>
            <w:tcW w:w="1374" w:type="dxa"/>
            <w:tcBorders>
              <w:top w:val="nil"/>
              <w:left w:val="nil"/>
              <w:bottom w:val="single" w:sz="4" w:space="0" w:color="auto"/>
              <w:right w:val="nil"/>
            </w:tcBorders>
            <w:shd w:val="clear" w:color="auto" w:fill="auto"/>
            <w:noWrap/>
            <w:vAlign w:val="bottom"/>
            <w:hideMark/>
          </w:tcPr>
          <w:p w14:paraId="32E1215E"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1,277.5</w:t>
            </w:r>
          </w:p>
        </w:tc>
        <w:tc>
          <w:tcPr>
            <w:tcW w:w="1365" w:type="dxa"/>
            <w:tcBorders>
              <w:top w:val="nil"/>
              <w:left w:val="nil"/>
              <w:bottom w:val="single" w:sz="4" w:space="0" w:color="auto"/>
              <w:right w:val="nil"/>
            </w:tcBorders>
            <w:shd w:val="clear" w:color="auto" w:fill="auto"/>
            <w:noWrap/>
            <w:vAlign w:val="bottom"/>
            <w:hideMark/>
          </w:tcPr>
          <w:p w14:paraId="01C9EEB7"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214.8</w:t>
            </w:r>
          </w:p>
        </w:tc>
      </w:tr>
      <w:tr w:rsidR="00463A75" w:rsidRPr="003E76E7" w14:paraId="0B062115" w14:textId="77777777" w:rsidTr="00B17397">
        <w:trPr>
          <w:trHeight w:val="226"/>
        </w:trPr>
        <w:tc>
          <w:tcPr>
            <w:tcW w:w="3202" w:type="dxa"/>
            <w:tcBorders>
              <w:top w:val="nil"/>
              <w:left w:val="nil"/>
              <w:bottom w:val="nil"/>
              <w:right w:val="nil"/>
            </w:tcBorders>
            <w:shd w:val="clear" w:color="auto" w:fill="auto"/>
            <w:vAlign w:val="center"/>
            <w:hideMark/>
          </w:tcPr>
          <w:p w14:paraId="7B6CEC01"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Enhanced Land Force (ELF) Stage 2</w:t>
            </w:r>
          </w:p>
        </w:tc>
        <w:tc>
          <w:tcPr>
            <w:tcW w:w="2116" w:type="dxa"/>
            <w:tcBorders>
              <w:top w:val="nil"/>
              <w:left w:val="nil"/>
              <w:bottom w:val="nil"/>
              <w:right w:val="nil"/>
            </w:tcBorders>
            <w:shd w:val="clear" w:color="auto" w:fill="auto"/>
            <w:vAlign w:val="center"/>
            <w:hideMark/>
          </w:tcPr>
          <w:p w14:paraId="1CA6D036"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099" w:type="dxa"/>
            <w:tcBorders>
              <w:top w:val="nil"/>
              <w:left w:val="nil"/>
              <w:bottom w:val="nil"/>
              <w:right w:val="nil"/>
            </w:tcBorders>
            <w:shd w:val="clear" w:color="auto" w:fill="auto"/>
            <w:vAlign w:val="center"/>
            <w:hideMark/>
          </w:tcPr>
          <w:p w14:paraId="468E662F"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374" w:type="dxa"/>
            <w:tcBorders>
              <w:top w:val="nil"/>
              <w:left w:val="nil"/>
              <w:bottom w:val="nil"/>
              <w:right w:val="nil"/>
            </w:tcBorders>
            <w:shd w:val="clear" w:color="auto" w:fill="auto"/>
            <w:vAlign w:val="center"/>
            <w:hideMark/>
          </w:tcPr>
          <w:p w14:paraId="5FF2E640"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365" w:type="dxa"/>
            <w:tcBorders>
              <w:top w:val="nil"/>
              <w:left w:val="nil"/>
              <w:bottom w:val="nil"/>
              <w:right w:val="nil"/>
            </w:tcBorders>
            <w:shd w:val="clear" w:color="auto" w:fill="auto"/>
            <w:vAlign w:val="center"/>
            <w:hideMark/>
          </w:tcPr>
          <w:p w14:paraId="0478028A"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r>
      <w:tr w:rsidR="00463A75" w:rsidRPr="003E76E7" w14:paraId="76D145C1" w14:textId="77777777" w:rsidTr="00B17397">
        <w:trPr>
          <w:trHeight w:val="226"/>
        </w:trPr>
        <w:tc>
          <w:tcPr>
            <w:tcW w:w="3202" w:type="dxa"/>
            <w:tcBorders>
              <w:top w:val="nil"/>
              <w:left w:val="nil"/>
              <w:bottom w:val="nil"/>
              <w:right w:val="nil"/>
            </w:tcBorders>
            <w:shd w:val="clear" w:color="auto" w:fill="auto"/>
            <w:vAlign w:val="bottom"/>
            <w:hideMark/>
          </w:tcPr>
          <w:p w14:paraId="052FD7E8"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Lone Pine Barracks</w:t>
            </w:r>
          </w:p>
        </w:tc>
        <w:tc>
          <w:tcPr>
            <w:tcW w:w="2116" w:type="dxa"/>
            <w:tcBorders>
              <w:top w:val="nil"/>
              <w:left w:val="nil"/>
              <w:bottom w:val="nil"/>
              <w:right w:val="nil"/>
            </w:tcBorders>
            <w:shd w:val="clear" w:color="auto" w:fill="auto"/>
            <w:noWrap/>
            <w:vAlign w:val="bottom"/>
            <w:hideMark/>
          </w:tcPr>
          <w:p w14:paraId="177A9861"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NSW - Hunter</w:t>
            </w:r>
          </w:p>
        </w:tc>
        <w:tc>
          <w:tcPr>
            <w:tcW w:w="1099" w:type="dxa"/>
            <w:tcBorders>
              <w:top w:val="nil"/>
              <w:left w:val="nil"/>
              <w:bottom w:val="nil"/>
              <w:right w:val="nil"/>
            </w:tcBorders>
            <w:shd w:val="clear" w:color="auto" w:fill="auto"/>
            <w:noWrap/>
            <w:vAlign w:val="bottom"/>
            <w:hideMark/>
          </w:tcPr>
          <w:p w14:paraId="55348473" w14:textId="77777777" w:rsidR="00463A75" w:rsidRPr="003E76E7" w:rsidRDefault="00463A75" w:rsidP="00C4292D">
            <w:pPr>
              <w:spacing w:before="0" w:after="0"/>
              <w:jc w:val="right"/>
              <w:rPr>
                <w:rFonts w:ascii="Arial" w:hAnsi="Arial"/>
                <w:color w:val="000000"/>
                <w:sz w:val="16"/>
                <w:szCs w:val="16"/>
                <w:lang w:val="en-AU"/>
              </w:rPr>
            </w:pPr>
          </w:p>
        </w:tc>
        <w:tc>
          <w:tcPr>
            <w:tcW w:w="1374" w:type="dxa"/>
            <w:tcBorders>
              <w:top w:val="nil"/>
              <w:left w:val="nil"/>
              <w:bottom w:val="nil"/>
              <w:right w:val="nil"/>
            </w:tcBorders>
            <w:shd w:val="clear" w:color="auto" w:fill="auto"/>
            <w:noWrap/>
            <w:vAlign w:val="bottom"/>
            <w:hideMark/>
          </w:tcPr>
          <w:p w14:paraId="5ACA06FE"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115.8</w:t>
            </w:r>
          </w:p>
        </w:tc>
        <w:tc>
          <w:tcPr>
            <w:tcW w:w="1365" w:type="dxa"/>
            <w:tcBorders>
              <w:top w:val="nil"/>
              <w:left w:val="nil"/>
              <w:bottom w:val="nil"/>
              <w:right w:val="nil"/>
            </w:tcBorders>
            <w:shd w:val="clear" w:color="auto" w:fill="auto"/>
            <w:noWrap/>
            <w:vAlign w:val="bottom"/>
            <w:hideMark/>
          </w:tcPr>
          <w:p w14:paraId="137B289A"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 xml:space="preserve">                     - </w:t>
            </w:r>
          </w:p>
        </w:tc>
      </w:tr>
      <w:tr w:rsidR="00463A75" w:rsidRPr="003E76E7" w14:paraId="2B138D3D" w14:textId="77777777" w:rsidTr="00B17397">
        <w:trPr>
          <w:trHeight w:val="226"/>
        </w:trPr>
        <w:tc>
          <w:tcPr>
            <w:tcW w:w="3202" w:type="dxa"/>
            <w:tcBorders>
              <w:top w:val="nil"/>
              <w:left w:val="nil"/>
              <w:bottom w:val="nil"/>
              <w:right w:val="nil"/>
            </w:tcBorders>
            <w:shd w:val="clear" w:color="auto" w:fill="auto"/>
            <w:vAlign w:val="bottom"/>
            <w:hideMark/>
          </w:tcPr>
          <w:p w14:paraId="556DE497"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Puckapunyal Training Area</w:t>
            </w:r>
          </w:p>
        </w:tc>
        <w:tc>
          <w:tcPr>
            <w:tcW w:w="2116" w:type="dxa"/>
            <w:tcBorders>
              <w:top w:val="nil"/>
              <w:left w:val="nil"/>
              <w:bottom w:val="nil"/>
              <w:right w:val="nil"/>
            </w:tcBorders>
            <w:shd w:val="clear" w:color="auto" w:fill="auto"/>
            <w:noWrap/>
            <w:vAlign w:val="bottom"/>
            <w:hideMark/>
          </w:tcPr>
          <w:p w14:paraId="73E748D9"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VIC - Nicholls</w:t>
            </w:r>
          </w:p>
        </w:tc>
        <w:tc>
          <w:tcPr>
            <w:tcW w:w="1099" w:type="dxa"/>
            <w:tcBorders>
              <w:top w:val="nil"/>
              <w:left w:val="nil"/>
              <w:bottom w:val="nil"/>
              <w:right w:val="nil"/>
            </w:tcBorders>
            <w:shd w:val="clear" w:color="auto" w:fill="auto"/>
            <w:noWrap/>
            <w:vAlign w:val="bottom"/>
            <w:hideMark/>
          </w:tcPr>
          <w:p w14:paraId="0AE29E6D" w14:textId="77777777" w:rsidR="00463A75" w:rsidRPr="003E76E7" w:rsidRDefault="00463A75" w:rsidP="00C4292D">
            <w:pPr>
              <w:spacing w:before="0" w:after="0"/>
              <w:jc w:val="right"/>
              <w:rPr>
                <w:rFonts w:ascii="Arial" w:hAnsi="Arial"/>
                <w:color w:val="000000"/>
                <w:sz w:val="16"/>
                <w:szCs w:val="16"/>
                <w:lang w:val="en-AU"/>
              </w:rPr>
            </w:pPr>
          </w:p>
        </w:tc>
        <w:tc>
          <w:tcPr>
            <w:tcW w:w="1374" w:type="dxa"/>
            <w:tcBorders>
              <w:top w:val="nil"/>
              <w:left w:val="nil"/>
              <w:bottom w:val="nil"/>
              <w:right w:val="nil"/>
            </w:tcBorders>
            <w:shd w:val="clear" w:color="auto" w:fill="auto"/>
            <w:noWrap/>
            <w:vAlign w:val="bottom"/>
            <w:hideMark/>
          </w:tcPr>
          <w:p w14:paraId="32E47D29"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11.7</w:t>
            </w:r>
          </w:p>
        </w:tc>
        <w:tc>
          <w:tcPr>
            <w:tcW w:w="1365" w:type="dxa"/>
            <w:tcBorders>
              <w:top w:val="nil"/>
              <w:left w:val="nil"/>
              <w:bottom w:val="nil"/>
              <w:right w:val="nil"/>
            </w:tcBorders>
            <w:shd w:val="clear" w:color="auto" w:fill="auto"/>
            <w:noWrap/>
            <w:vAlign w:val="bottom"/>
            <w:hideMark/>
          </w:tcPr>
          <w:p w14:paraId="02A26544"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 xml:space="preserve">                     - </w:t>
            </w:r>
          </w:p>
        </w:tc>
      </w:tr>
      <w:tr w:rsidR="00463A75" w:rsidRPr="003E76E7" w14:paraId="6F22AFA5" w14:textId="77777777" w:rsidTr="00B17397">
        <w:trPr>
          <w:trHeight w:val="226"/>
        </w:trPr>
        <w:tc>
          <w:tcPr>
            <w:tcW w:w="3202" w:type="dxa"/>
            <w:tcBorders>
              <w:top w:val="nil"/>
              <w:left w:val="nil"/>
              <w:bottom w:val="nil"/>
              <w:right w:val="nil"/>
            </w:tcBorders>
            <w:shd w:val="clear" w:color="auto" w:fill="auto"/>
            <w:vAlign w:val="bottom"/>
            <w:hideMark/>
          </w:tcPr>
          <w:p w14:paraId="281E2518"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Simpson Barracks</w:t>
            </w:r>
          </w:p>
        </w:tc>
        <w:tc>
          <w:tcPr>
            <w:tcW w:w="2116" w:type="dxa"/>
            <w:tcBorders>
              <w:top w:val="nil"/>
              <w:left w:val="nil"/>
              <w:bottom w:val="nil"/>
              <w:right w:val="nil"/>
            </w:tcBorders>
            <w:shd w:val="clear" w:color="auto" w:fill="auto"/>
            <w:noWrap/>
            <w:vAlign w:val="bottom"/>
            <w:hideMark/>
          </w:tcPr>
          <w:p w14:paraId="2781E296"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VIC - Jagajaga</w:t>
            </w:r>
          </w:p>
        </w:tc>
        <w:tc>
          <w:tcPr>
            <w:tcW w:w="1099" w:type="dxa"/>
            <w:tcBorders>
              <w:top w:val="nil"/>
              <w:left w:val="nil"/>
              <w:bottom w:val="nil"/>
              <w:right w:val="nil"/>
            </w:tcBorders>
            <w:shd w:val="clear" w:color="auto" w:fill="auto"/>
            <w:noWrap/>
            <w:vAlign w:val="bottom"/>
            <w:hideMark/>
          </w:tcPr>
          <w:p w14:paraId="3CDE584E" w14:textId="77777777" w:rsidR="00463A75" w:rsidRPr="003E76E7" w:rsidRDefault="00463A75" w:rsidP="00C4292D">
            <w:pPr>
              <w:spacing w:before="0" w:after="0"/>
              <w:jc w:val="right"/>
              <w:rPr>
                <w:rFonts w:ascii="Arial" w:hAnsi="Arial"/>
                <w:color w:val="000000"/>
                <w:sz w:val="16"/>
                <w:szCs w:val="16"/>
                <w:lang w:val="en-AU"/>
              </w:rPr>
            </w:pPr>
          </w:p>
        </w:tc>
        <w:tc>
          <w:tcPr>
            <w:tcW w:w="1374" w:type="dxa"/>
            <w:tcBorders>
              <w:top w:val="nil"/>
              <w:left w:val="nil"/>
              <w:bottom w:val="nil"/>
              <w:right w:val="nil"/>
            </w:tcBorders>
            <w:shd w:val="clear" w:color="auto" w:fill="auto"/>
            <w:noWrap/>
            <w:vAlign w:val="bottom"/>
            <w:hideMark/>
          </w:tcPr>
          <w:p w14:paraId="38EE6A93"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20.2</w:t>
            </w:r>
          </w:p>
        </w:tc>
        <w:tc>
          <w:tcPr>
            <w:tcW w:w="1365" w:type="dxa"/>
            <w:tcBorders>
              <w:top w:val="nil"/>
              <w:left w:val="nil"/>
              <w:bottom w:val="nil"/>
              <w:right w:val="nil"/>
            </w:tcBorders>
            <w:shd w:val="clear" w:color="auto" w:fill="auto"/>
            <w:noWrap/>
            <w:vAlign w:val="bottom"/>
            <w:hideMark/>
          </w:tcPr>
          <w:p w14:paraId="2D7B52C2"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 xml:space="preserve">                     - </w:t>
            </w:r>
          </w:p>
        </w:tc>
      </w:tr>
      <w:tr w:rsidR="00463A75" w:rsidRPr="003E76E7" w14:paraId="3AD7AFEE" w14:textId="77777777" w:rsidTr="00B17397">
        <w:trPr>
          <w:trHeight w:val="226"/>
        </w:trPr>
        <w:tc>
          <w:tcPr>
            <w:tcW w:w="3202" w:type="dxa"/>
            <w:tcBorders>
              <w:top w:val="nil"/>
              <w:left w:val="nil"/>
              <w:bottom w:val="nil"/>
              <w:right w:val="nil"/>
            </w:tcBorders>
            <w:shd w:val="clear" w:color="auto" w:fill="auto"/>
            <w:vAlign w:val="bottom"/>
            <w:hideMark/>
          </w:tcPr>
          <w:p w14:paraId="20B93E9C"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RAAF Base Amberley</w:t>
            </w:r>
          </w:p>
        </w:tc>
        <w:tc>
          <w:tcPr>
            <w:tcW w:w="2116" w:type="dxa"/>
            <w:tcBorders>
              <w:top w:val="nil"/>
              <w:left w:val="nil"/>
              <w:bottom w:val="nil"/>
              <w:right w:val="nil"/>
            </w:tcBorders>
            <w:shd w:val="clear" w:color="auto" w:fill="auto"/>
            <w:noWrap/>
            <w:vAlign w:val="bottom"/>
            <w:hideMark/>
          </w:tcPr>
          <w:p w14:paraId="7DA3AF46"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QLD - Blair</w:t>
            </w:r>
          </w:p>
        </w:tc>
        <w:tc>
          <w:tcPr>
            <w:tcW w:w="1099" w:type="dxa"/>
            <w:tcBorders>
              <w:top w:val="nil"/>
              <w:left w:val="nil"/>
              <w:bottom w:val="nil"/>
              <w:right w:val="nil"/>
            </w:tcBorders>
            <w:shd w:val="clear" w:color="auto" w:fill="auto"/>
            <w:noWrap/>
            <w:vAlign w:val="bottom"/>
            <w:hideMark/>
          </w:tcPr>
          <w:p w14:paraId="0B881103" w14:textId="77777777" w:rsidR="00463A75" w:rsidRPr="003E76E7" w:rsidRDefault="00463A75" w:rsidP="00C4292D">
            <w:pPr>
              <w:spacing w:before="0" w:after="0"/>
              <w:jc w:val="right"/>
              <w:rPr>
                <w:rFonts w:ascii="Arial" w:hAnsi="Arial"/>
                <w:color w:val="000000"/>
                <w:sz w:val="16"/>
                <w:szCs w:val="16"/>
                <w:lang w:val="en-AU"/>
              </w:rPr>
            </w:pPr>
          </w:p>
        </w:tc>
        <w:tc>
          <w:tcPr>
            <w:tcW w:w="1374" w:type="dxa"/>
            <w:tcBorders>
              <w:top w:val="nil"/>
              <w:left w:val="nil"/>
              <w:bottom w:val="nil"/>
              <w:right w:val="nil"/>
            </w:tcBorders>
            <w:shd w:val="clear" w:color="auto" w:fill="auto"/>
            <w:noWrap/>
            <w:vAlign w:val="bottom"/>
            <w:hideMark/>
          </w:tcPr>
          <w:p w14:paraId="7E0147E0"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9.6</w:t>
            </w:r>
          </w:p>
        </w:tc>
        <w:tc>
          <w:tcPr>
            <w:tcW w:w="1365" w:type="dxa"/>
            <w:tcBorders>
              <w:top w:val="nil"/>
              <w:left w:val="nil"/>
              <w:bottom w:val="nil"/>
              <w:right w:val="nil"/>
            </w:tcBorders>
            <w:shd w:val="clear" w:color="auto" w:fill="auto"/>
            <w:noWrap/>
            <w:vAlign w:val="bottom"/>
            <w:hideMark/>
          </w:tcPr>
          <w:p w14:paraId="122F4787"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 xml:space="preserve">                     - </w:t>
            </w:r>
          </w:p>
        </w:tc>
      </w:tr>
      <w:tr w:rsidR="00463A75" w:rsidRPr="003E76E7" w14:paraId="08A572AB" w14:textId="77777777" w:rsidTr="00B17397">
        <w:trPr>
          <w:trHeight w:val="226"/>
        </w:trPr>
        <w:tc>
          <w:tcPr>
            <w:tcW w:w="3202" w:type="dxa"/>
            <w:tcBorders>
              <w:top w:val="nil"/>
              <w:left w:val="nil"/>
              <w:bottom w:val="nil"/>
              <w:right w:val="nil"/>
            </w:tcBorders>
            <w:shd w:val="clear" w:color="auto" w:fill="auto"/>
            <w:vAlign w:val="bottom"/>
            <w:hideMark/>
          </w:tcPr>
          <w:p w14:paraId="7F85058A"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Lavarack Barracks</w:t>
            </w:r>
          </w:p>
        </w:tc>
        <w:tc>
          <w:tcPr>
            <w:tcW w:w="2116" w:type="dxa"/>
            <w:tcBorders>
              <w:top w:val="nil"/>
              <w:left w:val="nil"/>
              <w:bottom w:val="nil"/>
              <w:right w:val="nil"/>
            </w:tcBorders>
            <w:shd w:val="clear" w:color="auto" w:fill="auto"/>
            <w:noWrap/>
            <w:vAlign w:val="bottom"/>
            <w:hideMark/>
          </w:tcPr>
          <w:p w14:paraId="2D32754C"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QLD - Herbert</w:t>
            </w:r>
          </w:p>
        </w:tc>
        <w:tc>
          <w:tcPr>
            <w:tcW w:w="1099" w:type="dxa"/>
            <w:tcBorders>
              <w:top w:val="nil"/>
              <w:left w:val="nil"/>
              <w:bottom w:val="nil"/>
              <w:right w:val="nil"/>
            </w:tcBorders>
            <w:shd w:val="clear" w:color="auto" w:fill="auto"/>
            <w:noWrap/>
            <w:vAlign w:val="bottom"/>
            <w:hideMark/>
          </w:tcPr>
          <w:p w14:paraId="03CAA953" w14:textId="77777777" w:rsidR="00463A75" w:rsidRPr="003E76E7" w:rsidRDefault="00463A75" w:rsidP="00C4292D">
            <w:pPr>
              <w:spacing w:before="0" w:after="0"/>
              <w:jc w:val="right"/>
              <w:rPr>
                <w:rFonts w:ascii="Arial" w:hAnsi="Arial"/>
                <w:color w:val="000000"/>
                <w:sz w:val="16"/>
                <w:szCs w:val="16"/>
                <w:lang w:val="en-AU"/>
              </w:rPr>
            </w:pPr>
          </w:p>
        </w:tc>
        <w:tc>
          <w:tcPr>
            <w:tcW w:w="1374" w:type="dxa"/>
            <w:tcBorders>
              <w:top w:val="nil"/>
              <w:left w:val="nil"/>
              <w:bottom w:val="nil"/>
              <w:right w:val="nil"/>
            </w:tcBorders>
            <w:shd w:val="clear" w:color="auto" w:fill="auto"/>
            <w:noWrap/>
            <w:vAlign w:val="bottom"/>
            <w:hideMark/>
          </w:tcPr>
          <w:p w14:paraId="10CE77EC"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62.0</w:t>
            </w:r>
          </w:p>
        </w:tc>
        <w:tc>
          <w:tcPr>
            <w:tcW w:w="1365" w:type="dxa"/>
            <w:tcBorders>
              <w:top w:val="nil"/>
              <w:left w:val="nil"/>
              <w:bottom w:val="nil"/>
              <w:right w:val="nil"/>
            </w:tcBorders>
            <w:shd w:val="clear" w:color="auto" w:fill="auto"/>
            <w:noWrap/>
            <w:vAlign w:val="bottom"/>
            <w:hideMark/>
          </w:tcPr>
          <w:p w14:paraId="5BDB5700"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 xml:space="preserve">                     - </w:t>
            </w:r>
          </w:p>
        </w:tc>
      </w:tr>
      <w:tr w:rsidR="00463A75" w:rsidRPr="003E76E7" w14:paraId="09435CC4" w14:textId="77777777" w:rsidTr="00B17397">
        <w:trPr>
          <w:trHeight w:val="226"/>
        </w:trPr>
        <w:tc>
          <w:tcPr>
            <w:tcW w:w="3202" w:type="dxa"/>
            <w:tcBorders>
              <w:top w:val="nil"/>
              <w:left w:val="nil"/>
              <w:bottom w:val="nil"/>
              <w:right w:val="nil"/>
            </w:tcBorders>
            <w:shd w:val="clear" w:color="auto" w:fill="auto"/>
            <w:vAlign w:val="bottom"/>
            <w:hideMark/>
          </w:tcPr>
          <w:p w14:paraId="4E2CD187"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Townsville Training Area</w:t>
            </w:r>
          </w:p>
        </w:tc>
        <w:tc>
          <w:tcPr>
            <w:tcW w:w="2116" w:type="dxa"/>
            <w:tcBorders>
              <w:top w:val="nil"/>
              <w:left w:val="nil"/>
              <w:bottom w:val="nil"/>
              <w:right w:val="nil"/>
            </w:tcBorders>
            <w:shd w:val="clear" w:color="auto" w:fill="auto"/>
            <w:noWrap/>
            <w:vAlign w:val="bottom"/>
            <w:hideMark/>
          </w:tcPr>
          <w:p w14:paraId="286F05DB"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QLD - Kennedy</w:t>
            </w:r>
          </w:p>
        </w:tc>
        <w:tc>
          <w:tcPr>
            <w:tcW w:w="1099" w:type="dxa"/>
            <w:tcBorders>
              <w:top w:val="nil"/>
              <w:left w:val="nil"/>
              <w:bottom w:val="nil"/>
              <w:right w:val="nil"/>
            </w:tcBorders>
            <w:shd w:val="clear" w:color="auto" w:fill="auto"/>
            <w:noWrap/>
            <w:vAlign w:val="bottom"/>
            <w:hideMark/>
          </w:tcPr>
          <w:p w14:paraId="464065EB" w14:textId="77777777" w:rsidR="00463A75" w:rsidRPr="003E76E7" w:rsidRDefault="00463A75" w:rsidP="00C4292D">
            <w:pPr>
              <w:spacing w:before="0" w:after="0"/>
              <w:jc w:val="right"/>
              <w:rPr>
                <w:rFonts w:ascii="Arial" w:hAnsi="Arial"/>
                <w:color w:val="000000"/>
                <w:sz w:val="16"/>
                <w:szCs w:val="16"/>
                <w:lang w:val="en-AU"/>
              </w:rPr>
            </w:pPr>
          </w:p>
        </w:tc>
        <w:tc>
          <w:tcPr>
            <w:tcW w:w="1374" w:type="dxa"/>
            <w:tcBorders>
              <w:top w:val="nil"/>
              <w:left w:val="nil"/>
              <w:bottom w:val="nil"/>
              <w:right w:val="nil"/>
            </w:tcBorders>
            <w:shd w:val="clear" w:color="auto" w:fill="auto"/>
            <w:noWrap/>
            <w:vAlign w:val="bottom"/>
            <w:hideMark/>
          </w:tcPr>
          <w:p w14:paraId="2F92CD87"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3.9</w:t>
            </w:r>
          </w:p>
        </w:tc>
        <w:tc>
          <w:tcPr>
            <w:tcW w:w="1365" w:type="dxa"/>
            <w:tcBorders>
              <w:top w:val="nil"/>
              <w:left w:val="nil"/>
              <w:bottom w:val="nil"/>
              <w:right w:val="nil"/>
            </w:tcBorders>
            <w:shd w:val="clear" w:color="auto" w:fill="auto"/>
            <w:noWrap/>
            <w:vAlign w:val="bottom"/>
            <w:hideMark/>
          </w:tcPr>
          <w:p w14:paraId="2DE36FC3"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 xml:space="preserve">                     - </w:t>
            </w:r>
          </w:p>
        </w:tc>
      </w:tr>
      <w:tr w:rsidR="00463A75" w:rsidRPr="003E76E7" w14:paraId="215EA444" w14:textId="77777777" w:rsidTr="00B17397">
        <w:trPr>
          <w:trHeight w:val="226"/>
        </w:trPr>
        <w:tc>
          <w:tcPr>
            <w:tcW w:w="3202" w:type="dxa"/>
            <w:tcBorders>
              <w:top w:val="nil"/>
              <w:left w:val="nil"/>
              <w:bottom w:val="nil"/>
              <w:right w:val="nil"/>
            </w:tcBorders>
            <w:shd w:val="clear" w:color="auto" w:fill="auto"/>
            <w:vAlign w:val="bottom"/>
            <w:hideMark/>
          </w:tcPr>
          <w:p w14:paraId="784A8545"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Greenbank Training Area</w:t>
            </w:r>
          </w:p>
        </w:tc>
        <w:tc>
          <w:tcPr>
            <w:tcW w:w="2116" w:type="dxa"/>
            <w:tcBorders>
              <w:top w:val="nil"/>
              <w:left w:val="nil"/>
              <w:bottom w:val="nil"/>
              <w:right w:val="nil"/>
            </w:tcBorders>
            <w:shd w:val="clear" w:color="auto" w:fill="auto"/>
            <w:noWrap/>
            <w:vAlign w:val="bottom"/>
            <w:hideMark/>
          </w:tcPr>
          <w:p w14:paraId="5DE79F80"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QLD - Wright</w:t>
            </w:r>
          </w:p>
        </w:tc>
        <w:tc>
          <w:tcPr>
            <w:tcW w:w="1099" w:type="dxa"/>
            <w:tcBorders>
              <w:top w:val="nil"/>
              <w:left w:val="nil"/>
              <w:bottom w:val="nil"/>
              <w:right w:val="nil"/>
            </w:tcBorders>
            <w:shd w:val="clear" w:color="auto" w:fill="auto"/>
            <w:noWrap/>
            <w:vAlign w:val="bottom"/>
            <w:hideMark/>
          </w:tcPr>
          <w:p w14:paraId="19DEE006" w14:textId="77777777" w:rsidR="00463A75" w:rsidRPr="003E76E7" w:rsidRDefault="00463A75" w:rsidP="00C4292D">
            <w:pPr>
              <w:spacing w:before="0" w:after="0"/>
              <w:jc w:val="right"/>
              <w:rPr>
                <w:rFonts w:ascii="Arial" w:hAnsi="Arial"/>
                <w:color w:val="000000"/>
                <w:sz w:val="16"/>
                <w:szCs w:val="16"/>
                <w:lang w:val="en-AU"/>
              </w:rPr>
            </w:pPr>
          </w:p>
        </w:tc>
        <w:tc>
          <w:tcPr>
            <w:tcW w:w="1374" w:type="dxa"/>
            <w:tcBorders>
              <w:top w:val="nil"/>
              <w:left w:val="nil"/>
              <w:bottom w:val="nil"/>
              <w:right w:val="nil"/>
            </w:tcBorders>
            <w:shd w:val="clear" w:color="auto" w:fill="auto"/>
            <w:noWrap/>
            <w:vAlign w:val="bottom"/>
            <w:hideMark/>
          </w:tcPr>
          <w:p w14:paraId="1644F696"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120.7</w:t>
            </w:r>
          </w:p>
        </w:tc>
        <w:tc>
          <w:tcPr>
            <w:tcW w:w="1365" w:type="dxa"/>
            <w:tcBorders>
              <w:top w:val="nil"/>
              <w:left w:val="nil"/>
              <w:bottom w:val="nil"/>
              <w:right w:val="nil"/>
            </w:tcBorders>
            <w:shd w:val="clear" w:color="auto" w:fill="auto"/>
            <w:noWrap/>
            <w:vAlign w:val="bottom"/>
            <w:hideMark/>
          </w:tcPr>
          <w:p w14:paraId="6EB49901"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 xml:space="preserve">                     - </w:t>
            </w:r>
          </w:p>
        </w:tc>
      </w:tr>
      <w:tr w:rsidR="00463A75" w:rsidRPr="003E76E7" w14:paraId="5E98B95E" w14:textId="77777777" w:rsidTr="00B17397">
        <w:trPr>
          <w:trHeight w:val="226"/>
        </w:trPr>
        <w:tc>
          <w:tcPr>
            <w:tcW w:w="3202" w:type="dxa"/>
            <w:tcBorders>
              <w:top w:val="nil"/>
              <w:left w:val="nil"/>
              <w:bottom w:val="nil"/>
              <w:right w:val="nil"/>
            </w:tcBorders>
            <w:shd w:val="clear" w:color="auto" w:fill="auto"/>
            <w:vAlign w:val="bottom"/>
            <w:hideMark/>
          </w:tcPr>
          <w:p w14:paraId="46D08391"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Gallipoli Barracks</w:t>
            </w:r>
          </w:p>
        </w:tc>
        <w:tc>
          <w:tcPr>
            <w:tcW w:w="2116" w:type="dxa"/>
            <w:tcBorders>
              <w:top w:val="nil"/>
              <w:left w:val="nil"/>
              <w:bottom w:val="nil"/>
              <w:right w:val="nil"/>
            </w:tcBorders>
            <w:shd w:val="clear" w:color="auto" w:fill="auto"/>
            <w:noWrap/>
            <w:vAlign w:val="bottom"/>
            <w:hideMark/>
          </w:tcPr>
          <w:p w14:paraId="48543ABA"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QLD - Ryan</w:t>
            </w:r>
          </w:p>
        </w:tc>
        <w:tc>
          <w:tcPr>
            <w:tcW w:w="1099" w:type="dxa"/>
            <w:tcBorders>
              <w:top w:val="nil"/>
              <w:left w:val="nil"/>
              <w:bottom w:val="nil"/>
              <w:right w:val="nil"/>
            </w:tcBorders>
            <w:shd w:val="clear" w:color="auto" w:fill="auto"/>
            <w:noWrap/>
            <w:vAlign w:val="bottom"/>
            <w:hideMark/>
          </w:tcPr>
          <w:p w14:paraId="625DBE5F" w14:textId="77777777" w:rsidR="00463A75" w:rsidRPr="003E76E7" w:rsidRDefault="00463A75" w:rsidP="00C4292D">
            <w:pPr>
              <w:spacing w:before="0" w:after="0"/>
              <w:jc w:val="right"/>
              <w:rPr>
                <w:rFonts w:ascii="Arial" w:hAnsi="Arial"/>
                <w:color w:val="000000"/>
                <w:sz w:val="16"/>
                <w:szCs w:val="16"/>
                <w:lang w:val="en-AU"/>
              </w:rPr>
            </w:pPr>
          </w:p>
        </w:tc>
        <w:tc>
          <w:tcPr>
            <w:tcW w:w="1374" w:type="dxa"/>
            <w:tcBorders>
              <w:top w:val="nil"/>
              <w:left w:val="nil"/>
              <w:bottom w:val="nil"/>
              <w:right w:val="nil"/>
            </w:tcBorders>
            <w:shd w:val="clear" w:color="auto" w:fill="auto"/>
            <w:noWrap/>
            <w:vAlign w:val="bottom"/>
            <w:hideMark/>
          </w:tcPr>
          <w:p w14:paraId="415D2352"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828.9</w:t>
            </w:r>
          </w:p>
        </w:tc>
        <w:tc>
          <w:tcPr>
            <w:tcW w:w="1365" w:type="dxa"/>
            <w:tcBorders>
              <w:top w:val="nil"/>
              <w:left w:val="nil"/>
              <w:bottom w:val="nil"/>
              <w:right w:val="nil"/>
            </w:tcBorders>
            <w:shd w:val="clear" w:color="auto" w:fill="auto"/>
            <w:noWrap/>
            <w:vAlign w:val="bottom"/>
            <w:hideMark/>
          </w:tcPr>
          <w:p w14:paraId="2D20CE57"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 xml:space="preserve">                     - </w:t>
            </w:r>
          </w:p>
        </w:tc>
      </w:tr>
      <w:tr w:rsidR="00463A75" w:rsidRPr="003E76E7" w14:paraId="348F043A" w14:textId="77777777" w:rsidTr="00B17397">
        <w:trPr>
          <w:trHeight w:val="226"/>
        </w:trPr>
        <w:tc>
          <w:tcPr>
            <w:tcW w:w="3202" w:type="dxa"/>
            <w:tcBorders>
              <w:top w:val="nil"/>
              <w:left w:val="nil"/>
              <w:bottom w:val="nil"/>
              <w:right w:val="nil"/>
            </w:tcBorders>
            <w:shd w:val="clear" w:color="auto" w:fill="auto"/>
            <w:vAlign w:val="bottom"/>
            <w:hideMark/>
          </w:tcPr>
          <w:p w14:paraId="240C3C38"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Wide Bay Training Area</w:t>
            </w:r>
          </w:p>
        </w:tc>
        <w:tc>
          <w:tcPr>
            <w:tcW w:w="2116" w:type="dxa"/>
            <w:tcBorders>
              <w:top w:val="nil"/>
              <w:left w:val="nil"/>
              <w:bottom w:val="nil"/>
              <w:right w:val="nil"/>
            </w:tcBorders>
            <w:shd w:val="clear" w:color="auto" w:fill="auto"/>
            <w:noWrap/>
            <w:vAlign w:val="bottom"/>
            <w:hideMark/>
          </w:tcPr>
          <w:p w14:paraId="046EE77F"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QLD - Wide Bay</w:t>
            </w:r>
          </w:p>
        </w:tc>
        <w:tc>
          <w:tcPr>
            <w:tcW w:w="1099" w:type="dxa"/>
            <w:tcBorders>
              <w:top w:val="nil"/>
              <w:left w:val="nil"/>
              <w:bottom w:val="nil"/>
              <w:right w:val="nil"/>
            </w:tcBorders>
            <w:shd w:val="clear" w:color="auto" w:fill="auto"/>
            <w:noWrap/>
            <w:vAlign w:val="bottom"/>
            <w:hideMark/>
          </w:tcPr>
          <w:p w14:paraId="2DB39AA0" w14:textId="77777777" w:rsidR="00463A75" w:rsidRPr="003E76E7" w:rsidRDefault="00463A75" w:rsidP="00C4292D">
            <w:pPr>
              <w:spacing w:before="0" w:after="0"/>
              <w:jc w:val="right"/>
              <w:rPr>
                <w:rFonts w:ascii="Arial" w:hAnsi="Arial"/>
                <w:color w:val="000000"/>
                <w:sz w:val="16"/>
                <w:szCs w:val="16"/>
                <w:lang w:val="en-AU"/>
              </w:rPr>
            </w:pPr>
          </w:p>
        </w:tc>
        <w:tc>
          <w:tcPr>
            <w:tcW w:w="1374" w:type="dxa"/>
            <w:tcBorders>
              <w:top w:val="nil"/>
              <w:left w:val="nil"/>
              <w:bottom w:val="nil"/>
              <w:right w:val="nil"/>
            </w:tcBorders>
            <w:shd w:val="clear" w:color="auto" w:fill="auto"/>
            <w:noWrap/>
            <w:vAlign w:val="bottom"/>
            <w:hideMark/>
          </w:tcPr>
          <w:p w14:paraId="5E3FBB66"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78.3</w:t>
            </w:r>
          </w:p>
        </w:tc>
        <w:tc>
          <w:tcPr>
            <w:tcW w:w="1365" w:type="dxa"/>
            <w:tcBorders>
              <w:top w:val="nil"/>
              <w:left w:val="nil"/>
              <w:bottom w:val="nil"/>
              <w:right w:val="nil"/>
            </w:tcBorders>
            <w:shd w:val="clear" w:color="auto" w:fill="auto"/>
            <w:noWrap/>
            <w:vAlign w:val="bottom"/>
            <w:hideMark/>
          </w:tcPr>
          <w:p w14:paraId="4E0518A3"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 xml:space="preserve">                     - </w:t>
            </w:r>
          </w:p>
        </w:tc>
      </w:tr>
      <w:tr w:rsidR="00463A75" w:rsidRPr="003E76E7" w14:paraId="48C22591" w14:textId="77777777" w:rsidTr="00B17397">
        <w:trPr>
          <w:trHeight w:val="226"/>
        </w:trPr>
        <w:tc>
          <w:tcPr>
            <w:tcW w:w="3202" w:type="dxa"/>
            <w:tcBorders>
              <w:top w:val="nil"/>
              <w:left w:val="nil"/>
              <w:bottom w:val="nil"/>
              <w:right w:val="nil"/>
            </w:tcBorders>
            <w:shd w:val="clear" w:color="auto" w:fill="auto"/>
            <w:vAlign w:val="bottom"/>
            <w:hideMark/>
          </w:tcPr>
          <w:p w14:paraId="6DA1E4D5"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Kokoda Barracks</w:t>
            </w:r>
          </w:p>
        </w:tc>
        <w:tc>
          <w:tcPr>
            <w:tcW w:w="2116" w:type="dxa"/>
            <w:tcBorders>
              <w:top w:val="nil"/>
              <w:left w:val="nil"/>
              <w:bottom w:val="nil"/>
              <w:right w:val="nil"/>
            </w:tcBorders>
            <w:shd w:val="clear" w:color="auto" w:fill="auto"/>
            <w:noWrap/>
            <w:vAlign w:val="bottom"/>
            <w:hideMark/>
          </w:tcPr>
          <w:p w14:paraId="76D4AF52"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QLD - Wright</w:t>
            </w:r>
          </w:p>
        </w:tc>
        <w:tc>
          <w:tcPr>
            <w:tcW w:w="1099" w:type="dxa"/>
            <w:tcBorders>
              <w:top w:val="nil"/>
              <w:left w:val="nil"/>
              <w:bottom w:val="nil"/>
              <w:right w:val="nil"/>
            </w:tcBorders>
            <w:shd w:val="clear" w:color="auto" w:fill="auto"/>
            <w:noWrap/>
            <w:vAlign w:val="bottom"/>
            <w:hideMark/>
          </w:tcPr>
          <w:p w14:paraId="5856C503" w14:textId="77777777" w:rsidR="00463A75" w:rsidRPr="003E76E7" w:rsidRDefault="00463A75" w:rsidP="00C4292D">
            <w:pPr>
              <w:spacing w:before="0" w:after="0"/>
              <w:jc w:val="right"/>
              <w:rPr>
                <w:rFonts w:ascii="Arial" w:hAnsi="Arial"/>
                <w:color w:val="000000"/>
                <w:sz w:val="16"/>
                <w:szCs w:val="16"/>
                <w:lang w:val="en-AU"/>
              </w:rPr>
            </w:pPr>
          </w:p>
        </w:tc>
        <w:tc>
          <w:tcPr>
            <w:tcW w:w="1374" w:type="dxa"/>
            <w:tcBorders>
              <w:top w:val="nil"/>
              <w:left w:val="nil"/>
              <w:bottom w:val="nil"/>
              <w:right w:val="nil"/>
            </w:tcBorders>
            <w:shd w:val="clear" w:color="auto" w:fill="auto"/>
            <w:noWrap/>
            <w:vAlign w:val="bottom"/>
            <w:hideMark/>
          </w:tcPr>
          <w:p w14:paraId="13D0F768"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71.8</w:t>
            </w:r>
          </w:p>
        </w:tc>
        <w:tc>
          <w:tcPr>
            <w:tcW w:w="1365" w:type="dxa"/>
            <w:tcBorders>
              <w:top w:val="nil"/>
              <w:left w:val="nil"/>
              <w:bottom w:val="nil"/>
              <w:right w:val="nil"/>
            </w:tcBorders>
            <w:shd w:val="clear" w:color="auto" w:fill="auto"/>
            <w:noWrap/>
            <w:vAlign w:val="bottom"/>
            <w:hideMark/>
          </w:tcPr>
          <w:p w14:paraId="52B01929"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 xml:space="preserve">                     - </w:t>
            </w:r>
          </w:p>
        </w:tc>
      </w:tr>
      <w:tr w:rsidR="00463A75" w:rsidRPr="003E76E7" w14:paraId="74C65A5D" w14:textId="77777777" w:rsidTr="00B17397">
        <w:trPr>
          <w:trHeight w:val="226"/>
        </w:trPr>
        <w:tc>
          <w:tcPr>
            <w:tcW w:w="3202" w:type="dxa"/>
            <w:tcBorders>
              <w:top w:val="nil"/>
              <w:left w:val="nil"/>
              <w:bottom w:val="nil"/>
              <w:right w:val="nil"/>
            </w:tcBorders>
            <w:shd w:val="clear" w:color="auto" w:fill="auto"/>
            <w:vAlign w:val="bottom"/>
            <w:hideMark/>
          </w:tcPr>
          <w:p w14:paraId="5B280630"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Cultana Training Area</w:t>
            </w:r>
          </w:p>
        </w:tc>
        <w:tc>
          <w:tcPr>
            <w:tcW w:w="2116" w:type="dxa"/>
            <w:tcBorders>
              <w:top w:val="nil"/>
              <w:left w:val="nil"/>
              <w:bottom w:val="nil"/>
              <w:right w:val="nil"/>
            </w:tcBorders>
            <w:shd w:val="clear" w:color="auto" w:fill="auto"/>
            <w:noWrap/>
            <w:vAlign w:val="bottom"/>
            <w:hideMark/>
          </w:tcPr>
          <w:p w14:paraId="29824976"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SA - Grey</w:t>
            </w:r>
          </w:p>
        </w:tc>
        <w:tc>
          <w:tcPr>
            <w:tcW w:w="1099" w:type="dxa"/>
            <w:tcBorders>
              <w:top w:val="nil"/>
              <w:left w:val="nil"/>
              <w:bottom w:val="nil"/>
              <w:right w:val="nil"/>
            </w:tcBorders>
            <w:shd w:val="clear" w:color="auto" w:fill="auto"/>
            <w:noWrap/>
            <w:vAlign w:val="bottom"/>
            <w:hideMark/>
          </w:tcPr>
          <w:p w14:paraId="06490E89" w14:textId="77777777" w:rsidR="00463A75" w:rsidRPr="003E76E7" w:rsidRDefault="00463A75" w:rsidP="00C4292D">
            <w:pPr>
              <w:spacing w:before="0" w:after="0"/>
              <w:jc w:val="right"/>
              <w:rPr>
                <w:rFonts w:ascii="Arial" w:hAnsi="Arial"/>
                <w:color w:val="000000"/>
                <w:sz w:val="16"/>
                <w:szCs w:val="16"/>
                <w:lang w:val="en-AU"/>
              </w:rPr>
            </w:pPr>
          </w:p>
        </w:tc>
        <w:tc>
          <w:tcPr>
            <w:tcW w:w="1374" w:type="dxa"/>
            <w:tcBorders>
              <w:top w:val="nil"/>
              <w:left w:val="nil"/>
              <w:bottom w:val="nil"/>
              <w:right w:val="nil"/>
            </w:tcBorders>
            <w:shd w:val="clear" w:color="auto" w:fill="auto"/>
            <w:noWrap/>
            <w:vAlign w:val="bottom"/>
            <w:hideMark/>
          </w:tcPr>
          <w:p w14:paraId="3BBF4901"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77.6</w:t>
            </w:r>
          </w:p>
        </w:tc>
        <w:tc>
          <w:tcPr>
            <w:tcW w:w="1365" w:type="dxa"/>
            <w:tcBorders>
              <w:top w:val="nil"/>
              <w:left w:val="nil"/>
              <w:bottom w:val="nil"/>
              <w:right w:val="nil"/>
            </w:tcBorders>
            <w:shd w:val="clear" w:color="auto" w:fill="auto"/>
            <w:noWrap/>
            <w:vAlign w:val="bottom"/>
            <w:hideMark/>
          </w:tcPr>
          <w:p w14:paraId="34607DC9"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8.1</w:t>
            </w:r>
          </w:p>
        </w:tc>
      </w:tr>
      <w:tr w:rsidR="00463A75" w:rsidRPr="003E76E7" w14:paraId="66744639" w14:textId="77777777" w:rsidTr="00B17397">
        <w:trPr>
          <w:trHeight w:val="226"/>
        </w:trPr>
        <w:tc>
          <w:tcPr>
            <w:tcW w:w="3202" w:type="dxa"/>
            <w:tcBorders>
              <w:top w:val="nil"/>
              <w:left w:val="nil"/>
              <w:bottom w:val="nil"/>
              <w:right w:val="nil"/>
            </w:tcBorders>
            <w:shd w:val="clear" w:color="auto" w:fill="auto"/>
            <w:vAlign w:val="bottom"/>
            <w:hideMark/>
          </w:tcPr>
          <w:p w14:paraId="78859386"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RAAF Base Edinburgh</w:t>
            </w:r>
          </w:p>
        </w:tc>
        <w:tc>
          <w:tcPr>
            <w:tcW w:w="2116" w:type="dxa"/>
            <w:tcBorders>
              <w:top w:val="nil"/>
              <w:left w:val="nil"/>
              <w:bottom w:val="nil"/>
              <w:right w:val="nil"/>
            </w:tcBorders>
            <w:shd w:val="clear" w:color="auto" w:fill="auto"/>
            <w:noWrap/>
            <w:vAlign w:val="bottom"/>
            <w:hideMark/>
          </w:tcPr>
          <w:p w14:paraId="377971B1"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SA - Spence</w:t>
            </w:r>
          </w:p>
        </w:tc>
        <w:tc>
          <w:tcPr>
            <w:tcW w:w="1099" w:type="dxa"/>
            <w:tcBorders>
              <w:top w:val="nil"/>
              <w:left w:val="nil"/>
              <w:bottom w:val="nil"/>
              <w:right w:val="nil"/>
            </w:tcBorders>
            <w:shd w:val="clear" w:color="auto" w:fill="auto"/>
            <w:noWrap/>
            <w:vAlign w:val="bottom"/>
            <w:hideMark/>
          </w:tcPr>
          <w:p w14:paraId="490B7070" w14:textId="77777777" w:rsidR="00463A75" w:rsidRPr="003E76E7" w:rsidRDefault="00463A75" w:rsidP="00C4292D">
            <w:pPr>
              <w:spacing w:before="0" w:after="0"/>
              <w:jc w:val="right"/>
              <w:rPr>
                <w:rFonts w:ascii="Arial" w:hAnsi="Arial"/>
                <w:color w:val="000000"/>
                <w:sz w:val="16"/>
                <w:szCs w:val="16"/>
                <w:lang w:val="en-AU"/>
              </w:rPr>
            </w:pPr>
          </w:p>
        </w:tc>
        <w:tc>
          <w:tcPr>
            <w:tcW w:w="1374" w:type="dxa"/>
            <w:tcBorders>
              <w:top w:val="nil"/>
              <w:left w:val="nil"/>
              <w:bottom w:val="nil"/>
              <w:right w:val="nil"/>
            </w:tcBorders>
            <w:shd w:val="clear" w:color="auto" w:fill="auto"/>
            <w:noWrap/>
            <w:vAlign w:val="bottom"/>
            <w:hideMark/>
          </w:tcPr>
          <w:p w14:paraId="56E54A0F"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34.7</w:t>
            </w:r>
          </w:p>
        </w:tc>
        <w:tc>
          <w:tcPr>
            <w:tcW w:w="1365" w:type="dxa"/>
            <w:tcBorders>
              <w:top w:val="nil"/>
              <w:left w:val="nil"/>
              <w:bottom w:val="nil"/>
              <w:right w:val="nil"/>
            </w:tcBorders>
            <w:shd w:val="clear" w:color="auto" w:fill="auto"/>
            <w:noWrap/>
            <w:vAlign w:val="bottom"/>
            <w:hideMark/>
          </w:tcPr>
          <w:p w14:paraId="35570554"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 xml:space="preserve">                     - </w:t>
            </w:r>
          </w:p>
        </w:tc>
      </w:tr>
      <w:tr w:rsidR="00463A75" w:rsidRPr="003E76E7" w14:paraId="5AD3242C" w14:textId="77777777" w:rsidTr="00B17397">
        <w:trPr>
          <w:trHeight w:val="226"/>
        </w:trPr>
        <w:tc>
          <w:tcPr>
            <w:tcW w:w="3202" w:type="dxa"/>
            <w:tcBorders>
              <w:top w:val="nil"/>
              <w:left w:val="nil"/>
              <w:bottom w:val="nil"/>
              <w:right w:val="nil"/>
            </w:tcBorders>
            <w:shd w:val="clear" w:color="auto" w:fill="auto"/>
            <w:vAlign w:val="bottom"/>
            <w:hideMark/>
          </w:tcPr>
          <w:p w14:paraId="15B6E954"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Majura Field Training Area</w:t>
            </w:r>
          </w:p>
        </w:tc>
        <w:tc>
          <w:tcPr>
            <w:tcW w:w="2116" w:type="dxa"/>
            <w:tcBorders>
              <w:top w:val="nil"/>
              <w:left w:val="nil"/>
              <w:bottom w:val="nil"/>
              <w:right w:val="nil"/>
            </w:tcBorders>
            <w:shd w:val="clear" w:color="auto" w:fill="auto"/>
            <w:noWrap/>
            <w:vAlign w:val="bottom"/>
            <w:hideMark/>
          </w:tcPr>
          <w:p w14:paraId="2521EF38"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ACT - Canberra</w:t>
            </w:r>
          </w:p>
        </w:tc>
        <w:tc>
          <w:tcPr>
            <w:tcW w:w="1099" w:type="dxa"/>
            <w:tcBorders>
              <w:top w:val="nil"/>
              <w:left w:val="nil"/>
              <w:bottom w:val="nil"/>
              <w:right w:val="nil"/>
            </w:tcBorders>
            <w:shd w:val="clear" w:color="auto" w:fill="auto"/>
            <w:noWrap/>
            <w:vAlign w:val="bottom"/>
            <w:hideMark/>
          </w:tcPr>
          <w:p w14:paraId="21E2F78F" w14:textId="77777777" w:rsidR="00463A75" w:rsidRPr="003E76E7" w:rsidRDefault="00463A75" w:rsidP="00C4292D">
            <w:pPr>
              <w:spacing w:before="0" w:after="0"/>
              <w:jc w:val="right"/>
              <w:rPr>
                <w:rFonts w:ascii="Arial" w:hAnsi="Arial"/>
                <w:color w:val="000000"/>
                <w:sz w:val="16"/>
                <w:szCs w:val="16"/>
                <w:lang w:val="en-AU"/>
              </w:rPr>
            </w:pPr>
          </w:p>
        </w:tc>
        <w:tc>
          <w:tcPr>
            <w:tcW w:w="1374" w:type="dxa"/>
            <w:tcBorders>
              <w:top w:val="nil"/>
              <w:left w:val="nil"/>
              <w:bottom w:val="nil"/>
              <w:right w:val="nil"/>
            </w:tcBorders>
            <w:shd w:val="clear" w:color="auto" w:fill="auto"/>
            <w:noWrap/>
            <w:vAlign w:val="bottom"/>
            <w:hideMark/>
          </w:tcPr>
          <w:p w14:paraId="1B3FF5FA"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13.4</w:t>
            </w:r>
          </w:p>
        </w:tc>
        <w:tc>
          <w:tcPr>
            <w:tcW w:w="1365" w:type="dxa"/>
            <w:tcBorders>
              <w:top w:val="nil"/>
              <w:left w:val="nil"/>
              <w:bottom w:val="nil"/>
              <w:right w:val="nil"/>
            </w:tcBorders>
            <w:shd w:val="clear" w:color="auto" w:fill="auto"/>
            <w:noWrap/>
            <w:vAlign w:val="bottom"/>
            <w:hideMark/>
          </w:tcPr>
          <w:p w14:paraId="7FCC472A"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 xml:space="preserve">                     - </w:t>
            </w:r>
          </w:p>
        </w:tc>
      </w:tr>
      <w:tr w:rsidR="00463A75" w:rsidRPr="003E76E7" w14:paraId="53389C41" w14:textId="77777777" w:rsidTr="00B17397">
        <w:trPr>
          <w:trHeight w:val="226"/>
        </w:trPr>
        <w:tc>
          <w:tcPr>
            <w:tcW w:w="3202" w:type="dxa"/>
            <w:tcBorders>
              <w:top w:val="nil"/>
              <w:left w:val="nil"/>
              <w:bottom w:val="nil"/>
              <w:right w:val="nil"/>
            </w:tcBorders>
            <w:shd w:val="clear" w:color="auto" w:fill="auto"/>
            <w:vAlign w:val="bottom"/>
            <w:hideMark/>
          </w:tcPr>
          <w:p w14:paraId="711F8705"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Royal Military College Canberra</w:t>
            </w:r>
          </w:p>
        </w:tc>
        <w:tc>
          <w:tcPr>
            <w:tcW w:w="2116" w:type="dxa"/>
            <w:tcBorders>
              <w:top w:val="nil"/>
              <w:left w:val="nil"/>
              <w:bottom w:val="nil"/>
              <w:right w:val="nil"/>
            </w:tcBorders>
            <w:shd w:val="clear" w:color="auto" w:fill="auto"/>
            <w:noWrap/>
            <w:vAlign w:val="bottom"/>
            <w:hideMark/>
          </w:tcPr>
          <w:p w14:paraId="618BBF41"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ACT - Canberra</w:t>
            </w:r>
          </w:p>
        </w:tc>
        <w:tc>
          <w:tcPr>
            <w:tcW w:w="1099" w:type="dxa"/>
            <w:tcBorders>
              <w:top w:val="nil"/>
              <w:left w:val="nil"/>
              <w:bottom w:val="nil"/>
              <w:right w:val="nil"/>
            </w:tcBorders>
            <w:shd w:val="clear" w:color="auto" w:fill="auto"/>
            <w:noWrap/>
            <w:vAlign w:val="bottom"/>
            <w:hideMark/>
          </w:tcPr>
          <w:p w14:paraId="493504F1" w14:textId="77777777" w:rsidR="00463A75" w:rsidRPr="003E76E7" w:rsidRDefault="00463A75" w:rsidP="00C4292D">
            <w:pPr>
              <w:spacing w:before="0" w:after="0"/>
              <w:jc w:val="right"/>
              <w:rPr>
                <w:rFonts w:ascii="Arial" w:hAnsi="Arial"/>
                <w:color w:val="000000"/>
                <w:sz w:val="16"/>
                <w:szCs w:val="16"/>
                <w:lang w:val="en-AU"/>
              </w:rPr>
            </w:pPr>
          </w:p>
        </w:tc>
        <w:tc>
          <w:tcPr>
            <w:tcW w:w="1374" w:type="dxa"/>
            <w:tcBorders>
              <w:top w:val="nil"/>
              <w:left w:val="nil"/>
              <w:bottom w:val="nil"/>
              <w:right w:val="nil"/>
            </w:tcBorders>
            <w:shd w:val="clear" w:color="auto" w:fill="auto"/>
            <w:noWrap/>
            <w:vAlign w:val="bottom"/>
            <w:hideMark/>
          </w:tcPr>
          <w:p w14:paraId="120B73B6"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9.0</w:t>
            </w:r>
          </w:p>
        </w:tc>
        <w:tc>
          <w:tcPr>
            <w:tcW w:w="1365" w:type="dxa"/>
            <w:tcBorders>
              <w:top w:val="nil"/>
              <w:left w:val="nil"/>
              <w:bottom w:val="nil"/>
              <w:right w:val="nil"/>
            </w:tcBorders>
            <w:shd w:val="clear" w:color="auto" w:fill="auto"/>
            <w:noWrap/>
            <w:vAlign w:val="bottom"/>
            <w:hideMark/>
          </w:tcPr>
          <w:p w14:paraId="5C62BEA5"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 xml:space="preserve">                     - </w:t>
            </w:r>
          </w:p>
        </w:tc>
      </w:tr>
      <w:tr w:rsidR="00463A75" w:rsidRPr="003E76E7" w14:paraId="6BE151DF" w14:textId="77777777" w:rsidTr="00B17397">
        <w:trPr>
          <w:trHeight w:val="226"/>
        </w:trPr>
        <w:tc>
          <w:tcPr>
            <w:tcW w:w="3202" w:type="dxa"/>
            <w:tcBorders>
              <w:top w:val="nil"/>
              <w:left w:val="nil"/>
              <w:bottom w:val="nil"/>
              <w:right w:val="nil"/>
            </w:tcBorders>
            <w:shd w:val="clear" w:color="auto" w:fill="auto"/>
            <w:vAlign w:val="bottom"/>
            <w:hideMark/>
          </w:tcPr>
          <w:p w14:paraId="3DCF3B10"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Mount Stuart</w:t>
            </w:r>
          </w:p>
        </w:tc>
        <w:tc>
          <w:tcPr>
            <w:tcW w:w="2116" w:type="dxa"/>
            <w:tcBorders>
              <w:top w:val="nil"/>
              <w:left w:val="nil"/>
              <w:bottom w:val="nil"/>
              <w:right w:val="nil"/>
            </w:tcBorders>
            <w:shd w:val="clear" w:color="auto" w:fill="auto"/>
            <w:noWrap/>
            <w:vAlign w:val="bottom"/>
            <w:hideMark/>
          </w:tcPr>
          <w:p w14:paraId="5219994C"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QLD - Kennedy</w:t>
            </w:r>
          </w:p>
        </w:tc>
        <w:tc>
          <w:tcPr>
            <w:tcW w:w="1099" w:type="dxa"/>
            <w:tcBorders>
              <w:top w:val="nil"/>
              <w:left w:val="nil"/>
              <w:bottom w:val="nil"/>
              <w:right w:val="nil"/>
            </w:tcBorders>
            <w:shd w:val="clear" w:color="auto" w:fill="auto"/>
            <w:noWrap/>
            <w:vAlign w:val="bottom"/>
            <w:hideMark/>
          </w:tcPr>
          <w:p w14:paraId="3B1AD333" w14:textId="77777777" w:rsidR="00463A75" w:rsidRPr="003E76E7" w:rsidRDefault="00463A75" w:rsidP="00C4292D">
            <w:pPr>
              <w:spacing w:before="0" w:after="0"/>
              <w:jc w:val="right"/>
              <w:rPr>
                <w:rFonts w:ascii="Arial" w:hAnsi="Arial"/>
                <w:color w:val="000000"/>
                <w:sz w:val="16"/>
                <w:szCs w:val="16"/>
                <w:lang w:val="en-AU"/>
              </w:rPr>
            </w:pPr>
          </w:p>
        </w:tc>
        <w:tc>
          <w:tcPr>
            <w:tcW w:w="1374" w:type="dxa"/>
            <w:tcBorders>
              <w:top w:val="nil"/>
              <w:left w:val="nil"/>
              <w:bottom w:val="nil"/>
              <w:right w:val="nil"/>
            </w:tcBorders>
            <w:shd w:val="clear" w:color="auto" w:fill="auto"/>
            <w:noWrap/>
            <w:vAlign w:val="bottom"/>
            <w:hideMark/>
          </w:tcPr>
          <w:p w14:paraId="0F251629"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4.1</w:t>
            </w:r>
          </w:p>
        </w:tc>
        <w:tc>
          <w:tcPr>
            <w:tcW w:w="1365" w:type="dxa"/>
            <w:tcBorders>
              <w:top w:val="nil"/>
              <w:left w:val="nil"/>
              <w:bottom w:val="nil"/>
              <w:right w:val="nil"/>
            </w:tcBorders>
            <w:shd w:val="clear" w:color="auto" w:fill="auto"/>
            <w:noWrap/>
            <w:vAlign w:val="bottom"/>
            <w:hideMark/>
          </w:tcPr>
          <w:p w14:paraId="1CCFD313"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 xml:space="preserve">                     - </w:t>
            </w:r>
          </w:p>
        </w:tc>
      </w:tr>
      <w:tr w:rsidR="00463A75" w:rsidRPr="003E76E7" w14:paraId="60933319" w14:textId="77777777" w:rsidTr="00B17397">
        <w:trPr>
          <w:trHeight w:val="226"/>
        </w:trPr>
        <w:tc>
          <w:tcPr>
            <w:tcW w:w="3202" w:type="dxa"/>
            <w:tcBorders>
              <w:top w:val="nil"/>
              <w:left w:val="nil"/>
              <w:bottom w:val="single" w:sz="4" w:space="0" w:color="auto"/>
              <w:right w:val="nil"/>
            </w:tcBorders>
            <w:shd w:val="clear" w:color="auto" w:fill="auto"/>
            <w:vAlign w:val="bottom"/>
            <w:hideMark/>
          </w:tcPr>
          <w:p w14:paraId="3E0ECD46"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Total</w:t>
            </w:r>
          </w:p>
        </w:tc>
        <w:tc>
          <w:tcPr>
            <w:tcW w:w="2116" w:type="dxa"/>
            <w:tcBorders>
              <w:top w:val="nil"/>
              <w:left w:val="nil"/>
              <w:bottom w:val="single" w:sz="4" w:space="0" w:color="auto"/>
              <w:right w:val="nil"/>
            </w:tcBorders>
            <w:shd w:val="clear" w:color="auto" w:fill="auto"/>
            <w:noWrap/>
            <w:vAlign w:val="bottom"/>
            <w:hideMark/>
          </w:tcPr>
          <w:p w14:paraId="58E5DA9C"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 </w:t>
            </w:r>
          </w:p>
        </w:tc>
        <w:tc>
          <w:tcPr>
            <w:tcW w:w="1099" w:type="dxa"/>
            <w:tcBorders>
              <w:top w:val="nil"/>
              <w:left w:val="nil"/>
              <w:bottom w:val="single" w:sz="4" w:space="0" w:color="auto"/>
              <w:right w:val="nil"/>
            </w:tcBorders>
            <w:shd w:val="clear" w:color="auto" w:fill="auto"/>
            <w:noWrap/>
            <w:vAlign w:val="bottom"/>
            <w:hideMark/>
          </w:tcPr>
          <w:p w14:paraId="050066E5"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1,476.0</w:t>
            </w:r>
          </w:p>
        </w:tc>
        <w:tc>
          <w:tcPr>
            <w:tcW w:w="1374" w:type="dxa"/>
            <w:tcBorders>
              <w:top w:val="nil"/>
              <w:left w:val="nil"/>
              <w:bottom w:val="single" w:sz="4" w:space="0" w:color="auto"/>
              <w:right w:val="nil"/>
            </w:tcBorders>
            <w:shd w:val="clear" w:color="auto" w:fill="auto"/>
            <w:noWrap/>
            <w:vAlign w:val="bottom"/>
            <w:hideMark/>
          </w:tcPr>
          <w:p w14:paraId="7B7818F5"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1,461.7</w:t>
            </w:r>
          </w:p>
        </w:tc>
        <w:tc>
          <w:tcPr>
            <w:tcW w:w="1365" w:type="dxa"/>
            <w:tcBorders>
              <w:top w:val="nil"/>
              <w:left w:val="nil"/>
              <w:bottom w:val="single" w:sz="4" w:space="0" w:color="auto"/>
              <w:right w:val="nil"/>
            </w:tcBorders>
            <w:shd w:val="clear" w:color="auto" w:fill="auto"/>
            <w:noWrap/>
            <w:vAlign w:val="bottom"/>
            <w:hideMark/>
          </w:tcPr>
          <w:p w14:paraId="496270EE"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8.1</w:t>
            </w:r>
          </w:p>
        </w:tc>
      </w:tr>
    </w:tbl>
    <w:p w14:paraId="0A1C41B8" w14:textId="77777777" w:rsidR="00463A75" w:rsidRPr="003E76E7" w:rsidRDefault="00463A75" w:rsidP="00C4292D">
      <w:r w:rsidRPr="003E76E7">
        <w:br w:type="page"/>
      </w:r>
    </w:p>
    <w:tbl>
      <w:tblPr>
        <w:tblW w:w="8946" w:type="dxa"/>
        <w:tblLook w:val="04A0" w:firstRow="1" w:lastRow="0" w:firstColumn="1" w:lastColumn="0" w:noHBand="0" w:noVBand="1"/>
      </w:tblPr>
      <w:tblGrid>
        <w:gridCol w:w="3119"/>
        <w:gridCol w:w="1911"/>
        <w:gridCol w:w="1141"/>
        <w:gridCol w:w="1462"/>
        <w:gridCol w:w="1313"/>
      </w:tblGrid>
      <w:tr w:rsidR="00463A75" w:rsidRPr="003E76E7" w14:paraId="5C779586" w14:textId="77777777" w:rsidTr="00B17397">
        <w:trPr>
          <w:trHeight w:val="225"/>
          <w:tblHeader/>
        </w:trPr>
        <w:tc>
          <w:tcPr>
            <w:tcW w:w="3119" w:type="dxa"/>
            <w:tcBorders>
              <w:top w:val="single" w:sz="4" w:space="0" w:color="auto"/>
              <w:left w:val="nil"/>
              <w:bottom w:val="single" w:sz="4" w:space="0" w:color="auto"/>
              <w:right w:val="nil"/>
            </w:tcBorders>
            <w:shd w:val="clear" w:color="auto" w:fill="auto"/>
            <w:vAlign w:val="bottom"/>
            <w:hideMark/>
          </w:tcPr>
          <w:p w14:paraId="7911D814"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lastRenderedPageBreak/>
              <w:t>Project</w:t>
            </w:r>
          </w:p>
        </w:tc>
        <w:tc>
          <w:tcPr>
            <w:tcW w:w="1911" w:type="dxa"/>
            <w:tcBorders>
              <w:top w:val="single" w:sz="4" w:space="0" w:color="auto"/>
              <w:left w:val="nil"/>
              <w:bottom w:val="single" w:sz="4" w:space="0" w:color="auto"/>
              <w:right w:val="nil"/>
            </w:tcBorders>
            <w:shd w:val="clear" w:color="auto" w:fill="auto"/>
            <w:vAlign w:val="bottom"/>
            <w:hideMark/>
          </w:tcPr>
          <w:p w14:paraId="3C9B65DC"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State and</w:t>
            </w:r>
          </w:p>
          <w:p w14:paraId="309F86A9"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Federal</w:t>
            </w:r>
          </w:p>
          <w:p w14:paraId="72FDBDC9"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Electorate</w:t>
            </w:r>
          </w:p>
        </w:tc>
        <w:tc>
          <w:tcPr>
            <w:tcW w:w="1141" w:type="dxa"/>
            <w:tcBorders>
              <w:top w:val="single" w:sz="4" w:space="0" w:color="auto"/>
              <w:left w:val="nil"/>
              <w:bottom w:val="single" w:sz="4" w:space="0" w:color="auto"/>
              <w:right w:val="nil"/>
            </w:tcBorders>
            <w:shd w:val="clear" w:color="auto" w:fill="auto"/>
            <w:vAlign w:val="bottom"/>
            <w:hideMark/>
          </w:tcPr>
          <w:p w14:paraId="0B66B14C"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 xml:space="preserve">Total Estimated Expenditure </w:t>
            </w:r>
            <w:r w:rsidRPr="003E76E7">
              <w:rPr>
                <w:rFonts w:ascii="Arial" w:hAnsi="Arial"/>
                <w:b/>
                <w:bCs/>
                <w:color w:val="000000"/>
                <w:sz w:val="16"/>
                <w:szCs w:val="16"/>
                <w:lang w:val="en-AU"/>
              </w:rPr>
              <w:br/>
              <w:t>$m</w:t>
            </w:r>
          </w:p>
        </w:tc>
        <w:tc>
          <w:tcPr>
            <w:tcW w:w="1462" w:type="dxa"/>
            <w:tcBorders>
              <w:top w:val="single" w:sz="4" w:space="0" w:color="auto"/>
              <w:left w:val="nil"/>
              <w:bottom w:val="single" w:sz="4" w:space="0" w:color="auto"/>
              <w:right w:val="nil"/>
            </w:tcBorders>
            <w:shd w:val="clear" w:color="auto" w:fill="auto"/>
            <w:vAlign w:val="bottom"/>
            <w:hideMark/>
          </w:tcPr>
          <w:p w14:paraId="7DAC6C06"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 xml:space="preserve">Estimated Cumulative Expenditure to 30 June 2026 </w:t>
            </w:r>
            <w:r w:rsidRPr="003E76E7">
              <w:rPr>
                <w:rFonts w:ascii="Arial" w:hAnsi="Arial"/>
                <w:b/>
                <w:bCs/>
                <w:color w:val="000000"/>
                <w:sz w:val="16"/>
                <w:szCs w:val="16"/>
                <w:lang w:val="en-AU"/>
              </w:rPr>
              <w:br/>
              <w:t>$m</w:t>
            </w:r>
          </w:p>
        </w:tc>
        <w:tc>
          <w:tcPr>
            <w:tcW w:w="1313" w:type="dxa"/>
            <w:tcBorders>
              <w:top w:val="single" w:sz="4" w:space="0" w:color="auto"/>
              <w:left w:val="nil"/>
              <w:bottom w:val="single" w:sz="4" w:space="0" w:color="auto"/>
              <w:right w:val="nil"/>
            </w:tcBorders>
            <w:shd w:val="clear" w:color="auto" w:fill="auto"/>
            <w:vAlign w:val="bottom"/>
            <w:hideMark/>
          </w:tcPr>
          <w:p w14:paraId="5AB923F4"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2026-27</w:t>
            </w:r>
          </w:p>
          <w:p w14:paraId="0BA53890"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 xml:space="preserve">Budget Estimate </w:t>
            </w:r>
            <w:r w:rsidRPr="003E76E7">
              <w:rPr>
                <w:rFonts w:ascii="Arial" w:hAnsi="Arial"/>
                <w:b/>
                <w:bCs/>
                <w:color w:val="000000"/>
                <w:sz w:val="16"/>
                <w:szCs w:val="16"/>
                <w:lang w:val="en-AU"/>
              </w:rPr>
              <w:br/>
              <w:t xml:space="preserve">$m </w:t>
            </w:r>
          </w:p>
        </w:tc>
      </w:tr>
      <w:tr w:rsidR="00463A75" w:rsidRPr="003E76E7" w14:paraId="032CF951" w14:textId="77777777" w:rsidTr="00B17397">
        <w:trPr>
          <w:trHeight w:val="225"/>
        </w:trPr>
        <w:tc>
          <w:tcPr>
            <w:tcW w:w="3119" w:type="dxa"/>
            <w:tcBorders>
              <w:top w:val="single" w:sz="4" w:space="0" w:color="auto"/>
              <w:left w:val="nil"/>
              <w:right w:val="nil"/>
            </w:tcBorders>
            <w:shd w:val="clear" w:color="auto" w:fill="auto"/>
            <w:vAlign w:val="center"/>
          </w:tcPr>
          <w:p w14:paraId="72B00BC5" w14:textId="19A0FE8E" w:rsidR="00463A75" w:rsidRPr="003E76E7" w:rsidRDefault="00463A75" w:rsidP="00C4292D">
            <w:pPr>
              <w:spacing w:before="0" w:after="0"/>
              <w:rPr>
                <w:rFonts w:ascii="Arial" w:hAnsi="Arial"/>
                <w:color w:val="000000"/>
                <w:sz w:val="16"/>
                <w:szCs w:val="16"/>
                <w:lang w:val="en-AU"/>
              </w:rPr>
            </w:pPr>
            <w:r w:rsidRPr="003E76E7">
              <w:rPr>
                <w:rFonts w:ascii="Arial" w:hAnsi="Arial"/>
                <w:b/>
                <w:bCs/>
                <w:color w:val="000000"/>
                <w:sz w:val="16"/>
                <w:szCs w:val="16"/>
                <w:lang w:val="en-AU"/>
              </w:rPr>
              <w:t xml:space="preserve">Navy Capability Infrastructure </w:t>
            </w:r>
            <w:r w:rsidRPr="003E76E7">
              <w:rPr>
                <w:rFonts w:ascii="Arial" w:hAnsi="Arial"/>
                <w:b/>
                <w:bCs/>
                <w:color w:val="000000"/>
                <w:sz w:val="16"/>
                <w:szCs w:val="16"/>
                <w:lang w:val="en-AU"/>
              </w:rPr>
              <w:br/>
              <w:t>Sub-program: Offshore Patrol Vessel (OPV) Facilities (SEA 1180 Phase 1)</w:t>
            </w:r>
          </w:p>
        </w:tc>
        <w:tc>
          <w:tcPr>
            <w:tcW w:w="1911" w:type="dxa"/>
            <w:tcBorders>
              <w:top w:val="single" w:sz="4" w:space="0" w:color="auto"/>
              <w:left w:val="nil"/>
              <w:right w:val="nil"/>
            </w:tcBorders>
            <w:shd w:val="clear" w:color="auto" w:fill="auto"/>
            <w:noWrap/>
            <w:vAlign w:val="bottom"/>
          </w:tcPr>
          <w:p w14:paraId="66C07974" w14:textId="77777777" w:rsidR="00463A75" w:rsidRPr="003E76E7" w:rsidRDefault="00463A75" w:rsidP="00C4292D">
            <w:pPr>
              <w:spacing w:before="0" w:after="0"/>
              <w:jc w:val="right"/>
              <w:rPr>
                <w:rFonts w:ascii="Arial" w:hAnsi="Arial"/>
                <w:color w:val="000000"/>
                <w:sz w:val="16"/>
                <w:szCs w:val="16"/>
                <w:lang w:val="en-AU"/>
              </w:rPr>
            </w:pPr>
          </w:p>
        </w:tc>
        <w:tc>
          <w:tcPr>
            <w:tcW w:w="1141" w:type="dxa"/>
            <w:tcBorders>
              <w:top w:val="single" w:sz="4" w:space="0" w:color="auto"/>
              <w:left w:val="nil"/>
              <w:right w:val="nil"/>
            </w:tcBorders>
            <w:shd w:val="clear" w:color="auto" w:fill="auto"/>
            <w:noWrap/>
            <w:vAlign w:val="bottom"/>
          </w:tcPr>
          <w:p w14:paraId="01003EC5" w14:textId="77777777" w:rsidR="00463A75" w:rsidRPr="003E76E7" w:rsidRDefault="00463A75" w:rsidP="00C4292D">
            <w:pPr>
              <w:spacing w:before="0" w:after="0"/>
              <w:jc w:val="right"/>
              <w:rPr>
                <w:rFonts w:ascii="Arial" w:hAnsi="Arial"/>
                <w:color w:val="000000"/>
                <w:sz w:val="16"/>
                <w:szCs w:val="16"/>
                <w:lang w:val="en-AU"/>
              </w:rPr>
            </w:pPr>
          </w:p>
        </w:tc>
        <w:tc>
          <w:tcPr>
            <w:tcW w:w="1462" w:type="dxa"/>
            <w:tcBorders>
              <w:top w:val="single" w:sz="4" w:space="0" w:color="auto"/>
              <w:left w:val="nil"/>
              <w:right w:val="nil"/>
            </w:tcBorders>
            <w:shd w:val="clear" w:color="auto" w:fill="auto"/>
            <w:noWrap/>
            <w:vAlign w:val="bottom"/>
          </w:tcPr>
          <w:p w14:paraId="0174C710" w14:textId="77777777" w:rsidR="00463A75" w:rsidRPr="003E76E7" w:rsidRDefault="00463A75" w:rsidP="00C4292D">
            <w:pPr>
              <w:spacing w:before="0" w:after="0"/>
              <w:jc w:val="right"/>
              <w:rPr>
                <w:rFonts w:ascii="Arial" w:hAnsi="Arial"/>
                <w:color w:val="000000"/>
                <w:sz w:val="16"/>
                <w:szCs w:val="16"/>
                <w:lang w:val="en-AU"/>
              </w:rPr>
            </w:pPr>
          </w:p>
        </w:tc>
        <w:tc>
          <w:tcPr>
            <w:tcW w:w="1313" w:type="dxa"/>
            <w:tcBorders>
              <w:top w:val="single" w:sz="4" w:space="0" w:color="auto"/>
              <w:left w:val="nil"/>
              <w:right w:val="nil"/>
            </w:tcBorders>
            <w:shd w:val="clear" w:color="auto" w:fill="auto"/>
            <w:noWrap/>
            <w:vAlign w:val="bottom"/>
          </w:tcPr>
          <w:p w14:paraId="78056CD4" w14:textId="77777777" w:rsidR="00463A75" w:rsidRPr="003E76E7" w:rsidRDefault="00463A75" w:rsidP="00C4292D">
            <w:pPr>
              <w:spacing w:before="0" w:after="0"/>
              <w:jc w:val="right"/>
              <w:rPr>
                <w:rFonts w:ascii="Arial" w:hAnsi="Arial"/>
                <w:color w:val="000000"/>
                <w:sz w:val="16"/>
                <w:szCs w:val="16"/>
                <w:lang w:val="en-AU"/>
              </w:rPr>
            </w:pPr>
          </w:p>
        </w:tc>
      </w:tr>
      <w:tr w:rsidR="00463A75" w:rsidRPr="003E76E7" w14:paraId="270DDCC6" w14:textId="77777777" w:rsidTr="00067733">
        <w:trPr>
          <w:trHeight w:val="225"/>
        </w:trPr>
        <w:tc>
          <w:tcPr>
            <w:tcW w:w="3119" w:type="dxa"/>
            <w:tcBorders>
              <w:left w:val="nil"/>
              <w:bottom w:val="nil"/>
              <w:right w:val="nil"/>
            </w:tcBorders>
            <w:shd w:val="clear" w:color="auto" w:fill="auto"/>
            <w:vAlign w:val="bottom"/>
            <w:hideMark/>
          </w:tcPr>
          <w:p w14:paraId="6F6539C4"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 xml:space="preserve">HMAS </w:t>
            </w:r>
            <w:r w:rsidRPr="002F62D4">
              <w:rPr>
                <w:rFonts w:ascii="Arial" w:hAnsi="Arial"/>
                <w:iCs/>
                <w:color w:val="000000"/>
                <w:sz w:val="16"/>
                <w:szCs w:val="16"/>
                <w:lang w:val="en-AU"/>
              </w:rPr>
              <w:t>Coonawarra</w:t>
            </w:r>
          </w:p>
        </w:tc>
        <w:tc>
          <w:tcPr>
            <w:tcW w:w="1911" w:type="dxa"/>
            <w:tcBorders>
              <w:left w:val="nil"/>
              <w:bottom w:val="nil"/>
              <w:right w:val="nil"/>
            </w:tcBorders>
            <w:shd w:val="clear" w:color="auto" w:fill="auto"/>
            <w:noWrap/>
            <w:vAlign w:val="bottom"/>
            <w:hideMark/>
          </w:tcPr>
          <w:p w14:paraId="19660DE4"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NT - Solomon</w:t>
            </w:r>
          </w:p>
        </w:tc>
        <w:tc>
          <w:tcPr>
            <w:tcW w:w="1141" w:type="dxa"/>
            <w:tcBorders>
              <w:left w:val="nil"/>
              <w:bottom w:val="nil"/>
              <w:right w:val="nil"/>
            </w:tcBorders>
            <w:shd w:val="clear" w:color="auto" w:fill="auto"/>
            <w:noWrap/>
            <w:vAlign w:val="bottom"/>
          </w:tcPr>
          <w:p w14:paraId="7B2FADC7" w14:textId="71867420" w:rsidR="00463A75" w:rsidRPr="003E76E7" w:rsidRDefault="00463A75" w:rsidP="00C4292D">
            <w:pPr>
              <w:spacing w:before="0" w:after="0"/>
              <w:jc w:val="right"/>
              <w:rPr>
                <w:rFonts w:ascii="Arial" w:hAnsi="Arial"/>
                <w:color w:val="000000"/>
                <w:sz w:val="16"/>
                <w:szCs w:val="16"/>
                <w:lang w:val="en-AU"/>
              </w:rPr>
            </w:pPr>
          </w:p>
        </w:tc>
        <w:tc>
          <w:tcPr>
            <w:tcW w:w="1462" w:type="dxa"/>
            <w:tcBorders>
              <w:left w:val="nil"/>
              <w:bottom w:val="nil"/>
              <w:right w:val="nil"/>
            </w:tcBorders>
            <w:shd w:val="clear" w:color="auto" w:fill="auto"/>
            <w:noWrap/>
            <w:vAlign w:val="bottom"/>
            <w:hideMark/>
          </w:tcPr>
          <w:p w14:paraId="6F2AB635"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207.5</w:t>
            </w:r>
          </w:p>
        </w:tc>
        <w:tc>
          <w:tcPr>
            <w:tcW w:w="1313" w:type="dxa"/>
            <w:tcBorders>
              <w:left w:val="nil"/>
              <w:bottom w:val="nil"/>
              <w:right w:val="nil"/>
            </w:tcBorders>
            <w:shd w:val="clear" w:color="auto" w:fill="auto"/>
            <w:noWrap/>
            <w:vAlign w:val="bottom"/>
            <w:hideMark/>
          </w:tcPr>
          <w:p w14:paraId="549D0677"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47.0</w:t>
            </w:r>
          </w:p>
        </w:tc>
      </w:tr>
      <w:tr w:rsidR="00463A75" w:rsidRPr="003E76E7" w14:paraId="05D61E43" w14:textId="77777777" w:rsidTr="00067733">
        <w:trPr>
          <w:trHeight w:val="225"/>
        </w:trPr>
        <w:tc>
          <w:tcPr>
            <w:tcW w:w="3119" w:type="dxa"/>
            <w:tcBorders>
              <w:top w:val="nil"/>
              <w:left w:val="nil"/>
              <w:bottom w:val="nil"/>
              <w:right w:val="nil"/>
            </w:tcBorders>
            <w:shd w:val="clear" w:color="auto" w:fill="auto"/>
            <w:vAlign w:val="bottom"/>
            <w:hideMark/>
          </w:tcPr>
          <w:p w14:paraId="59DB4DBA"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RAAF Base Darwin</w:t>
            </w:r>
          </w:p>
        </w:tc>
        <w:tc>
          <w:tcPr>
            <w:tcW w:w="1911" w:type="dxa"/>
            <w:tcBorders>
              <w:top w:val="nil"/>
              <w:left w:val="nil"/>
              <w:bottom w:val="nil"/>
              <w:right w:val="nil"/>
            </w:tcBorders>
            <w:shd w:val="clear" w:color="auto" w:fill="auto"/>
            <w:noWrap/>
            <w:vAlign w:val="bottom"/>
            <w:hideMark/>
          </w:tcPr>
          <w:p w14:paraId="4D41C272"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NT - Solomon</w:t>
            </w:r>
          </w:p>
        </w:tc>
        <w:tc>
          <w:tcPr>
            <w:tcW w:w="1141" w:type="dxa"/>
            <w:tcBorders>
              <w:top w:val="nil"/>
              <w:left w:val="nil"/>
              <w:bottom w:val="nil"/>
              <w:right w:val="nil"/>
            </w:tcBorders>
            <w:shd w:val="clear" w:color="auto" w:fill="auto"/>
            <w:noWrap/>
            <w:vAlign w:val="bottom"/>
          </w:tcPr>
          <w:p w14:paraId="6ECD5C23" w14:textId="4E21D0E2"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5754AAEB"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12.9</w:t>
            </w:r>
          </w:p>
        </w:tc>
        <w:tc>
          <w:tcPr>
            <w:tcW w:w="1313" w:type="dxa"/>
            <w:tcBorders>
              <w:top w:val="nil"/>
              <w:left w:val="nil"/>
              <w:bottom w:val="nil"/>
              <w:right w:val="nil"/>
            </w:tcBorders>
            <w:shd w:val="clear" w:color="auto" w:fill="auto"/>
            <w:noWrap/>
            <w:vAlign w:val="bottom"/>
            <w:hideMark/>
          </w:tcPr>
          <w:p w14:paraId="662DCB1E"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 xml:space="preserve">                     - </w:t>
            </w:r>
          </w:p>
        </w:tc>
      </w:tr>
      <w:tr w:rsidR="00463A75" w:rsidRPr="003E76E7" w14:paraId="34B43393" w14:textId="77777777" w:rsidTr="00067733">
        <w:trPr>
          <w:trHeight w:val="225"/>
        </w:trPr>
        <w:tc>
          <w:tcPr>
            <w:tcW w:w="3119" w:type="dxa"/>
            <w:tcBorders>
              <w:top w:val="nil"/>
              <w:left w:val="nil"/>
              <w:bottom w:val="nil"/>
              <w:right w:val="nil"/>
            </w:tcBorders>
            <w:shd w:val="clear" w:color="auto" w:fill="auto"/>
            <w:vAlign w:val="bottom"/>
            <w:hideMark/>
          </w:tcPr>
          <w:p w14:paraId="02539416"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 xml:space="preserve">HMAS </w:t>
            </w:r>
            <w:r w:rsidRPr="002F62D4">
              <w:rPr>
                <w:rFonts w:ascii="Arial" w:hAnsi="Arial"/>
                <w:iCs/>
                <w:color w:val="000000"/>
                <w:sz w:val="16"/>
                <w:szCs w:val="16"/>
                <w:lang w:val="en-AU"/>
              </w:rPr>
              <w:t>Cairns</w:t>
            </w:r>
          </w:p>
        </w:tc>
        <w:tc>
          <w:tcPr>
            <w:tcW w:w="1911" w:type="dxa"/>
            <w:tcBorders>
              <w:top w:val="nil"/>
              <w:left w:val="nil"/>
              <w:bottom w:val="nil"/>
              <w:right w:val="nil"/>
            </w:tcBorders>
            <w:shd w:val="clear" w:color="auto" w:fill="auto"/>
            <w:noWrap/>
            <w:vAlign w:val="bottom"/>
            <w:hideMark/>
          </w:tcPr>
          <w:p w14:paraId="5B64B5C1" w14:textId="77777777" w:rsidR="00463A75" w:rsidRPr="003E76E7" w:rsidRDefault="00463A75" w:rsidP="00C4292D">
            <w:pPr>
              <w:spacing w:before="0" w:after="0"/>
              <w:jc w:val="right"/>
              <w:rPr>
                <w:rFonts w:ascii="Arial" w:hAnsi="Arial"/>
                <w:sz w:val="16"/>
                <w:szCs w:val="16"/>
                <w:lang w:val="en-AU"/>
              </w:rPr>
            </w:pPr>
            <w:r w:rsidRPr="003E76E7">
              <w:rPr>
                <w:rFonts w:ascii="Arial" w:hAnsi="Arial"/>
                <w:sz w:val="16"/>
                <w:szCs w:val="16"/>
                <w:lang w:val="en-AU"/>
              </w:rPr>
              <w:t>QLD - Leichhardt</w:t>
            </w:r>
          </w:p>
        </w:tc>
        <w:tc>
          <w:tcPr>
            <w:tcW w:w="1141" w:type="dxa"/>
            <w:tcBorders>
              <w:top w:val="nil"/>
              <w:left w:val="nil"/>
              <w:bottom w:val="nil"/>
              <w:right w:val="nil"/>
            </w:tcBorders>
            <w:shd w:val="clear" w:color="auto" w:fill="auto"/>
            <w:noWrap/>
            <w:vAlign w:val="bottom"/>
          </w:tcPr>
          <w:p w14:paraId="419D9BEF" w14:textId="02573F41" w:rsidR="00463A75" w:rsidRPr="003E76E7" w:rsidRDefault="00463A75" w:rsidP="00C4292D">
            <w:pPr>
              <w:spacing w:before="0" w:after="0"/>
              <w:jc w:val="right"/>
              <w:rPr>
                <w:rFonts w:ascii="Arial" w:hAnsi="Arial"/>
                <w:sz w:val="16"/>
                <w:szCs w:val="16"/>
                <w:lang w:val="en-AU"/>
              </w:rPr>
            </w:pPr>
          </w:p>
        </w:tc>
        <w:tc>
          <w:tcPr>
            <w:tcW w:w="1462" w:type="dxa"/>
            <w:tcBorders>
              <w:top w:val="nil"/>
              <w:left w:val="nil"/>
              <w:bottom w:val="nil"/>
              <w:right w:val="nil"/>
            </w:tcBorders>
            <w:shd w:val="clear" w:color="auto" w:fill="auto"/>
            <w:noWrap/>
            <w:vAlign w:val="bottom"/>
            <w:hideMark/>
          </w:tcPr>
          <w:p w14:paraId="5674031A"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206.2</w:t>
            </w:r>
          </w:p>
        </w:tc>
        <w:tc>
          <w:tcPr>
            <w:tcW w:w="1313" w:type="dxa"/>
            <w:tcBorders>
              <w:top w:val="nil"/>
              <w:left w:val="nil"/>
              <w:bottom w:val="nil"/>
              <w:right w:val="nil"/>
            </w:tcBorders>
            <w:shd w:val="clear" w:color="auto" w:fill="auto"/>
            <w:noWrap/>
            <w:vAlign w:val="bottom"/>
            <w:hideMark/>
          </w:tcPr>
          <w:p w14:paraId="3BA7F023"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23.1</w:t>
            </w:r>
          </w:p>
        </w:tc>
      </w:tr>
      <w:tr w:rsidR="00463A75" w:rsidRPr="003E76E7" w14:paraId="3C44BDDF" w14:textId="77777777" w:rsidTr="00067733">
        <w:trPr>
          <w:trHeight w:val="225"/>
        </w:trPr>
        <w:tc>
          <w:tcPr>
            <w:tcW w:w="3119" w:type="dxa"/>
            <w:tcBorders>
              <w:top w:val="nil"/>
              <w:left w:val="nil"/>
              <w:bottom w:val="nil"/>
              <w:right w:val="nil"/>
            </w:tcBorders>
            <w:shd w:val="clear" w:color="auto" w:fill="auto"/>
            <w:vAlign w:val="bottom"/>
            <w:hideMark/>
          </w:tcPr>
          <w:p w14:paraId="002B6579" w14:textId="77777777" w:rsidR="00463A75" w:rsidRPr="00C210BD" w:rsidRDefault="00463A75" w:rsidP="00C4292D">
            <w:pPr>
              <w:spacing w:before="0" w:after="0"/>
              <w:rPr>
                <w:rFonts w:ascii="Arial" w:hAnsi="Arial"/>
                <w:color w:val="000000"/>
                <w:sz w:val="16"/>
                <w:szCs w:val="16"/>
                <w:lang w:val="en-AU"/>
              </w:rPr>
            </w:pPr>
            <w:r w:rsidRPr="00C210BD">
              <w:rPr>
                <w:rFonts w:ascii="Arial" w:hAnsi="Arial"/>
                <w:color w:val="000000"/>
                <w:sz w:val="16"/>
                <w:szCs w:val="16"/>
                <w:lang w:val="en-AU"/>
              </w:rPr>
              <w:t xml:space="preserve">HMAS </w:t>
            </w:r>
            <w:r w:rsidRPr="00C210BD">
              <w:rPr>
                <w:rFonts w:ascii="Arial" w:hAnsi="Arial"/>
                <w:iCs/>
                <w:color w:val="000000"/>
                <w:sz w:val="16"/>
                <w:szCs w:val="16"/>
                <w:lang w:val="en-AU"/>
              </w:rPr>
              <w:t>Stirling</w:t>
            </w:r>
          </w:p>
        </w:tc>
        <w:tc>
          <w:tcPr>
            <w:tcW w:w="1911" w:type="dxa"/>
            <w:tcBorders>
              <w:top w:val="nil"/>
              <w:left w:val="nil"/>
              <w:bottom w:val="nil"/>
              <w:right w:val="nil"/>
            </w:tcBorders>
            <w:shd w:val="clear" w:color="auto" w:fill="auto"/>
            <w:noWrap/>
            <w:vAlign w:val="bottom"/>
            <w:hideMark/>
          </w:tcPr>
          <w:p w14:paraId="1BE088FC"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WA - Brand</w:t>
            </w:r>
          </w:p>
        </w:tc>
        <w:tc>
          <w:tcPr>
            <w:tcW w:w="1141" w:type="dxa"/>
            <w:tcBorders>
              <w:top w:val="nil"/>
              <w:left w:val="nil"/>
              <w:bottom w:val="nil"/>
              <w:right w:val="nil"/>
            </w:tcBorders>
            <w:shd w:val="clear" w:color="auto" w:fill="auto"/>
            <w:noWrap/>
            <w:vAlign w:val="bottom"/>
          </w:tcPr>
          <w:p w14:paraId="0FF3DD9B" w14:textId="68224939"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19892BB3"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214.4</w:t>
            </w:r>
          </w:p>
        </w:tc>
        <w:tc>
          <w:tcPr>
            <w:tcW w:w="1313" w:type="dxa"/>
            <w:tcBorders>
              <w:top w:val="nil"/>
              <w:left w:val="nil"/>
              <w:bottom w:val="nil"/>
              <w:right w:val="nil"/>
            </w:tcBorders>
            <w:shd w:val="clear" w:color="auto" w:fill="auto"/>
            <w:noWrap/>
            <w:vAlign w:val="bottom"/>
            <w:hideMark/>
          </w:tcPr>
          <w:p w14:paraId="3E5E21D5"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 xml:space="preserve">                     - </w:t>
            </w:r>
          </w:p>
        </w:tc>
      </w:tr>
      <w:tr w:rsidR="00463A75" w:rsidRPr="003E76E7" w14:paraId="6D48CA89" w14:textId="77777777" w:rsidTr="00B17397">
        <w:trPr>
          <w:trHeight w:val="225"/>
        </w:trPr>
        <w:tc>
          <w:tcPr>
            <w:tcW w:w="3119" w:type="dxa"/>
            <w:tcBorders>
              <w:top w:val="nil"/>
              <w:left w:val="nil"/>
              <w:bottom w:val="nil"/>
              <w:right w:val="nil"/>
            </w:tcBorders>
            <w:shd w:val="clear" w:color="auto" w:fill="auto"/>
            <w:vAlign w:val="bottom"/>
            <w:hideMark/>
          </w:tcPr>
          <w:p w14:paraId="3434F784"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Henderson Maritime Precinct</w:t>
            </w:r>
          </w:p>
        </w:tc>
        <w:tc>
          <w:tcPr>
            <w:tcW w:w="1911" w:type="dxa"/>
            <w:tcBorders>
              <w:top w:val="nil"/>
              <w:left w:val="nil"/>
              <w:bottom w:val="nil"/>
              <w:right w:val="nil"/>
            </w:tcBorders>
            <w:shd w:val="clear" w:color="auto" w:fill="auto"/>
            <w:noWrap/>
            <w:vAlign w:val="bottom"/>
            <w:hideMark/>
          </w:tcPr>
          <w:p w14:paraId="6F08652E"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WA - Fremantle</w:t>
            </w:r>
          </w:p>
        </w:tc>
        <w:tc>
          <w:tcPr>
            <w:tcW w:w="1141" w:type="dxa"/>
            <w:tcBorders>
              <w:top w:val="nil"/>
              <w:left w:val="nil"/>
              <w:bottom w:val="nil"/>
              <w:right w:val="nil"/>
            </w:tcBorders>
            <w:shd w:val="clear" w:color="auto" w:fill="auto"/>
            <w:noWrap/>
            <w:vAlign w:val="bottom"/>
            <w:hideMark/>
          </w:tcPr>
          <w:p w14:paraId="301E9AEF" w14:textId="255F9504"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212A9B2B"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54.7</w:t>
            </w:r>
          </w:p>
        </w:tc>
        <w:tc>
          <w:tcPr>
            <w:tcW w:w="1313" w:type="dxa"/>
            <w:tcBorders>
              <w:top w:val="nil"/>
              <w:left w:val="nil"/>
              <w:bottom w:val="nil"/>
              <w:right w:val="nil"/>
            </w:tcBorders>
            <w:shd w:val="clear" w:color="auto" w:fill="auto"/>
            <w:noWrap/>
            <w:vAlign w:val="bottom"/>
            <w:hideMark/>
          </w:tcPr>
          <w:p w14:paraId="7A8F7A03"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 xml:space="preserve">                     - </w:t>
            </w:r>
          </w:p>
        </w:tc>
      </w:tr>
      <w:tr w:rsidR="00463A75" w:rsidRPr="003E76E7" w14:paraId="32E5E1A9" w14:textId="77777777" w:rsidTr="00B17397">
        <w:trPr>
          <w:trHeight w:val="225"/>
        </w:trPr>
        <w:tc>
          <w:tcPr>
            <w:tcW w:w="3119" w:type="dxa"/>
            <w:tcBorders>
              <w:top w:val="nil"/>
              <w:left w:val="nil"/>
              <w:bottom w:val="single" w:sz="4" w:space="0" w:color="auto"/>
              <w:right w:val="nil"/>
            </w:tcBorders>
            <w:shd w:val="clear" w:color="auto" w:fill="auto"/>
            <w:vAlign w:val="bottom"/>
            <w:hideMark/>
          </w:tcPr>
          <w:p w14:paraId="1C8ED6F1"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Total</w:t>
            </w:r>
          </w:p>
        </w:tc>
        <w:tc>
          <w:tcPr>
            <w:tcW w:w="1911" w:type="dxa"/>
            <w:tcBorders>
              <w:top w:val="nil"/>
              <w:left w:val="nil"/>
              <w:bottom w:val="single" w:sz="4" w:space="0" w:color="auto"/>
              <w:right w:val="nil"/>
            </w:tcBorders>
            <w:shd w:val="clear" w:color="auto" w:fill="auto"/>
            <w:noWrap/>
            <w:vAlign w:val="bottom"/>
            <w:hideMark/>
          </w:tcPr>
          <w:p w14:paraId="2ED8A80E"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 </w:t>
            </w:r>
          </w:p>
        </w:tc>
        <w:tc>
          <w:tcPr>
            <w:tcW w:w="1141" w:type="dxa"/>
            <w:tcBorders>
              <w:top w:val="nil"/>
              <w:left w:val="nil"/>
              <w:bottom w:val="single" w:sz="4" w:space="0" w:color="auto"/>
              <w:right w:val="nil"/>
            </w:tcBorders>
            <w:shd w:val="clear" w:color="auto" w:fill="auto"/>
            <w:noWrap/>
            <w:vAlign w:val="bottom"/>
            <w:hideMark/>
          </w:tcPr>
          <w:p w14:paraId="48B3E605"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918.5</w:t>
            </w:r>
          </w:p>
        </w:tc>
        <w:tc>
          <w:tcPr>
            <w:tcW w:w="1462" w:type="dxa"/>
            <w:tcBorders>
              <w:top w:val="nil"/>
              <w:left w:val="nil"/>
              <w:bottom w:val="single" w:sz="4" w:space="0" w:color="auto"/>
              <w:right w:val="nil"/>
            </w:tcBorders>
            <w:shd w:val="clear" w:color="auto" w:fill="auto"/>
            <w:noWrap/>
            <w:vAlign w:val="bottom"/>
            <w:hideMark/>
          </w:tcPr>
          <w:p w14:paraId="388C2BDA"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695.7</w:t>
            </w:r>
          </w:p>
        </w:tc>
        <w:tc>
          <w:tcPr>
            <w:tcW w:w="1313" w:type="dxa"/>
            <w:tcBorders>
              <w:top w:val="nil"/>
              <w:left w:val="nil"/>
              <w:bottom w:val="single" w:sz="4" w:space="0" w:color="auto"/>
              <w:right w:val="nil"/>
            </w:tcBorders>
            <w:shd w:val="clear" w:color="auto" w:fill="auto"/>
            <w:noWrap/>
            <w:vAlign w:val="bottom"/>
            <w:hideMark/>
          </w:tcPr>
          <w:p w14:paraId="747B2275"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70.1</w:t>
            </w:r>
          </w:p>
        </w:tc>
      </w:tr>
      <w:tr w:rsidR="00463A75" w:rsidRPr="003E76E7" w14:paraId="7DC5FCBD" w14:textId="77777777" w:rsidTr="00B17397">
        <w:trPr>
          <w:trHeight w:val="225"/>
        </w:trPr>
        <w:tc>
          <w:tcPr>
            <w:tcW w:w="3119" w:type="dxa"/>
            <w:tcBorders>
              <w:top w:val="nil"/>
              <w:left w:val="nil"/>
              <w:bottom w:val="nil"/>
              <w:right w:val="nil"/>
            </w:tcBorders>
            <w:shd w:val="clear" w:color="auto" w:fill="auto"/>
            <w:vAlign w:val="center"/>
            <w:hideMark/>
          </w:tcPr>
          <w:p w14:paraId="380ECD50"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xml:space="preserve">Navy Capability Infrastructure </w:t>
            </w:r>
            <w:r w:rsidRPr="003E76E7">
              <w:rPr>
                <w:rFonts w:ascii="Arial" w:hAnsi="Arial"/>
                <w:b/>
                <w:bCs/>
                <w:color w:val="000000"/>
                <w:sz w:val="16"/>
                <w:szCs w:val="16"/>
                <w:lang w:val="en-AU"/>
              </w:rPr>
              <w:br/>
              <w:t xml:space="preserve">Sub-program: Hunter Class Frigate Program Facilities </w:t>
            </w:r>
            <w:r w:rsidRPr="003E76E7">
              <w:rPr>
                <w:rFonts w:ascii="Arial" w:hAnsi="Arial"/>
                <w:b/>
                <w:bCs/>
                <w:color w:val="000000"/>
                <w:sz w:val="16"/>
                <w:szCs w:val="16"/>
                <w:lang w:val="en-AU"/>
              </w:rPr>
              <w:br/>
              <w:t>(SEA 5000 Phase 1)</w:t>
            </w:r>
          </w:p>
        </w:tc>
        <w:tc>
          <w:tcPr>
            <w:tcW w:w="1911" w:type="dxa"/>
            <w:tcBorders>
              <w:top w:val="nil"/>
              <w:left w:val="nil"/>
              <w:bottom w:val="nil"/>
              <w:right w:val="nil"/>
            </w:tcBorders>
            <w:shd w:val="clear" w:color="auto" w:fill="auto"/>
            <w:vAlign w:val="center"/>
            <w:hideMark/>
          </w:tcPr>
          <w:p w14:paraId="2AE74364"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141" w:type="dxa"/>
            <w:tcBorders>
              <w:top w:val="nil"/>
              <w:left w:val="nil"/>
              <w:bottom w:val="nil"/>
              <w:right w:val="nil"/>
            </w:tcBorders>
            <w:shd w:val="clear" w:color="auto" w:fill="auto"/>
            <w:vAlign w:val="center"/>
            <w:hideMark/>
          </w:tcPr>
          <w:p w14:paraId="05111831"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462" w:type="dxa"/>
            <w:tcBorders>
              <w:top w:val="nil"/>
              <w:left w:val="nil"/>
              <w:bottom w:val="nil"/>
              <w:right w:val="nil"/>
            </w:tcBorders>
            <w:shd w:val="clear" w:color="auto" w:fill="auto"/>
            <w:vAlign w:val="center"/>
            <w:hideMark/>
          </w:tcPr>
          <w:p w14:paraId="7BD9C080"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313" w:type="dxa"/>
            <w:tcBorders>
              <w:top w:val="nil"/>
              <w:left w:val="nil"/>
              <w:bottom w:val="nil"/>
              <w:right w:val="nil"/>
            </w:tcBorders>
            <w:shd w:val="clear" w:color="auto" w:fill="auto"/>
            <w:vAlign w:val="center"/>
            <w:hideMark/>
          </w:tcPr>
          <w:p w14:paraId="6BBAF13F"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r>
      <w:tr w:rsidR="00463A75" w:rsidRPr="003E76E7" w14:paraId="50201FFC" w14:textId="77777777" w:rsidTr="00067733">
        <w:trPr>
          <w:trHeight w:val="225"/>
        </w:trPr>
        <w:tc>
          <w:tcPr>
            <w:tcW w:w="3119" w:type="dxa"/>
            <w:tcBorders>
              <w:top w:val="nil"/>
              <w:left w:val="nil"/>
              <w:bottom w:val="nil"/>
              <w:right w:val="nil"/>
            </w:tcBorders>
            <w:shd w:val="clear" w:color="auto" w:fill="auto"/>
            <w:vAlign w:val="bottom"/>
            <w:hideMark/>
          </w:tcPr>
          <w:p w14:paraId="2F7DCC6E"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 xml:space="preserve">HMAS </w:t>
            </w:r>
            <w:r w:rsidRPr="002F62D4">
              <w:rPr>
                <w:rFonts w:ascii="Arial" w:hAnsi="Arial"/>
                <w:iCs/>
                <w:color w:val="000000"/>
                <w:sz w:val="16"/>
                <w:szCs w:val="16"/>
                <w:lang w:val="en-AU"/>
              </w:rPr>
              <w:t>Watson</w:t>
            </w:r>
          </w:p>
        </w:tc>
        <w:tc>
          <w:tcPr>
            <w:tcW w:w="1911" w:type="dxa"/>
            <w:tcBorders>
              <w:top w:val="nil"/>
              <w:left w:val="nil"/>
              <w:bottom w:val="nil"/>
              <w:right w:val="nil"/>
            </w:tcBorders>
            <w:shd w:val="clear" w:color="auto" w:fill="auto"/>
            <w:noWrap/>
            <w:vAlign w:val="bottom"/>
            <w:hideMark/>
          </w:tcPr>
          <w:p w14:paraId="081875DA"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NSW - Wentworth</w:t>
            </w:r>
          </w:p>
        </w:tc>
        <w:tc>
          <w:tcPr>
            <w:tcW w:w="1141" w:type="dxa"/>
            <w:tcBorders>
              <w:top w:val="nil"/>
              <w:left w:val="nil"/>
              <w:bottom w:val="nil"/>
              <w:right w:val="nil"/>
            </w:tcBorders>
            <w:shd w:val="clear" w:color="auto" w:fill="auto"/>
            <w:noWrap/>
            <w:vAlign w:val="bottom"/>
          </w:tcPr>
          <w:p w14:paraId="2D6DD02A" w14:textId="1FD0EFBF"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68D795ED"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0.0</w:t>
            </w:r>
          </w:p>
        </w:tc>
        <w:tc>
          <w:tcPr>
            <w:tcW w:w="1313" w:type="dxa"/>
            <w:tcBorders>
              <w:top w:val="nil"/>
              <w:left w:val="nil"/>
              <w:bottom w:val="nil"/>
              <w:right w:val="nil"/>
            </w:tcBorders>
            <w:shd w:val="clear" w:color="auto" w:fill="auto"/>
            <w:noWrap/>
            <w:vAlign w:val="bottom"/>
            <w:hideMark/>
          </w:tcPr>
          <w:p w14:paraId="319F878E"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 xml:space="preserve">                     - </w:t>
            </w:r>
          </w:p>
        </w:tc>
      </w:tr>
      <w:tr w:rsidR="00463A75" w:rsidRPr="003E76E7" w14:paraId="4788A574" w14:textId="77777777" w:rsidTr="00067733">
        <w:trPr>
          <w:trHeight w:val="225"/>
        </w:trPr>
        <w:tc>
          <w:tcPr>
            <w:tcW w:w="3119" w:type="dxa"/>
            <w:tcBorders>
              <w:top w:val="nil"/>
              <w:left w:val="nil"/>
              <w:bottom w:val="nil"/>
              <w:right w:val="nil"/>
            </w:tcBorders>
            <w:shd w:val="clear" w:color="auto" w:fill="auto"/>
            <w:vAlign w:val="bottom"/>
            <w:hideMark/>
          </w:tcPr>
          <w:p w14:paraId="7B77F8BC"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Garden Island Defence Precinct</w:t>
            </w:r>
          </w:p>
        </w:tc>
        <w:tc>
          <w:tcPr>
            <w:tcW w:w="1911" w:type="dxa"/>
            <w:tcBorders>
              <w:top w:val="nil"/>
              <w:left w:val="nil"/>
              <w:bottom w:val="nil"/>
              <w:right w:val="nil"/>
            </w:tcBorders>
            <w:shd w:val="clear" w:color="auto" w:fill="auto"/>
            <w:noWrap/>
            <w:vAlign w:val="bottom"/>
            <w:hideMark/>
          </w:tcPr>
          <w:p w14:paraId="448E3D9B"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NSW - Wentworth</w:t>
            </w:r>
          </w:p>
        </w:tc>
        <w:tc>
          <w:tcPr>
            <w:tcW w:w="1141" w:type="dxa"/>
            <w:tcBorders>
              <w:top w:val="nil"/>
              <w:left w:val="nil"/>
              <w:bottom w:val="nil"/>
              <w:right w:val="nil"/>
            </w:tcBorders>
            <w:shd w:val="clear" w:color="auto" w:fill="auto"/>
            <w:noWrap/>
            <w:vAlign w:val="bottom"/>
          </w:tcPr>
          <w:p w14:paraId="1FDE4026" w14:textId="2D8A3347"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2C4FA74E"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0.0</w:t>
            </w:r>
          </w:p>
        </w:tc>
        <w:tc>
          <w:tcPr>
            <w:tcW w:w="1313" w:type="dxa"/>
            <w:tcBorders>
              <w:top w:val="nil"/>
              <w:left w:val="nil"/>
              <w:bottom w:val="nil"/>
              <w:right w:val="nil"/>
            </w:tcBorders>
            <w:shd w:val="clear" w:color="auto" w:fill="auto"/>
            <w:noWrap/>
            <w:vAlign w:val="bottom"/>
            <w:hideMark/>
          </w:tcPr>
          <w:p w14:paraId="06D22957"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 xml:space="preserve">                     - </w:t>
            </w:r>
          </w:p>
        </w:tc>
      </w:tr>
      <w:tr w:rsidR="00463A75" w:rsidRPr="003E76E7" w14:paraId="3F6AB352" w14:textId="77777777" w:rsidTr="00067733">
        <w:trPr>
          <w:trHeight w:val="225"/>
        </w:trPr>
        <w:tc>
          <w:tcPr>
            <w:tcW w:w="3119" w:type="dxa"/>
            <w:tcBorders>
              <w:top w:val="nil"/>
              <w:left w:val="nil"/>
              <w:bottom w:val="nil"/>
              <w:right w:val="nil"/>
            </w:tcBorders>
            <w:shd w:val="clear" w:color="auto" w:fill="auto"/>
            <w:vAlign w:val="bottom"/>
            <w:hideMark/>
          </w:tcPr>
          <w:p w14:paraId="60402B7B"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St Kilda</w:t>
            </w:r>
          </w:p>
        </w:tc>
        <w:tc>
          <w:tcPr>
            <w:tcW w:w="1911" w:type="dxa"/>
            <w:tcBorders>
              <w:top w:val="nil"/>
              <w:left w:val="nil"/>
              <w:bottom w:val="nil"/>
              <w:right w:val="nil"/>
            </w:tcBorders>
            <w:shd w:val="clear" w:color="auto" w:fill="auto"/>
            <w:noWrap/>
            <w:vAlign w:val="bottom"/>
            <w:hideMark/>
          </w:tcPr>
          <w:p w14:paraId="18D0ED72" w14:textId="77777777" w:rsidR="00463A75" w:rsidRPr="003E76E7" w:rsidRDefault="00463A75" w:rsidP="00C4292D">
            <w:pPr>
              <w:spacing w:before="0" w:after="0"/>
              <w:jc w:val="right"/>
              <w:rPr>
                <w:rFonts w:ascii="Arial" w:hAnsi="Arial"/>
                <w:sz w:val="16"/>
                <w:szCs w:val="16"/>
                <w:lang w:val="en-AU"/>
              </w:rPr>
            </w:pPr>
            <w:r w:rsidRPr="003E76E7">
              <w:rPr>
                <w:rFonts w:ascii="Arial" w:hAnsi="Arial"/>
                <w:sz w:val="16"/>
                <w:szCs w:val="16"/>
                <w:lang w:val="en-AU"/>
              </w:rPr>
              <w:t>SA - Spence</w:t>
            </w:r>
          </w:p>
        </w:tc>
        <w:tc>
          <w:tcPr>
            <w:tcW w:w="1141" w:type="dxa"/>
            <w:tcBorders>
              <w:top w:val="nil"/>
              <w:left w:val="nil"/>
              <w:bottom w:val="nil"/>
              <w:right w:val="nil"/>
            </w:tcBorders>
            <w:shd w:val="clear" w:color="auto" w:fill="auto"/>
            <w:noWrap/>
            <w:vAlign w:val="bottom"/>
          </w:tcPr>
          <w:p w14:paraId="2231E723" w14:textId="29DDE9CF" w:rsidR="00463A75" w:rsidRPr="003E76E7" w:rsidRDefault="00463A75" w:rsidP="00C4292D">
            <w:pPr>
              <w:spacing w:before="0" w:after="0"/>
              <w:jc w:val="right"/>
              <w:rPr>
                <w:rFonts w:ascii="Arial" w:hAnsi="Arial"/>
                <w:sz w:val="16"/>
                <w:szCs w:val="16"/>
                <w:lang w:val="en-AU"/>
              </w:rPr>
            </w:pPr>
          </w:p>
        </w:tc>
        <w:tc>
          <w:tcPr>
            <w:tcW w:w="1462" w:type="dxa"/>
            <w:tcBorders>
              <w:top w:val="nil"/>
              <w:left w:val="nil"/>
              <w:bottom w:val="nil"/>
              <w:right w:val="nil"/>
            </w:tcBorders>
            <w:shd w:val="clear" w:color="auto" w:fill="auto"/>
            <w:noWrap/>
            <w:vAlign w:val="bottom"/>
            <w:hideMark/>
          </w:tcPr>
          <w:p w14:paraId="6F7CF072"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101.2</w:t>
            </w:r>
          </w:p>
        </w:tc>
        <w:tc>
          <w:tcPr>
            <w:tcW w:w="1313" w:type="dxa"/>
            <w:tcBorders>
              <w:top w:val="nil"/>
              <w:left w:val="nil"/>
              <w:bottom w:val="nil"/>
              <w:right w:val="nil"/>
            </w:tcBorders>
            <w:shd w:val="clear" w:color="auto" w:fill="auto"/>
            <w:noWrap/>
            <w:vAlign w:val="bottom"/>
            <w:hideMark/>
          </w:tcPr>
          <w:p w14:paraId="2721313D"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 xml:space="preserve">                     - </w:t>
            </w:r>
          </w:p>
        </w:tc>
      </w:tr>
      <w:tr w:rsidR="00463A75" w:rsidRPr="003E76E7" w14:paraId="2EDFFAA4" w14:textId="77777777" w:rsidTr="00067733">
        <w:trPr>
          <w:trHeight w:val="225"/>
        </w:trPr>
        <w:tc>
          <w:tcPr>
            <w:tcW w:w="3119" w:type="dxa"/>
            <w:tcBorders>
              <w:top w:val="nil"/>
              <w:left w:val="nil"/>
              <w:bottom w:val="nil"/>
              <w:right w:val="nil"/>
            </w:tcBorders>
            <w:shd w:val="clear" w:color="auto" w:fill="auto"/>
            <w:vAlign w:val="bottom"/>
            <w:hideMark/>
          </w:tcPr>
          <w:p w14:paraId="7B6E3989"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Osborne Naval Shipyard</w:t>
            </w:r>
          </w:p>
        </w:tc>
        <w:tc>
          <w:tcPr>
            <w:tcW w:w="1911" w:type="dxa"/>
            <w:tcBorders>
              <w:top w:val="nil"/>
              <w:left w:val="nil"/>
              <w:bottom w:val="nil"/>
              <w:right w:val="nil"/>
            </w:tcBorders>
            <w:shd w:val="clear" w:color="auto" w:fill="auto"/>
            <w:noWrap/>
            <w:vAlign w:val="bottom"/>
            <w:hideMark/>
          </w:tcPr>
          <w:p w14:paraId="4EA23A6C"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SA - Hindmarsh</w:t>
            </w:r>
          </w:p>
        </w:tc>
        <w:tc>
          <w:tcPr>
            <w:tcW w:w="1141" w:type="dxa"/>
            <w:tcBorders>
              <w:top w:val="nil"/>
              <w:left w:val="nil"/>
              <w:bottom w:val="nil"/>
              <w:right w:val="nil"/>
            </w:tcBorders>
            <w:shd w:val="clear" w:color="auto" w:fill="auto"/>
            <w:noWrap/>
            <w:vAlign w:val="bottom"/>
          </w:tcPr>
          <w:p w14:paraId="40A8329A" w14:textId="415F7AD3"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0FAA10F8"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146.7</w:t>
            </w:r>
          </w:p>
        </w:tc>
        <w:tc>
          <w:tcPr>
            <w:tcW w:w="1313" w:type="dxa"/>
            <w:tcBorders>
              <w:top w:val="nil"/>
              <w:left w:val="nil"/>
              <w:bottom w:val="nil"/>
              <w:right w:val="nil"/>
            </w:tcBorders>
            <w:shd w:val="clear" w:color="auto" w:fill="auto"/>
            <w:noWrap/>
            <w:vAlign w:val="bottom"/>
            <w:hideMark/>
          </w:tcPr>
          <w:p w14:paraId="0A59B777"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3.2</w:t>
            </w:r>
          </w:p>
        </w:tc>
      </w:tr>
      <w:tr w:rsidR="00463A75" w:rsidRPr="003E76E7" w14:paraId="3EF0A23C" w14:textId="77777777" w:rsidTr="00067733">
        <w:trPr>
          <w:trHeight w:val="225"/>
        </w:trPr>
        <w:tc>
          <w:tcPr>
            <w:tcW w:w="3119" w:type="dxa"/>
            <w:tcBorders>
              <w:top w:val="nil"/>
              <w:left w:val="nil"/>
              <w:bottom w:val="nil"/>
              <w:right w:val="nil"/>
            </w:tcBorders>
            <w:shd w:val="clear" w:color="auto" w:fill="auto"/>
            <w:vAlign w:val="bottom"/>
            <w:hideMark/>
          </w:tcPr>
          <w:p w14:paraId="619F3813"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 xml:space="preserve">HMAS </w:t>
            </w:r>
            <w:r w:rsidRPr="00C210BD">
              <w:rPr>
                <w:rFonts w:ascii="Arial" w:hAnsi="Arial"/>
                <w:iCs/>
                <w:color w:val="000000"/>
                <w:sz w:val="16"/>
                <w:szCs w:val="16"/>
                <w:lang w:val="en-AU"/>
              </w:rPr>
              <w:t>Stirling</w:t>
            </w:r>
          </w:p>
        </w:tc>
        <w:tc>
          <w:tcPr>
            <w:tcW w:w="1911" w:type="dxa"/>
            <w:tcBorders>
              <w:top w:val="nil"/>
              <w:left w:val="nil"/>
              <w:bottom w:val="nil"/>
              <w:right w:val="nil"/>
            </w:tcBorders>
            <w:shd w:val="clear" w:color="auto" w:fill="auto"/>
            <w:noWrap/>
            <w:vAlign w:val="bottom"/>
            <w:hideMark/>
          </w:tcPr>
          <w:p w14:paraId="34370A38"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WA - Brand</w:t>
            </w:r>
          </w:p>
        </w:tc>
        <w:tc>
          <w:tcPr>
            <w:tcW w:w="1141" w:type="dxa"/>
            <w:tcBorders>
              <w:top w:val="nil"/>
              <w:left w:val="nil"/>
              <w:bottom w:val="nil"/>
              <w:right w:val="nil"/>
            </w:tcBorders>
            <w:shd w:val="clear" w:color="auto" w:fill="auto"/>
            <w:noWrap/>
            <w:vAlign w:val="bottom"/>
          </w:tcPr>
          <w:p w14:paraId="3E8FCD9A" w14:textId="06F7B537"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2DCF5CD2"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268.7</w:t>
            </w:r>
          </w:p>
        </w:tc>
        <w:tc>
          <w:tcPr>
            <w:tcW w:w="1313" w:type="dxa"/>
            <w:tcBorders>
              <w:top w:val="nil"/>
              <w:left w:val="nil"/>
              <w:bottom w:val="nil"/>
              <w:right w:val="nil"/>
            </w:tcBorders>
            <w:shd w:val="clear" w:color="auto" w:fill="auto"/>
            <w:noWrap/>
            <w:vAlign w:val="bottom"/>
            <w:hideMark/>
          </w:tcPr>
          <w:p w14:paraId="0728AFE5"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0.6</w:t>
            </w:r>
          </w:p>
        </w:tc>
      </w:tr>
      <w:tr w:rsidR="00463A75" w:rsidRPr="003E76E7" w14:paraId="26D19DBA" w14:textId="77777777" w:rsidTr="00067733">
        <w:trPr>
          <w:trHeight w:val="225"/>
        </w:trPr>
        <w:tc>
          <w:tcPr>
            <w:tcW w:w="3119" w:type="dxa"/>
            <w:tcBorders>
              <w:top w:val="nil"/>
              <w:left w:val="nil"/>
              <w:bottom w:val="nil"/>
              <w:right w:val="nil"/>
            </w:tcBorders>
            <w:shd w:val="clear" w:color="auto" w:fill="auto"/>
            <w:vAlign w:val="bottom"/>
            <w:hideMark/>
          </w:tcPr>
          <w:p w14:paraId="308C9A8F"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Henderson Maritime Precinct</w:t>
            </w:r>
          </w:p>
        </w:tc>
        <w:tc>
          <w:tcPr>
            <w:tcW w:w="1911" w:type="dxa"/>
            <w:tcBorders>
              <w:top w:val="nil"/>
              <w:left w:val="nil"/>
              <w:bottom w:val="nil"/>
              <w:right w:val="nil"/>
            </w:tcBorders>
            <w:shd w:val="clear" w:color="auto" w:fill="auto"/>
            <w:noWrap/>
            <w:vAlign w:val="bottom"/>
            <w:hideMark/>
          </w:tcPr>
          <w:p w14:paraId="1D1233B9"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WA - Fremantle</w:t>
            </w:r>
          </w:p>
        </w:tc>
        <w:tc>
          <w:tcPr>
            <w:tcW w:w="1141" w:type="dxa"/>
            <w:tcBorders>
              <w:top w:val="nil"/>
              <w:left w:val="nil"/>
              <w:bottom w:val="nil"/>
              <w:right w:val="nil"/>
            </w:tcBorders>
            <w:shd w:val="clear" w:color="auto" w:fill="auto"/>
            <w:noWrap/>
            <w:vAlign w:val="bottom"/>
          </w:tcPr>
          <w:p w14:paraId="5E56F687" w14:textId="67EFBA2C"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493C8D55"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104.9</w:t>
            </w:r>
          </w:p>
        </w:tc>
        <w:tc>
          <w:tcPr>
            <w:tcW w:w="1313" w:type="dxa"/>
            <w:tcBorders>
              <w:top w:val="nil"/>
              <w:left w:val="nil"/>
              <w:bottom w:val="nil"/>
              <w:right w:val="nil"/>
            </w:tcBorders>
            <w:shd w:val="clear" w:color="auto" w:fill="auto"/>
            <w:noWrap/>
            <w:vAlign w:val="bottom"/>
            <w:hideMark/>
          </w:tcPr>
          <w:p w14:paraId="3306CC1F"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 xml:space="preserve">                     - </w:t>
            </w:r>
          </w:p>
        </w:tc>
      </w:tr>
      <w:tr w:rsidR="00463A75" w:rsidRPr="003E76E7" w14:paraId="64A89343" w14:textId="77777777" w:rsidTr="00B17397">
        <w:trPr>
          <w:trHeight w:val="225"/>
        </w:trPr>
        <w:tc>
          <w:tcPr>
            <w:tcW w:w="3119" w:type="dxa"/>
            <w:tcBorders>
              <w:top w:val="nil"/>
              <w:left w:val="nil"/>
              <w:bottom w:val="single" w:sz="4" w:space="0" w:color="auto"/>
              <w:right w:val="nil"/>
            </w:tcBorders>
            <w:shd w:val="clear" w:color="auto" w:fill="auto"/>
            <w:vAlign w:val="bottom"/>
            <w:hideMark/>
          </w:tcPr>
          <w:p w14:paraId="529CA197"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Total</w:t>
            </w:r>
          </w:p>
        </w:tc>
        <w:tc>
          <w:tcPr>
            <w:tcW w:w="1911" w:type="dxa"/>
            <w:tcBorders>
              <w:top w:val="nil"/>
              <w:left w:val="nil"/>
              <w:bottom w:val="single" w:sz="4" w:space="0" w:color="auto"/>
              <w:right w:val="nil"/>
            </w:tcBorders>
            <w:shd w:val="clear" w:color="auto" w:fill="auto"/>
            <w:noWrap/>
            <w:vAlign w:val="bottom"/>
            <w:hideMark/>
          </w:tcPr>
          <w:p w14:paraId="5DF00076"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 </w:t>
            </w:r>
          </w:p>
        </w:tc>
        <w:tc>
          <w:tcPr>
            <w:tcW w:w="1141" w:type="dxa"/>
            <w:tcBorders>
              <w:top w:val="nil"/>
              <w:left w:val="nil"/>
              <w:bottom w:val="single" w:sz="4" w:space="0" w:color="auto"/>
              <w:right w:val="nil"/>
            </w:tcBorders>
            <w:shd w:val="clear" w:color="auto" w:fill="auto"/>
            <w:noWrap/>
            <w:vAlign w:val="bottom"/>
            <w:hideMark/>
          </w:tcPr>
          <w:p w14:paraId="5B4E8A34"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915.5</w:t>
            </w:r>
          </w:p>
        </w:tc>
        <w:tc>
          <w:tcPr>
            <w:tcW w:w="1462" w:type="dxa"/>
            <w:tcBorders>
              <w:top w:val="nil"/>
              <w:left w:val="nil"/>
              <w:bottom w:val="single" w:sz="4" w:space="0" w:color="auto"/>
              <w:right w:val="nil"/>
            </w:tcBorders>
            <w:shd w:val="clear" w:color="auto" w:fill="auto"/>
            <w:noWrap/>
            <w:vAlign w:val="bottom"/>
            <w:hideMark/>
          </w:tcPr>
          <w:p w14:paraId="6F18D6D6"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621.5</w:t>
            </w:r>
          </w:p>
        </w:tc>
        <w:tc>
          <w:tcPr>
            <w:tcW w:w="1313" w:type="dxa"/>
            <w:tcBorders>
              <w:top w:val="nil"/>
              <w:left w:val="nil"/>
              <w:bottom w:val="single" w:sz="4" w:space="0" w:color="auto"/>
              <w:right w:val="nil"/>
            </w:tcBorders>
            <w:shd w:val="clear" w:color="auto" w:fill="auto"/>
            <w:noWrap/>
            <w:vAlign w:val="bottom"/>
            <w:hideMark/>
          </w:tcPr>
          <w:p w14:paraId="26F6C9CD"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3.8</w:t>
            </w:r>
          </w:p>
        </w:tc>
      </w:tr>
      <w:tr w:rsidR="00463A75" w:rsidRPr="003E76E7" w14:paraId="616A46B7" w14:textId="77777777" w:rsidTr="00B17397">
        <w:trPr>
          <w:trHeight w:val="225"/>
        </w:trPr>
        <w:tc>
          <w:tcPr>
            <w:tcW w:w="3119" w:type="dxa"/>
            <w:tcBorders>
              <w:top w:val="nil"/>
              <w:left w:val="nil"/>
              <w:bottom w:val="nil"/>
              <w:right w:val="nil"/>
            </w:tcBorders>
            <w:shd w:val="clear" w:color="auto" w:fill="auto"/>
            <w:vAlign w:val="center"/>
            <w:hideMark/>
          </w:tcPr>
          <w:p w14:paraId="322670B8"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Maritime Patrol Aircraft Replacement (AIR 7000 Phase 2B)</w:t>
            </w:r>
          </w:p>
        </w:tc>
        <w:tc>
          <w:tcPr>
            <w:tcW w:w="1911" w:type="dxa"/>
            <w:tcBorders>
              <w:top w:val="nil"/>
              <w:left w:val="nil"/>
              <w:bottom w:val="nil"/>
              <w:right w:val="nil"/>
            </w:tcBorders>
            <w:shd w:val="clear" w:color="auto" w:fill="auto"/>
            <w:vAlign w:val="center"/>
            <w:hideMark/>
          </w:tcPr>
          <w:p w14:paraId="07BF1498"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141" w:type="dxa"/>
            <w:tcBorders>
              <w:top w:val="nil"/>
              <w:left w:val="nil"/>
              <w:bottom w:val="nil"/>
              <w:right w:val="nil"/>
            </w:tcBorders>
            <w:shd w:val="clear" w:color="auto" w:fill="auto"/>
            <w:vAlign w:val="center"/>
            <w:hideMark/>
          </w:tcPr>
          <w:p w14:paraId="4885C537"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462" w:type="dxa"/>
            <w:tcBorders>
              <w:top w:val="nil"/>
              <w:left w:val="nil"/>
              <w:bottom w:val="nil"/>
              <w:right w:val="nil"/>
            </w:tcBorders>
            <w:shd w:val="clear" w:color="auto" w:fill="auto"/>
            <w:vAlign w:val="center"/>
            <w:hideMark/>
          </w:tcPr>
          <w:p w14:paraId="4EEB9915"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313" w:type="dxa"/>
            <w:tcBorders>
              <w:top w:val="nil"/>
              <w:left w:val="nil"/>
              <w:bottom w:val="nil"/>
              <w:right w:val="nil"/>
            </w:tcBorders>
            <w:shd w:val="clear" w:color="auto" w:fill="auto"/>
            <w:vAlign w:val="center"/>
            <w:hideMark/>
          </w:tcPr>
          <w:p w14:paraId="3F5CAD1F"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r>
      <w:tr w:rsidR="00463A75" w:rsidRPr="003E76E7" w14:paraId="097E9F1B" w14:textId="77777777" w:rsidTr="00B17397">
        <w:trPr>
          <w:trHeight w:val="225"/>
        </w:trPr>
        <w:tc>
          <w:tcPr>
            <w:tcW w:w="3119" w:type="dxa"/>
            <w:tcBorders>
              <w:top w:val="nil"/>
              <w:left w:val="nil"/>
              <w:bottom w:val="nil"/>
              <w:right w:val="nil"/>
            </w:tcBorders>
            <w:shd w:val="clear" w:color="auto" w:fill="auto"/>
            <w:vAlign w:val="bottom"/>
            <w:hideMark/>
          </w:tcPr>
          <w:p w14:paraId="4527CD1F"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RAAF Base Edinburgh</w:t>
            </w:r>
          </w:p>
        </w:tc>
        <w:tc>
          <w:tcPr>
            <w:tcW w:w="1911" w:type="dxa"/>
            <w:tcBorders>
              <w:top w:val="nil"/>
              <w:left w:val="nil"/>
              <w:bottom w:val="nil"/>
              <w:right w:val="nil"/>
            </w:tcBorders>
            <w:shd w:val="clear" w:color="auto" w:fill="auto"/>
            <w:noWrap/>
            <w:vAlign w:val="bottom"/>
            <w:hideMark/>
          </w:tcPr>
          <w:p w14:paraId="22F4F4A8"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SA - Spence</w:t>
            </w:r>
          </w:p>
        </w:tc>
        <w:tc>
          <w:tcPr>
            <w:tcW w:w="1141" w:type="dxa"/>
            <w:tcBorders>
              <w:top w:val="nil"/>
              <w:left w:val="nil"/>
              <w:bottom w:val="nil"/>
              <w:right w:val="nil"/>
            </w:tcBorders>
            <w:shd w:val="clear" w:color="auto" w:fill="auto"/>
            <w:noWrap/>
            <w:vAlign w:val="bottom"/>
            <w:hideMark/>
          </w:tcPr>
          <w:p w14:paraId="2A5A9511" w14:textId="77777777"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70158451"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539.0</w:t>
            </w:r>
          </w:p>
        </w:tc>
        <w:tc>
          <w:tcPr>
            <w:tcW w:w="1313" w:type="dxa"/>
            <w:tcBorders>
              <w:top w:val="nil"/>
              <w:left w:val="nil"/>
              <w:bottom w:val="nil"/>
              <w:right w:val="nil"/>
            </w:tcBorders>
            <w:shd w:val="clear" w:color="auto" w:fill="auto"/>
            <w:noWrap/>
            <w:vAlign w:val="bottom"/>
            <w:hideMark/>
          </w:tcPr>
          <w:p w14:paraId="0481FAC9"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25.2</w:t>
            </w:r>
          </w:p>
        </w:tc>
      </w:tr>
      <w:tr w:rsidR="00463A75" w:rsidRPr="003E76E7" w14:paraId="0AFD3D88" w14:textId="77777777" w:rsidTr="00B17397">
        <w:trPr>
          <w:trHeight w:val="225"/>
        </w:trPr>
        <w:tc>
          <w:tcPr>
            <w:tcW w:w="3119" w:type="dxa"/>
            <w:tcBorders>
              <w:top w:val="nil"/>
              <w:left w:val="nil"/>
              <w:bottom w:val="nil"/>
              <w:right w:val="nil"/>
            </w:tcBorders>
            <w:shd w:val="clear" w:color="auto" w:fill="auto"/>
            <w:vAlign w:val="bottom"/>
            <w:hideMark/>
          </w:tcPr>
          <w:p w14:paraId="59AA771E"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RAAF Base Darwin</w:t>
            </w:r>
          </w:p>
        </w:tc>
        <w:tc>
          <w:tcPr>
            <w:tcW w:w="1911" w:type="dxa"/>
            <w:tcBorders>
              <w:top w:val="nil"/>
              <w:left w:val="nil"/>
              <w:bottom w:val="nil"/>
              <w:right w:val="nil"/>
            </w:tcBorders>
            <w:shd w:val="clear" w:color="auto" w:fill="auto"/>
            <w:noWrap/>
            <w:vAlign w:val="bottom"/>
            <w:hideMark/>
          </w:tcPr>
          <w:p w14:paraId="7BA8AF75"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NT - Solomon</w:t>
            </w:r>
          </w:p>
        </w:tc>
        <w:tc>
          <w:tcPr>
            <w:tcW w:w="1141" w:type="dxa"/>
            <w:tcBorders>
              <w:top w:val="nil"/>
              <w:left w:val="nil"/>
              <w:bottom w:val="nil"/>
              <w:right w:val="nil"/>
            </w:tcBorders>
            <w:shd w:val="clear" w:color="auto" w:fill="auto"/>
            <w:noWrap/>
            <w:vAlign w:val="bottom"/>
            <w:hideMark/>
          </w:tcPr>
          <w:p w14:paraId="11601B7C" w14:textId="77777777"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2F0B20D1"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159.5</w:t>
            </w:r>
          </w:p>
        </w:tc>
        <w:tc>
          <w:tcPr>
            <w:tcW w:w="1313" w:type="dxa"/>
            <w:tcBorders>
              <w:top w:val="nil"/>
              <w:left w:val="nil"/>
              <w:bottom w:val="nil"/>
              <w:right w:val="nil"/>
            </w:tcBorders>
            <w:shd w:val="clear" w:color="auto" w:fill="auto"/>
            <w:noWrap/>
            <w:vAlign w:val="bottom"/>
            <w:hideMark/>
          </w:tcPr>
          <w:p w14:paraId="58F6B150"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 xml:space="preserve">                     - </w:t>
            </w:r>
          </w:p>
        </w:tc>
      </w:tr>
      <w:tr w:rsidR="00463A75" w:rsidRPr="003E76E7" w14:paraId="70FFC268" w14:textId="77777777" w:rsidTr="00B17397">
        <w:trPr>
          <w:trHeight w:val="225"/>
        </w:trPr>
        <w:tc>
          <w:tcPr>
            <w:tcW w:w="3119" w:type="dxa"/>
            <w:tcBorders>
              <w:top w:val="nil"/>
              <w:left w:val="nil"/>
              <w:bottom w:val="nil"/>
              <w:right w:val="nil"/>
            </w:tcBorders>
            <w:shd w:val="clear" w:color="auto" w:fill="auto"/>
            <w:vAlign w:val="bottom"/>
            <w:hideMark/>
          </w:tcPr>
          <w:p w14:paraId="302E3A5D"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RAAF Base Townsville</w:t>
            </w:r>
          </w:p>
        </w:tc>
        <w:tc>
          <w:tcPr>
            <w:tcW w:w="1911" w:type="dxa"/>
            <w:tcBorders>
              <w:top w:val="nil"/>
              <w:left w:val="nil"/>
              <w:bottom w:val="nil"/>
              <w:right w:val="nil"/>
            </w:tcBorders>
            <w:shd w:val="clear" w:color="auto" w:fill="auto"/>
            <w:noWrap/>
            <w:vAlign w:val="bottom"/>
            <w:hideMark/>
          </w:tcPr>
          <w:p w14:paraId="7881BED9"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QLD - Herbert</w:t>
            </w:r>
          </w:p>
        </w:tc>
        <w:tc>
          <w:tcPr>
            <w:tcW w:w="1141" w:type="dxa"/>
            <w:tcBorders>
              <w:top w:val="nil"/>
              <w:left w:val="nil"/>
              <w:bottom w:val="nil"/>
              <w:right w:val="nil"/>
            </w:tcBorders>
            <w:shd w:val="clear" w:color="auto" w:fill="auto"/>
            <w:noWrap/>
            <w:vAlign w:val="bottom"/>
            <w:hideMark/>
          </w:tcPr>
          <w:p w14:paraId="24838C76" w14:textId="77777777"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65B047A2"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25.8</w:t>
            </w:r>
          </w:p>
        </w:tc>
        <w:tc>
          <w:tcPr>
            <w:tcW w:w="1313" w:type="dxa"/>
            <w:tcBorders>
              <w:top w:val="nil"/>
              <w:left w:val="nil"/>
              <w:bottom w:val="nil"/>
              <w:right w:val="nil"/>
            </w:tcBorders>
            <w:shd w:val="clear" w:color="auto" w:fill="auto"/>
            <w:noWrap/>
            <w:vAlign w:val="bottom"/>
            <w:hideMark/>
          </w:tcPr>
          <w:p w14:paraId="36B8F79B"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 xml:space="preserve">                     - </w:t>
            </w:r>
          </w:p>
        </w:tc>
      </w:tr>
      <w:tr w:rsidR="00463A75" w:rsidRPr="003E76E7" w14:paraId="14A05CA2" w14:textId="77777777" w:rsidTr="00B17397">
        <w:trPr>
          <w:trHeight w:val="225"/>
        </w:trPr>
        <w:tc>
          <w:tcPr>
            <w:tcW w:w="3119" w:type="dxa"/>
            <w:tcBorders>
              <w:top w:val="nil"/>
              <w:left w:val="nil"/>
              <w:bottom w:val="nil"/>
              <w:right w:val="nil"/>
            </w:tcBorders>
            <w:shd w:val="clear" w:color="auto" w:fill="auto"/>
            <w:vAlign w:val="bottom"/>
            <w:hideMark/>
          </w:tcPr>
          <w:p w14:paraId="1ED20C77"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RAAF Base Pearce</w:t>
            </w:r>
          </w:p>
        </w:tc>
        <w:tc>
          <w:tcPr>
            <w:tcW w:w="1911" w:type="dxa"/>
            <w:tcBorders>
              <w:top w:val="nil"/>
              <w:left w:val="nil"/>
              <w:bottom w:val="nil"/>
              <w:right w:val="nil"/>
            </w:tcBorders>
            <w:shd w:val="clear" w:color="auto" w:fill="auto"/>
            <w:noWrap/>
            <w:vAlign w:val="bottom"/>
            <w:hideMark/>
          </w:tcPr>
          <w:p w14:paraId="7B34EE4B"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WA - Durack</w:t>
            </w:r>
          </w:p>
        </w:tc>
        <w:tc>
          <w:tcPr>
            <w:tcW w:w="1141" w:type="dxa"/>
            <w:tcBorders>
              <w:top w:val="nil"/>
              <w:left w:val="nil"/>
              <w:bottom w:val="nil"/>
              <w:right w:val="nil"/>
            </w:tcBorders>
            <w:shd w:val="clear" w:color="auto" w:fill="auto"/>
            <w:noWrap/>
            <w:vAlign w:val="bottom"/>
            <w:hideMark/>
          </w:tcPr>
          <w:p w14:paraId="38A6B4DF" w14:textId="77777777"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6E75B224"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110.9</w:t>
            </w:r>
          </w:p>
        </w:tc>
        <w:tc>
          <w:tcPr>
            <w:tcW w:w="1313" w:type="dxa"/>
            <w:tcBorders>
              <w:top w:val="nil"/>
              <w:left w:val="nil"/>
              <w:bottom w:val="nil"/>
              <w:right w:val="nil"/>
            </w:tcBorders>
            <w:shd w:val="clear" w:color="auto" w:fill="auto"/>
            <w:noWrap/>
            <w:vAlign w:val="bottom"/>
            <w:hideMark/>
          </w:tcPr>
          <w:p w14:paraId="343FF4D5"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 xml:space="preserve">                     - </w:t>
            </w:r>
          </w:p>
        </w:tc>
      </w:tr>
      <w:tr w:rsidR="00463A75" w:rsidRPr="003E76E7" w14:paraId="0974B4C5" w14:textId="77777777" w:rsidTr="00B17397">
        <w:trPr>
          <w:trHeight w:val="225"/>
        </w:trPr>
        <w:tc>
          <w:tcPr>
            <w:tcW w:w="3119" w:type="dxa"/>
            <w:tcBorders>
              <w:top w:val="nil"/>
              <w:left w:val="nil"/>
              <w:bottom w:val="nil"/>
              <w:right w:val="nil"/>
            </w:tcBorders>
            <w:shd w:val="clear" w:color="auto" w:fill="auto"/>
            <w:vAlign w:val="bottom"/>
            <w:hideMark/>
          </w:tcPr>
          <w:p w14:paraId="670E70BE"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 xml:space="preserve">HMAS </w:t>
            </w:r>
            <w:r w:rsidRPr="00C210BD">
              <w:rPr>
                <w:rFonts w:ascii="Arial" w:hAnsi="Arial"/>
                <w:iCs/>
                <w:color w:val="000000"/>
                <w:sz w:val="16"/>
                <w:szCs w:val="16"/>
                <w:lang w:val="en-AU"/>
              </w:rPr>
              <w:t>Stirling</w:t>
            </w:r>
          </w:p>
        </w:tc>
        <w:tc>
          <w:tcPr>
            <w:tcW w:w="1911" w:type="dxa"/>
            <w:tcBorders>
              <w:top w:val="nil"/>
              <w:left w:val="nil"/>
              <w:bottom w:val="nil"/>
              <w:right w:val="nil"/>
            </w:tcBorders>
            <w:shd w:val="clear" w:color="auto" w:fill="auto"/>
            <w:noWrap/>
            <w:vAlign w:val="bottom"/>
            <w:hideMark/>
          </w:tcPr>
          <w:p w14:paraId="30080436"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WA - Brand</w:t>
            </w:r>
          </w:p>
        </w:tc>
        <w:tc>
          <w:tcPr>
            <w:tcW w:w="1141" w:type="dxa"/>
            <w:tcBorders>
              <w:top w:val="nil"/>
              <w:left w:val="nil"/>
              <w:bottom w:val="nil"/>
              <w:right w:val="nil"/>
            </w:tcBorders>
            <w:shd w:val="clear" w:color="auto" w:fill="auto"/>
            <w:noWrap/>
            <w:vAlign w:val="bottom"/>
            <w:hideMark/>
          </w:tcPr>
          <w:p w14:paraId="3E9667A1" w14:textId="77777777"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2B12676D"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4.6</w:t>
            </w:r>
          </w:p>
        </w:tc>
        <w:tc>
          <w:tcPr>
            <w:tcW w:w="1313" w:type="dxa"/>
            <w:tcBorders>
              <w:top w:val="nil"/>
              <w:left w:val="nil"/>
              <w:bottom w:val="nil"/>
              <w:right w:val="nil"/>
            </w:tcBorders>
            <w:shd w:val="clear" w:color="auto" w:fill="auto"/>
            <w:noWrap/>
            <w:vAlign w:val="bottom"/>
            <w:hideMark/>
          </w:tcPr>
          <w:p w14:paraId="7C169590"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 xml:space="preserve">                     - </w:t>
            </w:r>
          </w:p>
        </w:tc>
      </w:tr>
      <w:tr w:rsidR="00463A75" w:rsidRPr="003E76E7" w14:paraId="62DEC37F" w14:textId="77777777" w:rsidTr="00B17397">
        <w:trPr>
          <w:trHeight w:val="225"/>
        </w:trPr>
        <w:tc>
          <w:tcPr>
            <w:tcW w:w="3119" w:type="dxa"/>
            <w:tcBorders>
              <w:top w:val="nil"/>
              <w:left w:val="nil"/>
              <w:bottom w:val="single" w:sz="4" w:space="0" w:color="auto"/>
              <w:right w:val="nil"/>
            </w:tcBorders>
            <w:shd w:val="clear" w:color="auto" w:fill="auto"/>
            <w:vAlign w:val="bottom"/>
            <w:hideMark/>
          </w:tcPr>
          <w:p w14:paraId="5D479BFE"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Total</w:t>
            </w:r>
          </w:p>
        </w:tc>
        <w:tc>
          <w:tcPr>
            <w:tcW w:w="1911" w:type="dxa"/>
            <w:tcBorders>
              <w:top w:val="nil"/>
              <w:left w:val="nil"/>
              <w:bottom w:val="single" w:sz="4" w:space="0" w:color="auto"/>
              <w:right w:val="nil"/>
            </w:tcBorders>
            <w:shd w:val="clear" w:color="auto" w:fill="auto"/>
            <w:noWrap/>
            <w:vAlign w:val="bottom"/>
            <w:hideMark/>
          </w:tcPr>
          <w:p w14:paraId="1F38427B"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 </w:t>
            </w:r>
          </w:p>
        </w:tc>
        <w:tc>
          <w:tcPr>
            <w:tcW w:w="1141" w:type="dxa"/>
            <w:tcBorders>
              <w:top w:val="nil"/>
              <w:left w:val="nil"/>
              <w:bottom w:val="single" w:sz="4" w:space="0" w:color="auto"/>
              <w:right w:val="nil"/>
            </w:tcBorders>
            <w:shd w:val="clear" w:color="auto" w:fill="auto"/>
            <w:noWrap/>
            <w:vAlign w:val="bottom"/>
            <w:hideMark/>
          </w:tcPr>
          <w:p w14:paraId="4C5B2F0A"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896.9</w:t>
            </w:r>
          </w:p>
        </w:tc>
        <w:tc>
          <w:tcPr>
            <w:tcW w:w="1462" w:type="dxa"/>
            <w:tcBorders>
              <w:top w:val="nil"/>
              <w:left w:val="nil"/>
              <w:bottom w:val="single" w:sz="4" w:space="0" w:color="auto"/>
              <w:right w:val="nil"/>
            </w:tcBorders>
            <w:shd w:val="clear" w:color="auto" w:fill="auto"/>
            <w:noWrap/>
            <w:vAlign w:val="bottom"/>
            <w:hideMark/>
          </w:tcPr>
          <w:p w14:paraId="612881F9"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839.8</w:t>
            </w:r>
          </w:p>
        </w:tc>
        <w:tc>
          <w:tcPr>
            <w:tcW w:w="1313" w:type="dxa"/>
            <w:tcBorders>
              <w:top w:val="nil"/>
              <w:left w:val="nil"/>
              <w:bottom w:val="single" w:sz="4" w:space="0" w:color="auto"/>
              <w:right w:val="nil"/>
            </w:tcBorders>
            <w:shd w:val="clear" w:color="auto" w:fill="auto"/>
            <w:noWrap/>
            <w:vAlign w:val="bottom"/>
            <w:hideMark/>
          </w:tcPr>
          <w:p w14:paraId="6A0F2A83"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25.2</w:t>
            </w:r>
          </w:p>
        </w:tc>
      </w:tr>
      <w:tr w:rsidR="00463A75" w:rsidRPr="003E76E7" w14:paraId="5133B480" w14:textId="77777777" w:rsidTr="00B17397">
        <w:trPr>
          <w:trHeight w:val="225"/>
        </w:trPr>
        <w:tc>
          <w:tcPr>
            <w:tcW w:w="3119" w:type="dxa"/>
            <w:tcBorders>
              <w:top w:val="single" w:sz="4" w:space="0" w:color="auto"/>
              <w:left w:val="nil"/>
              <w:right w:val="nil"/>
            </w:tcBorders>
            <w:shd w:val="clear" w:color="auto" w:fill="auto"/>
            <w:vAlign w:val="bottom"/>
          </w:tcPr>
          <w:p w14:paraId="16FECC29" w14:textId="15A5F631"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xml:space="preserve">Cocos (Keeling) Islands </w:t>
            </w:r>
            <w:r w:rsidR="00B17397" w:rsidRPr="003E76E7">
              <w:rPr>
                <w:rFonts w:ascii="Arial" w:hAnsi="Arial"/>
                <w:b/>
                <w:bCs/>
                <w:color w:val="000000"/>
                <w:sz w:val="16"/>
                <w:szCs w:val="16"/>
                <w:lang w:val="en-AU"/>
              </w:rPr>
              <w:br/>
            </w:r>
            <w:r w:rsidRPr="003E76E7">
              <w:rPr>
                <w:rFonts w:ascii="Arial" w:hAnsi="Arial"/>
                <w:b/>
                <w:bCs/>
                <w:color w:val="000000"/>
                <w:sz w:val="16"/>
                <w:szCs w:val="16"/>
                <w:lang w:val="en-AU"/>
              </w:rPr>
              <w:t>Airfield Upgrade</w:t>
            </w:r>
          </w:p>
        </w:tc>
        <w:tc>
          <w:tcPr>
            <w:tcW w:w="1911" w:type="dxa"/>
            <w:tcBorders>
              <w:top w:val="single" w:sz="4" w:space="0" w:color="auto"/>
              <w:left w:val="nil"/>
              <w:right w:val="nil"/>
            </w:tcBorders>
            <w:shd w:val="clear" w:color="auto" w:fill="auto"/>
            <w:noWrap/>
            <w:vAlign w:val="bottom"/>
          </w:tcPr>
          <w:p w14:paraId="47EAFF62"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 </w:t>
            </w:r>
          </w:p>
        </w:tc>
        <w:tc>
          <w:tcPr>
            <w:tcW w:w="1141" w:type="dxa"/>
            <w:tcBorders>
              <w:top w:val="single" w:sz="4" w:space="0" w:color="auto"/>
              <w:left w:val="nil"/>
              <w:right w:val="nil"/>
            </w:tcBorders>
            <w:shd w:val="clear" w:color="auto" w:fill="auto"/>
            <w:noWrap/>
            <w:vAlign w:val="bottom"/>
          </w:tcPr>
          <w:p w14:paraId="1D543F2D"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 </w:t>
            </w:r>
          </w:p>
        </w:tc>
        <w:tc>
          <w:tcPr>
            <w:tcW w:w="1462" w:type="dxa"/>
            <w:tcBorders>
              <w:top w:val="single" w:sz="4" w:space="0" w:color="auto"/>
              <w:left w:val="nil"/>
              <w:right w:val="nil"/>
            </w:tcBorders>
            <w:shd w:val="clear" w:color="auto" w:fill="auto"/>
            <w:noWrap/>
            <w:vAlign w:val="bottom"/>
          </w:tcPr>
          <w:p w14:paraId="44085C64"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 </w:t>
            </w:r>
          </w:p>
        </w:tc>
        <w:tc>
          <w:tcPr>
            <w:tcW w:w="1313" w:type="dxa"/>
            <w:tcBorders>
              <w:top w:val="single" w:sz="4" w:space="0" w:color="auto"/>
              <w:left w:val="nil"/>
              <w:right w:val="nil"/>
            </w:tcBorders>
            <w:shd w:val="clear" w:color="auto" w:fill="auto"/>
            <w:noWrap/>
            <w:vAlign w:val="bottom"/>
          </w:tcPr>
          <w:p w14:paraId="0FCD4744" w14:textId="77777777" w:rsidR="00463A75" w:rsidRPr="003E76E7" w:rsidDel="000E032C"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 </w:t>
            </w:r>
          </w:p>
        </w:tc>
      </w:tr>
      <w:tr w:rsidR="00463A75" w:rsidRPr="003E76E7" w14:paraId="54223898" w14:textId="77777777" w:rsidTr="00B17397">
        <w:trPr>
          <w:trHeight w:val="225"/>
        </w:trPr>
        <w:tc>
          <w:tcPr>
            <w:tcW w:w="3119" w:type="dxa"/>
            <w:tcBorders>
              <w:top w:val="nil"/>
              <w:left w:val="nil"/>
              <w:bottom w:val="single" w:sz="4" w:space="0" w:color="auto"/>
              <w:right w:val="nil"/>
            </w:tcBorders>
            <w:shd w:val="clear" w:color="auto" w:fill="auto"/>
            <w:vAlign w:val="bottom"/>
          </w:tcPr>
          <w:p w14:paraId="47A06033"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color w:val="000000"/>
                <w:sz w:val="16"/>
                <w:szCs w:val="16"/>
                <w:lang w:val="en-AU"/>
              </w:rPr>
              <w:t>Cocos (Keeling) Islands</w:t>
            </w:r>
          </w:p>
        </w:tc>
        <w:tc>
          <w:tcPr>
            <w:tcW w:w="1911" w:type="dxa"/>
            <w:tcBorders>
              <w:top w:val="nil"/>
              <w:left w:val="nil"/>
              <w:bottom w:val="single" w:sz="4" w:space="0" w:color="auto"/>
              <w:right w:val="nil"/>
            </w:tcBorders>
            <w:shd w:val="clear" w:color="auto" w:fill="auto"/>
            <w:noWrap/>
            <w:vAlign w:val="bottom"/>
          </w:tcPr>
          <w:p w14:paraId="6E976C3A"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color w:val="000000"/>
                <w:sz w:val="16"/>
                <w:szCs w:val="16"/>
                <w:lang w:val="en-AU"/>
              </w:rPr>
              <w:t>NT - Lingiari</w:t>
            </w:r>
          </w:p>
        </w:tc>
        <w:tc>
          <w:tcPr>
            <w:tcW w:w="1141" w:type="dxa"/>
            <w:tcBorders>
              <w:top w:val="nil"/>
              <w:left w:val="nil"/>
              <w:bottom w:val="single" w:sz="4" w:space="0" w:color="auto"/>
              <w:right w:val="nil"/>
            </w:tcBorders>
            <w:shd w:val="clear" w:color="auto" w:fill="auto"/>
            <w:noWrap/>
            <w:vAlign w:val="bottom"/>
          </w:tcPr>
          <w:p w14:paraId="421FD5E5"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749.9</w:t>
            </w:r>
          </w:p>
        </w:tc>
        <w:tc>
          <w:tcPr>
            <w:tcW w:w="1462" w:type="dxa"/>
            <w:tcBorders>
              <w:top w:val="nil"/>
              <w:left w:val="nil"/>
              <w:bottom w:val="single" w:sz="4" w:space="0" w:color="auto"/>
              <w:right w:val="nil"/>
            </w:tcBorders>
            <w:shd w:val="clear" w:color="auto" w:fill="auto"/>
            <w:noWrap/>
            <w:vAlign w:val="bottom"/>
          </w:tcPr>
          <w:p w14:paraId="5A5D9086"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159.8</w:t>
            </w:r>
          </w:p>
        </w:tc>
        <w:tc>
          <w:tcPr>
            <w:tcW w:w="1313" w:type="dxa"/>
            <w:tcBorders>
              <w:top w:val="nil"/>
              <w:left w:val="nil"/>
              <w:bottom w:val="single" w:sz="4" w:space="0" w:color="auto"/>
              <w:right w:val="nil"/>
            </w:tcBorders>
            <w:shd w:val="clear" w:color="auto" w:fill="auto"/>
            <w:noWrap/>
            <w:vAlign w:val="bottom"/>
          </w:tcPr>
          <w:p w14:paraId="527E58D1" w14:textId="77777777" w:rsidR="00463A75" w:rsidRPr="003E76E7" w:rsidDel="000E032C"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170.7</w:t>
            </w:r>
          </w:p>
        </w:tc>
      </w:tr>
      <w:tr w:rsidR="00463A75" w:rsidRPr="003E76E7" w14:paraId="0D947154" w14:textId="77777777" w:rsidTr="00B17397">
        <w:trPr>
          <w:trHeight w:val="225"/>
        </w:trPr>
        <w:tc>
          <w:tcPr>
            <w:tcW w:w="3119" w:type="dxa"/>
            <w:tcBorders>
              <w:top w:val="nil"/>
              <w:left w:val="nil"/>
              <w:bottom w:val="nil"/>
              <w:right w:val="nil"/>
            </w:tcBorders>
            <w:shd w:val="clear" w:color="auto" w:fill="auto"/>
            <w:vAlign w:val="center"/>
            <w:hideMark/>
          </w:tcPr>
          <w:p w14:paraId="3FE203EC"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USFPI Northern Territory Training Areas and Ranges Upgrades</w:t>
            </w:r>
          </w:p>
        </w:tc>
        <w:tc>
          <w:tcPr>
            <w:tcW w:w="1911" w:type="dxa"/>
            <w:tcBorders>
              <w:top w:val="nil"/>
              <w:left w:val="nil"/>
              <w:bottom w:val="nil"/>
              <w:right w:val="nil"/>
            </w:tcBorders>
            <w:shd w:val="clear" w:color="auto" w:fill="auto"/>
            <w:vAlign w:val="center"/>
            <w:hideMark/>
          </w:tcPr>
          <w:p w14:paraId="5CBD535E"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141" w:type="dxa"/>
            <w:tcBorders>
              <w:top w:val="nil"/>
              <w:left w:val="nil"/>
              <w:bottom w:val="nil"/>
              <w:right w:val="nil"/>
            </w:tcBorders>
            <w:shd w:val="clear" w:color="auto" w:fill="auto"/>
            <w:vAlign w:val="center"/>
            <w:hideMark/>
          </w:tcPr>
          <w:p w14:paraId="663426CC"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462" w:type="dxa"/>
            <w:tcBorders>
              <w:top w:val="nil"/>
              <w:left w:val="nil"/>
              <w:bottom w:val="nil"/>
              <w:right w:val="nil"/>
            </w:tcBorders>
            <w:shd w:val="clear" w:color="auto" w:fill="auto"/>
            <w:vAlign w:val="center"/>
            <w:hideMark/>
          </w:tcPr>
          <w:p w14:paraId="79C13E4B"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313" w:type="dxa"/>
            <w:tcBorders>
              <w:top w:val="nil"/>
              <w:left w:val="nil"/>
              <w:bottom w:val="nil"/>
              <w:right w:val="nil"/>
            </w:tcBorders>
            <w:shd w:val="clear" w:color="auto" w:fill="auto"/>
            <w:vAlign w:val="center"/>
            <w:hideMark/>
          </w:tcPr>
          <w:p w14:paraId="057FA974"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r>
      <w:tr w:rsidR="00463A75" w:rsidRPr="003E76E7" w14:paraId="20FF2E65" w14:textId="77777777" w:rsidTr="00067733">
        <w:trPr>
          <w:trHeight w:val="225"/>
        </w:trPr>
        <w:tc>
          <w:tcPr>
            <w:tcW w:w="3119" w:type="dxa"/>
            <w:tcBorders>
              <w:top w:val="nil"/>
              <w:left w:val="nil"/>
              <w:bottom w:val="nil"/>
              <w:right w:val="nil"/>
            </w:tcBorders>
            <w:shd w:val="clear" w:color="auto" w:fill="auto"/>
            <w:vAlign w:val="bottom"/>
            <w:hideMark/>
          </w:tcPr>
          <w:p w14:paraId="12CC611C"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Bradshaw Field Training Area</w:t>
            </w:r>
          </w:p>
        </w:tc>
        <w:tc>
          <w:tcPr>
            <w:tcW w:w="1911" w:type="dxa"/>
            <w:tcBorders>
              <w:top w:val="nil"/>
              <w:left w:val="nil"/>
              <w:bottom w:val="nil"/>
              <w:right w:val="nil"/>
            </w:tcBorders>
            <w:shd w:val="clear" w:color="auto" w:fill="auto"/>
            <w:noWrap/>
            <w:vAlign w:val="bottom"/>
            <w:hideMark/>
          </w:tcPr>
          <w:p w14:paraId="45B62E7C"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NT - Lingiari</w:t>
            </w:r>
          </w:p>
        </w:tc>
        <w:tc>
          <w:tcPr>
            <w:tcW w:w="1141" w:type="dxa"/>
            <w:tcBorders>
              <w:top w:val="nil"/>
              <w:left w:val="nil"/>
              <w:bottom w:val="nil"/>
              <w:right w:val="nil"/>
            </w:tcBorders>
            <w:shd w:val="clear" w:color="auto" w:fill="auto"/>
            <w:noWrap/>
            <w:vAlign w:val="bottom"/>
          </w:tcPr>
          <w:p w14:paraId="7922378A" w14:textId="1CCF2350"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30B9A9F0"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368.5</w:t>
            </w:r>
          </w:p>
        </w:tc>
        <w:tc>
          <w:tcPr>
            <w:tcW w:w="1313" w:type="dxa"/>
            <w:tcBorders>
              <w:top w:val="nil"/>
              <w:left w:val="nil"/>
              <w:bottom w:val="nil"/>
              <w:right w:val="nil"/>
            </w:tcBorders>
            <w:shd w:val="clear" w:color="auto" w:fill="auto"/>
            <w:noWrap/>
            <w:vAlign w:val="bottom"/>
            <w:hideMark/>
          </w:tcPr>
          <w:p w14:paraId="5DB918F4"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10.8</w:t>
            </w:r>
          </w:p>
        </w:tc>
      </w:tr>
      <w:tr w:rsidR="00463A75" w:rsidRPr="003E76E7" w14:paraId="108BAED2" w14:textId="77777777" w:rsidTr="00067733">
        <w:trPr>
          <w:trHeight w:val="225"/>
        </w:trPr>
        <w:tc>
          <w:tcPr>
            <w:tcW w:w="3119" w:type="dxa"/>
            <w:tcBorders>
              <w:top w:val="nil"/>
              <w:left w:val="nil"/>
              <w:bottom w:val="nil"/>
              <w:right w:val="nil"/>
            </w:tcBorders>
            <w:shd w:val="clear" w:color="auto" w:fill="auto"/>
            <w:vAlign w:val="bottom"/>
            <w:hideMark/>
          </w:tcPr>
          <w:p w14:paraId="78A3A5CA"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Kangaroo Flats Training Area</w:t>
            </w:r>
          </w:p>
        </w:tc>
        <w:tc>
          <w:tcPr>
            <w:tcW w:w="1911" w:type="dxa"/>
            <w:tcBorders>
              <w:top w:val="nil"/>
              <w:left w:val="nil"/>
              <w:bottom w:val="nil"/>
              <w:right w:val="nil"/>
            </w:tcBorders>
            <w:shd w:val="clear" w:color="auto" w:fill="auto"/>
            <w:noWrap/>
            <w:vAlign w:val="bottom"/>
            <w:hideMark/>
          </w:tcPr>
          <w:p w14:paraId="391C3310"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NT - Lingiari</w:t>
            </w:r>
          </w:p>
        </w:tc>
        <w:tc>
          <w:tcPr>
            <w:tcW w:w="1141" w:type="dxa"/>
            <w:tcBorders>
              <w:top w:val="nil"/>
              <w:left w:val="nil"/>
              <w:bottom w:val="nil"/>
              <w:right w:val="nil"/>
            </w:tcBorders>
            <w:shd w:val="clear" w:color="auto" w:fill="auto"/>
            <w:noWrap/>
            <w:vAlign w:val="bottom"/>
          </w:tcPr>
          <w:p w14:paraId="09DFD03F" w14:textId="518A6E0E"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6A44B5C9"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117.1</w:t>
            </w:r>
          </w:p>
        </w:tc>
        <w:tc>
          <w:tcPr>
            <w:tcW w:w="1313" w:type="dxa"/>
            <w:tcBorders>
              <w:top w:val="nil"/>
              <w:left w:val="nil"/>
              <w:bottom w:val="nil"/>
              <w:right w:val="nil"/>
            </w:tcBorders>
            <w:shd w:val="clear" w:color="auto" w:fill="auto"/>
            <w:noWrap/>
            <w:vAlign w:val="bottom"/>
            <w:hideMark/>
          </w:tcPr>
          <w:p w14:paraId="68FEC2FF"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1.6</w:t>
            </w:r>
          </w:p>
        </w:tc>
      </w:tr>
      <w:tr w:rsidR="00463A75" w:rsidRPr="003E76E7" w14:paraId="6FEF22F6" w14:textId="77777777" w:rsidTr="00067733">
        <w:trPr>
          <w:trHeight w:val="225"/>
        </w:trPr>
        <w:tc>
          <w:tcPr>
            <w:tcW w:w="3119" w:type="dxa"/>
            <w:tcBorders>
              <w:top w:val="nil"/>
              <w:left w:val="nil"/>
              <w:bottom w:val="nil"/>
              <w:right w:val="nil"/>
            </w:tcBorders>
            <w:shd w:val="clear" w:color="auto" w:fill="auto"/>
            <w:vAlign w:val="bottom"/>
            <w:hideMark/>
          </w:tcPr>
          <w:p w14:paraId="59BE5D45"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Mount Bundey Training Area</w:t>
            </w:r>
          </w:p>
        </w:tc>
        <w:tc>
          <w:tcPr>
            <w:tcW w:w="1911" w:type="dxa"/>
            <w:tcBorders>
              <w:top w:val="nil"/>
              <w:left w:val="nil"/>
              <w:bottom w:val="nil"/>
              <w:right w:val="nil"/>
            </w:tcBorders>
            <w:shd w:val="clear" w:color="auto" w:fill="auto"/>
            <w:noWrap/>
            <w:vAlign w:val="bottom"/>
            <w:hideMark/>
          </w:tcPr>
          <w:p w14:paraId="770CF5A2"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NT - Lingiari</w:t>
            </w:r>
          </w:p>
        </w:tc>
        <w:tc>
          <w:tcPr>
            <w:tcW w:w="1141" w:type="dxa"/>
            <w:tcBorders>
              <w:top w:val="nil"/>
              <w:left w:val="nil"/>
              <w:bottom w:val="nil"/>
              <w:right w:val="nil"/>
            </w:tcBorders>
            <w:shd w:val="clear" w:color="auto" w:fill="auto"/>
            <w:noWrap/>
            <w:vAlign w:val="bottom"/>
          </w:tcPr>
          <w:p w14:paraId="47383253" w14:textId="46ACFF8E"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51EF7856"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89.6</w:t>
            </w:r>
          </w:p>
        </w:tc>
        <w:tc>
          <w:tcPr>
            <w:tcW w:w="1313" w:type="dxa"/>
            <w:tcBorders>
              <w:top w:val="nil"/>
              <w:left w:val="nil"/>
              <w:bottom w:val="nil"/>
              <w:right w:val="nil"/>
            </w:tcBorders>
            <w:shd w:val="clear" w:color="auto" w:fill="auto"/>
            <w:noWrap/>
            <w:vAlign w:val="bottom"/>
            <w:hideMark/>
          </w:tcPr>
          <w:p w14:paraId="6AE86171"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5.5</w:t>
            </w:r>
          </w:p>
        </w:tc>
      </w:tr>
      <w:tr w:rsidR="00463A75" w:rsidRPr="003E76E7" w14:paraId="68E231B7" w14:textId="77777777" w:rsidTr="00B17397">
        <w:trPr>
          <w:trHeight w:val="225"/>
        </w:trPr>
        <w:tc>
          <w:tcPr>
            <w:tcW w:w="3119" w:type="dxa"/>
            <w:tcBorders>
              <w:top w:val="nil"/>
              <w:left w:val="nil"/>
              <w:bottom w:val="nil"/>
              <w:right w:val="nil"/>
            </w:tcBorders>
            <w:shd w:val="clear" w:color="auto" w:fill="auto"/>
            <w:vAlign w:val="bottom"/>
            <w:hideMark/>
          </w:tcPr>
          <w:p w14:paraId="441D1B66" w14:textId="67D124F5"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 xml:space="preserve">Robertson Barracks Close </w:t>
            </w:r>
            <w:r w:rsidRPr="003E76E7">
              <w:rPr>
                <w:rFonts w:ascii="Arial" w:hAnsi="Arial"/>
                <w:color w:val="000000"/>
                <w:sz w:val="16"/>
                <w:szCs w:val="16"/>
                <w:lang w:val="en-AU"/>
              </w:rPr>
              <w:br/>
              <w:t>Training Area</w:t>
            </w:r>
          </w:p>
        </w:tc>
        <w:tc>
          <w:tcPr>
            <w:tcW w:w="1911" w:type="dxa"/>
            <w:tcBorders>
              <w:top w:val="nil"/>
              <w:left w:val="nil"/>
              <w:bottom w:val="nil"/>
              <w:right w:val="nil"/>
            </w:tcBorders>
            <w:shd w:val="clear" w:color="auto" w:fill="auto"/>
            <w:noWrap/>
            <w:vAlign w:val="bottom"/>
            <w:hideMark/>
          </w:tcPr>
          <w:p w14:paraId="2BB0DE6A"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NT - Lingiari</w:t>
            </w:r>
          </w:p>
        </w:tc>
        <w:tc>
          <w:tcPr>
            <w:tcW w:w="1141" w:type="dxa"/>
            <w:tcBorders>
              <w:top w:val="nil"/>
              <w:left w:val="nil"/>
              <w:bottom w:val="nil"/>
              <w:right w:val="nil"/>
            </w:tcBorders>
            <w:shd w:val="clear" w:color="auto" w:fill="auto"/>
            <w:noWrap/>
            <w:vAlign w:val="bottom"/>
            <w:hideMark/>
          </w:tcPr>
          <w:p w14:paraId="3B51517D" w14:textId="77777777"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39AFFF1A"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116.4</w:t>
            </w:r>
          </w:p>
        </w:tc>
        <w:tc>
          <w:tcPr>
            <w:tcW w:w="1313" w:type="dxa"/>
            <w:tcBorders>
              <w:top w:val="nil"/>
              <w:left w:val="nil"/>
              <w:bottom w:val="nil"/>
              <w:right w:val="nil"/>
            </w:tcBorders>
            <w:shd w:val="clear" w:color="auto" w:fill="auto"/>
            <w:noWrap/>
            <w:vAlign w:val="bottom"/>
            <w:hideMark/>
          </w:tcPr>
          <w:p w14:paraId="2FDA685B"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1.8</w:t>
            </w:r>
          </w:p>
        </w:tc>
      </w:tr>
      <w:tr w:rsidR="00463A75" w:rsidRPr="003E76E7" w14:paraId="40A75B09" w14:textId="77777777" w:rsidTr="00B17397">
        <w:trPr>
          <w:trHeight w:val="225"/>
        </w:trPr>
        <w:tc>
          <w:tcPr>
            <w:tcW w:w="3119" w:type="dxa"/>
            <w:tcBorders>
              <w:top w:val="nil"/>
              <w:left w:val="nil"/>
              <w:bottom w:val="single" w:sz="4" w:space="0" w:color="auto"/>
              <w:right w:val="nil"/>
            </w:tcBorders>
            <w:shd w:val="clear" w:color="auto" w:fill="auto"/>
            <w:vAlign w:val="bottom"/>
            <w:hideMark/>
          </w:tcPr>
          <w:p w14:paraId="489A1E55"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Total</w:t>
            </w:r>
          </w:p>
        </w:tc>
        <w:tc>
          <w:tcPr>
            <w:tcW w:w="1911" w:type="dxa"/>
            <w:tcBorders>
              <w:top w:val="nil"/>
              <w:left w:val="nil"/>
              <w:bottom w:val="single" w:sz="4" w:space="0" w:color="auto"/>
              <w:right w:val="nil"/>
            </w:tcBorders>
            <w:shd w:val="clear" w:color="auto" w:fill="auto"/>
            <w:noWrap/>
            <w:vAlign w:val="bottom"/>
            <w:hideMark/>
          </w:tcPr>
          <w:p w14:paraId="5B8A8F73"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 </w:t>
            </w:r>
          </w:p>
        </w:tc>
        <w:tc>
          <w:tcPr>
            <w:tcW w:w="1141" w:type="dxa"/>
            <w:tcBorders>
              <w:top w:val="nil"/>
              <w:left w:val="nil"/>
              <w:bottom w:val="single" w:sz="4" w:space="0" w:color="auto"/>
              <w:right w:val="nil"/>
            </w:tcBorders>
            <w:shd w:val="clear" w:color="auto" w:fill="auto"/>
            <w:noWrap/>
            <w:vAlign w:val="bottom"/>
            <w:hideMark/>
          </w:tcPr>
          <w:p w14:paraId="6DAE102F"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747.0</w:t>
            </w:r>
          </w:p>
        </w:tc>
        <w:tc>
          <w:tcPr>
            <w:tcW w:w="1462" w:type="dxa"/>
            <w:tcBorders>
              <w:top w:val="nil"/>
              <w:left w:val="nil"/>
              <w:bottom w:val="single" w:sz="4" w:space="0" w:color="auto"/>
              <w:right w:val="nil"/>
            </w:tcBorders>
            <w:shd w:val="clear" w:color="auto" w:fill="auto"/>
            <w:noWrap/>
            <w:vAlign w:val="bottom"/>
            <w:hideMark/>
          </w:tcPr>
          <w:p w14:paraId="49AFBA02"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691.6</w:t>
            </w:r>
          </w:p>
        </w:tc>
        <w:tc>
          <w:tcPr>
            <w:tcW w:w="1313" w:type="dxa"/>
            <w:tcBorders>
              <w:top w:val="nil"/>
              <w:left w:val="nil"/>
              <w:bottom w:val="single" w:sz="4" w:space="0" w:color="auto"/>
              <w:right w:val="nil"/>
            </w:tcBorders>
            <w:shd w:val="clear" w:color="auto" w:fill="auto"/>
            <w:noWrap/>
            <w:vAlign w:val="bottom"/>
            <w:hideMark/>
          </w:tcPr>
          <w:p w14:paraId="757FBDF5"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19.6</w:t>
            </w:r>
          </w:p>
        </w:tc>
      </w:tr>
      <w:tr w:rsidR="00463A75" w:rsidRPr="003E76E7" w14:paraId="1CACD8FC" w14:textId="77777777" w:rsidTr="00B17397">
        <w:trPr>
          <w:trHeight w:val="225"/>
        </w:trPr>
        <w:tc>
          <w:tcPr>
            <w:tcW w:w="3119" w:type="dxa"/>
            <w:tcBorders>
              <w:top w:val="nil"/>
              <w:left w:val="nil"/>
              <w:bottom w:val="nil"/>
              <w:right w:val="nil"/>
            </w:tcBorders>
            <w:shd w:val="clear" w:color="auto" w:fill="auto"/>
            <w:vAlign w:val="bottom"/>
            <w:hideMark/>
          </w:tcPr>
          <w:p w14:paraId="6F5C4BFF" w14:textId="3808B6BC"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xml:space="preserve">Facilities to Support </w:t>
            </w:r>
            <w:r w:rsidR="00B17397" w:rsidRPr="003E76E7">
              <w:rPr>
                <w:rFonts w:ascii="Arial" w:hAnsi="Arial"/>
                <w:b/>
                <w:bCs/>
                <w:color w:val="000000"/>
                <w:sz w:val="16"/>
                <w:szCs w:val="16"/>
                <w:lang w:val="en-AU"/>
              </w:rPr>
              <w:br/>
            </w:r>
            <w:r w:rsidRPr="003E76E7">
              <w:rPr>
                <w:rFonts w:ascii="Arial" w:hAnsi="Arial"/>
                <w:b/>
                <w:bCs/>
                <w:color w:val="000000"/>
                <w:sz w:val="16"/>
                <w:szCs w:val="16"/>
                <w:lang w:val="en-AU"/>
              </w:rPr>
              <w:t>Highly Available ICT Project</w:t>
            </w:r>
          </w:p>
        </w:tc>
        <w:tc>
          <w:tcPr>
            <w:tcW w:w="1911" w:type="dxa"/>
            <w:tcBorders>
              <w:top w:val="nil"/>
              <w:left w:val="nil"/>
              <w:bottom w:val="nil"/>
              <w:right w:val="nil"/>
            </w:tcBorders>
            <w:shd w:val="clear" w:color="auto" w:fill="auto"/>
            <w:noWrap/>
            <w:vAlign w:val="bottom"/>
            <w:hideMark/>
          </w:tcPr>
          <w:p w14:paraId="42DC6CC6"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 </w:t>
            </w:r>
          </w:p>
        </w:tc>
        <w:tc>
          <w:tcPr>
            <w:tcW w:w="1141" w:type="dxa"/>
            <w:tcBorders>
              <w:top w:val="nil"/>
              <w:left w:val="nil"/>
              <w:bottom w:val="nil"/>
              <w:right w:val="nil"/>
            </w:tcBorders>
            <w:shd w:val="clear" w:color="auto" w:fill="auto"/>
            <w:noWrap/>
            <w:vAlign w:val="bottom"/>
            <w:hideMark/>
          </w:tcPr>
          <w:p w14:paraId="1D45BA94"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 </w:t>
            </w:r>
          </w:p>
        </w:tc>
        <w:tc>
          <w:tcPr>
            <w:tcW w:w="1462" w:type="dxa"/>
            <w:tcBorders>
              <w:top w:val="nil"/>
              <w:left w:val="nil"/>
              <w:bottom w:val="nil"/>
              <w:right w:val="nil"/>
            </w:tcBorders>
            <w:shd w:val="clear" w:color="auto" w:fill="auto"/>
            <w:noWrap/>
            <w:vAlign w:val="bottom"/>
            <w:hideMark/>
          </w:tcPr>
          <w:p w14:paraId="171380A8"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 </w:t>
            </w:r>
          </w:p>
        </w:tc>
        <w:tc>
          <w:tcPr>
            <w:tcW w:w="1313" w:type="dxa"/>
            <w:tcBorders>
              <w:top w:val="nil"/>
              <w:left w:val="nil"/>
              <w:bottom w:val="nil"/>
              <w:right w:val="nil"/>
            </w:tcBorders>
            <w:shd w:val="clear" w:color="auto" w:fill="auto"/>
            <w:noWrap/>
            <w:vAlign w:val="bottom"/>
            <w:hideMark/>
          </w:tcPr>
          <w:p w14:paraId="623B6C0B"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 </w:t>
            </w:r>
          </w:p>
        </w:tc>
      </w:tr>
      <w:tr w:rsidR="00463A75" w:rsidRPr="003E76E7" w14:paraId="76053C3A" w14:textId="77777777" w:rsidTr="00B17397">
        <w:trPr>
          <w:trHeight w:val="225"/>
        </w:trPr>
        <w:tc>
          <w:tcPr>
            <w:tcW w:w="3119" w:type="dxa"/>
            <w:tcBorders>
              <w:top w:val="nil"/>
              <w:left w:val="nil"/>
              <w:bottom w:val="single" w:sz="4" w:space="0" w:color="auto"/>
              <w:right w:val="nil"/>
            </w:tcBorders>
            <w:shd w:val="clear" w:color="auto" w:fill="auto"/>
            <w:vAlign w:val="bottom"/>
            <w:hideMark/>
          </w:tcPr>
          <w:p w14:paraId="2E0D001C"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South Australia</w:t>
            </w:r>
          </w:p>
        </w:tc>
        <w:tc>
          <w:tcPr>
            <w:tcW w:w="1911" w:type="dxa"/>
            <w:tcBorders>
              <w:top w:val="nil"/>
              <w:left w:val="nil"/>
              <w:bottom w:val="single" w:sz="4" w:space="0" w:color="auto"/>
              <w:right w:val="nil"/>
            </w:tcBorders>
            <w:shd w:val="clear" w:color="auto" w:fill="auto"/>
            <w:noWrap/>
            <w:vAlign w:val="bottom"/>
            <w:hideMark/>
          </w:tcPr>
          <w:p w14:paraId="43C9ED5E"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 xml:space="preserve">SA </w:t>
            </w:r>
          </w:p>
        </w:tc>
        <w:tc>
          <w:tcPr>
            <w:tcW w:w="1141" w:type="dxa"/>
            <w:tcBorders>
              <w:top w:val="nil"/>
              <w:left w:val="nil"/>
              <w:bottom w:val="single" w:sz="4" w:space="0" w:color="auto"/>
              <w:right w:val="nil"/>
            </w:tcBorders>
            <w:shd w:val="clear" w:color="auto" w:fill="auto"/>
            <w:noWrap/>
            <w:vAlign w:val="bottom"/>
            <w:hideMark/>
          </w:tcPr>
          <w:p w14:paraId="34A3F5A8"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674.7</w:t>
            </w:r>
          </w:p>
        </w:tc>
        <w:tc>
          <w:tcPr>
            <w:tcW w:w="1462" w:type="dxa"/>
            <w:tcBorders>
              <w:top w:val="nil"/>
              <w:left w:val="nil"/>
              <w:bottom w:val="single" w:sz="4" w:space="0" w:color="auto"/>
              <w:right w:val="nil"/>
            </w:tcBorders>
            <w:shd w:val="clear" w:color="auto" w:fill="auto"/>
            <w:noWrap/>
            <w:vAlign w:val="bottom"/>
            <w:hideMark/>
          </w:tcPr>
          <w:p w14:paraId="111404F4"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248.6</w:t>
            </w:r>
          </w:p>
        </w:tc>
        <w:tc>
          <w:tcPr>
            <w:tcW w:w="1313" w:type="dxa"/>
            <w:tcBorders>
              <w:top w:val="nil"/>
              <w:left w:val="nil"/>
              <w:bottom w:val="single" w:sz="4" w:space="0" w:color="auto"/>
              <w:right w:val="nil"/>
            </w:tcBorders>
            <w:shd w:val="clear" w:color="auto" w:fill="auto"/>
            <w:noWrap/>
            <w:vAlign w:val="bottom"/>
            <w:hideMark/>
          </w:tcPr>
          <w:p w14:paraId="480EACBA"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306.9</w:t>
            </w:r>
          </w:p>
        </w:tc>
      </w:tr>
      <w:tr w:rsidR="00463A75" w:rsidRPr="003E76E7" w14:paraId="2048B4ED" w14:textId="77777777" w:rsidTr="00B17397">
        <w:trPr>
          <w:trHeight w:val="225"/>
        </w:trPr>
        <w:tc>
          <w:tcPr>
            <w:tcW w:w="3119" w:type="dxa"/>
            <w:tcBorders>
              <w:top w:val="nil"/>
              <w:left w:val="nil"/>
              <w:bottom w:val="nil"/>
              <w:right w:val="nil"/>
            </w:tcBorders>
            <w:shd w:val="clear" w:color="auto" w:fill="auto"/>
            <w:vAlign w:val="bottom"/>
            <w:hideMark/>
          </w:tcPr>
          <w:p w14:paraId="41E4630C" w14:textId="2A2F79E8"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xml:space="preserve">RAAF Base Learmonth Redevelopment Enabling </w:t>
            </w:r>
            <w:r w:rsidR="00B17397" w:rsidRPr="003E76E7">
              <w:rPr>
                <w:rFonts w:ascii="Arial" w:hAnsi="Arial"/>
                <w:b/>
                <w:bCs/>
                <w:color w:val="000000"/>
                <w:sz w:val="16"/>
                <w:szCs w:val="16"/>
                <w:lang w:val="en-AU"/>
              </w:rPr>
              <w:br/>
            </w:r>
            <w:r w:rsidRPr="003E76E7">
              <w:rPr>
                <w:rFonts w:ascii="Arial" w:hAnsi="Arial"/>
                <w:b/>
                <w:bCs/>
                <w:color w:val="000000"/>
                <w:sz w:val="16"/>
                <w:szCs w:val="16"/>
                <w:lang w:val="en-AU"/>
              </w:rPr>
              <w:t>KC-30 Operations</w:t>
            </w:r>
          </w:p>
        </w:tc>
        <w:tc>
          <w:tcPr>
            <w:tcW w:w="1911" w:type="dxa"/>
            <w:tcBorders>
              <w:top w:val="nil"/>
              <w:left w:val="nil"/>
              <w:bottom w:val="nil"/>
              <w:right w:val="nil"/>
            </w:tcBorders>
            <w:shd w:val="clear" w:color="auto" w:fill="auto"/>
            <w:noWrap/>
            <w:vAlign w:val="bottom"/>
            <w:hideMark/>
          </w:tcPr>
          <w:p w14:paraId="71B8A570"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 </w:t>
            </w:r>
          </w:p>
        </w:tc>
        <w:tc>
          <w:tcPr>
            <w:tcW w:w="1141" w:type="dxa"/>
            <w:tcBorders>
              <w:top w:val="nil"/>
              <w:left w:val="nil"/>
              <w:bottom w:val="nil"/>
              <w:right w:val="nil"/>
            </w:tcBorders>
            <w:shd w:val="clear" w:color="auto" w:fill="auto"/>
            <w:noWrap/>
            <w:vAlign w:val="bottom"/>
            <w:hideMark/>
          </w:tcPr>
          <w:p w14:paraId="53AFB0F9"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 </w:t>
            </w:r>
          </w:p>
        </w:tc>
        <w:tc>
          <w:tcPr>
            <w:tcW w:w="1462" w:type="dxa"/>
            <w:tcBorders>
              <w:top w:val="nil"/>
              <w:left w:val="nil"/>
              <w:bottom w:val="nil"/>
              <w:right w:val="nil"/>
            </w:tcBorders>
            <w:shd w:val="clear" w:color="auto" w:fill="auto"/>
            <w:noWrap/>
            <w:vAlign w:val="bottom"/>
            <w:hideMark/>
          </w:tcPr>
          <w:p w14:paraId="162520E5"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 </w:t>
            </w:r>
          </w:p>
        </w:tc>
        <w:tc>
          <w:tcPr>
            <w:tcW w:w="1313" w:type="dxa"/>
            <w:tcBorders>
              <w:top w:val="nil"/>
              <w:left w:val="nil"/>
              <w:bottom w:val="nil"/>
              <w:right w:val="nil"/>
            </w:tcBorders>
            <w:shd w:val="clear" w:color="auto" w:fill="auto"/>
            <w:noWrap/>
            <w:vAlign w:val="bottom"/>
            <w:hideMark/>
          </w:tcPr>
          <w:p w14:paraId="296B9BE7"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 </w:t>
            </w:r>
          </w:p>
        </w:tc>
      </w:tr>
      <w:tr w:rsidR="00463A75" w:rsidRPr="003E76E7" w14:paraId="3E784036" w14:textId="77777777" w:rsidTr="00B17397">
        <w:trPr>
          <w:trHeight w:val="225"/>
        </w:trPr>
        <w:tc>
          <w:tcPr>
            <w:tcW w:w="3119" w:type="dxa"/>
            <w:tcBorders>
              <w:top w:val="nil"/>
              <w:left w:val="nil"/>
              <w:bottom w:val="single" w:sz="4" w:space="0" w:color="auto"/>
              <w:right w:val="nil"/>
            </w:tcBorders>
            <w:shd w:val="clear" w:color="auto" w:fill="auto"/>
            <w:vAlign w:val="bottom"/>
            <w:hideMark/>
          </w:tcPr>
          <w:p w14:paraId="2051B0EE"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RAAF Base Learmonth</w:t>
            </w:r>
          </w:p>
        </w:tc>
        <w:tc>
          <w:tcPr>
            <w:tcW w:w="1911" w:type="dxa"/>
            <w:tcBorders>
              <w:top w:val="nil"/>
              <w:left w:val="nil"/>
              <w:bottom w:val="single" w:sz="4" w:space="0" w:color="auto"/>
              <w:right w:val="nil"/>
            </w:tcBorders>
            <w:shd w:val="clear" w:color="auto" w:fill="auto"/>
            <w:noWrap/>
            <w:vAlign w:val="bottom"/>
            <w:hideMark/>
          </w:tcPr>
          <w:p w14:paraId="78FD6337"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WA - Durack</w:t>
            </w:r>
          </w:p>
        </w:tc>
        <w:tc>
          <w:tcPr>
            <w:tcW w:w="1141" w:type="dxa"/>
            <w:tcBorders>
              <w:top w:val="nil"/>
              <w:left w:val="nil"/>
              <w:bottom w:val="single" w:sz="4" w:space="0" w:color="auto"/>
              <w:right w:val="nil"/>
            </w:tcBorders>
            <w:shd w:val="clear" w:color="auto" w:fill="auto"/>
            <w:noWrap/>
            <w:vAlign w:val="bottom"/>
            <w:hideMark/>
          </w:tcPr>
          <w:p w14:paraId="2BD41D22"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662.2</w:t>
            </w:r>
          </w:p>
        </w:tc>
        <w:tc>
          <w:tcPr>
            <w:tcW w:w="1462" w:type="dxa"/>
            <w:tcBorders>
              <w:top w:val="nil"/>
              <w:left w:val="nil"/>
              <w:bottom w:val="single" w:sz="4" w:space="0" w:color="auto"/>
              <w:right w:val="nil"/>
            </w:tcBorders>
            <w:shd w:val="clear" w:color="auto" w:fill="auto"/>
            <w:noWrap/>
            <w:vAlign w:val="bottom"/>
            <w:hideMark/>
          </w:tcPr>
          <w:p w14:paraId="036E676A"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178.2</w:t>
            </w:r>
          </w:p>
        </w:tc>
        <w:tc>
          <w:tcPr>
            <w:tcW w:w="1313" w:type="dxa"/>
            <w:tcBorders>
              <w:top w:val="nil"/>
              <w:left w:val="nil"/>
              <w:bottom w:val="single" w:sz="4" w:space="0" w:color="auto"/>
              <w:right w:val="nil"/>
            </w:tcBorders>
            <w:shd w:val="clear" w:color="auto" w:fill="auto"/>
            <w:noWrap/>
            <w:vAlign w:val="bottom"/>
            <w:hideMark/>
          </w:tcPr>
          <w:p w14:paraId="3D81FA9D"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208.0</w:t>
            </w:r>
          </w:p>
        </w:tc>
      </w:tr>
      <w:tr w:rsidR="00463A75" w:rsidRPr="003E76E7" w14:paraId="71B39B9C" w14:textId="77777777" w:rsidTr="00B17397">
        <w:trPr>
          <w:trHeight w:val="225"/>
        </w:trPr>
        <w:tc>
          <w:tcPr>
            <w:tcW w:w="3119" w:type="dxa"/>
            <w:tcBorders>
              <w:top w:val="nil"/>
              <w:left w:val="nil"/>
              <w:bottom w:val="nil"/>
              <w:right w:val="nil"/>
            </w:tcBorders>
            <w:shd w:val="clear" w:color="auto" w:fill="auto"/>
            <w:vAlign w:val="bottom"/>
            <w:hideMark/>
          </w:tcPr>
          <w:p w14:paraId="26443607"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Larrakeyah Defence Precinct Redevelopment Program</w:t>
            </w:r>
          </w:p>
        </w:tc>
        <w:tc>
          <w:tcPr>
            <w:tcW w:w="1911" w:type="dxa"/>
            <w:tcBorders>
              <w:top w:val="nil"/>
              <w:left w:val="nil"/>
              <w:bottom w:val="nil"/>
              <w:right w:val="nil"/>
            </w:tcBorders>
            <w:shd w:val="clear" w:color="auto" w:fill="auto"/>
            <w:noWrap/>
            <w:vAlign w:val="bottom"/>
            <w:hideMark/>
          </w:tcPr>
          <w:p w14:paraId="21D97F4A"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 </w:t>
            </w:r>
          </w:p>
        </w:tc>
        <w:tc>
          <w:tcPr>
            <w:tcW w:w="1141" w:type="dxa"/>
            <w:tcBorders>
              <w:top w:val="nil"/>
              <w:left w:val="nil"/>
              <w:bottom w:val="nil"/>
              <w:right w:val="nil"/>
            </w:tcBorders>
            <w:shd w:val="clear" w:color="auto" w:fill="auto"/>
            <w:noWrap/>
            <w:vAlign w:val="bottom"/>
            <w:hideMark/>
          </w:tcPr>
          <w:p w14:paraId="2FF4FE12"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 </w:t>
            </w:r>
          </w:p>
        </w:tc>
        <w:tc>
          <w:tcPr>
            <w:tcW w:w="1462" w:type="dxa"/>
            <w:tcBorders>
              <w:top w:val="nil"/>
              <w:left w:val="nil"/>
              <w:bottom w:val="nil"/>
              <w:right w:val="nil"/>
            </w:tcBorders>
            <w:shd w:val="clear" w:color="auto" w:fill="auto"/>
            <w:noWrap/>
            <w:vAlign w:val="bottom"/>
            <w:hideMark/>
          </w:tcPr>
          <w:p w14:paraId="64C3B741"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 </w:t>
            </w:r>
          </w:p>
        </w:tc>
        <w:tc>
          <w:tcPr>
            <w:tcW w:w="1313" w:type="dxa"/>
            <w:tcBorders>
              <w:top w:val="nil"/>
              <w:left w:val="nil"/>
              <w:bottom w:val="nil"/>
              <w:right w:val="nil"/>
            </w:tcBorders>
            <w:shd w:val="clear" w:color="auto" w:fill="auto"/>
            <w:noWrap/>
            <w:vAlign w:val="bottom"/>
            <w:hideMark/>
          </w:tcPr>
          <w:p w14:paraId="435A13BA"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 </w:t>
            </w:r>
          </w:p>
        </w:tc>
      </w:tr>
      <w:tr w:rsidR="00463A75" w:rsidRPr="003E76E7" w14:paraId="0351A75B" w14:textId="77777777" w:rsidTr="00B17397">
        <w:trPr>
          <w:trHeight w:val="225"/>
        </w:trPr>
        <w:tc>
          <w:tcPr>
            <w:tcW w:w="3119" w:type="dxa"/>
            <w:tcBorders>
              <w:top w:val="nil"/>
              <w:left w:val="nil"/>
              <w:bottom w:val="single" w:sz="4" w:space="0" w:color="auto"/>
              <w:right w:val="nil"/>
            </w:tcBorders>
            <w:shd w:val="clear" w:color="auto" w:fill="auto"/>
            <w:vAlign w:val="bottom"/>
            <w:hideMark/>
          </w:tcPr>
          <w:p w14:paraId="1265B619"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Larrakeyah Defence Precinct</w:t>
            </w:r>
          </w:p>
        </w:tc>
        <w:tc>
          <w:tcPr>
            <w:tcW w:w="1911" w:type="dxa"/>
            <w:tcBorders>
              <w:top w:val="nil"/>
              <w:left w:val="nil"/>
              <w:bottom w:val="single" w:sz="4" w:space="0" w:color="auto"/>
              <w:right w:val="nil"/>
            </w:tcBorders>
            <w:shd w:val="clear" w:color="auto" w:fill="auto"/>
            <w:noWrap/>
            <w:vAlign w:val="bottom"/>
            <w:hideMark/>
          </w:tcPr>
          <w:p w14:paraId="63078B76"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NT - Solomon</w:t>
            </w:r>
          </w:p>
        </w:tc>
        <w:tc>
          <w:tcPr>
            <w:tcW w:w="1141" w:type="dxa"/>
            <w:tcBorders>
              <w:top w:val="nil"/>
              <w:left w:val="nil"/>
              <w:bottom w:val="single" w:sz="4" w:space="0" w:color="auto"/>
              <w:right w:val="nil"/>
            </w:tcBorders>
            <w:shd w:val="clear" w:color="auto" w:fill="auto"/>
            <w:noWrap/>
            <w:vAlign w:val="bottom"/>
            <w:hideMark/>
          </w:tcPr>
          <w:p w14:paraId="337E186B"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601.7</w:t>
            </w:r>
          </w:p>
        </w:tc>
        <w:tc>
          <w:tcPr>
            <w:tcW w:w="1462" w:type="dxa"/>
            <w:tcBorders>
              <w:top w:val="nil"/>
              <w:left w:val="nil"/>
              <w:bottom w:val="single" w:sz="4" w:space="0" w:color="auto"/>
              <w:right w:val="nil"/>
            </w:tcBorders>
            <w:shd w:val="clear" w:color="auto" w:fill="auto"/>
            <w:noWrap/>
            <w:vAlign w:val="bottom"/>
            <w:hideMark/>
          </w:tcPr>
          <w:p w14:paraId="077B7F97"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577.4</w:t>
            </w:r>
          </w:p>
        </w:tc>
        <w:tc>
          <w:tcPr>
            <w:tcW w:w="1313" w:type="dxa"/>
            <w:tcBorders>
              <w:top w:val="nil"/>
              <w:left w:val="nil"/>
              <w:bottom w:val="single" w:sz="4" w:space="0" w:color="auto"/>
              <w:right w:val="nil"/>
            </w:tcBorders>
            <w:shd w:val="clear" w:color="auto" w:fill="auto"/>
            <w:noWrap/>
            <w:vAlign w:val="bottom"/>
            <w:hideMark/>
          </w:tcPr>
          <w:p w14:paraId="27DA789B"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15.4</w:t>
            </w:r>
          </w:p>
        </w:tc>
      </w:tr>
      <w:tr w:rsidR="00463A75" w:rsidRPr="003E76E7" w14:paraId="41BDDC52" w14:textId="77777777" w:rsidTr="00B17397">
        <w:trPr>
          <w:trHeight w:val="225"/>
        </w:trPr>
        <w:tc>
          <w:tcPr>
            <w:tcW w:w="3119" w:type="dxa"/>
            <w:tcBorders>
              <w:top w:val="nil"/>
              <w:left w:val="nil"/>
              <w:bottom w:val="nil"/>
              <w:right w:val="nil"/>
            </w:tcBorders>
            <w:shd w:val="clear" w:color="auto" w:fill="auto"/>
            <w:vAlign w:val="bottom"/>
            <w:hideMark/>
          </w:tcPr>
          <w:p w14:paraId="6E8E07C0"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RAAF Base Wagga Redevelopment</w:t>
            </w:r>
          </w:p>
        </w:tc>
        <w:tc>
          <w:tcPr>
            <w:tcW w:w="1911" w:type="dxa"/>
            <w:tcBorders>
              <w:top w:val="nil"/>
              <w:left w:val="nil"/>
              <w:bottom w:val="nil"/>
              <w:right w:val="nil"/>
            </w:tcBorders>
            <w:shd w:val="clear" w:color="auto" w:fill="auto"/>
            <w:noWrap/>
            <w:vAlign w:val="bottom"/>
            <w:hideMark/>
          </w:tcPr>
          <w:p w14:paraId="59CC4BB5"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 </w:t>
            </w:r>
          </w:p>
        </w:tc>
        <w:tc>
          <w:tcPr>
            <w:tcW w:w="1141" w:type="dxa"/>
            <w:tcBorders>
              <w:top w:val="nil"/>
              <w:left w:val="nil"/>
              <w:bottom w:val="nil"/>
              <w:right w:val="nil"/>
            </w:tcBorders>
            <w:shd w:val="clear" w:color="auto" w:fill="auto"/>
            <w:noWrap/>
            <w:vAlign w:val="bottom"/>
            <w:hideMark/>
          </w:tcPr>
          <w:p w14:paraId="0D81525F"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 </w:t>
            </w:r>
          </w:p>
        </w:tc>
        <w:tc>
          <w:tcPr>
            <w:tcW w:w="1462" w:type="dxa"/>
            <w:tcBorders>
              <w:top w:val="nil"/>
              <w:left w:val="nil"/>
              <w:bottom w:val="nil"/>
              <w:right w:val="nil"/>
            </w:tcBorders>
            <w:shd w:val="clear" w:color="auto" w:fill="auto"/>
            <w:noWrap/>
            <w:vAlign w:val="bottom"/>
            <w:hideMark/>
          </w:tcPr>
          <w:p w14:paraId="3541C467"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 </w:t>
            </w:r>
          </w:p>
        </w:tc>
        <w:tc>
          <w:tcPr>
            <w:tcW w:w="1313" w:type="dxa"/>
            <w:tcBorders>
              <w:top w:val="nil"/>
              <w:left w:val="nil"/>
              <w:bottom w:val="nil"/>
              <w:right w:val="nil"/>
            </w:tcBorders>
            <w:shd w:val="clear" w:color="auto" w:fill="auto"/>
            <w:noWrap/>
            <w:vAlign w:val="bottom"/>
            <w:hideMark/>
          </w:tcPr>
          <w:p w14:paraId="37187E9B"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 </w:t>
            </w:r>
          </w:p>
        </w:tc>
      </w:tr>
      <w:tr w:rsidR="00463A75" w:rsidRPr="003E76E7" w14:paraId="67B3FA6F" w14:textId="77777777" w:rsidTr="00B17397">
        <w:trPr>
          <w:trHeight w:val="225"/>
        </w:trPr>
        <w:tc>
          <w:tcPr>
            <w:tcW w:w="3119" w:type="dxa"/>
            <w:tcBorders>
              <w:top w:val="nil"/>
              <w:left w:val="nil"/>
              <w:bottom w:val="single" w:sz="4" w:space="0" w:color="auto"/>
              <w:right w:val="nil"/>
            </w:tcBorders>
            <w:shd w:val="clear" w:color="auto" w:fill="auto"/>
            <w:vAlign w:val="bottom"/>
            <w:hideMark/>
          </w:tcPr>
          <w:p w14:paraId="2BBA11BA"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RAAF Base Wagga</w:t>
            </w:r>
          </w:p>
        </w:tc>
        <w:tc>
          <w:tcPr>
            <w:tcW w:w="1911" w:type="dxa"/>
            <w:tcBorders>
              <w:top w:val="nil"/>
              <w:left w:val="nil"/>
              <w:bottom w:val="single" w:sz="4" w:space="0" w:color="auto"/>
              <w:right w:val="nil"/>
            </w:tcBorders>
            <w:shd w:val="clear" w:color="auto" w:fill="auto"/>
            <w:noWrap/>
            <w:vAlign w:val="bottom"/>
            <w:hideMark/>
          </w:tcPr>
          <w:p w14:paraId="1C46E18B"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 xml:space="preserve">NSW - Riverina </w:t>
            </w:r>
          </w:p>
        </w:tc>
        <w:tc>
          <w:tcPr>
            <w:tcW w:w="1141" w:type="dxa"/>
            <w:tcBorders>
              <w:top w:val="nil"/>
              <w:left w:val="nil"/>
              <w:bottom w:val="single" w:sz="4" w:space="0" w:color="auto"/>
              <w:right w:val="nil"/>
            </w:tcBorders>
            <w:shd w:val="clear" w:color="auto" w:fill="auto"/>
            <w:noWrap/>
            <w:vAlign w:val="bottom"/>
            <w:hideMark/>
          </w:tcPr>
          <w:p w14:paraId="66474438"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590.0</w:t>
            </w:r>
          </w:p>
        </w:tc>
        <w:tc>
          <w:tcPr>
            <w:tcW w:w="1462" w:type="dxa"/>
            <w:tcBorders>
              <w:top w:val="nil"/>
              <w:left w:val="nil"/>
              <w:bottom w:val="single" w:sz="4" w:space="0" w:color="auto"/>
              <w:right w:val="nil"/>
            </w:tcBorders>
            <w:shd w:val="clear" w:color="auto" w:fill="auto"/>
            <w:noWrap/>
            <w:vAlign w:val="bottom"/>
            <w:hideMark/>
          </w:tcPr>
          <w:p w14:paraId="5711176C"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67.2</w:t>
            </w:r>
          </w:p>
        </w:tc>
        <w:tc>
          <w:tcPr>
            <w:tcW w:w="1313" w:type="dxa"/>
            <w:tcBorders>
              <w:top w:val="nil"/>
              <w:left w:val="nil"/>
              <w:bottom w:val="single" w:sz="4" w:space="0" w:color="auto"/>
              <w:right w:val="nil"/>
            </w:tcBorders>
            <w:shd w:val="clear" w:color="auto" w:fill="auto"/>
            <w:noWrap/>
            <w:vAlign w:val="bottom"/>
            <w:hideMark/>
          </w:tcPr>
          <w:p w14:paraId="45BC6679"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119.4</w:t>
            </w:r>
          </w:p>
        </w:tc>
      </w:tr>
      <w:tr w:rsidR="00463A75" w:rsidRPr="003E76E7" w14:paraId="2BBBDD81" w14:textId="77777777" w:rsidTr="00B17397">
        <w:trPr>
          <w:trHeight w:val="225"/>
        </w:trPr>
        <w:tc>
          <w:tcPr>
            <w:tcW w:w="3119" w:type="dxa"/>
            <w:tcBorders>
              <w:top w:val="nil"/>
              <w:left w:val="nil"/>
              <w:bottom w:val="nil"/>
              <w:right w:val="nil"/>
            </w:tcBorders>
            <w:shd w:val="clear" w:color="auto" w:fill="auto"/>
            <w:vAlign w:val="center"/>
            <w:hideMark/>
          </w:tcPr>
          <w:p w14:paraId="7E9B634A"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Army Aviation Program of Works</w:t>
            </w:r>
          </w:p>
        </w:tc>
        <w:tc>
          <w:tcPr>
            <w:tcW w:w="1911" w:type="dxa"/>
            <w:tcBorders>
              <w:top w:val="nil"/>
              <w:left w:val="nil"/>
              <w:bottom w:val="nil"/>
              <w:right w:val="nil"/>
            </w:tcBorders>
            <w:shd w:val="clear" w:color="auto" w:fill="auto"/>
            <w:vAlign w:val="center"/>
            <w:hideMark/>
          </w:tcPr>
          <w:p w14:paraId="2A3D0E76"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141" w:type="dxa"/>
            <w:tcBorders>
              <w:top w:val="nil"/>
              <w:left w:val="nil"/>
              <w:bottom w:val="nil"/>
              <w:right w:val="nil"/>
            </w:tcBorders>
            <w:shd w:val="clear" w:color="auto" w:fill="auto"/>
            <w:vAlign w:val="center"/>
            <w:hideMark/>
          </w:tcPr>
          <w:p w14:paraId="03609305"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462" w:type="dxa"/>
            <w:tcBorders>
              <w:top w:val="nil"/>
              <w:left w:val="nil"/>
              <w:bottom w:val="nil"/>
              <w:right w:val="nil"/>
            </w:tcBorders>
            <w:shd w:val="clear" w:color="auto" w:fill="auto"/>
            <w:vAlign w:val="center"/>
            <w:hideMark/>
          </w:tcPr>
          <w:p w14:paraId="2AF4EB9A"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313" w:type="dxa"/>
            <w:tcBorders>
              <w:top w:val="nil"/>
              <w:left w:val="nil"/>
              <w:bottom w:val="nil"/>
              <w:right w:val="nil"/>
            </w:tcBorders>
            <w:shd w:val="clear" w:color="auto" w:fill="auto"/>
            <w:vAlign w:val="center"/>
            <w:hideMark/>
          </w:tcPr>
          <w:p w14:paraId="10FF430C"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r>
      <w:tr w:rsidR="00463A75" w:rsidRPr="003E76E7" w14:paraId="7F1DB0E3" w14:textId="77777777" w:rsidTr="00067733">
        <w:trPr>
          <w:trHeight w:val="225"/>
        </w:trPr>
        <w:tc>
          <w:tcPr>
            <w:tcW w:w="3119" w:type="dxa"/>
            <w:tcBorders>
              <w:top w:val="nil"/>
              <w:left w:val="nil"/>
              <w:bottom w:val="nil"/>
              <w:right w:val="nil"/>
            </w:tcBorders>
            <w:shd w:val="clear" w:color="auto" w:fill="auto"/>
            <w:vAlign w:val="bottom"/>
            <w:hideMark/>
          </w:tcPr>
          <w:p w14:paraId="612D75E7"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RAAF Base Townsville</w:t>
            </w:r>
          </w:p>
        </w:tc>
        <w:tc>
          <w:tcPr>
            <w:tcW w:w="1911" w:type="dxa"/>
            <w:tcBorders>
              <w:top w:val="nil"/>
              <w:left w:val="nil"/>
              <w:bottom w:val="nil"/>
              <w:right w:val="nil"/>
            </w:tcBorders>
            <w:shd w:val="clear" w:color="auto" w:fill="auto"/>
            <w:noWrap/>
            <w:vAlign w:val="bottom"/>
            <w:hideMark/>
          </w:tcPr>
          <w:p w14:paraId="2811092B"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QLD - Herbert</w:t>
            </w:r>
          </w:p>
        </w:tc>
        <w:tc>
          <w:tcPr>
            <w:tcW w:w="1141" w:type="dxa"/>
            <w:tcBorders>
              <w:top w:val="nil"/>
              <w:left w:val="nil"/>
              <w:bottom w:val="nil"/>
              <w:right w:val="nil"/>
            </w:tcBorders>
            <w:shd w:val="clear" w:color="auto" w:fill="auto"/>
            <w:noWrap/>
            <w:vAlign w:val="bottom"/>
          </w:tcPr>
          <w:p w14:paraId="30997FD4" w14:textId="6CD143F6"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0BC9AD41"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120.5</w:t>
            </w:r>
          </w:p>
        </w:tc>
        <w:tc>
          <w:tcPr>
            <w:tcW w:w="1313" w:type="dxa"/>
            <w:tcBorders>
              <w:top w:val="nil"/>
              <w:left w:val="nil"/>
              <w:bottom w:val="nil"/>
              <w:right w:val="nil"/>
            </w:tcBorders>
            <w:shd w:val="clear" w:color="auto" w:fill="auto"/>
            <w:noWrap/>
            <w:vAlign w:val="bottom"/>
            <w:hideMark/>
          </w:tcPr>
          <w:p w14:paraId="530843CB"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130.5</w:t>
            </w:r>
          </w:p>
        </w:tc>
      </w:tr>
      <w:tr w:rsidR="00463A75" w:rsidRPr="003E76E7" w14:paraId="5877741F" w14:textId="77777777" w:rsidTr="00067733">
        <w:trPr>
          <w:trHeight w:val="225"/>
        </w:trPr>
        <w:tc>
          <w:tcPr>
            <w:tcW w:w="3119" w:type="dxa"/>
            <w:tcBorders>
              <w:top w:val="nil"/>
              <w:left w:val="nil"/>
              <w:bottom w:val="nil"/>
              <w:right w:val="nil"/>
            </w:tcBorders>
            <w:shd w:val="clear" w:color="auto" w:fill="auto"/>
            <w:vAlign w:val="bottom"/>
            <w:hideMark/>
          </w:tcPr>
          <w:p w14:paraId="3117F51E"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Townsville Field Training Area</w:t>
            </w:r>
          </w:p>
        </w:tc>
        <w:tc>
          <w:tcPr>
            <w:tcW w:w="1911" w:type="dxa"/>
            <w:tcBorders>
              <w:top w:val="nil"/>
              <w:left w:val="nil"/>
              <w:bottom w:val="nil"/>
              <w:right w:val="nil"/>
            </w:tcBorders>
            <w:shd w:val="clear" w:color="auto" w:fill="auto"/>
            <w:noWrap/>
            <w:vAlign w:val="bottom"/>
            <w:hideMark/>
          </w:tcPr>
          <w:p w14:paraId="7F235517"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QLD - Kennedy</w:t>
            </w:r>
          </w:p>
        </w:tc>
        <w:tc>
          <w:tcPr>
            <w:tcW w:w="1141" w:type="dxa"/>
            <w:tcBorders>
              <w:top w:val="nil"/>
              <w:left w:val="nil"/>
              <w:bottom w:val="nil"/>
              <w:right w:val="nil"/>
            </w:tcBorders>
            <w:shd w:val="clear" w:color="auto" w:fill="auto"/>
            <w:noWrap/>
            <w:vAlign w:val="bottom"/>
          </w:tcPr>
          <w:p w14:paraId="0984415B" w14:textId="332935D8"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31CBE60C"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 xml:space="preserve">                     - </w:t>
            </w:r>
          </w:p>
        </w:tc>
        <w:tc>
          <w:tcPr>
            <w:tcW w:w="1313" w:type="dxa"/>
            <w:tcBorders>
              <w:top w:val="nil"/>
              <w:left w:val="nil"/>
              <w:bottom w:val="nil"/>
              <w:right w:val="nil"/>
            </w:tcBorders>
            <w:shd w:val="clear" w:color="auto" w:fill="auto"/>
            <w:noWrap/>
            <w:vAlign w:val="bottom"/>
            <w:hideMark/>
          </w:tcPr>
          <w:p w14:paraId="764537B8"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21.2</w:t>
            </w:r>
          </w:p>
        </w:tc>
      </w:tr>
      <w:tr w:rsidR="00463A75" w:rsidRPr="003E76E7" w14:paraId="3D8034E2" w14:textId="77777777" w:rsidTr="00B17397">
        <w:trPr>
          <w:trHeight w:val="225"/>
        </w:trPr>
        <w:tc>
          <w:tcPr>
            <w:tcW w:w="3119" w:type="dxa"/>
            <w:tcBorders>
              <w:top w:val="nil"/>
              <w:left w:val="nil"/>
              <w:bottom w:val="single" w:sz="4" w:space="0" w:color="auto"/>
              <w:right w:val="nil"/>
            </w:tcBorders>
            <w:shd w:val="clear" w:color="auto" w:fill="auto"/>
            <w:vAlign w:val="bottom"/>
            <w:hideMark/>
          </w:tcPr>
          <w:p w14:paraId="79AEA0DA"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Total</w:t>
            </w:r>
          </w:p>
        </w:tc>
        <w:tc>
          <w:tcPr>
            <w:tcW w:w="1911" w:type="dxa"/>
            <w:tcBorders>
              <w:top w:val="nil"/>
              <w:left w:val="nil"/>
              <w:bottom w:val="single" w:sz="4" w:space="0" w:color="auto"/>
              <w:right w:val="nil"/>
            </w:tcBorders>
            <w:shd w:val="clear" w:color="auto" w:fill="auto"/>
            <w:noWrap/>
            <w:vAlign w:val="bottom"/>
            <w:hideMark/>
          </w:tcPr>
          <w:p w14:paraId="3B5DB1FF" w14:textId="77777777" w:rsidR="00463A75" w:rsidRPr="003E76E7" w:rsidRDefault="00463A75" w:rsidP="00C4292D">
            <w:pPr>
              <w:spacing w:before="0" w:after="0"/>
              <w:jc w:val="center"/>
              <w:rPr>
                <w:rFonts w:ascii="Arial" w:hAnsi="Arial"/>
                <w:b/>
                <w:bCs/>
                <w:color w:val="000000"/>
                <w:sz w:val="16"/>
                <w:szCs w:val="16"/>
                <w:lang w:val="en-AU"/>
              </w:rPr>
            </w:pPr>
            <w:r w:rsidRPr="003E76E7">
              <w:rPr>
                <w:rFonts w:ascii="Arial" w:hAnsi="Arial"/>
                <w:b/>
                <w:bCs/>
                <w:color w:val="000000"/>
                <w:sz w:val="16"/>
                <w:szCs w:val="16"/>
                <w:lang w:val="en-AU"/>
              </w:rPr>
              <w:t> </w:t>
            </w:r>
          </w:p>
        </w:tc>
        <w:tc>
          <w:tcPr>
            <w:tcW w:w="1141" w:type="dxa"/>
            <w:tcBorders>
              <w:top w:val="nil"/>
              <w:left w:val="nil"/>
              <w:bottom w:val="single" w:sz="4" w:space="0" w:color="auto"/>
              <w:right w:val="nil"/>
            </w:tcBorders>
            <w:shd w:val="clear" w:color="auto" w:fill="auto"/>
            <w:noWrap/>
            <w:vAlign w:val="bottom"/>
            <w:hideMark/>
          </w:tcPr>
          <w:p w14:paraId="14826592"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518.3</w:t>
            </w:r>
          </w:p>
        </w:tc>
        <w:tc>
          <w:tcPr>
            <w:tcW w:w="1462" w:type="dxa"/>
            <w:tcBorders>
              <w:top w:val="nil"/>
              <w:left w:val="nil"/>
              <w:bottom w:val="single" w:sz="4" w:space="0" w:color="auto"/>
              <w:right w:val="nil"/>
            </w:tcBorders>
            <w:shd w:val="clear" w:color="auto" w:fill="auto"/>
            <w:noWrap/>
            <w:vAlign w:val="bottom"/>
            <w:hideMark/>
          </w:tcPr>
          <w:p w14:paraId="697F5506"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120.5</w:t>
            </w:r>
          </w:p>
        </w:tc>
        <w:tc>
          <w:tcPr>
            <w:tcW w:w="1313" w:type="dxa"/>
            <w:tcBorders>
              <w:top w:val="nil"/>
              <w:left w:val="nil"/>
              <w:bottom w:val="single" w:sz="4" w:space="0" w:color="auto"/>
              <w:right w:val="nil"/>
            </w:tcBorders>
            <w:shd w:val="clear" w:color="auto" w:fill="auto"/>
            <w:noWrap/>
            <w:vAlign w:val="bottom"/>
            <w:hideMark/>
          </w:tcPr>
          <w:p w14:paraId="54EDAFDB"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151.7</w:t>
            </w:r>
          </w:p>
        </w:tc>
      </w:tr>
      <w:tr w:rsidR="00463A75" w:rsidRPr="003E76E7" w14:paraId="5684980F" w14:textId="77777777" w:rsidTr="00B17397">
        <w:trPr>
          <w:trHeight w:val="225"/>
        </w:trPr>
        <w:tc>
          <w:tcPr>
            <w:tcW w:w="3119" w:type="dxa"/>
            <w:tcBorders>
              <w:top w:val="nil"/>
              <w:left w:val="nil"/>
              <w:bottom w:val="nil"/>
              <w:right w:val="nil"/>
            </w:tcBorders>
            <w:shd w:val="clear" w:color="auto" w:fill="auto"/>
            <w:vAlign w:val="center"/>
            <w:hideMark/>
          </w:tcPr>
          <w:p w14:paraId="4DA459FE"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xml:space="preserve">HMAS </w:t>
            </w:r>
            <w:r w:rsidRPr="002F62D4">
              <w:rPr>
                <w:rFonts w:ascii="Arial" w:hAnsi="Arial"/>
                <w:b/>
                <w:bCs/>
                <w:iCs/>
                <w:color w:val="000000"/>
                <w:sz w:val="16"/>
                <w:szCs w:val="16"/>
                <w:lang w:val="en-AU"/>
              </w:rPr>
              <w:t>Watson</w:t>
            </w:r>
            <w:r w:rsidRPr="003E76E7">
              <w:rPr>
                <w:rFonts w:ascii="Arial" w:hAnsi="Arial"/>
                <w:b/>
                <w:bCs/>
                <w:i/>
                <w:iCs/>
                <w:color w:val="000000"/>
                <w:sz w:val="16"/>
                <w:szCs w:val="16"/>
                <w:lang w:val="en-AU"/>
              </w:rPr>
              <w:t xml:space="preserve"> </w:t>
            </w:r>
            <w:r w:rsidRPr="003E76E7">
              <w:rPr>
                <w:rFonts w:ascii="Arial" w:hAnsi="Arial"/>
                <w:b/>
                <w:bCs/>
                <w:color w:val="000000"/>
                <w:sz w:val="16"/>
                <w:szCs w:val="16"/>
                <w:lang w:val="en-AU"/>
              </w:rPr>
              <w:t>Redevelopment</w:t>
            </w:r>
          </w:p>
        </w:tc>
        <w:tc>
          <w:tcPr>
            <w:tcW w:w="1911" w:type="dxa"/>
            <w:tcBorders>
              <w:top w:val="nil"/>
              <w:left w:val="nil"/>
              <w:bottom w:val="nil"/>
              <w:right w:val="nil"/>
            </w:tcBorders>
            <w:shd w:val="clear" w:color="auto" w:fill="auto"/>
            <w:vAlign w:val="center"/>
            <w:hideMark/>
          </w:tcPr>
          <w:p w14:paraId="351D31DA"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141" w:type="dxa"/>
            <w:tcBorders>
              <w:top w:val="nil"/>
              <w:left w:val="nil"/>
              <w:bottom w:val="nil"/>
              <w:right w:val="nil"/>
            </w:tcBorders>
            <w:shd w:val="clear" w:color="auto" w:fill="auto"/>
            <w:vAlign w:val="center"/>
            <w:hideMark/>
          </w:tcPr>
          <w:p w14:paraId="3C0E4419"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462" w:type="dxa"/>
            <w:tcBorders>
              <w:top w:val="nil"/>
              <w:left w:val="nil"/>
              <w:bottom w:val="nil"/>
              <w:right w:val="nil"/>
            </w:tcBorders>
            <w:shd w:val="clear" w:color="auto" w:fill="auto"/>
            <w:vAlign w:val="center"/>
            <w:hideMark/>
          </w:tcPr>
          <w:p w14:paraId="0A574D00"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313" w:type="dxa"/>
            <w:tcBorders>
              <w:top w:val="nil"/>
              <w:left w:val="nil"/>
              <w:bottom w:val="nil"/>
              <w:right w:val="nil"/>
            </w:tcBorders>
            <w:shd w:val="clear" w:color="auto" w:fill="auto"/>
            <w:vAlign w:val="center"/>
            <w:hideMark/>
          </w:tcPr>
          <w:p w14:paraId="5231AB47"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r>
      <w:tr w:rsidR="00463A75" w:rsidRPr="003E76E7" w14:paraId="70889488" w14:textId="77777777" w:rsidTr="00B17397">
        <w:trPr>
          <w:trHeight w:val="225"/>
        </w:trPr>
        <w:tc>
          <w:tcPr>
            <w:tcW w:w="3119" w:type="dxa"/>
            <w:tcBorders>
              <w:top w:val="nil"/>
              <w:left w:val="nil"/>
              <w:bottom w:val="single" w:sz="4" w:space="0" w:color="auto"/>
              <w:right w:val="nil"/>
            </w:tcBorders>
            <w:shd w:val="clear" w:color="auto" w:fill="auto"/>
            <w:vAlign w:val="bottom"/>
            <w:hideMark/>
          </w:tcPr>
          <w:p w14:paraId="37CA6C6A"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 xml:space="preserve">HMAS </w:t>
            </w:r>
            <w:r w:rsidRPr="002F62D4">
              <w:rPr>
                <w:rFonts w:ascii="Arial" w:hAnsi="Arial"/>
                <w:iCs/>
                <w:color w:val="000000"/>
                <w:sz w:val="16"/>
                <w:szCs w:val="16"/>
                <w:lang w:val="en-AU"/>
              </w:rPr>
              <w:t>Watson</w:t>
            </w:r>
          </w:p>
        </w:tc>
        <w:tc>
          <w:tcPr>
            <w:tcW w:w="1911" w:type="dxa"/>
            <w:tcBorders>
              <w:top w:val="nil"/>
              <w:left w:val="nil"/>
              <w:bottom w:val="single" w:sz="4" w:space="0" w:color="auto"/>
              <w:right w:val="nil"/>
            </w:tcBorders>
            <w:shd w:val="clear" w:color="auto" w:fill="auto"/>
            <w:noWrap/>
            <w:vAlign w:val="bottom"/>
            <w:hideMark/>
          </w:tcPr>
          <w:p w14:paraId="6BADE6BD"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NSW - Wentworth</w:t>
            </w:r>
          </w:p>
        </w:tc>
        <w:tc>
          <w:tcPr>
            <w:tcW w:w="1141" w:type="dxa"/>
            <w:tcBorders>
              <w:top w:val="nil"/>
              <w:left w:val="nil"/>
              <w:bottom w:val="single" w:sz="4" w:space="0" w:color="auto"/>
              <w:right w:val="nil"/>
            </w:tcBorders>
            <w:shd w:val="clear" w:color="auto" w:fill="auto"/>
            <w:noWrap/>
            <w:vAlign w:val="bottom"/>
            <w:hideMark/>
          </w:tcPr>
          <w:p w14:paraId="0979BE66"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484.0</w:t>
            </w:r>
          </w:p>
        </w:tc>
        <w:tc>
          <w:tcPr>
            <w:tcW w:w="1462" w:type="dxa"/>
            <w:tcBorders>
              <w:top w:val="nil"/>
              <w:left w:val="nil"/>
              <w:bottom w:val="single" w:sz="4" w:space="0" w:color="auto"/>
              <w:right w:val="nil"/>
            </w:tcBorders>
            <w:shd w:val="clear" w:color="auto" w:fill="auto"/>
            <w:noWrap/>
            <w:vAlign w:val="bottom"/>
            <w:hideMark/>
          </w:tcPr>
          <w:p w14:paraId="1E8A0B86"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377.4</w:t>
            </w:r>
          </w:p>
        </w:tc>
        <w:tc>
          <w:tcPr>
            <w:tcW w:w="1313" w:type="dxa"/>
            <w:tcBorders>
              <w:top w:val="nil"/>
              <w:left w:val="nil"/>
              <w:bottom w:val="single" w:sz="4" w:space="0" w:color="auto"/>
              <w:right w:val="nil"/>
            </w:tcBorders>
            <w:shd w:val="clear" w:color="auto" w:fill="auto"/>
            <w:noWrap/>
            <w:vAlign w:val="bottom"/>
            <w:hideMark/>
          </w:tcPr>
          <w:p w14:paraId="30E8DD8F"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76.9</w:t>
            </w:r>
          </w:p>
        </w:tc>
      </w:tr>
      <w:tr w:rsidR="00463A75" w:rsidRPr="003E76E7" w14:paraId="59CCD3B2" w14:textId="77777777" w:rsidTr="00B17397">
        <w:trPr>
          <w:trHeight w:val="225"/>
        </w:trPr>
        <w:tc>
          <w:tcPr>
            <w:tcW w:w="3119" w:type="dxa"/>
            <w:tcBorders>
              <w:top w:val="nil"/>
              <w:left w:val="nil"/>
              <w:bottom w:val="nil"/>
              <w:right w:val="nil"/>
            </w:tcBorders>
            <w:shd w:val="clear" w:color="auto" w:fill="auto"/>
            <w:vAlign w:val="center"/>
            <w:hideMark/>
          </w:tcPr>
          <w:p w14:paraId="4920DD0F" w14:textId="77777777" w:rsidR="00EE4EBF" w:rsidRPr="003E76E7" w:rsidRDefault="00EE4EBF" w:rsidP="00C4292D">
            <w:pPr>
              <w:spacing w:before="0" w:after="0"/>
              <w:rPr>
                <w:rFonts w:ascii="Arial" w:hAnsi="Arial"/>
                <w:b/>
                <w:bCs/>
                <w:color w:val="000000"/>
                <w:sz w:val="16"/>
                <w:szCs w:val="16"/>
                <w:lang w:val="en-AU"/>
              </w:rPr>
            </w:pPr>
          </w:p>
          <w:p w14:paraId="6AA6447C" w14:textId="77777777" w:rsidR="00EE4EBF" w:rsidRPr="003E76E7" w:rsidRDefault="00EE4EBF" w:rsidP="00C4292D">
            <w:pPr>
              <w:spacing w:before="0" w:after="0"/>
              <w:rPr>
                <w:rFonts w:ascii="Arial" w:hAnsi="Arial"/>
                <w:b/>
                <w:bCs/>
                <w:color w:val="000000"/>
                <w:sz w:val="16"/>
                <w:szCs w:val="16"/>
                <w:lang w:val="en-AU"/>
              </w:rPr>
            </w:pPr>
          </w:p>
          <w:p w14:paraId="6828D53E" w14:textId="77777777" w:rsidR="00A37D48" w:rsidRPr="003E76E7" w:rsidRDefault="00A37D48" w:rsidP="00C4292D">
            <w:pPr>
              <w:spacing w:before="0" w:after="0"/>
              <w:rPr>
                <w:rFonts w:ascii="Arial" w:hAnsi="Arial"/>
                <w:b/>
                <w:bCs/>
                <w:color w:val="000000"/>
                <w:sz w:val="16"/>
                <w:szCs w:val="16"/>
                <w:lang w:val="en-AU"/>
              </w:rPr>
            </w:pPr>
          </w:p>
          <w:p w14:paraId="42B72097" w14:textId="295CCCC8"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lastRenderedPageBreak/>
              <w:t>Facilities to Support Joint Intelligence and Targeting Training Facility</w:t>
            </w:r>
          </w:p>
        </w:tc>
        <w:tc>
          <w:tcPr>
            <w:tcW w:w="1911" w:type="dxa"/>
            <w:tcBorders>
              <w:top w:val="nil"/>
              <w:left w:val="nil"/>
              <w:bottom w:val="nil"/>
              <w:right w:val="nil"/>
            </w:tcBorders>
            <w:shd w:val="clear" w:color="auto" w:fill="auto"/>
            <w:vAlign w:val="center"/>
            <w:hideMark/>
          </w:tcPr>
          <w:p w14:paraId="066A0C03"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lastRenderedPageBreak/>
              <w:t> </w:t>
            </w:r>
          </w:p>
        </w:tc>
        <w:tc>
          <w:tcPr>
            <w:tcW w:w="1141" w:type="dxa"/>
            <w:tcBorders>
              <w:top w:val="nil"/>
              <w:left w:val="nil"/>
              <w:bottom w:val="nil"/>
              <w:right w:val="nil"/>
            </w:tcBorders>
            <w:shd w:val="clear" w:color="auto" w:fill="auto"/>
            <w:vAlign w:val="center"/>
            <w:hideMark/>
          </w:tcPr>
          <w:p w14:paraId="2D5B89AF"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462" w:type="dxa"/>
            <w:tcBorders>
              <w:top w:val="nil"/>
              <w:left w:val="nil"/>
              <w:bottom w:val="nil"/>
              <w:right w:val="nil"/>
            </w:tcBorders>
            <w:shd w:val="clear" w:color="auto" w:fill="auto"/>
            <w:vAlign w:val="center"/>
            <w:hideMark/>
          </w:tcPr>
          <w:p w14:paraId="2BBDDA10"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313" w:type="dxa"/>
            <w:tcBorders>
              <w:top w:val="nil"/>
              <w:left w:val="nil"/>
              <w:bottom w:val="nil"/>
              <w:right w:val="nil"/>
            </w:tcBorders>
            <w:shd w:val="clear" w:color="auto" w:fill="auto"/>
            <w:vAlign w:val="center"/>
            <w:hideMark/>
          </w:tcPr>
          <w:p w14:paraId="2D636956"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r>
      <w:tr w:rsidR="00463A75" w:rsidRPr="003E76E7" w14:paraId="49DF25A5" w14:textId="77777777" w:rsidTr="00B17397">
        <w:trPr>
          <w:trHeight w:val="225"/>
        </w:trPr>
        <w:tc>
          <w:tcPr>
            <w:tcW w:w="3119" w:type="dxa"/>
            <w:tcBorders>
              <w:top w:val="nil"/>
              <w:left w:val="nil"/>
              <w:bottom w:val="nil"/>
              <w:right w:val="nil"/>
            </w:tcBorders>
            <w:shd w:val="clear" w:color="auto" w:fill="auto"/>
            <w:vAlign w:val="bottom"/>
            <w:hideMark/>
          </w:tcPr>
          <w:p w14:paraId="21E22A22"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Canberra</w:t>
            </w:r>
          </w:p>
        </w:tc>
        <w:tc>
          <w:tcPr>
            <w:tcW w:w="1911" w:type="dxa"/>
            <w:tcBorders>
              <w:top w:val="nil"/>
              <w:left w:val="nil"/>
              <w:bottom w:val="nil"/>
              <w:right w:val="nil"/>
            </w:tcBorders>
            <w:shd w:val="clear" w:color="auto" w:fill="auto"/>
            <w:noWrap/>
            <w:vAlign w:val="bottom"/>
            <w:hideMark/>
          </w:tcPr>
          <w:p w14:paraId="7C77255A"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ACT</w:t>
            </w:r>
          </w:p>
        </w:tc>
        <w:tc>
          <w:tcPr>
            <w:tcW w:w="1141" w:type="dxa"/>
            <w:tcBorders>
              <w:top w:val="nil"/>
              <w:left w:val="nil"/>
              <w:bottom w:val="nil"/>
              <w:right w:val="nil"/>
            </w:tcBorders>
            <w:shd w:val="clear" w:color="auto" w:fill="auto"/>
            <w:noWrap/>
            <w:vAlign w:val="bottom"/>
            <w:hideMark/>
          </w:tcPr>
          <w:p w14:paraId="01E0E715" w14:textId="77777777"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2C0DCDFF"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83.3</w:t>
            </w:r>
          </w:p>
        </w:tc>
        <w:tc>
          <w:tcPr>
            <w:tcW w:w="1313" w:type="dxa"/>
            <w:tcBorders>
              <w:top w:val="nil"/>
              <w:left w:val="nil"/>
              <w:bottom w:val="nil"/>
              <w:right w:val="nil"/>
            </w:tcBorders>
            <w:shd w:val="clear" w:color="auto" w:fill="auto"/>
            <w:noWrap/>
            <w:vAlign w:val="bottom"/>
            <w:hideMark/>
          </w:tcPr>
          <w:p w14:paraId="28A4806A"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32.3</w:t>
            </w:r>
          </w:p>
        </w:tc>
      </w:tr>
      <w:tr w:rsidR="00463A75" w:rsidRPr="003E76E7" w14:paraId="5C55CE36" w14:textId="77777777" w:rsidTr="00B17397">
        <w:trPr>
          <w:trHeight w:val="225"/>
        </w:trPr>
        <w:tc>
          <w:tcPr>
            <w:tcW w:w="3119" w:type="dxa"/>
            <w:tcBorders>
              <w:top w:val="nil"/>
              <w:left w:val="nil"/>
              <w:bottom w:val="nil"/>
              <w:right w:val="nil"/>
            </w:tcBorders>
            <w:shd w:val="clear" w:color="auto" w:fill="auto"/>
            <w:vAlign w:val="bottom"/>
            <w:hideMark/>
          </w:tcPr>
          <w:p w14:paraId="10B3FB31"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South Australia</w:t>
            </w:r>
          </w:p>
        </w:tc>
        <w:tc>
          <w:tcPr>
            <w:tcW w:w="1911" w:type="dxa"/>
            <w:tcBorders>
              <w:top w:val="nil"/>
              <w:left w:val="nil"/>
              <w:bottom w:val="nil"/>
              <w:right w:val="nil"/>
            </w:tcBorders>
            <w:shd w:val="clear" w:color="auto" w:fill="auto"/>
            <w:noWrap/>
            <w:vAlign w:val="bottom"/>
            <w:hideMark/>
          </w:tcPr>
          <w:p w14:paraId="63B84EE1"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SA</w:t>
            </w:r>
          </w:p>
        </w:tc>
        <w:tc>
          <w:tcPr>
            <w:tcW w:w="1141" w:type="dxa"/>
            <w:tcBorders>
              <w:top w:val="nil"/>
              <w:left w:val="nil"/>
              <w:bottom w:val="nil"/>
              <w:right w:val="nil"/>
            </w:tcBorders>
            <w:shd w:val="clear" w:color="auto" w:fill="auto"/>
            <w:noWrap/>
            <w:vAlign w:val="bottom"/>
            <w:hideMark/>
          </w:tcPr>
          <w:p w14:paraId="30B703E7" w14:textId="77777777"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781D798D"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52.5</w:t>
            </w:r>
          </w:p>
        </w:tc>
        <w:tc>
          <w:tcPr>
            <w:tcW w:w="1313" w:type="dxa"/>
            <w:tcBorders>
              <w:top w:val="nil"/>
              <w:left w:val="nil"/>
              <w:bottom w:val="nil"/>
              <w:right w:val="nil"/>
            </w:tcBorders>
            <w:shd w:val="clear" w:color="auto" w:fill="auto"/>
            <w:noWrap/>
            <w:vAlign w:val="bottom"/>
            <w:hideMark/>
          </w:tcPr>
          <w:p w14:paraId="1DCCFEC0"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95.8</w:t>
            </w:r>
          </w:p>
        </w:tc>
      </w:tr>
      <w:tr w:rsidR="00463A75" w:rsidRPr="003E76E7" w14:paraId="14E9F3CE" w14:textId="77777777" w:rsidTr="00B17397">
        <w:trPr>
          <w:trHeight w:val="225"/>
        </w:trPr>
        <w:tc>
          <w:tcPr>
            <w:tcW w:w="3119" w:type="dxa"/>
            <w:tcBorders>
              <w:top w:val="nil"/>
              <w:left w:val="nil"/>
              <w:bottom w:val="single" w:sz="4" w:space="0" w:color="auto"/>
              <w:right w:val="nil"/>
            </w:tcBorders>
            <w:shd w:val="clear" w:color="auto" w:fill="auto"/>
            <w:vAlign w:val="bottom"/>
            <w:hideMark/>
          </w:tcPr>
          <w:p w14:paraId="62D4CBE0"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Total</w:t>
            </w:r>
          </w:p>
        </w:tc>
        <w:tc>
          <w:tcPr>
            <w:tcW w:w="1911" w:type="dxa"/>
            <w:tcBorders>
              <w:top w:val="nil"/>
              <w:left w:val="nil"/>
              <w:bottom w:val="single" w:sz="4" w:space="0" w:color="auto"/>
              <w:right w:val="nil"/>
            </w:tcBorders>
            <w:shd w:val="clear" w:color="auto" w:fill="auto"/>
            <w:noWrap/>
            <w:vAlign w:val="bottom"/>
            <w:hideMark/>
          </w:tcPr>
          <w:p w14:paraId="189E3D8C" w14:textId="77777777" w:rsidR="00463A75" w:rsidRPr="003E76E7" w:rsidRDefault="00463A75" w:rsidP="00C4292D">
            <w:pPr>
              <w:spacing w:before="0" w:after="0"/>
              <w:jc w:val="center"/>
              <w:rPr>
                <w:rFonts w:ascii="Arial" w:hAnsi="Arial"/>
                <w:b/>
                <w:bCs/>
                <w:color w:val="000000"/>
                <w:sz w:val="16"/>
                <w:szCs w:val="16"/>
                <w:lang w:val="en-AU"/>
              </w:rPr>
            </w:pPr>
            <w:r w:rsidRPr="003E76E7">
              <w:rPr>
                <w:rFonts w:ascii="Arial" w:hAnsi="Arial"/>
                <w:b/>
                <w:bCs/>
                <w:color w:val="000000"/>
                <w:sz w:val="16"/>
                <w:szCs w:val="16"/>
                <w:lang w:val="en-AU"/>
              </w:rPr>
              <w:t> </w:t>
            </w:r>
          </w:p>
        </w:tc>
        <w:tc>
          <w:tcPr>
            <w:tcW w:w="1141" w:type="dxa"/>
            <w:tcBorders>
              <w:top w:val="nil"/>
              <w:left w:val="nil"/>
              <w:bottom w:val="single" w:sz="4" w:space="0" w:color="auto"/>
              <w:right w:val="nil"/>
            </w:tcBorders>
            <w:shd w:val="clear" w:color="auto" w:fill="auto"/>
            <w:noWrap/>
            <w:vAlign w:val="bottom"/>
            <w:hideMark/>
          </w:tcPr>
          <w:p w14:paraId="09ABF04A"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433.6</w:t>
            </w:r>
          </w:p>
        </w:tc>
        <w:tc>
          <w:tcPr>
            <w:tcW w:w="1462" w:type="dxa"/>
            <w:tcBorders>
              <w:top w:val="nil"/>
              <w:left w:val="nil"/>
              <w:bottom w:val="single" w:sz="4" w:space="0" w:color="auto"/>
              <w:right w:val="nil"/>
            </w:tcBorders>
            <w:shd w:val="clear" w:color="auto" w:fill="auto"/>
            <w:noWrap/>
            <w:vAlign w:val="bottom"/>
            <w:hideMark/>
          </w:tcPr>
          <w:p w14:paraId="242E04DA"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135.8</w:t>
            </w:r>
          </w:p>
        </w:tc>
        <w:tc>
          <w:tcPr>
            <w:tcW w:w="1313" w:type="dxa"/>
            <w:tcBorders>
              <w:top w:val="nil"/>
              <w:left w:val="nil"/>
              <w:bottom w:val="single" w:sz="4" w:space="0" w:color="auto"/>
              <w:right w:val="nil"/>
            </w:tcBorders>
            <w:shd w:val="clear" w:color="auto" w:fill="auto"/>
            <w:noWrap/>
            <w:vAlign w:val="bottom"/>
            <w:hideMark/>
          </w:tcPr>
          <w:p w14:paraId="147CDAFE"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128.1</w:t>
            </w:r>
          </w:p>
        </w:tc>
      </w:tr>
      <w:tr w:rsidR="00463A75" w:rsidRPr="003E76E7" w14:paraId="7E48D42E" w14:textId="77777777" w:rsidTr="00B17397">
        <w:trPr>
          <w:trHeight w:val="225"/>
        </w:trPr>
        <w:tc>
          <w:tcPr>
            <w:tcW w:w="3119" w:type="dxa"/>
            <w:tcBorders>
              <w:top w:val="nil"/>
              <w:left w:val="nil"/>
              <w:bottom w:val="nil"/>
              <w:right w:val="nil"/>
            </w:tcBorders>
            <w:shd w:val="clear" w:color="auto" w:fill="auto"/>
            <w:vAlign w:val="center"/>
            <w:hideMark/>
          </w:tcPr>
          <w:p w14:paraId="6E3ADBC8" w14:textId="51F86C76"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xml:space="preserve">Airfield Capital Works P0010 (Amberley, Pearce, </w:t>
            </w:r>
            <w:r w:rsidR="00B17397" w:rsidRPr="003E76E7">
              <w:rPr>
                <w:rFonts w:ascii="Arial" w:hAnsi="Arial"/>
                <w:b/>
                <w:bCs/>
                <w:color w:val="000000"/>
                <w:sz w:val="16"/>
                <w:szCs w:val="16"/>
                <w:lang w:val="en-AU"/>
              </w:rPr>
              <w:br/>
            </w:r>
            <w:r w:rsidRPr="003E76E7">
              <w:rPr>
                <w:rFonts w:ascii="Arial" w:hAnsi="Arial"/>
                <w:b/>
                <w:bCs/>
                <w:color w:val="000000"/>
                <w:sz w:val="16"/>
                <w:szCs w:val="16"/>
                <w:lang w:val="en-AU"/>
              </w:rPr>
              <w:t>Richmond and</w:t>
            </w:r>
            <w:r w:rsidRPr="003E76E7">
              <w:rPr>
                <w:rFonts w:ascii="Arial" w:hAnsi="Arial"/>
                <w:b/>
                <w:bCs/>
                <w:i/>
                <w:iCs/>
                <w:color w:val="000000"/>
                <w:sz w:val="16"/>
                <w:szCs w:val="16"/>
                <w:lang w:val="en-AU"/>
              </w:rPr>
              <w:t xml:space="preserve"> </w:t>
            </w:r>
            <w:r w:rsidR="002F62D4" w:rsidRPr="002F62D4">
              <w:rPr>
                <w:rFonts w:ascii="Arial" w:hAnsi="Arial"/>
                <w:b/>
                <w:bCs/>
                <w:iCs/>
                <w:color w:val="000000"/>
                <w:sz w:val="16"/>
                <w:szCs w:val="16"/>
                <w:lang w:val="en-AU"/>
              </w:rPr>
              <w:t>Albatross</w:t>
            </w:r>
            <w:r w:rsidRPr="003E76E7">
              <w:rPr>
                <w:rFonts w:ascii="Arial" w:hAnsi="Arial"/>
                <w:b/>
                <w:bCs/>
                <w:color w:val="000000"/>
                <w:sz w:val="16"/>
                <w:szCs w:val="16"/>
                <w:lang w:val="en-AU"/>
              </w:rPr>
              <w:t>)</w:t>
            </w:r>
          </w:p>
        </w:tc>
        <w:tc>
          <w:tcPr>
            <w:tcW w:w="1911" w:type="dxa"/>
            <w:tcBorders>
              <w:top w:val="nil"/>
              <w:left w:val="nil"/>
              <w:bottom w:val="nil"/>
              <w:right w:val="nil"/>
            </w:tcBorders>
            <w:shd w:val="clear" w:color="auto" w:fill="auto"/>
            <w:vAlign w:val="center"/>
            <w:hideMark/>
          </w:tcPr>
          <w:p w14:paraId="630E7F77"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141" w:type="dxa"/>
            <w:tcBorders>
              <w:top w:val="nil"/>
              <w:left w:val="nil"/>
              <w:bottom w:val="nil"/>
              <w:right w:val="nil"/>
            </w:tcBorders>
            <w:shd w:val="clear" w:color="auto" w:fill="auto"/>
            <w:vAlign w:val="center"/>
            <w:hideMark/>
          </w:tcPr>
          <w:p w14:paraId="3E3CE327"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462" w:type="dxa"/>
            <w:tcBorders>
              <w:top w:val="nil"/>
              <w:left w:val="nil"/>
              <w:bottom w:val="nil"/>
              <w:right w:val="nil"/>
            </w:tcBorders>
            <w:shd w:val="clear" w:color="auto" w:fill="auto"/>
            <w:vAlign w:val="center"/>
            <w:hideMark/>
          </w:tcPr>
          <w:p w14:paraId="40E330BA"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313" w:type="dxa"/>
            <w:tcBorders>
              <w:top w:val="nil"/>
              <w:left w:val="nil"/>
              <w:bottom w:val="nil"/>
              <w:right w:val="nil"/>
            </w:tcBorders>
            <w:shd w:val="clear" w:color="auto" w:fill="auto"/>
            <w:vAlign w:val="center"/>
            <w:hideMark/>
          </w:tcPr>
          <w:p w14:paraId="66D11613"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r>
      <w:tr w:rsidR="00463A75" w:rsidRPr="003E76E7" w14:paraId="17C15F29" w14:textId="77777777" w:rsidTr="00B17397">
        <w:trPr>
          <w:trHeight w:val="225"/>
        </w:trPr>
        <w:tc>
          <w:tcPr>
            <w:tcW w:w="3119" w:type="dxa"/>
            <w:tcBorders>
              <w:top w:val="nil"/>
              <w:left w:val="nil"/>
              <w:bottom w:val="nil"/>
              <w:right w:val="nil"/>
            </w:tcBorders>
            <w:shd w:val="clear" w:color="auto" w:fill="auto"/>
            <w:vAlign w:val="bottom"/>
            <w:hideMark/>
          </w:tcPr>
          <w:p w14:paraId="4B00DD86" w14:textId="566317FA"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 xml:space="preserve">HMAS </w:t>
            </w:r>
            <w:r w:rsidR="002F62D4" w:rsidRPr="002F62D4">
              <w:rPr>
                <w:rFonts w:ascii="Arial" w:hAnsi="Arial"/>
                <w:iCs/>
                <w:color w:val="000000"/>
                <w:sz w:val="16"/>
                <w:szCs w:val="16"/>
                <w:lang w:val="en-AU"/>
              </w:rPr>
              <w:t>Albatross</w:t>
            </w:r>
          </w:p>
        </w:tc>
        <w:tc>
          <w:tcPr>
            <w:tcW w:w="1911" w:type="dxa"/>
            <w:tcBorders>
              <w:top w:val="nil"/>
              <w:left w:val="nil"/>
              <w:bottom w:val="nil"/>
              <w:right w:val="nil"/>
            </w:tcBorders>
            <w:shd w:val="clear" w:color="auto" w:fill="auto"/>
            <w:noWrap/>
            <w:vAlign w:val="bottom"/>
            <w:hideMark/>
          </w:tcPr>
          <w:p w14:paraId="7B3F3E69"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NSW - Gilmore</w:t>
            </w:r>
          </w:p>
        </w:tc>
        <w:tc>
          <w:tcPr>
            <w:tcW w:w="1141" w:type="dxa"/>
            <w:tcBorders>
              <w:top w:val="nil"/>
              <w:left w:val="nil"/>
              <w:bottom w:val="nil"/>
              <w:right w:val="nil"/>
            </w:tcBorders>
            <w:shd w:val="clear" w:color="auto" w:fill="auto"/>
            <w:noWrap/>
            <w:vAlign w:val="bottom"/>
            <w:hideMark/>
          </w:tcPr>
          <w:p w14:paraId="444A2F17" w14:textId="77777777"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6CFD6363"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109.7</w:t>
            </w:r>
          </w:p>
        </w:tc>
        <w:tc>
          <w:tcPr>
            <w:tcW w:w="1313" w:type="dxa"/>
            <w:tcBorders>
              <w:top w:val="nil"/>
              <w:left w:val="nil"/>
              <w:bottom w:val="nil"/>
              <w:right w:val="nil"/>
            </w:tcBorders>
            <w:shd w:val="clear" w:color="auto" w:fill="auto"/>
            <w:noWrap/>
            <w:vAlign w:val="bottom"/>
            <w:hideMark/>
          </w:tcPr>
          <w:p w14:paraId="4FDACB98"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8.0</w:t>
            </w:r>
          </w:p>
        </w:tc>
      </w:tr>
      <w:tr w:rsidR="00463A75" w:rsidRPr="003E76E7" w14:paraId="35DFE823" w14:textId="77777777" w:rsidTr="00B17397">
        <w:trPr>
          <w:trHeight w:val="225"/>
        </w:trPr>
        <w:tc>
          <w:tcPr>
            <w:tcW w:w="3119" w:type="dxa"/>
            <w:tcBorders>
              <w:top w:val="nil"/>
              <w:left w:val="nil"/>
              <w:bottom w:val="nil"/>
              <w:right w:val="nil"/>
            </w:tcBorders>
            <w:shd w:val="clear" w:color="auto" w:fill="auto"/>
            <w:vAlign w:val="bottom"/>
            <w:hideMark/>
          </w:tcPr>
          <w:p w14:paraId="706C72AC"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RAAF Base Richmond</w:t>
            </w:r>
          </w:p>
        </w:tc>
        <w:tc>
          <w:tcPr>
            <w:tcW w:w="1911" w:type="dxa"/>
            <w:tcBorders>
              <w:top w:val="nil"/>
              <w:left w:val="nil"/>
              <w:bottom w:val="nil"/>
              <w:right w:val="nil"/>
            </w:tcBorders>
            <w:shd w:val="clear" w:color="auto" w:fill="auto"/>
            <w:noWrap/>
            <w:vAlign w:val="bottom"/>
            <w:hideMark/>
          </w:tcPr>
          <w:p w14:paraId="0B7814F7"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NSW - Macquarie</w:t>
            </w:r>
          </w:p>
        </w:tc>
        <w:tc>
          <w:tcPr>
            <w:tcW w:w="1141" w:type="dxa"/>
            <w:tcBorders>
              <w:top w:val="nil"/>
              <w:left w:val="nil"/>
              <w:bottom w:val="nil"/>
              <w:right w:val="nil"/>
            </w:tcBorders>
            <w:shd w:val="clear" w:color="auto" w:fill="auto"/>
            <w:noWrap/>
            <w:vAlign w:val="bottom"/>
            <w:hideMark/>
          </w:tcPr>
          <w:p w14:paraId="18C9118A" w14:textId="77777777"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74B28B62"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82.2</w:t>
            </w:r>
          </w:p>
        </w:tc>
        <w:tc>
          <w:tcPr>
            <w:tcW w:w="1313" w:type="dxa"/>
            <w:tcBorders>
              <w:top w:val="nil"/>
              <w:left w:val="nil"/>
              <w:bottom w:val="nil"/>
              <w:right w:val="nil"/>
            </w:tcBorders>
            <w:shd w:val="clear" w:color="auto" w:fill="auto"/>
            <w:noWrap/>
            <w:vAlign w:val="bottom"/>
            <w:hideMark/>
          </w:tcPr>
          <w:p w14:paraId="009A2DE9"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7.9</w:t>
            </w:r>
          </w:p>
        </w:tc>
      </w:tr>
      <w:tr w:rsidR="00463A75" w:rsidRPr="003E76E7" w14:paraId="4C80F2D6" w14:textId="77777777" w:rsidTr="00B17397">
        <w:trPr>
          <w:trHeight w:val="225"/>
        </w:trPr>
        <w:tc>
          <w:tcPr>
            <w:tcW w:w="3119" w:type="dxa"/>
            <w:tcBorders>
              <w:top w:val="nil"/>
              <w:left w:val="nil"/>
              <w:bottom w:val="nil"/>
              <w:right w:val="nil"/>
            </w:tcBorders>
            <w:shd w:val="clear" w:color="auto" w:fill="auto"/>
            <w:vAlign w:val="bottom"/>
            <w:hideMark/>
          </w:tcPr>
          <w:p w14:paraId="69D94BCC"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RAAF Base Amberley</w:t>
            </w:r>
          </w:p>
        </w:tc>
        <w:tc>
          <w:tcPr>
            <w:tcW w:w="1911" w:type="dxa"/>
            <w:tcBorders>
              <w:top w:val="nil"/>
              <w:left w:val="nil"/>
              <w:bottom w:val="nil"/>
              <w:right w:val="nil"/>
            </w:tcBorders>
            <w:shd w:val="clear" w:color="auto" w:fill="auto"/>
            <w:noWrap/>
            <w:vAlign w:val="bottom"/>
            <w:hideMark/>
          </w:tcPr>
          <w:p w14:paraId="503DC88B"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QLD - Blair</w:t>
            </w:r>
          </w:p>
        </w:tc>
        <w:tc>
          <w:tcPr>
            <w:tcW w:w="1141" w:type="dxa"/>
            <w:tcBorders>
              <w:top w:val="nil"/>
              <w:left w:val="nil"/>
              <w:bottom w:val="nil"/>
              <w:right w:val="nil"/>
            </w:tcBorders>
            <w:shd w:val="clear" w:color="auto" w:fill="auto"/>
            <w:noWrap/>
            <w:vAlign w:val="bottom"/>
            <w:hideMark/>
          </w:tcPr>
          <w:p w14:paraId="6D436ADD" w14:textId="77777777"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4E678F7A"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73.5</w:t>
            </w:r>
          </w:p>
        </w:tc>
        <w:tc>
          <w:tcPr>
            <w:tcW w:w="1313" w:type="dxa"/>
            <w:tcBorders>
              <w:top w:val="nil"/>
              <w:left w:val="nil"/>
              <w:bottom w:val="nil"/>
              <w:right w:val="nil"/>
            </w:tcBorders>
            <w:shd w:val="clear" w:color="auto" w:fill="auto"/>
            <w:noWrap/>
            <w:vAlign w:val="bottom"/>
            <w:hideMark/>
          </w:tcPr>
          <w:p w14:paraId="75F82A70"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8.0</w:t>
            </w:r>
          </w:p>
        </w:tc>
      </w:tr>
      <w:tr w:rsidR="00463A75" w:rsidRPr="003E76E7" w14:paraId="7FC856A1" w14:textId="77777777" w:rsidTr="00B17397">
        <w:trPr>
          <w:trHeight w:val="225"/>
        </w:trPr>
        <w:tc>
          <w:tcPr>
            <w:tcW w:w="3119" w:type="dxa"/>
            <w:tcBorders>
              <w:top w:val="nil"/>
              <w:left w:val="nil"/>
              <w:bottom w:val="nil"/>
              <w:right w:val="nil"/>
            </w:tcBorders>
            <w:shd w:val="clear" w:color="auto" w:fill="auto"/>
            <w:vAlign w:val="bottom"/>
            <w:hideMark/>
          </w:tcPr>
          <w:p w14:paraId="09F0E82B"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RAAF Base Pearce</w:t>
            </w:r>
          </w:p>
        </w:tc>
        <w:tc>
          <w:tcPr>
            <w:tcW w:w="1911" w:type="dxa"/>
            <w:tcBorders>
              <w:top w:val="nil"/>
              <w:left w:val="nil"/>
              <w:bottom w:val="nil"/>
              <w:right w:val="nil"/>
            </w:tcBorders>
            <w:shd w:val="clear" w:color="auto" w:fill="auto"/>
            <w:noWrap/>
            <w:vAlign w:val="bottom"/>
            <w:hideMark/>
          </w:tcPr>
          <w:p w14:paraId="7A0766BA"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WA - Durack</w:t>
            </w:r>
          </w:p>
        </w:tc>
        <w:tc>
          <w:tcPr>
            <w:tcW w:w="1141" w:type="dxa"/>
            <w:tcBorders>
              <w:top w:val="nil"/>
              <w:left w:val="nil"/>
              <w:bottom w:val="nil"/>
              <w:right w:val="nil"/>
            </w:tcBorders>
            <w:shd w:val="clear" w:color="auto" w:fill="auto"/>
            <w:noWrap/>
            <w:vAlign w:val="bottom"/>
            <w:hideMark/>
          </w:tcPr>
          <w:p w14:paraId="08FCD4C0" w14:textId="77777777"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667A81DF"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110.8</w:t>
            </w:r>
          </w:p>
        </w:tc>
        <w:tc>
          <w:tcPr>
            <w:tcW w:w="1313" w:type="dxa"/>
            <w:tcBorders>
              <w:top w:val="nil"/>
              <w:left w:val="nil"/>
              <w:bottom w:val="nil"/>
              <w:right w:val="nil"/>
            </w:tcBorders>
            <w:shd w:val="clear" w:color="auto" w:fill="auto"/>
            <w:noWrap/>
            <w:vAlign w:val="bottom"/>
            <w:hideMark/>
          </w:tcPr>
          <w:p w14:paraId="04D523BA"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7.9</w:t>
            </w:r>
          </w:p>
        </w:tc>
      </w:tr>
      <w:tr w:rsidR="00463A75" w:rsidRPr="003E76E7" w14:paraId="3DA7CC1B" w14:textId="77777777" w:rsidTr="00B17397">
        <w:trPr>
          <w:trHeight w:val="225"/>
        </w:trPr>
        <w:tc>
          <w:tcPr>
            <w:tcW w:w="3119" w:type="dxa"/>
            <w:tcBorders>
              <w:top w:val="nil"/>
              <w:left w:val="nil"/>
              <w:bottom w:val="single" w:sz="4" w:space="0" w:color="auto"/>
              <w:right w:val="nil"/>
            </w:tcBorders>
            <w:shd w:val="clear" w:color="auto" w:fill="auto"/>
            <w:vAlign w:val="bottom"/>
            <w:hideMark/>
          </w:tcPr>
          <w:p w14:paraId="43B06A4E"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Total</w:t>
            </w:r>
          </w:p>
        </w:tc>
        <w:tc>
          <w:tcPr>
            <w:tcW w:w="1911" w:type="dxa"/>
            <w:tcBorders>
              <w:top w:val="nil"/>
              <w:left w:val="nil"/>
              <w:bottom w:val="single" w:sz="4" w:space="0" w:color="auto"/>
              <w:right w:val="nil"/>
            </w:tcBorders>
            <w:shd w:val="clear" w:color="auto" w:fill="auto"/>
            <w:noWrap/>
            <w:vAlign w:val="bottom"/>
            <w:hideMark/>
          </w:tcPr>
          <w:p w14:paraId="61EB0A13"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 </w:t>
            </w:r>
          </w:p>
        </w:tc>
        <w:tc>
          <w:tcPr>
            <w:tcW w:w="1141" w:type="dxa"/>
            <w:tcBorders>
              <w:top w:val="nil"/>
              <w:left w:val="nil"/>
              <w:bottom w:val="single" w:sz="4" w:space="0" w:color="auto"/>
              <w:right w:val="nil"/>
            </w:tcBorders>
            <w:shd w:val="clear" w:color="auto" w:fill="auto"/>
            <w:noWrap/>
            <w:vAlign w:val="bottom"/>
            <w:hideMark/>
          </w:tcPr>
          <w:p w14:paraId="10EE6FA5"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427.9</w:t>
            </w:r>
          </w:p>
        </w:tc>
        <w:tc>
          <w:tcPr>
            <w:tcW w:w="1462" w:type="dxa"/>
            <w:tcBorders>
              <w:top w:val="nil"/>
              <w:left w:val="nil"/>
              <w:bottom w:val="single" w:sz="4" w:space="0" w:color="auto"/>
              <w:right w:val="nil"/>
            </w:tcBorders>
            <w:shd w:val="clear" w:color="auto" w:fill="auto"/>
            <w:noWrap/>
            <w:vAlign w:val="bottom"/>
            <w:hideMark/>
          </w:tcPr>
          <w:p w14:paraId="263DC045"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376.0</w:t>
            </w:r>
          </w:p>
        </w:tc>
        <w:tc>
          <w:tcPr>
            <w:tcW w:w="1313" w:type="dxa"/>
            <w:tcBorders>
              <w:top w:val="nil"/>
              <w:left w:val="nil"/>
              <w:bottom w:val="single" w:sz="4" w:space="0" w:color="auto"/>
              <w:right w:val="nil"/>
            </w:tcBorders>
            <w:shd w:val="clear" w:color="auto" w:fill="auto"/>
            <w:noWrap/>
            <w:vAlign w:val="bottom"/>
            <w:hideMark/>
          </w:tcPr>
          <w:p w14:paraId="2A05DACE"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31.8</w:t>
            </w:r>
          </w:p>
        </w:tc>
      </w:tr>
      <w:tr w:rsidR="00463A75" w:rsidRPr="003E76E7" w14:paraId="3EB44F96" w14:textId="77777777" w:rsidTr="00B17397">
        <w:trPr>
          <w:trHeight w:val="225"/>
        </w:trPr>
        <w:tc>
          <w:tcPr>
            <w:tcW w:w="3119" w:type="dxa"/>
            <w:tcBorders>
              <w:top w:val="nil"/>
              <w:left w:val="nil"/>
              <w:bottom w:val="nil"/>
              <w:right w:val="nil"/>
            </w:tcBorders>
            <w:shd w:val="clear" w:color="auto" w:fill="auto"/>
            <w:vAlign w:val="center"/>
            <w:hideMark/>
          </w:tcPr>
          <w:p w14:paraId="694DF548" w14:textId="2D3F151B"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xml:space="preserve">Facilities to Support </w:t>
            </w:r>
            <w:r w:rsidR="00B17397" w:rsidRPr="003E76E7">
              <w:rPr>
                <w:rFonts w:ascii="Arial" w:hAnsi="Arial"/>
                <w:b/>
                <w:bCs/>
                <w:color w:val="000000"/>
                <w:sz w:val="16"/>
                <w:szCs w:val="16"/>
                <w:lang w:val="en-AU"/>
              </w:rPr>
              <w:br/>
            </w:r>
            <w:r w:rsidRPr="003E76E7">
              <w:rPr>
                <w:rFonts w:ascii="Arial" w:hAnsi="Arial"/>
                <w:b/>
                <w:bCs/>
                <w:color w:val="000000"/>
                <w:sz w:val="16"/>
                <w:szCs w:val="16"/>
                <w:lang w:val="en-AU"/>
              </w:rPr>
              <w:t xml:space="preserve">AIR 7000 Phase 1B Remotely </w:t>
            </w:r>
            <w:r w:rsidR="00A37D48" w:rsidRPr="003E76E7">
              <w:rPr>
                <w:rFonts w:ascii="Arial" w:hAnsi="Arial"/>
                <w:b/>
                <w:bCs/>
                <w:color w:val="000000"/>
                <w:sz w:val="16"/>
                <w:szCs w:val="16"/>
                <w:lang w:val="en-AU"/>
              </w:rPr>
              <w:br/>
            </w:r>
            <w:r w:rsidRPr="003E76E7">
              <w:rPr>
                <w:rFonts w:ascii="Arial" w:hAnsi="Arial"/>
                <w:b/>
                <w:bCs/>
                <w:color w:val="000000"/>
                <w:sz w:val="16"/>
                <w:szCs w:val="16"/>
                <w:lang w:val="en-AU"/>
              </w:rPr>
              <w:t>Piloted Aircraft System</w:t>
            </w:r>
          </w:p>
        </w:tc>
        <w:tc>
          <w:tcPr>
            <w:tcW w:w="1911" w:type="dxa"/>
            <w:tcBorders>
              <w:top w:val="nil"/>
              <w:left w:val="nil"/>
              <w:bottom w:val="nil"/>
              <w:right w:val="nil"/>
            </w:tcBorders>
            <w:shd w:val="clear" w:color="auto" w:fill="auto"/>
            <w:vAlign w:val="center"/>
            <w:hideMark/>
          </w:tcPr>
          <w:p w14:paraId="6EC7C450"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141" w:type="dxa"/>
            <w:tcBorders>
              <w:top w:val="nil"/>
              <w:left w:val="nil"/>
              <w:bottom w:val="nil"/>
              <w:right w:val="nil"/>
            </w:tcBorders>
            <w:shd w:val="clear" w:color="auto" w:fill="auto"/>
            <w:vAlign w:val="center"/>
            <w:hideMark/>
          </w:tcPr>
          <w:p w14:paraId="00C32641"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462" w:type="dxa"/>
            <w:tcBorders>
              <w:top w:val="nil"/>
              <w:left w:val="nil"/>
              <w:bottom w:val="nil"/>
              <w:right w:val="nil"/>
            </w:tcBorders>
            <w:shd w:val="clear" w:color="auto" w:fill="auto"/>
            <w:vAlign w:val="center"/>
            <w:hideMark/>
          </w:tcPr>
          <w:p w14:paraId="599F4262"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313" w:type="dxa"/>
            <w:tcBorders>
              <w:top w:val="nil"/>
              <w:left w:val="nil"/>
              <w:bottom w:val="nil"/>
              <w:right w:val="nil"/>
            </w:tcBorders>
            <w:shd w:val="clear" w:color="auto" w:fill="auto"/>
            <w:vAlign w:val="center"/>
            <w:hideMark/>
          </w:tcPr>
          <w:p w14:paraId="4DC2A156"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r>
      <w:tr w:rsidR="00463A75" w:rsidRPr="003E76E7" w14:paraId="0E137A64" w14:textId="77777777" w:rsidTr="00B17397">
        <w:trPr>
          <w:trHeight w:val="225"/>
        </w:trPr>
        <w:tc>
          <w:tcPr>
            <w:tcW w:w="3119" w:type="dxa"/>
            <w:tcBorders>
              <w:top w:val="nil"/>
              <w:left w:val="nil"/>
              <w:bottom w:val="nil"/>
              <w:right w:val="nil"/>
            </w:tcBorders>
            <w:shd w:val="clear" w:color="auto" w:fill="auto"/>
            <w:vAlign w:val="bottom"/>
            <w:hideMark/>
          </w:tcPr>
          <w:p w14:paraId="265E0430"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RAAF Base Tindal</w:t>
            </w:r>
          </w:p>
        </w:tc>
        <w:tc>
          <w:tcPr>
            <w:tcW w:w="1911" w:type="dxa"/>
            <w:tcBorders>
              <w:top w:val="nil"/>
              <w:left w:val="nil"/>
              <w:bottom w:val="nil"/>
              <w:right w:val="nil"/>
            </w:tcBorders>
            <w:shd w:val="clear" w:color="auto" w:fill="auto"/>
            <w:noWrap/>
            <w:vAlign w:val="bottom"/>
            <w:hideMark/>
          </w:tcPr>
          <w:p w14:paraId="7FD35EFB"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NT - Lingiari</w:t>
            </w:r>
          </w:p>
        </w:tc>
        <w:tc>
          <w:tcPr>
            <w:tcW w:w="1141" w:type="dxa"/>
            <w:tcBorders>
              <w:top w:val="nil"/>
              <w:left w:val="nil"/>
              <w:bottom w:val="nil"/>
              <w:right w:val="nil"/>
            </w:tcBorders>
            <w:shd w:val="clear" w:color="auto" w:fill="auto"/>
            <w:noWrap/>
            <w:vAlign w:val="bottom"/>
            <w:hideMark/>
          </w:tcPr>
          <w:p w14:paraId="6AEFB034" w14:textId="77777777"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08479FD3"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282.7</w:t>
            </w:r>
          </w:p>
        </w:tc>
        <w:tc>
          <w:tcPr>
            <w:tcW w:w="1313" w:type="dxa"/>
            <w:tcBorders>
              <w:top w:val="nil"/>
              <w:left w:val="nil"/>
              <w:bottom w:val="nil"/>
              <w:right w:val="nil"/>
            </w:tcBorders>
            <w:shd w:val="clear" w:color="auto" w:fill="auto"/>
            <w:noWrap/>
            <w:vAlign w:val="bottom"/>
            <w:hideMark/>
          </w:tcPr>
          <w:p w14:paraId="3ECB088A"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1.8</w:t>
            </w:r>
          </w:p>
        </w:tc>
      </w:tr>
      <w:tr w:rsidR="00463A75" w:rsidRPr="003E76E7" w14:paraId="43549D08" w14:textId="77777777" w:rsidTr="00B17397">
        <w:trPr>
          <w:trHeight w:val="225"/>
        </w:trPr>
        <w:tc>
          <w:tcPr>
            <w:tcW w:w="3119" w:type="dxa"/>
            <w:tcBorders>
              <w:top w:val="nil"/>
              <w:left w:val="nil"/>
              <w:bottom w:val="nil"/>
              <w:right w:val="nil"/>
            </w:tcBorders>
            <w:shd w:val="clear" w:color="auto" w:fill="auto"/>
            <w:vAlign w:val="bottom"/>
            <w:hideMark/>
          </w:tcPr>
          <w:p w14:paraId="1C4B0328"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Edinburgh Defence Precinct</w:t>
            </w:r>
          </w:p>
        </w:tc>
        <w:tc>
          <w:tcPr>
            <w:tcW w:w="1911" w:type="dxa"/>
            <w:tcBorders>
              <w:top w:val="nil"/>
              <w:left w:val="nil"/>
              <w:bottom w:val="nil"/>
              <w:right w:val="nil"/>
            </w:tcBorders>
            <w:shd w:val="clear" w:color="auto" w:fill="auto"/>
            <w:noWrap/>
            <w:vAlign w:val="bottom"/>
            <w:hideMark/>
          </w:tcPr>
          <w:p w14:paraId="04C4CB2F"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SA - Spence</w:t>
            </w:r>
          </w:p>
        </w:tc>
        <w:tc>
          <w:tcPr>
            <w:tcW w:w="1141" w:type="dxa"/>
            <w:tcBorders>
              <w:top w:val="nil"/>
              <w:left w:val="nil"/>
              <w:bottom w:val="nil"/>
              <w:right w:val="nil"/>
            </w:tcBorders>
            <w:shd w:val="clear" w:color="auto" w:fill="auto"/>
            <w:noWrap/>
            <w:vAlign w:val="bottom"/>
            <w:hideMark/>
          </w:tcPr>
          <w:p w14:paraId="0CB37FA7" w14:textId="77777777"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5D34D846"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108.5</w:t>
            </w:r>
          </w:p>
        </w:tc>
        <w:tc>
          <w:tcPr>
            <w:tcW w:w="1313" w:type="dxa"/>
            <w:tcBorders>
              <w:top w:val="nil"/>
              <w:left w:val="nil"/>
              <w:bottom w:val="nil"/>
              <w:right w:val="nil"/>
            </w:tcBorders>
            <w:shd w:val="clear" w:color="auto" w:fill="auto"/>
            <w:noWrap/>
            <w:vAlign w:val="bottom"/>
            <w:hideMark/>
          </w:tcPr>
          <w:p w14:paraId="4F59CE85"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2.7</w:t>
            </w:r>
          </w:p>
        </w:tc>
      </w:tr>
      <w:tr w:rsidR="00463A75" w:rsidRPr="003E76E7" w14:paraId="426E21BA" w14:textId="77777777" w:rsidTr="00B17397">
        <w:trPr>
          <w:trHeight w:val="225"/>
        </w:trPr>
        <w:tc>
          <w:tcPr>
            <w:tcW w:w="3119" w:type="dxa"/>
            <w:tcBorders>
              <w:top w:val="nil"/>
              <w:left w:val="nil"/>
              <w:bottom w:val="single" w:sz="4" w:space="0" w:color="auto"/>
              <w:right w:val="nil"/>
            </w:tcBorders>
            <w:shd w:val="clear" w:color="auto" w:fill="auto"/>
            <w:vAlign w:val="bottom"/>
            <w:hideMark/>
          </w:tcPr>
          <w:p w14:paraId="20191825"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Total</w:t>
            </w:r>
          </w:p>
        </w:tc>
        <w:tc>
          <w:tcPr>
            <w:tcW w:w="1911" w:type="dxa"/>
            <w:tcBorders>
              <w:top w:val="nil"/>
              <w:left w:val="nil"/>
              <w:bottom w:val="single" w:sz="4" w:space="0" w:color="auto"/>
              <w:right w:val="nil"/>
            </w:tcBorders>
            <w:shd w:val="clear" w:color="auto" w:fill="auto"/>
            <w:noWrap/>
            <w:vAlign w:val="bottom"/>
            <w:hideMark/>
          </w:tcPr>
          <w:p w14:paraId="7DC00DEB" w14:textId="77777777" w:rsidR="00463A75" w:rsidRPr="003E76E7" w:rsidRDefault="00463A75" w:rsidP="00C4292D">
            <w:pPr>
              <w:spacing w:before="0" w:after="0"/>
              <w:jc w:val="center"/>
              <w:rPr>
                <w:rFonts w:ascii="Arial" w:hAnsi="Arial"/>
                <w:b/>
                <w:bCs/>
                <w:color w:val="000000"/>
                <w:sz w:val="16"/>
                <w:szCs w:val="16"/>
                <w:lang w:val="en-AU"/>
              </w:rPr>
            </w:pPr>
            <w:r w:rsidRPr="003E76E7">
              <w:rPr>
                <w:rFonts w:ascii="Arial" w:hAnsi="Arial"/>
                <w:b/>
                <w:bCs/>
                <w:color w:val="000000"/>
                <w:sz w:val="16"/>
                <w:szCs w:val="16"/>
                <w:lang w:val="en-AU"/>
              </w:rPr>
              <w:t> </w:t>
            </w:r>
          </w:p>
        </w:tc>
        <w:tc>
          <w:tcPr>
            <w:tcW w:w="1141" w:type="dxa"/>
            <w:tcBorders>
              <w:top w:val="nil"/>
              <w:left w:val="nil"/>
              <w:bottom w:val="single" w:sz="4" w:space="0" w:color="auto"/>
              <w:right w:val="nil"/>
            </w:tcBorders>
            <w:shd w:val="clear" w:color="auto" w:fill="auto"/>
            <w:noWrap/>
            <w:vAlign w:val="bottom"/>
            <w:hideMark/>
          </w:tcPr>
          <w:p w14:paraId="4BE2DF57"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427.1</w:t>
            </w:r>
          </w:p>
        </w:tc>
        <w:tc>
          <w:tcPr>
            <w:tcW w:w="1462" w:type="dxa"/>
            <w:tcBorders>
              <w:top w:val="nil"/>
              <w:left w:val="nil"/>
              <w:bottom w:val="single" w:sz="4" w:space="0" w:color="auto"/>
              <w:right w:val="nil"/>
            </w:tcBorders>
            <w:shd w:val="clear" w:color="auto" w:fill="auto"/>
            <w:noWrap/>
            <w:vAlign w:val="bottom"/>
            <w:hideMark/>
          </w:tcPr>
          <w:p w14:paraId="599EE6E5" w14:textId="77777777" w:rsidR="00463A75" w:rsidRPr="003E76E7" w:rsidRDefault="00463A75" w:rsidP="00C4292D">
            <w:pPr>
              <w:spacing w:before="0" w:after="0"/>
              <w:jc w:val="right"/>
              <w:rPr>
                <w:rFonts w:ascii="Arial" w:hAnsi="Arial"/>
                <w:b/>
                <w:bCs/>
                <w:sz w:val="16"/>
                <w:szCs w:val="16"/>
                <w:lang w:val="en-AU"/>
              </w:rPr>
            </w:pPr>
            <w:r w:rsidRPr="003E76E7">
              <w:rPr>
                <w:rFonts w:ascii="Arial" w:hAnsi="Arial"/>
                <w:b/>
                <w:bCs/>
                <w:sz w:val="16"/>
                <w:szCs w:val="16"/>
                <w:lang w:val="en-AU"/>
              </w:rPr>
              <w:t>391.2</w:t>
            </w:r>
          </w:p>
        </w:tc>
        <w:tc>
          <w:tcPr>
            <w:tcW w:w="1313" w:type="dxa"/>
            <w:tcBorders>
              <w:top w:val="nil"/>
              <w:left w:val="nil"/>
              <w:bottom w:val="single" w:sz="4" w:space="0" w:color="auto"/>
              <w:right w:val="nil"/>
            </w:tcBorders>
            <w:shd w:val="clear" w:color="auto" w:fill="auto"/>
            <w:noWrap/>
            <w:vAlign w:val="bottom"/>
            <w:hideMark/>
          </w:tcPr>
          <w:p w14:paraId="400CB44F" w14:textId="77777777" w:rsidR="00463A75" w:rsidRPr="003E76E7" w:rsidRDefault="00463A75" w:rsidP="00C4292D">
            <w:pPr>
              <w:spacing w:before="0" w:after="0"/>
              <w:jc w:val="right"/>
              <w:rPr>
                <w:rFonts w:ascii="Arial" w:hAnsi="Arial"/>
                <w:b/>
                <w:bCs/>
                <w:sz w:val="16"/>
                <w:szCs w:val="16"/>
                <w:lang w:val="en-AU"/>
              </w:rPr>
            </w:pPr>
            <w:r w:rsidRPr="003E76E7">
              <w:rPr>
                <w:rFonts w:ascii="Arial" w:hAnsi="Arial"/>
                <w:b/>
                <w:bCs/>
                <w:sz w:val="16"/>
                <w:szCs w:val="16"/>
                <w:lang w:val="en-AU"/>
              </w:rPr>
              <w:t>4.5</w:t>
            </w:r>
          </w:p>
        </w:tc>
      </w:tr>
      <w:tr w:rsidR="00463A75" w:rsidRPr="003E76E7" w14:paraId="5B39450E" w14:textId="77777777" w:rsidTr="00B17397">
        <w:trPr>
          <w:trHeight w:val="225"/>
        </w:trPr>
        <w:tc>
          <w:tcPr>
            <w:tcW w:w="3119" w:type="dxa"/>
            <w:tcBorders>
              <w:top w:val="nil"/>
              <w:left w:val="nil"/>
              <w:bottom w:val="nil"/>
              <w:right w:val="nil"/>
            </w:tcBorders>
            <w:shd w:val="clear" w:color="auto" w:fill="auto"/>
            <w:vAlign w:val="center"/>
            <w:hideMark/>
          </w:tcPr>
          <w:p w14:paraId="1610AD0C" w14:textId="42D550B6"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xml:space="preserve">Albury Wodonga </w:t>
            </w:r>
            <w:r w:rsidR="00B17397" w:rsidRPr="003E76E7">
              <w:rPr>
                <w:rFonts w:ascii="Arial" w:hAnsi="Arial"/>
                <w:b/>
                <w:bCs/>
                <w:color w:val="000000"/>
                <w:sz w:val="16"/>
                <w:szCs w:val="16"/>
                <w:lang w:val="en-AU"/>
              </w:rPr>
              <w:br/>
            </w:r>
            <w:r w:rsidRPr="003E76E7">
              <w:rPr>
                <w:rFonts w:ascii="Arial" w:hAnsi="Arial"/>
                <w:b/>
                <w:bCs/>
                <w:color w:val="000000"/>
                <w:sz w:val="16"/>
                <w:szCs w:val="16"/>
                <w:lang w:val="en-AU"/>
              </w:rPr>
              <w:t>Military Area Redevelopment</w:t>
            </w:r>
          </w:p>
        </w:tc>
        <w:tc>
          <w:tcPr>
            <w:tcW w:w="1911" w:type="dxa"/>
            <w:tcBorders>
              <w:top w:val="nil"/>
              <w:left w:val="nil"/>
              <w:bottom w:val="nil"/>
              <w:right w:val="nil"/>
            </w:tcBorders>
            <w:shd w:val="clear" w:color="auto" w:fill="auto"/>
            <w:vAlign w:val="center"/>
            <w:hideMark/>
          </w:tcPr>
          <w:p w14:paraId="18CB5BFC"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141" w:type="dxa"/>
            <w:tcBorders>
              <w:top w:val="nil"/>
              <w:left w:val="nil"/>
              <w:bottom w:val="nil"/>
              <w:right w:val="nil"/>
            </w:tcBorders>
            <w:shd w:val="clear" w:color="auto" w:fill="auto"/>
            <w:vAlign w:val="center"/>
            <w:hideMark/>
          </w:tcPr>
          <w:p w14:paraId="4C9495FB"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462" w:type="dxa"/>
            <w:tcBorders>
              <w:top w:val="nil"/>
              <w:left w:val="nil"/>
              <w:bottom w:val="nil"/>
              <w:right w:val="nil"/>
            </w:tcBorders>
            <w:shd w:val="clear" w:color="auto" w:fill="auto"/>
            <w:vAlign w:val="center"/>
            <w:hideMark/>
          </w:tcPr>
          <w:p w14:paraId="7B4AAA4D"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313" w:type="dxa"/>
            <w:tcBorders>
              <w:top w:val="nil"/>
              <w:left w:val="nil"/>
              <w:bottom w:val="nil"/>
              <w:right w:val="nil"/>
            </w:tcBorders>
            <w:shd w:val="clear" w:color="auto" w:fill="auto"/>
            <w:vAlign w:val="center"/>
            <w:hideMark/>
          </w:tcPr>
          <w:p w14:paraId="7A74504B"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r>
      <w:tr w:rsidR="00463A75" w:rsidRPr="003E76E7" w14:paraId="736A3A28" w14:textId="77777777" w:rsidTr="00B17397">
        <w:trPr>
          <w:trHeight w:val="225"/>
        </w:trPr>
        <w:tc>
          <w:tcPr>
            <w:tcW w:w="3119" w:type="dxa"/>
            <w:tcBorders>
              <w:top w:val="nil"/>
              <w:left w:val="nil"/>
              <w:bottom w:val="single" w:sz="4" w:space="0" w:color="auto"/>
              <w:right w:val="nil"/>
            </w:tcBorders>
            <w:shd w:val="clear" w:color="auto" w:fill="auto"/>
            <w:vAlign w:val="bottom"/>
            <w:hideMark/>
          </w:tcPr>
          <w:p w14:paraId="3F1B1502"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Albury Wodonga Military Area</w:t>
            </w:r>
          </w:p>
        </w:tc>
        <w:tc>
          <w:tcPr>
            <w:tcW w:w="1911" w:type="dxa"/>
            <w:tcBorders>
              <w:top w:val="nil"/>
              <w:left w:val="nil"/>
              <w:bottom w:val="single" w:sz="4" w:space="0" w:color="auto"/>
              <w:right w:val="nil"/>
            </w:tcBorders>
            <w:shd w:val="clear" w:color="auto" w:fill="auto"/>
            <w:noWrap/>
            <w:vAlign w:val="bottom"/>
            <w:hideMark/>
          </w:tcPr>
          <w:p w14:paraId="0D01CF49"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VIC - Indi</w:t>
            </w:r>
          </w:p>
        </w:tc>
        <w:tc>
          <w:tcPr>
            <w:tcW w:w="1141" w:type="dxa"/>
            <w:tcBorders>
              <w:top w:val="nil"/>
              <w:left w:val="nil"/>
              <w:bottom w:val="single" w:sz="4" w:space="0" w:color="auto"/>
              <w:right w:val="nil"/>
            </w:tcBorders>
            <w:shd w:val="clear" w:color="auto" w:fill="auto"/>
            <w:noWrap/>
            <w:vAlign w:val="bottom"/>
            <w:hideMark/>
          </w:tcPr>
          <w:p w14:paraId="1979EA08"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395.7</w:t>
            </w:r>
          </w:p>
        </w:tc>
        <w:tc>
          <w:tcPr>
            <w:tcW w:w="1462" w:type="dxa"/>
            <w:tcBorders>
              <w:top w:val="nil"/>
              <w:left w:val="nil"/>
              <w:bottom w:val="single" w:sz="4" w:space="0" w:color="auto"/>
              <w:right w:val="nil"/>
            </w:tcBorders>
            <w:shd w:val="clear" w:color="auto" w:fill="auto"/>
            <w:noWrap/>
            <w:vAlign w:val="bottom"/>
            <w:hideMark/>
          </w:tcPr>
          <w:p w14:paraId="7513E575"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59.1</w:t>
            </w:r>
          </w:p>
        </w:tc>
        <w:tc>
          <w:tcPr>
            <w:tcW w:w="1313" w:type="dxa"/>
            <w:tcBorders>
              <w:top w:val="nil"/>
              <w:left w:val="nil"/>
              <w:bottom w:val="single" w:sz="4" w:space="0" w:color="auto"/>
              <w:right w:val="nil"/>
            </w:tcBorders>
            <w:shd w:val="clear" w:color="auto" w:fill="auto"/>
            <w:noWrap/>
            <w:vAlign w:val="bottom"/>
            <w:hideMark/>
          </w:tcPr>
          <w:p w14:paraId="1756AE52"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87.8</w:t>
            </w:r>
          </w:p>
        </w:tc>
      </w:tr>
      <w:tr w:rsidR="00463A75" w:rsidRPr="003E76E7" w14:paraId="55E406D5" w14:textId="77777777" w:rsidTr="00B17397">
        <w:trPr>
          <w:trHeight w:val="225"/>
        </w:trPr>
        <w:tc>
          <w:tcPr>
            <w:tcW w:w="3119" w:type="dxa"/>
            <w:tcBorders>
              <w:top w:val="nil"/>
              <w:left w:val="nil"/>
              <w:bottom w:val="nil"/>
              <w:right w:val="nil"/>
            </w:tcBorders>
            <w:shd w:val="clear" w:color="auto" w:fill="auto"/>
            <w:vAlign w:val="center"/>
            <w:hideMark/>
          </w:tcPr>
          <w:p w14:paraId="4D45FD7A"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Robertson Barracks Base Improvements Project</w:t>
            </w:r>
          </w:p>
        </w:tc>
        <w:tc>
          <w:tcPr>
            <w:tcW w:w="1911" w:type="dxa"/>
            <w:tcBorders>
              <w:top w:val="nil"/>
              <w:left w:val="nil"/>
              <w:bottom w:val="nil"/>
              <w:right w:val="nil"/>
            </w:tcBorders>
            <w:shd w:val="clear" w:color="auto" w:fill="auto"/>
            <w:vAlign w:val="center"/>
            <w:hideMark/>
          </w:tcPr>
          <w:p w14:paraId="111A0F5C"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141" w:type="dxa"/>
            <w:tcBorders>
              <w:top w:val="nil"/>
              <w:left w:val="nil"/>
              <w:bottom w:val="nil"/>
              <w:right w:val="nil"/>
            </w:tcBorders>
            <w:shd w:val="clear" w:color="auto" w:fill="auto"/>
            <w:vAlign w:val="center"/>
            <w:hideMark/>
          </w:tcPr>
          <w:p w14:paraId="2FCBEE53"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462" w:type="dxa"/>
            <w:tcBorders>
              <w:top w:val="nil"/>
              <w:left w:val="nil"/>
              <w:bottom w:val="nil"/>
              <w:right w:val="nil"/>
            </w:tcBorders>
            <w:shd w:val="clear" w:color="auto" w:fill="auto"/>
            <w:vAlign w:val="center"/>
            <w:hideMark/>
          </w:tcPr>
          <w:p w14:paraId="3D82BEF1"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313" w:type="dxa"/>
            <w:tcBorders>
              <w:top w:val="nil"/>
              <w:left w:val="nil"/>
              <w:bottom w:val="nil"/>
              <w:right w:val="nil"/>
            </w:tcBorders>
            <w:shd w:val="clear" w:color="auto" w:fill="auto"/>
            <w:vAlign w:val="center"/>
            <w:hideMark/>
          </w:tcPr>
          <w:p w14:paraId="5BE406C1"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r>
      <w:tr w:rsidR="00463A75" w:rsidRPr="003E76E7" w14:paraId="1B7D4200" w14:textId="77777777" w:rsidTr="00B17397">
        <w:trPr>
          <w:trHeight w:val="225"/>
        </w:trPr>
        <w:tc>
          <w:tcPr>
            <w:tcW w:w="3119" w:type="dxa"/>
            <w:tcBorders>
              <w:top w:val="nil"/>
              <w:left w:val="nil"/>
              <w:bottom w:val="single" w:sz="4" w:space="0" w:color="auto"/>
              <w:right w:val="nil"/>
            </w:tcBorders>
            <w:shd w:val="clear" w:color="auto" w:fill="auto"/>
            <w:vAlign w:val="bottom"/>
            <w:hideMark/>
          </w:tcPr>
          <w:p w14:paraId="27E708B9"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Robertson Barracks</w:t>
            </w:r>
          </w:p>
        </w:tc>
        <w:tc>
          <w:tcPr>
            <w:tcW w:w="1911" w:type="dxa"/>
            <w:tcBorders>
              <w:top w:val="nil"/>
              <w:left w:val="nil"/>
              <w:bottom w:val="single" w:sz="4" w:space="0" w:color="auto"/>
              <w:right w:val="nil"/>
            </w:tcBorders>
            <w:shd w:val="clear" w:color="auto" w:fill="auto"/>
            <w:noWrap/>
            <w:vAlign w:val="bottom"/>
            <w:hideMark/>
          </w:tcPr>
          <w:p w14:paraId="654677E6"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NT - Lingiari</w:t>
            </w:r>
          </w:p>
        </w:tc>
        <w:tc>
          <w:tcPr>
            <w:tcW w:w="1141" w:type="dxa"/>
            <w:tcBorders>
              <w:top w:val="nil"/>
              <w:left w:val="nil"/>
              <w:bottom w:val="single" w:sz="4" w:space="0" w:color="auto"/>
              <w:right w:val="nil"/>
            </w:tcBorders>
            <w:shd w:val="clear" w:color="auto" w:fill="auto"/>
            <w:noWrap/>
            <w:vAlign w:val="bottom"/>
            <w:hideMark/>
          </w:tcPr>
          <w:p w14:paraId="5B729276"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389.1</w:t>
            </w:r>
          </w:p>
        </w:tc>
        <w:tc>
          <w:tcPr>
            <w:tcW w:w="1462" w:type="dxa"/>
            <w:tcBorders>
              <w:top w:val="nil"/>
              <w:left w:val="nil"/>
              <w:bottom w:val="single" w:sz="4" w:space="0" w:color="auto"/>
              <w:right w:val="nil"/>
            </w:tcBorders>
            <w:shd w:val="clear" w:color="auto" w:fill="auto"/>
            <w:noWrap/>
            <w:vAlign w:val="bottom"/>
            <w:hideMark/>
          </w:tcPr>
          <w:p w14:paraId="5569A5E3"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254.7</w:t>
            </w:r>
          </w:p>
        </w:tc>
        <w:tc>
          <w:tcPr>
            <w:tcW w:w="1313" w:type="dxa"/>
            <w:tcBorders>
              <w:top w:val="nil"/>
              <w:left w:val="nil"/>
              <w:bottom w:val="single" w:sz="4" w:space="0" w:color="auto"/>
              <w:right w:val="nil"/>
            </w:tcBorders>
            <w:shd w:val="clear" w:color="auto" w:fill="auto"/>
            <w:noWrap/>
            <w:vAlign w:val="bottom"/>
            <w:hideMark/>
          </w:tcPr>
          <w:p w14:paraId="510DDA51"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67.6</w:t>
            </w:r>
          </w:p>
        </w:tc>
      </w:tr>
      <w:tr w:rsidR="00463A75" w:rsidRPr="003E76E7" w14:paraId="020B8C81" w14:textId="77777777" w:rsidTr="00B17397">
        <w:trPr>
          <w:trHeight w:val="225"/>
        </w:trPr>
        <w:tc>
          <w:tcPr>
            <w:tcW w:w="3119" w:type="dxa"/>
            <w:tcBorders>
              <w:top w:val="nil"/>
              <w:left w:val="nil"/>
              <w:bottom w:val="nil"/>
              <w:right w:val="nil"/>
            </w:tcBorders>
            <w:shd w:val="clear" w:color="auto" w:fill="auto"/>
            <w:vAlign w:val="center"/>
            <w:hideMark/>
          </w:tcPr>
          <w:p w14:paraId="2F59B50B" w14:textId="565979F4"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xml:space="preserve">Facilities to Support </w:t>
            </w:r>
            <w:r w:rsidR="00B17397" w:rsidRPr="003E76E7">
              <w:rPr>
                <w:rFonts w:ascii="Arial" w:hAnsi="Arial"/>
                <w:b/>
                <w:bCs/>
                <w:color w:val="000000"/>
                <w:sz w:val="16"/>
                <w:szCs w:val="16"/>
                <w:lang w:val="en-AU"/>
              </w:rPr>
              <w:br/>
            </w:r>
            <w:r w:rsidRPr="003E76E7">
              <w:rPr>
                <w:rFonts w:ascii="Arial" w:hAnsi="Arial"/>
                <w:b/>
                <w:bCs/>
                <w:color w:val="000000"/>
                <w:sz w:val="16"/>
                <w:szCs w:val="16"/>
                <w:lang w:val="en-AU"/>
              </w:rPr>
              <w:t xml:space="preserve">LAND 8113PH1 Long Range </w:t>
            </w:r>
            <w:r w:rsidR="00B17397" w:rsidRPr="003E76E7">
              <w:rPr>
                <w:rFonts w:ascii="Arial" w:hAnsi="Arial"/>
                <w:b/>
                <w:bCs/>
                <w:color w:val="000000"/>
                <w:sz w:val="16"/>
                <w:szCs w:val="16"/>
                <w:lang w:val="en-AU"/>
              </w:rPr>
              <w:br/>
            </w:r>
            <w:r w:rsidRPr="003E76E7">
              <w:rPr>
                <w:rFonts w:ascii="Arial" w:hAnsi="Arial"/>
                <w:b/>
                <w:bCs/>
                <w:color w:val="000000"/>
                <w:sz w:val="16"/>
                <w:szCs w:val="16"/>
                <w:lang w:val="en-AU"/>
              </w:rPr>
              <w:t xml:space="preserve">Fires First Regiment </w:t>
            </w:r>
          </w:p>
        </w:tc>
        <w:tc>
          <w:tcPr>
            <w:tcW w:w="1911" w:type="dxa"/>
            <w:tcBorders>
              <w:top w:val="nil"/>
              <w:left w:val="nil"/>
              <w:bottom w:val="nil"/>
              <w:right w:val="nil"/>
            </w:tcBorders>
            <w:shd w:val="clear" w:color="auto" w:fill="auto"/>
            <w:vAlign w:val="center"/>
            <w:hideMark/>
          </w:tcPr>
          <w:p w14:paraId="1F8345EF"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141" w:type="dxa"/>
            <w:tcBorders>
              <w:top w:val="nil"/>
              <w:left w:val="nil"/>
              <w:bottom w:val="nil"/>
              <w:right w:val="nil"/>
            </w:tcBorders>
            <w:shd w:val="clear" w:color="auto" w:fill="auto"/>
            <w:vAlign w:val="center"/>
            <w:hideMark/>
          </w:tcPr>
          <w:p w14:paraId="0A1E9AA0"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462" w:type="dxa"/>
            <w:tcBorders>
              <w:top w:val="nil"/>
              <w:left w:val="nil"/>
              <w:bottom w:val="nil"/>
              <w:right w:val="nil"/>
            </w:tcBorders>
            <w:shd w:val="clear" w:color="auto" w:fill="auto"/>
            <w:vAlign w:val="center"/>
            <w:hideMark/>
          </w:tcPr>
          <w:p w14:paraId="531E9376"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313" w:type="dxa"/>
            <w:tcBorders>
              <w:top w:val="nil"/>
              <w:left w:val="nil"/>
              <w:bottom w:val="nil"/>
              <w:right w:val="nil"/>
            </w:tcBorders>
            <w:shd w:val="clear" w:color="auto" w:fill="auto"/>
            <w:vAlign w:val="center"/>
            <w:hideMark/>
          </w:tcPr>
          <w:p w14:paraId="570BFD91"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r>
      <w:tr w:rsidR="00463A75" w:rsidRPr="003E76E7" w14:paraId="373BD75A" w14:textId="77777777" w:rsidTr="00B17397">
        <w:trPr>
          <w:trHeight w:val="225"/>
        </w:trPr>
        <w:tc>
          <w:tcPr>
            <w:tcW w:w="3119" w:type="dxa"/>
            <w:tcBorders>
              <w:top w:val="nil"/>
              <w:left w:val="nil"/>
              <w:bottom w:val="nil"/>
              <w:right w:val="nil"/>
            </w:tcBorders>
            <w:shd w:val="clear" w:color="auto" w:fill="auto"/>
            <w:vAlign w:val="bottom"/>
            <w:hideMark/>
          </w:tcPr>
          <w:p w14:paraId="1019E8C3"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Edinburgh Defence Precinct</w:t>
            </w:r>
          </w:p>
        </w:tc>
        <w:tc>
          <w:tcPr>
            <w:tcW w:w="1911" w:type="dxa"/>
            <w:tcBorders>
              <w:top w:val="nil"/>
              <w:left w:val="nil"/>
              <w:bottom w:val="nil"/>
              <w:right w:val="nil"/>
            </w:tcBorders>
            <w:shd w:val="clear" w:color="auto" w:fill="auto"/>
            <w:noWrap/>
            <w:vAlign w:val="bottom"/>
            <w:hideMark/>
          </w:tcPr>
          <w:p w14:paraId="4D0347A6"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SA - Spence</w:t>
            </w:r>
          </w:p>
        </w:tc>
        <w:tc>
          <w:tcPr>
            <w:tcW w:w="1141" w:type="dxa"/>
            <w:tcBorders>
              <w:top w:val="nil"/>
              <w:left w:val="nil"/>
              <w:bottom w:val="nil"/>
              <w:right w:val="nil"/>
            </w:tcBorders>
            <w:shd w:val="clear" w:color="auto" w:fill="auto"/>
            <w:noWrap/>
            <w:vAlign w:val="bottom"/>
            <w:hideMark/>
          </w:tcPr>
          <w:p w14:paraId="11E08EBD" w14:textId="77777777"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6ED09D8F"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 xml:space="preserve">                20.0 </w:t>
            </w:r>
          </w:p>
        </w:tc>
        <w:tc>
          <w:tcPr>
            <w:tcW w:w="1313" w:type="dxa"/>
            <w:tcBorders>
              <w:top w:val="nil"/>
              <w:left w:val="nil"/>
              <w:bottom w:val="nil"/>
              <w:right w:val="nil"/>
            </w:tcBorders>
            <w:shd w:val="clear" w:color="auto" w:fill="auto"/>
            <w:noWrap/>
            <w:vAlign w:val="bottom"/>
            <w:hideMark/>
          </w:tcPr>
          <w:p w14:paraId="543959EE"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 xml:space="preserve">              126.3 </w:t>
            </w:r>
          </w:p>
        </w:tc>
      </w:tr>
      <w:tr w:rsidR="00463A75" w:rsidRPr="003E76E7" w14:paraId="721F4CBF" w14:textId="77777777" w:rsidTr="00B17397">
        <w:trPr>
          <w:trHeight w:val="225"/>
        </w:trPr>
        <w:tc>
          <w:tcPr>
            <w:tcW w:w="3119" w:type="dxa"/>
            <w:tcBorders>
              <w:top w:val="nil"/>
              <w:left w:val="nil"/>
              <w:bottom w:val="nil"/>
              <w:right w:val="nil"/>
            </w:tcBorders>
            <w:shd w:val="clear" w:color="auto" w:fill="auto"/>
            <w:vAlign w:val="bottom"/>
            <w:hideMark/>
          </w:tcPr>
          <w:p w14:paraId="0DC17403"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Puckapunyal Military Area</w:t>
            </w:r>
          </w:p>
        </w:tc>
        <w:tc>
          <w:tcPr>
            <w:tcW w:w="1911" w:type="dxa"/>
            <w:tcBorders>
              <w:top w:val="nil"/>
              <w:left w:val="nil"/>
              <w:bottom w:val="nil"/>
              <w:right w:val="nil"/>
            </w:tcBorders>
            <w:shd w:val="clear" w:color="auto" w:fill="auto"/>
            <w:noWrap/>
            <w:vAlign w:val="bottom"/>
            <w:hideMark/>
          </w:tcPr>
          <w:p w14:paraId="518C422C"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VIC - Nicholls</w:t>
            </w:r>
          </w:p>
        </w:tc>
        <w:tc>
          <w:tcPr>
            <w:tcW w:w="1141" w:type="dxa"/>
            <w:tcBorders>
              <w:top w:val="nil"/>
              <w:left w:val="nil"/>
              <w:bottom w:val="nil"/>
              <w:right w:val="nil"/>
            </w:tcBorders>
            <w:shd w:val="clear" w:color="auto" w:fill="auto"/>
            <w:noWrap/>
            <w:vAlign w:val="bottom"/>
            <w:hideMark/>
          </w:tcPr>
          <w:p w14:paraId="0CD37CD6" w14:textId="77777777"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2868D1F8"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 xml:space="preserve">                  1.7 </w:t>
            </w:r>
          </w:p>
        </w:tc>
        <w:tc>
          <w:tcPr>
            <w:tcW w:w="1313" w:type="dxa"/>
            <w:tcBorders>
              <w:top w:val="nil"/>
              <w:left w:val="nil"/>
              <w:bottom w:val="nil"/>
              <w:right w:val="nil"/>
            </w:tcBorders>
            <w:shd w:val="clear" w:color="auto" w:fill="auto"/>
            <w:noWrap/>
            <w:vAlign w:val="bottom"/>
            <w:hideMark/>
          </w:tcPr>
          <w:p w14:paraId="584BE1B9"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 xml:space="preserve">                  1.3 </w:t>
            </w:r>
          </w:p>
        </w:tc>
      </w:tr>
      <w:tr w:rsidR="00463A75" w:rsidRPr="003E76E7" w14:paraId="4DD84FBF" w14:textId="77777777" w:rsidTr="00B17397">
        <w:trPr>
          <w:trHeight w:val="225"/>
        </w:trPr>
        <w:tc>
          <w:tcPr>
            <w:tcW w:w="3119" w:type="dxa"/>
            <w:tcBorders>
              <w:top w:val="nil"/>
              <w:left w:val="nil"/>
              <w:bottom w:val="single" w:sz="4" w:space="0" w:color="auto"/>
              <w:right w:val="nil"/>
            </w:tcBorders>
            <w:shd w:val="clear" w:color="auto" w:fill="auto"/>
            <w:vAlign w:val="bottom"/>
            <w:hideMark/>
          </w:tcPr>
          <w:p w14:paraId="35D033B9"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Total</w:t>
            </w:r>
          </w:p>
        </w:tc>
        <w:tc>
          <w:tcPr>
            <w:tcW w:w="1911" w:type="dxa"/>
            <w:tcBorders>
              <w:top w:val="nil"/>
              <w:left w:val="nil"/>
              <w:bottom w:val="single" w:sz="4" w:space="0" w:color="auto"/>
              <w:right w:val="nil"/>
            </w:tcBorders>
            <w:shd w:val="clear" w:color="auto" w:fill="auto"/>
            <w:noWrap/>
            <w:vAlign w:val="bottom"/>
            <w:hideMark/>
          </w:tcPr>
          <w:p w14:paraId="0F5D0F42" w14:textId="77777777" w:rsidR="00463A75" w:rsidRPr="003E76E7" w:rsidRDefault="00463A75" w:rsidP="00C4292D">
            <w:pPr>
              <w:spacing w:before="0" w:after="0"/>
              <w:jc w:val="center"/>
              <w:rPr>
                <w:rFonts w:ascii="Arial" w:hAnsi="Arial"/>
                <w:b/>
                <w:bCs/>
                <w:color w:val="000000"/>
                <w:sz w:val="16"/>
                <w:szCs w:val="16"/>
                <w:lang w:val="en-AU"/>
              </w:rPr>
            </w:pPr>
            <w:r w:rsidRPr="003E76E7">
              <w:rPr>
                <w:rFonts w:ascii="Arial" w:hAnsi="Arial"/>
                <w:b/>
                <w:bCs/>
                <w:color w:val="000000"/>
                <w:sz w:val="16"/>
                <w:szCs w:val="16"/>
                <w:lang w:val="en-AU"/>
              </w:rPr>
              <w:t> </w:t>
            </w:r>
          </w:p>
        </w:tc>
        <w:tc>
          <w:tcPr>
            <w:tcW w:w="1141" w:type="dxa"/>
            <w:tcBorders>
              <w:top w:val="nil"/>
              <w:left w:val="nil"/>
              <w:bottom w:val="single" w:sz="4" w:space="0" w:color="auto"/>
              <w:right w:val="nil"/>
            </w:tcBorders>
            <w:shd w:val="clear" w:color="auto" w:fill="auto"/>
            <w:noWrap/>
            <w:vAlign w:val="bottom"/>
            <w:hideMark/>
          </w:tcPr>
          <w:p w14:paraId="001F22A9"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376.7</w:t>
            </w:r>
          </w:p>
        </w:tc>
        <w:tc>
          <w:tcPr>
            <w:tcW w:w="1462" w:type="dxa"/>
            <w:tcBorders>
              <w:top w:val="nil"/>
              <w:left w:val="nil"/>
              <w:bottom w:val="single" w:sz="4" w:space="0" w:color="auto"/>
              <w:right w:val="nil"/>
            </w:tcBorders>
            <w:shd w:val="clear" w:color="auto" w:fill="auto"/>
            <w:noWrap/>
            <w:vAlign w:val="bottom"/>
            <w:hideMark/>
          </w:tcPr>
          <w:p w14:paraId="45814C0A"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21.7</w:t>
            </w:r>
          </w:p>
        </w:tc>
        <w:tc>
          <w:tcPr>
            <w:tcW w:w="1313" w:type="dxa"/>
            <w:tcBorders>
              <w:top w:val="nil"/>
              <w:left w:val="nil"/>
              <w:bottom w:val="single" w:sz="4" w:space="0" w:color="auto"/>
              <w:right w:val="nil"/>
            </w:tcBorders>
            <w:shd w:val="clear" w:color="auto" w:fill="auto"/>
            <w:noWrap/>
            <w:vAlign w:val="bottom"/>
            <w:hideMark/>
          </w:tcPr>
          <w:p w14:paraId="0C4F00A4"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127.6</w:t>
            </w:r>
          </w:p>
        </w:tc>
      </w:tr>
      <w:tr w:rsidR="00463A75" w:rsidRPr="003E76E7" w14:paraId="5AA6BACE" w14:textId="77777777" w:rsidTr="00B17397">
        <w:trPr>
          <w:trHeight w:val="225"/>
        </w:trPr>
        <w:tc>
          <w:tcPr>
            <w:tcW w:w="3119" w:type="dxa"/>
            <w:tcBorders>
              <w:top w:val="nil"/>
              <w:left w:val="nil"/>
              <w:bottom w:val="nil"/>
              <w:right w:val="nil"/>
            </w:tcBorders>
            <w:shd w:val="clear" w:color="auto" w:fill="auto"/>
            <w:vAlign w:val="center"/>
            <w:hideMark/>
          </w:tcPr>
          <w:p w14:paraId="7E7826C1"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xml:space="preserve">Explosive Ordnance Facilities Northern NSW Redevelopment </w:t>
            </w:r>
          </w:p>
        </w:tc>
        <w:tc>
          <w:tcPr>
            <w:tcW w:w="1911" w:type="dxa"/>
            <w:tcBorders>
              <w:top w:val="nil"/>
              <w:left w:val="nil"/>
              <w:bottom w:val="nil"/>
              <w:right w:val="nil"/>
            </w:tcBorders>
            <w:shd w:val="clear" w:color="auto" w:fill="auto"/>
            <w:vAlign w:val="center"/>
            <w:hideMark/>
          </w:tcPr>
          <w:p w14:paraId="6273A82E"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141" w:type="dxa"/>
            <w:tcBorders>
              <w:top w:val="nil"/>
              <w:left w:val="nil"/>
              <w:bottom w:val="nil"/>
              <w:right w:val="nil"/>
            </w:tcBorders>
            <w:shd w:val="clear" w:color="auto" w:fill="auto"/>
            <w:vAlign w:val="center"/>
            <w:hideMark/>
          </w:tcPr>
          <w:p w14:paraId="0A07E679"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462" w:type="dxa"/>
            <w:tcBorders>
              <w:top w:val="nil"/>
              <w:left w:val="nil"/>
              <w:bottom w:val="nil"/>
              <w:right w:val="nil"/>
            </w:tcBorders>
            <w:shd w:val="clear" w:color="auto" w:fill="auto"/>
            <w:vAlign w:val="center"/>
            <w:hideMark/>
          </w:tcPr>
          <w:p w14:paraId="6C2169CD"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313" w:type="dxa"/>
            <w:tcBorders>
              <w:top w:val="nil"/>
              <w:left w:val="nil"/>
              <w:bottom w:val="nil"/>
              <w:right w:val="nil"/>
            </w:tcBorders>
            <w:shd w:val="clear" w:color="auto" w:fill="auto"/>
            <w:vAlign w:val="center"/>
            <w:hideMark/>
          </w:tcPr>
          <w:p w14:paraId="58E4C001"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r>
      <w:tr w:rsidR="00463A75" w:rsidRPr="003E76E7" w14:paraId="2F740234" w14:textId="77777777" w:rsidTr="00B17397">
        <w:trPr>
          <w:trHeight w:val="225"/>
        </w:trPr>
        <w:tc>
          <w:tcPr>
            <w:tcW w:w="3119" w:type="dxa"/>
            <w:tcBorders>
              <w:top w:val="nil"/>
              <w:left w:val="nil"/>
              <w:bottom w:val="single" w:sz="4" w:space="0" w:color="auto"/>
              <w:right w:val="nil"/>
            </w:tcBorders>
            <w:shd w:val="clear" w:color="auto" w:fill="auto"/>
            <w:vAlign w:val="bottom"/>
            <w:hideMark/>
          </w:tcPr>
          <w:p w14:paraId="495965E0"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Defence Establishment Orchard Hills</w:t>
            </w:r>
          </w:p>
        </w:tc>
        <w:tc>
          <w:tcPr>
            <w:tcW w:w="1911" w:type="dxa"/>
            <w:tcBorders>
              <w:top w:val="nil"/>
              <w:left w:val="nil"/>
              <w:bottom w:val="single" w:sz="4" w:space="0" w:color="auto"/>
              <w:right w:val="nil"/>
            </w:tcBorders>
            <w:shd w:val="clear" w:color="auto" w:fill="auto"/>
            <w:noWrap/>
            <w:vAlign w:val="bottom"/>
            <w:hideMark/>
          </w:tcPr>
          <w:p w14:paraId="05A61194"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NSW - Lindsay</w:t>
            </w:r>
          </w:p>
        </w:tc>
        <w:tc>
          <w:tcPr>
            <w:tcW w:w="1141" w:type="dxa"/>
            <w:tcBorders>
              <w:top w:val="nil"/>
              <w:left w:val="nil"/>
              <w:bottom w:val="single" w:sz="4" w:space="0" w:color="auto"/>
              <w:right w:val="nil"/>
            </w:tcBorders>
            <w:shd w:val="clear" w:color="auto" w:fill="auto"/>
            <w:noWrap/>
            <w:vAlign w:val="bottom"/>
            <w:hideMark/>
          </w:tcPr>
          <w:p w14:paraId="4EFD0E04"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359.3</w:t>
            </w:r>
          </w:p>
        </w:tc>
        <w:tc>
          <w:tcPr>
            <w:tcW w:w="1462" w:type="dxa"/>
            <w:tcBorders>
              <w:top w:val="nil"/>
              <w:left w:val="nil"/>
              <w:bottom w:val="single" w:sz="4" w:space="0" w:color="auto"/>
              <w:right w:val="nil"/>
            </w:tcBorders>
            <w:shd w:val="clear" w:color="auto" w:fill="auto"/>
            <w:noWrap/>
            <w:vAlign w:val="bottom"/>
            <w:hideMark/>
          </w:tcPr>
          <w:p w14:paraId="5D0F9295"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24.2</w:t>
            </w:r>
          </w:p>
        </w:tc>
        <w:tc>
          <w:tcPr>
            <w:tcW w:w="1313" w:type="dxa"/>
            <w:tcBorders>
              <w:top w:val="nil"/>
              <w:left w:val="nil"/>
              <w:bottom w:val="single" w:sz="4" w:space="0" w:color="auto"/>
              <w:right w:val="nil"/>
            </w:tcBorders>
            <w:shd w:val="clear" w:color="auto" w:fill="auto"/>
            <w:noWrap/>
            <w:vAlign w:val="bottom"/>
            <w:hideMark/>
          </w:tcPr>
          <w:p w14:paraId="397743E2"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106.9</w:t>
            </w:r>
          </w:p>
        </w:tc>
      </w:tr>
      <w:tr w:rsidR="00463A75" w:rsidRPr="003E76E7" w14:paraId="2DB9B386" w14:textId="77777777" w:rsidTr="00B17397">
        <w:trPr>
          <w:trHeight w:val="225"/>
        </w:trPr>
        <w:tc>
          <w:tcPr>
            <w:tcW w:w="3119" w:type="dxa"/>
            <w:tcBorders>
              <w:top w:val="nil"/>
              <w:left w:val="nil"/>
              <w:bottom w:val="nil"/>
              <w:right w:val="nil"/>
            </w:tcBorders>
            <w:shd w:val="clear" w:color="auto" w:fill="auto"/>
            <w:vAlign w:val="center"/>
            <w:hideMark/>
          </w:tcPr>
          <w:p w14:paraId="10855B36" w14:textId="3EC91EFD"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xml:space="preserve">Airfield Capital Works P0009 </w:t>
            </w:r>
            <w:r w:rsidRPr="003E76E7">
              <w:rPr>
                <w:rFonts w:ascii="Arial" w:hAnsi="Arial"/>
                <w:b/>
                <w:bCs/>
                <w:color w:val="000000"/>
                <w:sz w:val="16"/>
                <w:szCs w:val="16"/>
                <w:lang w:val="en-AU"/>
              </w:rPr>
              <w:br/>
              <w:t xml:space="preserve">(RAAF Base Darwin and </w:t>
            </w:r>
            <w:r w:rsidR="00B17397" w:rsidRPr="003E76E7">
              <w:rPr>
                <w:rFonts w:ascii="Arial" w:hAnsi="Arial"/>
                <w:b/>
                <w:bCs/>
                <w:color w:val="000000"/>
                <w:sz w:val="16"/>
                <w:szCs w:val="16"/>
                <w:lang w:val="en-AU"/>
              </w:rPr>
              <w:br/>
            </w:r>
            <w:r w:rsidRPr="003E76E7">
              <w:rPr>
                <w:rFonts w:ascii="Arial" w:hAnsi="Arial"/>
                <w:b/>
                <w:bCs/>
                <w:color w:val="000000"/>
                <w:sz w:val="16"/>
                <w:szCs w:val="16"/>
                <w:lang w:val="en-AU"/>
              </w:rPr>
              <w:t>Mount Bundey)</w:t>
            </w:r>
          </w:p>
        </w:tc>
        <w:tc>
          <w:tcPr>
            <w:tcW w:w="1911" w:type="dxa"/>
            <w:tcBorders>
              <w:top w:val="nil"/>
              <w:left w:val="nil"/>
              <w:bottom w:val="nil"/>
              <w:right w:val="nil"/>
            </w:tcBorders>
            <w:shd w:val="clear" w:color="auto" w:fill="auto"/>
            <w:vAlign w:val="center"/>
            <w:hideMark/>
          </w:tcPr>
          <w:p w14:paraId="6708E3AF"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141" w:type="dxa"/>
            <w:tcBorders>
              <w:top w:val="nil"/>
              <w:left w:val="nil"/>
              <w:bottom w:val="nil"/>
              <w:right w:val="nil"/>
            </w:tcBorders>
            <w:shd w:val="clear" w:color="auto" w:fill="auto"/>
            <w:vAlign w:val="center"/>
            <w:hideMark/>
          </w:tcPr>
          <w:p w14:paraId="5B138BD6"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462" w:type="dxa"/>
            <w:tcBorders>
              <w:top w:val="nil"/>
              <w:left w:val="nil"/>
              <w:bottom w:val="nil"/>
              <w:right w:val="nil"/>
            </w:tcBorders>
            <w:shd w:val="clear" w:color="auto" w:fill="auto"/>
            <w:vAlign w:val="center"/>
            <w:hideMark/>
          </w:tcPr>
          <w:p w14:paraId="17E873BA"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313" w:type="dxa"/>
            <w:tcBorders>
              <w:top w:val="nil"/>
              <w:left w:val="nil"/>
              <w:bottom w:val="nil"/>
              <w:right w:val="nil"/>
            </w:tcBorders>
            <w:shd w:val="clear" w:color="auto" w:fill="auto"/>
            <w:vAlign w:val="center"/>
            <w:hideMark/>
          </w:tcPr>
          <w:p w14:paraId="4BAC5806"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r>
      <w:tr w:rsidR="00463A75" w:rsidRPr="003E76E7" w14:paraId="4638E756" w14:textId="77777777" w:rsidTr="00B17397">
        <w:trPr>
          <w:trHeight w:val="225"/>
        </w:trPr>
        <w:tc>
          <w:tcPr>
            <w:tcW w:w="3119" w:type="dxa"/>
            <w:tcBorders>
              <w:top w:val="nil"/>
              <w:left w:val="nil"/>
              <w:bottom w:val="nil"/>
              <w:right w:val="nil"/>
            </w:tcBorders>
            <w:shd w:val="clear" w:color="auto" w:fill="auto"/>
            <w:vAlign w:val="bottom"/>
            <w:hideMark/>
          </w:tcPr>
          <w:p w14:paraId="4828F13F"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Mount Bundey</w:t>
            </w:r>
          </w:p>
        </w:tc>
        <w:tc>
          <w:tcPr>
            <w:tcW w:w="1911" w:type="dxa"/>
            <w:tcBorders>
              <w:top w:val="nil"/>
              <w:left w:val="nil"/>
              <w:bottom w:val="nil"/>
              <w:right w:val="nil"/>
            </w:tcBorders>
            <w:shd w:val="clear" w:color="auto" w:fill="auto"/>
            <w:noWrap/>
            <w:vAlign w:val="bottom"/>
            <w:hideMark/>
          </w:tcPr>
          <w:p w14:paraId="65BBE85C"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NT - Lingiari</w:t>
            </w:r>
          </w:p>
        </w:tc>
        <w:tc>
          <w:tcPr>
            <w:tcW w:w="1141" w:type="dxa"/>
            <w:tcBorders>
              <w:top w:val="nil"/>
              <w:left w:val="nil"/>
              <w:bottom w:val="nil"/>
              <w:right w:val="nil"/>
            </w:tcBorders>
            <w:shd w:val="clear" w:color="auto" w:fill="auto"/>
            <w:noWrap/>
            <w:vAlign w:val="bottom"/>
            <w:hideMark/>
          </w:tcPr>
          <w:p w14:paraId="74CDEF87" w14:textId="77777777"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1B6B13A5"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5.0</w:t>
            </w:r>
          </w:p>
        </w:tc>
        <w:tc>
          <w:tcPr>
            <w:tcW w:w="1313" w:type="dxa"/>
            <w:tcBorders>
              <w:top w:val="nil"/>
              <w:left w:val="nil"/>
              <w:bottom w:val="nil"/>
              <w:right w:val="nil"/>
            </w:tcBorders>
            <w:shd w:val="clear" w:color="auto" w:fill="auto"/>
            <w:noWrap/>
            <w:vAlign w:val="bottom"/>
            <w:hideMark/>
          </w:tcPr>
          <w:p w14:paraId="75DD4F52"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1.1</w:t>
            </w:r>
          </w:p>
        </w:tc>
      </w:tr>
      <w:tr w:rsidR="00463A75" w:rsidRPr="003E76E7" w14:paraId="4B47B63A" w14:textId="77777777" w:rsidTr="00B17397">
        <w:trPr>
          <w:trHeight w:val="225"/>
        </w:trPr>
        <w:tc>
          <w:tcPr>
            <w:tcW w:w="3119" w:type="dxa"/>
            <w:tcBorders>
              <w:top w:val="nil"/>
              <w:left w:val="nil"/>
              <w:bottom w:val="nil"/>
              <w:right w:val="nil"/>
            </w:tcBorders>
            <w:shd w:val="clear" w:color="auto" w:fill="auto"/>
            <w:vAlign w:val="bottom"/>
            <w:hideMark/>
          </w:tcPr>
          <w:p w14:paraId="100FB379"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RAAF Base Darwin</w:t>
            </w:r>
          </w:p>
        </w:tc>
        <w:tc>
          <w:tcPr>
            <w:tcW w:w="1911" w:type="dxa"/>
            <w:tcBorders>
              <w:top w:val="nil"/>
              <w:left w:val="nil"/>
              <w:bottom w:val="nil"/>
              <w:right w:val="nil"/>
            </w:tcBorders>
            <w:shd w:val="clear" w:color="auto" w:fill="auto"/>
            <w:noWrap/>
            <w:vAlign w:val="bottom"/>
            <w:hideMark/>
          </w:tcPr>
          <w:p w14:paraId="4564EBA5"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NT - Solomon</w:t>
            </w:r>
          </w:p>
        </w:tc>
        <w:tc>
          <w:tcPr>
            <w:tcW w:w="1141" w:type="dxa"/>
            <w:tcBorders>
              <w:top w:val="nil"/>
              <w:left w:val="nil"/>
              <w:bottom w:val="nil"/>
              <w:right w:val="nil"/>
            </w:tcBorders>
            <w:shd w:val="clear" w:color="auto" w:fill="auto"/>
            <w:noWrap/>
            <w:vAlign w:val="bottom"/>
            <w:hideMark/>
          </w:tcPr>
          <w:p w14:paraId="4BB0E5BE" w14:textId="77777777"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5C6A8AD4"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210.2</w:t>
            </w:r>
          </w:p>
        </w:tc>
        <w:tc>
          <w:tcPr>
            <w:tcW w:w="1313" w:type="dxa"/>
            <w:tcBorders>
              <w:top w:val="nil"/>
              <w:left w:val="nil"/>
              <w:bottom w:val="nil"/>
              <w:right w:val="nil"/>
            </w:tcBorders>
            <w:shd w:val="clear" w:color="auto" w:fill="auto"/>
            <w:noWrap/>
            <w:vAlign w:val="bottom"/>
            <w:hideMark/>
          </w:tcPr>
          <w:p w14:paraId="7E5CDAED"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8.9</w:t>
            </w:r>
          </w:p>
        </w:tc>
      </w:tr>
      <w:tr w:rsidR="00463A75" w:rsidRPr="003E76E7" w14:paraId="5FF19550" w14:textId="77777777" w:rsidTr="00B17397">
        <w:trPr>
          <w:trHeight w:val="225"/>
        </w:trPr>
        <w:tc>
          <w:tcPr>
            <w:tcW w:w="3119" w:type="dxa"/>
            <w:tcBorders>
              <w:top w:val="nil"/>
              <w:left w:val="nil"/>
              <w:bottom w:val="single" w:sz="4" w:space="0" w:color="auto"/>
              <w:right w:val="nil"/>
            </w:tcBorders>
            <w:shd w:val="clear" w:color="auto" w:fill="auto"/>
            <w:vAlign w:val="bottom"/>
            <w:hideMark/>
          </w:tcPr>
          <w:p w14:paraId="192699ED"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Total</w:t>
            </w:r>
          </w:p>
        </w:tc>
        <w:tc>
          <w:tcPr>
            <w:tcW w:w="1911" w:type="dxa"/>
            <w:tcBorders>
              <w:top w:val="nil"/>
              <w:left w:val="nil"/>
              <w:bottom w:val="single" w:sz="4" w:space="0" w:color="auto"/>
              <w:right w:val="nil"/>
            </w:tcBorders>
            <w:shd w:val="clear" w:color="auto" w:fill="auto"/>
            <w:noWrap/>
            <w:vAlign w:val="bottom"/>
            <w:hideMark/>
          </w:tcPr>
          <w:p w14:paraId="78EBDE2E" w14:textId="77777777" w:rsidR="00463A75" w:rsidRPr="003E76E7" w:rsidRDefault="00463A75" w:rsidP="00C4292D">
            <w:pPr>
              <w:spacing w:before="0" w:after="0"/>
              <w:jc w:val="center"/>
              <w:rPr>
                <w:rFonts w:ascii="Arial" w:hAnsi="Arial"/>
                <w:b/>
                <w:bCs/>
                <w:color w:val="000000"/>
                <w:sz w:val="16"/>
                <w:szCs w:val="16"/>
                <w:lang w:val="en-AU"/>
              </w:rPr>
            </w:pPr>
            <w:r w:rsidRPr="003E76E7">
              <w:rPr>
                <w:rFonts w:ascii="Arial" w:hAnsi="Arial"/>
                <w:b/>
                <w:bCs/>
                <w:color w:val="000000"/>
                <w:sz w:val="16"/>
                <w:szCs w:val="16"/>
                <w:lang w:val="en-AU"/>
              </w:rPr>
              <w:t> </w:t>
            </w:r>
          </w:p>
        </w:tc>
        <w:tc>
          <w:tcPr>
            <w:tcW w:w="1141" w:type="dxa"/>
            <w:tcBorders>
              <w:top w:val="nil"/>
              <w:left w:val="nil"/>
              <w:bottom w:val="single" w:sz="4" w:space="0" w:color="auto"/>
              <w:right w:val="nil"/>
            </w:tcBorders>
            <w:shd w:val="clear" w:color="auto" w:fill="auto"/>
            <w:noWrap/>
            <w:vAlign w:val="bottom"/>
            <w:hideMark/>
          </w:tcPr>
          <w:p w14:paraId="0BB776B0"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351.7</w:t>
            </w:r>
          </w:p>
        </w:tc>
        <w:tc>
          <w:tcPr>
            <w:tcW w:w="1462" w:type="dxa"/>
            <w:tcBorders>
              <w:top w:val="nil"/>
              <w:left w:val="nil"/>
              <w:bottom w:val="single" w:sz="4" w:space="0" w:color="auto"/>
              <w:right w:val="nil"/>
            </w:tcBorders>
            <w:shd w:val="clear" w:color="auto" w:fill="auto"/>
            <w:noWrap/>
            <w:vAlign w:val="bottom"/>
            <w:hideMark/>
          </w:tcPr>
          <w:p w14:paraId="1850E7AD"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215.3</w:t>
            </w:r>
          </w:p>
        </w:tc>
        <w:tc>
          <w:tcPr>
            <w:tcW w:w="1313" w:type="dxa"/>
            <w:tcBorders>
              <w:top w:val="nil"/>
              <w:left w:val="nil"/>
              <w:bottom w:val="single" w:sz="4" w:space="0" w:color="auto"/>
              <w:right w:val="nil"/>
            </w:tcBorders>
            <w:shd w:val="clear" w:color="auto" w:fill="auto"/>
            <w:noWrap/>
            <w:vAlign w:val="bottom"/>
            <w:hideMark/>
          </w:tcPr>
          <w:p w14:paraId="72D491FD"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10.0</w:t>
            </w:r>
          </w:p>
        </w:tc>
      </w:tr>
      <w:tr w:rsidR="00463A75" w:rsidRPr="003E76E7" w14:paraId="33DF8073" w14:textId="77777777" w:rsidTr="00B17397">
        <w:trPr>
          <w:trHeight w:val="225"/>
        </w:trPr>
        <w:tc>
          <w:tcPr>
            <w:tcW w:w="3119" w:type="dxa"/>
            <w:tcBorders>
              <w:top w:val="nil"/>
              <w:left w:val="nil"/>
              <w:bottom w:val="nil"/>
              <w:right w:val="nil"/>
            </w:tcBorders>
            <w:shd w:val="clear" w:color="auto" w:fill="auto"/>
            <w:vAlign w:val="center"/>
            <w:hideMark/>
          </w:tcPr>
          <w:p w14:paraId="51FA0863" w14:textId="02992E60"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xml:space="preserve">Defence Fuel </w:t>
            </w:r>
            <w:r w:rsidR="00B17397" w:rsidRPr="003E76E7">
              <w:rPr>
                <w:rFonts w:ascii="Arial" w:hAnsi="Arial"/>
                <w:b/>
                <w:bCs/>
                <w:color w:val="000000"/>
                <w:sz w:val="16"/>
                <w:szCs w:val="16"/>
                <w:lang w:val="en-AU"/>
              </w:rPr>
              <w:br/>
            </w:r>
            <w:r w:rsidRPr="003E76E7">
              <w:rPr>
                <w:rFonts w:ascii="Arial" w:hAnsi="Arial"/>
                <w:b/>
                <w:bCs/>
                <w:color w:val="000000"/>
                <w:sz w:val="16"/>
                <w:szCs w:val="16"/>
                <w:lang w:val="en-AU"/>
              </w:rPr>
              <w:t xml:space="preserve">Transformation Program - </w:t>
            </w:r>
            <w:r w:rsidR="00A37D48" w:rsidRPr="003E76E7">
              <w:rPr>
                <w:rFonts w:ascii="Arial" w:hAnsi="Arial"/>
                <w:b/>
                <w:bCs/>
                <w:color w:val="000000"/>
                <w:sz w:val="16"/>
                <w:szCs w:val="16"/>
                <w:lang w:val="en-AU"/>
              </w:rPr>
              <w:br/>
            </w:r>
            <w:r w:rsidRPr="003E76E7">
              <w:rPr>
                <w:rFonts w:ascii="Arial" w:hAnsi="Arial"/>
                <w:b/>
                <w:bCs/>
                <w:color w:val="000000"/>
                <w:sz w:val="16"/>
                <w:szCs w:val="16"/>
                <w:lang w:val="en-AU"/>
              </w:rPr>
              <w:t>Tranche 2 Facilities Program</w:t>
            </w:r>
          </w:p>
        </w:tc>
        <w:tc>
          <w:tcPr>
            <w:tcW w:w="1911" w:type="dxa"/>
            <w:tcBorders>
              <w:top w:val="nil"/>
              <w:left w:val="nil"/>
              <w:bottom w:val="nil"/>
              <w:right w:val="nil"/>
            </w:tcBorders>
            <w:shd w:val="clear" w:color="auto" w:fill="auto"/>
            <w:vAlign w:val="center"/>
            <w:hideMark/>
          </w:tcPr>
          <w:p w14:paraId="00208E24"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141" w:type="dxa"/>
            <w:tcBorders>
              <w:top w:val="nil"/>
              <w:left w:val="nil"/>
              <w:bottom w:val="nil"/>
              <w:right w:val="nil"/>
            </w:tcBorders>
            <w:shd w:val="clear" w:color="auto" w:fill="auto"/>
            <w:vAlign w:val="center"/>
            <w:hideMark/>
          </w:tcPr>
          <w:p w14:paraId="7BF9BC30"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462" w:type="dxa"/>
            <w:tcBorders>
              <w:top w:val="nil"/>
              <w:left w:val="nil"/>
              <w:bottom w:val="nil"/>
              <w:right w:val="nil"/>
            </w:tcBorders>
            <w:shd w:val="clear" w:color="auto" w:fill="auto"/>
            <w:vAlign w:val="center"/>
            <w:hideMark/>
          </w:tcPr>
          <w:p w14:paraId="36B577B9"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313" w:type="dxa"/>
            <w:tcBorders>
              <w:top w:val="nil"/>
              <w:left w:val="nil"/>
              <w:bottom w:val="nil"/>
              <w:right w:val="nil"/>
            </w:tcBorders>
            <w:shd w:val="clear" w:color="auto" w:fill="auto"/>
            <w:vAlign w:val="center"/>
            <w:hideMark/>
          </w:tcPr>
          <w:p w14:paraId="6ABEC6DA"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r>
      <w:tr w:rsidR="00463A75" w:rsidRPr="003E76E7" w14:paraId="4951AF83" w14:textId="77777777" w:rsidTr="00B17397">
        <w:trPr>
          <w:trHeight w:val="225"/>
        </w:trPr>
        <w:tc>
          <w:tcPr>
            <w:tcW w:w="3119" w:type="dxa"/>
            <w:tcBorders>
              <w:top w:val="nil"/>
              <w:left w:val="nil"/>
              <w:bottom w:val="nil"/>
              <w:right w:val="nil"/>
            </w:tcBorders>
            <w:shd w:val="clear" w:color="auto" w:fill="auto"/>
            <w:vAlign w:val="bottom"/>
            <w:hideMark/>
          </w:tcPr>
          <w:p w14:paraId="204F7ACB"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 xml:space="preserve">HMAS </w:t>
            </w:r>
            <w:r w:rsidRPr="002F62D4">
              <w:rPr>
                <w:rFonts w:ascii="Arial" w:hAnsi="Arial"/>
                <w:iCs/>
                <w:color w:val="000000"/>
                <w:sz w:val="16"/>
                <w:szCs w:val="16"/>
                <w:lang w:val="en-AU"/>
              </w:rPr>
              <w:t>Creswell</w:t>
            </w:r>
          </w:p>
        </w:tc>
        <w:tc>
          <w:tcPr>
            <w:tcW w:w="1911" w:type="dxa"/>
            <w:tcBorders>
              <w:top w:val="nil"/>
              <w:left w:val="nil"/>
              <w:bottom w:val="nil"/>
              <w:right w:val="nil"/>
            </w:tcBorders>
            <w:shd w:val="clear" w:color="auto" w:fill="auto"/>
            <w:noWrap/>
            <w:vAlign w:val="bottom"/>
            <w:hideMark/>
          </w:tcPr>
          <w:p w14:paraId="24268E5F"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ACT - Fenner</w:t>
            </w:r>
          </w:p>
        </w:tc>
        <w:tc>
          <w:tcPr>
            <w:tcW w:w="1141" w:type="dxa"/>
            <w:tcBorders>
              <w:top w:val="nil"/>
              <w:left w:val="nil"/>
              <w:bottom w:val="nil"/>
              <w:right w:val="nil"/>
            </w:tcBorders>
            <w:shd w:val="clear" w:color="auto" w:fill="auto"/>
            <w:noWrap/>
            <w:vAlign w:val="bottom"/>
            <w:hideMark/>
          </w:tcPr>
          <w:p w14:paraId="76309711" w14:textId="77777777"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41206F19"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0.1</w:t>
            </w:r>
          </w:p>
        </w:tc>
        <w:tc>
          <w:tcPr>
            <w:tcW w:w="1313" w:type="dxa"/>
            <w:tcBorders>
              <w:top w:val="nil"/>
              <w:left w:val="nil"/>
              <w:bottom w:val="nil"/>
              <w:right w:val="nil"/>
            </w:tcBorders>
            <w:shd w:val="clear" w:color="auto" w:fill="auto"/>
            <w:noWrap/>
            <w:vAlign w:val="bottom"/>
            <w:hideMark/>
          </w:tcPr>
          <w:p w14:paraId="1452D8BE"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1.5</w:t>
            </w:r>
          </w:p>
        </w:tc>
      </w:tr>
      <w:tr w:rsidR="00463A75" w:rsidRPr="003E76E7" w14:paraId="4DDE6F86" w14:textId="77777777" w:rsidTr="00B17397">
        <w:trPr>
          <w:trHeight w:val="225"/>
        </w:trPr>
        <w:tc>
          <w:tcPr>
            <w:tcW w:w="3119" w:type="dxa"/>
            <w:tcBorders>
              <w:top w:val="nil"/>
              <w:left w:val="nil"/>
              <w:bottom w:val="nil"/>
              <w:right w:val="nil"/>
            </w:tcBorders>
            <w:shd w:val="clear" w:color="auto" w:fill="auto"/>
            <w:vAlign w:val="bottom"/>
            <w:hideMark/>
          </w:tcPr>
          <w:p w14:paraId="5DC72129"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Garden Island Defence Precinct</w:t>
            </w:r>
          </w:p>
        </w:tc>
        <w:tc>
          <w:tcPr>
            <w:tcW w:w="1911" w:type="dxa"/>
            <w:tcBorders>
              <w:top w:val="nil"/>
              <w:left w:val="nil"/>
              <w:bottom w:val="nil"/>
              <w:right w:val="nil"/>
            </w:tcBorders>
            <w:shd w:val="clear" w:color="auto" w:fill="auto"/>
            <w:noWrap/>
            <w:vAlign w:val="bottom"/>
            <w:hideMark/>
          </w:tcPr>
          <w:p w14:paraId="3B50034D"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NSW - Wentworth</w:t>
            </w:r>
          </w:p>
        </w:tc>
        <w:tc>
          <w:tcPr>
            <w:tcW w:w="1141" w:type="dxa"/>
            <w:tcBorders>
              <w:top w:val="nil"/>
              <w:left w:val="nil"/>
              <w:bottom w:val="nil"/>
              <w:right w:val="nil"/>
            </w:tcBorders>
            <w:shd w:val="clear" w:color="auto" w:fill="auto"/>
            <w:noWrap/>
            <w:vAlign w:val="bottom"/>
            <w:hideMark/>
          </w:tcPr>
          <w:p w14:paraId="079B7FE9" w14:textId="77777777"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7386C670"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0.7</w:t>
            </w:r>
          </w:p>
        </w:tc>
        <w:tc>
          <w:tcPr>
            <w:tcW w:w="1313" w:type="dxa"/>
            <w:tcBorders>
              <w:top w:val="nil"/>
              <w:left w:val="nil"/>
              <w:bottom w:val="nil"/>
              <w:right w:val="nil"/>
            </w:tcBorders>
            <w:shd w:val="clear" w:color="auto" w:fill="auto"/>
            <w:noWrap/>
            <w:vAlign w:val="bottom"/>
            <w:hideMark/>
          </w:tcPr>
          <w:p w14:paraId="1477AAC1"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15.1</w:t>
            </w:r>
          </w:p>
        </w:tc>
      </w:tr>
      <w:tr w:rsidR="00463A75" w:rsidRPr="003E76E7" w14:paraId="6A5BE838" w14:textId="77777777" w:rsidTr="00B17397">
        <w:trPr>
          <w:trHeight w:val="225"/>
        </w:trPr>
        <w:tc>
          <w:tcPr>
            <w:tcW w:w="3119" w:type="dxa"/>
            <w:tcBorders>
              <w:top w:val="nil"/>
              <w:left w:val="nil"/>
              <w:bottom w:val="nil"/>
              <w:right w:val="nil"/>
            </w:tcBorders>
            <w:shd w:val="clear" w:color="auto" w:fill="auto"/>
            <w:vAlign w:val="bottom"/>
            <w:hideMark/>
          </w:tcPr>
          <w:p w14:paraId="69695778" w14:textId="1807103A"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 xml:space="preserve">HMAS </w:t>
            </w:r>
            <w:r w:rsidR="002F62D4" w:rsidRPr="002F62D4">
              <w:rPr>
                <w:rFonts w:ascii="Arial" w:hAnsi="Arial"/>
                <w:iCs/>
                <w:color w:val="000000"/>
                <w:sz w:val="16"/>
                <w:szCs w:val="16"/>
                <w:lang w:val="en-AU"/>
              </w:rPr>
              <w:t>Albatross</w:t>
            </w:r>
          </w:p>
        </w:tc>
        <w:tc>
          <w:tcPr>
            <w:tcW w:w="1911" w:type="dxa"/>
            <w:tcBorders>
              <w:top w:val="nil"/>
              <w:left w:val="nil"/>
              <w:bottom w:val="nil"/>
              <w:right w:val="nil"/>
            </w:tcBorders>
            <w:shd w:val="clear" w:color="auto" w:fill="auto"/>
            <w:noWrap/>
            <w:vAlign w:val="bottom"/>
            <w:hideMark/>
          </w:tcPr>
          <w:p w14:paraId="094D9719"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NSW - Gilmore</w:t>
            </w:r>
          </w:p>
        </w:tc>
        <w:tc>
          <w:tcPr>
            <w:tcW w:w="1141" w:type="dxa"/>
            <w:tcBorders>
              <w:top w:val="nil"/>
              <w:left w:val="nil"/>
              <w:bottom w:val="nil"/>
              <w:right w:val="nil"/>
            </w:tcBorders>
            <w:shd w:val="clear" w:color="auto" w:fill="auto"/>
            <w:noWrap/>
            <w:vAlign w:val="bottom"/>
            <w:hideMark/>
          </w:tcPr>
          <w:p w14:paraId="00AA6145" w14:textId="77777777"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2362369C"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0.8</w:t>
            </w:r>
          </w:p>
        </w:tc>
        <w:tc>
          <w:tcPr>
            <w:tcW w:w="1313" w:type="dxa"/>
            <w:tcBorders>
              <w:top w:val="nil"/>
              <w:left w:val="nil"/>
              <w:bottom w:val="nil"/>
              <w:right w:val="nil"/>
            </w:tcBorders>
            <w:shd w:val="clear" w:color="auto" w:fill="auto"/>
            <w:noWrap/>
            <w:vAlign w:val="bottom"/>
            <w:hideMark/>
          </w:tcPr>
          <w:p w14:paraId="09D5CE66"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3.0</w:t>
            </w:r>
          </w:p>
        </w:tc>
      </w:tr>
      <w:tr w:rsidR="00463A75" w:rsidRPr="003E76E7" w14:paraId="1727F88F" w14:textId="77777777" w:rsidTr="00B17397">
        <w:trPr>
          <w:trHeight w:val="225"/>
        </w:trPr>
        <w:tc>
          <w:tcPr>
            <w:tcW w:w="3119" w:type="dxa"/>
            <w:tcBorders>
              <w:top w:val="nil"/>
              <w:left w:val="nil"/>
              <w:bottom w:val="nil"/>
              <w:right w:val="nil"/>
            </w:tcBorders>
            <w:shd w:val="clear" w:color="auto" w:fill="auto"/>
            <w:vAlign w:val="bottom"/>
            <w:hideMark/>
          </w:tcPr>
          <w:p w14:paraId="62E8A7A3"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 xml:space="preserve">HMAS </w:t>
            </w:r>
            <w:r w:rsidRPr="002F62D4">
              <w:rPr>
                <w:rFonts w:ascii="Arial" w:hAnsi="Arial"/>
                <w:iCs/>
                <w:color w:val="000000"/>
                <w:sz w:val="16"/>
                <w:szCs w:val="16"/>
                <w:lang w:val="en-AU"/>
              </w:rPr>
              <w:t>Waterhen</w:t>
            </w:r>
          </w:p>
        </w:tc>
        <w:tc>
          <w:tcPr>
            <w:tcW w:w="1911" w:type="dxa"/>
            <w:tcBorders>
              <w:top w:val="nil"/>
              <w:left w:val="nil"/>
              <w:bottom w:val="nil"/>
              <w:right w:val="nil"/>
            </w:tcBorders>
            <w:shd w:val="clear" w:color="auto" w:fill="auto"/>
            <w:noWrap/>
            <w:vAlign w:val="bottom"/>
            <w:hideMark/>
          </w:tcPr>
          <w:p w14:paraId="127400F8"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NSW - Warringah</w:t>
            </w:r>
          </w:p>
        </w:tc>
        <w:tc>
          <w:tcPr>
            <w:tcW w:w="1141" w:type="dxa"/>
            <w:tcBorders>
              <w:top w:val="nil"/>
              <w:left w:val="nil"/>
              <w:bottom w:val="nil"/>
              <w:right w:val="nil"/>
            </w:tcBorders>
            <w:shd w:val="clear" w:color="auto" w:fill="auto"/>
            <w:noWrap/>
            <w:vAlign w:val="bottom"/>
            <w:hideMark/>
          </w:tcPr>
          <w:p w14:paraId="0755DB07" w14:textId="77777777"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03C0401D"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0.7</w:t>
            </w:r>
          </w:p>
        </w:tc>
        <w:tc>
          <w:tcPr>
            <w:tcW w:w="1313" w:type="dxa"/>
            <w:tcBorders>
              <w:top w:val="nil"/>
              <w:left w:val="nil"/>
              <w:bottom w:val="nil"/>
              <w:right w:val="nil"/>
            </w:tcBorders>
            <w:shd w:val="clear" w:color="auto" w:fill="auto"/>
            <w:noWrap/>
            <w:vAlign w:val="bottom"/>
            <w:hideMark/>
          </w:tcPr>
          <w:p w14:paraId="01683E3A"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3.0</w:t>
            </w:r>
          </w:p>
        </w:tc>
      </w:tr>
      <w:tr w:rsidR="00463A75" w:rsidRPr="003E76E7" w14:paraId="6B46580A" w14:textId="77777777" w:rsidTr="00B17397">
        <w:trPr>
          <w:trHeight w:val="225"/>
        </w:trPr>
        <w:tc>
          <w:tcPr>
            <w:tcW w:w="3119" w:type="dxa"/>
            <w:tcBorders>
              <w:top w:val="nil"/>
              <w:left w:val="nil"/>
              <w:bottom w:val="nil"/>
              <w:right w:val="nil"/>
            </w:tcBorders>
            <w:shd w:val="clear" w:color="auto" w:fill="auto"/>
            <w:vAlign w:val="bottom"/>
            <w:hideMark/>
          </w:tcPr>
          <w:p w14:paraId="73775658"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Holsworthy Barracks</w:t>
            </w:r>
          </w:p>
        </w:tc>
        <w:tc>
          <w:tcPr>
            <w:tcW w:w="1911" w:type="dxa"/>
            <w:tcBorders>
              <w:top w:val="nil"/>
              <w:left w:val="nil"/>
              <w:bottom w:val="nil"/>
              <w:right w:val="nil"/>
            </w:tcBorders>
            <w:shd w:val="clear" w:color="auto" w:fill="auto"/>
            <w:noWrap/>
            <w:vAlign w:val="bottom"/>
            <w:hideMark/>
          </w:tcPr>
          <w:p w14:paraId="443875DA"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NSW - Hughes</w:t>
            </w:r>
          </w:p>
        </w:tc>
        <w:tc>
          <w:tcPr>
            <w:tcW w:w="1141" w:type="dxa"/>
            <w:tcBorders>
              <w:top w:val="nil"/>
              <w:left w:val="nil"/>
              <w:bottom w:val="nil"/>
              <w:right w:val="nil"/>
            </w:tcBorders>
            <w:shd w:val="clear" w:color="auto" w:fill="auto"/>
            <w:noWrap/>
            <w:vAlign w:val="bottom"/>
            <w:hideMark/>
          </w:tcPr>
          <w:p w14:paraId="450E0270" w14:textId="77777777"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45805F26"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0.7</w:t>
            </w:r>
          </w:p>
        </w:tc>
        <w:tc>
          <w:tcPr>
            <w:tcW w:w="1313" w:type="dxa"/>
            <w:tcBorders>
              <w:top w:val="nil"/>
              <w:left w:val="nil"/>
              <w:bottom w:val="nil"/>
              <w:right w:val="nil"/>
            </w:tcBorders>
            <w:shd w:val="clear" w:color="auto" w:fill="auto"/>
            <w:noWrap/>
            <w:vAlign w:val="bottom"/>
            <w:hideMark/>
          </w:tcPr>
          <w:p w14:paraId="68CF1430"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1.5</w:t>
            </w:r>
          </w:p>
        </w:tc>
      </w:tr>
      <w:tr w:rsidR="00463A75" w:rsidRPr="003E76E7" w14:paraId="511A1F9E" w14:textId="77777777" w:rsidTr="00B17397">
        <w:trPr>
          <w:trHeight w:val="225"/>
        </w:trPr>
        <w:tc>
          <w:tcPr>
            <w:tcW w:w="3119" w:type="dxa"/>
            <w:tcBorders>
              <w:top w:val="nil"/>
              <w:left w:val="nil"/>
              <w:bottom w:val="nil"/>
              <w:right w:val="nil"/>
            </w:tcBorders>
            <w:shd w:val="clear" w:color="auto" w:fill="auto"/>
            <w:vAlign w:val="bottom"/>
            <w:hideMark/>
          </w:tcPr>
          <w:p w14:paraId="04AC7956"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 xml:space="preserve">RAAF Base Williamtown </w:t>
            </w:r>
          </w:p>
        </w:tc>
        <w:tc>
          <w:tcPr>
            <w:tcW w:w="1911" w:type="dxa"/>
            <w:tcBorders>
              <w:top w:val="nil"/>
              <w:left w:val="nil"/>
              <w:bottom w:val="nil"/>
              <w:right w:val="nil"/>
            </w:tcBorders>
            <w:shd w:val="clear" w:color="auto" w:fill="auto"/>
            <w:noWrap/>
            <w:vAlign w:val="bottom"/>
            <w:hideMark/>
          </w:tcPr>
          <w:p w14:paraId="67B79BE6"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NSW - Paterson</w:t>
            </w:r>
          </w:p>
        </w:tc>
        <w:tc>
          <w:tcPr>
            <w:tcW w:w="1141" w:type="dxa"/>
            <w:tcBorders>
              <w:top w:val="nil"/>
              <w:left w:val="nil"/>
              <w:bottom w:val="nil"/>
              <w:right w:val="nil"/>
            </w:tcBorders>
            <w:shd w:val="clear" w:color="auto" w:fill="auto"/>
            <w:noWrap/>
            <w:vAlign w:val="bottom"/>
            <w:hideMark/>
          </w:tcPr>
          <w:p w14:paraId="09E4C796" w14:textId="77777777"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28C970BA"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0.6</w:t>
            </w:r>
          </w:p>
        </w:tc>
        <w:tc>
          <w:tcPr>
            <w:tcW w:w="1313" w:type="dxa"/>
            <w:tcBorders>
              <w:top w:val="nil"/>
              <w:left w:val="nil"/>
              <w:bottom w:val="nil"/>
              <w:right w:val="nil"/>
            </w:tcBorders>
            <w:shd w:val="clear" w:color="auto" w:fill="auto"/>
            <w:noWrap/>
            <w:vAlign w:val="bottom"/>
            <w:hideMark/>
          </w:tcPr>
          <w:p w14:paraId="52F661FE"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3.0</w:t>
            </w:r>
          </w:p>
        </w:tc>
      </w:tr>
      <w:tr w:rsidR="00463A75" w:rsidRPr="003E76E7" w14:paraId="22B114BA" w14:textId="77777777" w:rsidTr="00B17397">
        <w:trPr>
          <w:trHeight w:val="225"/>
        </w:trPr>
        <w:tc>
          <w:tcPr>
            <w:tcW w:w="3119" w:type="dxa"/>
            <w:tcBorders>
              <w:top w:val="nil"/>
              <w:left w:val="nil"/>
              <w:bottom w:val="nil"/>
              <w:right w:val="nil"/>
            </w:tcBorders>
            <w:shd w:val="clear" w:color="auto" w:fill="auto"/>
            <w:vAlign w:val="bottom"/>
            <w:hideMark/>
          </w:tcPr>
          <w:p w14:paraId="723BE223"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RAAF Base Darwin</w:t>
            </w:r>
          </w:p>
        </w:tc>
        <w:tc>
          <w:tcPr>
            <w:tcW w:w="1911" w:type="dxa"/>
            <w:tcBorders>
              <w:top w:val="nil"/>
              <w:left w:val="nil"/>
              <w:bottom w:val="nil"/>
              <w:right w:val="nil"/>
            </w:tcBorders>
            <w:shd w:val="clear" w:color="auto" w:fill="auto"/>
            <w:noWrap/>
            <w:vAlign w:val="bottom"/>
            <w:hideMark/>
          </w:tcPr>
          <w:p w14:paraId="7E5F4E93"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NT - Solomon</w:t>
            </w:r>
          </w:p>
        </w:tc>
        <w:tc>
          <w:tcPr>
            <w:tcW w:w="1141" w:type="dxa"/>
            <w:tcBorders>
              <w:top w:val="nil"/>
              <w:left w:val="nil"/>
              <w:bottom w:val="nil"/>
              <w:right w:val="nil"/>
            </w:tcBorders>
            <w:shd w:val="clear" w:color="auto" w:fill="auto"/>
            <w:noWrap/>
            <w:vAlign w:val="bottom"/>
            <w:hideMark/>
          </w:tcPr>
          <w:p w14:paraId="295652F7" w14:textId="77777777"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6FB9A76B"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0.6</w:t>
            </w:r>
          </w:p>
        </w:tc>
        <w:tc>
          <w:tcPr>
            <w:tcW w:w="1313" w:type="dxa"/>
            <w:tcBorders>
              <w:top w:val="nil"/>
              <w:left w:val="nil"/>
              <w:bottom w:val="nil"/>
              <w:right w:val="nil"/>
            </w:tcBorders>
            <w:shd w:val="clear" w:color="auto" w:fill="auto"/>
            <w:noWrap/>
            <w:vAlign w:val="bottom"/>
            <w:hideMark/>
          </w:tcPr>
          <w:p w14:paraId="40589DF8"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3.0</w:t>
            </w:r>
          </w:p>
        </w:tc>
      </w:tr>
      <w:tr w:rsidR="00463A75" w:rsidRPr="003E76E7" w14:paraId="1984DBDB" w14:textId="77777777" w:rsidTr="00B17397">
        <w:trPr>
          <w:trHeight w:val="225"/>
        </w:trPr>
        <w:tc>
          <w:tcPr>
            <w:tcW w:w="3119" w:type="dxa"/>
            <w:tcBorders>
              <w:top w:val="nil"/>
              <w:left w:val="nil"/>
              <w:bottom w:val="nil"/>
              <w:right w:val="nil"/>
            </w:tcBorders>
            <w:shd w:val="clear" w:color="auto" w:fill="auto"/>
            <w:vAlign w:val="bottom"/>
            <w:hideMark/>
          </w:tcPr>
          <w:p w14:paraId="7E74F10B"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RAAF Base Tindal</w:t>
            </w:r>
          </w:p>
        </w:tc>
        <w:tc>
          <w:tcPr>
            <w:tcW w:w="1911" w:type="dxa"/>
            <w:tcBorders>
              <w:top w:val="nil"/>
              <w:left w:val="nil"/>
              <w:bottom w:val="nil"/>
              <w:right w:val="nil"/>
            </w:tcBorders>
            <w:shd w:val="clear" w:color="auto" w:fill="auto"/>
            <w:noWrap/>
            <w:vAlign w:val="bottom"/>
            <w:hideMark/>
          </w:tcPr>
          <w:p w14:paraId="67502C27"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NT - Lingiari</w:t>
            </w:r>
          </w:p>
        </w:tc>
        <w:tc>
          <w:tcPr>
            <w:tcW w:w="1141" w:type="dxa"/>
            <w:tcBorders>
              <w:top w:val="nil"/>
              <w:left w:val="nil"/>
              <w:bottom w:val="nil"/>
              <w:right w:val="nil"/>
            </w:tcBorders>
            <w:shd w:val="clear" w:color="auto" w:fill="auto"/>
            <w:noWrap/>
            <w:vAlign w:val="bottom"/>
            <w:hideMark/>
          </w:tcPr>
          <w:p w14:paraId="09BAC96F" w14:textId="77777777"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5DCE6510"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1.3</w:t>
            </w:r>
          </w:p>
        </w:tc>
        <w:tc>
          <w:tcPr>
            <w:tcW w:w="1313" w:type="dxa"/>
            <w:tcBorders>
              <w:top w:val="nil"/>
              <w:left w:val="nil"/>
              <w:bottom w:val="nil"/>
              <w:right w:val="nil"/>
            </w:tcBorders>
            <w:shd w:val="clear" w:color="auto" w:fill="auto"/>
            <w:noWrap/>
            <w:vAlign w:val="bottom"/>
            <w:hideMark/>
          </w:tcPr>
          <w:p w14:paraId="52080A6D"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3.0</w:t>
            </w:r>
          </w:p>
        </w:tc>
      </w:tr>
      <w:tr w:rsidR="00463A75" w:rsidRPr="003E76E7" w14:paraId="776AD1A6" w14:textId="77777777" w:rsidTr="00B17397">
        <w:trPr>
          <w:trHeight w:val="225"/>
        </w:trPr>
        <w:tc>
          <w:tcPr>
            <w:tcW w:w="3119" w:type="dxa"/>
            <w:tcBorders>
              <w:top w:val="nil"/>
              <w:left w:val="nil"/>
              <w:bottom w:val="nil"/>
              <w:right w:val="nil"/>
            </w:tcBorders>
            <w:shd w:val="clear" w:color="auto" w:fill="auto"/>
            <w:vAlign w:val="bottom"/>
            <w:hideMark/>
          </w:tcPr>
          <w:p w14:paraId="18F31563"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Borneo Barracks</w:t>
            </w:r>
          </w:p>
        </w:tc>
        <w:tc>
          <w:tcPr>
            <w:tcW w:w="1911" w:type="dxa"/>
            <w:tcBorders>
              <w:top w:val="nil"/>
              <w:left w:val="nil"/>
              <w:bottom w:val="nil"/>
              <w:right w:val="nil"/>
            </w:tcBorders>
            <w:shd w:val="clear" w:color="auto" w:fill="auto"/>
            <w:noWrap/>
            <w:vAlign w:val="bottom"/>
            <w:hideMark/>
          </w:tcPr>
          <w:p w14:paraId="40882C9D"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QLD - Groom</w:t>
            </w:r>
          </w:p>
        </w:tc>
        <w:tc>
          <w:tcPr>
            <w:tcW w:w="1141" w:type="dxa"/>
            <w:tcBorders>
              <w:top w:val="nil"/>
              <w:left w:val="nil"/>
              <w:bottom w:val="nil"/>
              <w:right w:val="nil"/>
            </w:tcBorders>
            <w:shd w:val="clear" w:color="auto" w:fill="auto"/>
            <w:noWrap/>
            <w:vAlign w:val="bottom"/>
            <w:hideMark/>
          </w:tcPr>
          <w:p w14:paraId="43245EF9" w14:textId="77777777"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655C4B6C"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0.4</w:t>
            </w:r>
          </w:p>
        </w:tc>
        <w:tc>
          <w:tcPr>
            <w:tcW w:w="1313" w:type="dxa"/>
            <w:tcBorders>
              <w:top w:val="nil"/>
              <w:left w:val="nil"/>
              <w:bottom w:val="nil"/>
              <w:right w:val="nil"/>
            </w:tcBorders>
            <w:shd w:val="clear" w:color="auto" w:fill="auto"/>
            <w:noWrap/>
            <w:vAlign w:val="bottom"/>
            <w:hideMark/>
          </w:tcPr>
          <w:p w14:paraId="20C66DB1"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3.0</w:t>
            </w:r>
          </w:p>
        </w:tc>
      </w:tr>
      <w:tr w:rsidR="00463A75" w:rsidRPr="003E76E7" w14:paraId="0652C29B" w14:textId="77777777" w:rsidTr="00B17397">
        <w:trPr>
          <w:trHeight w:val="225"/>
        </w:trPr>
        <w:tc>
          <w:tcPr>
            <w:tcW w:w="3119" w:type="dxa"/>
            <w:tcBorders>
              <w:top w:val="nil"/>
              <w:left w:val="nil"/>
              <w:bottom w:val="nil"/>
              <w:right w:val="nil"/>
            </w:tcBorders>
            <w:shd w:val="clear" w:color="auto" w:fill="auto"/>
            <w:vAlign w:val="bottom"/>
            <w:hideMark/>
          </w:tcPr>
          <w:p w14:paraId="57F9CFE7"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Longreach</w:t>
            </w:r>
          </w:p>
        </w:tc>
        <w:tc>
          <w:tcPr>
            <w:tcW w:w="1911" w:type="dxa"/>
            <w:tcBorders>
              <w:top w:val="nil"/>
              <w:left w:val="nil"/>
              <w:bottom w:val="nil"/>
              <w:right w:val="nil"/>
            </w:tcBorders>
            <w:shd w:val="clear" w:color="auto" w:fill="auto"/>
            <w:noWrap/>
            <w:vAlign w:val="bottom"/>
            <w:hideMark/>
          </w:tcPr>
          <w:p w14:paraId="25A9C1D6"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QLD - Maranoa</w:t>
            </w:r>
          </w:p>
        </w:tc>
        <w:tc>
          <w:tcPr>
            <w:tcW w:w="1141" w:type="dxa"/>
            <w:tcBorders>
              <w:top w:val="nil"/>
              <w:left w:val="nil"/>
              <w:bottom w:val="nil"/>
              <w:right w:val="nil"/>
            </w:tcBorders>
            <w:shd w:val="clear" w:color="auto" w:fill="auto"/>
            <w:noWrap/>
            <w:vAlign w:val="bottom"/>
            <w:hideMark/>
          </w:tcPr>
          <w:p w14:paraId="7C7DFE50" w14:textId="77777777"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08923F86"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0.6</w:t>
            </w:r>
          </w:p>
        </w:tc>
        <w:tc>
          <w:tcPr>
            <w:tcW w:w="1313" w:type="dxa"/>
            <w:tcBorders>
              <w:top w:val="nil"/>
              <w:left w:val="nil"/>
              <w:bottom w:val="nil"/>
              <w:right w:val="nil"/>
            </w:tcBorders>
            <w:shd w:val="clear" w:color="auto" w:fill="auto"/>
            <w:noWrap/>
            <w:vAlign w:val="bottom"/>
            <w:hideMark/>
          </w:tcPr>
          <w:p w14:paraId="6D9B9FEA"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3.0</w:t>
            </w:r>
          </w:p>
        </w:tc>
      </w:tr>
      <w:tr w:rsidR="00463A75" w:rsidRPr="003E76E7" w14:paraId="62573D38" w14:textId="77777777" w:rsidTr="00B17397">
        <w:trPr>
          <w:trHeight w:val="225"/>
        </w:trPr>
        <w:tc>
          <w:tcPr>
            <w:tcW w:w="3119" w:type="dxa"/>
            <w:tcBorders>
              <w:top w:val="nil"/>
              <w:left w:val="nil"/>
              <w:bottom w:val="nil"/>
              <w:right w:val="nil"/>
            </w:tcBorders>
            <w:shd w:val="clear" w:color="auto" w:fill="auto"/>
            <w:vAlign w:val="bottom"/>
            <w:hideMark/>
          </w:tcPr>
          <w:p w14:paraId="30006BAF"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Lavarack Barracks</w:t>
            </w:r>
          </w:p>
        </w:tc>
        <w:tc>
          <w:tcPr>
            <w:tcW w:w="1911" w:type="dxa"/>
            <w:tcBorders>
              <w:top w:val="nil"/>
              <w:left w:val="nil"/>
              <w:bottom w:val="nil"/>
              <w:right w:val="nil"/>
            </w:tcBorders>
            <w:shd w:val="clear" w:color="auto" w:fill="auto"/>
            <w:noWrap/>
            <w:vAlign w:val="bottom"/>
            <w:hideMark/>
          </w:tcPr>
          <w:p w14:paraId="1B2FD4F8"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QLD - Herbert</w:t>
            </w:r>
          </w:p>
        </w:tc>
        <w:tc>
          <w:tcPr>
            <w:tcW w:w="1141" w:type="dxa"/>
            <w:tcBorders>
              <w:top w:val="nil"/>
              <w:left w:val="nil"/>
              <w:bottom w:val="nil"/>
              <w:right w:val="nil"/>
            </w:tcBorders>
            <w:shd w:val="clear" w:color="auto" w:fill="auto"/>
            <w:noWrap/>
            <w:vAlign w:val="bottom"/>
            <w:hideMark/>
          </w:tcPr>
          <w:p w14:paraId="1509F102" w14:textId="77777777"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396F9512"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0.5</w:t>
            </w:r>
          </w:p>
        </w:tc>
        <w:tc>
          <w:tcPr>
            <w:tcW w:w="1313" w:type="dxa"/>
            <w:tcBorders>
              <w:top w:val="nil"/>
              <w:left w:val="nil"/>
              <w:bottom w:val="nil"/>
              <w:right w:val="nil"/>
            </w:tcBorders>
            <w:shd w:val="clear" w:color="auto" w:fill="auto"/>
            <w:noWrap/>
            <w:vAlign w:val="bottom"/>
            <w:hideMark/>
          </w:tcPr>
          <w:p w14:paraId="08B6A7FD"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3.0</w:t>
            </w:r>
          </w:p>
        </w:tc>
      </w:tr>
      <w:tr w:rsidR="00463A75" w:rsidRPr="003E76E7" w14:paraId="0D84B2E7" w14:textId="77777777" w:rsidTr="00B17397">
        <w:trPr>
          <w:trHeight w:val="225"/>
        </w:trPr>
        <w:tc>
          <w:tcPr>
            <w:tcW w:w="3119" w:type="dxa"/>
            <w:tcBorders>
              <w:top w:val="nil"/>
              <w:left w:val="nil"/>
              <w:bottom w:val="nil"/>
              <w:right w:val="nil"/>
            </w:tcBorders>
            <w:shd w:val="clear" w:color="auto" w:fill="auto"/>
            <w:vAlign w:val="bottom"/>
            <w:hideMark/>
          </w:tcPr>
          <w:p w14:paraId="47D482E8"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RAAF Base Amberley</w:t>
            </w:r>
          </w:p>
        </w:tc>
        <w:tc>
          <w:tcPr>
            <w:tcW w:w="1911" w:type="dxa"/>
            <w:tcBorders>
              <w:top w:val="nil"/>
              <w:left w:val="nil"/>
              <w:bottom w:val="nil"/>
              <w:right w:val="nil"/>
            </w:tcBorders>
            <w:shd w:val="clear" w:color="auto" w:fill="auto"/>
            <w:noWrap/>
            <w:vAlign w:val="bottom"/>
            <w:hideMark/>
          </w:tcPr>
          <w:p w14:paraId="3EAED7E5"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QLD - Blair</w:t>
            </w:r>
          </w:p>
        </w:tc>
        <w:tc>
          <w:tcPr>
            <w:tcW w:w="1141" w:type="dxa"/>
            <w:tcBorders>
              <w:top w:val="nil"/>
              <w:left w:val="nil"/>
              <w:bottom w:val="nil"/>
              <w:right w:val="nil"/>
            </w:tcBorders>
            <w:shd w:val="clear" w:color="auto" w:fill="auto"/>
            <w:noWrap/>
            <w:vAlign w:val="bottom"/>
            <w:hideMark/>
          </w:tcPr>
          <w:p w14:paraId="549D4F52" w14:textId="77777777"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31F8E28B"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1.7</w:t>
            </w:r>
          </w:p>
        </w:tc>
        <w:tc>
          <w:tcPr>
            <w:tcW w:w="1313" w:type="dxa"/>
            <w:tcBorders>
              <w:top w:val="nil"/>
              <w:left w:val="nil"/>
              <w:bottom w:val="nil"/>
              <w:right w:val="nil"/>
            </w:tcBorders>
            <w:shd w:val="clear" w:color="auto" w:fill="auto"/>
            <w:noWrap/>
            <w:vAlign w:val="bottom"/>
            <w:hideMark/>
          </w:tcPr>
          <w:p w14:paraId="3417BB99"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4.5</w:t>
            </w:r>
          </w:p>
        </w:tc>
      </w:tr>
      <w:tr w:rsidR="00463A75" w:rsidRPr="003E76E7" w14:paraId="0F4D519C" w14:textId="77777777" w:rsidTr="00B17397">
        <w:trPr>
          <w:trHeight w:val="225"/>
        </w:trPr>
        <w:tc>
          <w:tcPr>
            <w:tcW w:w="3119" w:type="dxa"/>
            <w:tcBorders>
              <w:top w:val="nil"/>
              <w:left w:val="nil"/>
              <w:bottom w:val="nil"/>
              <w:right w:val="nil"/>
            </w:tcBorders>
            <w:shd w:val="clear" w:color="auto" w:fill="auto"/>
            <w:vAlign w:val="bottom"/>
            <w:hideMark/>
          </w:tcPr>
          <w:p w14:paraId="36D004FC"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 xml:space="preserve">RAAF Base Townsville </w:t>
            </w:r>
          </w:p>
        </w:tc>
        <w:tc>
          <w:tcPr>
            <w:tcW w:w="1911" w:type="dxa"/>
            <w:tcBorders>
              <w:top w:val="nil"/>
              <w:left w:val="nil"/>
              <w:bottom w:val="nil"/>
              <w:right w:val="nil"/>
            </w:tcBorders>
            <w:shd w:val="clear" w:color="auto" w:fill="auto"/>
            <w:noWrap/>
            <w:vAlign w:val="bottom"/>
            <w:hideMark/>
          </w:tcPr>
          <w:p w14:paraId="655C12CF"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QLD - Herbert</w:t>
            </w:r>
          </w:p>
        </w:tc>
        <w:tc>
          <w:tcPr>
            <w:tcW w:w="1141" w:type="dxa"/>
            <w:tcBorders>
              <w:top w:val="nil"/>
              <w:left w:val="nil"/>
              <w:bottom w:val="nil"/>
              <w:right w:val="nil"/>
            </w:tcBorders>
            <w:shd w:val="clear" w:color="auto" w:fill="auto"/>
            <w:noWrap/>
            <w:vAlign w:val="bottom"/>
            <w:hideMark/>
          </w:tcPr>
          <w:p w14:paraId="184A722F" w14:textId="77777777"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7B0B2686"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1.6</w:t>
            </w:r>
          </w:p>
        </w:tc>
        <w:tc>
          <w:tcPr>
            <w:tcW w:w="1313" w:type="dxa"/>
            <w:tcBorders>
              <w:top w:val="nil"/>
              <w:left w:val="nil"/>
              <w:bottom w:val="nil"/>
              <w:right w:val="nil"/>
            </w:tcBorders>
            <w:shd w:val="clear" w:color="auto" w:fill="auto"/>
            <w:noWrap/>
            <w:vAlign w:val="bottom"/>
            <w:hideMark/>
          </w:tcPr>
          <w:p w14:paraId="75D1DE62"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3.0</w:t>
            </w:r>
          </w:p>
        </w:tc>
      </w:tr>
      <w:tr w:rsidR="00463A75" w:rsidRPr="003E76E7" w14:paraId="17FA039F" w14:textId="77777777" w:rsidTr="00B17397">
        <w:trPr>
          <w:trHeight w:val="225"/>
        </w:trPr>
        <w:tc>
          <w:tcPr>
            <w:tcW w:w="3119" w:type="dxa"/>
            <w:tcBorders>
              <w:top w:val="nil"/>
              <w:left w:val="nil"/>
              <w:bottom w:val="nil"/>
              <w:right w:val="nil"/>
            </w:tcBorders>
            <w:shd w:val="clear" w:color="auto" w:fill="auto"/>
            <w:vAlign w:val="bottom"/>
            <w:hideMark/>
          </w:tcPr>
          <w:p w14:paraId="244098D4"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Port Wakefield</w:t>
            </w:r>
          </w:p>
        </w:tc>
        <w:tc>
          <w:tcPr>
            <w:tcW w:w="1911" w:type="dxa"/>
            <w:tcBorders>
              <w:top w:val="nil"/>
              <w:left w:val="nil"/>
              <w:bottom w:val="nil"/>
              <w:right w:val="nil"/>
            </w:tcBorders>
            <w:shd w:val="clear" w:color="auto" w:fill="auto"/>
            <w:noWrap/>
            <w:vAlign w:val="bottom"/>
            <w:hideMark/>
          </w:tcPr>
          <w:p w14:paraId="5D33B79C"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SA - Grey</w:t>
            </w:r>
          </w:p>
        </w:tc>
        <w:tc>
          <w:tcPr>
            <w:tcW w:w="1141" w:type="dxa"/>
            <w:tcBorders>
              <w:top w:val="nil"/>
              <w:left w:val="nil"/>
              <w:bottom w:val="nil"/>
              <w:right w:val="nil"/>
            </w:tcBorders>
            <w:shd w:val="clear" w:color="auto" w:fill="auto"/>
            <w:noWrap/>
            <w:vAlign w:val="bottom"/>
            <w:hideMark/>
          </w:tcPr>
          <w:p w14:paraId="2417B729" w14:textId="77777777"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3CDA716B"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0.7</w:t>
            </w:r>
          </w:p>
        </w:tc>
        <w:tc>
          <w:tcPr>
            <w:tcW w:w="1313" w:type="dxa"/>
            <w:tcBorders>
              <w:top w:val="nil"/>
              <w:left w:val="nil"/>
              <w:bottom w:val="nil"/>
              <w:right w:val="nil"/>
            </w:tcBorders>
            <w:shd w:val="clear" w:color="auto" w:fill="auto"/>
            <w:noWrap/>
            <w:vAlign w:val="bottom"/>
            <w:hideMark/>
          </w:tcPr>
          <w:p w14:paraId="233DE153"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3.0</w:t>
            </w:r>
          </w:p>
        </w:tc>
      </w:tr>
      <w:tr w:rsidR="00463A75" w:rsidRPr="003E76E7" w14:paraId="103C501A" w14:textId="77777777" w:rsidTr="00B17397">
        <w:trPr>
          <w:trHeight w:val="225"/>
        </w:trPr>
        <w:tc>
          <w:tcPr>
            <w:tcW w:w="3119" w:type="dxa"/>
            <w:tcBorders>
              <w:top w:val="nil"/>
              <w:left w:val="nil"/>
              <w:bottom w:val="nil"/>
              <w:right w:val="nil"/>
            </w:tcBorders>
            <w:shd w:val="clear" w:color="auto" w:fill="auto"/>
            <w:vAlign w:val="bottom"/>
            <w:hideMark/>
          </w:tcPr>
          <w:p w14:paraId="6D69B5C3"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 xml:space="preserve">RAAF Base Edinburgh </w:t>
            </w:r>
          </w:p>
        </w:tc>
        <w:tc>
          <w:tcPr>
            <w:tcW w:w="1911" w:type="dxa"/>
            <w:tcBorders>
              <w:top w:val="nil"/>
              <w:left w:val="nil"/>
              <w:bottom w:val="nil"/>
              <w:right w:val="nil"/>
            </w:tcBorders>
            <w:shd w:val="clear" w:color="auto" w:fill="auto"/>
            <w:noWrap/>
            <w:vAlign w:val="bottom"/>
            <w:hideMark/>
          </w:tcPr>
          <w:p w14:paraId="0B6EF33A"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SA - Spence</w:t>
            </w:r>
          </w:p>
        </w:tc>
        <w:tc>
          <w:tcPr>
            <w:tcW w:w="1141" w:type="dxa"/>
            <w:tcBorders>
              <w:top w:val="nil"/>
              <w:left w:val="nil"/>
              <w:bottom w:val="nil"/>
              <w:right w:val="nil"/>
            </w:tcBorders>
            <w:shd w:val="clear" w:color="auto" w:fill="auto"/>
            <w:noWrap/>
            <w:vAlign w:val="bottom"/>
            <w:hideMark/>
          </w:tcPr>
          <w:p w14:paraId="3A75B570" w14:textId="77777777"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50BE5A76"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0.3</w:t>
            </w:r>
          </w:p>
        </w:tc>
        <w:tc>
          <w:tcPr>
            <w:tcW w:w="1313" w:type="dxa"/>
            <w:tcBorders>
              <w:top w:val="nil"/>
              <w:left w:val="nil"/>
              <w:bottom w:val="nil"/>
              <w:right w:val="nil"/>
            </w:tcBorders>
            <w:shd w:val="clear" w:color="auto" w:fill="auto"/>
            <w:noWrap/>
            <w:vAlign w:val="bottom"/>
            <w:hideMark/>
          </w:tcPr>
          <w:p w14:paraId="31A1335D"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3.0</w:t>
            </w:r>
          </w:p>
        </w:tc>
      </w:tr>
      <w:tr w:rsidR="00463A75" w:rsidRPr="003E76E7" w14:paraId="4F604732" w14:textId="77777777" w:rsidTr="00B17397">
        <w:trPr>
          <w:trHeight w:val="225"/>
        </w:trPr>
        <w:tc>
          <w:tcPr>
            <w:tcW w:w="3119" w:type="dxa"/>
            <w:tcBorders>
              <w:top w:val="nil"/>
              <w:left w:val="nil"/>
              <w:bottom w:val="nil"/>
              <w:right w:val="nil"/>
            </w:tcBorders>
            <w:shd w:val="clear" w:color="auto" w:fill="auto"/>
            <w:vAlign w:val="bottom"/>
            <w:hideMark/>
          </w:tcPr>
          <w:p w14:paraId="74D9BCB3"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Puckapunyal Military Area</w:t>
            </w:r>
          </w:p>
        </w:tc>
        <w:tc>
          <w:tcPr>
            <w:tcW w:w="1911" w:type="dxa"/>
            <w:tcBorders>
              <w:top w:val="nil"/>
              <w:left w:val="nil"/>
              <w:bottom w:val="nil"/>
              <w:right w:val="nil"/>
            </w:tcBorders>
            <w:shd w:val="clear" w:color="auto" w:fill="auto"/>
            <w:noWrap/>
            <w:vAlign w:val="bottom"/>
            <w:hideMark/>
          </w:tcPr>
          <w:p w14:paraId="60291543"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VIC - Nicholls</w:t>
            </w:r>
          </w:p>
        </w:tc>
        <w:tc>
          <w:tcPr>
            <w:tcW w:w="1141" w:type="dxa"/>
            <w:tcBorders>
              <w:top w:val="nil"/>
              <w:left w:val="nil"/>
              <w:bottom w:val="nil"/>
              <w:right w:val="nil"/>
            </w:tcBorders>
            <w:shd w:val="clear" w:color="auto" w:fill="auto"/>
            <w:noWrap/>
            <w:vAlign w:val="bottom"/>
            <w:hideMark/>
          </w:tcPr>
          <w:p w14:paraId="23219D75" w14:textId="77777777"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5BA25D7B"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0.8</w:t>
            </w:r>
          </w:p>
        </w:tc>
        <w:tc>
          <w:tcPr>
            <w:tcW w:w="1313" w:type="dxa"/>
            <w:tcBorders>
              <w:top w:val="nil"/>
              <w:left w:val="nil"/>
              <w:bottom w:val="nil"/>
              <w:right w:val="nil"/>
            </w:tcBorders>
            <w:shd w:val="clear" w:color="auto" w:fill="auto"/>
            <w:noWrap/>
            <w:vAlign w:val="bottom"/>
            <w:hideMark/>
          </w:tcPr>
          <w:p w14:paraId="7EE91890"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10.5</w:t>
            </w:r>
          </w:p>
        </w:tc>
      </w:tr>
      <w:tr w:rsidR="00463A75" w:rsidRPr="003E76E7" w14:paraId="7838762B" w14:textId="77777777" w:rsidTr="00B17397">
        <w:trPr>
          <w:trHeight w:val="225"/>
        </w:trPr>
        <w:tc>
          <w:tcPr>
            <w:tcW w:w="3119" w:type="dxa"/>
            <w:tcBorders>
              <w:top w:val="nil"/>
              <w:left w:val="nil"/>
              <w:bottom w:val="nil"/>
              <w:right w:val="nil"/>
            </w:tcBorders>
            <w:shd w:val="clear" w:color="auto" w:fill="auto"/>
            <w:vAlign w:val="bottom"/>
            <w:hideMark/>
          </w:tcPr>
          <w:p w14:paraId="3B981ECF"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 xml:space="preserve">Army Testing Ground Monegeetta </w:t>
            </w:r>
          </w:p>
        </w:tc>
        <w:tc>
          <w:tcPr>
            <w:tcW w:w="1911" w:type="dxa"/>
            <w:tcBorders>
              <w:top w:val="nil"/>
              <w:left w:val="nil"/>
              <w:bottom w:val="nil"/>
              <w:right w:val="nil"/>
            </w:tcBorders>
            <w:shd w:val="clear" w:color="auto" w:fill="auto"/>
            <w:noWrap/>
            <w:vAlign w:val="bottom"/>
            <w:hideMark/>
          </w:tcPr>
          <w:p w14:paraId="55E2B647"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VIC - McEwen</w:t>
            </w:r>
          </w:p>
        </w:tc>
        <w:tc>
          <w:tcPr>
            <w:tcW w:w="1141" w:type="dxa"/>
            <w:tcBorders>
              <w:top w:val="nil"/>
              <w:left w:val="nil"/>
              <w:bottom w:val="nil"/>
              <w:right w:val="nil"/>
            </w:tcBorders>
            <w:shd w:val="clear" w:color="auto" w:fill="auto"/>
            <w:noWrap/>
            <w:vAlign w:val="bottom"/>
            <w:hideMark/>
          </w:tcPr>
          <w:p w14:paraId="75779BC7" w14:textId="77777777"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08A02745"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0.5</w:t>
            </w:r>
          </w:p>
        </w:tc>
        <w:tc>
          <w:tcPr>
            <w:tcW w:w="1313" w:type="dxa"/>
            <w:tcBorders>
              <w:top w:val="nil"/>
              <w:left w:val="nil"/>
              <w:bottom w:val="nil"/>
              <w:right w:val="nil"/>
            </w:tcBorders>
            <w:shd w:val="clear" w:color="auto" w:fill="auto"/>
            <w:noWrap/>
            <w:vAlign w:val="bottom"/>
            <w:hideMark/>
          </w:tcPr>
          <w:p w14:paraId="030F2CDB"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3.0</w:t>
            </w:r>
          </w:p>
        </w:tc>
      </w:tr>
      <w:tr w:rsidR="00463A75" w:rsidRPr="003E76E7" w14:paraId="208A35F1" w14:textId="77777777" w:rsidTr="00B17397">
        <w:trPr>
          <w:trHeight w:val="225"/>
        </w:trPr>
        <w:tc>
          <w:tcPr>
            <w:tcW w:w="3119" w:type="dxa"/>
            <w:tcBorders>
              <w:top w:val="nil"/>
              <w:left w:val="nil"/>
              <w:bottom w:val="nil"/>
              <w:right w:val="nil"/>
            </w:tcBorders>
            <w:shd w:val="clear" w:color="auto" w:fill="auto"/>
            <w:vAlign w:val="bottom"/>
            <w:hideMark/>
          </w:tcPr>
          <w:p w14:paraId="291A3AB3"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RAAF Base Learmonth</w:t>
            </w:r>
          </w:p>
        </w:tc>
        <w:tc>
          <w:tcPr>
            <w:tcW w:w="1911" w:type="dxa"/>
            <w:tcBorders>
              <w:top w:val="nil"/>
              <w:left w:val="nil"/>
              <w:bottom w:val="nil"/>
              <w:right w:val="nil"/>
            </w:tcBorders>
            <w:shd w:val="clear" w:color="auto" w:fill="auto"/>
            <w:noWrap/>
            <w:vAlign w:val="bottom"/>
            <w:hideMark/>
          </w:tcPr>
          <w:p w14:paraId="6E4A9ECB"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WA - Durack</w:t>
            </w:r>
          </w:p>
        </w:tc>
        <w:tc>
          <w:tcPr>
            <w:tcW w:w="1141" w:type="dxa"/>
            <w:tcBorders>
              <w:top w:val="nil"/>
              <w:left w:val="nil"/>
              <w:bottom w:val="nil"/>
              <w:right w:val="nil"/>
            </w:tcBorders>
            <w:shd w:val="clear" w:color="auto" w:fill="auto"/>
            <w:noWrap/>
            <w:vAlign w:val="bottom"/>
            <w:hideMark/>
          </w:tcPr>
          <w:p w14:paraId="3FBAD3AC" w14:textId="77777777"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7D57461F"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14.0</w:t>
            </w:r>
          </w:p>
        </w:tc>
        <w:tc>
          <w:tcPr>
            <w:tcW w:w="1313" w:type="dxa"/>
            <w:tcBorders>
              <w:top w:val="nil"/>
              <w:left w:val="nil"/>
              <w:bottom w:val="nil"/>
              <w:right w:val="nil"/>
            </w:tcBorders>
            <w:shd w:val="clear" w:color="auto" w:fill="auto"/>
            <w:noWrap/>
            <w:vAlign w:val="bottom"/>
            <w:hideMark/>
          </w:tcPr>
          <w:p w14:paraId="182A0EE5"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69.3</w:t>
            </w:r>
          </w:p>
        </w:tc>
      </w:tr>
      <w:tr w:rsidR="00463A75" w:rsidRPr="003E76E7" w14:paraId="329F1B5F" w14:textId="77777777" w:rsidTr="00B17397">
        <w:trPr>
          <w:trHeight w:val="225"/>
        </w:trPr>
        <w:tc>
          <w:tcPr>
            <w:tcW w:w="3119" w:type="dxa"/>
            <w:tcBorders>
              <w:top w:val="nil"/>
              <w:left w:val="nil"/>
              <w:bottom w:val="nil"/>
              <w:right w:val="nil"/>
            </w:tcBorders>
            <w:shd w:val="clear" w:color="auto" w:fill="auto"/>
            <w:vAlign w:val="bottom"/>
            <w:hideMark/>
          </w:tcPr>
          <w:p w14:paraId="714434B7"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lastRenderedPageBreak/>
              <w:t>Geraldton</w:t>
            </w:r>
          </w:p>
        </w:tc>
        <w:tc>
          <w:tcPr>
            <w:tcW w:w="1911" w:type="dxa"/>
            <w:tcBorders>
              <w:top w:val="nil"/>
              <w:left w:val="nil"/>
              <w:bottom w:val="nil"/>
              <w:right w:val="nil"/>
            </w:tcBorders>
            <w:shd w:val="clear" w:color="auto" w:fill="auto"/>
            <w:noWrap/>
            <w:vAlign w:val="bottom"/>
            <w:hideMark/>
          </w:tcPr>
          <w:p w14:paraId="60A74C56"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WA - Durack</w:t>
            </w:r>
          </w:p>
        </w:tc>
        <w:tc>
          <w:tcPr>
            <w:tcW w:w="1141" w:type="dxa"/>
            <w:tcBorders>
              <w:top w:val="nil"/>
              <w:left w:val="nil"/>
              <w:bottom w:val="nil"/>
              <w:right w:val="nil"/>
            </w:tcBorders>
            <w:shd w:val="clear" w:color="auto" w:fill="auto"/>
            <w:noWrap/>
            <w:vAlign w:val="bottom"/>
            <w:hideMark/>
          </w:tcPr>
          <w:p w14:paraId="0D2862D3" w14:textId="77777777"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6163FB7D"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0.5</w:t>
            </w:r>
          </w:p>
        </w:tc>
        <w:tc>
          <w:tcPr>
            <w:tcW w:w="1313" w:type="dxa"/>
            <w:tcBorders>
              <w:top w:val="nil"/>
              <w:left w:val="nil"/>
              <w:bottom w:val="nil"/>
              <w:right w:val="nil"/>
            </w:tcBorders>
            <w:shd w:val="clear" w:color="auto" w:fill="auto"/>
            <w:noWrap/>
            <w:vAlign w:val="bottom"/>
            <w:hideMark/>
          </w:tcPr>
          <w:p w14:paraId="53B3C526"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3.0</w:t>
            </w:r>
          </w:p>
        </w:tc>
      </w:tr>
      <w:tr w:rsidR="00463A75" w:rsidRPr="003E76E7" w14:paraId="15FB21BC" w14:textId="77777777" w:rsidTr="00B17397">
        <w:trPr>
          <w:trHeight w:val="225"/>
        </w:trPr>
        <w:tc>
          <w:tcPr>
            <w:tcW w:w="3119" w:type="dxa"/>
            <w:tcBorders>
              <w:top w:val="nil"/>
              <w:left w:val="nil"/>
              <w:bottom w:val="nil"/>
              <w:right w:val="nil"/>
            </w:tcBorders>
            <w:shd w:val="clear" w:color="auto" w:fill="auto"/>
            <w:vAlign w:val="bottom"/>
            <w:hideMark/>
          </w:tcPr>
          <w:p w14:paraId="1CE9D9D0"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Laverton</w:t>
            </w:r>
          </w:p>
        </w:tc>
        <w:tc>
          <w:tcPr>
            <w:tcW w:w="1911" w:type="dxa"/>
            <w:tcBorders>
              <w:top w:val="nil"/>
              <w:left w:val="nil"/>
              <w:bottom w:val="nil"/>
              <w:right w:val="nil"/>
            </w:tcBorders>
            <w:shd w:val="clear" w:color="auto" w:fill="auto"/>
            <w:noWrap/>
            <w:vAlign w:val="bottom"/>
            <w:hideMark/>
          </w:tcPr>
          <w:p w14:paraId="5255D348"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WA - O’Connor</w:t>
            </w:r>
          </w:p>
        </w:tc>
        <w:tc>
          <w:tcPr>
            <w:tcW w:w="1141" w:type="dxa"/>
            <w:tcBorders>
              <w:top w:val="nil"/>
              <w:left w:val="nil"/>
              <w:bottom w:val="nil"/>
              <w:right w:val="nil"/>
            </w:tcBorders>
            <w:shd w:val="clear" w:color="auto" w:fill="auto"/>
            <w:noWrap/>
            <w:vAlign w:val="bottom"/>
            <w:hideMark/>
          </w:tcPr>
          <w:p w14:paraId="41975F60" w14:textId="77777777"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6732C721"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0.6</w:t>
            </w:r>
          </w:p>
        </w:tc>
        <w:tc>
          <w:tcPr>
            <w:tcW w:w="1313" w:type="dxa"/>
            <w:tcBorders>
              <w:top w:val="nil"/>
              <w:left w:val="nil"/>
              <w:bottom w:val="nil"/>
              <w:right w:val="nil"/>
            </w:tcBorders>
            <w:shd w:val="clear" w:color="auto" w:fill="auto"/>
            <w:noWrap/>
            <w:vAlign w:val="bottom"/>
            <w:hideMark/>
          </w:tcPr>
          <w:p w14:paraId="220E345A"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3.0</w:t>
            </w:r>
          </w:p>
        </w:tc>
      </w:tr>
      <w:tr w:rsidR="00463A75" w:rsidRPr="003E76E7" w14:paraId="62439C80" w14:textId="77777777" w:rsidTr="00B17397">
        <w:trPr>
          <w:trHeight w:val="225"/>
        </w:trPr>
        <w:tc>
          <w:tcPr>
            <w:tcW w:w="3119" w:type="dxa"/>
            <w:tcBorders>
              <w:top w:val="nil"/>
              <w:left w:val="nil"/>
              <w:bottom w:val="nil"/>
              <w:right w:val="nil"/>
            </w:tcBorders>
            <w:shd w:val="clear" w:color="auto" w:fill="auto"/>
            <w:vAlign w:val="bottom"/>
            <w:hideMark/>
          </w:tcPr>
          <w:p w14:paraId="5E49F63F"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 xml:space="preserve">HMAS </w:t>
            </w:r>
            <w:r w:rsidRPr="00C210BD">
              <w:rPr>
                <w:rFonts w:ascii="Arial" w:hAnsi="Arial"/>
                <w:iCs/>
                <w:color w:val="000000"/>
                <w:sz w:val="16"/>
                <w:szCs w:val="16"/>
                <w:lang w:val="en-AU"/>
              </w:rPr>
              <w:t>Stirling</w:t>
            </w:r>
            <w:r w:rsidRPr="003E76E7">
              <w:rPr>
                <w:rFonts w:ascii="Arial" w:hAnsi="Arial"/>
                <w:color w:val="000000"/>
                <w:sz w:val="16"/>
                <w:szCs w:val="16"/>
                <w:lang w:val="en-AU"/>
              </w:rPr>
              <w:t xml:space="preserve"> </w:t>
            </w:r>
          </w:p>
        </w:tc>
        <w:tc>
          <w:tcPr>
            <w:tcW w:w="1911" w:type="dxa"/>
            <w:tcBorders>
              <w:top w:val="nil"/>
              <w:left w:val="nil"/>
              <w:bottom w:val="nil"/>
              <w:right w:val="nil"/>
            </w:tcBorders>
            <w:shd w:val="clear" w:color="auto" w:fill="auto"/>
            <w:noWrap/>
            <w:vAlign w:val="bottom"/>
            <w:hideMark/>
          </w:tcPr>
          <w:p w14:paraId="5678BDA1"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WA - Brand</w:t>
            </w:r>
          </w:p>
        </w:tc>
        <w:tc>
          <w:tcPr>
            <w:tcW w:w="1141" w:type="dxa"/>
            <w:tcBorders>
              <w:top w:val="nil"/>
              <w:left w:val="nil"/>
              <w:bottom w:val="nil"/>
              <w:right w:val="nil"/>
            </w:tcBorders>
            <w:shd w:val="clear" w:color="auto" w:fill="auto"/>
            <w:noWrap/>
            <w:vAlign w:val="bottom"/>
            <w:hideMark/>
          </w:tcPr>
          <w:p w14:paraId="710FB528" w14:textId="77777777"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02A5C069"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0.7</w:t>
            </w:r>
          </w:p>
        </w:tc>
        <w:tc>
          <w:tcPr>
            <w:tcW w:w="1313" w:type="dxa"/>
            <w:tcBorders>
              <w:top w:val="nil"/>
              <w:left w:val="nil"/>
              <w:bottom w:val="nil"/>
              <w:right w:val="nil"/>
            </w:tcBorders>
            <w:shd w:val="clear" w:color="auto" w:fill="auto"/>
            <w:noWrap/>
            <w:vAlign w:val="bottom"/>
            <w:hideMark/>
          </w:tcPr>
          <w:p w14:paraId="2BD33FCE"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3.0</w:t>
            </w:r>
          </w:p>
        </w:tc>
      </w:tr>
      <w:tr w:rsidR="00463A75" w:rsidRPr="003E76E7" w14:paraId="0C514A1F" w14:textId="77777777" w:rsidTr="00B17397">
        <w:trPr>
          <w:trHeight w:val="225"/>
        </w:trPr>
        <w:tc>
          <w:tcPr>
            <w:tcW w:w="3119" w:type="dxa"/>
            <w:tcBorders>
              <w:top w:val="nil"/>
              <w:left w:val="nil"/>
              <w:bottom w:val="nil"/>
              <w:right w:val="nil"/>
            </w:tcBorders>
            <w:shd w:val="clear" w:color="auto" w:fill="auto"/>
            <w:vAlign w:val="bottom"/>
            <w:hideMark/>
          </w:tcPr>
          <w:p w14:paraId="56D7C319"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Bindoon Training Area</w:t>
            </w:r>
          </w:p>
        </w:tc>
        <w:tc>
          <w:tcPr>
            <w:tcW w:w="1911" w:type="dxa"/>
            <w:tcBorders>
              <w:top w:val="nil"/>
              <w:left w:val="nil"/>
              <w:bottom w:val="nil"/>
              <w:right w:val="nil"/>
            </w:tcBorders>
            <w:shd w:val="clear" w:color="auto" w:fill="auto"/>
            <w:noWrap/>
            <w:vAlign w:val="bottom"/>
            <w:hideMark/>
          </w:tcPr>
          <w:p w14:paraId="2E6485CD" w14:textId="77777777" w:rsidR="00463A75" w:rsidRPr="003E76E7" w:rsidRDefault="00463A75" w:rsidP="00C4292D">
            <w:pPr>
              <w:spacing w:before="0" w:after="0"/>
              <w:jc w:val="right"/>
              <w:rPr>
                <w:rFonts w:ascii="Arial" w:hAnsi="Arial"/>
                <w:sz w:val="16"/>
                <w:szCs w:val="16"/>
                <w:lang w:val="en-AU"/>
              </w:rPr>
            </w:pPr>
            <w:r w:rsidRPr="003E76E7">
              <w:rPr>
                <w:rFonts w:ascii="Arial" w:hAnsi="Arial"/>
                <w:sz w:val="16"/>
                <w:szCs w:val="16"/>
                <w:lang w:val="en-AU"/>
              </w:rPr>
              <w:t>WA - Bullwinkel</w:t>
            </w:r>
          </w:p>
        </w:tc>
        <w:tc>
          <w:tcPr>
            <w:tcW w:w="1141" w:type="dxa"/>
            <w:tcBorders>
              <w:top w:val="nil"/>
              <w:left w:val="nil"/>
              <w:bottom w:val="nil"/>
              <w:right w:val="nil"/>
            </w:tcBorders>
            <w:shd w:val="clear" w:color="auto" w:fill="auto"/>
            <w:noWrap/>
            <w:vAlign w:val="bottom"/>
            <w:hideMark/>
          </w:tcPr>
          <w:p w14:paraId="616DDCA4" w14:textId="77777777" w:rsidR="00463A75" w:rsidRPr="003E76E7" w:rsidRDefault="00463A75" w:rsidP="00C4292D">
            <w:pPr>
              <w:spacing w:before="0" w:after="0"/>
              <w:jc w:val="right"/>
              <w:rPr>
                <w:rFonts w:ascii="Arial" w:hAnsi="Arial"/>
                <w:sz w:val="16"/>
                <w:szCs w:val="16"/>
                <w:lang w:val="en-AU"/>
              </w:rPr>
            </w:pPr>
          </w:p>
        </w:tc>
        <w:tc>
          <w:tcPr>
            <w:tcW w:w="1462" w:type="dxa"/>
            <w:tcBorders>
              <w:top w:val="nil"/>
              <w:left w:val="nil"/>
              <w:bottom w:val="nil"/>
              <w:right w:val="nil"/>
            </w:tcBorders>
            <w:shd w:val="clear" w:color="auto" w:fill="auto"/>
            <w:noWrap/>
            <w:vAlign w:val="bottom"/>
            <w:hideMark/>
          </w:tcPr>
          <w:p w14:paraId="4EB6713E"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0.7</w:t>
            </w:r>
          </w:p>
        </w:tc>
        <w:tc>
          <w:tcPr>
            <w:tcW w:w="1313" w:type="dxa"/>
            <w:tcBorders>
              <w:top w:val="nil"/>
              <w:left w:val="nil"/>
              <w:bottom w:val="nil"/>
              <w:right w:val="nil"/>
            </w:tcBorders>
            <w:shd w:val="clear" w:color="auto" w:fill="auto"/>
            <w:noWrap/>
            <w:vAlign w:val="bottom"/>
            <w:hideMark/>
          </w:tcPr>
          <w:p w14:paraId="4823466B"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3.0</w:t>
            </w:r>
          </w:p>
        </w:tc>
      </w:tr>
      <w:tr w:rsidR="00463A75" w:rsidRPr="003E76E7" w14:paraId="18C3BC6E" w14:textId="77777777" w:rsidTr="00B17397">
        <w:trPr>
          <w:trHeight w:val="225"/>
        </w:trPr>
        <w:tc>
          <w:tcPr>
            <w:tcW w:w="3119" w:type="dxa"/>
            <w:tcBorders>
              <w:top w:val="nil"/>
              <w:left w:val="nil"/>
              <w:bottom w:val="single" w:sz="4" w:space="0" w:color="auto"/>
              <w:right w:val="nil"/>
            </w:tcBorders>
            <w:shd w:val="clear" w:color="auto" w:fill="auto"/>
            <w:vAlign w:val="bottom"/>
            <w:hideMark/>
          </w:tcPr>
          <w:p w14:paraId="2595332C"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Total</w:t>
            </w:r>
          </w:p>
        </w:tc>
        <w:tc>
          <w:tcPr>
            <w:tcW w:w="1911" w:type="dxa"/>
            <w:tcBorders>
              <w:top w:val="nil"/>
              <w:left w:val="nil"/>
              <w:bottom w:val="single" w:sz="4" w:space="0" w:color="auto"/>
              <w:right w:val="nil"/>
            </w:tcBorders>
            <w:shd w:val="clear" w:color="auto" w:fill="auto"/>
            <w:noWrap/>
            <w:vAlign w:val="bottom"/>
            <w:hideMark/>
          </w:tcPr>
          <w:p w14:paraId="67D8E364"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 </w:t>
            </w:r>
          </w:p>
        </w:tc>
        <w:tc>
          <w:tcPr>
            <w:tcW w:w="1141" w:type="dxa"/>
            <w:tcBorders>
              <w:top w:val="nil"/>
              <w:left w:val="nil"/>
              <w:bottom w:val="single" w:sz="4" w:space="0" w:color="auto"/>
              <w:right w:val="nil"/>
            </w:tcBorders>
            <w:shd w:val="clear" w:color="auto" w:fill="auto"/>
            <w:noWrap/>
            <w:vAlign w:val="bottom"/>
            <w:hideMark/>
          </w:tcPr>
          <w:p w14:paraId="06986D51"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351.7</w:t>
            </w:r>
          </w:p>
        </w:tc>
        <w:tc>
          <w:tcPr>
            <w:tcW w:w="1462" w:type="dxa"/>
            <w:tcBorders>
              <w:top w:val="nil"/>
              <w:left w:val="nil"/>
              <w:bottom w:val="single" w:sz="4" w:space="0" w:color="auto"/>
              <w:right w:val="nil"/>
            </w:tcBorders>
            <w:shd w:val="clear" w:color="auto" w:fill="auto"/>
            <w:noWrap/>
            <w:vAlign w:val="bottom"/>
            <w:hideMark/>
          </w:tcPr>
          <w:p w14:paraId="20A664D0"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28.9</w:t>
            </w:r>
          </w:p>
        </w:tc>
        <w:tc>
          <w:tcPr>
            <w:tcW w:w="1313" w:type="dxa"/>
            <w:tcBorders>
              <w:top w:val="nil"/>
              <w:left w:val="nil"/>
              <w:bottom w:val="single" w:sz="4" w:space="0" w:color="auto"/>
              <w:right w:val="nil"/>
            </w:tcBorders>
            <w:shd w:val="clear" w:color="auto" w:fill="auto"/>
            <w:noWrap/>
            <w:vAlign w:val="bottom"/>
            <w:hideMark/>
          </w:tcPr>
          <w:p w14:paraId="2A7655BB"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150.7</w:t>
            </w:r>
          </w:p>
        </w:tc>
      </w:tr>
      <w:tr w:rsidR="00463A75" w:rsidRPr="003E76E7" w14:paraId="332EAAEC" w14:textId="77777777" w:rsidTr="00B17397">
        <w:trPr>
          <w:trHeight w:val="225"/>
        </w:trPr>
        <w:tc>
          <w:tcPr>
            <w:tcW w:w="3119" w:type="dxa"/>
            <w:tcBorders>
              <w:top w:val="single" w:sz="4" w:space="0" w:color="auto"/>
              <w:left w:val="nil"/>
              <w:right w:val="nil"/>
            </w:tcBorders>
            <w:shd w:val="clear" w:color="auto" w:fill="auto"/>
            <w:vAlign w:val="center"/>
          </w:tcPr>
          <w:p w14:paraId="2820851B"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sz w:val="16"/>
                <w:szCs w:val="16"/>
                <w:lang w:val="en-AU"/>
              </w:rPr>
              <w:t xml:space="preserve">Edinburgh Defence Precinct </w:t>
            </w:r>
            <w:r w:rsidRPr="003E76E7">
              <w:rPr>
                <w:rFonts w:ascii="Arial" w:hAnsi="Arial"/>
                <w:b/>
                <w:bCs/>
                <w:sz w:val="16"/>
                <w:szCs w:val="16"/>
                <w:lang w:val="en-AU"/>
              </w:rPr>
              <w:br/>
              <w:t>Mid-Term Refresh</w:t>
            </w:r>
          </w:p>
        </w:tc>
        <w:tc>
          <w:tcPr>
            <w:tcW w:w="1911" w:type="dxa"/>
            <w:tcBorders>
              <w:top w:val="single" w:sz="4" w:space="0" w:color="auto"/>
              <w:left w:val="nil"/>
              <w:right w:val="nil"/>
            </w:tcBorders>
            <w:shd w:val="clear" w:color="auto" w:fill="auto"/>
            <w:noWrap/>
            <w:vAlign w:val="center"/>
          </w:tcPr>
          <w:p w14:paraId="029F18AE"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sz w:val="16"/>
                <w:szCs w:val="16"/>
                <w:lang w:val="en-AU"/>
              </w:rPr>
              <w:t> </w:t>
            </w:r>
          </w:p>
        </w:tc>
        <w:tc>
          <w:tcPr>
            <w:tcW w:w="1141" w:type="dxa"/>
            <w:tcBorders>
              <w:top w:val="single" w:sz="4" w:space="0" w:color="auto"/>
              <w:left w:val="nil"/>
              <w:right w:val="nil"/>
            </w:tcBorders>
            <w:shd w:val="clear" w:color="auto" w:fill="auto"/>
            <w:noWrap/>
            <w:vAlign w:val="center"/>
          </w:tcPr>
          <w:p w14:paraId="2C8283B5"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sz w:val="16"/>
                <w:szCs w:val="16"/>
                <w:lang w:val="en-AU"/>
              </w:rPr>
              <w:t> </w:t>
            </w:r>
          </w:p>
        </w:tc>
        <w:tc>
          <w:tcPr>
            <w:tcW w:w="1462" w:type="dxa"/>
            <w:tcBorders>
              <w:top w:val="single" w:sz="4" w:space="0" w:color="auto"/>
              <w:left w:val="nil"/>
              <w:right w:val="nil"/>
            </w:tcBorders>
            <w:shd w:val="clear" w:color="auto" w:fill="auto"/>
            <w:noWrap/>
            <w:vAlign w:val="center"/>
          </w:tcPr>
          <w:p w14:paraId="26038EF3"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sz w:val="16"/>
                <w:szCs w:val="16"/>
                <w:lang w:val="en-AU"/>
              </w:rPr>
              <w:t> </w:t>
            </w:r>
          </w:p>
        </w:tc>
        <w:tc>
          <w:tcPr>
            <w:tcW w:w="1313" w:type="dxa"/>
            <w:tcBorders>
              <w:top w:val="single" w:sz="4" w:space="0" w:color="auto"/>
              <w:left w:val="nil"/>
              <w:right w:val="nil"/>
            </w:tcBorders>
            <w:shd w:val="clear" w:color="auto" w:fill="auto"/>
            <w:noWrap/>
            <w:vAlign w:val="center"/>
          </w:tcPr>
          <w:p w14:paraId="718FC2BC"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sz w:val="16"/>
                <w:szCs w:val="16"/>
                <w:lang w:val="en-AU"/>
              </w:rPr>
              <w:t> </w:t>
            </w:r>
          </w:p>
        </w:tc>
      </w:tr>
      <w:tr w:rsidR="00463A75" w:rsidRPr="003E76E7" w14:paraId="01BE19AD" w14:textId="77777777" w:rsidTr="00B17397">
        <w:trPr>
          <w:trHeight w:val="225"/>
        </w:trPr>
        <w:tc>
          <w:tcPr>
            <w:tcW w:w="3119" w:type="dxa"/>
            <w:tcBorders>
              <w:top w:val="nil"/>
              <w:left w:val="nil"/>
              <w:bottom w:val="single" w:sz="4" w:space="0" w:color="auto"/>
              <w:right w:val="nil"/>
            </w:tcBorders>
            <w:shd w:val="clear" w:color="auto" w:fill="auto"/>
            <w:vAlign w:val="bottom"/>
          </w:tcPr>
          <w:p w14:paraId="205FE6B2"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color w:val="000000"/>
                <w:sz w:val="16"/>
                <w:szCs w:val="16"/>
                <w:lang w:val="en-AU"/>
              </w:rPr>
              <w:t>RAAF Base Edinburgh</w:t>
            </w:r>
          </w:p>
        </w:tc>
        <w:tc>
          <w:tcPr>
            <w:tcW w:w="1911" w:type="dxa"/>
            <w:tcBorders>
              <w:top w:val="nil"/>
              <w:left w:val="nil"/>
              <w:bottom w:val="single" w:sz="4" w:space="0" w:color="auto"/>
              <w:right w:val="nil"/>
            </w:tcBorders>
            <w:shd w:val="clear" w:color="auto" w:fill="auto"/>
            <w:noWrap/>
            <w:vAlign w:val="bottom"/>
          </w:tcPr>
          <w:p w14:paraId="1A21EEAB"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color w:val="000000"/>
                <w:sz w:val="16"/>
                <w:szCs w:val="16"/>
                <w:lang w:val="en-AU"/>
              </w:rPr>
              <w:t>SA - Spence</w:t>
            </w:r>
          </w:p>
        </w:tc>
        <w:tc>
          <w:tcPr>
            <w:tcW w:w="1141" w:type="dxa"/>
            <w:tcBorders>
              <w:top w:val="nil"/>
              <w:left w:val="nil"/>
              <w:bottom w:val="single" w:sz="4" w:space="0" w:color="auto"/>
              <w:right w:val="nil"/>
            </w:tcBorders>
            <w:shd w:val="clear" w:color="auto" w:fill="auto"/>
            <w:noWrap/>
            <w:vAlign w:val="bottom"/>
          </w:tcPr>
          <w:p w14:paraId="22CDCBD9"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311.9</w:t>
            </w:r>
          </w:p>
        </w:tc>
        <w:tc>
          <w:tcPr>
            <w:tcW w:w="1462" w:type="dxa"/>
            <w:tcBorders>
              <w:top w:val="nil"/>
              <w:left w:val="nil"/>
              <w:bottom w:val="single" w:sz="4" w:space="0" w:color="auto"/>
              <w:right w:val="nil"/>
            </w:tcBorders>
            <w:shd w:val="clear" w:color="auto" w:fill="auto"/>
            <w:noWrap/>
            <w:vAlign w:val="bottom"/>
          </w:tcPr>
          <w:p w14:paraId="4C120060"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86.9</w:t>
            </w:r>
          </w:p>
        </w:tc>
        <w:tc>
          <w:tcPr>
            <w:tcW w:w="1313" w:type="dxa"/>
            <w:tcBorders>
              <w:top w:val="nil"/>
              <w:left w:val="nil"/>
              <w:bottom w:val="single" w:sz="4" w:space="0" w:color="auto"/>
              <w:right w:val="nil"/>
            </w:tcBorders>
            <w:shd w:val="clear" w:color="auto" w:fill="auto"/>
            <w:noWrap/>
            <w:vAlign w:val="bottom"/>
          </w:tcPr>
          <w:p w14:paraId="69A533B8"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92.8</w:t>
            </w:r>
          </w:p>
        </w:tc>
      </w:tr>
      <w:tr w:rsidR="00463A75" w:rsidRPr="003E76E7" w14:paraId="75321118" w14:textId="77777777" w:rsidTr="00B17397">
        <w:trPr>
          <w:trHeight w:val="225"/>
        </w:trPr>
        <w:tc>
          <w:tcPr>
            <w:tcW w:w="3119" w:type="dxa"/>
            <w:tcBorders>
              <w:top w:val="single" w:sz="4" w:space="0" w:color="auto"/>
              <w:left w:val="nil"/>
              <w:right w:val="nil"/>
            </w:tcBorders>
            <w:shd w:val="clear" w:color="auto" w:fill="auto"/>
            <w:vAlign w:val="center"/>
          </w:tcPr>
          <w:p w14:paraId="74EBB0AD" w14:textId="2642E651"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xml:space="preserve">Guided Weapons </w:t>
            </w:r>
            <w:r w:rsidR="00B17397" w:rsidRPr="003E76E7">
              <w:rPr>
                <w:rFonts w:ascii="Arial" w:hAnsi="Arial"/>
                <w:b/>
                <w:bCs/>
                <w:color w:val="000000"/>
                <w:sz w:val="16"/>
                <w:szCs w:val="16"/>
                <w:lang w:val="en-AU"/>
              </w:rPr>
              <w:br/>
            </w:r>
            <w:r w:rsidRPr="003E76E7">
              <w:rPr>
                <w:rFonts w:ascii="Arial" w:hAnsi="Arial"/>
                <w:b/>
                <w:bCs/>
                <w:color w:val="000000"/>
                <w:sz w:val="16"/>
                <w:szCs w:val="16"/>
                <w:lang w:val="en-AU"/>
              </w:rPr>
              <w:t xml:space="preserve">Explosive Ordnance Storage </w:t>
            </w:r>
          </w:p>
        </w:tc>
        <w:tc>
          <w:tcPr>
            <w:tcW w:w="1911" w:type="dxa"/>
            <w:tcBorders>
              <w:top w:val="single" w:sz="4" w:space="0" w:color="auto"/>
              <w:left w:val="nil"/>
              <w:right w:val="nil"/>
            </w:tcBorders>
            <w:shd w:val="clear" w:color="auto" w:fill="auto"/>
            <w:noWrap/>
            <w:vAlign w:val="center"/>
          </w:tcPr>
          <w:p w14:paraId="10E5CAD9"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 </w:t>
            </w:r>
          </w:p>
        </w:tc>
        <w:tc>
          <w:tcPr>
            <w:tcW w:w="1141" w:type="dxa"/>
            <w:tcBorders>
              <w:top w:val="single" w:sz="4" w:space="0" w:color="auto"/>
              <w:left w:val="nil"/>
              <w:right w:val="nil"/>
            </w:tcBorders>
            <w:shd w:val="clear" w:color="auto" w:fill="auto"/>
            <w:noWrap/>
            <w:vAlign w:val="center"/>
          </w:tcPr>
          <w:p w14:paraId="5AA3A3E6"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 </w:t>
            </w:r>
          </w:p>
        </w:tc>
        <w:tc>
          <w:tcPr>
            <w:tcW w:w="1462" w:type="dxa"/>
            <w:tcBorders>
              <w:top w:val="single" w:sz="4" w:space="0" w:color="auto"/>
              <w:left w:val="nil"/>
              <w:right w:val="nil"/>
            </w:tcBorders>
            <w:shd w:val="clear" w:color="auto" w:fill="auto"/>
            <w:noWrap/>
            <w:vAlign w:val="center"/>
          </w:tcPr>
          <w:p w14:paraId="52D389D1"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 </w:t>
            </w:r>
          </w:p>
        </w:tc>
        <w:tc>
          <w:tcPr>
            <w:tcW w:w="1313" w:type="dxa"/>
            <w:tcBorders>
              <w:top w:val="single" w:sz="4" w:space="0" w:color="auto"/>
              <w:left w:val="nil"/>
              <w:right w:val="nil"/>
            </w:tcBorders>
            <w:shd w:val="clear" w:color="auto" w:fill="auto"/>
            <w:noWrap/>
            <w:vAlign w:val="center"/>
          </w:tcPr>
          <w:p w14:paraId="185AF9E9"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 </w:t>
            </w:r>
          </w:p>
        </w:tc>
      </w:tr>
      <w:tr w:rsidR="00463A75" w:rsidRPr="003E76E7" w14:paraId="7BCBA978" w14:textId="77777777" w:rsidTr="00B17397">
        <w:trPr>
          <w:trHeight w:val="225"/>
        </w:trPr>
        <w:tc>
          <w:tcPr>
            <w:tcW w:w="3119" w:type="dxa"/>
            <w:tcBorders>
              <w:top w:val="nil"/>
              <w:left w:val="nil"/>
              <w:right w:val="nil"/>
            </w:tcBorders>
            <w:shd w:val="clear" w:color="auto" w:fill="auto"/>
            <w:vAlign w:val="bottom"/>
          </w:tcPr>
          <w:p w14:paraId="1CC6C16E" w14:textId="3872CD9E" w:rsidR="00463A75" w:rsidRPr="003E76E7" w:rsidRDefault="00463A75" w:rsidP="00C4292D">
            <w:pPr>
              <w:spacing w:before="0" w:after="0"/>
              <w:rPr>
                <w:rFonts w:ascii="Arial" w:hAnsi="Arial"/>
                <w:b/>
                <w:bCs/>
                <w:color w:val="000000"/>
                <w:sz w:val="16"/>
                <w:szCs w:val="16"/>
                <w:lang w:val="en-AU"/>
              </w:rPr>
            </w:pPr>
            <w:r w:rsidRPr="003E76E7">
              <w:rPr>
                <w:rFonts w:ascii="Arial" w:hAnsi="Arial"/>
                <w:color w:val="000000"/>
                <w:sz w:val="16"/>
                <w:szCs w:val="16"/>
                <w:lang w:val="en-AU"/>
              </w:rPr>
              <w:t xml:space="preserve">Defence Establishment </w:t>
            </w:r>
            <w:r w:rsidR="00B17397" w:rsidRPr="003E76E7">
              <w:rPr>
                <w:rFonts w:ascii="Arial" w:hAnsi="Arial"/>
                <w:color w:val="000000"/>
                <w:sz w:val="16"/>
                <w:szCs w:val="16"/>
                <w:lang w:val="en-AU"/>
              </w:rPr>
              <w:br/>
            </w:r>
            <w:r w:rsidRPr="003E76E7">
              <w:rPr>
                <w:rFonts w:ascii="Arial" w:hAnsi="Arial"/>
                <w:color w:val="000000"/>
                <w:sz w:val="16"/>
                <w:szCs w:val="16"/>
                <w:lang w:val="en-AU"/>
              </w:rPr>
              <w:t>Orchard Hills</w:t>
            </w:r>
          </w:p>
        </w:tc>
        <w:tc>
          <w:tcPr>
            <w:tcW w:w="1911" w:type="dxa"/>
            <w:tcBorders>
              <w:top w:val="nil"/>
              <w:left w:val="nil"/>
              <w:right w:val="nil"/>
            </w:tcBorders>
            <w:shd w:val="clear" w:color="auto" w:fill="auto"/>
            <w:noWrap/>
            <w:vAlign w:val="bottom"/>
          </w:tcPr>
          <w:p w14:paraId="0FF7483E"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color w:val="000000"/>
                <w:sz w:val="16"/>
                <w:szCs w:val="16"/>
                <w:lang w:val="en-AU"/>
              </w:rPr>
              <w:t>NSW - Lindsay</w:t>
            </w:r>
          </w:p>
        </w:tc>
        <w:tc>
          <w:tcPr>
            <w:tcW w:w="1141" w:type="dxa"/>
            <w:tcBorders>
              <w:top w:val="nil"/>
              <w:left w:val="nil"/>
              <w:right w:val="nil"/>
            </w:tcBorders>
            <w:shd w:val="clear" w:color="auto" w:fill="auto"/>
            <w:noWrap/>
            <w:vAlign w:val="bottom"/>
          </w:tcPr>
          <w:p w14:paraId="1C9B3D9B" w14:textId="77777777" w:rsidR="00463A75" w:rsidRPr="003E76E7" w:rsidRDefault="00463A75" w:rsidP="00C4292D">
            <w:pPr>
              <w:spacing w:before="0" w:after="0"/>
              <w:jc w:val="right"/>
              <w:rPr>
                <w:rFonts w:ascii="Arial" w:hAnsi="Arial"/>
                <w:b/>
                <w:bCs/>
                <w:color w:val="000000"/>
                <w:sz w:val="16"/>
                <w:szCs w:val="16"/>
                <w:lang w:val="en-AU"/>
              </w:rPr>
            </w:pPr>
          </w:p>
        </w:tc>
        <w:tc>
          <w:tcPr>
            <w:tcW w:w="1462" w:type="dxa"/>
            <w:tcBorders>
              <w:top w:val="nil"/>
              <w:left w:val="nil"/>
              <w:right w:val="nil"/>
            </w:tcBorders>
            <w:shd w:val="clear" w:color="auto" w:fill="auto"/>
            <w:noWrap/>
            <w:vAlign w:val="bottom"/>
          </w:tcPr>
          <w:p w14:paraId="0A9716F0"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color w:val="000000"/>
                <w:sz w:val="16"/>
                <w:szCs w:val="16"/>
                <w:lang w:val="en-AU"/>
              </w:rPr>
              <w:t>76.6</w:t>
            </w:r>
          </w:p>
        </w:tc>
        <w:tc>
          <w:tcPr>
            <w:tcW w:w="1313" w:type="dxa"/>
            <w:tcBorders>
              <w:top w:val="nil"/>
              <w:left w:val="nil"/>
              <w:right w:val="nil"/>
            </w:tcBorders>
            <w:shd w:val="clear" w:color="auto" w:fill="auto"/>
            <w:noWrap/>
            <w:vAlign w:val="bottom"/>
          </w:tcPr>
          <w:p w14:paraId="6157AE6E"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color w:val="000000"/>
                <w:sz w:val="16"/>
                <w:szCs w:val="16"/>
                <w:lang w:val="en-AU"/>
              </w:rPr>
              <w:t>110.6</w:t>
            </w:r>
          </w:p>
        </w:tc>
      </w:tr>
      <w:tr w:rsidR="00463A75" w:rsidRPr="003E76E7" w14:paraId="13262B2C" w14:textId="77777777" w:rsidTr="00B17397">
        <w:trPr>
          <w:trHeight w:val="225"/>
        </w:trPr>
        <w:tc>
          <w:tcPr>
            <w:tcW w:w="3119" w:type="dxa"/>
            <w:tcBorders>
              <w:top w:val="nil"/>
              <w:left w:val="nil"/>
              <w:right w:val="nil"/>
            </w:tcBorders>
            <w:shd w:val="clear" w:color="auto" w:fill="auto"/>
            <w:vAlign w:val="bottom"/>
          </w:tcPr>
          <w:p w14:paraId="4F3155EE"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color w:val="000000"/>
                <w:sz w:val="16"/>
                <w:szCs w:val="16"/>
                <w:lang w:val="en-AU"/>
              </w:rPr>
              <w:t>RAAF Base Amberley</w:t>
            </w:r>
          </w:p>
        </w:tc>
        <w:tc>
          <w:tcPr>
            <w:tcW w:w="1911" w:type="dxa"/>
            <w:tcBorders>
              <w:top w:val="nil"/>
              <w:left w:val="nil"/>
              <w:right w:val="nil"/>
            </w:tcBorders>
            <w:shd w:val="clear" w:color="auto" w:fill="auto"/>
            <w:noWrap/>
            <w:vAlign w:val="bottom"/>
          </w:tcPr>
          <w:p w14:paraId="32BA76AF"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color w:val="000000"/>
                <w:sz w:val="16"/>
                <w:szCs w:val="16"/>
                <w:lang w:val="en-AU"/>
              </w:rPr>
              <w:t>QLD - Blair</w:t>
            </w:r>
          </w:p>
        </w:tc>
        <w:tc>
          <w:tcPr>
            <w:tcW w:w="1141" w:type="dxa"/>
            <w:tcBorders>
              <w:top w:val="nil"/>
              <w:left w:val="nil"/>
              <w:right w:val="nil"/>
            </w:tcBorders>
            <w:shd w:val="clear" w:color="auto" w:fill="auto"/>
            <w:noWrap/>
            <w:vAlign w:val="bottom"/>
          </w:tcPr>
          <w:p w14:paraId="3667EEA4" w14:textId="77777777" w:rsidR="00463A75" w:rsidRPr="003E76E7" w:rsidRDefault="00463A75" w:rsidP="00C4292D">
            <w:pPr>
              <w:spacing w:before="0" w:after="0"/>
              <w:jc w:val="right"/>
              <w:rPr>
                <w:rFonts w:ascii="Arial" w:hAnsi="Arial"/>
                <w:b/>
                <w:bCs/>
                <w:color w:val="000000"/>
                <w:sz w:val="16"/>
                <w:szCs w:val="16"/>
                <w:lang w:val="en-AU"/>
              </w:rPr>
            </w:pPr>
          </w:p>
        </w:tc>
        <w:tc>
          <w:tcPr>
            <w:tcW w:w="1462" w:type="dxa"/>
            <w:tcBorders>
              <w:top w:val="nil"/>
              <w:left w:val="nil"/>
              <w:right w:val="nil"/>
            </w:tcBorders>
            <w:shd w:val="clear" w:color="auto" w:fill="auto"/>
            <w:noWrap/>
            <w:vAlign w:val="bottom"/>
          </w:tcPr>
          <w:p w14:paraId="4C3AE5F7"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color w:val="000000"/>
                <w:sz w:val="16"/>
                <w:szCs w:val="16"/>
                <w:lang w:val="en-AU"/>
              </w:rPr>
              <w:t>14.6</w:t>
            </w:r>
          </w:p>
        </w:tc>
        <w:tc>
          <w:tcPr>
            <w:tcW w:w="1313" w:type="dxa"/>
            <w:tcBorders>
              <w:top w:val="nil"/>
              <w:left w:val="nil"/>
              <w:right w:val="nil"/>
            </w:tcBorders>
            <w:shd w:val="clear" w:color="auto" w:fill="auto"/>
            <w:noWrap/>
            <w:vAlign w:val="bottom"/>
          </w:tcPr>
          <w:p w14:paraId="0A950D26"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color w:val="000000"/>
                <w:sz w:val="16"/>
                <w:szCs w:val="16"/>
                <w:lang w:val="en-AU"/>
              </w:rPr>
              <w:t>1.1</w:t>
            </w:r>
          </w:p>
        </w:tc>
      </w:tr>
      <w:tr w:rsidR="00463A75" w:rsidRPr="003E76E7" w14:paraId="507F97D8" w14:textId="77777777" w:rsidTr="00B17397">
        <w:trPr>
          <w:trHeight w:val="225"/>
        </w:trPr>
        <w:tc>
          <w:tcPr>
            <w:tcW w:w="3119" w:type="dxa"/>
            <w:tcBorders>
              <w:top w:val="nil"/>
              <w:left w:val="nil"/>
              <w:right w:val="nil"/>
            </w:tcBorders>
            <w:shd w:val="clear" w:color="auto" w:fill="auto"/>
            <w:vAlign w:val="bottom"/>
          </w:tcPr>
          <w:p w14:paraId="3A52EB96"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color w:val="000000"/>
                <w:sz w:val="16"/>
                <w:szCs w:val="16"/>
                <w:lang w:val="en-AU"/>
              </w:rPr>
              <w:t xml:space="preserve">HMAS </w:t>
            </w:r>
            <w:r w:rsidRPr="00C210BD">
              <w:rPr>
                <w:rFonts w:ascii="Arial" w:hAnsi="Arial"/>
                <w:iCs/>
                <w:color w:val="000000"/>
                <w:sz w:val="16"/>
                <w:szCs w:val="16"/>
                <w:lang w:val="en-AU"/>
              </w:rPr>
              <w:t>Stirling</w:t>
            </w:r>
          </w:p>
        </w:tc>
        <w:tc>
          <w:tcPr>
            <w:tcW w:w="1911" w:type="dxa"/>
            <w:tcBorders>
              <w:top w:val="nil"/>
              <w:left w:val="nil"/>
              <w:right w:val="nil"/>
            </w:tcBorders>
            <w:shd w:val="clear" w:color="auto" w:fill="auto"/>
            <w:noWrap/>
            <w:vAlign w:val="bottom"/>
          </w:tcPr>
          <w:p w14:paraId="1A24A09A"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color w:val="000000"/>
                <w:sz w:val="16"/>
                <w:szCs w:val="16"/>
                <w:lang w:val="en-AU"/>
              </w:rPr>
              <w:t>WA - Brand</w:t>
            </w:r>
          </w:p>
        </w:tc>
        <w:tc>
          <w:tcPr>
            <w:tcW w:w="1141" w:type="dxa"/>
            <w:tcBorders>
              <w:top w:val="nil"/>
              <w:left w:val="nil"/>
              <w:right w:val="nil"/>
            </w:tcBorders>
            <w:shd w:val="clear" w:color="auto" w:fill="auto"/>
            <w:noWrap/>
            <w:vAlign w:val="bottom"/>
          </w:tcPr>
          <w:p w14:paraId="0A31F5E3" w14:textId="77777777" w:rsidR="00463A75" w:rsidRPr="003E76E7" w:rsidRDefault="00463A75" w:rsidP="00C4292D">
            <w:pPr>
              <w:spacing w:before="0" w:after="0"/>
              <w:jc w:val="right"/>
              <w:rPr>
                <w:rFonts w:ascii="Arial" w:hAnsi="Arial"/>
                <w:b/>
                <w:bCs/>
                <w:color w:val="000000"/>
                <w:sz w:val="16"/>
                <w:szCs w:val="16"/>
                <w:lang w:val="en-AU"/>
              </w:rPr>
            </w:pPr>
          </w:p>
        </w:tc>
        <w:tc>
          <w:tcPr>
            <w:tcW w:w="1462" w:type="dxa"/>
            <w:tcBorders>
              <w:top w:val="nil"/>
              <w:left w:val="nil"/>
              <w:right w:val="nil"/>
            </w:tcBorders>
            <w:shd w:val="clear" w:color="auto" w:fill="auto"/>
            <w:noWrap/>
            <w:vAlign w:val="bottom"/>
          </w:tcPr>
          <w:p w14:paraId="39B2B2F2"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color w:val="000000"/>
                <w:sz w:val="16"/>
                <w:szCs w:val="16"/>
                <w:lang w:val="en-AU"/>
              </w:rPr>
              <w:t>30.8</w:t>
            </w:r>
          </w:p>
        </w:tc>
        <w:tc>
          <w:tcPr>
            <w:tcW w:w="1313" w:type="dxa"/>
            <w:tcBorders>
              <w:top w:val="nil"/>
              <w:left w:val="nil"/>
              <w:right w:val="nil"/>
            </w:tcBorders>
            <w:shd w:val="clear" w:color="auto" w:fill="auto"/>
            <w:noWrap/>
            <w:vAlign w:val="bottom"/>
          </w:tcPr>
          <w:p w14:paraId="1787D192"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color w:val="000000"/>
                <w:sz w:val="16"/>
                <w:szCs w:val="16"/>
                <w:lang w:val="en-AU"/>
              </w:rPr>
              <w:t>2.3</w:t>
            </w:r>
          </w:p>
        </w:tc>
      </w:tr>
      <w:tr w:rsidR="00463A75" w:rsidRPr="003E76E7" w14:paraId="613D9C2A" w14:textId="77777777" w:rsidTr="00B17397">
        <w:trPr>
          <w:trHeight w:val="225"/>
        </w:trPr>
        <w:tc>
          <w:tcPr>
            <w:tcW w:w="3119" w:type="dxa"/>
            <w:tcBorders>
              <w:top w:val="nil"/>
              <w:left w:val="nil"/>
              <w:bottom w:val="single" w:sz="4" w:space="0" w:color="auto"/>
              <w:right w:val="nil"/>
            </w:tcBorders>
            <w:shd w:val="clear" w:color="auto" w:fill="auto"/>
            <w:vAlign w:val="bottom"/>
          </w:tcPr>
          <w:p w14:paraId="49F11016"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Total</w:t>
            </w:r>
          </w:p>
        </w:tc>
        <w:tc>
          <w:tcPr>
            <w:tcW w:w="1911" w:type="dxa"/>
            <w:tcBorders>
              <w:top w:val="nil"/>
              <w:left w:val="nil"/>
              <w:bottom w:val="single" w:sz="4" w:space="0" w:color="auto"/>
              <w:right w:val="nil"/>
            </w:tcBorders>
            <w:shd w:val="clear" w:color="auto" w:fill="auto"/>
            <w:noWrap/>
            <w:vAlign w:val="bottom"/>
          </w:tcPr>
          <w:p w14:paraId="4002F4EF"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color w:val="000000"/>
                <w:sz w:val="16"/>
                <w:szCs w:val="16"/>
                <w:lang w:val="en-AU"/>
              </w:rPr>
              <w:t> </w:t>
            </w:r>
          </w:p>
        </w:tc>
        <w:tc>
          <w:tcPr>
            <w:tcW w:w="1141" w:type="dxa"/>
            <w:tcBorders>
              <w:top w:val="nil"/>
              <w:left w:val="nil"/>
              <w:bottom w:val="single" w:sz="4" w:space="0" w:color="auto"/>
              <w:right w:val="nil"/>
            </w:tcBorders>
            <w:shd w:val="clear" w:color="auto" w:fill="auto"/>
            <w:noWrap/>
            <w:vAlign w:val="bottom"/>
          </w:tcPr>
          <w:p w14:paraId="4C7B3F9A"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302.0</w:t>
            </w:r>
          </w:p>
        </w:tc>
        <w:tc>
          <w:tcPr>
            <w:tcW w:w="1462" w:type="dxa"/>
            <w:tcBorders>
              <w:top w:val="nil"/>
              <w:left w:val="nil"/>
              <w:bottom w:val="single" w:sz="4" w:space="0" w:color="auto"/>
              <w:right w:val="nil"/>
            </w:tcBorders>
            <w:shd w:val="clear" w:color="auto" w:fill="auto"/>
            <w:noWrap/>
            <w:vAlign w:val="bottom"/>
          </w:tcPr>
          <w:p w14:paraId="2F43DB6D"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122.0</w:t>
            </w:r>
          </w:p>
        </w:tc>
        <w:tc>
          <w:tcPr>
            <w:tcW w:w="1313" w:type="dxa"/>
            <w:tcBorders>
              <w:top w:val="nil"/>
              <w:left w:val="nil"/>
              <w:bottom w:val="single" w:sz="4" w:space="0" w:color="auto"/>
              <w:right w:val="nil"/>
            </w:tcBorders>
            <w:shd w:val="clear" w:color="auto" w:fill="auto"/>
            <w:noWrap/>
            <w:vAlign w:val="bottom"/>
          </w:tcPr>
          <w:p w14:paraId="5945AE53"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114.0</w:t>
            </w:r>
          </w:p>
        </w:tc>
      </w:tr>
      <w:tr w:rsidR="00463A75" w:rsidRPr="003E76E7" w14:paraId="53B53E69" w14:textId="77777777" w:rsidTr="00B17397">
        <w:trPr>
          <w:trHeight w:val="225"/>
        </w:trPr>
        <w:tc>
          <w:tcPr>
            <w:tcW w:w="3119" w:type="dxa"/>
            <w:tcBorders>
              <w:top w:val="nil"/>
              <w:left w:val="nil"/>
              <w:bottom w:val="nil"/>
              <w:right w:val="nil"/>
            </w:tcBorders>
            <w:shd w:val="clear" w:color="auto" w:fill="auto"/>
            <w:vAlign w:val="center"/>
            <w:hideMark/>
          </w:tcPr>
          <w:p w14:paraId="139CD452"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Garden Island (East) Critical Infrastructure Recovery Program (CIRP) Stage 2</w:t>
            </w:r>
          </w:p>
        </w:tc>
        <w:tc>
          <w:tcPr>
            <w:tcW w:w="1911" w:type="dxa"/>
            <w:tcBorders>
              <w:top w:val="nil"/>
              <w:left w:val="nil"/>
              <w:bottom w:val="nil"/>
              <w:right w:val="nil"/>
            </w:tcBorders>
            <w:shd w:val="clear" w:color="auto" w:fill="auto"/>
            <w:vAlign w:val="center"/>
            <w:hideMark/>
          </w:tcPr>
          <w:p w14:paraId="028A1832"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141" w:type="dxa"/>
            <w:tcBorders>
              <w:top w:val="nil"/>
              <w:left w:val="nil"/>
              <w:bottom w:val="nil"/>
              <w:right w:val="nil"/>
            </w:tcBorders>
            <w:shd w:val="clear" w:color="auto" w:fill="auto"/>
            <w:vAlign w:val="center"/>
            <w:hideMark/>
          </w:tcPr>
          <w:p w14:paraId="06CEF7CE"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462" w:type="dxa"/>
            <w:tcBorders>
              <w:top w:val="nil"/>
              <w:left w:val="nil"/>
              <w:bottom w:val="nil"/>
              <w:right w:val="nil"/>
            </w:tcBorders>
            <w:shd w:val="clear" w:color="auto" w:fill="auto"/>
            <w:vAlign w:val="center"/>
            <w:hideMark/>
          </w:tcPr>
          <w:p w14:paraId="4D0551CF"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313" w:type="dxa"/>
            <w:tcBorders>
              <w:top w:val="nil"/>
              <w:left w:val="nil"/>
              <w:bottom w:val="nil"/>
              <w:right w:val="nil"/>
            </w:tcBorders>
            <w:shd w:val="clear" w:color="auto" w:fill="auto"/>
            <w:vAlign w:val="center"/>
            <w:hideMark/>
          </w:tcPr>
          <w:p w14:paraId="602056F7"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r>
      <w:tr w:rsidR="00463A75" w:rsidRPr="003E76E7" w14:paraId="2F536BA0" w14:textId="77777777" w:rsidTr="00B17397">
        <w:trPr>
          <w:trHeight w:val="225"/>
        </w:trPr>
        <w:tc>
          <w:tcPr>
            <w:tcW w:w="3119" w:type="dxa"/>
            <w:tcBorders>
              <w:top w:val="nil"/>
              <w:left w:val="nil"/>
              <w:bottom w:val="single" w:sz="4" w:space="0" w:color="auto"/>
              <w:right w:val="nil"/>
            </w:tcBorders>
            <w:shd w:val="clear" w:color="auto" w:fill="auto"/>
            <w:vAlign w:val="bottom"/>
            <w:hideMark/>
          </w:tcPr>
          <w:p w14:paraId="6B282592"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Garden Island Defence Precinct</w:t>
            </w:r>
          </w:p>
        </w:tc>
        <w:tc>
          <w:tcPr>
            <w:tcW w:w="1911" w:type="dxa"/>
            <w:tcBorders>
              <w:top w:val="nil"/>
              <w:left w:val="nil"/>
              <w:bottom w:val="single" w:sz="4" w:space="0" w:color="auto"/>
              <w:right w:val="nil"/>
            </w:tcBorders>
            <w:shd w:val="clear" w:color="auto" w:fill="auto"/>
            <w:noWrap/>
            <w:vAlign w:val="bottom"/>
            <w:hideMark/>
          </w:tcPr>
          <w:p w14:paraId="7E3653A9"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NSW - Wentworth</w:t>
            </w:r>
          </w:p>
        </w:tc>
        <w:tc>
          <w:tcPr>
            <w:tcW w:w="1141" w:type="dxa"/>
            <w:tcBorders>
              <w:top w:val="nil"/>
              <w:left w:val="nil"/>
              <w:bottom w:val="single" w:sz="4" w:space="0" w:color="auto"/>
              <w:right w:val="nil"/>
            </w:tcBorders>
            <w:shd w:val="clear" w:color="auto" w:fill="auto"/>
            <w:noWrap/>
            <w:vAlign w:val="bottom"/>
            <w:hideMark/>
          </w:tcPr>
          <w:p w14:paraId="053483E4"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286.5</w:t>
            </w:r>
          </w:p>
        </w:tc>
        <w:tc>
          <w:tcPr>
            <w:tcW w:w="1462" w:type="dxa"/>
            <w:tcBorders>
              <w:top w:val="nil"/>
              <w:left w:val="nil"/>
              <w:bottom w:val="single" w:sz="4" w:space="0" w:color="auto"/>
              <w:right w:val="nil"/>
            </w:tcBorders>
            <w:shd w:val="clear" w:color="auto" w:fill="auto"/>
            <w:noWrap/>
            <w:vAlign w:val="bottom"/>
            <w:hideMark/>
          </w:tcPr>
          <w:p w14:paraId="4AB4814B"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284.9</w:t>
            </w:r>
          </w:p>
        </w:tc>
        <w:tc>
          <w:tcPr>
            <w:tcW w:w="1313" w:type="dxa"/>
            <w:tcBorders>
              <w:top w:val="nil"/>
              <w:left w:val="nil"/>
              <w:bottom w:val="single" w:sz="4" w:space="0" w:color="auto"/>
              <w:right w:val="nil"/>
            </w:tcBorders>
            <w:shd w:val="clear" w:color="auto" w:fill="auto"/>
            <w:noWrap/>
            <w:vAlign w:val="bottom"/>
            <w:hideMark/>
          </w:tcPr>
          <w:p w14:paraId="09D0EE52"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0.0</w:t>
            </w:r>
          </w:p>
        </w:tc>
      </w:tr>
      <w:tr w:rsidR="00463A75" w:rsidRPr="003E76E7" w14:paraId="7D3CCDE9" w14:textId="77777777" w:rsidTr="00B17397">
        <w:trPr>
          <w:trHeight w:val="225"/>
        </w:trPr>
        <w:tc>
          <w:tcPr>
            <w:tcW w:w="3119" w:type="dxa"/>
            <w:tcBorders>
              <w:top w:val="nil"/>
              <w:left w:val="nil"/>
              <w:bottom w:val="nil"/>
              <w:right w:val="nil"/>
            </w:tcBorders>
            <w:shd w:val="clear" w:color="auto" w:fill="auto"/>
            <w:vAlign w:val="center"/>
            <w:hideMark/>
          </w:tcPr>
          <w:p w14:paraId="2E549691"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Facilities to Support Enhanced Defence Communications</w:t>
            </w:r>
          </w:p>
        </w:tc>
        <w:tc>
          <w:tcPr>
            <w:tcW w:w="1911" w:type="dxa"/>
            <w:tcBorders>
              <w:top w:val="nil"/>
              <w:left w:val="nil"/>
              <w:bottom w:val="nil"/>
              <w:right w:val="nil"/>
            </w:tcBorders>
            <w:shd w:val="clear" w:color="auto" w:fill="auto"/>
            <w:vAlign w:val="center"/>
            <w:hideMark/>
          </w:tcPr>
          <w:p w14:paraId="7E21106A"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141" w:type="dxa"/>
            <w:tcBorders>
              <w:top w:val="nil"/>
              <w:left w:val="nil"/>
              <w:bottom w:val="nil"/>
              <w:right w:val="nil"/>
            </w:tcBorders>
            <w:shd w:val="clear" w:color="auto" w:fill="auto"/>
            <w:vAlign w:val="center"/>
            <w:hideMark/>
          </w:tcPr>
          <w:p w14:paraId="557FA73F"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462" w:type="dxa"/>
            <w:tcBorders>
              <w:top w:val="nil"/>
              <w:left w:val="nil"/>
              <w:bottom w:val="nil"/>
              <w:right w:val="nil"/>
            </w:tcBorders>
            <w:shd w:val="clear" w:color="auto" w:fill="auto"/>
            <w:vAlign w:val="center"/>
            <w:hideMark/>
          </w:tcPr>
          <w:p w14:paraId="1D3FF5BA"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313" w:type="dxa"/>
            <w:tcBorders>
              <w:top w:val="nil"/>
              <w:left w:val="nil"/>
              <w:bottom w:val="nil"/>
              <w:right w:val="nil"/>
            </w:tcBorders>
            <w:shd w:val="clear" w:color="auto" w:fill="auto"/>
            <w:vAlign w:val="center"/>
            <w:hideMark/>
          </w:tcPr>
          <w:p w14:paraId="39C2B23E"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r>
      <w:tr w:rsidR="00463A75" w:rsidRPr="003E76E7" w14:paraId="3E433E67" w14:textId="77777777" w:rsidTr="00B17397">
        <w:trPr>
          <w:trHeight w:val="225"/>
        </w:trPr>
        <w:tc>
          <w:tcPr>
            <w:tcW w:w="3119" w:type="dxa"/>
            <w:tcBorders>
              <w:top w:val="nil"/>
              <w:left w:val="nil"/>
              <w:bottom w:val="nil"/>
              <w:right w:val="nil"/>
            </w:tcBorders>
            <w:shd w:val="clear" w:color="auto" w:fill="auto"/>
            <w:vAlign w:val="bottom"/>
            <w:hideMark/>
          </w:tcPr>
          <w:p w14:paraId="20B4583C"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 xml:space="preserve">HMAS </w:t>
            </w:r>
            <w:r w:rsidRPr="002F62D4">
              <w:rPr>
                <w:rFonts w:ascii="Arial" w:hAnsi="Arial"/>
                <w:iCs/>
                <w:color w:val="000000"/>
                <w:sz w:val="16"/>
                <w:szCs w:val="16"/>
                <w:lang w:val="en-AU"/>
              </w:rPr>
              <w:t>Harman</w:t>
            </w:r>
          </w:p>
        </w:tc>
        <w:tc>
          <w:tcPr>
            <w:tcW w:w="1911" w:type="dxa"/>
            <w:tcBorders>
              <w:top w:val="nil"/>
              <w:left w:val="nil"/>
              <w:bottom w:val="nil"/>
              <w:right w:val="nil"/>
            </w:tcBorders>
            <w:shd w:val="clear" w:color="auto" w:fill="auto"/>
            <w:noWrap/>
            <w:vAlign w:val="bottom"/>
            <w:hideMark/>
          </w:tcPr>
          <w:p w14:paraId="41A9C18D"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ACT - Bean</w:t>
            </w:r>
          </w:p>
        </w:tc>
        <w:tc>
          <w:tcPr>
            <w:tcW w:w="1141" w:type="dxa"/>
            <w:tcBorders>
              <w:top w:val="nil"/>
              <w:left w:val="nil"/>
              <w:bottom w:val="nil"/>
              <w:right w:val="nil"/>
            </w:tcBorders>
            <w:shd w:val="clear" w:color="auto" w:fill="auto"/>
            <w:noWrap/>
            <w:vAlign w:val="bottom"/>
            <w:hideMark/>
          </w:tcPr>
          <w:p w14:paraId="28730A34" w14:textId="77777777"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605B2768"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0.0</w:t>
            </w:r>
          </w:p>
        </w:tc>
        <w:tc>
          <w:tcPr>
            <w:tcW w:w="1313" w:type="dxa"/>
            <w:tcBorders>
              <w:top w:val="nil"/>
              <w:left w:val="nil"/>
              <w:bottom w:val="nil"/>
              <w:right w:val="nil"/>
            </w:tcBorders>
            <w:shd w:val="clear" w:color="auto" w:fill="auto"/>
            <w:noWrap/>
            <w:vAlign w:val="bottom"/>
            <w:hideMark/>
          </w:tcPr>
          <w:p w14:paraId="2403BBAA"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 xml:space="preserve">                     - </w:t>
            </w:r>
          </w:p>
        </w:tc>
      </w:tr>
      <w:tr w:rsidR="00463A75" w:rsidRPr="003E76E7" w14:paraId="7F76B068" w14:textId="77777777" w:rsidTr="00B17397">
        <w:trPr>
          <w:trHeight w:val="225"/>
        </w:trPr>
        <w:tc>
          <w:tcPr>
            <w:tcW w:w="3119" w:type="dxa"/>
            <w:tcBorders>
              <w:top w:val="nil"/>
              <w:left w:val="nil"/>
              <w:bottom w:val="nil"/>
              <w:right w:val="nil"/>
            </w:tcBorders>
            <w:shd w:val="clear" w:color="auto" w:fill="auto"/>
            <w:vAlign w:val="bottom"/>
            <w:hideMark/>
          </w:tcPr>
          <w:p w14:paraId="34BDC07F"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Russell Offices</w:t>
            </w:r>
          </w:p>
        </w:tc>
        <w:tc>
          <w:tcPr>
            <w:tcW w:w="1911" w:type="dxa"/>
            <w:tcBorders>
              <w:top w:val="nil"/>
              <w:left w:val="nil"/>
              <w:bottom w:val="nil"/>
              <w:right w:val="nil"/>
            </w:tcBorders>
            <w:shd w:val="clear" w:color="auto" w:fill="auto"/>
            <w:noWrap/>
            <w:vAlign w:val="bottom"/>
            <w:hideMark/>
          </w:tcPr>
          <w:p w14:paraId="6E8EA220"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ACT - Canberra</w:t>
            </w:r>
          </w:p>
        </w:tc>
        <w:tc>
          <w:tcPr>
            <w:tcW w:w="1141" w:type="dxa"/>
            <w:tcBorders>
              <w:top w:val="nil"/>
              <w:left w:val="nil"/>
              <w:bottom w:val="nil"/>
              <w:right w:val="nil"/>
            </w:tcBorders>
            <w:shd w:val="clear" w:color="auto" w:fill="auto"/>
            <w:noWrap/>
            <w:vAlign w:val="bottom"/>
            <w:hideMark/>
          </w:tcPr>
          <w:p w14:paraId="70EE853B" w14:textId="77777777"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097A1FF3"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0.0</w:t>
            </w:r>
          </w:p>
        </w:tc>
        <w:tc>
          <w:tcPr>
            <w:tcW w:w="1313" w:type="dxa"/>
            <w:tcBorders>
              <w:top w:val="nil"/>
              <w:left w:val="nil"/>
              <w:bottom w:val="nil"/>
              <w:right w:val="nil"/>
            </w:tcBorders>
            <w:shd w:val="clear" w:color="auto" w:fill="auto"/>
            <w:noWrap/>
            <w:vAlign w:val="bottom"/>
            <w:hideMark/>
          </w:tcPr>
          <w:p w14:paraId="2D2855F7"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 xml:space="preserve">                     - </w:t>
            </w:r>
          </w:p>
        </w:tc>
      </w:tr>
      <w:tr w:rsidR="00463A75" w:rsidRPr="003E76E7" w14:paraId="1B6B3EAF" w14:textId="77777777" w:rsidTr="00B17397">
        <w:trPr>
          <w:trHeight w:val="225"/>
        </w:trPr>
        <w:tc>
          <w:tcPr>
            <w:tcW w:w="3119" w:type="dxa"/>
            <w:tcBorders>
              <w:top w:val="nil"/>
              <w:left w:val="nil"/>
              <w:bottom w:val="nil"/>
              <w:right w:val="nil"/>
            </w:tcBorders>
            <w:shd w:val="clear" w:color="auto" w:fill="auto"/>
            <w:vAlign w:val="bottom"/>
            <w:hideMark/>
          </w:tcPr>
          <w:p w14:paraId="075A7128"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 xml:space="preserve">Riverina Region </w:t>
            </w:r>
          </w:p>
        </w:tc>
        <w:tc>
          <w:tcPr>
            <w:tcW w:w="1911" w:type="dxa"/>
            <w:tcBorders>
              <w:top w:val="nil"/>
              <w:left w:val="nil"/>
              <w:bottom w:val="nil"/>
              <w:right w:val="nil"/>
            </w:tcBorders>
            <w:shd w:val="clear" w:color="auto" w:fill="auto"/>
            <w:noWrap/>
            <w:vAlign w:val="bottom"/>
            <w:hideMark/>
          </w:tcPr>
          <w:p w14:paraId="33B3CA3F"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NSW - Riverina</w:t>
            </w:r>
          </w:p>
        </w:tc>
        <w:tc>
          <w:tcPr>
            <w:tcW w:w="1141" w:type="dxa"/>
            <w:tcBorders>
              <w:top w:val="nil"/>
              <w:left w:val="nil"/>
              <w:bottom w:val="nil"/>
              <w:right w:val="nil"/>
            </w:tcBorders>
            <w:shd w:val="clear" w:color="auto" w:fill="auto"/>
            <w:noWrap/>
            <w:vAlign w:val="bottom"/>
            <w:hideMark/>
          </w:tcPr>
          <w:p w14:paraId="1362AE01" w14:textId="77777777"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4BBA0B0B"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17.9</w:t>
            </w:r>
          </w:p>
        </w:tc>
        <w:tc>
          <w:tcPr>
            <w:tcW w:w="1313" w:type="dxa"/>
            <w:tcBorders>
              <w:top w:val="nil"/>
              <w:left w:val="nil"/>
              <w:bottom w:val="nil"/>
              <w:right w:val="nil"/>
            </w:tcBorders>
            <w:shd w:val="clear" w:color="auto" w:fill="auto"/>
            <w:noWrap/>
            <w:vAlign w:val="bottom"/>
            <w:hideMark/>
          </w:tcPr>
          <w:p w14:paraId="3B46850E"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 xml:space="preserve">                     - </w:t>
            </w:r>
          </w:p>
        </w:tc>
      </w:tr>
      <w:tr w:rsidR="00463A75" w:rsidRPr="003E76E7" w14:paraId="023DFFC9" w14:textId="77777777" w:rsidTr="00B17397">
        <w:trPr>
          <w:trHeight w:val="225"/>
        </w:trPr>
        <w:tc>
          <w:tcPr>
            <w:tcW w:w="3119" w:type="dxa"/>
            <w:tcBorders>
              <w:top w:val="nil"/>
              <w:left w:val="nil"/>
              <w:bottom w:val="nil"/>
              <w:right w:val="nil"/>
            </w:tcBorders>
            <w:shd w:val="clear" w:color="auto" w:fill="auto"/>
            <w:vAlign w:val="bottom"/>
            <w:hideMark/>
          </w:tcPr>
          <w:p w14:paraId="7C5075D2"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 xml:space="preserve">Darwin Region </w:t>
            </w:r>
          </w:p>
        </w:tc>
        <w:tc>
          <w:tcPr>
            <w:tcW w:w="1911" w:type="dxa"/>
            <w:tcBorders>
              <w:top w:val="nil"/>
              <w:left w:val="nil"/>
              <w:bottom w:val="nil"/>
              <w:right w:val="nil"/>
            </w:tcBorders>
            <w:shd w:val="clear" w:color="auto" w:fill="auto"/>
            <w:noWrap/>
            <w:vAlign w:val="bottom"/>
            <w:hideMark/>
          </w:tcPr>
          <w:p w14:paraId="35C4E69C"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NT - Solomon</w:t>
            </w:r>
          </w:p>
        </w:tc>
        <w:tc>
          <w:tcPr>
            <w:tcW w:w="1141" w:type="dxa"/>
            <w:tcBorders>
              <w:top w:val="nil"/>
              <w:left w:val="nil"/>
              <w:bottom w:val="nil"/>
              <w:right w:val="nil"/>
            </w:tcBorders>
            <w:shd w:val="clear" w:color="auto" w:fill="auto"/>
            <w:noWrap/>
            <w:vAlign w:val="bottom"/>
            <w:hideMark/>
          </w:tcPr>
          <w:p w14:paraId="5DCFC91C" w14:textId="77777777"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07631A3B"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41.4</w:t>
            </w:r>
          </w:p>
        </w:tc>
        <w:tc>
          <w:tcPr>
            <w:tcW w:w="1313" w:type="dxa"/>
            <w:tcBorders>
              <w:top w:val="nil"/>
              <w:left w:val="nil"/>
              <w:bottom w:val="nil"/>
              <w:right w:val="nil"/>
            </w:tcBorders>
            <w:shd w:val="clear" w:color="auto" w:fill="auto"/>
            <w:noWrap/>
            <w:vAlign w:val="bottom"/>
            <w:hideMark/>
          </w:tcPr>
          <w:p w14:paraId="7FF201DA"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 xml:space="preserve">                21.8 </w:t>
            </w:r>
          </w:p>
        </w:tc>
      </w:tr>
      <w:tr w:rsidR="00463A75" w:rsidRPr="003E76E7" w14:paraId="19E496B2" w14:textId="77777777" w:rsidTr="00B17397">
        <w:trPr>
          <w:trHeight w:val="225"/>
        </w:trPr>
        <w:tc>
          <w:tcPr>
            <w:tcW w:w="3119" w:type="dxa"/>
            <w:tcBorders>
              <w:top w:val="nil"/>
              <w:left w:val="nil"/>
              <w:bottom w:val="nil"/>
              <w:right w:val="nil"/>
            </w:tcBorders>
            <w:shd w:val="clear" w:color="auto" w:fill="auto"/>
            <w:vAlign w:val="bottom"/>
            <w:hideMark/>
          </w:tcPr>
          <w:p w14:paraId="1F8A719A"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 xml:space="preserve">Townsville Region </w:t>
            </w:r>
          </w:p>
        </w:tc>
        <w:tc>
          <w:tcPr>
            <w:tcW w:w="1911" w:type="dxa"/>
            <w:tcBorders>
              <w:top w:val="nil"/>
              <w:left w:val="nil"/>
              <w:bottom w:val="nil"/>
              <w:right w:val="nil"/>
            </w:tcBorders>
            <w:shd w:val="clear" w:color="auto" w:fill="auto"/>
            <w:noWrap/>
            <w:vAlign w:val="bottom"/>
            <w:hideMark/>
          </w:tcPr>
          <w:p w14:paraId="1D34E18A"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QLD - Herbert</w:t>
            </w:r>
          </w:p>
        </w:tc>
        <w:tc>
          <w:tcPr>
            <w:tcW w:w="1141" w:type="dxa"/>
            <w:tcBorders>
              <w:top w:val="nil"/>
              <w:left w:val="nil"/>
              <w:bottom w:val="nil"/>
              <w:right w:val="nil"/>
            </w:tcBorders>
            <w:shd w:val="clear" w:color="auto" w:fill="auto"/>
            <w:noWrap/>
            <w:vAlign w:val="bottom"/>
            <w:hideMark/>
          </w:tcPr>
          <w:p w14:paraId="10BD2548" w14:textId="77777777"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434BECD5"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27.4</w:t>
            </w:r>
          </w:p>
        </w:tc>
        <w:tc>
          <w:tcPr>
            <w:tcW w:w="1313" w:type="dxa"/>
            <w:tcBorders>
              <w:top w:val="nil"/>
              <w:left w:val="nil"/>
              <w:bottom w:val="nil"/>
              <w:right w:val="nil"/>
            </w:tcBorders>
            <w:shd w:val="clear" w:color="auto" w:fill="auto"/>
            <w:noWrap/>
            <w:vAlign w:val="bottom"/>
            <w:hideMark/>
          </w:tcPr>
          <w:p w14:paraId="52C991A0"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 xml:space="preserve">                     - </w:t>
            </w:r>
          </w:p>
        </w:tc>
      </w:tr>
      <w:tr w:rsidR="00463A75" w:rsidRPr="003E76E7" w14:paraId="21130D2E" w14:textId="77777777" w:rsidTr="00B17397">
        <w:trPr>
          <w:trHeight w:val="225"/>
        </w:trPr>
        <w:tc>
          <w:tcPr>
            <w:tcW w:w="3119" w:type="dxa"/>
            <w:tcBorders>
              <w:top w:val="nil"/>
              <w:left w:val="nil"/>
              <w:bottom w:val="nil"/>
              <w:right w:val="nil"/>
            </w:tcBorders>
            <w:shd w:val="clear" w:color="auto" w:fill="auto"/>
            <w:vAlign w:val="bottom"/>
            <w:hideMark/>
          </w:tcPr>
          <w:p w14:paraId="7175EFE5" w14:textId="77777777" w:rsidR="00463A75" w:rsidRPr="003E76E7" w:rsidRDefault="00463A75" w:rsidP="00C4292D">
            <w:pPr>
              <w:spacing w:before="0" w:after="0"/>
              <w:rPr>
                <w:rFonts w:ascii="Arial" w:hAnsi="Arial"/>
                <w:sz w:val="16"/>
                <w:szCs w:val="16"/>
                <w:lang w:val="en-AU"/>
              </w:rPr>
            </w:pPr>
            <w:r w:rsidRPr="003E76E7">
              <w:rPr>
                <w:rFonts w:ascii="Arial" w:hAnsi="Arial"/>
                <w:sz w:val="16"/>
                <w:szCs w:val="16"/>
                <w:lang w:val="en-AU"/>
              </w:rPr>
              <w:t xml:space="preserve">North West Cape Region </w:t>
            </w:r>
          </w:p>
        </w:tc>
        <w:tc>
          <w:tcPr>
            <w:tcW w:w="1911" w:type="dxa"/>
            <w:tcBorders>
              <w:top w:val="nil"/>
              <w:left w:val="nil"/>
              <w:bottom w:val="nil"/>
              <w:right w:val="nil"/>
            </w:tcBorders>
            <w:shd w:val="clear" w:color="auto" w:fill="auto"/>
            <w:noWrap/>
            <w:vAlign w:val="bottom"/>
            <w:hideMark/>
          </w:tcPr>
          <w:p w14:paraId="54811E19"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WA - Durack</w:t>
            </w:r>
          </w:p>
        </w:tc>
        <w:tc>
          <w:tcPr>
            <w:tcW w:w="1141" w:type="dxa"/>
            <w:tcBorders>
              <w:top w:val="nil"/>
              <w:left w:val="nil"/>
              <w:bottom w:val="nil"/>
              <w:right w:val="nil"/>
            </w:tcBorders>
            <w:shd w:val="clear" w:color="auto" w:fill="auto"/>
            <w:noWrap/>
            <w:vAlign w:val="bottom"/>
            <w:hideMark/>
          </w:tcPr>
          <w:p w14:paraId="786C934C" w14:textId="77777777"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785BD23A"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7.1</w:t>
            </w:r>
          </w:p>
        </w:tc>
        <w:tc>
          <w:tcPr>
            <w:tcW w:w="1313" w:type="dxa"/>
            <w:tcBorders>
              <w:top w:val="nil"/>
              <w:left w:val="nil"/>
              <w:bottom w:val="nil"/>
              <w:right w:val="nil"/>
            </w:tcBorders>
            <w:shd w:val="clear" w:color="auto" w:fill="auto"/>
            <w:noWrap/>
            <w:vAlign w:val="bottom"/>
            <w:hideMark/>
          </w:tcPr>
          <w:p w14:paraId="759CF294"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 xml:space="preserve">                30.1 </w:t>
            </w:r>
          </w:p>
        </w:tc>
      </w:tr>
      <w:tr w:rsidR="00463A75" w:rsidRPr="003E76E7" w14:paraId="1154AC8A" w14:textId="77777777" w:rsidTr="00B17397">
        <w:trPr>
          <w:trHeight w:val="225"/>
        </w:trPr>
        <w:tc>
          <w:tcPr>
            <w:tcW w:w="3119" w:type="dxa"/>
            <w:tcBorders>
              <w:top w:val="nil"/>
              <w:left w:val="nil"/>
              <w:bottom w:val="single" w:sz="4" w:space="0" w:color="auto"/>
              <w:right w:val="nil"/>
            </w:tcBorders>
            <w:shd w:val="clear" w:color="auto" w:fill="auto"/>
            <w:vAlign w:val="bottom"/>
            <w:hideMark/>
          </w:tcPr>
          <w:p w14:paraId="72ED6976"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Total</w:t>
            </w:r>
          </w:p>
        </w:tc>
        <w:tc>
          <w:tcPr>
            <w:tcW w:w="1911" w:type="dxa"/>
            <w:tcBorders>
              <w:top w:val="nil"/>
              <w:left w:val="nil"/>
              <w:bottom w:val="single" w:sz="4" w:space="0" w:color="auto"/>
              <w:right w:val="nil"/>
            </w:tcBorders>
            <w:shd w:val="clear" w:color="auto" w:fill="auto"/>
            <w:noWrap/>
            <w:vAlign w:val="bottom"/>
            <w:hideMark/>
          </w:tcPr>
          <w:p w14:paraId="18F3C636"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 </w:t>
            </w:r>
          </w:p>
        </w:tc>
        <w:tc>
          <w:tcPr>
            <w:tcW w:w="1141" w:type="dxa"/>
            <w:tcBorders>
              <w:top w:val="nil"/>
              <w:left w:val="nil"/>
              <w:bottom w:val="single" w:sz="4" w:space="0" w:color="auto"/>
              <w:right w:val="nil"/>
            </w:tcBorders>
            <w:shd w:val="clear" w:color="auto" w:fill="auto"/>
            <w:noWrap/>
            <w:vAlign w:val="bottom"/>
            <w:hideMark/>
          </w:tcPr>
          <w:p w14:paraId="5B07C049"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280.3</w:t>
            </w:r>
          </w:p>
        </w:tc>
        <w:tc>
          <w:tcPr>
            <w:tcW w:w="1462" w:type="dxa"/>
            <w:tcBorders>
              <w:top w:val="nil"/>
              <w:left w:val="nil"/>
              <w:bottom w:val="single" w:sz="4" w:space="0" w:color="auto"/>
              <w:right w:val="nil"/>
            </w:tcBorders>
            <w:shd w:val="clear" w:color="auto" w:fill="auto"/>
            <w:noWrap/>
            <w:vAlign w:val="bottom"/>
            <w:hideMark/>
          </w:tcPr>
          <w:p w14:paraId="536892F9"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93.8</w:t>
            </w:r>
          </w:p>
        </w:tc>
        <w:tc>
          <w:tcPr>
            <w:tcW w:w="1313" w:type="dxa"/>
            <w:tcBorders>
              <w:top w:val="nil"/>
              <w:left w:val="nil"/>
              <w:bottom w:val="single" w:sz="4" w:space="0" w:color="auto"/>
              <w:right w:val="nil"/>
            </w:tcBorders>
            <w:shd w:val="clear" w:color="auto" w:fill="auto"/>
            <w:noWrap/>
            <w:vAlign w:val="bottom"/>
            <w:hideMark/>
          </w:tcPr>
          <w:p w14:paraId="6DDB4E38"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51.9</w:t>
            </w:r>
          </w:p>
        </w:tc>
      </w:tr>
      <w:tr w:rsidR="00463A75" w:rsidRPr="003E76E7" w14:paraId="4DD74370" w14:textId="77777777" w:rsidTr="00B17397">
        <w:trPr>
          <w:trHeight w:val="225"/>
        </w:trPr>
        <w:tc>
          <w:tcPr>
            <w:tcW w:w="3119" w:type="dxa"/>
            <w:tcBorders>
              <w:top w:val="nil"/>
              <w:left w:val="nil"/>
              <w:bottom w:val="nil"/>
              <w:right w:val="nil"/>
            </w:tcBorders>
            <w:shd w:val="clear" w:color="auto" w:fill="auto"/>
            <w:vAlign w:val="center"/>
            <w:hideMark/>
          </w:tcPr>
          <w:p w14:paraId="786BD6B6" w14:textId="641BE539"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xml:space="preserve">Facilities to Support LAND 19 </w:t>
            </w:r>
            <w:r w:rsidRPr="003E76E7">
              <w:rPr>
                <w:rFonts w:ascii="Arial" w:hAnsi="Arial"/>
                <w:b/>
                <w:bCs/>
                <w:color w:val="000000"/>
                <w:sz w:val="16"/>
                <w:szCs w:val="16"/>
                <w:lang w:val="en-AU"/>
              </w:rPr>
              <w:br/>
              <w:t xml:space="preserve">Phase 7B Short Range </w:t>
            </w:r>
            <w:r w:rsidR="00A37D48" w:rsidRPr="003E76E7">
              <w:rPr>
                <w:rFonts w:ascii="Arial" w:hAnsi="Arial"/>
                <w:b/>
                <w:bCs/>
                <w:color w:val="000000"/>
                <w:sz w:val="16"/>
                <w:szCs w:val="16"/>
                <w:lang w:val="en-AU"/>
              </w:rPr>
              <w:br/>
            </w:r>
            <w:r w:rsidRPr="003E76E7">
              <w:rPr>
                <w:rFonts w:ascii="Arial" w:hAnsi="Arial"/>
                <w:b/>
                <w:bCs/>
                <w:color w:val="000000"/>
                <w:sz w:val="16"/>
                <w:szCs w:val="16"/>
                <w:lang w:val="en-AU"/>
              </w:rPr>
              <w:t>Ground Based Air Defence</w:t>
            </w:r>
          </w:p>
        </w:tc>
        <w:tc>
          <w:tcPr>
            <w:tcW w:w="1911" w:type="dxa"/>
            <w:tcBorders>
              <w:top w:val="nil"/>
              <w:left w:val="nil"/>
              <w:bottom w:val="nil"/>
              <w:right w:val="nil"/>
            </w:tcBorders>
            <w:shd w:val="clear" w:color="auto" w:fill="auto"/>
            <w:vAlign w:val="center"/>
            <w:hideMark/>
          </w:tcPr>
          <w:p w14:paraId="5C19073E"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141" w:type="dxa"/>
            <w:tcBorders>
              <w:top w:val="nil"/>
              <w:left w:val="nil"/>
              <w:bottom w:val="nil"/>
              <w:right w:val="nil"/>
            </w:tcBorders>
            <w:shd w:val="clear" w:color="auto" w:fill="auto"/>
            <w:vAlign w:val="center"/>
            <w:hideMark/>
          </w:tcPr>
          <w:p w14:paraId="4737AA91"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462" w:type="dxa"/>
            <w:tcBorders>
              <w:top w:val="nil"/>
              <w:left w:val="nil"/>
              <w:bottom w:val="nil"/>
              <w:right w:val="nil"/>
            </w:tcBorders>
            <w:shd w:val="clear" w:color="auto" w:fill="auto"/>
            <w:vAlign w:val="center"/>
            <w:hideMark/>
          </w:tcPr>
          <w:p w14:paraId="3D975CBC"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313" w:type="dxa"/>
            <w:tcBorders>
              <w:top w:val="nil"/>
              <w:left w:val="nil"/>
              <w:bottom w:val="nil"/>
              <w:right w:val="nil"/>
            </w:tcBorders>
            <w:shd w:val="clear" w:color="auto" w:fill="auto"/>
            <w:vAlign w:val="center"/>
            <w:hideMark/>
          </w:tcPr>
          <w:p w14:paraId="72CD6CE3"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r>
      <w:tr w:rsidR="00463A75" w:rsidRPr="003E76E7" w14:paraId="513A0EA9" w14:textId="77777777" w:rsidTr="00B17397">
        <w:trPr>
          <w:trHeight w:val="225"/>
        </w:trPr>
        <w:tc>
          <w:tcPr>
            <w:tcW w:w="3119" w:type="dxa"/>
            <w:tcBorders>
              <w:top w:val="nil"/>
              <w:left w:val="nil"/>
              <w:bottom w:val="single" w:sz="4" w:space="0" w:color="auto"/>
              <w:right w:val="nil"/>
            </w:tcBorders>
            <w:shd w:val="clear" w:color="auto" w:fill="auto"/>
            <w:vAlign w:val="bottom"/>
            <w:hideMark/>
          </w:tcPr>
          <w:p w14:paraId="56430D02"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RAAF Base Edinburgh</w:t>
            </w:r>
          </w:p>
        </w:tc>
        <w:tc>
          <w:tcPr>
            <w:tcW w:w="1911" w:type="dxa"/>
            <w:tcBorders>
              <w:top w:val="nil"/>
              <w:left w:val="nil"/>
              <w:bottom w:val="single" w:sz="4" w:space="0" w:color="auto"/>
              <w:right w:val="nil"/>
            </w:tcBorders>
            <w:shd w:val="clear" w:color="auto" w:fill="auto"/>
            <w:noWrap/>
            <w:vAlign w:val="bottom"/>
            <w:hideMark/>
          </w:tcPr>
          <w:p w14:paraId="6556E017"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SA - Spence</w:t>
            </w:r>
          </w:p>
        </w:tc>
        <w:tc>
          <w:tcPr>
            <w:tcW w:w="1141" w:type="dxa"/>
            <w:tcBorders>
              <w:top w:val="nil"/>
              <w:left w:val="nil"/>
              <w:bottom w:val="single" w:sz="4" w:space="0" w:color="auto"/>
              <w:right w:val="nil"/>
            </w:tcBorders>
            <w:shd w:val="clear" w:color="auto" w:fill="auto"/>
            <w:noWrap/>
            <w:vAlign w:val="bottom"/>
            <w:hideMark/>
          </w:tcPr>
          <w:p w14:paraId="50DFAE71"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266.1</w:t>
            </w:r>
          </w:p>
        </w:tc>
        <w:tc>
          <w:tcPr>
            <w:tcW w:w="1462" w:type="dxa"/>
            <w:tcBorders>
              <w:top w:val="nil"/>
              <w:left w:val="nil"/>
              <w:bottom w:val="single" w:sz="4" w:space="0" w:color="auto"/>
              <w:right w:val="nil"/>
            </w:tcBorders>
            <w:shd w:val="clear" w:color="auto" w:fill="auto"/>
            <w:noWrap/>
            <w:vAlign w:val="bottom"/>
            <w:hideMark/>
          </w:tcPr>
          <w:p w14:paraId="303407F5"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255.3</w:t>
            </w:r>
          </w:p>
        </w:tc>
        <w:tc>
          <w:tcPr>
            <w:tcW w:w="1313" w:type="dxa"/>
            <w:tcBorders>
              <w:top w:val="nil"/>
              <w:left w:val="nil"/>
              <w:bottom w:val="single" w:sz="4" w:space="0" w:color="auto"/>
              <w:right w:val="nil"/>
            </w:tcBorders>
            <w:shd w:val="clear" w:color="auto" w:fill="auto"/>
            <w:noWrap/>
            <w:vAlign w:val="bottom"/>
            <w:hideMark/>
          </w:tcPr>
          <w:p w14:paraId="572212DA"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color w:val="000000"/>
                <w:sz w:val="16"/>
                <w:szCs w:val="16"/>
                <w:lang w:val="en-AU"/>
              </w:rPr>
              <w:t>0.0</w:t>
            </w:r>
          </w:p>
        </w:tc>
      </w:tr>
      <w:tr w:rsidR="00463A75" w:rsidRPr="003E76E7" w14:paraId="5AFB0F5A" w14:textId="77777777" w:rsidTr="00B17397">
        <w:trPr>
          <w:trHeight w:val="225"/>
        </w:trPr>
        <w:tc>
          <w:tcPr>
            <w:tcW w:w="3119" w:type="dxa"/>
            <w:tcBorders>
              <w:top w:val="nil"/>
              <w:left w:val="nil"/>
              <w:bottom w:val="nil"/>
              <w:right w:val="nil"/>
            </w:tcBorders>
            <w:shd w:val="clear" w:color="auto" w:fill="auto"/>
            <w:vAlign w:val="center"/>
            <w:hideMark/>
          </w:tcPr>
          <w:p w14:paraId="3B513E97"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xml:space="preserve">Airfield Capital Works P0013 </w:t>
            </w:r>
            <w:r w:rsidRPr="003E76E7">
              <w:rPr>
                <w:rFonts w:ascii="Arial" w:hAnsi="Arial"/>
                <w:b/>
                <w:bCs/>
                <w:color w:val="000000"/>
                <w:sz w:val="16"/>
                <w:szCs w:val="16"/>
                <w:lang w:val="en-AU"/>
              </w:rPr>
              <w:br/>
              <w:t>(Curtin and Learmonth)</w:t>
            </w:r>
          </w:p>
        </w:tc>
        <w:tc>
          <w:tcPr>
            <w:tcW w:w="1911" w:type="dxa"/>
            <w:tcBorders>
              <w:top w:val="nil"/>
              <w:left w:val="nil"/>
              <w:bottom w:val="nil"/>
              <w:right w:val="nil"/>
            </w:tcBorders>
            <w:shd w:val="clear" w:color="auto" w:fill="auto"/>
            <w:vAlign w:val="center"/>
            <w:hideMark/>
          </w:tcPr>
          <w:p w14:paraId="36DAEE7D"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141" w:type="dxa"/>
            <w:tcBorders>
              <w:top w:val="nil"/>
              <w:left w:val="nil"/>
              <w:bottom w:val="nil"/>
              <w:right w:val="nil"/>
            </w:tcBorders>
            <w:shd w:val="clear" w:color="auto" w:fill="auto"/>
            <w:vAlign w:val="center"/>
            <w:hideMark/>
          </w:tcPr>
          <w:p w14:paraId="07FBFDC4"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462" w:type="dxa"/>
            <w:tcBorders>
              <w:top w:val="nil"/>
              <w:left w:val="nil"/>
              <w:bottom w:val="nil"/>
              <w:right w:val="nil"/>
            </w:tcBorders>
            <w:shd w:val="clear" w:color="auto" w:fill="auto"/>
            <w:vAlign w:val="center"/>
            <w:hideMark/>
          </w:tcPr>
          <w:p w14:paraId="6942FF33"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313" w:type="dxa"/>
            <w:tcBorders>
              <w:top w:val="nil"/>
              <w:left w:val="nil"/>
              <w:bottom w:val="nil"/>
              <w:right w:val="nil"/>
            </w:tcBorders>
            <w:shd w:val="clear" w:color="auto" w:fill="auto"/>
            <w:vAlign w:val="center"/>
            <w:hideMark/>
          </w:tcPr>
          <w:p w14:paraId="4A452DCE"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r>
      <w:tr w:rsidR="00463A75" w:rsidRPr="003E76E7" w14:paraId="36AAADC2" w14:textId="77777777" w:rsidTr="00B17397">
        <w:trPr>
          <w:trHeight w:val="225"/>
        </w:trPr>
        <w:tc>
          <w:tcPr>
            <w:tcW w:w="3119" w:type="dxa"/>
            <w:tcBorders>
              <w:top w:val="nil"/>
              <w:left w:val="nil"/>
              <w:bottom w:val="nil"/>
              <w:right w:val="nil"/>
            </w:tcBorders>
            <w:shd w:val="clear" w:color="auto" w:fill="auto"/>
            <w:vAlign w:val="bottom"/>
            <w:hideMark/>
          </w:tcPr>
          <w:p w14:paraId="6C88CF87"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RAAF Base Curtin</w:t>
            </w:r>
          </w:p>
        </w:tc>
        <w:tc>
          <w:tcPr>
            <w:tcW w:w="1911" w:type="dxa"/>
            <w:tcBorders>
              <w:top w:val="nil"/>
              <w:left w:val="nil"/>
              <w:bottom w:val="nil"/>
              <w:right w:val="nil"/>
            </w:tcBorders>
            <w:shd w:val="clear" w:color="auto" w:fill="auto"/>
            <w:noWrap/>
            <w:vAlign w:val="bottom"/>
            <w:hideMark/>
          </w:tcPr>
          <w:p w14:paraId="578E5418"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WA - Durack</w:t>
            </w:r>
          </w:p>
        </w:tc>
        <w:tc>
          <w:tcPr>
            <w:tcW w:w="1141" w:type="dxa"/>
            <w:tcBorders>
              <w:top w:val="nil"/>
              <w:left w:val="nil"/>
              <w:bottom w:val="nil"/>
              <w:right w:val="nil"/>
            </w:tcBorders>
            <w:shd w:val="clear" w:color="auto" w:fill="auto"/>
            <w:noWrap/>
            <w:vAlign w:val="bottom"/>
            <w:hideMark/>
          </w:tcPr>
          <w:p w14:paraId="0A3D05D9" w14:textId="77777777"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6216033D"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 xml:space="preserve">                  0.0 </w:t>
            </w:r>
          </w:p>
        </w:tc>
        <w:tc>
          <w:tcPr>
            <w:tcW w:w="1313" w:type="dxa"/>
            <w:tcBorders>
              <w:top w:val="nil"/>
              <w:left w:val="nil"/>
              <w:bottom w:val="nil"/>
              <w:right w:val="nil"/>
            </w:tcBorders>
            <w:shd w:val="clear" w:color="auto" w:fill="auto"/>
            <w:noWrap/>
            <w:vAlign w:val="bottom"/>
            <w:hideMark/>
          </w:tcPr>
          <w:p w14:paraId="018717DA"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 xml:space="preserve">                     - </w:t>
            </w:r>
          </w:p>
        </w:tc>
      </w:tr>
      <w:tr w:rsidR="00463A75" w:rsidRPr="003E76E7" w14:paraId="43F448F1" w14:textId="77777777" w:rsidTr="00B17397">
        <w:trPr>
          <w:trHeight w:val="225"/>
        </w:trPr>
        <w:tc>
          <w:tcPr>
            <w:tcW w:w="3119" w:type="dxa"/>
            <w:tcBorders>
              <w:top w:val="nil"/>
              <w:left w:val="nil"/>
              <w:bottom w:val="nil"/>
              <w:right w:val="nil"/>
            </w:tcBorders>
            <w:shd w:val="clear" w:color="auto" w:fill="auto"/>
            <w:vAlign w:val="bottom"/>
            <w:hideMark/>
          </w:tcPr>
          <w:p w14:paraId="4CD8C1B8"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RAAF Base Learmonth</w:t>
            </w:r>
          </w:p>
        </w:tc>
        <w:tc>
          <w:tcPr>
            <w:tcW w:w="1911" w:type="dxa"/>
            <w:tcBorders>
              <w:top w:val="nil"/>
              <w:left w:val="nil"/>
              <w:bottom w:val="nil"/>
              <w:right w:val="nil"/>
            </w:tcBorders>
            <w:shd w:val="clear" w:color="auto" w:fill="auto"/>
            <w:noWrap/>
            <w:vAlign w:val="bottom"/>
            <w:hideMark/>
          </w:tcPr>
          <w:p w14:paraId="328C97C5"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WA - Durack</w:t>
            </w:r>
          </w:p>
        </w:tc>
        <w:tc>
          <w:tcPr>
            <w:tcW w:w="1141" w:type="dxa"/>
            <w:tcBorders>
              <w:top w:val="nil"/>
              <w:left w:val="nil"/>
              <w:bottom w:val="nil"/>
              <w:right w:val="nil"/>
            </w:tcBorders>
            <w:shd w:val="clear" w:color="auto" w:fill="auto"/>
            <w:noWrap/>
            <w:vAlign w:val="bottom"/>
            <w:hideMark/>
          </w:tcPr>
          <w:p w14:paraId="56A737EF" w14:textId="77777777"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68199DB8"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25.9</w:t>
            </w:r>
          </w:p>
        </w:tc>
        <w:tc>
          <w:tcPr>
            <w:tcW w:w="1313" w:type="dxa"/>
            <w:tcBorders>
              <w:top w:val="nil"/>
              <w:left w:val="nil"/>
              <w:bottom w:val="nil"/>
              <w:right w:val="nil"/>
            </w:tcBorders>
            <w:shd w:val="clear" w:color="auto" w:fill="auto"/>
            <w:noWrap/>
            <w:vAlign w:val="bottom"/>
            <w:hideMark/>
          </w:tcPr>
          <w:p w14:paraId="39C48A24"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 xml:space="preserve">              110.8 </w:t>
            </w:r>
          </w:p>
        </w:tc>
      </w:tr>
      <w:tr w:rsidR="00463A75" w:rsidRPr="003E76E7" w14:paraId="21963DC5" w14:textId="77777777" w:rsidTr="00B17397">
        <w:trPr>
          <w:trHeight w:val="225"/>
        </w:trPr>
        <w:tc>
          <w:tcPr>
            <w:tcW w:w="3119" w:type="dxa"/>
            <w:tcBorders>
              <w:top w:val="nil"/>
              <w:left w:val="nil"/>
              <w:bottom w:val="single" w:sz="4" w:space="0" w:color="auto"/>
              <w:right w:val="nil"/>
            </w:tcBorders>
            <w:shd w:val="clear" w:color="auto" w:fill="auto"/>
            <w:vAlign w:val="bottom"/>
            <w:hideMark/>
          </w:tcPr>
          <w:p w14:paraId="0D9F126E"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Total</w:t>
            </w:r>
          </w:p>
        </w:tc>
        <w:tc>
          <w:tcPr>
            <w:tcW w:w="1911" w:type="dxa"/>
            <w:tcBorders>
              <w:top w:val="nil"/>
              <w:left w:val="nil"/>
              <w:bottom w:val="single" w:sz="4" w:space="0" w:color="auto"/>
              <w:right w:val="nil"/>
            </w:tcBorders>
            <w:shd w:val="clear" w:color="auto" w:fill="auto"/>
            <w:noWrap/>
            <w:vAlign w:val="bottom"/>
            <w:hideMark/>
          </w:tcPr>
          <w:p w14:paraId="2A92C760" w14:textId="77777777" w:rsidR="00463A75" w:rsidRPr="003E76E7" w:rsidRDefault="00463A75" w:rsidP="00C4292D">
            <w:pPr>
              <w:spacing w:before="0" w:after="0"/>
              <w:jc w:val="center"/>
              <w:rPr>
                <w:rFonts w:ascii="Arial" w:hAnsi="Arial"/>
                <w:b/>
                <w:bCs/>
                <w:color w:val="000000"/>
                <w:sz w:val="16"/>
                <w:szCs w:val="16"/>
                <w:lang w:val="en-AU"/>
              </w:rPr>
            </w:pPr>
            <w:r w:rsidRPr="003E76E7">
              <w:rPr>
                <w:rFonts w:ascii="Arial" w:hAnsi="Arial"/>
                <w:b/>
                <w:bCs/>
                <w:color w:val="000000"/>
                <w:sz w:val="16"/>
                <w:szCs w:val="16"/>
                <w:lang w:val="en-AU"/>
              </w:rPr>
              <w:t> </w:t>
            </w:r>
          </w:p>
        </w:tc>
        <w:tc>
          <w:tcPr>
            <w:tcW w:w="1141" w:type="dxa"/>
            <w:tcBorders>
              <w:top w:val="nil"/>
              <w:left w:val="nil"/>
              <w:bottom w:val="single" w:sz="4" w:space="0" w:color="auto"/>
              <w:right w:val="nil"/>
            </w:tcBorders>
            <w:shd w:val="clear" w:color="auto" w:fill="auto"/>
            <w:noWrap/>
            <w:vAlign w:val="bottom"/>
            <w:hideMark/>
          </w:tcPr>
          <w:p w14:paraId="5BF7774E"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237.2</w:t>
            </w:r>
          </w:p>
        </w:tc>
        <w:tc>
          <w:tcPr>
            <w:tcW w:w="1462" w:type="dxa"/>
            <w:tcBorders>
              <w:top w:val="nil"/>
              <w:left w:val="nil"/>
              <w:bottom w:val="single" w:sz="4" w:space="0" w:color="auto"/>
              <w:right w:val="nil"/>
            </w:tcBorders>
            <w:shd w:val="clear" w:color="auto" w:fill="auto"/>
            <w:noWrap/>
            <w:vAlign w:val="bottom"/>
            <w:hideMark/>
          </w:tcPr>
          <w:p w14:paraId="3FA8C57A"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26.0</w:t>
            </w:r>
          </w:p>
        </w:tc>
        <w:tc>
          <w:tcPr>
            <w:tcW w:w="1313" w:type="dxa"/>
            <w:tcBorders>
              <w:top w:val="nil"/>
              <w:left w:val="nil"/>
              <w:bottom w:val="single" w:sz="4" w:space="0" w:color="auto"/>
              <w:right w:val="nil"/>
            </w:tcBorders>
            <w:shd w:val="clear" w:color="auto" w:fill="auto"/>
            <w:noWrap/>
            <w:vAlign w:val="bottom"/>
            <w:hideMark/>
          </w:tcPr>
          <w:p w14:paraId="48ACA081"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110.8</w:t>
            </w:r>
          </w:p>
        </w:tc>
      </w:tr>
      <w:tr w:rsidR="00463A75" w:rsidRPr="003E76E7" w14:paraId="3EA554EB" w14:textId="77777777" w:rsidTr="00B17397">
        <w:trPr>
          <w:trHeight w:val="225"/>
        </w:trPr>
        <w:tc>
          <w:tcPr>
            <w:tcW w:w="3119" w:type="dxa"/>
            <w:tcBorders>
              <w:top w:val="nil"/>
              <w:left w:val="nil"/>
              <w:bottom w:val="nil"/>
              <w:right w:val="nil"/>
            </w:tcBorders>
            <w:shd w:val="clear" w:color="auto" w:fill="auto"/>
            <w:vAlign w:val="center"/>
            <w:hideMark/>
          </w:tcPr>
          <w:p w14:paraId="1BCC7E4B"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Facilities to Support AIR 5349 Advanced Growler Phase 6</w:t>
            </w:r>
          </w:p>
        </w:tc>
        <w:tc>
          <w:tcPr>
            <w:tcW w:w="1911" w:type="dxa"/>
            <w:tcBorders>
              <w:top w:val="nil"/>
              <w:left w:val="nil"/>
              <w:bottom w:val="nil"/>
              <w:right w:val="nil"/>
            </w:tcBorders>
            <w:shd w:val="clear" w:color="auto" w:fill="auto"/>
            <w:vAlign w:val="center"/>
            <w:hideMark/>
          </w:tcPr>
          <w:p w14:paraId="0F15C0EA"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141" w:type="dxa"/>
            <w:tcBorders>
              <w:top w:val="nil"/>
              <w:left w:val="nil"/>
              <w:bottom w:val="nil"/>
              <w:right w:val="nil"/>
            </w:tcBorders>
            <w:shd w:val="clear" w:color="auto" w:fill="auto"/>
            <w:vAlign w:val="center"/>
            <w:hideMark/>
          </w:tcPr>
          <w:p w14:paraId="5096974A"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462" w:type="dxa"/>
            <w:tcBorders>
              <w:top w:val="nil"/>
              <w:left w:val="nil"/>
              <w:bottom w:val="nil"/>
              <w:right w:val="nil"/>
            </w:tcBorders>
            <w:shd w:val="clear" w:color="auto" w:fill="auto"/>
            <w:vAlign w:val="center"/>
            <w:hideMark/>
          </w:tcPr>
          <w:p w14:paraId="3C36DA42"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313" w:type="dxa"/>
            <w:tcBorders>
              <w:top w:val="nil"/>
              <w:left w:val="nil"/>
              <w:bottom w:val="nil"/>
              <w:right w:val="nil"/>
            </w:tcBorders>
            <w:shd w:val="clear" w:color="auto" w:fill="auto"/>
            <w:vAlign w:val="center"/>
            <w:hideMark/>
          </w:tcPr>
          <w:p w14:paraId="1F5FF0CB"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r>
      <w:tr w:rsidR="00463A75" w:rsidRPr="003E76E7" w14:paraId="391C208D" w14:textId="77777777" w:rsidTr="00B17397">
        <w:trPr>
          <w:trHeight w:val="225"/>
        </w:trPr>
        <w:tc>
          <w:tcPr>
            <w:tcW w:w="3119" w:type="dxa"/>
            <w:tcBorders>
              <w:top w:val="nil"/>
              <w:left w:val="nil"/>
              <w:bottom w:val="nil"/>
              <w:right w:val="nil"/>
            </w:tcBorders>
            <w:shd w:val="clear" w:color="auto" w:fill="auto"/>
            <w:vAlign w:val="bottom"/>
            <w:hideMark/>
          </w:tcPr>
          <w:p w14:paraId="67B7858C"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Delamere Air Weapons Range</w:t>
            </w:r>
          </w:p>
        </w:tc>
        <w:tc>
          <w:tcPr>
            <w:tcW w:w="1911" w:type="dxa"/>
            <w:tcBorders>
              <w:top w:val="nil"/>
              <w:left w:val="nil"/>
              <w:bottom w:val="nil"/>
              <w:right w:val="nil"/>
            </w:tcBorders>
            <w:shd w:val="clear" w:color="auto" w:fill="auto"/>
            <w:noWrap/>
            <w:vAlign w:val="bottom"/>
            <w:hideMark/>
          </w:tcPr>
          <w:p w14:paraId="068B4552"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NT - Lingiari</w:t>
            </w:r>
          </w:p>
        </w:tc>
        <w:tc>
          <w:tcPr>
            <w:tcW w:w="1141" w:type="dxa"/>
            <w:tcBorders>
              <w:top w:val="nil"/>
              <w:left w:val="nil"/>
              <w:bottom w:val="nil"/>
              <w:right w:val="nil"/>
            </w:tcBorders>
            <w:shd w:val="clear" w:color="auto" w:fill="auto"/>
            <w:noWrap/>
            <w:vAlign w:val="bottom"/>
            <w:hideMark/>
          </w:tcPr>
          <w:p w14:paraId="27EF1F20" w14:textId="77777777"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1B89DB47"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87.6</w:t>
            </w:r>
          </w:p>
        </w:tc>
        <w:tc>
          <w:tcPr>
            <w:tcW w:w="1313" w:type="dxa"/>
            <w:tcBorders>
              <w:top w:val="nil"/>
              <w:left w:val="nil"/>
              <w:bottom w:val="nil"/>
              <w:right w:val="nil"/>
            </w:tcBorders>
            <w:shd w:val="clear" w:color="auto" w:fill="auto"/>
            <w:noWrap/>
            <w:vAlign w:val="bottom"/>
            <w:hideMark/>
          </w:tcPr>
          <w:p w14:paraId="12AE05AB"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8.9</w:t>
            </w:r>
          </w:p>
        </w:tc>
      </w:tr>
      <w:tr w:rsidR="00463A75" w:rsidRPr="003E76E7" w14:paraId="72F836A0" w14:textId="77777777" w:rsidTr="00B17397">
        <w:trPr>
          <w:trHeight w:val="225"/>
        </w:trPr>
        <w:tc>
          <w:tcPr>
            <w:tcW w:w="3119" w:type="dxa"/>
            <w:tcBorders>
              <w:top w:val="nil"/>
              <w:left w:val="nil"/>
              <w:bottom w:val="nil"/>
              <w:right w:val="nil"/>
            </w:tcBorders>
            <w:shd w:val="clear" w:color="auto" w:fill="auto"/>
            <w:vAlign w:val="bottom"/>
            <w:hideMark/>
          </w:tcPr>
          <w:p w14:paraId="07199A3E"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RAAF Base Amberley</w:t>
            </w:r>
          </w:p>
        </w:tc>
        <w:tc>
          <w:tcPr>
            <w:tcW w:w="1911" w:type="dxa"/>
            <w:tcBorders>
              <w:top w:val="nil"/>
              <w:left w:val="nil"/>
              <w:bottom w:val="nil"/>
              <w:right w:val="nil"/>
            </w:tcBorders>
            <w:shd w:val="clear" w:color="auto" w:fill="auto"/>
            <w:noWrap/>
            <w:vAlign w:val="bottom"/>
            <w:hideMark/>
          </w:tcPr>
          <w:p w14:paraId="7C3EE7E7"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QLD - Blair</w:t>
            </w:r>
          </w:p>
        </w:tc>
        <w:tc>
          <w:tcPr>
            <w:tcW w:w="1141" w:type="dxa"/>
            <w:tcBorders>
              <w:top w:val="nil"/>
              <w:left w:val="nil"/>
              <w:bottom w:val="nil"/>
              <w:right w:val="nil"/>
            </w:tcBorders>
            <w:shd w:val="clear" w:color="auto" w:fill="auto"/>
            <w:noWrap/>
            <w:vAlign w:val="bottom"/>
            <w:hideMark/>
          </w:tcPr>
          <w:p w14:paraId="14538FA4" w14:textId="77777777"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64BA50D5"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19.7</w:t>
            </w:r>
          </w:p>
        </w:tc>
        <w:tc>
          <w:tcPr>
            <w:tcW w:w="1313" w:type="dxa"/>
            <w:tcBorders>
              <w:top w:val="nil"/>
              <w:left w:val="nil"/>
              <w:bottom w:val="nil"/>
              <w:right w:val="nil"/>
            </w:tcBorders>
            <w:shd w:val="clear" w:color="auto" w:fill="auto"/>
            <w:noWrap/>
            <w:vAlign w:val="bottom"/>
            <w:hideMark/>
          </w:tcPr>
          <w:p w14:paraId="5ABBD571"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15.2</w:t>
            </w:r>
          </w:p>
        </w:tc>
      </w:tr>
      <w:tr w:rsidR="00463A75" w:rsidRPr="003E76E7" w14:paraId="3753F9C5" w14:textId="77777777" w:rsidTr="00B17397">
        <w:trPr>
          <w:trHeight w:val="225"/>
        </w:trPr>
        <w:tc>
          <w:tcPr>
            <w:tcW w:w="3119" w:type="dxa"/>
            <w:tcBorders>
              <w:top w:val="nil"/>
              <w:left w:val="nil"/>
              <w:bottom w:val="single" w:sz="4" w:space="0" w:color="auto"/>
              <w:right w:val="nil"/>
            </w:tcBorders>
            <w:shd w:val="clear" w:color="auto" w:fill="auto"/>
            <w:vAlign w:val="bottom"/>
            <w:hideMark/>
          </w:tcPr>
          <w:p w14:paraId="37548B84"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Total</w:t>
            </w:r>
          </w:p>
        </w:tc>
        <w:tc>
          <w:tcPr>
            <w:tcW w:w="1911" w:type="dxa"/>
            <w:tcBorders>
              <w:top w:val="nil"/>
              <w:left w:val="nil"/>
              <w:bottom w:val="single" w:sz="4" w:space="0" w:color="auto"/>
              <w:right w:val="nil"/>
            </w:tcBorders>
            <w:shd w:val="clear" w:color="auto" w:fill="auto"/>
            <w:noWrap/>
            <w:vAlign w:val="bottom"/>
            <w:hideMark/>
          </w:tcPr>
          <w:p w14:paraId="4179164D" w14:textId="77777777" w:rsidR="00463A75" w:rsidRPr="003E76E7" w:rsidRDefault="00463A75" w:rsidP="00C4292D">
            <w:pPr>
              <w:spacing w:before="0" w:after="0"/>
              <w:jc w:val="center"/>
              <w:rPr>
                <w:rFonts w:ascii="Arial" w:hAnsi="Arial"/>
                <w:b/>
                <w:bCs/>
                <w:color w:val="000000"/>
                <w:sz w:val="16"/>
                <w:szCs w:val="16"/>
                <w:lang w:val="en-AU"/>
              </w:rPr>
            </w:pPr>
            <w:r w:rsidRPr="003E76E7">
              <w:rPr>
                <w:rFonts w:ascii="Arial" w:hAnsi="Arial"/>
                <w:b/>
                <w:bCs/>
                <w:color w:val="000000"/>
                <w:sz w:val="16"/>
                <w:szCs w:val="16"/>
                <w:lang w:val="en-AU"/>
              </w:rPr>
              <w:t> </w:t>
            </w:r>
          </w:p>
        </w:tc>
        <w:tc>
          <w:tcPr>
            <w:tcW w:w="1141" w:type="dxa"/>
            <w:tcBorders>
              <w:top w:val="nil"/>
              <w:left w:val="nil"/>
              <w:bottom w:val="single" w:sz="4" w:space="0" w:color="auto"/>
              <w:right w:val="nil"/>
            </w:tcBorders>
            <w:shd w:val="clear" w:color="auto" w:fill="auto"/>
            <w:noWrap/>
            <w:vAlign w:val="bottom"/>
            <w:hideMark/>
          </w:tcPr>
          <w:p w14:paraId="5D596F86"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228.2</w:t>
            </w:r>
          </w:p>
        </w:tc>
        <w:tc>
          <w:tcPr>
            <w:tcW w:w="1462" w:type="dxa"/>
            <w:tcBorders>
              <w:top w:val="nil"/>
              <w:left w:val="nil"/>
              <w:bottom w:val="single" w:sz="4" w:space="0" w:color="auto"/>
              <w:right w:val="nil"/>
            </w:tcBorders>
            <w:shd w:val="clear" w:color="auto" w:fill="auto"/>
            <w:noWrap/>
            <w:vAlign w:val="bottom"/>
            <w:hideMark/>
          </w:tcPr>
          <w:p w14:paraId="4B184291"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107.3</w:t>
            </w:r>
          </w:p>
        </w:tc>
        <w:tc>
          <w:tcPr>
            <w:tcW w:w="1313" w:type="dxa"/>
            <w:tcBorders>
              <w:top w:val="nil"/>
              <w:left w:val="nil"/>
              <w:bottom w:val="single" w:sz="4" w:space="0" w:color="auto"/>
              <w:right w:val="nil"/>
            </w:tcBorders>
            <w:shd w:val="clear" w:color="auto" w:fill="auto"/>
            <w:noWrap/>
            <w:vAlign w:val="bottom"/>
            <w:hideMark/>
          </w:tcPr>
          <w:p w14:paraId="7CBE9B2D"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24.1</w:t>
            </w:r>
          </w:p>
        </w:tc>
      </w:tr>
      <w:tr w:rsidR="00463A75" w:rsidRPr="003E76E7" w14:paraId="0D926F0A" w14:textId="77777777" w:rsidTr="00B17397">
        <w:trPr>
          <w:trHeight w:val="225"/>
        </w:trPr>
        <w:tc>
          <w:tcPr>
            <w:tcW w:w="3119" w:type="dxa"/>
            <w:tcBorders>
              <w:top w:val="nil"/>
              <w:left w:val="nil"/>
              <w:bottom w:val="nil"/>
              <w:right w:val="nil"/>
            </w:tcBorders>
            <w:shd w:val="clear" w:color="auto" w:fill="auto"/>
            <w:vAlign w:val="center"/>
            <w:hideMark/>
          </w:tcPr>
          <w:p w14:paraId="2BA1CE1D"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xml:space="preserve">Facilities to Support Special Operations Capability Enhancements </w:t>
            </w:r>
          </w:p>
        </w:tc>
        <w:tc>
          <w:tcPr>
            <w:tcW w:w="1911" w:type="dxa"/>
            <w:tcBorders>
              <w:top w:val="nil"/>
              <w:left w:val="nil"/>
              <w:bottom w:val="nil"/>
              <w:right w:val="nil"/>
            </w:tcBorders>
            <w:shd w:val="clear" w:color="auto" w:fill="auto"/>
            <w:vAlign w:val="center"/>
            <w:hideMark/>
          </w:tcPr>
          <w:p w14:paraId="796CF650"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141" w:type="dxa"/>
            <w:tcBorders>
              <w:top w:val="nil"/>
              <w:left w:val="nil"/>
              <w:bottom w:val="nil"/>
              <w:right w:val="nil"/>
            </w:tcBorders>
            <w:shd w:val="clear" w:color="auto" w:fill="auto"/>
            <w:vAlign w:val="center"/>
            <w:hideMark/>
          </w:tcPr>
          <w:p w14:paraId="64325BB6"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462" w:type="dxa"/>
            <w:tcBorders>
              <w:top w:val="nil"/>
              <w:left w:val="nil"/>
              <w:bottom w:val="nil"/>
              <w:right w:val="nil"/>
            </w:tcBorders>
            <w:shd w:val="clear" w:color="auto" w:fill="auto"/>
            <w:vAlign w:val="center"/>
            <w:hideMark/>
          </w:tcPr>
          <w:p w14:paraId="7AF550AC"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313" w:type="dxa"/>
            <w:tcBorders>
              <w:top w:val="nil"/>
              <w:left w:val="nil"/>
              <w:bottom w:val="nil"/>
              <w:right w:val="nil"/>
            </w:tcBorders>
            <w:shd w:val="clear" w:color="auto" w:fill="auto"/>
            <w:vAlign w:val="center"/>
            <w:hideMark/>
          </w:tcPr>
          <w:p w14:paraId="3024C47B"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r>
      <w:tr w:rsidR="00463A75" w:rsidRPr="003E76E7" w14:paraId="7354F587" w14:textId="77777777" w:rsidTr="00B17397">
        <w:trPr>
          <w:trHeight w:val="225"/>
        </w:trPr>
        <w:tc>
          <w:tcPr>
            <w:tcW w:w="3119" w:type="dxa"/>
            <w:tcBorders>
              <w:top w:val="nil"/>
              <w:left w:val="nil"/>
              <w:bottom w:val="nil"/>
              <w:right w:val="nil"/>
            </w:tcBorders>
            <w:shd w:val="clear" w:color="auto" w:fill="auto"/>
            <w:vAlign w:val="bottom"/>
            <w:hideMark/>
          </w:tcPr>
          <w:p w14:paraId="45BA89A1"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Holsworthy Barracks</w:t>
            </w:r>
          </w:p>
        </w:tc>
        <w:tc>
          <w:tcPr>
            <w:tcW w:w="1911" w:type="dxa"/>
            <w:tcBorders>
              <w:top w:val="nil"/>
              <w:left w:val="nil"/>
              <w:bottom w:val="nil"/>
              <w:right w:val="nil"/>
            </w:tcBorders>
            <w:shd w:val="clear" w:color="auto" w:fill="auto"/>
            <w:noWrap/>
            <w:vAlign w:val="bottom"/>
            <w:hideMark/>
          </w:tcPr>
          <w:p w14:paraId="203ECBC5"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NSW - Hughes</w:t>
            </w:r>
          </w:p>
        </w:tc>
        <w:tc>
          <w:tcPr>
            <w:tcW w:w="1141" w:type="dxa"/>
            <w:tcBorders>
              <w:top w:val="nil"/>
              <w:left w:val="nil"/>
              <w:bottom w:val="nil"/>
              <w:right w:val="nil"/>
            </w:tcBorders>
            <w:shd w:val="clear" w:color="auto" w:fill="auto"/>
            <w:noWrap/>
            <w:vAlign w:val="bottom"/>
            <w:hideMark/>
          </w:tcPr>
          <w:p w14:paraId="241BF5B9" w14:textId="77777777"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5FAE73AD"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39.7</w:t>
            </w:r>
          </w:p>
        </w:tc>
        <w:tc>
          <w:tcPr>
            <w:tcW w:w="1313" w:type="dxa"/>
            <w:tcBorders>
              <w:top w:val="nil"/>
              <w:left w:val="nil"/>
              <w:bottom w:val="nil"/>
              <w:right w:val="nil"/>
            </w:tcBorders>
            <w:shd w:val="clear" w:color="auto" w:fill="auto"/>
            <w:noWrap/>
            <w:vAlign w:val="bottom"/>
            <w:hideMark/>
          </w:tcPr>
          <w:p w14:paraId="429899E6"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33.6</w:t>
            </w:r>
          </w:p>
        </w:tc>
      </w:tr>
      <w:tr w:rsidR="00463A75" w:rsidRPr="003E76E7" w14:paraId="13B50B18" w14:textId="77777777" w:rsidTr="00B17397">
        <w:trPr>
          <w:trHeight w:val="225"/>
        </w:trPr>
        <w:tc>
          <w:tcPr>
            <w:tcW w:w="3119" w:type="dxa"/>
            <w:tcBorders>
              <w:top w:val="nil"/>
              <w:left w:val="nil"/>
              <w:bottom w:val="nil"/>
              <w:right w:val="nil"/>
            </w:tcBorders>
            <w:shd w:val="clear" w:color="auto" w:fill="auto"/>
            <w:vAlign w:val="bottom"/>
            <w:hideMark/>
          </w:tcPr>
          <w:p w14:paraId="1D5C283E"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Campbell Barracks</w:t>
            </w:r>
          </w:p>
        </w:tc>
        <w:tc>
          <w:tcPr>
            <w:tcW w:w="1911" w:type="dxa"/>
            <w:tcBorders>
              <w:top w:val="nil"/>
              <w:left w:val="nil"/>
              <w:bottom w:val="nil"/>
              <w:right w:val="nil"/>
            </w:tcBorders>
            <w:shd w:val="clear" w:color="auto" w:fill="auto"/>
            <w:noWrap/>
            <w:vAlign w:val="bottom"/>
            <w:hideMark/>
          </w:tcPr>
          <w:p w14:paraId="73809116"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WA - Curtin</w:t>
            </w:r>
          </w:p>
        </w:tc>
        <w:tc>
          <w:tcPr>
            <w:tcW w:w="1141" w:type="dxa"/>
            <w:tcBorders>
              <w:top w:val="nil"/>
              <w:left w:val="nil"/>
              <w:bottom w:val="nil"/>
              <w:right w:val="nil"/>
            </w:tcBorders>
            <w:shd w:val="clear" w:color="auto" w:fill="auto"/>
            <w:noWrap/>
            <w:vAlign w:val="bottom"/>
            <w:hideMark/>
          </w:tcPr>
          <w:p w14:paraId="264AEC89" w14:textId="77777777"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2360FAD8"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48.5</w:t>
            </w:r>
          </w:p>
        </w:tc>
        <w:tc>
          <w:tcPr>
            <w:tcW w:w="1313" w:type="dxa"/>
            <w:tcBorders>
              <w:top w:val="nil"/>
              <w:left w:val="nil"/>
              <w:bottom w:val="nil"/>
              <w:right w:val="nil"/>
            </w:tcBorders>
            <w:shd w:val="clear" w:color="auto" w:fill="auto"/>
            <w:noWrap/>
            <w:vAlign w:val="bottom"/>
            <w:hideMark/>
          </w:tcPr>
          <w:p w14:paraId="5A83F75A"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23.4</w:t>
            </w:r>
          </w:p>
        </w:tc>
      </w:tr>
      <w:tr w:rsidR="00463A75" w:rsidRPr="003E76E7" w14:paraId="25F86137" w14:textId="77777777" w:rsidTr="00B17397">
        <w:trPr>
          <w:trHeight w:val="225"/>
        </w:trPr>
        <w:tc>
          <w:tcPr>
            <w:tcW w:w="3119" w:type="dxa"/>
            <w:tcBorders>
              <w:top w:val="nil"/>
              <w:left w:val="nil"/>
              <w:bottom w:val="single" w:sz="4" w:space="0" w:color="auto"/>
              <w:right w:val="nil"/>
            </w:tcBorders>
            <w:shd w:val="clear" w:color="auto" w:fill="auto"/>
            <w:vAlign w:val="bottom"/>
            <w:hideMark/>
          </w:tcPr>
          <w:p w14:paraId="23775191"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Total</w:t>
            </w:r>
          </w:p>
        </w:tc>
        <w:tc>
          <w:tcPr>
            <w:tcW w:w="1911" w:type="dxa"/>
            <w:tcBorders>
              <w:top w:val="nil"/>
              <w:left w:val="nil"/>
              <w:bottom w:val="single" w:sz="4" w:space="0" w:color="auto"/>
              <w:right w:val="nil"/>
            </w:tcBorders>
            <w:shd w:val="clear" w:color="auto" w:fill="auto"/>
            <w:noWrap/>
            <w:vAlign w:val="bottom"/>
            <w:hideMark/>
          </w:tcPr>
          <w:p w14:paraId="3380E3D8" w14:textId="77777777" w:rsidR="00463A75" w:rsidRPr="003E76E7" w:rsidRDefault="00463A75" w:rsidP="00C4292D">
            <w:pPr>
              <w:spacing w:before="0" w:after="0"/>
              <w:jc w:val="center"/>
              <w:rPr>
                <w:rFonts w:ascii="Arial" w:hAnsi="Arial"/>
                <w:b/>
                <w:bCs/>
                <w:color w:val="000000"/>
                <w:sz w:val="16"/>
                <w:szCs w:val="16"/>
                <w:lang w:val="en-AU"/>
              </w:rPr>
            </w:pPr>
            <w:r w:rsidRPr="003E76E7">
              <w:rPr>
                <w:rFonts w:ascii="Arial" w:hAnsi="Arial"/>
                <w:b/>
                <w:bCs/>
                <w:color w:val="000000"/>
                <w:sz w:val="16"/>
                <w:szCs w:val="16"/>
                <w:lang w:val="en-AU"/>
              </w:rPr>
              <w:t> </w:t>
            </w:r>
          </w:p>
        </w:tc>
        <w:tc>
          <w:tcPr>
            <w:tcW w:w="1141" w:type="dxa"/>
            <w:tcBorders>
              <w:top w:val="nil"/>
              <w:left w:val="nil"/>
              <w:bottom w:val="single" w:sz="4" w:space="0" w:color="auto"/>
              <w:right w:val="nil"/>
            </w:tcBorders>
            <w:shd w:val="clear" w:color="auto" w:fill="auto"/>
            <w:noWrap/>
            <w:vAlign w:val="bottom"/>
            <w:hideMark/>
          </w:tcPr>
          <w:p w14:paraId="72B1A9D6"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225.6</w:t>
            </w:r>
          </w:p>
        </w:tc>
        <w:tc>
          <w:tcPr>
            <w:tcW w:w="1462" w:type="dxa"/>
            <w:tcBorders>
              <w:top w:val="nil"/>
              <w:left w:val="nil"/>
              <w:bottom w:val="single" w:sz="4" w:space="0" w:color="auto"/>
              <w:right w:val="nil"/>
            </w:tcBorders>
            <w:shd w:val="clear" w:color="auto" w:fill="auto"/>
            <w:noWrap/>
            <w:vAlign w:val="bottom"/>
            <w:hideMark/>
          </w:tcPr>
          <w:p w14:paraId="24CD64D0"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88.2</w:t>
            </w:r>
          </w:p>
        </w:tc>
        <w:tc>
          <w:tcPr>
            <w:tcW w:w="1313" w:type="dxa"/>
            <w:tcBorders>
              <w:top w:val="nil"/>
              <w:left w:val="nil"/>
              <w:bottom w:val="single" w:sz="4" w:space="0" w:color="auto"/>
              <w:right w:val="nil"/>
            </w:tcBorders>
            <w:shd w:val="clear" w:color="auto" w:fill="auto"/>
            <w:noWrap/>
            <w:vAlign w:val="bottom"/>
            <w:hideMark/>
          </w:tcPr>
          <w:p w14:paraId="76A152F4"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57.0</w:t>
            </w:r>
          </w:p>
        </w:tc>
      </w:tr>
      <w:tr w:rsidR="00463A75" w:rsidRPr="003E76E7" w14:paraId="5AFF3478" w14:textId="77777777" w:rsidTr="00B17397">
        <w:trPr>
          <w:trHeight w:val="225"/>
        </w:trPr>
        <w:tc>
          <w:tcPr>
            <w:tcW w:w="3119" w:type="dxa"/>
            <w:tcBorders>
              <w:top w:val="nil"/>
              <w:left w:val="nil"/>
              <w:bottom w:val="nil"/>
              <w:right w:val="nil"/>
            </w:tcBorders>
            <w:shd w:val="clear" w:color="auto" w:fill="auto"/>
            <w:vAlign w:val="center"/>
            <w:hideMark/>
          </w:tcPr>
          <w:p w14:paraId="44B63726" w14:textId="755ED3BA"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xml:space="preserve">Land 121 Phase 5B </w:t>
            </w:r>
            <w:r w:rsidR="00B17397" w:rsidRPr="003E76E7">
              <w:rPr>
                <w:rFonts w:ascii="Arial" w:hAnsi="Arial"/>
                <w:b/>
                <w:bCs/>
                <w:color w:val="000000"/>
                <w:sz w:val="16"/>
                <w:szCs w:val="16"/>
                <w:lang w:val="en-AU"/>
              </w:rPr>
              <w:br/>
            </w:r>
            <w:r w:rsidRPr="003E76E7">
              <w:rPr>
                <w:rFonts w:ascii="Arial" w:hAnsi="Arial"/>
                <w:b/>
                <w:bCs/>
                <w:color w:val="000000"/>
                <w:sz w:val="16"/>
                <w:szCs w:val="16"/>
                <w:lang w:val="en-AU"/>
              </w:rPr>
              <w:t>Facilities Project</w:t>
            </w:r>
          </w:p>
        </w:tc>
        <w:tc>
          <w:tcPr>
            <w:tcW w:w="1911" w:type="dxa"/>
            <w:tcBorders>
              <w:top w:val="nil"/>
              <w:left w:val="nil"/>
              <w:bottom w:val="nil"/>
              <w:right w:val="nil"/>
            </w:tcBorders>
            <w:shd w:val="clear" w:color="auto" w:fill="auto"/>
            <w:vAlign w:val="center"/>
            <w:hideMark/>
          </w:tcPr>
          <w:p w14:paraId="1D6E812D"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141" w:type="dxa"/>
            <w:tcBorders>
              <w:top w:val="nil"/>
              <w:left w:val="nil"/>
              <w:bottom w:val="nil"/>
              <w:right w:val="nil"/>
            </w:tcBorders>
            <w:shd w:val="clear" w:color="auto" w:fill="auto"/>
            <w:vAlign w:val="center"/>
            <w:hideMark/>
          </w:tcPr>
          <w:p w14:paraId="335E630E"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462" w:type="dxa"/>
            <w:tcBorders>
              <w:top w:val="nil"/>
              <w:left w:val="nil"/>
              <w:bottom w:val="nil"/>
              <w:right w:val="nil"/>
            </w:tcBorders>
            <w:shd w:val="clear" w:color="auto" w:fill="auto"/>
            <w:vAlign w:val="center"/>
            <w:hideMark/>
          </w:tcPr>
          <w:p w14:paraId="470AE368"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313" w:type="dxa"/>
            <w:tcBorders>
              <w:top w:val="nil"/>
              <w:left w:val="nil"/>
              <w:bottom w:val="nil"/>
              <w:right w:val="nil"/>
            </w:tcBorders>
            <w:shd w:val="clear" w:color="auto" w:fill="auto"/>
            <w:vAlign w:val="center"/>
            <w:hideMark/>
          </w:tcPr>
          <w:p w14:paraId="07C2E606"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r>
      <w:tr w:rsidR="00463A75" w:rsidRPr="003E76E7" w14:paraId="101AC211" w14:textId="77777777" w:rsidTr="00B17397">
        <w:trPr>
          <w:trHeight w:val="225"/>
        </w:trPr>
        <w:tc>
          <w:tcPr>
            <w:tcW w:w="3119" w:type="dxa"/>
            <w:tcBorders>
              <w:top w:val="nil"/>
              <w:left w:val="nil"/>
              <w:bottom w:val="nil"/>
              <w:right w:val="nil"/>
            </w:tcBorders>
            <w:shd w:val="clear" w:color="auto" w:fill="auto"/>
            <w:vAlign w:val="bottom"/>
            <w:hideMark/>
          </w:tcPr>
          <w:p w14:paraId="0B8CB398"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Lavarack Barracks</w:t>
            </w:r>
          </w:p>
        </w:tc>
        <w:tc>
          <w:tcPr>
            <w:tcW w:w="1911" w:type="dxa"/>
            <w:tcBorders>
              <w:top w:val="nil"/>
              <w:left w:val="nil"/>
              <w:bottom w:val="nil"/>
              <w:right w:val="nil"/>
            </w:tcBorders>
            <w:shd w:val="clear" w:color="auto" w:fill="auto"/>
            <w:noWrap/>
            <w:vAlign w:val="bottom"/>
            <w:hideMark/>
          </w:tcPr>
          <w:p w14:paraId="2FD27316"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QLD - Herbert</w:t>
            </w:r>
          </w:p>
        </w:tc>
        <w:tc>
          <w:tcPr>
            <w:tcW w:w="1141" w:type="dxa"/>
            <w:tcBorders>
              <w:top w:val="nil"/>
              <w:left w:val="nil"/>
              <w:bottom w:val="nil"/>
              <w:right w:val="nil"/>
            </w:tcBorders>
            <w:shd w:val="clear" w:color="auto" w:fill="auto"/>
            <w:noWrap/>
            <w:vAlign w:val="bottom"/>
            <w:hideMark/>
          </w:tcPr>
          <w:p w14:paraId="3795D48E" w14:textId="77777777"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0A0822F5"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7.0</w:t>
            </w:r>
          </w:p>
        </w:tc>
        <w:tc>
          <w:tcPr>
            <w:tcW w:w="1313" w:type="dxa"/>
            <w:tcBorders>
              <w:top w:val="nil"/>
              <w:left w:val="nil"/>
              <w:bottom w:val="nil"/>
              <w:right w:val="nil"/>
            </w:tcBorders>
            <w:shd w:val="clear" w:color="auto" w:fill="auto"/>
            <w:noWrap/>
            <w:vAlign w:val="bottom"/>
            <w:hideMark/>
          </w:tcPr>
          <w:p w14:paraId="7531BC89"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 xml:space="preserve">                     - </w:t>
            </w:r>
          </w:p>
        </w:tc>
      </w:tr>
      <w:tr w:rsidR="00463A75" w:rsidRPr="003E76E7" w14:paraId="3542470E" w14:textId="77777777" w:rsidTr="00B17397">
        <w:trPr>
          <w:trHeight w:val="221"/>
        </w:trPr>
        <w:tc>
          <w:tcPr>
            <w:tcW w:w="3119" w:type="dxa"/>
            <w:tcBorders>
              <w:top w:val="nil"/>
              <w:left w:val="nil"/>
              <w:bottom w:val="nil"/>
              <w:right w:val="nil"/>
            </w:tcBorders>
            <w:shd w:val="clear" w:color="auto" w:fill="auto"/>
            <w:vAlign w:val="bottom"/>
            <w:hideMark/>
          </w:tcPr>
          <w:p w14:paraId="6D93C809"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Robertson Barracks</w:t>
            </w:r>
          </w:p>
        </w:tc>
        <w:tc>
          <w:tcPr>
            <w:tcW w:w="1911" w:type="dxa"/>
            <w:tcBorders>
              <w:top w:val="nil"/>
              <w:left w:val="nil"/>
              <w:bottom w:val="nil"/>
              <w:right w:val="nil"/>
            </w:tcBorders>
            <w:shd w:val="clear" w:color="auto" w:fill="auto"/>
            <w:noWrap/>
            <w:vAlign w:val="bottom"/>
            <w:hideMark/>
          </w:tcPr>
          <w:p w14:paraId="596DF482"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NT - Lingiari</w:t>
            </w:r>
          </w:p>
        </w:tc>
        <w:tc>
          <w:tcPr>
            <w:tcW w:w="1141" w:type="dxa"/>
            <w:tcBorders>
              <w:top w:val="nil"/>
              <w:left w:val="nil"/>
              <w:bottom w:val="nil"/>
              <w:right w:val="nil"/>
            </w:tcBorders>
            <w:shd w:val="clear" w:color="auto" w:fill="auto"/>
            <w:noWrap/>
            <w:vAlign w:val="bottom"/>
            <w:hideMark/>
          </w:tcPr>
          <w:p w14:paraId="6A4A0726" w14:textId="77777777"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35013A89"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0.0</w:t>
            </w:r>
          </w:p>
        </w:tc>
        <w:tc>
          <w:tcPr>
            <w:tcW w:w="1313" w:type="dxa"/>
            <w:tcBorders>
              <w:top w:val="nil"/>
              <w:left w:val="nil"/>
              <w:bottom w:val="nil"/>
              <w:right w:val="nil"/>
            </w:tcBorders>
            <w:shd w:val="clear" w:color="auto" w:fill="auto"/>
            <w:noWrap/>
            <w:vAlign w:val="bottom"/>
            <w:hideMark/>
          </w:tcPr>
          <w:p w14:paraId="0B2F6BAB"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 xml:space="preserve">                     - </w:t>
            </w:r>
          </w:p>
        </w:tc>
      </w:tr>
      <w:tr w:rsidR="00463A75" w:rsidRPr="003E76E7" w14:paraId="1F04335B" w14:textId="77777777" w:rsidTr="00B17397">
        <w:trPr>
          <w:trHeight w:val="282"/>
        </w:trPr>
        <w:tc>
          <w:tcPr>
            <w:tcW w:w="3119" w:type="dxa"/>
            <w:tcBorders>
              <w:top w:val="nil"/>
              <w:left w:val="nil"/>
              <w:bottom w:val="nil"/>
              <w:right w:val="nil"/>
            </w:tcBorders>
            <w:shd w:val="clear" w:color="auto" w:fill="auto"/>
            <w:vAlign w:val="bottom"/>
            <w:hideMark/>
          </w:tcPr>
          <w:p w14:paraId="4AACA5F3"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Gallipoli Barracks</w:t>
            </w:r>
          </w:p>
        </w:tc>
        <w:tc>
          <w:tcPr>
            <w:tcW w:w="1911" w:type="dxa"/>
            <w:tcBorders>
              <w:top w:val="nil"/>
              <w:left w:val="nil"/>
              <w:bottom w:val="nil"/>
              <w:right w:val="nil"/>
            </w:tcBorders>
            <w:shd w:val="clear" w:color="auto" w:fill="auto"/>
            <w:noWrap/>
            <w:vAlign w:val="bottom"/>
            <w:hideMark/>
          </w:tcPr>
          <w:p w14:paraId="5C672827"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QLD - Ryan</w:t>
            </w:r>
          </w:p>
        </w:tc>
        <w:tc>
          <w:tcPr>
            <w:tcW w:w="1141" w:type="dxa"/>
            <w:tcBorders>
              <w:top w:val="nil"/>
              <w:left w:val="nil"/>
              <w:bottom w:val="nil"/>
              <w:right w:val="nil"/>
            </w:tcBorders>
            <w:shd w:val="clear" w:color="auto" w:fill="auto"/>
            <w:noWrap/>
            <w:vAlign w:val="bottom"/>
            <w:hideMark/>
          </w:tcPr>
          <w:p w14:paraId="7C7C47F1" w14:textId="77777777"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46E0D858"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107.8</w:t>
            </w:r>
          </w:p>
        </w:tc>
        <w:tc>
          <w:tcPr>
            <w:tcW w:w="1313" w:type="dxa"/>
            <w:tcBorders>
              <w:top w:val="nil"/>
              <w:left w:val="nil"/>
              <w:bottom w:val="nil"/>
              <w:right w:val="nil"/>
            </w:tcBorders>
            <w:shd w:val="clear" w:color="auto" w:fill="auto"/>
            <w:noWrap/>
            <w:vAlign w:val="bottom"/>
            <w:hideMark/>
          </w:tcPr>
          <w:p w14:paraId="3AD8821C"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2.9</w:t>
            </w:r>
          </w:p>
        </w:tc>
      </w:tr>
      <w:tr w:rsidR="00463A75" w:rsidRPr="003E76E7" w14:paraId="388627D2" w14:textId="77777777" w:rsidTr="00B17397">
        <w:trPr>
          <w:trHeight w:val="225"/>
        </w:trPr>
        <w:tc>
          <w:tcPr>
            <w:tcW w:w="3119" w:type="dxa"/>
            <w:tcBorders>
              <w:top w:val="nil"/>
              <w:left w:val="nil"/>
              <w:bottom w:val="nil"/>
              <w:right w:val="nil"/>
            </w:tcBorders>
            <w:shd w:val="clear" w:color="auto" w:fill="auto"/>
            <w:vAlign w:val="bottom"/>
            <w:hideMark/>
          </w:tcPr>
          <w:p w14:paraId="7F32F2F6"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Derwent Barracks</w:t>
            </w:r>
          </w:p>
        </w:tc>
        <w:tc>
          <w:tcPr>
            <w:tcW w:w="1911" w:type="dxa"/>
            <w:tcBorders>
              <w:top w:val="nil"/>
              <w:left w:val="nil"/>
              <w:bottom w:val="nil"/>
              <w:right w:val="nil"/>
            </w:tcBorders>
            <w:shd w:val="clear" w:color="auto" w:fill="auto"/>
            <w:noWrap/>
            <w:vAlign w:val="bottom"/>
            <w:hideMark/>
          </w:tcPr>
          <w:p w14:paraId="609FBD74"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TAS - Clark</w:t>
            </w:r>
          </w:p>
        </w:tc>
        <w:tc>
          <w:tcPr>
            <w:tcW w:w="1141" w:type="dxa"/>
            <w:tcBorders>
              <w:top w:val="nil"/>
              <w:left w:val="nil"/>
              <w:bottom w:val="nil"/>
              <w:right w:val="nil"/>
            </w:tcBorders>
            <w:shd w:val="clear" w:color="auto" w:fill="auto"/>
            <w:noWrap/>
            <w:vAlign w:val="bottom"/>
            <w:hideMark/>
          </w:tcPr>
          <w:p w14:paraId="6B33EF2B" w14:textId="77777777"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426B3144"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17.3</w:t>
            </w:r>
          </w:p>
        </w:tc>
        <w:tc>
          <w:tcPr>
            <w:tcW w:w="1313" w:type="dxa"/>
            <w:tcBorders>
              <w:top w:val="nil"/>
              <w:left w:val="nil"/>
              <w:bottom w:val="nil"/>
              <w:right w:val="nil"/>
            </w:tcBorders>
            <w:shd w:val="clear" w:color="auto" w:fill="auto"/>
            <w:noWrap/>
            <w:vAlign w:val="bottom"/>
            <w:hideMark/>
          </w:tcPr>
          <w:p w14:paraId="254DE63B"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 xml:space="preserve">                     - </w:t>
            </w:r>
          </w:p>
        </w:tc>
      </w:tr>
      <w:tr w:rsidR="00463A75" w:rsidRPr="003E76E7" w14:paraId="6F5725BC" w14:textId="77777777" w:rsidTr="00B17397">
        <w:trPr>
          <w:trHeight w:val="225"/>
        </w:trPr>
        <w:tc>
          <w:tcPr>
            <w:tcW w:w="3119" w:type="dxa"/>
            <w:tcBorders>
              <w:top w:val="nil"/>
              <w:left w:val="nil"/>
              <w:bottom w:val="nil"/>
              <w:right w:val="nil"/>
            </w:tcBorders>
            <w:shd w:val="clear" w:color="auto" w:fill="auto"/>
            <w:vAlign w:val="bottom"/>
            <w:hideMark/>
          </w:tcPr>
          <w:p w14:paraId="0DB27A95"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Puckapunyal Military Area</w:t>
            </w:r>
          </w:p>
        </w:tc>
        <w:tc>
          <w:tcPr>
            <w:tcW w:w="1911" w:type="dxa"/>
            <w:tcBorders>
              <w:top w:val="nil"/>
              <w:left w:val="nil"/>
              <w:bottom w:val="nil"/>
              <w:right w:val="nil"/>
            </w:tcBorders>
            <w:shd w:val="clear" w:color="auto" w:fill="auto"/>
            <w:noWrap/>
            <w:vAlign w:val="bottom"/>
            <w:hideMark/>
          </w:tcPr>
          <w:p w14:paraId="1315710F"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VIC - Nicholls</w:t>
            </w:r>
          </w:p>
        </w:tc>
        <w:tc>
          <w:tcPr>
            <w:tcW w:w="1141" w:type="dxa"/>
            <w:tcBorders>
              <w:top w:val="nil"/>
              <w:left w:val="nil"/>
              <w:bottom w:val="nil"/>
              <w:right w:val="nil"/>
            </w:tcBorders>
            <w:shd w:val="clear" w:color="auto" w:fill="auto"/>
            <w:noWrap/>
            <w:vAlign w:val="bottom"/>
            <w:hideMark/>
          </w:tcPr>
          <w:p w14:paraId="389F1881" w14:textId="77777777"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4A7BCE5A"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9.0</w:t>
            </w:r>
          </w:p>
        </w:tc>
        <w:tc>
          <w:tcPr>
            <w:tcW w:w="1313" w:type="dxa"/>
            <w:tcBorders>
              <w:top w:val="nil"/>
              <w:left w:val="nil"/>
              <w:bottom w:val="nil"/>
              <w:right w:val="nil"/>
            </w:tcBorders>
            <w:shd w:val="clear" w:color="auto" w:fill="auto"/>
            <w:noWrap/>
            <w:vAlign w:val="bottom"/>
            <w:hideMark/>
          </w:tcPr>
          <w:p w14:paraId="0AA82319"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 xml:space="preserve">                     - </w:t>
            </w:r>
          </w:p>
        </w:tc>
      </w:tr>
      <w:tr w:rsidR="00463A75" w:rsidRPr="003E76E7" w14:paraId="5B7690CB" w14:textId="77777777" w:rsidTr="00B17397">
        <w:trPr>
          <w:trHeight w:val="225"/>
        </w:trPr>
        <w:tc>
          <w:tcPr>
            <w:tcW w:w="3119" w:type="dxa"/>
            <w:tcBorders>
              <w:top w:val="nil"/>
              <w:left w:val="nil"/>
              <w:bottom w:val="nil"/>
              <w:right w:val="nil"/>
            </w:tcBorders>
            <w:shd w:val="clear" w:color="auto" w:fill="auto"/>
            <w:vAlign w:val="bottom"/>
            <w:hideMark/>
          </w:tcPr>
          <w:p w14:paraId="7D4F8B37"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Campbell Barracks</w:t>
            </w:r>
          </w:p>
        </w:tc>
        <w:tc>
          <w:tcPr>
            <w:tcW w:w="1911" w:type="dxa"/>
            <w:tcBorders>
              <w:top w:val="nil"/>
              <w:left w:val="nil"/>
              <w:bottom w:val="nil"/>
              <w:right w:val="nil"/>
            </w:tcBorders>
            <w:shd w:val="clear" w:color="auto" w:fill="auto"/>
            <w:noWrap/>
            <w:vAlign w:val="bottom"/>
            <w:hideMark/>
          </w:tcPr>
          <w:p w14:paraId="6F9CA8CD"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WA - Curtin</w:t>
            </w:r>
          </w:p>
        </w:tc>
        <w:tc>
          <w:tcPr>
            <w:tcW w:w="1141" w:type="dxa"/>
            <w:tcBorders>
              <w:top w:val="nil"/>
              <w:left w:val="nil"/>
              <w:bottom w:val="nil"/>
              <w:right w:val="nil"/>
            </w:tcBorders>
            <w:shd w:val="clear" w:color="auto" w:fill="auto"/>
            <w:noWrap/>
            <w:vAlign w:val="bottom"/>
            <w:hideMark/>
          </w:tcPr>
          <w:p w14:paraId="6804A8FF" w14:textId="77777777"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15D42777"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35.7</w:t>
            </w:r>
          </w:p>
        </w:tc>
        <w:tc>
          <w:tcPr>
            <w:tcW w:w="1313" w:type="dxa"/>
            <w:tcBorders>
              <w:top w:val="nil"/>
              <w:left w:val="nil"/>
              <w:bottom w:val="nil"/>
              <w:right w:val="nil"/>
            </w:tcBorders>
            <w:shd w:val="clear" w:color="auto" w:fill="auto"/>
            <w:noWrap/>
            <w:vAlign w:val="bottom"/>
            <w:hideMark/>
          </w:tcPr>
          <w:p w14:paraId="06FAB821"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 xml:space="preserve">                     - </w:t>
            </w:r>
          </w:p>
        </w:tc>
      </w:tr>
      <w:tr w:rsidR="00463A75" w:rsidRPr="003E76E7" w14:paraId="715EFC61" w14:textId="77777777" w:rsidTr="00B17397">
        <w:trPr>
          <w:trHeight w:val="225"/>
        </w:trPr>
        <w:tc>
          <w:tcPr>
            <w:tcW w:w="3119" w:type="dxa"/>
            <w:tcBorders>
              <w:top w:val="nil"/>
              <w:left w:val="nil"/>
              <w:bottom w:val="nil"/>
              <w:right w:val="nil"/>
            </w:tcBorders>
            <w:shd w:val="clear" w:color="auto" w:fill="auto"/>
            <w:vAlign w:val="bottom"/>
            <w:hideMark/>
          </w:tcPr>
          <w:p w14:paraId="6E9DAE89"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Porton Barracks</w:t>
            </w:r>
          </w:p>
        </w:tc>
        <w:tc>
          <w:tcPr>
            <w:tcW w:w="1911" w:type="dxa"/>
            <w:tcBorders>
              <w:top w:val="nil"/>
              <w:left w:val="nil"/>
              <w:bottom w:val="nil"/>
              <w:right w:val="nil"/>
            </w:tcBorders>
            <w:shd w:val="clear" w:color="auto" w:fill="auto"/>
            <w:noWrap/>
            <w:vAlign w:val="bottom"/>
            <w:hideMark/>
          </w:tcPr>
          <w:p w14:paraId="323DA21A"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QLD - Kennedy</w:t>
            </w:r>
          </w:p>
        </w:tc>
        <w:tc>
          <w:tcPr>
            <w:tcW w:w="1141" w:type="dxa"/>
            <w:tcBorders>
              <w:top w:val="nil"/>
              <w:left w:val="nil"/>
              <w:bottom w:val="nil"/>
              <w:right w:val="nil"/>
            </w:tcBorders>
            <w:shd w:val="clear" w:color="auto" w:fill="auto"/>
            <w:noWrap/>
            <w:vAlign w:val="bottom"/>
            <w:hideMark/>
          </w:tcPr>
          <w:p w14:paraId="01807B51" w14:textId="77777777"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39078AEC"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0.1</w:t>
            </w:r>
          </w:p>
        </w:tc>
        <w:tc>
          <w:tcPr>
            <w:tcW w:w="1313" w:type="dxa"/>
            <w:tcBorders>
              <w:top w:val="nil"/>
              <w:left w:val="nil"/>
              <w:bottom w:val="nil"/>
              <w:right w:val="nil"/>
            </w:tcBorders>
            <w:shd w:val="clear" w:color="auto" w:fill="auto"/>
            <w:noWrap/>
            <w:vAlign w:val="bottom"/>
            <w:hideMark/>
          </w:tcPr>
          <w:p w14:paraId="716957EC"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 xml:space="preserve">                     - </w:t>
            </w:r>
          </w:p>
        </w:tc>
      </w:tr>
      <w:tr w:rsidR="00463A75" w:rsidRPr="003E76E7" w14:paraId="69CDF910" w14:textId="77777777" w:rsidTr="00B17397">
        <w:trPr>
          <w:trHeight w:val="225"/>
        </w:trPr>
        <w:tc>
          <w:tcPr>
            <w:tcW w:w="3119" w:type="dxa"/>
            <w:tcBorders>
              <w:top w:val="nil"/>
              <w:left w:val="nil"/>
              <w:bottom w:val="single" w:sz="4" w:space="0" w:color="auto"/>
              <w:right w:val="nil"/>
            </w:tcBorders>
            <w:shd w:val="clear" w:color="auto" w:fill="auto"/>
            <w:vAlign w:val="bottom"/>
            <w:hideMark/>
          </w:tcPr>
          <w:p w14:paraId="64051AFC"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Total</w:t>
            </w:r>
          </w:p>
        </w:tc>
        <w:tc>
          <w:tcPr>
            <w:tcW w:w="1911" w:type="dxa"/>
            <w:tcBorders>
              <w:top w:val="nil"/>
              <w:left w:val="nil"/>
              <w:bottom w:val="single" w:sz="4" w:space="0" w:color="auto"/>
              <w:right w:val="nil"/>
            </w:tcBorders>
            <w:shd w:val="clear" w:color="auto" w:fill="auto"/>
            <w:noWrap/>
            <w:vAlign w:val="bottom"/>
            <w:hideMark/>
          </w:tcPr>
          <w:p w14:paraId="32E9183B" w14:textId="77777777" w:rsidR="00463A75" w:rsidRPr="003E76E7" w:rsidRDefault="00463A75" w:rsidP="00C4292D">
            <w:pPr>
              <w:spacing w:before="0" w:after="0"/>
              <w:jc w:val="center"/>
              <w:rPr>
                <w:rFonts w:ascii="Arial" w:hAnsi="Arial"/>
                <w:b/>
                <w:bCs/>
                <w:color w:val="000000"/>
                <w:sz w:val="16"/>
                <w:szCs w:val="16"/>
                <w:lang w:val="en-AU"/>
              </w:rPr>
            </w:pPr>
            <w:r w:rsidRPr="003E76E7">
              <w:rPr>
                <w:rFonts w:ascii="Arial" w:hAnsi="Arial"/>
                <w:b/>
                <w:bCs/>
                <w:color w:val="000000"/>
                <w:sz w:val="16"/>
                <w:szCs w:val="16"/>
                <w:lang w:val="en-AU"/>
              </w:rPr>
              <w:t> </w:t>
            </w:r>
          </w:p>
        </w:tc>
        <w:tc>
          <w:tcPr>
            <w:tcW w:w="1141" w:type="dxa"/>
            <w:tcBorders>
              <w:top w:val="nil"/>
              <w:left w:val="nil"/>
              <w:bottom w:val="single" w:sz="4" w:space="0" w:color="auto"/>
              <w:right w:val="nil"/>
            </w:tcBorders>
            <w:shd w:val="clear" w:color="auto" w:fill="auto"/>
            <w:noWrap/>
            <w:vAlign w:val="bottom"/>
            <w:hideMark/>
          </w:tcPr>
          <w:p w14:paraId="33534B61"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183.3</w:t>
            </w:r>
          </w:p>
        </w:tc>
        <w:tc>
          <w:tcPr>
            <w:tcW w:w="1462" w:type="dxa"/>
            <w:tcBorders>
              <w:top w:val="nil"/>
              <w:left w:val="nil"/>
              <w:bottom w:val="single" w:sz="4" w:space="0" w:color="auto"/>
              <w:right w:val="nil"/>
            </w:tcBorders>
            <w:shd w:val="clear" w:color="auto" w:fill="auto"/>
            <w:noWrap/>
            <w:vAlign w:val="bottom"/>
            <w:hideMark/>
          </w:tcPr>
          <w:p w14:paraId="1D7F87B4"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176.8</w:t>
            </w:r>
          </w:p>
        </w:tc>
        <w:tc>
          <w:tcPr>
            <w:tcW w:w="1313" w:type="dxa"/>
            <w:tcBorders>
              <w:top w:val="nil"/>
              <w:left w:val="nil"/>
              <w:bottom w:val="single" w:sz="4" w:space="0" w:color="auto"/>
              <w:right w:val="nil"/>
            </w:tcBorders>
            <w:shd w:val="clear" w:color="auto" w:fill="auto"/>
            <w:noWrap/>
            <w:vAlign w:val="bottom"/>
            <w:hideMark/>
          </w:tcPr>
          <w:p w14:paraId="4085D876"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2.9</w:t>
            </w:r>
          </w:p>
        </w:tc>
      </w:tr>
      <w:tr w:rsidR="00463A75" w:rsidRPr="003E76E7" w14:paraId="71489A2A" w14:textId="77777777" w:rsidTr="00B17397">
        <w:trPr>
          <w:trHeight w:val="225"/>
        </w:trPr>
        <w:tc>
          <w:tcPr>
            <w:tcW w:w="3119" w:type="dxa"/>
            <w:tcBorders>
              <w:top w:val="nil"/>
              <w:left w:val="nil"/>
              <w:bottom w:val="nil"/>
              <w:right w:val="nil"/>
            </w:tcBorders>
            <w:shd w:val="clear" w:color="auto" w:fill="auto"/>
            <w:vAlign w:val="center"/>
            <w:hideMark/>
          </w:tcPr>
          <w:p w14:paraId="1DD8BE9F" w14:textId="69A485BE"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xml:space="preserve">Airfield Capital Works P0008 </w:t>
            </w:r>
            <w:r w:rsidRPr="003E76E7">
              <w:rPr>
                <w:rFonts w:ascii="Arial" w:hAnsi="Arial"/>
                <w:b/>
                <w:bCs/>
                <w:color w:val="000000"/>
                <w:sz w:val="16"/>
                <w:szCs w:val="16"/>
                <w:lang w:val="en-AU"/>
              </w:rPr>
              <w:br/>
              <w:t>(RAAF Base Williamtown)</w:t>
            </w:r>
          </w:p>
        </w:tc>
        <w:tc>
          <w:tcPr>
            <w:tcW w:w="1911" w:type="dxa"/>
            <w:tcBorders>
              <w:top w:val="nil"/>
              <w:left w:val="nil"/>
              <w:bottom w:val="nil"/>
              <w:right w:val="nil"/>
            </w:tcBorders>
            <w:shd w:val="clear" w:color="auto" w:fill="auto"/>
            <w:vAlign w:val="center"/>
            <w:hideMark/>
          </w:tcPr>
          <w:p w14:paraId="1F158B24"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141" w:type="dxa"/>
            <w:tcBorders>
              <w:top w:val="nil"/>
              <w:left w:val="nil"/>
              <w:bottom w:val="nil"/>
              <w:right w:val="nil"/>
            </w:tcBorders>
            <w:shd w:val="clear" w:color="auto" w:fill="auto"/>
            <w:vAlign w:val="center"/>
            <w:hideMark/>
          </w:tcPr>
          <w:p w14:paraId="1887B275"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462" w:type="dxa"/>
            <w:tcBorders>
              <w:top w:val="nil"/>
              <w:left w:val="nil"/>
              <w:bottom w:val="nil"/>
              <w:right w:val="nil"/>
            </w:tcBorders>
            <w:shd w:val="clear" w:color="auto" w:fill="auto"/>
            <w:vAlign w:val="center"/>
            <w:hideMark/>
          </w:tcPr>
          <w:p w14:paraId="28D5E5D5"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313" w:type="dxa"/>
            <w:tcBorders>
              <w:top w:val="nil"/>
              <w:left w:val="nil"/>
              <w:bottom w:val="nil"/>
              <w:right w:val="nil"/>
            </w:tcBorders>
            <w:shd w:val="clear" w:color="auto" w:fill="auto"/>
            <w:vAlign w:val="center"/>
            <w:hideMark/>
          </w:tcPr>
          <w:p w14:paraId="30DEE01E"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r>
      <w:tr w:rsidR="00463A75" w:rsidRPr="003E76E7" w14:paraId="4C67126C" w14:textId="77777777" w:rsidTr="00B17397">
        <w:trPr>
          <w:trHeight w:val="225"/>
        </w:trPr>
        <w:tc>
          <w:tcPr>
            <w:tcW w:w="3119" w:type="dxa"/>
            <w:tcBorders>
              <w:top w:val="nil"/>
              <w:left w:val="nil"/>
              <w:bottom w:val="single" w:sz="4" w:space="0" w:color="auto"/>
              <w:right w:val="nil"/>
            </w:tcBorders>
            <w:shd w:val="clear" w:color="auto" w:fill="auto"/>
            <w:vAlign w:val="bottom"/>
            <w:hideMark/>
          </w:tcPr>
          <w:p w14:paraId="094F311A"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 xml:space="preserve">RAAF Base Williamtown </w:t>
            </w:r>
          </w:p>
        </w:tc>
        <w:tc>
          <w:tcPr>
            <w:tcW w:w="1911" w:type="dxa"/>
            <w:tcBorders>
              <w:top w:val="nil"/>
              <w:left w:val="nil"/>
              <w:bottom w:val="single" w:sz="4" w:space="0" w:color="auto"/>
              <w:right w:val="nil"/>
            </w:tcBorders>
            <w:shd w:val="clear" w:color="auto" w:fill="auto"/>
            <w:noWrap/>
            <w:vAlign w:val="bottom"/>
            <w:hideMark/>
          </w:tcPr>
          <w:p w14:paraId="3E1B5F07"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NSW - Paterson</w:t>
            </w:r>
          </w:p>
        </w:tc>
        <w:tc>
          <w:tcPr>
            <w:tcW w:w="1141" w:type="dxa"/>
            <w:tcBorders>
              <w:top w:val="nil"/>
              <w:left w:val="nil"/>
              <w:bottom w:val="single" w:sz="4" w:space="0" w:color="auto"/>
              <w:right w:val="nil"/>
            </w:tcBorders>
            <w:shd w:val="clear" w:color="auto" w:fill="auto"/>
            <w:noWrap/>
            <w:vAlign w:val="bottom"/>
            <w:hideMark/>
          </w:tcPr>
          <w:p w14:paraId="3B196C4E"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181.3</w:t>
            </w:r>
          </w:p>
        </w:tc>
        <w:tc>
          <w:tcPr>
            <w:tcW w:w="1462" w:type="dxa"/>
            <w:tcBorders>
              <w:top w:val="nil"/>
              <w:left w:val="nil"/>
              <w:bottom w:val="single" w:sz="4" w:space="0" w:color="auto"/>
              <w:right w:val="nil"/>
            </w:tcBorders>
            <w:shd w:val="clear" w:color="auto" w:fill="auto"/>
            <w:noWrap/>
            <w:vAlign w:val="bottom"/>
            <w:hideMark/>
          </w:tcPr>
          <w:p w14:paraId="595CC13A"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179.3</w:t>
            </w:r>
          </w:p>
        </w:tc>
        <w:tc>
          <w:tcPr>
            <w:tcW w:w="1313" w:type="dxa"/>
            <w:tcBorders>
              <w:top w:val="nil"/>
              <w:left w:val="nil"/>
              <w:bottom w:val="single" w:sz="4" w:space="0" w:color="auto"/>
              <w:right w:val="nil"/>
            </w:tcBorders>
            <w:shd w:val="clear" w:color="auto" w:fill="auto"/>
            <w:noWrap/>
            <w:vAlign w:val="bottom"/>
            <w:hideMark/>
          </w:tcPr>
          <w:p w14:paraId="566DC68E"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0.0</w:t>
            </w:r>
          </w:p>
        </w:tc>
      </w:tr>
      <w:tr w:rsidR="00463A75" w:rsidRPr="003E76E7" w14:paraId="794B2011" w14:textId="77777777" w:rsidTr="00B17397">
        <w:trPr>
          <w:trHeight w:val="225"/>
        </w:trPr>
        <w:tc>
          <w:tcPr>
            <w:tcW w:w="3119" w:type="dxa"/>
            <w:tcBorders>
              <w:top w:val="nil"/>
              <w:left w:val="nil"/>
              <w:bottom w:val="nil"/>
              <w:right w:val="nil"/>
            </w:tcBorders>
            <w:shd w:val="clear" w:color="auto" w:fill="auto"/>
            <w:vAlign w:val="center"/>
            <w:hideMark/>
          </w:tcPr>
          <w:p w14:paraId="410EDFA0" w14:textId="77777777" w:rsidR="00A37D48" w:rsidRPr="003E76E7" w:rsidRDefault="00A37D48" w:rsidP="00C4292D">
            <w:pPr>
              <w:spacing w:before="0" w:after="0"/>
              <w:rPr>
                <w:rFonts w:ascii="Arial" w:hAnsi="Arial"/>
                <w:b/>
                <w:bCs/>
                <w:color w:val="000000"/>
                <w:sz w:val="16"/>
                <w:szCs w:val="16"/>
                <w:lang w:val="en-AU"/>
              </w:rPr>
            </w:pPr>
          </w:p>
          <w:p w14:paraId="293A9519" w14:textId="4503E256"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lastRenderedPageBreak/>
              <w:t>Fishermans Bend Redevelopment</w:t>
            </w:r>
          </w:p>
        </w:tc>
        <w:tc>
          <w:tcPr>
            <w:tcW w:w="1911" w:type="dxa"/>
            <w:tcBorders>
              <w:top w:val="nil"/>
              <w:left w:val="nil"/>
              <w:bottom w:val="nil"/>
              <w:right w:val="nil"/>
            </w:tcBorders>
            <w:shd w:val="clear" w:color="auto" w:fill="auto"/>
            <w:vAlign w:val="center"/>
            <w:hideMark/>
          </w:tcPr>
          <w:p w14:paraId="4776AE15"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lastRenderedPageBreak/>
              <w:t> </w:t>
            </w:r>
          </w:p>
        </w:tc>
        <w:tc>
          <w:tcPr>
            <w:tcW w:w="1141" w:type="dxa"/>
            <w:tcBorders>
              <w:top w:val="nil"/>
              <w:left w:val="nil"/>
              <w:bottom w:val="nil"/>
              <w:right w:val="nil"/>
            </w:tcBorders>
            <w:shd w:val="clear" w:color="auto" w:fill="auto"/>
            <w:vAlign w:val="center"/>
            <w:hideMark/>
          </w:tcPr>
          <w:p w14:paraId="2F0138D7"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462" w:type="dxa"/>
            <w:tcBorders>
              <w:top w:val="nil"/>
              <w:left w:val="nil"/>
              <w:bottom w:val="nil"/>
              <w:right w:val="nil"/>
            </w:tcBorders>
            <w:shd w:val="clear" w:color="auto" w:fill="auto"/>
            <w:vAlign w:val="center"/>
            <w:hideMark/>
          </w:tcPr>
          <w:p w14:paraId="5CEE6872"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313" w:type="dxa"/>
            <w:tcBorders>
              <w:top w:val="nil"/>
              <w:left w:val="nil"/>
              <w:bottom w:val="nil"/>
              <w:right w:val="nil"/>
            </w:tcBorders>
            <w:shd w:val="clear" w:color="auto" w:fill="auto"/>
            <w:vAlign w:val="center"/>
            <w:hideMark/>
          </w:tcPr>
          <w:p w14:paraId="4129BD2C"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r>
      <w:tr w:rsidR="00463A75" w:rsidRPr="003E76E7" w14:paraId="453FA1AA" w14:textId="77777777" w:rsidTr="00B17397">
        <w:trPr>
          <w:trHeight w:val="225"/>
        </w:trPr>
        <w:tc>
          <w:tcPr>
            <w:tcW w:w="3119" w:type="dxa"/>
            <w:tcBorders>
              <w:top w:val="nil"/>
              <w:left w:val="nil"/>
              <w:bottom w:val="single" w:sz="4" w:space="0" w:color="auto"/>
              <w:right w:val="nil"/>
            </w:tcBorders>
            <w:shd w:val="clear" w:color="auto" w:fill="auto"/>
            <w:vAlign w:val="bottom"/>
            <w:hideMark/>
          </w:tcPr>
          <w:p w14:paraId="521A1945"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Fishermans Bend</w:t>
            </w:r>
          </w:p>
        </w:tc>
        <w:tc>
          <w:tcPr>
            <w:tcW w:w="1911" w:type="dxa"/>
            <w:tcBorders>
              <w:top w:val="nil"/>
              <w:left w:val="nil"/>
              <w:bottom w:val="single" w:sz="4" w:space="0" w:color="auto"/>
              <w:right w:val="nil"/>
            </w:tcBorders>
            <w:shd w:val="clear" w:color="auto" w:fill="auto"/>
            <w:noWrap/>
            <w:vAlign w:val="bottom"/>
            <w:hideMark/>
          </w:tcPr>
          <w:p w14:paraId="4E4857E3"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VIC - Macnamara</w:t>
            </w:r>
          </w:p>
        </w:tc>
        <w:tc>
          <w:tcPr>
            <w:tcW w:w="1141" w:type="dxa"/>
            <w:tcBorders>
              <w:top w:val="nil"/>
              <w:left w:val="nil"/>
              <w:bottom w:val="single" w:sz="4" w:space="0" w:color="auto"/>
              <w:right w:val="nil"/>
            </w:tcBorders>
            <w:shd w:val="clear" w:color="auto" w:fill="auto"/>
            <w:noWrap/>
            <w:vAlign w:val="bottom"/>
            <w:hideMark/>
          </w:tcPr>
          <w:p w14:paraId="486087EA"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160.9</w:t>
            </w:r>
          </w:p>
        </w:tc>
        <w:tc>
          <w:tcPr>
            <w:tcW w:w="1462" w:type="dxa"/>
            <w:tcBorders>
              <w:top w:val="nil"/>
              <w:left w:val="nil"/>
              <w:bottom w:val="single" w:sz="4" w:space="0" w:color="auto"/>
              <w:right w:val="nil"/>
            </w:tcBorders>
            <w:shd w:val="clear" w:color="auto" w:fill="auto"/>
            <w:noWrap/>
            <w:vAlign w:val="bottom"/>
            <w:hideMark/>
          </w:tcPr>
          <w:p w14:paraId="3A4AFDCA"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86.7</w:t>
            </w:r>
          </w:p>
        </w:tc>
        <w:tc>
          <w:tcPr>
            <w:tcW w:w="1313" w:type="dxa"/>
            <w:tcBorders>
              <w:top w:val="nil"/>
              <w:left w:val="nil"/>
              <w:bottom w:val="single" w:sz="4" w:space="0" w:color="auto"/>
              <w:right w:val="nil"/>
            </w:tcBorders>
            <w:shd w:val="clear" w:color="auto" w:fill="auto"/>
            <w:noWrap/>
            <w:vAlign w:val="bottom"/>
            <w:hideMark/>
          </w:tcPr>
          <w:p w14:paraId="69F709CB"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39.2</w:t>
            </w:r>
          </w:p>
        </w:tc>
      </w:tr>
      <w:tr w:rsidR="00463A75" w:rsidRPr="003E76E7" w14:paraId="2C86A078" w14:textId="77777777" w:rsidTr="00B17397">
        <w:trPr>
          <w:trHeight w:val="225"/>
        </w:trPr>
        <w:tc>
          <w:tcPr>
            <w:tcW w:w="3119" w:type="dxa"/>
            <w:tcBorders>
              <w:top w:val="nil"/>
              <w:left w:val="nil"/>
              <w:bottom w:val="nil"/>
              <w:right w:val="nil"/>
            </w:tcBorders>
            <w:shd w:val="clear" w:color="auto" w:fill="auto"/>
            <w:vAlign w:val="center"/>
            <w:hideMark/>
          </w:tcPr>
          <w:p w14:paraId="3529C655" w14:textId="45BE80D0"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xml:space="preserve">RAAF Base Darwin </w:t>
            </w:r>
            <w:r w:rsidR="00B17397" w:rsidRPr="003E76E7">
              <w:rPr>
                <w:rFonts w:ascii="Arial" w:hAnsi="Arial"/>
                <w:b/>
                <w:bCs/>
                <w:color w:val="000000"/>
                <w:sz w:val="16"/>
                <w:szCs w:val="16"/>
                <w:lang w:val="en-AU"/>
              </w:rPr>
              <w:br/>
            </w:r>
            <w:r w:rsidRPr="003E76E7">
              <w:rPr>
                <w:rFonts w:ascii="Arial" w:hAnsi="Arial"/>
                <w:b/>
                <w:bCs/>
                <w:color w:val="000000"/>
                <w:sz w:val="16"/>
                <w:szCs w:val="16"/>
                <w:lang w:val="en-AU"/>
              </w:rPr>
              <w:t>Mid-Term Refresh</w:t>
            </w:r>
          </w:p>
        </w:tc>
        <w:tc>
          <w:tcPr>
            <w:tcW w:w="1911" w:type="dxa"/>
            <w:tcBorders>
              <w:top w:val="nil"/>
              <w:left w:val="nil"/>
              <w:bottom w:val="nil"/>
              <w:right w:val="nil"/>
            </w:tcBorders>
            <w:shd w:val="clear" w:color="auto" w:fill="auto"/>
            <w:vAlign w:val="center"/>
            <w:hideMark/>
          </w:tcPr>
          <w:p w14:paraId="1EAA80F9"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141" w:type="dxa"/>
            <w:tcBorders>
              <w:top w:val="nil"/>
              <w:left w:val="nil"/>
              <w:bottom w:val="nil"/>
              <w:right w:val="nil"/>
            </w:tcBorders>
            <w:shd w:val="clear" w:color="auto" w:fill="auto"/>
            <w:vAlign w:val="center"/>
            <w:hideMark/>
          </w:tcPr>
          <w:p w14:paraId="0E229EFC"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462" w:type="dxa"/>
            <w:tcBorders>
              <w:top w:val="nil"/>
              <w:left w:val="nil"/>
              <w:bottom w:val="nil"/>
              <w:right w:val="nil"/>
            </w:tcBorders>
            <w:shd w:val="clear" w:color="auto" w:fill="auto"/>
            <w:vAlign w:val="center"/>
            <w:hideMark/>
          </w:tcPr>
          <w:p w14:paraId="6139EACF"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313" w:type="dxa"/>
            <w:tcBorders>
              <w:top w:val="nil"/>
              <w:left w:val="nil"/>
              <w:bottom w:val="nil"/>
              <w:right w:val="nil"/>
            </w:tcBorders>
            <w:shd w:val="clear" w:color="auto" w:fill="auto"/>
            <w:vAlign w:val="center"/>
            <w:hideMark/>
          </w:tcPr>
          <w:p w14:paraId="05F1E90F"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r>
      <w:tr w:rsidR="00463A75" w:rsidRPr="003E76E7" w14:paraId="79C6FFFF" w14:textId="77777777" w:rsidTr="00B17397">
        <w:trPr>
          <w:trHeight w:val="225"/>
        </w:trPr>
        <w:tc>
          <w:tcPr>
            <w:tcW w:w="3119" w:type="dxa"/>
            <w:tcBorders>
              <w:top w:val="nil"/>
              <w:left w:val="nil"/>
              <w:bottom w:val="single" w:sz="4" w:space="0" w:color="auto"/>
              <w:right w:val="nil"/>
            </w:tcBorders>
            <w:shd w:val="clear" w:color="auto" w:fill="auto"/>
            <w:vAlign w:val="bottom"/>
            <w:hideMark/>
          </w:tcPr>
          <w:p w14:paraId="43C6E207"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RAAF Base Darwin</w:t>
            </w:r>
          </w:p>
        </w:tc>
        <w:tc>
          <w:tcPr>
            <w:tcW w:w="1911" w:type="dxa"/>
            <w:tcBorders>
              <w:top w:val="nil"/>
              <w:left w:val="nil"/>
              <w:bottom w:val="single" w:sz="4" w:space="0" w:color="auto"/>
              <w:right w:val="nil"/>
            </w:tcBorders>
            <w:shd w:val="clear" w:color="auto" w:fill="auto"/>
            <w:noWrap/>
            <w:vAlign w:val="bottom"/>
            <w:hideMark/>
          </w:tcPr>
          <w:p w14:paraId="3FD9F67E"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NT - Solomon</w:t>
            </w:r>
          </w:p>
        </w:tc>
        <w:tc>
          <w:tcPr>
            <w:tcW w:w="1141" w:type="dxa"/>
            <w:tcBorders>
              <w:top w:val="nil"/>
              <w:left w:val="nil"/>
              <w:bottom w:val="single" w:sz="4" w:space="0" w:color="auto"/>
              <w:right w:val="nil"/>
            </w:tcBorders>
            <w:shd w:val="clear" w:color="auto" w:fill="auto"/>
            <w:noWrap/>
            <w:vAlign w:val="bottom"/>
            <w:hideMark/>
          </w:tcPr>
          <w:p w14:paraId="27D21259"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159.9</w:t>
            </w:r>
          </w:p>
        </w:tc>
        <w:tc>
          <w:tcPr>
            <w:tcW w:w="1462" w:type="dxa"/>
            <w:tcBorders>
              <w:top w:val="nil"/>
              <w:left w:val="nil"/>
              <w:bottom w:val="single" w:sz="4" w:space="0" w:color="auto"/>
              <w:right w:val="nil"/>
            </w:tcBorders>
            <w:shd w:val="clear" w:color="auto" w:fill="auto"/>
            <w:noWrap/>
            <w:vAlign w:val="bottom"/>
            <w:hideMark/>
          </w:tcPr>
          <w:p w14:paraId="41169A40"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101.3</w:t>
            </w:r>
          </w:p>
        </w:tc>
        <w:tc>
          <w:tcPr>
            <w:tcW w:w="1313" w:type="dxa"/>
            <w:tcBorders>
              <w:top w:val="nil"/>
              <w:left w:val="nil"/>
              <w:bottom w:val="single" w:sz="4" w:space="0" w:color="auto"/>
              <w:right w:val="nil"/>
            </w:tcBorders>
            <w:shd w:val="clear" w:color="auto" w:fill="auto"/>
            <w:noWrap/>
            <w:vAlign w:val="bottom"/>
            <w:hideMark/>
          </w:tcPr>
          <w:p w14:paraId="1B2872C0"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46.2</w:t>
            </w:r>
          </w:p>
        </w:tc>
      </w:tr>
      <w:tr w:rsidR="00463A75" w:rsidRPr="003E76E7" w14:paraId="1A6242F6" w14:textId="77777777" w:rsidTr="00B17397">
        <w:trPr>
          <w:trHeight w:val="225"/>
        </w:trPr>
        <w:tc>
          <w:tcPr>
            <w:tcW w:w="3119" w:type="dxa"/>
            <w:tcBorders>
              <w:top w:val="nil"/>
              <w:left w:val="nil"/>
              <w:bottom w:val="nil"/>
              <w:right w:val="nil"/>
            </w:tcBorders>
            <w:shd w:val="clear" w:color="auto" w:fill="auto"/>
            <w:vAlign w:val="center"/>
            <w:hideMark/>
          </w:tcPr>
          <w:p w14:paraId="6257C814" w14:textId="33D9C991"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xml:space="preserve">Facilities to Support SEA 9100 </w:t>
            </w:r>
            <w:r w:rsidR="00A37D48" w:rsidRPr="003E76E7">
              <w:rPr>
                <w:rFonts w:ascii="Arial" w:hAnsi="Arial"/>
                <w:b/>
                <w:bCs/>
                <w:color w:val="000000"/>
                <w:sz w:val="16"/>
                <w:szCs w:val="16"/>
                <w:lang w:val="en-AU"/>
              </w:rPr>
              <w:br/>
            </w:r>
            <w:r w:rsidRPr="003E76E7">
              <w:rPr>
                <w:rFonts w:ascii="Arial" w:hAnsi="Arial"/>
                <w:b/>
                <w:bCs/>
                <w:color w:val="000000"/>
                <w:sz w:val="16"/>
                <w:szCs w:val="16"/>
                <w:lang w:val="en-AU"/>
              </w:rPr>
              <w:t xml:space="preserve">Phase 1 Improved Embarked Logistics Support Helicopter </w:t>
            </w:r>
          </w:p>
        </w:tc>
        <w:tc>
          <w:tcPr>
            <w:tcW w:w="1911" w:type="dxa"/>
            <w:tcBorders>
              <w:top w:val="nil"/>
              <w:left w:val="nil"/>
              <w:bottom w:val="nil"/>
              <w:right w:val="nil"/>
            </w:tcBorders>
            <w:shd w:val="clear" w:color="auto" w:fill="auto"/>
            <w:vAlign w:val="center"/>
            <w:hideMark/>
          </w:tcPr>
          <w:p w14:paraId="5CA39D93"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141" w:type="dxa"/>
            <w:tcBorders>
              <w:top w:val="nil"/>
              <w:left w:val="nil"/>
              <w:bottom w:val="nil"/>
              <w:right w:val="nil"/>
            </w:tcBorders>
            <w:shd w:val="clear" w:color="auto" w:fill="auto"/>
            <w:vAlign w:val="center"/>
            <w:hideMark/>
          </w:tcPr>
          <w:p w14:paraId="0BE10957"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462" w:type="dxa"/>
            <w:tcBorders>
              <w:top w:val="nil"/>
              <w:left w:val="nil"/>
              <w:bottom w:val="nil"/>
              <w:right w:val="nil"/>
            </w:tcBorders>
            <w:shd w:val="clear" w:color="auto" w:fill="auto"/>
            <w:vAlign w:val="center"/>
            <w:hideMark/>
          </w:tcPr>
          <w:p w14:paraId="53300886"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313" w:type="dxa"/>
            <w:tcBorders>
              <w:top w:val="nil"/>
              <w:left w:val="nil"/>
              <w:bottom w:val="nil"/>
              <w:right w:val="nil"/>
            </w:tcBorders>
            <w:shd w:val="clear" w:color="auto" w:fill="auto"/>
            <w:vAlign w:val="center"/>
            <w:hideMark/>
          </w:tcPr>
          <w:p w14:paraId="74C3E62D"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r>
      <w:tr w:rsidR="00463A75" w:rsidRPr="003E76E7" w14:paraId="7CE64139" w14:textId="77777777" w:rsidTr="00B17397">
        <w:trPr>
          <w:trHeight w:val="225"/>
        </w:trPr>
        <w:tc>
          <w:tcPr>
            <w:tcW w:w="3119" w:type="dxa"/>
            <w:tcBorders>
              <w:top w:val="nil"/>
              <w:left w:val="nil"/>
              <w:bottom w:val="nil"/>
              <w:right w:val="nil"/>
            </w:tcBorders>
            <w:shd w:val="clear" w:color="auto" w:fill="auto"/>
            <w:vAlign w:val="bottom"/>
            <w:hideMark/>
          </w:tcPr>
          <w:p w14:paraId="46AF9F86" w14:textId="23992AD8"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 xml:space="preserve">HMAS </w:t>
            </w:r>
            <w:r w:rsidR="002F62D4" w:rsidRPr="002F62D4">
              <w:rPr>
                <w:rFonts w:ascii="Arial" w:hAnsi="Arial"/>
                <w:iCs/>
                <w:color w:val="000000"/>
                <w:sz w:val="16"/>
                <w:szCs w:val="16"/>
                <w:lang w:val="en-AU"/>
              </w:rPr>
              <w:t>Albatross</w:t>
            </w:r>
          </w:p>
        </w:tc>
        <w:tc>
          <w:tcPr>
            <w:tcW w:w="1911" w:type="dxa"/>
            <w:tcBorders>
              <w:top w:val="nil"/>
              <w:left w:val="nil"/>
              <w:bottom w:val="nil"/>
              <w:right w:val="nil"/>
            </w:tcBorders>
            <w:shd w:val="clear" w:color="auto" w:fill="auto"/>
            <w:noWrap/>
            <w:vAlign w:val="bottom"/>
            <w:hideMark/>
          </w:tcPr>
          <w:p w14:paraId="5A87AE72"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NSW - Gilmore</w:t>
            </w:r>
          </w:p>
        </w:tc>
        <w:tc>
          <w:tcPr>
            <w:tcW w:w="1141" w:type="dxa"/>
            <w:tcBorders>
              <w:top w:val="nil"/>
              <w:left w:val="nil"/>
              <w:bottom w:val="nil"/>
              <w:right w:val="nil"/>
            </w:tcBorders>
            <w:shd w:val="clear" w:color="auto" w:fill="auto"/>
            <w:noWrap/>
            <w:vAlign w:val="bottom"/>
            <w:hideMark/>
          </w:tcPr>
          <w:p w14:paraId="223C324B" w14:textId="77777777"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7A6229C7"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32.2</w:t>
            </w:r>
          </w:p>
        </w:tc>
        <w:tc>
          <w:tcPr>
            <w:tcW w:w="1313" w:type="dxa"/>
            <w:tcBorders>
              <w:top w:val="nil"/>
              <w:left w:val="nil"/>
              <w:bottom w:val="nil"/>
              <w:right w:val="nil"/>
            </w:tcBorders>
            <w:shd w:val="clear" w:color="auto" w:fill="auto"/>
            <w:noWrap/>
            <w:vAlign w:val="bottom"/>
            <w:hideMark/>
          </w:tcPr>
          <w:p w14:paraId="22E9C2E3"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75.6</w:t>
            </w:r>
          </w:p>
        </w:tc>
      </w:tr>
      <w:tr w:rsidR="00463A75" w:rsidRPr="003E76E7" w14:paraId="06E18708" w14:textId="77777777" w:rsidTr="00B17397">
        <w:trPr>
          <w:trHeight w:val="225"/>
        </w:trPr>
        <w:tc>
          <w:tcPr>
            <w:tcW w:w="3119" w:type="dxa"/>
            <w:tcBorders>
              <w:top w:val="nil"/>
              <w:left w:val="nil"/>
              <w:bottom w:val="nil"/>
              <w:right w:val="nil"/>
            </w:tcBorders>
            <w:shd w:val="clear" w:color="auto" w:fill="auto"/>
            <w:vAlign w:val="bottom"/>
            <w:hideMark/>
          </w:tcPr>
          <w:p w14:paraId="286121D8"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 xml:space="preserve">HMAS </w:t>
            </w:r>
            <w:r w:rsidRPr="00C210BD">
              <w:rPr>
                <w:rFonts w:ascii="Arial" w:hAnsi="Arial"/>
                <w:iCs/>
                <w:color w:val="000000"/>
                <w:sz w:val="16"/>
                <w:szCs w:val="16"/>
                <w:lang w:val="en-AU"/>
              </w:rPr>
              <w:t>Stirling</w:t>
            </w:r>
          </w:p>
        </w:tc>
        <w:tc>
          <w:tcPr>
            <w:tcW w:w="1911" w:type="dxa"/>
            <w:tcBorders>
              <w:top w:val="nil"/>
              <w:left w:val="nil"/>
              <w:bottom w:val="nil"/>
              <w:right w:val="nil"/>
            </w:tcBorders>
            <w:shd w:val="clear" w:color="auto" w:fill="auto"/>
            <w:noWrap/>
            <w:vAlign w:val="bottom"/>
            <w:hideMark/>
          </w:tcPr>
          <w:p w14:paraId="315C11F1"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WA - Brand</w:t>
            </w:r>
          </w:p>
        </w:tc>
        <w:tc>
          <w:tcPr>
            <w:tcW w:w="1141" w:type="dxa"/>
            <w:tcBorders>
              <w:top w:val="nil"/>
              <w:left w:val="nil"/>
              <w:bottom w:val="nil"/>
              <w:right w:val="nil"/>
            </w:tcBorders>
            <w:shd w:val="clear" w:color="auto" w:fill="auto"/>
            <w:noWrap/>
            <w:vAlign w:val="bottom"/>
            <w:hideMark/>
          </w:tcPr>
          <w:p w14:paraId="3429266A" w14:textId="77777777"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29B37E83"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0.0</w:t>
            </w:r>
          </w:p>
        </w:tc>
        <w:tc>
          <w:tcPr>
            <w:tcW w:w="1313" w:type="dxa"/>
            <w:tcBorders>
              <w:top w:val="nil"/>
              <w:left w:val="nil"/>
              <w:bottom w:val="nil"/>
              <w:right w:val="nil"/>
            </w:tcBorders>
            <w:shd w:val="clear" w:color="auto" w:fill="auto"/>
            <w:noWrap/>
            <w:vAlign w:val="bottom"/>
            <w:hideMark/>
          </w:tcPr>
          <w:p w14:paraId="66091E6F"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4.8</w:t>
            </w:r>
          </w:p>
        </w:tc>
      </w:tr>
      <w:tr w:rsidR="00463A75" w:rsidRPr="003E76E7" w14:paraId="7B4B0A7D" w14:textId="77777777" w:rsidTr="00B17397">
        <w:trPr>
          <w:trHeight w:val="225"/>
        </w:trPr>
        <w:tc>
          <w:tcPr>
            <w:tcW w:w="3119" w:type="dxa"/>
            <w:tcBorders>
              <w:top w:val="nil"/>
              <w:left w:val="nil"/>
              <w:bottom w:val="single" w:sz="4" w:space="0" w:color="auto"/>
              <w:right w:val="nil"/>
            </w:tcBorders>
            <w:shd w:val="clear" w:color="auto" w:fill="auto"/>
            <w:vAlign w:val="bottom"/>
            <w:hideMark/>
          </w:tcPr>
          <w:p w14:paraId="1505F74E"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xml:space="preserve">Total </w:t>
            </w:r>
          </w:p>
        </w:tc>
        <w:tc>
          <w:tcPr>
            <w:tcW w:w="1911" w:type="dxa"/>
            <w:tcBorders>
              <w:top w:val="nil"/>
              <w:left w:val="nil"/>
              <w:bottom w:val="single" w:sz="4" w:space="0" w:color="auto"/>
              <w:right w:val="nil"/>
            </w:tcBorders>
            <w:shd w:val="clear" w:color="auto" w:fill="auto"/>
            <w:noWrap/>
            <w:vAlign w:val="bottom"/>
            <w:hideMark/>
          </w:tcPr>
          <w:p w14:paraId="20ED240F" w14:textId="77777777" w:rsidR="00463A75" w:rsidRPr="003E76E7" w:rsidRDefault="00463A75" w:rsidP="00C4292D">
            <w:pPr>
              <w:spacing w:before="0" w:after="0"/>
              <w:jc w:val="center"/>
              <w:rPr>
                <w:rFonts w:ascii="Arial" w:hAnsi="Arial"/>
                <w:b/>
                <w:bCs/>
                <w:color w:val="000000"/>
                <w:sz w:val="16"/>
                <w:szCs w:val="16"/>
                <w:lang w:val="en-AU"/>
              </w:rPr>
            </w:pPr>
            <w:r w:rsidRPr="003E76E7">
              <w:rPr>
                <w:rFonts w:ascii="Arial" w:hAnsi="Arial"/>
                <w:b/>
                <w:bCs/>
                <w:color w:val="000000"/>
                <w:sz w:val="16"/>
                <w:szCs w:val="16"/>
                <w:lang w:val="en-AU"/>
              </w:rPr>
              <w:t> </w:t>
            </w:r>
          </w:p>
        </w:tc>
        <w:tc>
          <w:tcPr>
            <w:tcW w:w="1141" w:type="dxa"/>
            <w:tcBorders>
              <w:top w:val="nil"/>
              <w:left w:val="nil"/>
              <w:bottom w:val="single" w:sz="4" w:space="0" w:color="auto"/>
              <w:right w:val="nil"/>
            </w:tcBorders>
            <w:shd w:val="clear" w:color="auto" w:fill="auto"/>
            <w:noWrap/>
            <w:vAlign w:val="bottom"/>
            <w:hideMark/>
          </w:tcPr>
          <w:p w14:paraId="448D1A2E"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146.0</w:t>
            </w:r>
          </w:p>
        </w:tc>
        <w:tc>
          <w:tcPr>
            <w:tcW w:w="1462" w:type="dxa"/>
            <w:tcBorders>
              <w:top w:val="nil"/>
              <w:left w:val="nil"/>
              <w:bottom w:val="single" w:sz="4" w:space="0" w:color="auto"/>
              <w:right w:val="nil"/>
            </w:tcBorders>
            <w:shd w:val="clear" w:color="auto" w:fill="auto"/>
            <w:noWrap/>
            <w:vAlign w:val="bottom"/>
            <w:hideMark/>
          </w:tcPr>
          <w:p w14:paraId="74324288"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32.2</w:t>
            </w:r>
          </w:p>
        </w:tc>
        <w:tc>
          <w:tcPr>
            <w:tcW w:w="1313" w:type="dxa"/>
            <w:tcBorders>
              <w:top w:val="nil"/>
              <w:left w:val="nil"/>
              <w:bottom w:val="single" w:sz="4" w:space="0" w:color="auto"/>
              <w:right w:val="nil"/>
            </w:tcBorders>
            <w:shd w:val="clear" w:color="auto" w:fill="auto"/>
            <w:noWrap/>
            <w:vAlign w:val="bottom"/>
            <w:hideMark/>
          </w:tcPr>
          <w:p w14:paraId="472F43DB"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80.4</w:t>
            </w:r>
          </w:p>
        </w:tc>
      </w:tr>
      <w:tr w:rsidR="00463A75" w:rsidRPr="003E76E7" w14:paraId="291CC380" w14:textId="77777777" w:rsidTr="00B17397">
        <w:trPr>
          <w:trHeight w:val="225"/>
        </w:trPr>
        <w:tc>
          <w:tcPr>
            <w:tcW w:w="3119" w:type="dxa"/>
            <w:tcBorders>
              <w:top w:val="nil"/>
              <w:left w:val="nil"/>
              <w:bottom w:val="nil"/>
              <w:right w:val="nil"/>
            </w:tcBorders>
            <w:shd w:val="clear" w:color="auto" w:fill="auto"/>
            <w:vAlign w:val="center"/>
            <w:hideMark/>
          </w:tcPr>
          <w:p w14:paraId="08DE46C3"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xml:space="preserve">Airfield Capital Works P0012 </w:t>
            </w:r>
            <w:r w:rsidRPr="003E76E7">
              <w:rPr>
                <w:rFonts w:ascii="Arial" w:hAnsi="Arial"/>
                <w:b/>
                <w:bCs/>
                <w:color w:val="000000"/>
                <w:sz w:val="16"/>
                <w:szCs w:val="16"/>
                <w:lang w:val="en-AU"/>
              </w:rPr>
              <w:br/>
              <w:t>(RAAF Base Townsville)</w:t>
            </w:r>
          </w:p>
        </w:tc>
        <w:tc>
          <w:tcPr>
            <w:tcW w:w="1911" w:type="dxa"/>
            <w:tcBorders>
              <w:top w:val="nil"/>
              <w:left w:val="nil"/>
              <w:bottom w:val="nil"/>
              <w:right w:val="nil"/>
            </w:tcBorders>
            <w:shd w:val="clear" w:color="auto" w:fill="auto"/>
            <w:vAlign w:val="center"/>
            <w:hideMark/>
          </w:tcPr>
          <w:p w14:paraId="524D694D"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141" w:type="dxa"/>
            <w:tcBorders>
              <w:top w:val="nil"/>
              <w:left w:val="nil"/>
              <w:bottom w:val="nil"/>
              <w:right w:val="nil"/>
            </w:tcBorders>
            <w:shd w:val="clear" w:color="auto" w:fill="auto"/>
            <w:vAlign w:val="center"/>
            <w:hideMark/>
          </w:tcPr>
          <w:p w14:paraId="7ECD8D3B"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462" w:type="dxa"/>
            <w:tcBorders>
              <w:top w:val="nil"/>
              <w:left w:val="nil"/>
              <w:bottom w:val="nil"/>
              <w:right w:val="nil"/>
            </w:tcBorders>
            <w:shd w:val="clear" w:color="auto" w:fill="auto"/>
            <w:vAlign w:val="center"/>
            <w:hideMark/>
          </w:tcPr>
          <w:p w14:paraId="2EAFFD9B"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313" w:type="dxa"/>
            <w:tcBorders>
              <w:top w:val="nil"/>
              <w:left w:val="nil"/>
              <w:bottom w:val="nil"/>
              <w:right w:val="nil"/>
            </w:tcBorders>
            <w:shd w:val="clear" w:color="auto" w:fill="auto"/>
            <w:vAlign w:val="center"/>
            <w:hideMark/>
          </w:tcPr>
          <w:p w14:paraId="30A0EFD0"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r>
      <w:tr w:rsidR="00463A75" w:rsidRPr="003E76E7" w14:paraId="7D5D6F48" w14:textId="77777777" w:rsidTr="00B17397">
        <w:trPr>
          <w:trHeight w:val="225"/>
        </w:trPr>
        <w:tc>
          <w:tcPr>
            <w:tcW w:w="3119" w:type="dxa"/>
            <w:tcBorders>
              <w:top w:val="nil"/>
              <w:left w:val="nil"/>
              <w:bottom w:val="single" w:sz="4" w:space="0" w:color="auto"/>
              <w:right w:val="nil"/>
            </w:tcBorders>
            <w:shd w:val="clear" w:color="auto" w:fill="auto"/>
            <w:vAlign w:val="bottom"/>
            <w:hideMark/>
          </w:tcPr>
          <w:p w14:paraId="4F84BD2C"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RAAF Base Townsville</w:t>
            </w:r>
          </w:p>
        </w:tc>
        <w:tc>
          <w:tcPr>
            <w:tcW w:w="1911" w:type="dxa"/>
            <w:tcBorders>
              <w:top w:val="nil"/>
              <w:left w:val="nil"/>
              <w:bottom w:val="single" w:sz="4" w:space="0" w:color="auto"/>
              <w:right w:val="nil"/>
            </w:tcBorders>
            <w:shd w:val="clear" w:color="auto" w:fill="auto"/>
            <w:noWrap/>
            <w:vAlign w:val="bottom"/>
            <w:hideMark/>
          </w:tcPr>
          <w:p w14:paraId="325A1940"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QLD - Herbert</w:t>
            </w:r>
          </w:p>
        </w:tc>
        <w:tc>
          <w:tcPr>
            <w:tcW w:w="1141" w:type="dxa"/>
            <w:tcBorders>
              <w:top w:val="nil"/>
              <w:left w:val="nil"/>
              <w:bottom w:val="single" w:sz="4" w:space="0" w:color="auto"/>
              <w:right w:val="nil"/>
            </w:tcBorders>
            <w:shd w:val="clear" w:color="auto" w:fill="auto"/>
            <w:noWrap/>
            <w:vAlign w:val="bottom"/>
            <w:hideMark/>
          </w:tcPr>
          <w:p w14:paraId="4587850A"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127.6</w:t>
            </w:r>
          </w:p>
        </w:tc>
        <w:tc>
          <w:tcPr>
            <w:tcW w:w="1462" w:type="dxa"/>
            <w:tcBorders>
              <w:top w:val="nil"/>
              <w:left w:val="nil"/>
              <w:bottom w:val="single" w:sz="4" w:space="0" w:color="auto"/>
              <w:right w:val="nil"/>
            </w:tcBorders>
            <w:shd w:val="clear" w:color="auto" w:fill="auto"/>
            <w:noWrap/>
            <w:vAlign w:val="bottom"/>
            <w:hideMark/>
          </w:tcPr>
          <w:p w14:paraId="7B07B3D6"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49.1</w:t>
            </w:r>
          </w:p>
        </w:tc>
        <w:tc>
          <w:tcPr>
            <w:tcW w:w="1313" w:type="dxa"/>
            <w:tcBorders>
              <w:top w:val="nil"/>
              <w:left w:val="nil"/>
              <w:bottom w:val="single" w:sz="4" w:space="0" w:color="auto"/>
              <w:right w:val="nil"/>
            </w:tcBorders>
            <w:shd w:val="clear" w:color="auto" w:fill="auto"/>
            <w:noWrap/>
            <w:vAlign w:val="bottom"/>
            <w:hideMark/>
          </w:tcPr>
          <w:p w14:paraId="718B0576"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40.6</w:t>
            </w:r>
          </w:p>
        </w:tc>
      </w:tr>
      <w:tr w:rsidR="00463A75" w:rsidRPr="003E76E7" w14:paraId="603C21AE" w14:textId="77777777" w:rsidTr="00B17397">
        <w:trPr>
          <w:trHeight w:val="225"/>
        </w:trPr>
        <w:tc>
          <w:tcPr>
            <w:tcW w:w="3119" w:type="dxa"/>
            <w:tcBorders>
              <w:top w:val="nil"/>
              <w:left w:val="nil"/>
              <w:bottom w:val="nil"/>
              <w:right w:val="nil"/>
            </w:tcBorders>
            <w:shd w:val="clear" w:color="auto" w:fill="auto"/>
            <w:vAlign w:val="center"/>
            <w:hideMark/>
          </w:tcPr>
          <w:p w14:paraId="04832142"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xml:space="preserve">HMAS </w:t>
            </w:r>
            <w:r w:rsidRPr="002F62D4">
              <w:rPr>
                <w:rFonts w:ascii="Arial" w:hAnsi="Arial"/>
                <w:b/>
                <w:bCs/>
                <w:iCs/>
                <w:color w:val="000000"/>
                <w:sz w:val="16"/>
                <w:szCs w:val="16"/>
                <w:lang w:val="en-AU"/>
              </w:rPr>
              <w:t>Harman</w:t>
            </w:r>
            <w:r w:rsidRPr="003E76E7">
              <w:rPr>
                <w:rFonts w:ascii="Arial" w:hAnsi="Arial"/>
                <w:b/>
                <w:bCs/>
                <w:color w:val="000000"/>
                <w:sz w:val="16"/>
                <w:szCs w:val="16"/>
                <w:lang w:val="en-AU"/>
              </w:rPr>
              <w:t xml:space="preserve"> Redevelopment</w:t>
            </w:r>
          </w:p>
        </w:tc>
        <w:tc>
          <w:tcPr>
            <w:tcW w:w="1911" w:type="dxa"/>
            <w:tcBorders>
              <w:top w:val="nil"/>
              <w:left w:val="nil"/>
              <w:bottom w:val="nil"/>
              <w:right w:val="nil"/>
            </w:tcBorders>
            <w:shd w:val="clear" w:color="auto" w:fill="auto"/>
            <w:vAlign w:val="center"/>
            <w:hideMark/>
          </w:tcPr>
          <w:p w14:paraId="359F9D72"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141" w:type="dxa"/>
            <w:tcBorders>
              <w:top w:val="nil"/>
              <w:left w:val="nil"/>
              <w:bottom w:val="nil"/>
              <w:right w:val="nil"/>
            </w:tcBorders>
            <w:shd w:val="clear" w:color="auto" w:fill="auto"/>
            <w:vAlign w:val="center"/>
            <w:hideMark/>
          </w:tcPr>
          <w:p w14:paraId="4767E84B"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462" w:type="dxa"/>
            <w:tcBorders>
              <w:top w:val="nil"/>
              <w:left w:val="nil"/>
              <w:bottom w:val="nil"/>
              <w:right w:val="nil"/>
            </w:tcBorders>
            <w:shd w:val="clear" w:color="auto" w:fill="auto"/>
            <w:vAlign w:val="center"/>
            <w:hideMark/>
          </w:tcPr>
          <w:p w14:paraId="784762D4"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313" w:type="dxa"/>
            <w:tcBorders>
              <w:top w:val="nil"/>
              <w:left w:val="nil"/>
              <w:bottom w:val="nil"/>
              <w:right w:val="nil"/>
            </w:tcBorders>
            <w:shd w:val="clear" w:color="auto" w:fill="auto"/>
            <w:vAlign w:val="center"/>
            <w:hideMark/>
          </w:tcPr>
          <w:p w14:paraId="65A75A32"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r>
      <w:tr w:rsidR="00463A75" w:rsidRPr="003E76E7" w14:paraId="493F535B" w14:textId="77777777" w:rsidTr="00B17397">
        <w:trPr>
          <w:trHeight w:val="225"/>
        </w:trPr>
        <w:tc>
          <w:tcPr>
            <w:tcW w:w="3119" w:type="dxa"/>
            <w:tcBorders>
              <w:top w:val="nil"/>
              <w:left w:val="nil"/>
              <w:bottom w:val="single" w:sz="4" w:space="0" w:color="auto"/>
              <w:right w:val="nil"/>
            </w:tcBorders>
            <w:shd w:val="clear" w:color="auto" w:fill="auto"/>
            <w:vAlign w:val="bottom"/>
            <w:hideMark/>
          </w:tcPr>
          <w:p w14:paraId="7DE4F12A"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 xml:space="preserve">HMAS </w:t>
            </w:r>
            <w:r w:rsidRPr="002F62D4">
              <w:rPr>
                <w:rFonts w:ascii="Arial" w:hAnsi="Arial"/>
                <w:iCs/>
                <w:color w:val="000000"/>
                <w:sz w:val="16"/>
                <w:szCs w:val="16"/>
                <w:lang w:val="en-AU"/>
              </w:rPr>
              <w:t>Harman</w:t>
            </w:r>
          </w:p>
        </w:tc>
        <w:tc>
          <w:tcPr>
            <w:tcW w:w="1911" w:type="dxa"/>
            <w:tcBorders>
              <w:top w:val="nil"/>
              <w:left w:val="nil"/>
              <w:bottom w:val="single" w:sz="4" w:space="0" w:color="auto"/>
              <w:right w:val="nil"/>
            </w:tcBorders>
            <w:shd w:val="clear" w:color="auto" w:fill="auto"/>
            <w:noWrap/>
            <w:vAlign w:val="bottom"/>
            <w:hideMark/>
          </w:tcPr>
          <w:p w14:paraId="5304DA1C"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ACT - Bean</w:t>
            </w:r>
          </w:p>
        </w:tc>
        <w:tc>
          <w:tcPr>
            <w:tcW w:w="1141" w:type="dxa"/>
            <w:tcBorders>
              <w:top w:val="nil"/>
              <w:left w:val="nil"/>
              <w:bottom w:val="single" w:sz="4" w:space="0" w:color="auto"/>
              <w:right w:val="nil"/>
            </w:tcBorders>
            <w:shd w:val="clear" w:color="auto" w:fill="auto"/>
            <w:noWrap/>
            <w:vAlign w:val="bottom"/>
            <w:hideMark/>
          </w:tcPr>
          <w:p w14:paraId="7C3035C4"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116.4</w:t>
            </w:r>
          </w:p>
        </w:tc>
        <w:tc>
          <w:tcPr>
            <w:tcW w:w="1462" w:type="dxa"/>
            <w:tcBorders>
              <w:top w:val="nil"/>
              <w:left w:val="nil"/>
              <w:bottom w:val="single" w:sz="4" w:space="0" w:color="auto"/>
              <w:right w:val="nil"/>
            </w:tcBorders>
            <w:shd w:val="clear" w:color="auto" w:fill="auto"/>
            <w:noWrap/>
            <w:vAlign w:val="bottom"/>
            <w:hideMark/>
          </w:tcPr>
          <w:p w14:paraId="608B98FC"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73.6</w:t>
            </w:r>
          </w:p>
        </w:tc>
        <w:tc>
          <w:tcPr>
            <w:tcW w:w="1313" w:type="dxa"/>
            <w:tcBorders>
              <w:top w:val="nil"/>
              <w:left w:val="nil"/>
              <w:bottom w:val="single" w:sz="4" w:space="0" w:color="auto"/>
              <w:right w:val="nil"/>
            </w:tcBorders>
            <w:shd w:val="clear" w:color="auto" w:fill="auto"/>
            <w:noWrap/>
            <w:vAlign w:val="bottom"/>
            <w:hideMark/>
          </w:tcPr>
          <w:p w14:paraId="6678F441"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30.2</w:t>
            </w:r>
          </w:p>
        </w:tc>
      </w:tr>
      <w:tr w:rsidR="00463A75" w:rsidRPr="003E76E7" w14:paraId="656D87D8" w14:textId="77777777" w:rsidTr="00B17397">
        <w:trPr>
          <w:trHeight w:val="225"/>
        </w:trPr>
        <w:tc>
          <w:tcPr>
            <w:tcW w:w="3119" w:type="dxa"/>
            <w:tcBorders>
              <w:top w:val="single" w:sz="4" w:space="0" w:color="auto"/>
              <w:left w:val="nil"/>
              <w:right w:val="nil"/>
            </w:tcBorders>
            <w:shd w:val="clear" w:color="auto" w:fill="auto"/>
            <w:vAlign w:val="center"/>
          </w:tcPr>
          <w:p w14:paraId="1D6D998F"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b/>
                <w:bCs/>
                <w:color w:val="000000"/>
                <w:sz w:val="16"/>
                <w:szCs w:val="16"/>
                <w:lang w:val="en-AU"/>
              </w:rPr>
              <w:t>AIR 2025 Phase 6 Jindalee Operational Radar Networks (JORN) Facilities Project</w:t>
            </w:r>
          </w:p>
        </w:tc>
        <w:tc>
          <w:tcPr>
            <w:tcW w:w="1911" w:type="dxa"/>
            <w:tcBorders>
              <w:top w:val="single" w:sz="4" w:space="0" w:color="auto"/>
              <w:left w:val="nil"/>
              <w:right w:val="nil"/>
            </w:tcBorders>
            <w:shd w:val="clear" w:color="auto" w:fill="auto"/>
            <w:noWrap/>
            <w:vAlign w:val="center"/>
          </w:tcPr>
          <w:p w14:paraId="10A8D214"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b/>
                <w:bCs/>
                <w:color w:val="000000"/>
                <w:sz w:val="16"/>
                <w:szCs w:val="16"/>
                <w:lang w:val="en-AU"/>
              </w:rPr>
              <w:t> </w:t>
            </w:r>
          </w:p>
        </w:tc>
        <w:tc>
          <w:tcPr>
            <w:tcW w:w="1141" w:type="dxa"/>
            <w:tcBorders>
              <w:top w:val="single" w:sz="4" w:space="0" w:color="auto"/>
              <w:left w:val="nil"/>
              <w:right w:val="nil"/>
            </w:tcBorders>
            <w:shd w:val="clear" w:color="auto" w:fill="auto"/>
            <w:noWrap/>
            <w:vAlign w:val="center"/>
          </w:tcPr>
          <w:p w14:paraId="378FF58D"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 </w:t>
            </w:r>
          </w:p>
        </w:tc>
        <w:tc>
          <w:tcPr>
            <w:tcW w:w="1462" w:type="dxa"/>
            <w:tcBorders>
              <w:top w:val="single" w:sz="4" w:space="0" w:color="auto"/>
              <w:left w:val="nil"/>
              <w:right w:val="nil"/>
            </w:tcBorders>
            <w:shd w:val="clear" w:color="auto" w:fill="auto"/>
            <w:noWrap/>
            <w:vAlign w:val="center"/>
          </w:tcPr>
          <w:p w14:paraId="28CBE31D"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 </w:t>
            </w:r>
          </w:p>
        </w:tc>
        <w:tc>
          <w:tcPr>
            <w:tcW w:w="1313" w:type="dxa"/>
            <w:tcBorders>
              <w:top w:val="single" w:sz="4" w:space="0" w:color="auto"/>
              <w:left w:val="nil"/>
              <w:right w:val="nil"/>
            </w:tcBorders>
            <w:shd w:val="clear" w:color="auto" w:fill="auto"/>
            <w:noWrap/>
            <w:vAlign w:val="center"/>
          </w:tcPr>
          <w:p w14:paraId="30D48E8D"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 </w:t>
            </w:r>
          </w:p>
        </w:tc>
      </w:tr>
      <w:tr w:rsidR="00463A75" w:rsidRPr="003E76E7" w14:paraId="020149B4" w14:textId="77777777" w:rsidTr="00B17397">
        <w:trPr>
          <w:trHeight w:val="225"/>
        </w:trPr>
        <w:tc>
          <w:tcPr>
            <w:tcW w:w="3119" w:type="dxa"/>
            <w:tcBorders>
              <w:top w:val="nil"/>
              <w:left w:val="nil"/>
              <w:right w:val="nil"/>
            </w:tcBorders>
            <w:shd w:val="clear" w:color="auto" w:fill="auto"/>
            <w:vAlign w:val="bottom"/>
          </w:tcPr>
          <w:p w14:paraId="36015464"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Alice Springs</w:t>
            </w:r>
          </w:p>
        </w:tc>
        <w:tc>
          <w:tcPr>
            <w:tcW w:w="1911" w:type="dxa"/>
            <w:tcBorders>
              <w:top w:val="nil"/>
              <w:left w:val="nil"/>
              <w:right w:val="nil"/>
            </w:tcBorders>
            <w:shd w:val="clear" w:color="auto" w:fill="auto"/>
            <w:noWrap/>
            <w:vAlign w:val="bottom"/>
          </w:tcPr>
          <w:p w14:paraId="6C0F61E2"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NT - Lingiari</w:t>
            </w:r>
          </w:p>
        </w:tc>
        <w:tc>
          <w:tcPr>
            <w:tcW w:w="1141" w:type="dxa"/>
            <w:tcBorders>
              <w:top w:val="nil"/>
              <w:left w:val="nil"/>
              <w:right w:val="nil"/>
            </w:tcBorders>
            <w:shd w:val="clear" w:color="auto" w:fill="auto"/>
            <w:noWrap/>
            <w:vAlign w:val="bottom"/>
          </w:tcPr>
          <w:p w14:paraId="252B07F9" w14:textId="77777777" w:rsidR="00463A75" w:rsidRPr="003E76E7" w:rsidRDefault="00463A75" w:rsidP="00C4292D">
            <w:pPr>
              <w:spacing w:before="0" w:after="0"/>
              <w:jc w:val="right"/>
              <w:rPr>
                <w:rFonts w:ascii="Arial" w:hAnsi="Arial"/>
                <w:b/>
                <w:bCs/>
                <w:color w:val="000000"/>
                <w:sz w:val="16"/>
                <w:szCs w:val="16"/>
                <w:lang w:val="en-AU"/>
              </w:rPr>
            </w:pPr>
          </w:p>
        </w:tc>
        <w:tc>
          <w:tcPr>
            <w:tcW w:w="1462" w:type="dxa"/>
            <w:tcBorders>
              <w:top w:val="nil"/>
              <w:left w:val="nil"/>
              <w:right w:val="nil"/>
            </w:tcBorders>
            <w:shd w:val="clear" w:color="auto" w:fill="auto"/>
            <w:noWrap/>
            <w:vAlign w:val="bottom"/>
          </w:tcPr>
          <w:p w14:paraId="7EDDB272"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color w:val="000000"/>
                <w:sz w:val="16"/>
                <w:szCs w:val="16"/>
                <w:lang w:val="en-AU"/>
              </w:rPr>
              <w:t>71.2</w:t>
            </w:r>
          </w:p>
        </w:tc>
        <w:tc>
          <w:tcPr>
            <w:tcW w:w="1313" w:type="dxa"/>
            <w:tcBorders>
              <w:top w:val="nil"/>
              <w:left w:val="nil"/>
              <w:right w:val="nil"/>
            </w:tcBorders>
            <w:shd w:val="clear" w:color="auto" w:fill="auto"/>
            <w:noWrap/>
            <w:vAlign w:val="bottom"/>
          </w:tcPr>
          <w:p w14:paraId="1A13BB33"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color w:val="000000"/>
                <w:sz w:val="16"/>
                <w:szCs w:val="16"/>
                <w:lang w:val="en-AU"/>
              </w:rPr>
              <w:t xml:space="preserve">                28.4 </w:t>
            </w:r>
          </w:p>
        </w:tc>
      </w:tr>
      <w:tr w:rsidR="00463A75" w:rsidRPr="003E76E7" w14:paraId="60D4096B" w14:textId="77777777" w:rsidTr="00B17397">
        <w:trPr>
          <w:trHeight w:val="225"/>
        </w:trPr>
        <w:tc>
          <w:tcPr>
            <w:tcW w:w="3119" w:type="dxa"/>
            <w:tcBorders>
              <w:top w:val="nil"/>
              <w:left w:val="nil"/>
              <w:right w:val="nil"/>
            </w:tcBorders>
            <w:shd w:val="clear" w:color="auto" w:fill="auto"/>
            <w:vAlign w:val="bottom"/>
          </w:tcPr>
          <w:p w14:paraId="06753E62"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Murray Bridge Training Area</w:t>
            </w:r>
          </w:p>
        </w:tc>
        <w:tc>
          <w:tcPr>
            <w:tcW w:w="1911" w:type="dxa"/>
            <w:tcBorders>
              <w:top w:val="nil"/>
              <w:left w:val="nil"/>
              <w:right w:val="nil"/>
            </w:tcBorders>
            <w:shd w:val="clear" w:color="auto" w:fill="auto"/>
            <w:noWrap/>
            <w:vAlign w:val="bottom"/>
          </w:tcPr>
          <w:p w14:paraId="5AE6EDB9"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SA - Barker</w:t>
            </w:r>
          </w:p>
        </w:tc>
        <w:tc>
          <w:tcPr>
            <w:tcW w:w="1141" w:type="dxa"/>
            <w:tcBorders>
              <w:top w:val="nil"/>
              <w:left w:val="nil"/>
              <w:right w:val="nil"/>
            </w:tcBorders>
            <w:shd w:val="clear" w:color="auto" w:fill="auto"/>
            <w:noWrap/>
            <w:vAlign w:val="bottom"/>
          </w:tcPr>
          <w:p w14:paraId="683AC4E9" w14:textId="77777777" w:rsidR="00463A75" w:rsidRPr="003E76E7" w:rsidRDefault="00463A75" w:rsidP="00C4292D">
            <w:pPr>
              <w:spacing w:before="0" w:after="0"/>
              <w:jc w:val="right"/>
              <w:rPr>
                <w:rFonts w:ascii="Arial" w:hAnsi="Arial"/>
                <w:b/>
                <w:bCs/>
                <w:color w:val="000000"/>
                <w:sz w:val="16"/>
                <w:szCs w:val="16"/>
                <w:lang w:val="en-AU"/>
              </w:rPr>
            </w:pPr>
          </w:p>
        </w:tc>
        <w:tc>
          <w:tcPr>
            <w:tcW w:w="1462" w:type="dxa"/>
            <w:tcBorders>
              <w:top w:val="nil"/>
              <w:left w:val="nil"/>
              <w:right w:val="nil"/>
            </w:tcBorders>
            <w:shd w:val="clear" w:color="auto" w:fill="auto"/>
            <w:noWrap/>
            <w:vAlign w:val="bottom"/>
          </w:tcPr>
          <w:p w14:paraId="31A11316"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color w:val="000000"/>
                <w:sz w:val="16"/>
                <w:szCs w:val="16"/>
                <w:lang w:val="en-AU"/>
              </w:rPr>
              <w:t>1.4</w:t>
            </w:r>
          </w:p>
        </w:tc>
        <w:tc>
          <w:tcPr>
            <w:tcW w:w="1313" w:type="dxa"/>
            <w:tcBorders>
              <w:top w:val="nil"/>
              <w:left w:val="nil"/>
              <w:right w:val="nil"/>
            </w:tcBorders>
            <w:shd w:val="clear" w:color="auto" w:fill="auto"/>
            <w:noWrap/>
            <w:vAlign w:val="bottom"/>
          </w:tcPr>
          <w:p w14:paraId="0B65F0D0"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color w:val="000000"/>
                <w:sz w:val="16"/>
                <w:szCs w:val="16"/>
                <w:lang w:val="en-AU"/>
              </w:rPr>
              <w:t xml:space="preserve">                     - </w:t>
            </w:r>
          </w:p>
        </w:tc>
      </w:tr>
      <w:tr w:rsidR="00463A75" w:rsidRPr="003E76E7" w14:paraId="25DE54A4" w14:textId="77777777" w:rsidTr="00B17397">
        <w:trPr>
          <w:trHeight w:val="225"/>
        </w:trPr>
        <w:tc>
          <w:tcPr>
            <w:tcW w:w="3119" w:type="dxa"/>
            <w:tcBorders>
              <w:top w:val="nil"/>
              <w:left w:val="nil"/>
              <w:right w:val="nil"/>
            </w:tcBorders>
            <w:shd w:val="clear" w:color="auto" w:fill="auto"/>
            <w:vAlign w:val="bottom"/>
          </w:tcPr>
          <w:p w14:paraId="417A2E01"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RAAF Base Learmonth</w:t>
            </w:r>
          </w:p>
        </w:tc>
        <w:tc>
          <w:tcPr>
            <w:tcW w:w="1911" w:type="dxa"/>
            <w:tcBorders>
              <w:top w:val="nil"/>
              <w:left w:val="nil"/>
              <w:right w:val="nil"/>
            </w:tcBorders>
            <w:shd w:val="clear" w:color="auto" w:fill="auto"/>
            <w:noWrap/>
            <w:vAlign w:val="bottom"/>
          </w:tcPr>
          <w:p w14:paraId="0743B7EE"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WA - Durack</w:t>
            </w:r>
          </w:p>
        </w:tc>
        <w:tc>
          <w:tcPr>
            <w:tcW w:w="1141" w:type="dxa"/>
            <w:tcBorders>
              <w:top w:val="nil"/>
              <w:left w:val="nil"/>
              <w:right w:val="nil"/>
            </w:tcBorders>
            <w:shd w:val="clear" w:color="auto" w:fill="auto"/>
            <w:noWrap/>
            <w:vAlign w:val="bottom"/>
          </w:tcPr>
          <w:p w14:paraId="4BF3D796" w14:textId="77777777" w:rsidR="00463A75" w:rsidRPr="003E76E7" w:rsidRDefault="00463A75" w:rsidP="00C4292D">
            <w:pPr>
              <w:spacing w:before="0" w:after="0"/>
              <w:jc w:val="right"/>
              <w:rPr>
                <w:rFonts w:ascii="Arial" w:hAnsi="Arial"/>
                <w:b/>
                <w:bCs/>
                <w:color w:val="000000"/>
                <w:sz w:val="16"/>
                <w:szCs w:val="16"/>
                <w:lang w:val="en-AU"/>
              </w:rPr>
            </w:pPr>
          </w:p>
        </w:tc>
        <w:tc>
          <w:tcPr>
            <w:tcW w:w="1462" w:type="dxa"/>
            <w:tcBorders>
              <w:top w:val="nil"/>
              <w:left w:val="nil"/>
              <w:right w:val="nil"/>
            </w:tcBorders>
            <w:shd w:val="clear" w:color="auto" w:fill="auto"/>
            <w:noWrap/>
            <w:vAlign w:val="bottom"/>
          </w:tcPr>
          <w:p w14:paraId="64A2832F"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color w:val="000000"/>
                <w:sz w:val="16"/>
                <w:szCs w:val="16"/>
                <w:lang w:val="en-AU"/>
              </w:rPr>
              <w:t xml:space="preserve">                     - </w:t>
            </w:r>
          </w:p>
        </w:tc>
        <w:tc>
          <w:tcPr>
            <w:tcW w:w="1313" w:type="dxa"/>
            <w:tcBorders>
              <w:top w:val="nil"/>
              <w:left w:val="nil"/>
              <w:right w:val="nil"/>
            </w:tcBorders>
            <w:shd w:val="clear" w:color="auto" w:fill="auto"/>
            <w:noWrap/>
            <w:vAlign w:val="bottom"/>
          </w:tcPr>
          <w:p w14:paraId="498F9F47"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color w:val="000000"/>
                <w:sz w:val="16"/>
                <w:szCs w:val="16"/>
                <w:lang w:val="en-AU"/>
              </w:rPr>
              <w:t xml:space="preserve">                     - </w:t>
            </w:r>
          </w:p>
        </w:tc>
      </w:tr>
      <w:tr w:rsidR="00463A75" w:rsidRPr="003E76E7" w14:paraId="7DD96161" w14:textId="77777777" w:rsidTr="00B17397">
        <w:trPr>
          <w:trHeight w:val="225"/>
        </w:trPr>
        <w:tc>
          <w:tcPr>
            <w:tcW w:w="3119" w:type="dxa"/>
            <w:tcBorders>
              <w:top w:val="nil"/>
              <w:left w:val="nil"/>
              <w:right w:val="nil"/>
            </w:tcBorders>
            <w:shd w:val="clear" w:color="auto" w:fill="auto"/>
            <w:vAlign w:val="bottom"/>
          </w:tcPr>
          <w:p w14:paraId="5D61D5FE"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Geraldton</w:t>
            </w:r>
          </w:p>
        </w:tc>
        <w:tc>
          <w:tcPr>
            <w:tcW w:w="1911" w:type="dxa"/>
            <w:tcBorders>
              <w:top w:val="nil"/>
              <w:left w:val="nil"/>
              <w:right w:val="nil"/>
            </w:tcBorders>
            <w:shd w:val="clear" w:color="auto" w:fill="auto"/>
            <w:noWrap/>
            <w:vAlign w:val="bottom"/>
          </w:tcPr>
          <w:p w14:paraId="0D5B56E1"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WA - Durack</w:t>
            </w:r>
          </w:p>
        </w:tc>
        <w:tc>
          <w:tcPr>
            <w:tcW w:w="1141" w:type="dxa"/>
            <w:tcBorders>
              <w:top w:val="nil"/>
              <w:left w:val="nil"/>
              <w:right w:val="nil"/>
            </w:tcBorders>
            <w:shd w:val="clear" w:color="auto" w:fill="auto"/>
            <w:noWrap/>
            <w:vAlign w:val="bottom"/>
          </w:tcPr>
          <w:p w14:paraId="0420B4E8" w14:textId="77777777" w:rsidR="00463A75" w:rsidRPr="003E76E7" w:rsidRDefault="00463A75" w:rsidP="00C4292D">
            <w:pPr>
              <w:spacing w:before="0" w:after="0"/>
              <w:jc w:val="right"/>
              <w:rPr>
                <w:rFonts w:ascii="Arial" w:hAnsi="Arial"/>
                <w:b/>
                <w:bCs/>
                <w:color w:val="000000"/>
                <w:sz w:val="16"/>
                <w:szCs w:val="16"/>
                <w:lang w:val="en-AU"/>
              </w:rPr>
            </w:pPr>
          </w:p>
        </w:tc>
        <w:tc>
          <w:tcPr>
            <w:tcW w:w="1462" w:type="dxa"/>
            <w:tcBorders>
              <w:top w:val="nil"/>
              <w:left w:val="nil"/>
              <w:right w:val="nil"/>
            </w:tcBorders>
            <w:shd w:val="clear" w:color="auto" w:fill="auto"/>
            <w:noWrap/>
            <w:vAlign w:val="bottom"/>
          </w:tcPr>
          <w:p w14:paraId="75C8E079"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color w:val="000000"/>
                <w:sz w:val="16"/>
                <w:szCs w:val="16"/>
                <w:lang w:val="en-AU"/>
              </w:rPr>
              <w:t>3.2</w:t>
            </w:r>
          </w:p>
        </w:tc>
        <w:tc>
          <w:tcPr>
            <w:tcW w:w="1313" w:type="dxa"/>
            <w:tcBorders>
              <w:top w:val="nil"/>
              <w:left w:val="nil"/>
              <w:right w:val="nil"/>
            </w:tcBorders>
            <w:shd w:val="clear" w:color="auto" w:fill="auto"/>
            <w:noWrap/>
            <w:vAlign w:val="bottom"/>
          </w:tcPr>
          <w:p w14:paraId="36588B00"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color w:val="000000"/>
                <w:sz w:val="16"/>
                <w:szCs w:val="16"/>
                <w:lang w:val="en-AU"/>
              </w:rPr>
              <w:t xml:space="preserve">                     - </w:t>
            </w:r>
          </w:p>
        </w:tc>
      </w:tr>
      <w:tr w:rsidR="00463A75" w:rsidRPr="003E76E7" w14:paraId="592BF6D9" w14:textId="77777777" w:rsidTr="00B17397">
        <w:trPr>
          <w:trHeight w:val="225"/>
        </w:trPr>
        <w:tc>
          <w:tcPr>
            <w:tcW w:w="3119" w:type="dxa"/>
            <w:tcBorders>
              <w:top w:val="nil"/>
              <w:left w:val="nil"/>
              <w:bottom w:val="single" w:sz="4" w:space="0" w:color="auto"/>
              <w:right w:val="nil"/>
            </w:tcBorders>
            <w:shd w:val="clear" w:color="auto" w:fill="auto"/>
            <w:vAlign w:val="bottom"/>
          </w:tcPr>
          <w:p w14:paraId="1779B309"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b/>
                <w:bCs/>
                <w:color w:val="000000"/>
                <w:sz w:val="16"/>
                <w:szCs w:val="16"/>
                <w:lang w:val="en-AU"/>
              </w:rPr>
              <w:t>Total</w:t>
            </w:r>
          </w:p>
        </w:tc>
        <w:tc>
          <w:tcPr>
            <w:tcW w:w="1911" w:type="dxa"/>
            <w:tcBorders>
              <w:top w:val="nil"/>
              <w:left w:val="nil"/>
              <w:bottom w:val="single" w:sz="4" w:space="0" w:color="auto"/>
              <w:right w:val="nil"/>
            </w:tcBorders>
            <w:shd w:val="clear" w:color="auto" w:fill="auto"/>
            <w:noWrap/>
            <w:vAlign w:val="bottom"/>
          </w:tcPr>
          <w:p w14:paraId="32D63038"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b/>
                <w:bCs/>
                <w:color w:val="000000"/>
                <w:sz w:val="16"/>
                <w:szCs w:val="16"/>
                <w:lang w:val="en-AU"/>
              </w:rPr>
              <w:t> </w:t>
            </w:r>
          </w:p>
        </w:tc>
        <w:tc>
          <w:tcPr>
            <w:tcW w:w="1141" w:type="dxa"/>
            <w:tcBorders>
              <w:top w:val="nil"/>
              <w:left w:val="nil"/>
              <w:bottom w:val="single" w:sz="4" w:space="0" w:color="auto"/>
              <w:right w:val="nil"/>
            </w:tcBorders>
            <w:shd w:val="clear" w:color="auto" w:fill="auto"/>
            <w:noWrap/>
            <w:vAlign w:val="bottom"/>
          </w:tcPr>
          <w:p w14:paraId="5E04A6EA"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112.1</w:t>
            </w:r>
          </w:p>
        </w:tc>
        <w:tc>
          <w:tcPr>
            <w:tcW w:w="1462" w:type="dxa"/>
            <w:tcBorders>
              <w:top w:val="nil"/>
              <w:left w:val="nil"/>
              <w:bottom w:val="single" w:sz="4" w:space="0" w:color="auto"/>
              <w:right w:val="nil"/>
            </w:tcBorders>
            <w:shd w:val="clear" w:color="auto" w:fill="auto"/>
            <w:noWrap/>
            <w:vAlign w:val="bottom"/>
          </w:tcPr>
          <w:p w14:paraId="73843F4A"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75.8</w:t>
            </w:r>
          </w:p>
        </w:tc>
        <w:tc>
          <w:tcPr>
            <w:tcW w:w="1313" w:type="dxa"/>
            <w:tcBorders>
              <w:top w:val="nil"/>
              <w:left w:val="nil"/>
              <w:bottom w:val="single" w:sz="4" w:space="0" w:color="auto"/>
              <w:right w:val="nil"/>
            </w:tcBorders>
            <w:shd w:val="clear" w:color="auto" w:fill="auto"/>
            <w:noWrap/>
            <w:vAlign w:val="bottom"/>
          </w:tcPr>
          <w:p w14:paraId="337CE362"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28.4</w:t>
            </w:r>
          </w:p>
        </w:tc>
      </w:tr>
      <w:tr w:rsidR="00463A75" w:rsidRPr="003E76E7" w14:paraId="5DD2AF61" w14:textId="77777777" w:rsidTr="00B17397">
        <w:trPr>
          <w:trHeight w:val="225"/>
        </w:trPr>
        <w:tc>
          <w:tcPr>
            <w:tcW w:w="3119" w:type="dxa"/>
            <w:tcBorders>
              <w:top w:val="nil"/>
              <w:left w:val="nil"/>
              <w:bottom w:val="nil"/>
              <w:right w:val="nil"/>
            </w:tcBorders>
            <w:shd w:val="clear" w:color="auto" w:fill="auto"/>
            <w:vAlign w:val="center"/>
            <w:hideMark/>
          </w:tcPr>
          <w:p w14:paraId="06A9D148" w14:textId="170FDD11"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xml:space="preserve">Armoured Fighting Vehicles </w:t>
            </w:r>
            <w:r w:rsidR="00A37D48" w:rsidRPr="003E76E7">
              <w:rPr>
                <w:rFonts w:ascii="Arial" w:hAnsi="Arial"/>
                <w:b/>
                <w:bCs/>
                <w:color w:val="000000"/>
                <w:sz w:val="16"/>
                <w:szCs w:val="16"/>
                <w:lang w:val="en-AU"/>
              </w:rPr>
              <w:br/>
            </w:r>
            <w:r w:rsidRPr="003E76E7">
              <w:rPr>
                <w:rFonts w:ascii="Arial" w:hAnsi="Arial"/>
                <w:b/>
                <w:bCs/>
                <w:color w:val="000000"/>
                <w:sz w:val="16"/>
                <w:szCs w:val="16"/>
                <w:lang w:val="en-AU"/>
              </w:rPr>
              <w:t>Facilities Program Stage 2</w:t>
            </w:r>
          </w:p>
        </w:tc>
        <w:tc>
          <w:tcPr>
            <w:tcW w:w="1911" w:type="dxa"/>
            <w:tcBorders>
              <w:top w:val="nil"/>
              <w:left w:val="nil"/>
              <w:bottom w:val="nil"/>
              <w:right w:val="nil"/>
            </w:tcBorders>
            <w:shd w:val="clear" w:color="auto" w:fill="auto"/>
            <w:vAlign w:val="center"/>
            <w:hideMark/>
          </w:tcPr>
          <w:p w14:paraId="3BCE6098"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141" w:type="dxa"/>
            <w:tcBorders>
              <w:top w:val="nil"/>
              <w:left w:val="nil"/>
              <w:bottom w:val="nil"/>
              <w:right w:val="nil"/>
            </w:tcBorders>
            <w:shd w:val="clear" w:color="auto" w:fill="auto"/>
            <w:vAlign w:val="center"/>
            <w:hideMark/>
          </w:tcPr>
          <w:p w14:paraId="775C6BDA"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462" w:type="dxa"/>
            <w:tcBorders>
              <w:top w:val="nil"/>
              <w:left w:val="nil"/>
              <w:bottom w:val="nil"/>
              <w:right w:val="nil"/>
            </w:tcBorders>
            <w:shd w:val="clear" w:color="auto" w:fill="auto"/>
            <w:vAlign w:val="center"/>
            <w:hideMark/>
          </w:tcPr>
          <w:p w14:paraId="2FA272B9"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313" w:type="dxa"/>
            <w:tcBorders>
              <w:top w:val="nil"/>
              <w:left w:val="nil"/>
              <w:bottom w:val="nil"/>
              <w:right w:val="nil"/>
            </w:tcBorders>
            <w:shd w:val="clear" w:color="auto" w:fill="auto"/>
            <w:vAlign w:val="center"/>
            <w:hideMark/>
          </w:tcPr>
          <w:p w14:paraId="0617E5AC"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r>
      <w:tr w:rsidR="00463A75" w:rsidRPr="003E76E7" w14:paraId="37E9A333" w14:textId="77777777" w:rsidTr="00B17397">
        <w:trPr>
          <w:trHeight w:val="225"/>
        </w:trPr>
        <w:tc>
          <w:tcPr>
            <w:tcW w:w="3119" w:type="dxa"/>
            <w:tcBorders>
              <w:top w:val="nil"/>
              <w:left w:val="nil"/>
              <w:bottom w:val="nil"/>
              <w:right w:val="nil"/>
            </w:tcBorders>
            <w:shd w:val="clear" w:color="auto" w:fill="auto"/>
            <w:vAlign w:val="bottom"/>
            <w:hideMark/>
          </w:tcPr>
          <w:p w14:paraId="769F0968"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 xml:space="preserve">Gallipoli Barracks </w:t>
            </w:r>
          </w:p>
        </w:tc>
        <w:tc>
          <w:tcPr>
            <w:tcW w:w="1911" w:type="dxa"/>
            <w:tcBorders>
              <w:top w:val="nil"/>
              <w:left w:val="nil"/>
              <w:bottom w:val="nil"/>
              <w:right w:val="nil"/>
            </w:tcBorders>
            <w:shd w:val="clear" w:color="auto" w:fill="auto"/>
            <w:noWrap/>
            <w:vAlign w:val="bottom"/>
            <w:hideMark/>
          </w:tcPr>
          <w:p w14:paraId="4E38CD92"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QLD - Ryan</w:t>
            </w:r>
          </w:p>
        </w:tc>
        <w:tc>
          <w:tcPr>
            <w:tcW w:w="1141" w:type="dxa"/>
            <w:tcBorders>
              <w:top w:val="nil"/>
              <w:left w:val="nil"/>
              <w:bottom w:val="nil"/>
              <w:right w:val="nil"/>
            </w:tcBorders>
            <w:shd w:val="clear" w:color="auto" w:fill="auto"/>
            <w:noWrap/>
            <w:vAlign w:val="bottom"/>
            <w:hideMark/>
          </w:tcPr>
          <w:p w14:paraId="74333E5D" w14:textId="77777777"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6CEC7E4D"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12.4</w:t>
            </w:r>
          </w:p>
        </w:tc>
        <w:tc>
          <w:tcPr>
            <w:tcW w:w="1313" w:type="dxa"/>
            <w:tcBorders>
              <w:top w:val="nil"/>
              <w:left w:val="nil"/>
              <w:bottom w:val="nil"/>
              <w:right w:val="nil"/>
            </w:tcBorders>
            <w:shd w:val="clear" w:color="auto" w:fill="auto"/>
            <w:noWrap/>
            <w:vAlign w:val="bottom"/>
            <w:hideMark/>
          </w:tcPr>
          <w:p w14:paraId="47B64E60"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 xml:space="preserve">                     - </w:t>
            </w:r>
          </w:p>
        </w:tc>
      </w:tr>
      <w:tr w:rsidR="00463A75" w:rsidRPr="003E76E7" w14:paraId="3BBF2E19" w14:textId="77777777" w:rsidTr="00B17397">
        <w:trPr>
          <w:trHeight w:val="225"/>
        </w:trPr>
        <w:tc>
          <w:tcPr>
            <w:tcW w:w="3119" w:type="dxa"/>
            <w:tcBorders>
              <w:top w:val="nil"/>
              <w:left w:val="nil"/>
              <w:bottom w:val="nil"/>
              <w:right w:val="nil"/>
            </w:tcBorders>
            <w:shd w:val="clear" w:color="auto" w:fill="auto"/>
            <w:vAlign w:val="bottom"/>
            <w:hideMark/>
          </w:tcPr>
          <w:p w14:paraId="1926ABB4"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 xml:space="preserve">Lavarack Barracks </w:t>
            </w:r>
          </w:p>
        </w:tc>
        <w:tc>
          <w:tcPr>
            <w:tcW w:w="1911" w:type="dxa"/>
            <w:tcBorders>
              <w:top w:val="nil"/>
              <w:left w:val="nil"/>
              <w:bottom w:val="nil"/>
              <w:right w:val="nil"/>
            </w:tcBorders>
            <w:shd w:val="clear" w:color="auto" w:fill="auto"/>
            <w:noWrap/>
            <w:vAlign w:val="bottom"/>
            <w:hideMark/>
          </w:tcPr>
          <w:p w14:paraId="7B95D980"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QLD - Herbert</w:t>
            </w:r>
          </w:p>
        </w:tc>
        <w:tc>
          <w:tcPr>
            <w:tcW w:w="1141" w:type="dxa"/>
            <w:tcBorders>
              <w:top w:val="nil"/>
              <w:left w:val="nil"/>
              <w:bottom w:val="nil"/>
              <w:right w:val="nil"/>
            </w:tcBorders>
            <w:shd w:val="clear" w:color="auto" w:fill="auto"/>
            <w:noWrap/>
            <w:vAlign w:val="bottom"/>
            <w:hideMark/>
          </w:tcPr>
          <w:p w14:paraId="3EC5FDC9" w14:textId="77777777"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4CA5CC47"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26.6</w:t>
            </w:r>
          </w:p>
        </w:tc>
        <w:tc>
          <w:tcPr>
            <w:tcW w:w="1313" w:type="dxa"/>
            <w:tcBorders>
              <w:top w:val="nil"/>
              <w:left w:val="nil"/>
              <w:bottom w:val="nil"/>
              <w:right w:val="nil"/>
            </w:tcBorders>
            <w:shd w:val="clear" w:color="auto" w:fill="auto"/>
            <w:noWrap/>
            <w:vAlign w:val="bottom"/>
            <w:hideMark/>
          </w:tcPr>
          <w:p w14:paraId="0F9AABD8"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55.6</w:t>
            </w:r>
          </w:p>
        </w:tc>
      </w:tr>
      <w:tr w:rsidR="00463A75" w:rsidRPr="003E76E7" w14:paraId="59E8EA02" w14:textId="77777777" w:rsidTr="00B17397">
        <w:trPr>
          <w:trHeight w:val="225"/>
        </w:trPr>
        <w:tc>
          <w:tcPr>
            <w:tcW w:w="3119" w:type="dxa"/>
            <w:tcBorders>
              <w:top w:val="nil"/>
              <w:left w:val="nil"/>
              <w:bottom w:val="nil"/>
              <w:right w:val="nil"/>
            </w:tcBorders>
            <w:shd w:val="clear" w:color="auto" w:fill="auto"/>
            <w:vAlign w:val="bottom"/>
            <w:hideMark/>
          </w:tcPr>
          <w:p w14:paraId="30584A80"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Albury Wodonga Military Area</w:t>
            </w:r>
          </w:p>
        </w:tc>
        <w:tc>
          <w:tcPr>
            <w:tcW w:w="1911" w:type="dxa"/>
            <w:tcBorders>
              <w:top w:val="nil"/>
              <w:left w:val="nil"/>
              <w:bottom w:val="nil"/>
              <w:right w:val="nil"/>
            </w:tcBorders>
            <w:shd w:val="clear" w:color="auto" w:fill="auto"/>
            <w:noWrap/>
            <w:vAlign w:val="bottom"/>
            <w:hideMark/>
          </w:tcPr>
          <w:p w14:paraId="462EED09"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VIC - Indi</w:t>
            </w:r>
          </w:p>
        </w:tc>
        <w:tc>
          <w:tcPr>
            <w:tcW w:w="1141" w:type="dxa"/>
            <w:tcBorders>
              <w:top w:val="nil"/>
              <w:left w:val="nil"/>
              <w:bottom w:val="nil"/>
              <w:right w:val="nil"/>
            </w:tcBorders>
            <w:shd w:val="clear" w:color="auto" w:fill="auto"/>
            <w:noWrap/>
            <w:vAlign w:val="bottom"/>
            <w:hideMark/>
          </w:tcPr>
          <w:p w14:paraId="114858A0" w14:textId="77777777"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1F7CAA40"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9.3</w:t>
            </w:r>
          </w:p>
        </w:tc>
        <w:tc>
          <w:tcPr>
            <w:tcW w:w="1313" w:type="dxa"/>
            <w:tcBorders>
              <w:top w:val="nil"/>
              <w:left w:val="nil"/>
              <w:bottom w:val="nil"/>
              <w:right w:val="nil"/>
            </w:tcBorders>
            <w:shd w:val="clear" w:color="auto" w:fill="auto"/>
            <w:noWrap/>
            <w:vAlign w:val="bottom"/>
            <w:hideMark/>
          </w:tcPr>
          <w:p w14:paraId="0C9C0E9A"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 xml:space="preserve">                     - </w:t>
            </w:r>
          </w:p>
        </w:tc>
      </w:tr>
      <w:tr w:rsidR="00463A75" w:rsidRPr="003E76E7" w14:paraId="063281BF" w14:textId="77777777" w:rsidTr="00B17397">
        <w:trPr>
          <w:trHeight w:val="225"/>
        </w:trPr>
        <w:tc>
          <w:tcPr>
            <w:tcW w:w="3119" w:type="dxa"/>
            <w:tcBorders>
              <w:top w:val="nil"/>
              <w:left w:val="nil"/>
              <w:bottom w:val="nil"/>
              <w:right w:val="nil"/>
            </w:tcBorders>
            <w:shd w:val="clear" w:color="auto" w:fill="auto"/>
            <w:vAlign w:val="bottom"/>
            <w:hideMark/>
          </w:tcPr>
          <w:p w14:paraId="5766342E"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Puckapunyal Military Area</w:t>
            </w:r>
          </w:p>
        </w:tc>
        <w:tc>
          <w:tcPr>
            <w:tcW w:w="1911" w:type="dxa"/>
            <w:tcBorders>
              <w:top w:val="nil"/>
              <w:left w:val="nil"/>
              <w:bottom w:val="nil"/>
              <w:right w:val="nil"/>
            </w:tcBorders>
            <w:shd w:val="clear" w:color="auto" w:fill="auto"/>
            <w:noWrap/>
            <w:vAlign w:val="bottom"/>
            <w:hideMark/>
          </w:tcPr>
          <w:p w14:paraId="06ECA04E"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VIC - Nicholls</w:t>
            </w:r>
          </w:p>
        </w:tc>
        <w:tc>
          <w:tcPr>
            <w:tcW w:w="1141" w:type="dxa"/>
            <w:tcBorders>
              <w:top w:val="nil"/>
              <w:left w:val="nil"/>
              <w:bottom w:val="nil"/>
              <w:right w:val="nil"/>
            </w:tcBorders>
            <w:shd w:val="clear" w:color="auto" w:fill="auto"/>
            <w:noWrap/>
            <w:vAlign w:val="bottom"/>
            <w:hideMark/>
          </w:tcPr>
          <w:p w14:paraId="3ECE90C6" w14:textId="77777777"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1594DDDD"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0.0</w:t>
            </w:r>
          </w:p>
        </w:tc>
        <w:tc>
          <w:tcPr>
            <w:tcW w:w="1313" w:type="dxa"/>
            <w:tcBorders>
              <w:top w:val="nil"/>
              <w:left w:val="nil"/>
              <w:bottom w:val="nil"/>
              <w:right w:val="nil"/>
            </w:tcBorders>
            <w:shd w:val="clear" w:color="auto" w:fill="auto"/>
            <w:noWrap/>
            <w:vAlign w:val="bottom"/>
            <w:hideMark/>
          </w:tcPr>
          <w:p w14:paraId="0B102A46"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 xml:space="preserve">                     - </w:t>
            </w:r>
          </w:p>
        </w:tc>
      </w:tr>
      <w:tr w:rsidR="00463A75" w:rsidRPr="003E76E7" w14:paraId="653E3EC4" w14:textId="77777777" w:rsidTr="00B17397">
        <w:trPr>
          <w:trHeight w:val="225"/>
        </w:trPr>
        <w:tc>
          <w:tcPr>
            <w:tcW w:w="3119" w:type="dxa"/>
            <w:tcBorders>
              <w:top w:val="nil"/>
              <w:left w:val="nil"/>
              <w:bottom w:val="single" w:sz="4" w:space="0" w:color="auto"/>
              <w:right w:val="nil"/>
            </w:tcBorders>
            <w:shd w:val="clear" w:color="auto" w:fill="auto"/>
            <w:vAlign w:val="bottom"/>
            <w:hideMark/>
          </w:tcPr>
          <w:p w14:paraId="5AA82658"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Total</w:t>
            </w:r>
          </w:p>
        </w:tc>
        <w:tc>
          <w:tcPr>
            <w:tcW w:w="1911" w:type="dxa"/>
            <w:tcBorders>
              <w:top w:val="nil"/>
              <w:left w:val="nil"/>
              <w:bottom w:val="single" w:sz="4" w:space="0" w:color="auto"/>
              <w:right w:val="nil"/>
            </w:tcBorders>
            <w:shd w:val="clear" w:color="auto" w:fill="auto"/>
            <w:noWrap/>
            <w:vAlign w:val="bottom"/>
            <w:hideMark/>
          </w:tcPr>
          <w:p w14:paraId="7FD3F361"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 </w:t>
            </w:r>
          </w:p>
        </w:tc>
        <w:tc>
          <w:tcPr>
            <w:tcW w:w="1141" w:type="dxa"/>
            <w:tcBorders>
              <w:top w:val="nil"/>
              <w:left w:val="nil"/>
              <w:bottom w:val="single" w:sz="4" w:space="0" w:color="auto"/>
              <w:right w:val="nil"/>
            </w:tcBorders>
            <w:shd w:val="clear" w:color="auto" w:fill="auto"/>
            <w:noWrap/>
            <w:vAlign w:val="bottom"/>
            <w:hideMark/>
          </w:tcPr>
          <w:p w14:paraId="012CC249"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104.4</w:t>
            </w:r>
          </w:p>
        </w:tc>
        <w:tc>
          <w:tcPr>
            <w:tcW w:w="1462" w:type="dxa"/>
            <w:tcBorders>
              <w:top w:val="nil"/>
              <w:left w:val="nil"/>
              <w:bottom w:val="single" w:sz="4" w:space="0" w:color="auto"/>
              <w:right w:val="nil"/>
            </w:tcBorders>
            <w:shd w:val="clear" w:color="auto" w:fill="auto"/>
            <w:noWrap/>
            <w:vAlign w:val="bottom"/>
            <w:hideMark/>
          </w:tcPr>
          <w:p w14:paraId="2D260951"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48.2</w:t>
            </w:r>
          </w:p>
        </w:tc>
        <w:tc>
          <w:tcPr>
            <w:tcW w:w="1313" w:type="dxa"/>
            <w:tcBorders>
              <w:top w:val="nil"/>
              <w:left w:val="nil"/>
              <w:bottom w:val="single" w:sz="4" w:space="0" w:color="auto"/>
              <w:right w:val="nil"/>
            </w:tcBorders>
            <w:shd w:val="clear" w:color="auto" w:fill="auto"/>
            <w:noWrap/>
            <w:vAlign w:val="bottom"/>
            <w:hideMark/>
          </w:tcPr>
          <w:p w14:paraId="27403501"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55.6</w:t>
            </w:r>
          </w:p>
        </w:tc>
      </w:tr>
      <w:tr w:rsidR="00463A75" w:rsidRPr="003E76E7" w14:paraId="3EBC1F62" w14:textId="77777777" w:rsidTr="00B17397">
        <w:trPr>
          <w:trHeight w:val="225"/>
        </w:trPr>
        <w:tc>
          <w:tcPr>
            <w:tcW w:w="3119" w:type="dxa"/>
            <w:tcBorders>
              <w:top w:val="nil"/>
              <w:left w:val="nil"/>
              <w:bottom w:val="nil"/>
              <w:right w:val="nil"/>
            </w:tcBorders>
            <w:shd w:val="clear" w:color="auto" w:fill="auto"/>
            <w:vAlign w:val="center"/>
            <w:hideMark/>
          </w:tcPr>
          <w:p w14:paraId="1FFACDC5"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xml:space="preserve">Airfield Capital Works P0006 </w:t>
            </w:r>
            <w:r w:rsidRPr="003E76E7">
              <w:rPr>
                <w:rFonts w:ascii="Arial" w:hAnsi="Arial"/>
                <w:b/>
                <w:bCs/>
                <w:color w:val="000000"/>
                <w:sz w:val="16"/>
                <w:szCs w:val="16"/>
                <w:lang w:val="en-AU"/>
              </w:rPr>
              <w:br/>
              <w:t>(Curtin, Tindal and Townsville)</w:t>
            </w:r>
          </w:p>
        </w:tc>
        <w:tc>
          <w:tcPr>
            <w:tcW w:w="1911" w:type="dxa"/>
            <w:tcBorders>
              <w:top w:val="nil"/>
              <w:left w:val="nil"/>
              <w:bottom w:val="nil"/>
              <w:right w:val="nil"/>
            </w:tcBorders>
            <w:shd w:val="clear" w:color="auto" w:fill="auto"/>
            <w:vAlign w:val="center"/>
            <w:hideMark/>
          </w:tcPr>
          <w:p w14:paraId="73B4B137"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141" w:type="dxa"/>
            <w:tcBorders>
              <w:top w:val="nil"/>
              <w:left w:val="nil"/>
              <w:bottom w:val="nil"/>
              <w:right w:val="nil"/>
            </w:tcBorders>
            <w:shd w:val="clear" w:color="auto" w:fill="auto"/>
            <w:vAlign w:val="center"/>
            <w:hideMark/>
          </w:tcPr>
          <w:p w14:paraId="75FF8316"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462" w:type="dxa"/>
            <w:tcBorders>
              <w:top w:val="nil"/>
              <w:left w:val="nil"/>
              <w:bottom w:val="nil"/>
              <w:right w:val="nil"/>
            </w:tcBorders>
            <w:shd w:val="clear" w:color="auto" w:fill="auto"/>
            <w:vAlign w:val="center"/>
            <w:hideMark/>
          </w:tcPr>
          <w:p w14:paraId="6654E9C9"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313" w:type="dxa"/>
            <w:tcBorders>
              <w:top w:val="nil"/>
              <w:left w:val="nil"/>
              <w:bottom w:val="nil"/>
              <w:right w:val="nil"/>
            </w:tcBorders>
            <w:shd w:val="clear" w:color="auto" w:fill="auto"/>
            <w:vAlign w:val="center"/>
            <w:hideMark/>
          </w:tcPr>
          <w:p w14:paraId="6299BB87"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r>
      <w:tr w:rsidR="00463A75" w:rsidRPr="003E76E7" w14:paraId="1E8641BF" w14:textId="77777777" w:rsidTr="00B17397">
        <w:trPr>
          <w:trHeight w:val="225"/>
        </w:trPr>
        <w:tc>
          <w:tcPr>
            <w:tcW w:w="3119" w:type="dxa"/>
            <w:tcBorders>
              <w:top w:val="nil"/>
              <w:left w:val="nil"/>
              <w:bottom w:val="nil"/>
              <w:right w:val="nil"/>
            </w:tcBorders>
            <w:shd w:val="clear" w:color="auto" w:fill="auto"/>
            <w:vAlign w:val="bottom"/>
            <w:hideMark/>
          </w:tcPr>
          <w:p w14:paraId="520CB74F"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RAAF Base Tindal</w:t>
            </w:r>
          </w:p>
        </w:tc>
        <w:tc>
          <w:tcPr>
            <w:tcW w:w="1911" w:type="dxa"/>
            <w:tcBorders>
              <w:top w:val="nil"/>
              <w:left w:val="nil"/>
              <w:bottom w:val="nil"/>
              <w:right w:val="nil"/>
            </w:tcBorders>
            <w:shd w:val="clear" w:color="auto" w:fill="auto"/>
            <w:noWrap/>
            <w:vAlign w:val="bottom"/>
            <w:hideMark/>
          </w:tcPr>
          <w:p w14:paraId="4CE14131"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NT - Lingiari</w:t>
            </w:r>
          </w:p>
        </w:tc>
        <w:tc>
          <w:tcPr>
            <w:tcW w:w="1141" w:type="dxa"/>
            <w:tcBorders>
              <w:top w:val="nil"/>
              <w:left w:val="nil"/>
              <w:bottom w:val="nil"/>
              <w:right w:val="nil"/>
            </w:tcBorders>
            <w:shd w:val="clear" w:color="auto" w:fill="auto"/>
            <w:noWrap/>
            <w:vAlign w:val="bottom"/>
            <w:hideMark/>
          </w:tcPr>
          <w:p w14:paraId="788ED96D" w14:textId="77777777"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1B3828A1"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47.5</w:t>
            </w:r>
          </w:p>
        </w:tc>
        <w:tc>
          <w:tcPr>
            <w:tcW w:w="1313" w:type="dxa"/>
            <w:tcBorders>
              <w:top w:val="nil"/>
              <w:left w:val="nil"/>
              <w:bottom w:val="nil"/>
              <w:right w:val="nil"/>
            </w:tcBorders>
            <w:shd w:val="clear" w:color="auto" w:fill="auto"/>
            <w:noWrap/>
            <w:vAlign w:val="bottom"/>
            <w:hideMark/>
          </w:tcPr>
          <w:p w14:paraId="547B700B"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 xml:space="preserve">                     - </w:t>
            </w:r>
          </w:p>
        </w:tc>
      </w:tr>
      <w:tr w:rsidR="00463A75" w:rsidRPr="003E76E7" w14:paraId="7858F90E" w14:textId="77777777" w:rsidTr="00B17397">
        <w:trPr>
          <w:trHeight w:val="225"/>
        </w:trPr>
        <w:tc>
          <w:tcPr>
            <w:tcW w:w="3119" w:type="dxa"/>
            <w:tcBorders>
              <w:top w:val="nil"/>
              <w:left w:val="nil"/>
              <w:bottom w:val="nil"/>
              <w:right w:val="nil"/>
            </w:tcBorders>
            <w:shd w:val="clear" w:color="auto" w:fill="auto"/>
            <w:vAlign w:val="bottom"/>
            <w:hideMark/>
          </w:tcPr>
          <w:p w14:paraId="1F94F782"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RAAF Base Townsville</w:t>
            </w:r>
          </w:p>
        </w:tc>
        <w:tc>
          <w:tcPr>
            <w:tcW w:w="1911" w:type="dxa"/>
            <w:tcBorders>
              <w:top w:val="nil"/>
              <w:left w:val="nil"/>
              <w:bottom w:val="nil"/>
              <w:right w:val="nil"/>
            </w:tcBorders>
            <w:shd w:val="clear" w:color="auto" w:fill="auto"/>
            <w:noWrap/>
            <w:vAlign w:val="bottom"/>
            <w:hideMark/>
          </w:tcPr>
          <w:p w14:paraId="30E7F5C4"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QLD - Herbert</w:t>
            </w:r>
          </w:p>
        </w:tc>
        <w:tc>
          <w:tcPr>
            <w:tcW w:w="1141" w:type="dxa"/>
            <w:tcBorders>
              <w:top w:val="nil"/>
              <w:left w:val="nil"/>
              <w:bottom w:val="nil"/>
              <w:right w:val="nil"/>
            </w:tcBorders>
            <w:shd w:val="clear" w:color="auto" w:fill="auto"/>
            <w:noWrap/>
            <w:vAlign w:val="bottom"/>
            <w:hideMark/>
          </w:tcPr>
          <w:p w14:paraId="4DCC3B3E" w14:textId="77777777"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2F09879A"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9.9</w:t>
            </w:r>
          </w:p>
        </w:tc>
        <w:tc>
          <w:tcPr>
            <w:tcW w:w="1313" w:type="dxa"/>
            <w:tcBorders>
              <w:top w:val="nil"/>
              <w:left w:val="nil"/>
              <w:bottom w:val="nil"/>
              <w:right w:val="nil"/>
            </w:tcBorders>
            <w:shd w:val="clear" w:color="auto" w:fill="auto"/>
            <w:noWrap/>
            <w:vAlign w:val="bottom"/>
            <w:hideMark/>
          </w:tcPr>
          <w:p w14:paraId="1BA3DCC4"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 xml:space="preserve">                15.0 </w:t>
            </w:r>
          </w:p>
        </w:tc>
      </w:tr>
      <w:tr w:rsidR="00463A75" w:rsidRPr="003E76E7" w14:paraId="2B63D306" w14:textId="77777777" w:rsidTr="00B17397">
        <w:trPr>
          <w:trHeight w:val="225"/>
        </w:trPr>
        <w:tc>
          <w:tcPr>
            <w:tcW w:w="3119" w:type="dxa"/>
            <w:tcBorders>
              <w:top w:val="nil"/>
              <w:left w:val="nil"/>
              <w:bottom w:val="nil"/>
              <w:right w:val="nil"/>
            </w:tcBorders>
            <w:shd w:val="clear" w:color="auto" w:fill="auto"/>
            <w:vAlign w:val="bottom"/>
            <w:hideMark/>
          </w:tcPr>
          <w:p w14:paraId="08579496"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RAAF Base Curtin</w:t>
            </w:r>
          </w:p>
        </w:tc>
        <w:tc>
          <w:tcPr>
            <w:tcW w:w="1911" w:type="dxa"/>
            <w:tcBorders>
              <w:top w:val="nil"/>
              <w:left w:val="nil"/>
              <w:bottom w:val="nil"/>
              <w:right w:val="nil"/>
            </w:tcBorders>
            <w:shd w:val="clear" w:color="auto" w:fill="auto"/>
            <w:noWrap/>
            <w:vAlign w:val="bottom"/>
            <w:hideMark/>
          </w:tcPr>
          <w:p w14:paraId="22EBF3C5"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WA - Durack</w:t>
            </w:r>
          </w:p>
        </w:tc>
        <w:tc>
          <w:tcPr>
            <w:tcW w:w="1141" w:type="dxa"/>
            <w:tcBorders>
              <w:top w:val="nil"/>
              <w:left w:val="nil"/>
              <w:bottom w:val="nil"/>
              <w:right w:val="nil"/>
            </w:tcBorders>
            <w:shd w:val="clear" w:color="auto" w:fill="auto"/>
            <w:noWrap/>
            <w:vAlign w:val="bottom"/>
            <w:hideMark/>
          </w:tcPr>
          <w:p w14:paraId="50F385A9" w14:textId="77777777"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295B8DF8"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15.2</w:t>
            </w:r>
          </w:p>
        </w:tc>
        <w:tc>
          <w:tcPr>
            <w:tcW w:w="1313" w:type="dxa"/>
            <w:tcBorders>
              <w:top w:val="nil"/>
              <w:left w:val="nil"/>
              <w:bottom w:val="nil"/>
              <w:right w:val="nil"/>
            </w:tcBorders>
            <w:shd w:val="clear" w:color="auto" w:fill="auto"/>
            <w:noWrap/>
            <w:vAlign w:val="bottom"/>
            <w:hideMark/>
          </w:tcPr>
          <w:p w14:paraId="38623A50"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 xml:space="preserve">                     - </w:t>
            </w:r>
          </w:p>
        </w:tc>
      </w:tr>
      <w:tr w:rsidR="00463A75" w:rsidRPr="003E76E7" w14:paraId="462849B4" w14:textId="77777777" w:rsidTr="00B17397">
        <w:trPr>
          <w:trHeight w:val="225"/>
        </w:trPr>
        <w:tc>
          <w:tcPr>
            <w:tcW w:w="3119" w:type="dxa"/>
            <w:tcBorders>
              <w:top w:val="nil"/>
              <w:left w:val="nil"/>
              <w:bottom w:val="single" w:sz="4" w:space="0" w:color="auto"/>
              <w:right w:val="nil"/>
            </w:tcBorders>
            <w:shd w:val="clear" w:color="auto" w:fill="auto"/>
            <w:vAlign w:val="bottom"/>
            <w:hideMark/>
          </w:tcPr>
          <w:p w14:paraId="2FA35D5B"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Total</w:t>
            </w:r>
          </w:p>
        </w:tc>
        <w:tc>
          <w:tcPr>
            <w:tcW w:w="1911" w:type="dxa"/>
            <w:tcBorders>
              <w:top w:val="nil"/>
              <w:left w:val="nil"/>
              <w:bottom w:val="single" w:sz="4" w:space="0" w:color="auto"/>
              <w:right w:val="nil"/>
            </w:tcBorders>
            <w:shd w:val="clear" w:color="auto" w:fill="auto"/>
            <w:noWrap/>
            <w:vAlign w:val="bottom"/>
            <w:hideMark/>
          </w:tcPr>
          <w:p w14:paraId="29412D2C"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 </w:t>
            </w:r>
          </w:p>
        </w:tc>
        <w:tc>
          <w:tcPr>
            <w:tcW w:w="1141" w:type="dxa"/>
            <w:tcBorders>
              <w:top w:val="nil"/>
              <w:left w:val="nil"/>
              <w:bottom w:val="single" w:sz="4" w:space="0" w:color="auto"/>
              <w:right w:val="nil"/>
            </w:tcBorders>
            <w:shd w:val="clear" w:color="auto" w:fill="auto"/>
            <w:noWrap/>
            <w:vAlign w:val="bottom"/>
            <w:hideMark/>
          </w:tcPr>
          <w:p w14:paraId="446EC4E7"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95.3</w:t>
            </w:r>
          </w:p>
        </w:tc>
        <w:tc>
          <w:tcPr>
            <w:tcW w:w="1462" w:type="dxa"/>
            <w:tcBorders>
              <w:top w:val="nil"/>
              <w:left w:val="nil"/>
              <w:bottom w:val="single" w:sz="4" w:space="0" w:color="auto"/>
              <w:right w:val="nil"/>
            </w:tcBorders>
            <w:shd w:val="clear" w:color="auto" w:fill="auto"/>
            <w:noWrap/>
            <w:vAlign w:val="bottom"/>
            <w:hideMark/>
          </w:tcPr>
          <w:p w14:paraId="6884BC8A" w14:textId="77777777" w:rsidR="00463A75" w:rsidRPr="003E76E7" w:rsidRDefault="00463A75" w:rsidP="00C4292D">
            <w:pPr>
              <w:spacing w:before="0" w:after="0"/>
              <w:jc w:val="right"/>
              <w:rPr>
                <w:rFonts w:ascii="Arial" w:hAnsi="Arial"/>
                <w:b/>
                <w:bCs/>
                <w:sz w:val="16"/>
                <w:szCs w:val="16"/>
                <w:lang w:val="en-AU"/>
              </w:rPr>
            </w:pPr>
            <w:r w:rsidRPr="003E76E7">
              <w:rPr>
                <w:rFonts w:ascii="Arial" w:hAnsi="Arial"/>
                <w:b/>
                <w:bCs/>
                <w:sz w:val="16"/>
                <w:szCs w:val="16"/>
                <w:lang w:val="en-AU"/>
              </w:rPr>
              <w:t>72.6</w:t>
            </w:r>
          </w:p>
        </w:tc>
        <w:tc>
          <w:tcPr>
            <w:tcW w:w="1313" w:type="dxa"/>
            <w:tcBorders>
              <w:top w:val="nil"/>
              <w:left w:val="nil"/>
              <w:bottom w:val="single" w:sz="4" w:space="0" w:color="auto"/>
              <w:right w:val="nil"/>
            </w:tcBorders>
            <w:shd w:val="clear" w:color="auto" w:fill="auto"/>
            <w:noWrap/>
            <w:vAlign w:val="bottom"/>
            <w:hideMark/>
          </w:tcPr>
          <w:p w14:paraId="4741E62E"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15.0</w:t>
            </w:r>
          </w:p>
        </w:tc>
      </w:tr>
      <w:tr w:rsidR="00463A75" w:rsidRPr="003E76E7" w14:paraId="20218C26" w14:textId="77777777" w:rsidTr="00B17397">
        <w:trPr>
          <w:trHeight w:val="225"/>
        </w:trPr>
        <w:tc>
          <w:tcPr>
            <w:tcW w:w="3119" w:type="dxa"/>
            <w:tcBorders>
              <w:top w:val="nil"/>
              <w:left w:val="nil"/>
              <w:bottom w:val="nil"/>
              <w:right w:val="nil"/>
            </w:tcBorders>
            <w:shd w:val="clear" w:color="auto" w:fill="auto"/>
            <w:vAlign w:val="center"/>
            <w:hideMark/>
          </w:tcPr>
          <w:p w14:paraId="12A053D0" w14:textId="29125260"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xml:space="preserve">Cultana Training Area </w:t>
            </w:r>
            <w:r w:rsidR="00A37D48" w:rsidRPr="003E76E7">
              <w:rPr>
                <w:rFonts w:ascii="Arial" w:hAnsi="Arial"/>
                <w:b/>
                <w:bCs/>
                <w:color w:val="000000"/>
                <w:sz w:val="16"/>
                <w:szCs w:val="16"/>
                <w:lang w:val="en-AU"/>
              </w:rPr>
              <w:br/>
            </w:r>
            <w:r w:rsidRPr="003E76E7">
              <w:rPr>
                <w:rFonts w:ascii="Arial" w:hAnsi="Arial"/>
                <w:b/>
                <w:bCs/>
                <w:color w:val="000000"/>
                <w:sz w:val="16"/>
                <w:szCs w:val="16"/>
                <w:lang w:val="en-AU"/>
              </w:rPr>
              <w:t>Redevelopment Phase 2</w:t>
            </w:r>
          </w:p>
        </w:tc>
        <w:tc>
          <w:tcPr>
            <w:tcW w:w="1911" w:type="dxa"/>
            <w:tcBorders>
              <w:top w:val="nil"/>
              <w:left w:val="nil"/>
              <w:bottom w:val="nil"/>
              <w:right w:val="nil"/>
            </w:tcBorders>
            <w:shd w:val="clear" w:color="auto" w:fill="auto"/>
            <w:vAlign w:val="center"/>
            <w:hideMark/>
          </w:tcPr>
          <w:p w14:paraId="2BBC08BD"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141" w:type="dxa"/>
            <w:tcBorders>
              <w:top w:val="nil"/>
              <w:left w:val="nil"/>
              <w:bottom w:val="nil"/>
              <w:right w:val="nil"/>
            </w:tcBorders>
            <w:shd w:val="clear" w:color="auto" w:fill="auto"/>
            <w:vAlign w:val="center"/>
            <w:hideMark/>
          </w:tcPr>
          <w:p w14:paraId="67A7FAA6"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462" w:type="dxa"/>
            <w:tcBorders>
              <w:top w:val="nil"/>
              <w:left w:val="nil"/>
              <w:bottom w:val="nil"/>
              <w:right w:val="nil"/>
            </w:tcBorders>
            <w:shd w:val="clear" w:color="auto" w:fill="auto"/>
            <w:vAlign w:val="center"/>
            <w:hideMark/>
          </w:tcPr>
          <w:p w14:paraId="324790CA"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313" w:type="dxa"/>
            <w:tcBorders>
              <w:top w:val="nil"/>
              <w:left w:val="nil"/>
              <w:bottom w:val="nil"/>
              <w:right w:val="nil"/>
            </w:tcBorders>
            <w:shd w:val="clear" w:color="auto" w:fill="auto"/>
            <w:vAlign w:val="center"/>
            <w:hideMark/>
          </w:tcPr>
          <w:p w14:paraId="7E8A7117"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r>
      <w:tr w:rsidR="00463A75" w:rsidRPr="003E76E7" w14:paraId="4E0C0A11" w14:textId="77777777" w:rsidTr="00B17397">
        <w:trPr>
          <w:trHeight w:val="225"/>
        </w:trPr>
        <w:tc>
          <w:tcPr>
            <w:tcW w:w="3119" w:type="dxa"/>
            <w:tcBorders>
              <w:top w:val="nil"/>
              <w:left w:val="nil"/>
              <w:bottom w:val="single" w:sz="4" w:space="0" w:color="auto"/>
              <w:right w:val="nil"/>
            </w:tcBorders>
            <w:shd w:val="clear" w:color="auto" w:fill="auto"/>
            <w:vAlign w:val="bottom"/>
            <w:hideMark/>
          </w:tcPr>
          <w:p w14:paraId="420A4CF8"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Cultana Training Area</w:t>
            </w:r>
          </w:p>
        </w:tc>
        <w:tc>
          <w:tcPr>
            <w:tcW w:w="1911" w:type="dxa"/>
            <w:tcBorders>
              <w:top w:val="nil"/>
              <w:left w:val="nil"/>
              <w:bottom w:val="single" w:sz="4" w:space="0" w:color="auto"/>
              <w:right w:val="nil"/>
            </w:tcBorders>
            <w:shd w:val="clear" w:color="auto" w:fill="auto"/>
            <w:noWrap/>
            <w:vAlign w:val="bottom"/>
            <w:hideMark/>
          </w:tcPr>
          <w:p w14:paraId="2037A4A8"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SA - Grey</w:t>
            </w:r>
          </w:p>
        </w:tc>
        <w:tc>
          <w:tcPr>
            <w:tcW w:w="1141" w:type="dxa"/>
            <w:tcBorders>
              <w:top w:val="nil"/>
              <w:left w:val="nil"/>
              <w:bottom w:val="single" w:sz="4" w:space="0" w:color="auto"/>
              <w:right w:val="nil"/>
            </w:tcBorders>
            <w:shd w:val="clear" w:color="auto" w:fill="auto"/>
            <w:noWrap/>
            <w:vAlign w:val="bottom"/>
            <w:hideMark/>
          </w:tcPr>
          <w:p w14:paraId="11B47D5A"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79.8</w:t>
            </w:r>
          </w:p>
        </w:tc>
        <w:tc>
          <w:tcPr>
            <w:tcW w:w="1462" w:type="dxa"/>
            <w:tcBorders>
              <w:top w:val="nil"/>
              <w:left w:val="nil"/>
              <w:bottom w:val="single" w:sz="4" w:space="0" w:color="auto"/>
              <w:right w:val="nil"/>
            </w:tcBorders>
            <w:shd w:val="clear" w:color="auto" w:fill="auto"/>
            <w:noWrap/>
            <w:vAlign w:val="bottom"/>
            <w:hideMark/>
          </w:tcPr>
          <w:p w14:paraId="5439A1A3"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22.1</w:t>
            </w:r>
          </w:p>
        </w:tc>
        <w:tc>
          <w:tcPr>
            <w:tcW w:w="1313" w:type="dxa"/>
            <w:tcBorders>
              <w:top w:val="nil"/>
              <w:left w:val="nil"/>
              <w:bottom w:val="single" w:sz="4" w:space="0" w:color="auto"/>
              <w:right w:val="nil"/>
            </w:tcBorders>
            <w:shd w:val="clear" w:color="auto" w:fill="auto"/>
            <w:noWrap/>
            <w:vAlign w:val="bottom"/>
            <w:hideMark/>
          </w:tcPr>
          <w:p w14:paraId="41FAD00B"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48.8</w:t>
            </w:r>
          </w:p>
        </w:tc>
      </w:tr>
      <w:tr w:rsidR="00463A75" w:rsidRPr="003E76E7" w14:paraId="54CEA840" w14:textId="77777777" w:rsidTr="00B17397">
        <w:trPr>
          <w:trHeight w:val="225"/>
        </w:trPr>
        <w:tc>
          <w:tcPr>
            <w:tcW w:w="3119" w:type="dxa"/>
            <w:tcBorders>
              <w:top w:val="nil"/>
              <w:left w:val="nil"/>
              <w:bottom w:val="nil"/>
              <w:right w:val="nil"/>
            </w:tcBorders>
            <w:shd w:val="clear" w:color="auto" w:fill="auto"/>
            <w:vAlign w:val="center"/>
            <w:hideMark/>
          </w:tcPr>
          <w:p w14:paraId="3EEB005F"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xml:space="preserve">Facilities to Support Information </w:t>
            </w:r>
            <w:r w:rsidRPr="003E76E7">
              <w:rPr>
                <w:rFonts w:ascii="Arial" w:hAnsi="Arial"/>
                <w:b/>
                <w:bCs/>
                <w:color w:val="000000"/>
                <w:sz w:val="16"/>
                <w:szCs w:val="16"/>
                <w:lang w:val="en-AU"/>
              </w:rPr>
              <w:br/>
              <w:t xml:space="preserve">and Communication Technology </w:t>
            </w:r>
            <w:r w:rsidRPr="003E76E7">
              <w:rPr>
                <w:rFonts w:ascii="Arial" w:hAnsi="Arial"/>
                <w:b/>
                <w:bCs/>
                <w:color w:val="000000"/>
                <w:sz w:val="16"/>
                <w:szCs w:val="16"/>
                <w:lang w:val="en-AU"/>
              </w:rPr>
              <w:br/>
              <w:t>Early Works</w:t>
            </w:r>
          </w:p>
        </w:tc>
        <w:tc>
          <w:tcPr>
            <w:tcW w:w="1911" w:type="dxa"/>
            <w:tcBorders>
              <w:top w:val="nil"/>
              <w:left w:val="nil"/>
              <w:bottom w:val="nil"/>
              <w:right w:val="nil"/>
            </w:tcBorders>
            <w:shd w:val="clear" w:color="auto" w:fill="auto"/>
            <w:vAlign w:val="center"/>
            <w:hideMark/>
          </w:tcPr>
          <w:p w14:paraId="587A2051"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141" w:type="dxa"/>
            <w:tcBorders>
              <w:top w:val="nil"/>
              <w:left w:val="nil"/>
              <w:bottom w:val="nil"/>
              <w:right w:val="nil"/>
            </w:tcBorders>
            <w:shd w:val="clear" w:color="auto" w:fill="auto"/>
            <w:vAlign w:val="center"/>
            <w:hideMark/>
          </w:tcPr>
          <w:p w14:paraId="60369B2A"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462" w:type="dxa"/>
            <w:tcBorders>
              <w:top w:val="nil"/>
              <w:left w:val="nil"/>
              <w:bottom w:val="nil"/>
              <w:right w:val="nil"/>
            </w:tcBorders>
            <w:shd w:val="clear" w:color="auto" w:fill="auto"/>
            <w:vAlign w:val="center"/>
            <w:hideMark/>
          </w:tcPr>
          <w:p w14:paraId="29EB8EFF"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313" w:type="dxa"/>
            <w:tcBorders>
              <w:top w:val="nil"/>
              <w:left w:val="nil"/>
              <w:bottom w:val="nil"/>
              <w:right w:val="nil"/>
            </w:tcBorders>
            <w:shd w:val="clear" w:color="auto" w:fill="auto"/>
            <w:vAlign w:val="center"/>
            <w:hideMark/>
          </w:tcPr>
          <w:p w14:paraId="4CD9A653"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r>
      <w:tr w:rsidR="00463A75" w:rsidRPr="003E76E7" w14:paraId="030B2192" w14:textId="77777777" w:rsidTr="00B17397">
        <w:trPr>
          <w:trHeight w:val="225"/>
        </w:trPr>
        <w:tc>
          <w:tcPr>
            <w:tcW w:w="3119" w:type="dxa"/>
            <w:tcBorders>
              <w:top w:val="nil"/>
              <w:left w:val="nil"/>
              <w:bottom w:val="nil"/>
              <w:right w:val="nil"/>
            </w:tcBorders>
            <w:shd w:val="clear" w:color="auto" w:fill="auto"/>
            <w:vAlign w:val="bottom"/>
            <w:hideMark/>
          </w:tcPr>
          <w:p w14:paraId="171980E2"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New South Wales</w:t>
            </w:r>
          </w:p>
        </w:tc>
        <w:tc>
          <w:tcPr>
            <w:tcW w:w="1911" w:type="dxa"/>
            <w:tcBorders>
              <w:top w:val="nil"/>
              <w:left w:val="nil"/>
              <w:bottom w:val="nil"/>
              <w:right w:val="nil"/>
            </w:tcBorders>
            <w:shd w:val="clear" w:color="auto" w:fill="auto"/>
            <w:noWrap/>
            <w:vAlign w:val="bottom"/>
            <w:hideMark/>
          </w:tcPr>
          <w:p w14:paraId="48722B94"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NSW</w:t>
            </w:r>
          </w:p>
        </w:tc>
        <w:tc>
          <w:tcPr>
            <w:tcW w:w="1141" w:type="dxa"/>
            <w:tcBorders>
              <w:top w:val="nil"/>
              <w:left w:val="nil"/>
              <w:bottom w:val="nil"/>
              <w:right w:val="nil"/>
            </w:tcBorders>
            <w:shd w:val="clear" w:color="auto" w:fill="auto"/>
            <w:noWrap/>
            <w:vAlign w:val="bottom"/>
            <w:hideMark/>
          </w:tcPr>
          <w:p w14:paraId="5EFE9F8F" w14:textId="77777777"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693C2623"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0.0</w:t>
            </w:r>
          </w:p>
        </w:tc>
        <w:tc>
          <w:tcPr>
            <w:tcW w:w="1313" w:type="dxa"/>
            <w:tcBorders>
              <w:top w:val="nil"/>
              <w:left w:val="nil"/>
              <w:bottom w:val="nil"/>
              <w:right w:val="nil"/>
            </w:tcBorders>
            <w:shd w:val="clear" w:color="auto" w:fill="auto"/>
            <w:noWrap/>
            <w:vAlign w:val="bottom"/>
            <w:hideMark/>
          </w:tcPr>
          <w:p w14:paraId="438FE9DA"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 xml:space="preserve">14.0                    </w:t>
            </w:r>
          </w:p>
        </w:tc>
      </w:tr>
      <w:tr w:rsidR="00463A75" w:rsidRPr="003E76E7" w14:paraId="2D19CFEC" w14:textId="77777777" w:rsidTr="00B17397">
        <w:trPr>
          <w:trHeight w:val="225"/>
        </w:trPr>
        <w:tc>
          <w:tcPr>
            <w:tcW w:w="3119" w:type="dxa"/>
            <w:tcBorders>
              <w:top w:val="nil"/>
              <w:left w:val="nil"/>
              <w:bottom w:val="nil"/>
              <w:right w:val="nil"/>
            </w:tcBorders>
            <w:shd w:val="clear" w:color="auto" w:fill="auto"/>
            <w:vAlign w:val="bottom"/>
            <w:hideMark/>
          </w:tcPr>
          <w:p w14:paraId="5D139B8E"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Queensland</w:t>
            </w:r>
          </w:p>
        </w:tc>
        <w:tc>
          <w:tcPr>
            <w:tcW w:w="1911" w:type="dxa"/>
            <w:tcBorders>
              <w:top w:val="nil"/>
              <w:left w:val="nil"/>
              <w:bottom w:val="nil"/>
              <w:right w:val="nil"/>
            </w:tcBorders>
            <w:shd w:val="clear" w:color="auto" w:fill="auto"/>
            <w:noWrap/>
            <w:vAlign w:val="bottom"/>
            <w:hideMark/>
          </w:tcPr>
          <w:p w14:paraId="5443754C"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QLD</w:t>
            </w:r>
          </w:p>
        </w:tc>
        <w:tc>
          <w:tcPr>
            <w:tcW w:w="1141" w:type="dxa"/>
            <w:tcBorders>
              <w:top w:val="nil"/>
              <w:left w:val="nil"/>
              <w:bottom w:val="nil"/>
              <w:right w:val="nil"/>
            </w:tcBorders>
            <w:shd w:val="clear" w:color="auto" w:fill="auto"/>
            <w:noWrap/>
            <w:vAlign w:val="bottom"/>
            <w:hideMark/>
          </w:tcPr>
          <w:p w14:paraId="3AF7C5DE" w14:textId="77777777"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4E6EA6A5"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12.6</w:t>
            </w:r>
          </w:p>
        </w:tc>
        <w:tc>
          <w:tcPr>
            <w:tcW w:w="1313" w:type="dxa"/>
            <w:tcBorders>
              <w:top w:val="nil"/>
              <w:left w:val="nil"/>
              <w:bottom w:val="nil"/>
              <w:right w:val="nil"/>
            </w:tcBorders>
            <w:shd w:val="clear" w:color="auto" w:fill="auto"/>
            <w:noWrap/>
            <w:vAlign w:val="bottom"/>
            <w:hideMark/>
          </w:tcPr>
          <w:p w14:paraId="05FBEF59"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39.1</w:t>
            </w:r>
          </w:p>
        </w:tc>
      </w:tr>
      <w:tr w:rsidR="00463A75" w:rsidRPr="003E76E7" w14:paraId="105BADE6" w14:textId="77777777" w:rsidTr="00B17397">
        <w:trPr>
          <w:trHeight w:val="225"/>
        </w:trPr>
        <w:tc>
          <w:tcPr>
            <w:tcW w:w="3119" w:type="dxa"/>
            <w:tcBorders>
              <w:top w:val="nil"/>
              <w:left w:val="nil"/>
              <w:bottom w:val="nil"/>
              <w:right w:val="nil"/>
            </w:tcBorders>
            <w:shd w:val="clear" w:color="auto" w:fill="auto"/>
            <w:vAlign w:val="bottom"/>
            <w:hideMark/>
          </w:tcPr>
          <w:p w14:paraId="524A591D"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South Australia</w:t>
            </w:r>
          </w:p>
        </w:tc>
        <w:tc>
          <w:tcPr>
            <w:tcW w:w="1911" w:type="dxa"/>
            <w:tcBorders>
              <w:top w:val="nil"/>
              <w:left w:val="nil"/>
              <w:bottom w:val="nil"/>
              <w:right w:val="nil"/>
            </w:tcBorders>
            <w:shd w:val="clear" w:color="auto" w:fill="auto"/>
            <w:noWrap/>
            <w:vAlign w:val="bottom"/>
            <w:hideMark/>
          </w:tcPr>
          <w:p w14:paraId="09499936"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SA</w:t>
            </w:r>
          </w:p>
        </w:tc>
        <w:tc>
          <w:tcPr>
            <w:tcW w:w="1141" w:type="dxa"/>
            <w:tcBorders>
              <w:top w:val="nil"/>
              <w:left w:val="nil"/>
              <w:bottom w:val="nil"/>
              <w:right w:val="nil"/>
            </w:tcBorders>
            <w:shd w:val="clear" w:color="auto" w:fill="auto"/>
            <w:noWrap/>
            <w:vAlign w:val="bottom"/>
            <w:hideMark/>
          </w:tcPr>
          <w:p w14:paraId="678760C4" w14:textId="77777777"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4F98293A"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0.0</w:t>
            </w:r>
          </w:p>
        </w:tc>
        <w:tc>
          <w:tcPr>
            <w:tcW w:w="1313" w:type="dxa"/>
            <w:tcBorders>
              <w:top w:val="nil"/>
              <w:left w:val="nil"/>
              <w:bottom w:val="nil"/>
              <w:right w:val="nil"/>
            </w:tcBorders>
            <w:shd w:val="clear" w:color="auto" w:fill="auto"/>
            <w:noWrap/>
            <w:vAlign w:val="bottom"/>
            <w:hideMark/>
          </w:tcPr>
          <w:p w14:paraId="1B7270BC"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2.8</w:t>
            </w:r>
          </w:p>
        </w:tc>
      </w:tr>
      <w:tr w:rsidR="00463A75" w:rsidRPr="003E76E7" w14:paraId="6A08B0AC" w14:textId="77777777" w:rsidTr="00B17397">
        <w:trPr>
          <w:trHeight w:val="225"/>
        </w:trPr>
        <w:tc>
          <w:tcPr>
            <w:tcW w:w="3119" w:type="dxa"/>
            <w:tcBorders>
              <w:top w:val="nil"/>
              <w:left w:val="nil"/>
              <w:bottom w:val="single" w:sz="4" w:space="0" w:color="auto"/>
              <w:right w:val="nil"/>
            </w:tcBorders>
            <w:shd w:val="clear" w:color="auto" w:fill="auto"/>
            <w:vAlign w:val="bottom"/>
            <w:hideMark/>
          </w:tcPr>
          <w:p w14:paraId="282AFC9D"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Total</w:t>
            </w:r>
          </w:p>
        </w:tc>
        <w:tc>
          <w:tcPr>
            <w:tcW w:w="1911" w:type="dxa"/>
            <w:tcBorders>
              <w:top w:val="nil"/>
              <w:left w:val="nil"/>
              <w:bottom w:val="single" w:sz="4" w:space="0" w:color="auto"/>
              <w:right w:val="nil"/>
            </w:tcBorders>
            <w:shd w:val="clear" w:color="auto" w:fill="auto"/>
            <w:noWrap/>
            <w:vAlign w:val="bottom"/>
            <w:hideMark/>
          </w:tcPr>
          <w:p w14:paraId="1429E562"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 </w:t>
            </w:r>
          </w:p>
        </w:tc>
        <w:tc>
          <w:tcPr>
            <w:tcW w:w="1141" w:type="dxa"/>
            <w:tcBorders>
              <w:top w:val="nil"/>
              <w:left w:val="nil"/>
              <w:bottom w:val="single" w:sz="4" w:space="0" w:color="auto"/>
              <w:right w:val="nil"/>
            </w:tcBorders>
            <w:shd w:val="clear" w:color="auto" w:fill="auto"/>
            <w:noWrap/>
            <w:vAlign w:val="bottom"/>
            <w:hideMark/>
          </w:tcPr>
          <w:p w14:paraId="2651ABFB"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73.8</w:t>
            </w:r>
          </w:p>
        </w:tc>
        <w:tc>
          <w:tcPr>
            <w:tcW w:w="1462" w:type="dxa"/>
            <w:tcBorders>
              <w:top w:val="nil"/>
              <w:left w:val="nil"/>
              <w:bottom w:val="single" w:sz="4" w:space="0" w:color="auto"/>
              <w:right w:val="nil"/>
            </w:tcBorders>
            <w:shd w:val="clear" w:color="auto" w:fill="auto"/>
            <w:noWrap/>
            <w:vAlign w:val="bottom"/>
            <w:hideMark/>
          </w:tcPr>
          <w:p w14:paraId="263F8BAF"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12.6</w:t>
            </w:r>
          </w:p>
        </w:tc>
        <w:tc>
          <w:tcPr>
            <w:tcW w:w="1313" w:type="dxa"/>
            <w:tcBorders>
              <w:top w:val="nil"/>
              <w:left w:val="nil"/>
              <w:bottom w:val="single" w:sz="4" w:space="0" w:color="auto"/>
              <w:right w:val="nil"/>
            </w:tcBorders>
            <w:shd w:val="clear" w:color="auto" w:fill="auto"/>
            <w:noWrap/>
            <w:vAlign w:val="bottom"/>
            <w:hideMark/>
          </w:tcPr>
          <w:p w14:paraId="6EDE87B2"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55.8</w:t>
            </w:r>
          </w:p>
        </w:tc>
      </w:tr>
      <w:tr w:rsidR="00463A75" w:rsidRPr="003E76E7" w14:paraId="2B059115" w14:textId="77777777" w:rsidTr="00B17397">
        <w:trPr>
          <w:trHeight w:val="225"/>
        </w:trPr>
        <w:tc>
          <w:tcPr>
            <w:tcW w:w="3119" w:type="dxa"/>
            <w:tcBorders>
              <w:top w:val="nil"/>
              <w:left w:val="nil"/>
              <w:bottom w:val="nil"/>
              <w:right w:val="nil"/>
            </w:tcBorders>
            <w:shd w:val="clear" w:color="auto" w:fill="auto"/>
            <w:vAlign w:val="center"/>
            <w:hideMark/>
          </w:tcPr>
          <w:p w14:paraId="6A6E9DCF" w14:textId="50525302"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xml:space="preserve">North Queensland Mid-Term Refresh Program: RAAF Base Townsville </w:t>
            </w:r>
            <w:r w:rsidRPr="003E76E7">
              <w:rPr>
                <w:rFonts w:ascii="Arial" w:hAnsi="Arial"/>
                <w:b/>
                <w:bCs/>
                <w:color w:val="000000"/>
                <w:sz w:val="16"/>
                <w:szCs w:val="16"/>
                <w:lang w:val="en-AU"/>
              </w:rPr>
              <w:br/>
              <w:t>Mid-Term Refresh Project</w:t>
            </w:r>
          </w:p>
        </w:tc>
        <w:tc>
          <w:tcPr>
            <w:tcW w:w="1911" w:type="dxa"/>
            <w:tcBorders>
              <w:top w:val="nil"/>
              <w:left w:val="nil"/>
              <w:bottom w:val="nil"/>
              <w:right w:val="nil"/>
            </w:tcBorders>
            <w:shd w:val="clear" w:color="auto" w:fill="auto"/>
            <w:vAlign w:val="center"/>
            <w:hideMark/>
          </w:tcPr>
          <w:p w14:paraId="30A8FA8C"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141" w:type="dxa"/>
            <w:tcBorders>
              <w:top w:val="nil"/>
              <w:left w:val="nil"/>
              <w:bottom w:val="nil"/>
              <w:right w:val="nil"/>
            </w:tcBorders>
            <w:shd w:val="clear" w:color="auto" w:fill="auto"/>
            <w:vAlign w:val="center"/>
            <w:hideMark/>
          </w:tcPr>
          <w:p w14:paraId="5DA0995C"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462" w:type="dxa"/>
            <w:tcBorders>
              <w:top w:val="nil"/>
              <w:left w:val="nil"/>
              <w:bottom w:val="nil"/>
              <w:right w:val="nil"/>
            </w:tcBorders>
            <w:shd w:val="clear" w:color="auto" w:fill="auto"/>
            <w:vAlign w:val="center"/>
            <w:hideMark/>
          </w:tcPr>
          <w:p w14:paraId="752849B7"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313" w:type="dxa"/>
            <w:tcBorders>
              <w:top w:val="nil"/>
              <w:left w:val="nil"/>
              <w:bottom w:val="nil"/>
              <w:right w:val="nil"/>
            </w:tcBorders>
            <w:shd w:val="clear" w:color="auto" w:fill="auto"/>
            <w:vAlign w:val="center"/>
            <w:hideMark/>
          </w:tcPr>
          <w:p w14:paraId="25A0F5E1"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r>
      <w:tr w:rsidR="00463A75" w:rsidRPr="003E76E7" w14:paraId="5FBB95C2" w14:textId="77777777" w:rsidTr="00B17397">
        <w:trPr>
          <w:trHeight w:val="225"/>
        </w:trPr>
        <w:tc>
          <w:tcPr>
            <w:tcW w:w="3119" w:type="dxa"/>
            <w:tcBorders>
              <w:top w:val="nil"/>
              <w:left w:val="nil"/>
              <w:bottom w:val="single" w:sz="4" w:space="0" w:color="auto"/>
              <w:right w:val="nil"/>
            </w:tcBorders>
            <w:shd w:val="clear" w:color="auto" w:fill="auto"/>
            <w:vAlign w:val="bottom"/>
            <w:hideMark/>
          </w:tcPr>
          <w:p w14:paraId="0F9B8C07"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RAAF Base Townsville</w:t>
            </w:r>
          </w:p>
        </w:tc>
        <w:tc>
          <w:tcPr>
            <w:tcW w:w="1911" w:type="dxa"/>
            <w:tcBorders>
              <w:top w:val="nil"/>
              <w:left w:val="nil"/>
              <w:bottom w:val="single" w:sz="4" w:space="0" w:color="auto"/>
              <w:right w:val="nil"/>
            </w:tcBorders>
            <w:shd w:val="clear" w:color="auto" w:fill="auto"/>
            <w:noWrap/>
            <w:vAlign w:val="bottom"/>
            <w:hideMark/>
          </w:tcPr>
          <w:p w14:paraId="5D57A143"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QLD - Herbert</w:t>
            </w:r>
          </w:p>
        </w:tc>
        <w:tc>
          <w:tcPr>
            <w:tcW w:w="1141" w:type="dxa"/>
            <w:tcBorders>
              <w:top w:val="nil"/>
              <w:left w:val="nil"/>
              <w:bottom w:val="single" w:sz="4" w:space="0" w:color="auto"/>
              <w:right w:val="nil"/>
            </w:tcBorders>
            <w:shd w:val="clear" w:color="auto" w:fill="auto"/>
            <w:noWrap/>
            <w:vAlign w:val="bottom"/>
            <w:hideMark/>
          </w:tcPr>
          <w:p w14:paraId="05D27470"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72.8</w:t>
            </w:r>
          </w:p>
        </w:tc>
        <w:tc>
          <w:tcPr>
            <w:tcW w:w="1462" w:type="dxa"/>
            <w:tcBorders>
              <w:top w:val="nil"/>
              <w:left w:val="nil"/>
              <w:bottom w:val="single" w:sz="4" w:space="0" w:color="auto"/>
              <w:right w:val="nil"/>
            </w:tcBorders>
            <w:shd w:val="clear" w:color="auto" w:fill="auto"/>
            <w:noWrap/>
            <w:vAlign w:val="bottom"/>
            <w:hideMark/>
          </w:tcPr>
          <w:p w14:paraId="75C9B225"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61.9</w:t>
            </w:r>
          </w:p>
        </w:tc>
        <w:tc>
          <w:tcPr>
            <w:tcW w:w="1313" w:type="dxa"/>
            <w:tcBorders>
              <w:top w:val="nil"/>
              <w:left w:val="nil"/>
              <w:bottom w:val="single" w:sz="4" w:space="0" w:color="auto"/>
              <w:right w:val="nil"/>
            </w:tcBorders>
            <w:shd w:val="clear" w:color="auto" w:fill="auto"/>
            <w:noWrap/>
            <w:vAlign w:val="bottom"/>
            <w:hideMark/>
          </w:tcPr>
          <w:p w14:paraId="55C41DE4"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1.9</w:t>
            </w:r>
          </w:p>
        </w:tc>
      </w:tr>
      <w:tr w:rsidR="00463A75" w:rsidRPr="003E76E7" w14:paraId="32D6DEA1" w14:textId="77777777" w:rsidTr="00B17397">
        <w:trPr>
          <w:trHeight w:val="225"/>
        </w:trPr>
        <w:tc>
          <w:tcPr>
            <w:tcW w:w="3119" w:type="dxa"/>
            <w:tcBorders>
              <w:top w:val="nil"/>
              <w:left w:val="nil"/>
              <w:bottom w:val="nil"/>
              <w:right w:val="nil"/>
            </w:tcBorders>
            <w:shd w:val="clear" w:color="auto" w:fill="auto"/>
            <w:vAlign w:val="center"/>
            <w:hideMark/>
          </w:tcPr>
          <w:p w14:paraId="3A6D1CD4" w14:textId="3C11D151"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xml:space="preserve">Facilities to Support </w:t>
            </w:r>
            <w:r w:rsidR="00B17397" w:rsidRPr="003E76E7">
              <w:rPr>
                <w:rFonts w:ascii="Arial" w:hAnsi="Arial"/>
                <w:b/>
                <w:bCs/>
                <w:color w:val="000000"/>
                <w:sz w:val="16"/>
                <w:szCs w:val="16"/>
                <w:lang w:val="en-AU"/>
              </w:rPr>
              <w:br/>
            </w:r>
            <w:r w:rsidRPr="003E76E7">
              <w:rPr>
                <w:rFonts w:ascii="Arial" w:hAnsi="Arial"/>
                <w:b/>
                <w:bCs/>
                <w:color w:val="000000"/>
                <w:sz w:val="16"/>
                <w:szCs w:val="16"/>
                <w:lang w:val="en-AU"/>
              </w:rPr>
              <w:t>JP 8218 Theatre Logistics</w:t>
            </w:r>
          </w:p>
        </w:tc>
        <w:tc>
          <w:tcPr>
            <w:tcW w:w="1911" w:type="dxa"/>
            <w:tcBorders>
              <w:top w:val="nil"/>
              <w:left w:val="nil"/>
              <w:bottom w:val="nil"/>
              <w:right w:val="nil"/>
            </w:tcBorders>
            <w:shd w:val="clear" w:color="auto" w:fill="auto"/>
            <w:vAlign w:val="center"/>
            <w:hideMark/>
          </w:tcPr>
          <w:p w14:paraId="06F7B355"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141" w:type="dxa"/>
            <w:tcBorders>
              <w:top w:val="nil"/>
              <w:left w:val="nil"/>
              <w:bottom w:val="nil"/>
              <w:right w:val="nil"/>
            </w:tcBorders>
            <w:shd w:val="clear" w:color="auto" w:fill="auto"/>
            <w:vAlign w:val="center"/>
            <w:hideMark/>
          </w:tcPr>
          <w:p w14:paraId="67A76DD6"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462" w:type="dxa"/>
            <w:tcBorders>
              <w:top w:val="nil"/>
              <w:left w:val="nil"/>
              <w:bottom w:val="nil"/>
              <w:right w:val="nil"/>
            </w:tcBorders>
            <w:shd w:val="clear" w:color="auto" w:fill="auto"/>
            <w:vAlign w:val="center"/>
            <w:hideMark/>
          </w:tcPr>
          <w:p w14:paraId="1D2DA028"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313" w:type="dxa"/>
            <w:tcBorders>
              <w:top w:val="nil"/>
              <w:left w:val="nil"/>
              <w:bottom w:val="nil"/>
              <w:right w:val="nil"/>
            </w:tcBorders>
            <w:shd w:val="clear" w:color="auto" w:fill="auto"/>
            <w:vAlign w:val="center"/>
            <w:hideMark/>
          </w:tcPr>
          <w:p w14:paraId="7A65EA35"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r>
      <w:tr w:rsidR="00463A75" w:rsidRPr="003E76E7" w14:paraId="204676A4" w14:textId="77777777" w:rsidTr="00B17397">
        <w:trPr>
          <w:trHeight w:val="225"/>
        </w:trPr>
        <w:tc>
          <w:tcPr>
            <w:tcW w:w="3119" w:type="dxa"/>
            <w:tcBorders>
              <w:top w:val="nil"/>
              <w:left w:val="nil"/>
              <w:bottom w:val="single" w:sz="4" w:space="0" w:color="auto"/>
              <w:right w:val="nil"/>
            </w:tcBorders>
            <w:shd w:val="clear" w:color="auto" w:fill="auto"/>
            <w:vAlign w:val="bottom"/>
            <w:hideMark/>
          </w:tcPr>
          <w:p w14:paraId="78278533"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North Bandiana</w:t>
            </w:r>
          </w:p>
        </w:tc>
        <w:tc>
          <w:tcPr>
            <w:tcW w:w="1911" w:type="dxa"/>
            <w:tcBorders>
              <w:top w:val="nil"/>
              <w:left w:val="nil"/>
              <w:bottom w:val="single" w:sz="4" w:space="0" w:color="auto"/>
              <w:right w:val="nil"/>
            </w:tcBorders>
            <w:shd w:val="clear" w:color="auto" w:fill="auto"/>
            <w:noWrap/>
            <w:vAlign w:val="bottom"/>
            <w:hideMark/>
          </w:tcPr>
          <w:p w14:paraId="1F2DF701"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VIC - Indi</w:t>
            </w:r>
          </w:p>
        </w:tc>
        <w:tc>
          <w:tcPr>
            <w:tcW w:w="1141" w:type="dxa"/>
            <w:tcBorders>
              <w:top w:val="nil"/>
              <w:left w:val="nil"/>
              <w:bottom w:val="single" w:sz="4" w:space="0" w:color="auto"/>
              <w:right w:val="nil"/>
            </w:tcBorders>
            <w:shd w:val="clear" w:color="auto" w:fill="auto"/>
            <w:noWrap/>
            <w:vAlign w:val="bottom"/>
            <w:hideMark/>
          </w:tcPr>
          <w:p w14:paraId="4169B668"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67.3</w:t>
            </w:r>
          </w:p>
        </w:tc>
        <w:tc>
          <w:tcPr>
            <w:tcW w:w="1462" w:type="dxa"/>
            <w:tcBorders>
              <w:top w:val="nil"/>
              <w:left w:val="nil"/>
              <w:bottom w:val="single" w:sz="4" w:space="0" w:color="auto"/>
              <w:right w:val="nil"/>
            </w:tcBorders>
            <w:shd w:val="clear" w:color="auto" w:fill="auto"/>
            <w:noWrap/>
            <w:vAlign w:val="bottom"/>
            <w:hideMark/>
          </w:tcPr>
          <w:p w14:paraId="0F8793D8"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28.6</w:t>
            </w:r>
          </w:p>
        </w:tc>
        <w:tc>
          <w:tcPr>
            <w:tcW w:w="1313" w:type="dxa"/>
            <w:tcBorders>
              <w:top w:val="nil"/>
              <w:left w:val="nil"/>
              <w:bottom w:val="single" w:sz="4" w:space="0" w:color="auto"/>
              <w:right w:val="nil"/>
            </w:tcBorders>
            <w:shd w:val="clear" w:color="auto" w:fill="auto"/>
            <w:noWrap/>
            <w:vAlign w:val="bottom"/>
            <w:hideMark/>
          </w:tcPr>
          <w:p w14:paraId="5F3F73B3"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38.7</w:t>
            </w:r>
          </w:p>
        </w:tc>
      </w:tr>
      <w:tr w:rsidR="00463A75" w:rsidRPr="003E76E7" w14:paraId="752E7EA4" w14:textId="77777777" w:rsidTr="00B17397">
        <w:trPr>
          <w:trHeight w:val="225"/>
        </w:trPr>
        <w:tc>
          <w:tcPr>
            <w:tcW w:w="3119" w:type="dxa"/>
            <w:tcBorders>
              <w:top w:val="single" w:sz="4" w:space="0" w:color="auto"/>
              <w:left w:val="nil"/>
              <w:right w:val="nil"/>
            </w:tcBorders>
            <w:shd w:val="clear" w:color="auto" w:fill="auto"/>
            <w:vAlign w:val="center"/>
          </w:tcPr>
          <w:p w14:paraId="4A423889" w14:textId="5124B9FF" w:rsidR="00463A75" w:rsidRPr="003E76E7" w:rsidRDefault="00463A75" w:rsidP="00C4292D">
            <w:pPr>
              <w:spacing w:before="0" w:after="0"/>
              <w:rPr>
                <w:rFonts w:ascii="Arial" w:hAnsi="Arial"/>
                <w:color w:val="000000"/>
                <w:sz w:val="16"/>
                <w:szCs w:val="16"/>
                <w:lang w:val="en-AU"/>
              </w:rPr>
            </w:pPr>
            <w:r w:rsidRPr="003E76E7">
              <w:rPr>
                <w:rFonts w:ascii="Arial" w:hAnsi="Arial"/>
                <w:b/>
                <w:bCs/>
                <w:color w:val="000000"/>
                <w:sz w:val="16"/>
                <w:szCs w:val="16"/>
                <w:lang w:val="en-AU"/>
              </w:rPr>
              <w:t xml:space="preserve">RAAF Base Amberley </w:t>
            </w:r>
            <w:r w:rsidR="00A37D48" w:rsidRPr="003E76E7">
              <w:rPr>
                <w:rFonts w:ascii="Arial" w:hAnsi="Arial"/>
                <w:b/>
                <w:bCs/>
                <w:color w:val="000000"/>
                <w:sz w:val="16"/>
                <w:szCs w:val="16"/>
                <w:lang w:val="en-AU"/>
              </w:rPr>
              <w:br/>
            </w:r>
            <w:r w:rsidRPr="003E76E7">
              <w:rPr>
                <w:rFonts w:ascii="Arial" w:hAnsi="Arial"/>
                <w:b/>
                <w:bCs/>
                <w:color w:val="000000"/>
                <w:sz w:val="16"/>
                <w:szCs w:val="16"/>
                <w:lang w:val="en-AU"/>
              </w:rPr>
              <w:t>Sewage Treatment Plant</w:t>
            </w:r>
          </w:p>
        </w:tc>
        <w:tc>
          <w:tcPr>
            <w:tcW w:w="1911" w:type="dxa"/>
            <w:tcBorders>
              <w:top w:val="single" w:sz="4" w:space="0" w:color="auto"/>
              <w:left w:val="nil"/>
              <w:right w:val="nil"/>
            </w:tcBorders>
            <w:shd w:val="clear" w:color="auto" w:fill="auto"/>
            <w:noWrap/>
            <w:vAlign w:val="center"/>
          </w:tcPr>
          <w:p w14:paraId="697FBA21"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b/>
                <w:bCs/>
                <w:color w:val="000000"/>
                <w:sz w:val="16"/>
                <w:szCs w:val="16"/>
                <w:lang w:val="en-AU"/>
              </w:rPr>
              <w:t> </w:t>
            </w:r>
          </w:p>
        </w:tc>
        <w:tc>
          <w:tcPr>
            <w:tcW w:w="1141" w:type="dxa"/>
            <w:tcBorders>
              <w:top w:val="single" w:sz="4" w:space="0" w:color="auto"/>
              <w:left w:val="nil"/>
              <w:right w:val="nil"/>
            </w:tcBorders>
            <w:shd w:val="clear" w:color="auto" w:fill="auto"/>
            <w:noWrap/>
            <w:vAlign w:val="center"/>
          </w:tcPr>
          <w:p w14:paraId="64148670"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 </w:t>
            </w:r>
          </w:p>
        </w:tc>
        <w:tc>
          <w:tcPr>
            <w:tcW w:w="1462" w:type="dxa"/>
            <w:tcBorders>
              <w:top w:val="single" w:sz="4" w:space="0" w:color="auto"/>
              <w:left w:val="nil"/>
              <w:right w:val="nil"/>
            </w:tcBorders>
            <w:shd w:val="clear" w:color="auto" w:fill="auto"/>
            <w:noWrap/>
            <w:vAlign w:val="center"/>
          </w:tcPr>
          <w:p w14:paraId="02765999"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 </w:t>
            </w:r>
          </w:p>
        </w:tc>
        <w:tc>
          <w:tcPr>
            <w:tcW w:w="1313" w:type="dxa"/>
            <w:tcBorders>
              <w:top w:val="single" w:sz="4" w:space="0" w:color="auto"/>
              <w:left w:val="nil"/>
              <w:right w:val="nil"/>
            </w:tcBorders>
            <w:shd w:val="clear" w:color="auto" w:fill="auto"/>
            <w:noWrap/>
            <w:vAlign w:val="center"/>
          </w:tcPr>
          <w:p w14:paraId="1157ED12"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 </w:t>
            </w:r>
          </w:p>
        </w:tc>
      </w:tr>
      <w:tr w:rsidR="00463A75" w:rsidRPr="003E76E7" w14:paraId="7CDF36A4" w14:textId="77777777" w:rsidTr="00B17397">
        <w:trPr>
          <w:trHeight w:val="225"/>
        </w:trPr>
        <w:tc>
          <w:tcPr>
            <w:tcW w:w="3119" w:type="dxa"/>
            <w:tcBorders>
              <w:top w:val="nil"/>
              <w:left w:val="nil"/>
              <w:bottom w:val="single" w:sz="4" w:space="0" w:color="auto"/>
              <w:right w:val="nil"/>
            </w:tcBorders>
            <w:shd w:val="clear" w:color="auto" w:fill="auto"/>
            <w:vAlign w:val="bottom"/>
          </w:tcPr>
          <w:p w14:paraId="13BD45C7"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RAAF Base Amberley</w:t>
            </w:r>
          </w:p>
        </w:tc>
        <w:tc>
          <w:tcPr>
            <w:tcW w:w="1911" w:type="dxa"/>
            <w:tcBorders>
              <w:top w:val="nil"/>
              <w:left w:val="nil"/>
              <w:bottom w:val="single" w:sz="4" w:space="0" w:color="auto"/>
              <w:right w:val="nil"/>
            </w:tcBorders>
            <w:shd w:val="clear" w:color="auto" w:fill="auto"/>
            <w:noWrap/>
            <w:vAlign w:val="bottom"/>
          </w:tcPr>
          <w:p w14:paraId="5F2AA1DB"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QLD - Blair</w:t>
            </w:r>
          </w:p>
        </w:tc>
        <w:tc>
          <w:tcPr>
            <w:tcW w:w="1141" w:type="dxa"/>
            <w:tcBorders>
              <w:top w:val="nil"/>
              <w:left w:val="nil"/>
              <w:bottom w:val="single" w:sz="4" w:space="0" w:color="auto"/>
              <w:right w:val="nil"/>
            </w:tcBorders>
            <w:shd w:val="clear" w:color="auto" w:fill="auto"/>
            <w:noWrap/>
            <w:vAlign w:val="bottom"/>
          </w:tcPr>
          <w:p w14:paraId="0190421A"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60.7</w:t>
            </w:r>
          </w:p>
        </w:tc>
        <w:tc>
          <w:tcPr>
            <w:tcW w:w="1462" w:type="dxa"/>
            <w:tcBorders>
              <w:top w:val="nil"/>
              <w:left w:val="nil"/>
              <w:bottom w:val="single" w:sz="4" w:space="0" w:color="auto"/>
              <w:right w:val="nil"/>
            </w:tcBorders>
            <w:shd w:val="clear" w:color="auto" w:fill="auto"/>
            <w:noWrap/>
            <w:vAlign w:val="bottom"/>
          </w:tcPr>
          <w:p w14:paraId="1644965F"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29.3</w:t>
            </w:r>
          </w:p>
        </w:tc>
        <w:tc>
          <w:tcPr>
            <w:tcW w:w="1313" w:type="dxa"/>
            <w:tcBorders>
              <w:top w:val="nil"/>
              <w:left w:val="nil"/>
              <w:bottom w:val="single" w:sz="4" w:space="0" w:color="auto"/>
              <w:right w:val="nil"/>
            </w:tcBorders>
            <w:shd w:val="clear" w:color="auto" w:fill="auto"/>
            <w:noWrap/>
            <w:vAlign w:val="bottom"/>
          </w:tcPr>
          <w:p w14:paraId="60497375"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18.2</w:t>
            </w:r>
          </w:p>
        </w:tc>
      </w:tr>
      <w:tr w:rsidR="00463A75" w:rsidRPr="003E76E7" w14:paraId="52459D72" w14:textId="77777777" w:rsidTr="00B17397">
        <w:trPr>
          <w:trHeight w:val="225"/>
        </w:trPr>
        <w:tc>
          <w:tcPr>
            <w:tcW w:w="3119" w:type="dxa"/>
            <w:tcBorders>
              <w:top w:val="nil"/>
              <w:left w:val="nil"/>
              <w:bottom w:val="nil"/>
              <w:right w:val="nil"/>
            </w:tcBorders>
            <w:shd w:val="clear" w:color="auto" w:fill="auto"/>
            <w:vAlign w:val="center"/>
            <w:hideMark/>
          </w:tcPr>
          <w:p w14:paraId="18BBF7B9" w14:textId="77777777" w:rsidR="00A37D48" w:rsidRPr="003E76E7" w:rsidRDefault="00A37D48"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br/>
            </w:r>
          </w:p>
          <w:p w14:paraId="06682367" w14:textId="77777777" w:rsidR="00A37D48" w:rsidRPr="003E76E7" w:rsidRDefault="00A37D48" w:rsidP="00C4292D">
            <w:pPr>
              <w:spacing w:before="0" w:after="0"/>
              <w:rPr>
                <w:rFonts w:ascii="Arial" w:hAnsi="Arial"/>
                <w:b/>
                <w:bCs/>
                <w:color w:val="000000"/>
                <w:sz w:val="16"/>
                <w:szCs w:val="16"/>
                <w:lang w:val="en-AU"/>
              </w:rPr>
            </w:pPr>
          </w:p>
          <w:p w14:paraId="08499B2F" w14:textId="77777777" w:rsidR="00A37D48" w:rsidRPr="003E76E7" w:rsidRDefault="00A37D48" w:rsidP="00C4292D">
            <w:pPr>
              <w:spacing w:before="0" w:after="0"/>
              <w:rPr>
                <w:rFonts w:ascii="Arial" w:hAnsi="Arial"/>
                <w:b/>
                <w:bCs/>
                <w:color w:val="000000"/>
                <w:sz w:val="16"/>
                <w:szCs w:val="16"/>
                <w:lang w:val="en-AU"/>
              </w:rPr>
            </w:pPr>
          </w:p>
          <w:p w14:paraId="7BA6E175" w14:textId="77777777" w:rsidR="00A37D48" w:rsidRPr="003E76E7" w:rsidRDefault="00A37D48" w:rsidP="00C4292D">
            <w:pPr>
              <w:spacing w:before="0" w:after="0"/>
              <w:rPr>
                <w:rFonts w:ascii="Arial" w:hAnsi="Arial"/>
                <w:b/>
                <w:bCs/>
                <w:color w:val="000000"/>
                <w:sz w:val="16"/>
                <w:szCs w:val="16"/>
                <w:lang w:val="en-AU"/>
              </w:rPr>
            </w:pPr>
          </w:p>
          <w:p w14:paraId="1A401FBA" w14:textId="3F88BC26"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lastRenderedPageBreak/>
              <w:t>Anglesea Paterson Project</w:t>
            </w:r>
          </w:p>
        </w:tc>
        <w:tc>
          <w:tcPr>
            <w:tcW w:w="1911" w:type="dxa"/>
            <w:tcBorders>
              <w:top w:val="nil"/>
              <w:left w:val="nil"/>
              <w:bottom w:val="nil"/>
              <w:right w:val="nil"/>
            </w:tcBorders>
            <w:shd w:val="clear" w:color="auto" w:fill="auto"/>
            <w:vAlign w:val="center"/>
            <w:hideMark/>
          </w:tcPr>
          <w:p w14:paraId="290DD6A6"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lastRenderedPageBreak/>
              <w:t> </w:t>
            </w:r>
          </w:p>
        </w:tc>
        <w:tc>
          <w:tcPr>
            <w:tcW w:w="1141" w:type="dxa"/>
            <w:tcBorders>
              <w:top w:val="nil"/>
              <w:left w:val="nil"/>
              <w:bottom w:val="nil"/>
              <w:right w:val="nil"/>
            </w:tcBorders>
            <w:shd w:val="clear" w:color="auto" w:fill="auto"/>
            <w:vAlign w:val="center"/>
            <w:hideMark/>
          </w:tcPr>
          <w:p w14:paraId="12F05B00"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462" w:type="dxa"/>
            <w:tcBorders>
              <w:top w:val="nil"/>
              <w:left w:val="nil"/>
              <w:bottom w:val="nil"/>
              <w:right w:val="nil"/>
            </w:tcBorders>
            <w:shd w:val="clear" w:color="auto" w:fill="auto"/>
            <w:vAlign w:val="center"/>
            <w:hideMark/>
          </w:tcPr>
          <w:p w14:paraId="29DFC76C"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313" w:type="dxa"/>
            <w:tcBorders>
              <w:top w:val="nil"/>
              <w:left w:val="nil"/>
              <w:bottom w:val="nil"/>
              <w:right w:val="nil"/>
            </w:tcBorders>
            <w:shd w:val="clear" w:color="auto" w:fill="auto"/>
            <w:vAlign w:val="center"/>
            <w:hideMark/>
          </w:tcPr>
          <w:p w14:paraId="08F24B76"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r>
      <w:tr w:rsidR="00463A75" w:rsidRPr="003E76E7" w14:paraId="3A3841CF" w14:textId="77777777" w:rsidTr="00B17397">
        <w:trPr>
          <w:trHeight w:val="225"/>
        </w:trPr>
        <w:tc>
          <w:tcPr>
            <w:tcW w:w="3119" w:type="dxa"/>
            <w:tcBorders>
              <w:top w:val="nil"/>
              <w:left w:val="nil"/>
              <w:bottom w:val="nil"/>
              <w:right w:val="nil"/>
            </w:tcBorders>
            <w:shd w:val="clear" w:color="auto" w:fill="auto"/>
            <w:vAlign w:val="bottom"/>
            <w:hideMark/>
          </w:tcPr>
          <w:p w14:paraId="53B6055D"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Anglesea Barracks</w:t>
            </w:r>
          </w:p>
        </w:tc>
        <w:tc>
          <w:tcPr>
            <w:tcW w:w="1911" w:type="dxa"/>
            <w:tcBorders>
              <w:top w:val="nil"/>
              <w:left w:val="nil"/>
              <w:bottom w:val="nil"/>
              <w:right w:val="nil"/>
            </w:tcBorders>
            <w:shd w:val="clear" w:color="auto" w:fill="auto"/>
            <w:noWrap/>
            <w:vAlign w:val="bottom"/>
            <w:hideMark/>
          </w:tcPr>
          <w:p w14:paraId="08F8B0A8"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TAS - Clark</w:t>
            </w:r>
          </w:p>
        </w:tc>
        <w:tc>
          <w:tcPr>
            <w:tcW w:w="1141" w:type="dxa"/>
            <w:tcBorders>
              <w:top w:val="nil"/>
              <w:left w:val="nil"/>
              <w:bottom w:val="nil"/>
              <w:right w:val="nil"/>
            </w:tcBorders>
            <w:shd w:val="clear" w:color="auto" w:fill="auto"/>
            <w:noWrap/>
            <w:vAlign w:val="bottom"/>
            <w:hideMark/>
          </w:tcPr>
          <w:p w14:paraId="479DD7C6" w14:textId="77777777"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0D6BB05B"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22.1</w:t>
            </w:r>
          </w:p>
        </w:tc>
        <w:tc>
          <w:tcPr>
            <w:tcW w:w="1313" w:type="dxa"/>
            <w:tcBorders>
              <w:top w:val="nil"/>
              <w:left w:val="nil"/>
              <w:bottom w:val="nil"/>
              <w:right w:val="nil"/>
            </w:tcBorders>
            <w:shd w:val="clear" w:color="auto" w:fill="auto"/>
            <w:noWrap/>
            <w:vAlign w:val="bottom"/>
            <w:hideMark/>
          </w:tcPr>
          <w:p w14:paraId="77595C56" w14:textId="5395E3A6" w:rsidR="00463A75" w:rsidRPr="003E76E7" w:rsidRDefault="00FE5A03" w:rsidP="00C4292D">
            <w:pPr>
              <w:spacing w:before="0" w:after="0"/>
              <w:jc w:val="right"/>
              <w:rPr>
                <w:rFonts w:ascii="Arial" w:hAnsi="Arial"/>
                <w:color w:val="000000"/>
                <w:sz w:val="16"/>
                <w:szCs w:val="16"/>
                <w:lang w:val="en-AU"/>
              </w:rPr>
            </w:pPr>
            <w:r>
              <w:rPr>
                <w:rFonts w:ascii="Arial" w:hAnsi="Arial"/>
                <w:color w:val="000000"/>
                <w:sz w:val="16"/>
                <w:szCs w:val="16"/>
                <w:lang w:val="en-AU"/>
              </w:rPr>
              <w:t>-</w:t>
            </w:r>
          </w:p>
        </w:tc>
      </w:tr>
      <w:tr w:rsidR="00463A75" w:rsidRPr="003E76E7" w14:paraId="01BF1141" w14:textId="77777777" w:rsidTr="00B17397">
        <w:trPr>
          <w:trHeight w:val="225"/>
        </w:trPr>
        <w:tc>
          <w:tcPr>
            <w:tcW w:w="3119" w:type="dxa"/>
            <w:tcBorders>
              <w:top w:val="nil"/>
              <w:left w:val="nil"/>
              <w:bottom w:val="nil"/>
              <w:right w:val="nil"/>
            </w:tcBorders>
            <w:shd w:val="clear" w:color="auto" w:fill="auto"/>
            <w:vAlign w:val="bottom"/>
            <w:hideMark/>
          </w:tcPr>
          <w:p w14:paraId="1B4171B3"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North Launceston</w:t>
            </w:r>
          </w:p>
        </w:tc>
        <w:tc>
          <w:tcPr>
            <w:tcW w:w="1911" w:type="dxa"/>
            <w:tcBorders>
              <w:top w:val="nil"/>
              <w:left w:val="nil"/>
              <w:bottom w:val="nil"/>
              <w:right w:val="nil"/>
            </w:tcBorders>
            <w:shd w:val="clear" w:color="auto" w:fill="auto"/>
            <w:noWrap/>
            <w:vAlign w:val="bottom"/>
            <w:hideMark/>
          </w:tcPr>
          <w:p w14:paraId="38B3AF27"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TAS - Bass</w:t>
            </w:r>
          </w:p>
        </w:tc>
        <w:tc>
          <w:tcPr>
            <w:tcW w:w="1141" w:type="dxa"/>
            <w:tcBorders>
              <w:top w:val="nil"/>
              <w:left w:val="nil"/>
              <w:bottom w:val="nil"/>
              <w:right w:val="nil"/>
            </w:tcBorders>
            <w:shd w:val="clear" w:color="auto" w:fill="auto"/>
            <w:noWrap/>
            <w:vAlign w:val="bottom"/>
            <w:hideMark/>
          </w:tcPr>
          <w:p w14:paraId="60533DD0" w14:textId="77777777"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74773BD0"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6.5</w:t>
            </w:r>
          </w:p>
        </w:tc>
        <w:tc>
          <w:tcPr>
            <w:tcW w:w="1313" w:type="dxa"/>
            <w:tcBorders>
              <w:top w:val="nil"/>
              <w:left w:val="nil"/>
              <w:bottom w:val="nil"/>
              <w:right w:val="nil"/>
            </w:tcBorders>
            <w:shd w:val="clear" w:color="auto" w:fill="auto"/>
            <w:noWrap/>
            <w:vAlign w:val="bottom"/>
            <w:hideMark/>
          </w:tcPr>
          <w:p w14:paraId="1D3E7FF1"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21.5</w:t>
            </w:r>
          </w:p>
        </w:tc>
      </w:tr>
      <w:tr w:rsidR="00463A75" w:rsidRPr="003E76E7" w14:paraId="4F82776B" w14:textId="77777777" w:rsidTr="00B17397">
        <w:trPr>
          <w:trHeight w:val="225"/>
        </w:trPr>
        <w:tc>
          <w:tcPr>
            <w:tcW w:w="3119" w:type="dxa"/>
            <w:tcBorders>
              <w:top w:val="nil"/>
              <w:left w:val="nil"/>
              <w:bottom w:val="nil"/>
              <w:right w:val="nil"/>
            </w:tcBorders>
            <w:shd w:val="clear" w:color="auto" w:fill="auto"/>
            <w:vAlign w:val="bottom"/>
            <w:hideMark/>
          </w:tcPr>
          <w:p w14:paraId="1A058FC8"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Youngtown Depot</w:t>
            </w:r>
          </w:p>
        </w:tc>
        <w:tc>
          <w:tcPr>
            <w:tcW w:w="1911" w:type="dxa"/>
            <w:tcBorders>
              <w:top w:val="nil"/>
              <w:left w:val="nil"/>
              <w:bottom w:val="nil"/>
              <w:right w:val="nil"/>
            </w:tcBorders>
            <w:shd w:val="clear" w:color="auto" w:fill="auto"/>
            <w:noWrap/>
            <w:vAlign w:val="bottom"/>
            <w:hideMark/>
          </w:tcPr>
          <w:p w14:paraId="6269A2BB"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TAS - Bass</w:t>
            </w:r>
          </w:p>
        </w:tc>
        <w:tc>
          <w:tcPr>
            <w:tcW w:w="1141" w:type="dxa"/>
            <w:tcBorders>
              <w:top w:val="nil"/>
              <w:left w:val="nil"/>
              <w:bottom w:val="nil"/>
              <w:right w:val="nil"/>
            </w:tcBorders>
            <w:shd w:val="clear" w:color="auto" w:fill="auto"/>
            <w:noWrap/>
            <w:vAlign w:val="bottom"/>
            <w:hideMark/>
          </w:tcPr>
          <w:p w14:paraId="0994BDD3" w14:textId="77777777"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2A42EB9F"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2.4</w:t>
            </w:r>
          </w:p>
        </w:tc>
        <w:tc>
          <w:tcPr>
            <w:tcW w:w="1313" w:type="dxa"/>
            <w:tcBorders>
              <w:top w:val="nil"/>
              <w:left w:val="nil"/>
              <w:bottom w:val="nil"/>
              <w:right w:val="nil"/>
            </w:tcBorders>
            <w:shd w:val="clear" w:color="auto" w:fill="auto"/>
            <w:noWrap/>
            <w:vAlign w:val="bottom"/>
            <w:hideMark/>
          </w:tcPr>
          <w:p w14:paraId="6455ED6E"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w:t>
            </w:r>
          </w:p>
        </w:tc>
      </w:tr>
      <w:tr w:rsidR="00463A75" w:rsidRPr="003E76E7" w14:paraId="2069BC1B" w14:textId="77777777" w:rsidTr="00B17397">
        <w:trPr>
          <w:trHeight w:val="225"/>
        </w:trPr>
        <w:tc>
          <w:tcPr>
            <w:tcW w:w="3119" w:type="dxa"/>
            <w:tcBorders>
              <w:top w:val="nil"/>
              <w:left w:val="nil"/>
              <w:bottom w:val="single" w:sz="4" w:space="0" w:color="auto"/>
              <w:right w:val="nil"/>
            </w:tcBorders>
            <w:shd w:val="clear" w:color="auto" w:fill="auto"/>
            <w:vAlign w:val="bottom"/>
            <w:hideMark/>
          </w:tcPr>
          <w:p w14:paraId="5B2C1145"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Total</w:t>
            </w:r>
          </w:p>
        </w:tc>
        <w:tc>
          <w:tcPr>
            <w:tcW w:w="1911" w:type="dxa"/>
            <w:tcBorders>
              <w:top w:val="nil"/>
              <w:left w:val="nil"/>
              <w:bottom w:val="single" w:sz="4" w:space="0" w:color="auto"/>
              <w:right w:val="nil"/>
            </w:tcBorders>
            <w:shd w:val="clear" w:color="auto" w:fill="auto"/>
            <w:noWrap/>
            <w:vAlign w:val="bottom"/>
            <w:hideMark/>
          </w:tcPr>
          <w:p w14:paraId="449F7642"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 </w:t>
            </w:r>
          </w:p>
        </w:tc>
        <w:tc>
          <w:tcPr>
            <w:tcW w:w="1141" w:type="dxa"/>
            <w:tcBorders>
              <w:top w:val="nil"/>
              <w:left w:val="nil"/>
              <w:bottom w:val="single" w:sz="4" w:space="0" w:color="auto"/>
              <w:right w:val="nil"/>
            </w:tcBorders>
            <w:shd w:val="clear" w:color="auto" w:fill="auto"/>
            <w:noWrap/>
            <w:vAlign w:val="bottom"/>
            <w:hideMark/>
          </w:tcPr>
          <w:p w14:paraId="348894EC"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57.4</w:t>
            </w:r>
          </w:p>
        </w:tc>
        <w:tc>
          <w:tcPr>
            <w:tcW w:w="1462" w:type="dxa"/>
            <w:tcBorders>
              <w:top w:val="nil"/>
              <w:left w:val="nil"/>
              <w:bottom w:val="single" w:sz="4" w:space="0" w:color="auto"/>
              <w:right w:val="nil"/>
            </w:tcBorders>
            <w:shd w:val="clear" w:color="auto" w:fill="auto"/>
            <w:noWrap/>
            <w:vAlign w:val="bottom"/>
            <w:hideMark/>
          </w:tcPr>
          <w:p w14:paraId="76C5FE7E"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31.0</w:t>
            </w:r>
          </w:p>
        </w:tc>
        <w:tc>
          <w:tcPr>
            <w:tcW w:w="1313" w:type="dxa"/>
            <w:tcBorders>
              <w:top w:val="nil"/>
              <w:left w:val="nil"/>
              <w:bottom w:val="single" w:sz="4" w:space="0" w:color="auto"/>
              <w:right w:val="nil"/>
            </w:tcBorders>
            <w:shd w:val="clear" w:color="auto" w:fill="auto"/>
            <w:noWrap/>
            <w:vAlign w:val="bottom"/>
            <w:hideMark/>
          </w:tcPr>
          <w:p w14:paraId="24C12308"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21.5</w:t>
            </w:r>
          </w:p>
        </w:tc>
      </w:tr>
      <w:tr w:rsidR="00463A75" w:rsidRPr="003E76E7" w14:paraId="224DC601" w14:textId="77777777" w:rsidTr="00B17397">
        <w:trPr>
          <w:trHeight w:val="225"/>
        </w:trPr>
        <w:tc>
          <w:tcPr>
            <w:tcW w:w="3119" w:type="dxa"/>
            <w:tcBorders>
              <w:top w:val="nil"/>
              <w:left w:val="nil"/>
              <w:bottom w:val="nil"/>
              <w:right w:val="nil"/>
            </w:tcBorders>
            <w:shd w:val="clear" w:color="auto" w:fill="auto"/>
            <w:vAlign w:val="center"/>
            <w:hideMark/>
          </w:tcPr>
          <w:p w14:paraId="13621541"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Facilities to Support SEA 2273 Fleet Information Environment Modernisation Project</w:t>
            </w:r>
          </w:p>
        </w:tc>
        <w:tc>
          <w:tcPr>
            <w:tcW w:w="1911" w:type="dxa"/>
            <w:tcBorders>
              <w:top w:val="nil"/>
              <w:left w:val="nil"/>
              <w:bottom w:val="nil"/>
              <w:right w:val="nil"/>
            </w:tcBorders>
            <w:shd w:val="clear" w:color="auto" w:fill="auto"/>
            <w:vAlign w:val="center"/>
            <w:hideMark/>
          </w:tcPr>
          <w:p w14:paraId="34D60FFE"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p w14:paraId="133051A7" w14:textId="77777777" w:rsidR="00463A75" w:rsidRPr="003E76E7" w:rsidRDefault="00463A75" w:rsidP="00C4292D">
            <w:pPr>
              <w:spacing w:before="0" w:after="0"/>
              <w:rPr>
                <w:rFonts w:ascii="Arial" w:hAnsi="Arial"/>
                <w:b/>
                <w:bCs/>
                <w:color w:val="000000"/>
                <w:sz w:val="16"/>
                <w:szCs w:val="16"/>
                <w:lang w:val="en-AU"/>
              </w:rPr>
            </w:pPr>
          </w:p>
          <w:p w14:paraId="3FB926FF" w14:textId="77777777" w:rsidR="00463A75" w:rsidRPr="003E76E7" w:rsidRDefault="00463A75" w:rsidP="00C4292D">
            <w:pPr>
              <w:spacing w:before="0" w:after="0"/>
              <w:rPr>
                <w:rFonts w:ascii="Arial" w:hAnsi="Arial"/>
                <w:b/>
                <w:bCs/>
                <w:color w:val="000000"/>
                <w:sz w:val="16"/>
                <w:szCs w:val="16"/>
                <w:lang w:val="en-AU"/>
              </w:rPr>
            </w:pPr>
          </w:p>
        </w:tc>
        <w:tc>
          <w:tcPr>
            <w:tcW w:w="1141" w:type="dxa"/>
            <w:tcBorders>
              <w:top w:val="nil"/>
              <w:left w:val="nil"/>
              <w:bottom w:val="nil"/>
              <w:right w:val="nil"/>
            </w:tcBorders>
            <w:shd w:val="clear" w:color="auto" w:fill="auto"/>
            <w:vAlign w:val="center"/>
            <w:hideMark/>
          </w:tcPr>
          <w:p w14:paraId="3D19C85F"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p w14:paraId="2128C625" w14:textId="77777777" w:rsidR="00463A75" w:rsidRPr="003E76E7" w:rsidRDefault="00463A75" w:rsidP="00C4292D">
            <w:pPr>
              <w:spacing w:before="0" w:after="0"/>
              <w:rPr>
                <w:rFonts w:ascii="Arial" w:hAnsi="Arial"/>
                <w:b/>
                <w:bCs/>
                <w:color w:val="000000"/>
                <w:sz w:val="16"/>
                <w:szCs w:val="16"/>
                <w:lang w:val="en-AU"/>
              </w:rPr>
            </w:pPr>
          </w:p>
          <w:p w14:paraId="344646EB" w14:textId="77777777" w:rsidR="00463A75" w:rsidRPr="003E76E7" w:rsidRDefault="00463A75" w:rsidP="00C4292D">
            <w:pPr>
              <w:spacing w:before="0" w:after="0"/>
              <w:rPr>
                <w:rFonts w:ascii="Arial" w:hAnsi="Arial"/>
                <w:b/>
                <w:bCs/>
                <w:color w:val="000000"/>
                <w:sz w:val="16"/>
                <w:szCs w:val="16"/>
                <w:lang w:val="en-AU"/>
              </w:rPr>
            </w:pPr>
          </w:p>
        </w:tc>
        <w:tc>
          <w:tcPr>
            <w:tcW w:w="1462" w:type="dxa"/>
            <w:tcBorders>
              <w:top w:val="nil"/>
              <w:left w:val="nil"/>
              <w:bottom w:val="nil"/>
              <w:right w:val="nil"/>
            </w:tcBorders>
            <w:shd w:val="clear" w:color="auto" w:fill="auto"/>
            <w:vAlign w:val="center"/>
            <w:hideMark/>
          </w:tcPr>
          <w:p w14:paraId="071B782C"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p w14:paraId="43DDD872" w14:textId="77777777" w:rsidR="00463A75" w:rsidRPr="003E76E7" w:rsidRDefault="00463A75" w:rsidP="00C4292D">
            <w:pPr>
              <w:spacing w:before="0" w:after="0"/>
              <w:rPr>
                <w:rFonts w:ascii="Arial" w:hAnsi="Arial"/>
                <w:b/>
                <w:bCs/>
                <w:color w:val="000000"/>
                <w:sz w:val="16"/>
                <w:szCs w:val="16"/>
                <w:lang w:val="en-AU"/>
              </w:rPr>
            </w:pPr>
          </w:p>
          <w:p w14:paraId="30C56A8D" w14:textId="77777777" w:rsidR="00463A75" w:rsidRPr="003E76E7" w:rsidRDefault="00463A75" w:rsidP="00C4292D">
            <w:pPr>
              <w:spacing w:before="0" w:after="0"/>
              <w:rPr>
                <w:rFonts w:ascii="Arial" w:hAnsi="Arial"/>
                <w:b/>
                <w:bCs/>
                <w:color w:val="000000"/>
                <w:sz w:val="16"/>
                <w:szCs w:val="16"/>
                <w:lang w:val="en-AU"/>
              </w:rPr>
            </w:pPr>
          </w:p>
        </w:tc>
        <w:tc>
          <w:tcPr>
            <w:tcW w:w="1313" w:type="dxa"/>
            <w:tcBorders>
              <w:top w:val="nil"/>
              <w:left w:val="nil"/>
              <w:bottom w:val="nil"/>
              <w:right w:val="nil"/>
            </w:tcBorders>
            <w:shd w:val="clear" w:color="auto" w:fill="auto"/>
            <w:vAlign w:val="center"/>
            <w:hideMark/>
          </w:tcPr>
          <w:p w14:paraId="20957499"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p w14:paraId="20A6CF1A" w14:textId="77777777" w:rsidR="00463A75" w:rsidRPr="003E76E7" w:rsidRDefault="00463A75" w:rsidP="00C4292D">
            <w:pPr>
              <w:spacing w:before="0" w:after="0"/>
              <w:rPr>
                <w:rFonts w:ascii="Arial" w:hAnsi="Arial"/>
                <w:b/>
                <w:bCs/>
                <w:color w:val="000000"/>
                <w:sz w:val="16"/>
                <w:szCs w:val="16"/>
                <w:lang w:val="en-AU"/>
              </w:rPr>
            </w:pPr>
          </w:p>
          <w:p w14:paraId="3A63D0CB" w14:textId="77777777" w:rsidR="00463A75" w:rsidRPr="003E76E7" w:rsidRDefault="00463A75" w:rsidP="00C4292D">
            <w:pPr>
              <w:spacing w:before="0" w:after="0"/>
              <w:rPr>
                <w:rFonts w:ascii="Arial" w:hAnsi="Arial"/>
                <w:b/>
                <w:bCs/>
                <w:color w:val="000000"/>
                <w:sz w:val="16"/>
                <w:szCs w:val="16"/>
                <w:lang w:val="en-AU"/>
              </w:rPr>
            </w:pPr>
          </w:p>
        </w:tc>
      </w:tr>
      <w:tr w:rsidR="00463A75" w:rsidRPr="003E76E7" w14:paraId="4108A3C4" w14:textId="77777777" w:rsidTr="00B17397">
        <w:trPr>
          <w:trHeight w:val="225"/>
        </w:trPr>
        <w:tc>
          <w:tcPr>
            <w:tcW w:w="3119" w:type="dxa"/>
            <w:tcBorders>
              <w:top w:val="nil"/>
              <w:left w:val="nil"/>
              <w:bottom w:val="nil"/>
              <w:right w:val="nil"/>
            </w:tcBorders>
            <w:shd w:val="clear" w:color="auto" w:fill="auto"/>
            <w:vAlign w:val="bottom"/>
            <w:hideMark/>
          </w:tcPr>
          <w:p w14:paraId="1CB1C811"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 xml:space="preserve">HMAS </w:t>
            </w:r>
            <w:r w:rsidRPr="002F62D4">
              <w:rPr>
                <w:rFonts w:ascii="Arial" w:hAnsi="Arial"/>
                <w:iCs/>
                <w:color w:val="000000"/>
                <w:sz w:val="16"/>
                <w:szCs w:val="16"/>
                <w:lang w:val="en-AU"/>
              </w:rPr>
              <w:t>Kuttabul</w:t>
            </w:r>
          </w:p>
        </w:tc>
        <w:tc>
          <w:tcPr>
            <w:tcW w:w="1911" w:type="dxa"/>
            <w:tcBorders>
              <w:top w:val="nil"/>
              <w:left w:val="nil"/>
              <w:bottom w:val="nil"/>
              <w:right w:val="nil"/>
            </w:tcBorders>
            <w:shd w:val="clear" w:color="auto" w:fill="auto"/>
            <w:noWrap/>
            <w:vAlign w:val="bottom"/>
            <w:hideMark/>
          </w:tcPr>
          <w:p w14:paraId="6B54F463"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NSW - Wentworth</w:t>
            </w:r>
          </w:p>
        </w:tc>
        <w:tc>
          <w:tcPr>
            <w:tcW w:w="1141" w:type="dxa"/>
            <w:tcBorders>
              <w:top w:val="nil"/>
              <w:left w:val="nil"/>
              <w:bottom w:val="nil"/>
              <w:right w:val="nil"/>
            </w:tcBorders>
            <w:shd w:val="clear" w:color="auto" w:fill="auto"/>
            <w:noWrap/>
            <w:vAlign w:val="bottom"/>
            <w:hideMark/>
          </w:tcPr>
          <w:p w14:paraId="35306D5B" w14:textId="77777777"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1DE00B69"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5.6</w:t>
            </w:r>
          </w:p>
        </w:tc>
        <w:tc>
          <w:tcPr>
            <w:tcW w:w="1313" w:type="dxa"/>
            <w:tcBorders>
              <w:top w:val="nil"/>
              <w:left w:val="nil"/>
              <w:bottom w:val="nil"/>
              <w:right w:val="nil"/>
            </w:tcBorders>
            <w:shd w:val="clear" w:color="auto" w:fill="auto"/>
            <w:noWrap/>
            <w:vAlign w:val="bottom"/>
            <w:hideMark/>
          </w:tcPr>
          <w:p w14:paraId="37227C55"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 xml:space="preserve">                     - </w:t>
            </w:r>
          </w:p>
        </w:tc>
      </w:tr>
      <w:tr w:rsidR="00463A75" w:rsidRPr="003E76E7" w14:paraId="6E9AEE60" w14:textId="77777777" w:rsidTr="00B17397">
        <w:trPr>
          <w:trHeight w:val="225"/>
        </w:trPr>
        <w:tc>
          <w:tcPr>
            <w:tcW w:w="3119" w:type="dxa"/>
            <w:tcBorders>
              <w:top w:val="nil"/>
              <w:left w:val="nil"/>
              <w:bottom w:val="nil"/>
              <w:right w:val="nil"/>
            </w:tcBorders>
            <w:shd w:val="clear" w:color="auto" w:fill="auto"/>
            <w:vAlign w:val="bottom"/>
            <w:hideMark/>
          </w:tcPr>
          <w:p w14:paraId="037F7CB6"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HMAS</w:t>
            </w:r>
            <w:r w:rsidRPr="003E76E7">
              <w:rPr>
                <w:rFonts w:ascii="Arial" w:hAnsi="Arial"/>
                <w:i/>
                <w:iCs/>
                <w:color w:val="000000"/>
                <w:sz w:val="16"/>
                <w:szCs w:val="16"/>
                <w:lang w:val="en-AU"/>
              </w:rPr>
              <w:t xml:space="preserve"> </w:t>
            </w:r>
            <w:r w:rsidRPr="002F62D4">
              <w:rPr>
                <w:rFonts w:ascii="Arial" w:hAnsi="Arial"/>
                <w:iCs/>
                <w:color w:val="000000"/>
                <w:sz w:val="16"/>
                <w:szCs w:val="16"/>
                <w:lang w:val="en-AU"/>
              </w:rPr>
              <w:t>Cerberus</w:t>
            </w:r>
          </w:p>
        </w:tc>
        <w:tc>
          <w:tcPr>
            <w:tcW w:w="1911" w:type="dxa"/>
            <w:tcBorders>
              <w:top w:val="nil"/>
              <w:left w:val="nil"/>
              <w:bottom w:val="nil"/>
              <w:right w:val="nil"/>
            </w:tcBorders>
            <w:shd w:val="clear" w:color="auto" w:fill="auto"/>
            <w:noWrap/>
            <w:vAlign w:val="bottom"/>
            <w:hideMark/>
          </w:tcPr>
          <w:p w14:paraId="4CDFF1D0"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VIC - Flinders</w:t>
            </w:r>
          </w:p>
        </w:tc>
        <w:tc>
          <w:tcPr>
            <w:tcW w:w="1141" w:type="dxa"/>
            <w:tcBorders>
              <w:top w:val="nil"/>
              <w:left w:val="nil"/>
              <w:bottom w:val="nil"/>
              <w:right w:val="nil"/>
            </w:tcBorders>
            <w:shd w:val="clear" w:color="auto" w:fill="auto"/>
            <w:noWrap/>
            <w:vAlign w:val="bottom"/>
            <w:hideMark/>
          </w:tcPr>
          <w:p w14:paraId="464C8C08" w14:textId="77777777"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01A4F616"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0.5</w:t>
            </w:r>
          </w:p>
        </w:tc>
        <w:tc>
          <w:tcPr>
            <w:tcW w:w="1313" w:type="dxa"/>
            <w:tcBorders>
              <w:top w:val="nil"/>
              <w:left w:val="nil"/>
              <w:bottom w:val="nil"/>
              <w:right w:val="nil"/>
            </w:tcBorders>
            <w:shd w:val="clear" w:color="auto" w:fill="auto"/>
            <w:noWrap/>
            <w:vAlign w:val="bottom"/>
            <w:hideMark/>
          </w:tcPr>
          <w:p w14:paraId="3081620A"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 xml:space="preserve">                     - </w:t>
            </w:r>
          </w:p>
        </w:tc>
      </w:tr>
      <w:tr w:rsidR="00463A75" w:rsidRPr="003E76E7" w14:paraId="03C29E89" w14:textId="77777777" w:rsidTr="00B17397">
        <w:trPr>
          <w:trHeight w:val="225"/>
        </w:trPr>
        <w:tc>
          <w:tcPr>
            <w:tcW w:w="3119" w:type="dxa"/>
            <w:tcBorders>
              <w:top w:val="nil"/>
              <w:left w:val="nil"/>
              <w:bottom w:val="nil"/>
              <w:right w:val="nil"/>
            </w:tcBorders>
            <w:shd w:val="clear" w:color="auto" w:fill="auto"/>
            <w:vAlign w:val="bottom"/>
            <w:hideMark/>
          </w:tcPr>
          <w:p w14:paraId="48B7CEED"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 xml:space="preserve">HMAS </w:t>
            </w:r>
            <w:r w:rsidRPr="00C210BD">
              <w:rPr>
                <w:rFonts w:ascii="Arial" w:hAnsi="Arial"/>
                <w:iCs/>
                <w:color w:val="000000"/>
                <w:sz w:val="16"/>
                <w:szCs w:val="16"/>
                <w:lang w:val="en-AU"/>
              </w:rPr>
              <w:t>Stirling</w:t>
            </w:r>
          </w:p>
        </w:tc>
        <w:tc>
          <w:tcPr>
            <w:tcW w:w="1911" w:type="dxa"/>
            <w:tcBorders>
              <w:top w:val="nil"/>
              <w:left w:val="nil"/>
              <w:bottom w:val="nil"/>
              <w:right w:val="nil"/>
            </w:tcBorders>
            <w:shd w:val="clear" w:color="auto" w:fill="auto"/>
            <w:noWrap/>
            <w:vAlign w:val="bottom"/>
            <w:hideMark/>
          </w:tcPr>
          <w:p w14:paraId="4E8A277F"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WA - Brand</w:t>
            </w:r>
          </w:p>
        </w:tc>
        <w:tc>
          <w:tcPr>
            <w:tcW w:w="1141" w:type="dxa"/>
            <w:tcBorders>
              <w:top w:val="nil"/>
              <w:left w:val="nil"/>
              <w:bottom w:val="nil"/>
              <w:right w:val="nil"/>
            </w:tcBorders>
            <w:shd w:val="clear" w:color="auto" w:fill="auto"/>
            <w:noWrap/>
            <w:vAlign w:val="bottom"/>
            <w:hideMark/>
          </w:tcPr>
          <w:p w14:paraId="251A2554" w14:textId="77777777"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7716DA75"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28.4</w:t>
            </w:r>
          </w:p>
        </w:tc>
        <w:tc>
          <w:tcPr>
            <w:tcW w:w="1313" w:type="dxa"/>
            <w:tcBorders>
              <w:top w:val="nil"/>
              <w:left w:val="nil"/>
              <w:bottom w:val="nil"/>
              <w:right w:val="nil"/>
            </w:tcBorders>
            <w:shd w:val="clear" w:color="auto" w:fill="auto"/>
            <w:noWrap/>
            <w:vAlign w:val="bottom"/>
            <w:hideMark/>
          </w:tcPr>
          <w:p w14:paraId="42C7BDA1"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0.1</w:t>
            </w:r>
          </w:p>
        </w:tc>
      </w:tr>
      <w:tr w:rsidR="00463A75" w:rsidRPr="003E76E7" w14:paraId="33FD3191" w14:textId="77777777" w:rsidTr="00B17397">
        <w:trPr>
          <w:trHeight w:val="225"/>
        </w:trPr>
        <w:tc>
          <w:tcPr>
            <w:tcW w:w="3119" w:type="dxa"/>
            <w:tcBorders>
              <w:top w:val="nil"/>
              <w:left w:val="nil"/>
              <w:bottom w:val="nil"/>
              <w:right w:val="nil"/>
            </w:tcBorders>
            <w:shd w:val="clear" w:color="auto" w:fill="auto"/>
            <w:vAlign w:val="bottom"/>
            <w:hideMark/>
          </w:tcPr>
          <w:p w14:paraId="5C48A777"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 xml:space="preserve">HMAS </w:t>
            </w:r>
            <w:r w:rsidRPr="00C210BD">
              <w:rPr>
                <w:rFonts w:ascii="Arial" w:hAnsi="Arial"/>
                <w:iCs/>
                <w:color w:val="000000"/>
                <w:sz w:val="16"/>
                <w:szCs w:val="16"/>
                <w:lang w:val="en-AU"/>
              </w:rPr>
              <w:t>Coonawarra</w:t>
            </w:r>
          </w:p>
        </w:tc>
        <w:tc>
          <w:tcPr>
            <w:tcW w:w="1911" w:type="dxa"/>
            <w:tcBorders>
              <w:top w:val="nil"/>
              <w:left w:val="nil"/>
              <w:bottom w:val="nil"/>
              <w:right w:val="nil"/>
            </w:tcBorders>
            <w:shd w:val="clear" w:color="auto" w:fill="auto"/>
            <w:noWrap/>
            <w:vAlign w:val="bottom"/>
            <w:hideMark/>
          </w:tcPr>
          <w:p w14:paraId="6A4D54D2"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NT - Solomon</w:t>
            </w:r>
          </w:p>
        </w:tc>
        <w:tc>
          <w:tcPr>
            <w:tcW w:w="1141" w:type="dxa"/>
            <w:tcBorders>
              <w:top w:val="nil"/>
              <w:left w:val="nil"/>
              <w:bottom w:val="nil"/>
              <w:right w:val="nil"/>
            </w:tcBorders>
            <w:shd w:val="clear" w:color="auto" w:fill="auto"/>
            <w:noWrap/>
            <w:vAlign w:val="bottom"/>
            <w:hideMark/>
          </w:tcPr>
          <w:p w14:paraId="33BBFF44" w14:textId="77777777"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4E3C9AA9"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2.8</w:t>
            </w:r>
          </w:p>
        </w:tc>
        <w:tc>
          <w:tcPr>
            <w:tcW w:w="1313" w:type="dxa"/>
            <w:tcBorders>
              <w:top w:val="nil"/>
              <w:left w:val="nil"/>
              <w:bottom w:val="nil"/>
              <w:right w:val="nil"/>
            </w:tcBorders>
            <w:shd w:val="clear" w:color="auto" w:fill="auto"/>
            <w:noWrap/>
            <w:vAlign w:val="bottom"/>
            <w:hideMark/>
          </w:tcPr>
          <w:p w14:paraId="06061FC3"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0.2</w:t>
            </w:r>
          </w:p>
        </w:tc>
      </w:tr>
      <w:tr w:rsidR="00463A75" w:rsidRPr="003E76E7" w14:paraId="0381FBCB" w14:textId="77777777" w:rsidTr="00B17397">
        <w:trPr>
          <w:trHeight w:val="225"/>
        </w:trPr>
        <w:tc>
          <w:tcPr>
            <w:tcW w:w="3119" w:type="dxa"/>
            <w:tcBorders>
              <w:top w:val="nil"/>
              <w:left w:val="nil"/>
              <w:bottom w:val="nil"/>
              <w:right w:val="nil"/>
            </w:tcBorders>
            <w:shd w:val="clear" w:color="auto" w:fill="auto"/>
            <w:vAlign w:val="bottom"/>
            <w:hideMark/>
          </w:tcPr>
          <w:p w14:paraId="13634439"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 xml:space="preserve">HMAS </w:t>
            </w:r>
            <w:r w:rsidRPr="002F62D4">
              <w:rPr>
                <w:rFonts w:ascii="Arial" w:hAnsi="Arial"/>
                <w:iCs/>
                <w:color w:val="000000"/>
                <w:sz w:val="16"/>
                <w:szCs w:val="16"/>
                <w:lang w:val="en-AU"/>
              </w:rPr>
              <w:t>Cairns</w:t>
            </w:r>
          </w:p>
        </w:tc>
        <w:tc>
          <w:tcPr>
            <w:tcW w:w="1911" w:type="dxa"/>
            <w:tcBorders>
              <w:top w:val="nil"/>
              <w:left w:val="nil"/>
              <w:bottom w:val="nil"/>
              <w:right w:val="nil"/>
            </w:tcBorders>
            <w:shd w:val="clear" w:color="auto" w:fill="auto"/>
            <w:noWrap/>
            <w:vAlign w:val="bottom"/>
            <w:hideMark/>
          </w:tcPr>
          <w:p w14:paraId="623CE931" w14:textId="77777777" w:rsidR="00463A75" w:rsidRPr="003E76E7" w:rsidRDefault="00463A75" w:rsidP="00C4292D">
            <w:pPr>
              <w:spacing w:before="0" w:after="0"/>
              <w:jc w:val="right"/>
              <w:rPr>
                <w:rFonts w:ascii="Arial" w:hAnsi="Arial"/>
                <w:sz w:val="16"/>
                <w:szCs w:val="16"/>
                <w:lang w:val="en-AU"/>
              </w:rPr>
            </w:pPr>
            <w:r w:rsidRPr="003E76E7">
              <w:rPr>
                <w:rFonts w:ascii="Arial" w:hAnsi="Arial"/>
                <w:sz w:val="16"/>
                <w:szCs w:val="16"/>
                <w:lang w:val="en-AU"/>
              </w:rPr>
              <w:t>QLD - Leichhardt</w:t>
            </w:r>
          </w:p>
        </w:tc>
        <w:tc>
          <w:tcPr>
            <w:tcW w:w="1141" w:type="dxa"/>
            <w:tcBorders>
              <w:top w:val="nil"/>
              <w:left w:val="nil"/>
              <w:bottom w:val="nil"/>
              <w:right w:val="nil"/>
            </w:tcBorders>
            <w:shd w:val="clear" w:color="auto" w:fill="auto"/>
            <w:noWrap/>
            <w:vAlign w:val="bottom"/>
            <w:hideMark/>
          </w:tcPr>
          <w:p w14:paraId="55CAD644" w14:textId="77777777" w:rsidR="00463A75" w:rsidRPr="003E76E7" w:rsidRDefault="00463A75" w:rsidP="00C4292D">
            <w:pPr>
              <w:spacing w:before="0" w:after="0"/>
              <w:jc w:val="right"/>
              <w:rPr>
                <w:rFonts w:ascii="Arial" w:hAnsi="Arial"/>
                <w:sz w:val="16"/>
                <w:szCs w:val="16"/>
                <w:lang w:val="en-AU"/>
              </w:rPr>
            </w:pPr>
          </w:p>
        </w:tc>
        <w:tc>
          <w:tcPr>
            <w:tcW w:w="1462" w:type="dxa"/>
            <w:tcBorders>
              <w:top w:val="nil"/>
              <w:left w:val="nil"/>
              <w:bottom w:val="nil"/>
              <w:right w:val="nil"/>
            </w:tcBorders>
            <w:shd w:val="clear" w:color="auto" w:fill="auto"/>
            <w:noWrap/>
            <w:vAlign w:val="bottom"/>
            <w:hideMark/>
          </w:tcPr>
          <w:p w14:paraId="618AC3E5"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0.9</w:t>
            </w:r>
          </w:p>
        </w:tc>
        <w:tc>
          <w:tcPr>
            <w:tcW w:w="1313" w:type="dxa"/>
            <w:tcBorders>
              <w:top w:val="nil"/>
              <w:left w:val="nil"/>
              <w:bottom w:val="nil"/>
              <w:right w:val="nil"/>
            </w:tcBorders>
            <w:shd w:val="clear" w:color="auto" w:fill="auto"/>
            <w:noWrap/>
            <w:vAlign w:val="bottom"/>
            <w:hideMark/>
          </w:tcPr>
          <w:p w14:paraId="238A1630"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0.2</w:t>
            </w:r>
          </w:p>
        </w:tc>
      </w:tr>
      <w:tr w:rsidR="00463A75" w:rsidRPr="003E76E7" w14:paraId="065B8461" w14:textId="77777777" w:rsidTr="00B17397">
        <w:trPr>
          <w:trHeight w:val="225"/>
        </w:trPr>
        <w:tc>
          <w:tcPr>
            <w:tcW w:w="3119" w:type="dxa"/>
            <w:tcBorders>
              <w:top w:val="nil"/>
              <w:left w:val="nil"/>
              <w:bottom w:val="single" w:sz="4" w:space="0" w:color="auto"/>
              <w:right w:val="nil"/>
            </w:tcBorders>
            <w:shd w:val="clear" w:color="auto" w:fill="auto"/>
            <w:vAlign w:val="bottom"/>
            <w:hideMark/>
          </w:tcPr>
          <w:p w14:paraId="2CA551BF"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Total</w:t>
            </w:r>
          </w:p>
        </w:tc>
        <w:tc>
          <w:tcPr>
            <w:tcW w:w="1911" w:type="dxa"/>
            <w:tcBorders>
              <w:top w:val="nil"/>
              <w:left w:val="nil"/>
              <w:bottom w:val="single" w:sz="4" w:space="0" w:color="auto"/>
              <w:right w:val="nil"/>
            </w:tcBorders>
            <w:shd w:val="clear" w:color="auto" w:fill="auto"/>
            <w:noWrap/>
            <w:vAlign w:val="bottom"/>
            <w:hideMark/>
          </w:tcPr>
          <w:p w14:paraId="5D3DCC4D"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 </w:t>
            </w:r>
          </w:p>
        </w:tc>
        <w:tc>
          <w:tcPr>
            <w:tcW w:w="1141" w:type="dxa"/>
            <w:tcBorders>
              <w:top w:val="nil"/>
              <w:left w:val="nil"/>
              <w:bottom w:val="single" w:sz="4" w:space="0" w:color="auto"/>
              <w:right w:val="nil"/>
            </w:tcBorders>
            <w:shd w:val="clear" w:color="auto" w:fill="auto"/>
            <w:noWrap/>
            <w:vAlign w:val="bottom"/>
            <w:hideMark/>
          </w:tcPr>
          <w:p w14:paraId="26D37D7E"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56.2</w:t>
            </w:r>
          </w:p>
        </w:tc>
        <w:tc>
          <w:tcPr>
            <w:tcW w:w="1462" w:type="dxa"/>
            <w:tcBorders>
              <w:top w:val="nil"/>
              <w:left w:val="nil"/>
              <w:bottom w:val="single" w:sz="4" w:space="0" w:color="auto"/>
              <w:right w:val="nil"/>
            </w:tcBorders>
            <w:shd w:val="clear" w:color="auto" w:fill="auto"/>
            <w:noWrap/>
            <w:vAlign w:val="bottom"/>
            <w:hideMark/>
          </w:tcPr>
          <w:p w14:paraId="1A82043F"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38.2</w:t>
            </w:r>
          </w:p>
        </w:tc>
        <w:tc>
          <w:tcPr>
            <w:tcW w:w="1313" w:type="dxa"/>
            <w:tcBorders>
              <w:top w:val="nil"/>
              <w:left w:val="nil"/>
              <w:bottom w:val="single" w:sz="4" w:space="0" w:color="auto"/>
              <w:right w:val="nil"/>
            </w:tcBorders>
            <w:shd w:val="clear" w:color="auto" w:fill="auto"/>
            <w:noWrap/>
            <w:vAlign w:val="bottom"/>
            <w:hideMark/>
          </w:tcPr>
          <w:p w14:paraId="08E9A494"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0.5</w:t>
            </w:r>
          </w:p>
        </w:tc>
      </w:tr>
      <w:tr w:rsidR="00463A75" w:rsidRPr="003E76E7" w14:paraId="0CE5CAC8" w14:textId="77777777" w:rsidTr="00B17397">
        <w:trPr>
          <w:trHeight w:val="225"/>
        </w:trPr>
        <w:tc>
          <w:tcPr>
            <w:tcW w:w="3119" w:type="dxa"/>
            <w:tcBorders>
              <w:top w:val="nil"/>
              <w:left w:val="nil"/>
              <w:bottom w:val="nil"/>
              <w:right w:val="nil"/>
            </w:tcBorders>
            <w:shd w:val="clear" w:color="auto" w:fill="auto"/>
            <w:vAlign w:val="center"/>
            <w:hideMark/>
          </w:tcPr>
          <w:p w14:paraId="7FF24311" w14:textId="4B0DA2DC" w:rsidR="00463A75" w:rsidRPr="003E76E7" w:rsidRDefault="00463A75" w:rsidP="004C1490">
            <w:pPr>
              <w:spacing w:before="0" w:after="0"/>
              <w:rPr>
                <w:rFonts w:ascii="Arial" w:hAnsi="Arial"/>
                <w:b/>
                <w:bCs/>
                <w:color w:val="000000"/>
                <w:sz w:val="16"/>
                <w:szCs w:val="16"/>
                <w:lang w:val="en-AU"/>
              </w:rPr>
            </w:pPr>
            <w:r w:rsidRPr="003E76E7">
              <w:rPr>
                <w:rFonts w:ascii="Arial" w:hAnsi="Arial"/>
                <w:b/>
                <w:bCs/>
                <w:color w:val="000000"/>
                <w:sz w:val="16"/>
                <w:szCs w:val="16"/>
                <w:lang w:val="en-AU"/>
              </w:rPr>
              <w:t>Guided Weapons Explosive Ordnance Program Accelerated Storage</w:t>
            </w:r>
          </w:p>
        </w:tc>
        <w:tc>
          <w:tcPr>
            <w:tcW w:w="1911" w:type="dxa"/>
            <w:tcBorders>
              <w:top w:val="nil"/>
              <w:left w:val="nil"/>
              <w:bottom w:val="nil"/>
              <w:right w:val="nil"/>
            </w:tcBorders>
            <w:shd w:val="clear" w:color="auto" w:fill="auto"/>
            <w:vAlign w:val="center"/>
            <w:hideMark/>
          </w:tcPr>
          <w:p w14:paraId="0C03EE79"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141" w:type="dxa"/>
            <w:tcBorders>
              <w:top w:val="nil"/>
              <w:left w:val="nil"/>
              <w:bottom w:val="nil"/>
              <w:right w:val="nil"/>
            </w:tcBorders>
            <w:shd w:val="clear" w:color="auto" w:fill="auto"/>
            <w:vAlign w:val="center"/>
            <w:hideMark/>
          </w:tcPr>
          <w:p w14:paraId="0DE03ED9"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462" w:type="dxa"/>
            <w:tcBorders>
              <w:top w:val="nil"/>
              <w:left w:val="nil"/>
              <w:bottom w:val="nil"/>
              <w:right w:val="nil"/>
            </w:tcBorders>
            <w:shd w:val="clear" w:color="auto" w:fill="auto"/>
            <w:vAlign w:val="center"/>
            <w:hideMark/>
          </w:tcPr>
          <w:p w14:paraId="6ED7C8B8"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313" w:type="dxa"/>
            <w:tcBorders>
              <w:top w:val="nil"/>
              <w:left w:val="nil"/>
              <w:bottom w:val="nil"/>
              <w:right w:val="nil"/>
            </w:tcBorders>
            <w:shd w:val="clear" w:color="auto" w:fill="auto"/>
            <w:vAlign w:val="center"/>
            <w:hideMark/>
          </w:tcPr>
          <w:p w14:paraId="673C3C65"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r>
      <w:tr w:rsidR="00463A75" w:rsidRPr="003E76E7" w14:paraId="1C48A22A" w14:textId="77777777" w:rsidTr="00B17397">
        <w:trPr>
          <w:trHeight w:val="225"/>
        </w:trPr>
        <w:tc>
          <w:tcPr>
            <w:tcW w:w="3119" w:type="dxa"/>
            <w:tcBorders>
              <w:top w:val="nil"/>
              <w:left w:val="nil"/>
              <w:bottom w:val="single" w:sz="4" w:space="0" w:color="auto"/>
              <w:right w:val="nil"/>
            </w:tcBorders>
            <w:shd w:val="clear" w:color="auto" w:fill="auto"/>
            <w:vAlign w:val="bottom"/>
            <w:hideMark/>
          </w:tcPr>
          <w:p w14:paraId="66A11732"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Defence Establishment Myambat</w:t>
            </w:r>
          </w:p>
        </w:tc>
        <w:tc>
          <w:tcPr>
            <w:tcW w:w="1911" w:type="dxa"/>
            <w:tcBorders>
              <w:top w:val="nil"/>
              <w:left w:val="nil"/>
              <w:bottom w:val="single" w:sz="4" w:space="0" w:color="auto"/>
              <w:right w:val="nil"/>
            </w:tcBorders>
            <w:shd w:val="clear" w:color="auto" w:fill="auto"/>
            <w:noWrap/>
            <w:vAlign w:val="bottom"/>
            <w:hideMark/>
          </w:tcPr>
          <w:p w14:paraId="4D03D060" w14:textId="7A3BE7FF" w:rsidR="00463A75" w:rsidRPr="003E76E7" w:rsidRDefault="00FE5A03" w:rsidP="00C4292D">
            <w:pPr>
              <w:spacing w:before="0" w:after="0"/>
              <w:jc w:val="right"/>
              <w:rPr>
                <w:rFonts w:ascii="Arial" w:hAnsi="Arial"/>
                <w:color w:val="000000"/>
                <w:sz w:val="16"/>
                <w:szCs w:val="16"/>
                <w:lang w:val="en-AU"/>
              </w:rPr>
            </w:pPr>
            <w:r>
              <w:rPr>
                <w:rFonts w:ascii="Arial" w:hAnsi="Arial"/>
                <w:color w:val="000000"/>
                <w:sz w:val="16"/>
                <w:szCs w:val="16"/>
                <w:lang w:val="en-AU"/>
              </w:rPr>
              <w:t>NSW - New England</w:t>
            </w:r>
          </w:p>
        </w:tc>
        <w:tc>
          <w:tcPr>
            <w:tcW w:w="1141" w:type="dxa"/>
            <w:tcBorders>
              <w:top w:val="nil"/>
              <w:left w:val="nil"/>
              <w:bottom w:val="single" w:sz="4" w:space="0" w:color="auto"/>
              <w:right w:val="nil"/>
            </w:tcBorders>
            <w:shd w:val="clear" w:color="auto" w:fill="auto"/>
            <w:noWrap/>
            <w:vAlign w:val="bottom"/>
            <w:hideMark/>
          </w:tcPr>
          <w:p w14:paraId="265DCC57"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52.2</w:t>
            </w:r>
          </w:p>
        </w:tc>
        <w:tc>
          <w:tcPr>
            <w:tcW w:w="1462" w:type="dxa"/>
            <w:tcBorders>
              <w:top w:val="nil"/>
              <w:left w:val="nil"/>
              <w:bottom w:val="single" w:sz="4" w:space="0" w:color="auto"/>
              <w:right w:val="nil"/>
            </w:tcBorders>
            <w:shd w:val="clear" w:color="auto" w:fill="auto"/>
            <w:noWrap/>
            <w:vAlign w:val="bottom"/>
            <w:hideMark/>
          </w:tcPr>
          <w:p w14:paraId="7774FACC"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45.6</w:t>
            </w:r>
          </w:p>
        </w:tc>
        <w:tc>
          <w:tcPr>
            <w:tcW w:w="1313" w:type="dxa"/>
            <w:tcBorders>
              <w:top w:val="nil"/>
              <w:left w:val="nil"/>
              <w:bottom w:val="single" w:sz="4" w:space="0" w:color="auto"/>
              <w:right w:val="nil"/>
            </w:tcBorders>
            <w:shd w:val="clear" w:color="auto" w:fill="auto"/>
            <w:noWrap/>
            <w:vAlign w:val="bottom"/>
            <w:hideMark/>
          </w:tcPr>
          <w:p w14:paraId="5DC6521A"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4.2</w:t>
            </w:r>
          </w:p>
        </w:tc>
      </w:tr>
      <w:tr w:rsidR="00463A75" w:rsidRPr="003E76E7" w14:paraId="7C49F3A7" w14:textId="77777777" w:rsidTr="00B17397">
        <w:trPr>
          <w:trHeight w:val="225"/>
        </w:trPr>
        <w:tc>
          <w:tcPr>
            <w:tcW w:w="3119" w:type="dxa"/>
            <w:tcBorders>
              <w:top w:val="nil"/>
              <w:left w:val="nil"/>
              <w:bottom w:val="nil"/>
              <w:right w:val="nil"/>
            </w:tcBorders>
            <w:shd w:val="clear" w:color="auto" w:fill="auto"/>
            <w:vAlign w:val="center"/>
            <w:hideMark/>
          </w:tcPr>
          <w:p w14:paraId="2981DC42"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xml:space="preserve">Facilities to Support LAND 129 </w:t>
            </w:r>
            <w:r w:rsidRPr="003E76E7">
              <w:rPr>
                <w:rFonts w:ascii="Arial" w:hAnsi="Arial"/>
                <w:b/>
                <w:bCs/>
                <w:color w:val="000000"/>
                <w:sz w:val="16"/>
                <w:szCs w:val="16"/>
                <w:lang w:val="en-AU"/>
              </w:rPr>
              <w:br/>
              <w:t xml:space="preserve">Phase 3 Tactical Unmanned </w:t>
            </w:r>
            <w:r w:rsidRPr="003E76E7">
              <w:rPr>
                <w:rFonts w:ascii="Arial" w:hAnsi="Arial"/>
                <w:b/>
                <w:bCs/>
                <w:color w:val="000000"/>
                <w:sz w:val="16"/>
                <w:szCs w:val="16"/>
                <w:lang w:val="en-AU"/>
              </w:rPr>
              <w:br/>
              <w:t>Aerial Vehicles</w:t>
            </w:r>
          </w:p>
        </w:tc>
        <w:tc>
          <w:tcPr>
            <w:tcW w:w="1911" w:type="dxa"/>
            <w:tcBorders>
              <w:top w:val="nil"/>
              <w:left w:val="nil"/>
              <w:bottom w:val="nil"/>
              <w:right w:val="nil"/>
            </w:tcBorders>
            <w:shd w:val="clear" w:color="auto" w:fill="auto"/>
            <w:vAlign w:val="center"/>
            <w:hideMark/>
          </w:tcPr>
          <w:p w14:paraId="75EB8FE3"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141" w:type="dxa"/>
            <w:tcBorders>
              <w:top w:val="nil"/>
              <w:left w:val="nil"/>
              <w:bottom w:val="nil"/>
              <w:right w:val="nil"/>
            </w:tcBorders>
            <w:shd w:val="clear" w:color="auto" w:fill="auto"/>
            <w:vAlign w:val="center"/>
            <w:hideMark/>
          </w:tcPr>
          <w:p w14:paraId="68FBF558"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462" w:type="dxa"/>
            <w:tcBorders>
              <w:top w:val="nil"/>
              <w:left w:val="nil"/>
              <w:bottom w:val="nil"/>
              <w:right w:val="nil"/>
            </w:tcBorders>
            <w:shd w:val="clear" w:color="auto" w:fill="auto"/>
            <w:vAlign w:val="center"/>
            <w:hideMark/>
          </w:tcPr>
          <w:p w14:paraId="250010CE"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313" w:type="dxa"/>
            <w:tcBorders>
              <w:top w:val="nil"/>
              <w:left w:val="nil"/>
              <w:bottom w:val="nil"/>
              <w:right w:val="nil"/>
            </w:tcBorders>
            <w:shd w:val="clear" w:color="auto" w:fill="auto"/>
            <w:vAlign w:val="center"/>
            <w:hideMark/>
          </w:tcPr>
          <w:p w14:paraId="0E916E87"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r>
      <w:tr w:rsidR="00463A75" w:rsidRPr="003E76E7" w14:paraId="2C2F0870" w14:textId="77777777" w:rsidTr="00B17397">
        <w:trPr>
          <w:trHeight w:val="225"/>
        </w:trPr>
        <w:tc>
          <w:tcPr>
            <w:tcW w:w="3119" w:type="dxa"/>
            <w:tcBorders>
              <w:top w:val="nil"/>
              <w:left w:val="nil"/>
              <w:bottom w:val="single" w:sz="4" w:space="0" w:color="auto"/>
              <w:right w:val="nil"/>
            </w:tcBorders>
            <w:shd w:val="clear" w:color="auto" w:fill="auto"/>
            <w:vAlign w:val="bottom"/>
            <w:hideMark/>
          </w:tcPr>
          <w:p w14:paraId="3C1539DD"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Gallipoli Barracks</w:t>
            </w:r>
          </w:p>
        </w:tc>
        <w:tc>
          <w:tcPr>
            <w:tcW w:w="1911" w:type="dxa"/>
            <w:tcBorders>
              <w:top w:val="nil"/>
              <w:left w:val="nil"/>
              <w:bottom w:val="single" w:sz="4" w:space="0" w:color="auto"/>
              <w:right w:val="nil"/>
            </w:tcBorders>
            <w:shd w:val="clear" w:color="auto" w:fill="auto"/>
            <w:noWrap/>
            <w:vAlign w:val="bottom"/>
            <w:hideMark/>
          </w:tcPr>
          <w:p w14:paraId="1559B837"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QLD - Ryan</w:t>
            </w:r>
          </w:p>
        </w:tc>
        <w:tc>
          <w:tcPr>
            <w:tcW w:w="1141" w:type="dxa"/>
            <w:tcBorders>
              <w:top w:val="nil"/>
              <w:left w:val="nil"/>
              <w:bottom w:val="single" w:sz="4" w:space="0" w:color="auto"/>
              <w:right w:val="nil"/>
            </w:tcBorders>
            <w:shd w:val="clear" w:color="auto" w:fill="auto"/>
            <w:noWrap/>
            <w:vAlign w:val="bottom"/>
            <w:hideMark/>
          </w:tcPr>
          <w:p w14:paraId="2DFCE328"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51.7</w:t>
            </w:r>
          </w:p>
        </w:tc>
        <w:tc>
          <w:tcPr>
            <w:tcW w:w="1462" w:type="dxa"/>
            <w:tcBorders>
              <w:top w:val="nil"/>
              <w:left w:val="nil"/>
              <w:bottom w:val="single" w:sz="4" w:space="0" w:color="auto"/>
              <w:right w:val="nil"/>
            </w:tcBorders>
            <w:shd w:val="clear" w:color="auto" w:fill="auto"/>
            <w:noWrap/>
            <w:vAlign w:val="bottom"/>
            <w:hideMark/>
          </w:tcPr>
          <w:p w14:paraId="59A352D1"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48.2</w:t>
            </w:r>
          </w:p>
        </w:tc>
        <w:tc>
          <w:tcPr>
            <w:tcW w:w="1313" w:type="dxa"/>
            <w:tcBorders>
              <w:top w:val="nil"/>
              <w:left w:val="nil"/>
              <w:bottom w:val="single" w:sz="4" w:space="0" w:color="auto"/>
              <w:right w:val="nil"/>
            </w:tcBorders>
            <w:shd w:val="clear" w:color="auto" w:fill="auto"/>
            <w:noWrap/>
            <w:vAlign w:val="bottom"/>
            <w:hideMark/>
          </w:tcPr>
          <w:p w14:paraId="69ACFB3B"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1.0</w:t>
            </w:r>
          </w:p>
        </w:tc>
      </w:tr>
      <w:tr w:rsidR="00463A75" w:rsidRPr="003E76E7" w14:paraId="127021E0" w14:textId="77777777" w:rsidTr="00B17397">
        <w:trPr>
          <w:trHeight w:val="225"/>
        </w:trPr>
        <w:tc>
          <w:tcPr>
            <w:tcW w:w="3119" w:type="dxa"/>
            <w:tcBorders>
              <w:top w:val="nil"/>
              <w:left w:val="nil"/>
              <w:bottom w:val="nil"/>
              <w:right w:val="nil"/>
            </w:tcBorders>
            <w:shd w:val="clear" w:color="auto" w:fill="auto"/>
            <w:vAlign w:val="center"/>
            <w:hideMark/>
          </w:tcPr>
          <w:p w14:paraId="236369C9" w14:textId="65AA3E88"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xml:space="preserve">Guided Weapons Explosive Ordnance Program </w:t>
            </w:r>
            <w:r w:rsidR="00B17397" w:rsidRPr="003E76E7">
              <w:rPr>
                <w:rFonts w:ascii="Arial" w:hAnsi="Arial"/>
                <w:b/>
                <w:bCs/>
                <w:color w:val="000000"/>
                <w:sz w:val="16"/>
                <w:szCs w:val="16"/>
                <w:lang w:val="en-AU"/>
              </w:rPr>
              <w:br/>
            </w:r>
            <w:r w:rsidRPr="003E76E7">
              <w:rPr>
                <w:rFonts w:ascii="Arial" w:hAnsi="Arial"/>
                <w:b/>
                <w:bCs/>
                <w:color w:val="000000"/>
                <w:sz w:val="16"/>
                <w:szCs w:val="16"/>
                <w:lang w:val="en-AU"/>
              </w:rPr>
              <w:t>Accelerated Storage</w:t>
            </w:r>
          </w:p>
        </w:tc>
        <w:tc>
          <w:tcPr>
            <w:tcW w:w="1911" w:type="dxa"/>
            <w:tcBorders>
              <w:top w:val="nil"/>
              <w:left w:val="nil"/>
              <w:bottom w:val="nil"/>
              <w:right w:val="nil"/>
            </w:tcBorders>
            <w:shd w:val="clear" w:color="auto" w:fill="auto"/>
            <w:vAlign w:val="center"/>
            <w:hideMark/>
          </w:tcPr>
          <w:p w14:paraId="37DE073B"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141" w:type="dxa"/>
            <w:tcBorders>
              <w:top w:val="nil"/>
              <w:left w:val="nil"/>
              <w:bottom w:val="nil"/>
              <w:right w:val="nil"/>
            </w:tcBorders>
            <w:shd w:val="clear" w:color="auto" w:fill="auto"/>
            <w:vAlign w:val="center"/>
            <w:hideMark/>
          </w:tcPr>
          <w:p w14:paraId="5BC839A6"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462" w:type="dxa"/>
            <w:tcBorders>
              <w:top w:val="nil"/>
              <w:left w:val="nil"/>
              <w:bottom w:val="nil"/>
              <w:right w:val="nil"/>
            </w:tcBorders>
            <w:shd w:val="clear" w:color="auto" w:fill="auto"/>
            <w:vAlign w:val="center"/>
            <w:hideMark/>
          </w:tcPr>
          <w:p w14:paraId="2B587FA1"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313" w:type="dxa"/>
            <w:tcBorders>
              <w:top w:val="nil"/>
              <w:left w:val="nil"/>
              <w:bottom w:val="nil"/>
              <w:right w:val="nil"/>
            </w:tcBorders>
            <w:shd w:val="clear" w:color="auto" w:fill="auto"/>
            <w:vAlign w:val="center"/>
            <w:hideMark/>
          </w:tcPr>
          <w:p w14:paraId="7D2513A8"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r>
      <w:tr w:rsidR="00463A75" w:rsidRPr="003E76E7" w14:paraId="2588A120" w14:textId="77777777" w:rsidTr="00B17397">
        <w:trPr>
          <w:trHeight w:val="225"/>
        </w:trPr>
        <w:tc>
          <w:tcPr>
            <w:tcW w:w="3119" w:type="dxa"/>
            <w:tcBorders>
              <w:top w:val="nil"/>
              <w:left w:val="nil"/>
              <w:bottom w:val="single" w:sz="4" w:space="0" w:color="auto"/>
              <w:right w:val="nil"/>
            </w:tcBorders>
            <w:shd w:val="clear" w:color="auto" w:fill="auto"/>
            <w:vAlign w:val="bottom"/>
            <w:hideMark/>
          </w:tcPr>
          <w:p w14:paraId="72D03C01"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Defence Establishment Jennings</w:t>
            </w:r>
          </w:p>
        </w:tc>
        <w:tc>
          <w:tcPr>
            <w:tcW w:w="1911" w:type="dxa"/>
            <w:tcBorders>
              <w:top w:val="nil"/>
              <w:left w:val="nil"/>
              <w:bottom w:val="single" w:sz="4" w:space="0" w:color="auto"/>
              <w:right w:val="nil"/>
            </w:tcBorders>
            <w:shd w:val="clear" w:color="auto" w:fill="auto"/>
            <w:noWrap/>
            <w:vAlign w:val="bottom"/>
            <w:hideMark/>
          </w:tcPr>
          <w:p w14:paraId="399AE3F5" w14:textId="744F5371" w:rsidR="00463A75" w:rsidRPr="003E76E7" w:rsidRDefault="00FE5A03" w:rsidP="00C4292D">
            <w:pPr>
              <w:spacing w:before="0" w:after="0"/>
              <w:jc w:val="right"/>
              <w:rPr>
                <w:rFonts w:ascii="Arial" w:hAnsi="Arial"/>
                <w:color w:val="000000"/>
                <w:sz w:val="16"/>
                <w:szCs w:val="16"/>
                <w:lang w:val="en-AU"/>
              </w:rPr>
            </w:pPr>
            <w:r>
              <w:rPr>
                <w:rFonts w:ascii="Arial" w:hAnsi="Arial"/>
                <w:color w:val="000000"/>
                <w:sz w:val="16"/>
                <w:szCs w:val="16"/>
                <w:lang w:val="en-AU"/>
              </w:rPr>
              <w:t>NSW - New England</w:t>
            </w:r>
          </w:p>
        </w:tc>
        <w:tc>
          <w:tcPr>
            <w:tcW w:w="1141" w:type="dxa"/>
            <w:tcBorders>
              <w:top w:val="nil"/>
              <w:left w:val="nil"/>
              <w:bottom w:val="single" w:sz="4" w:space="0" w:color="auto"/>
              <w:right w:val="nil"/>
            </w:tcBorders>
            <w:shd w:val="clear" w:color="auto" w:fill="auto"/>
            <w:noWrap/>
            <w:vAlign w:val="bottom"/>
            <w:hideMark/>
          </w:tcPr>
          <w:p w14:paraId="0627EF92"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44.1</w:t>
            </w:r>
          </w:p>
        </w:tc>
        <w:tc>
          <w:tcPr>
            <w:tcW w:w="1462" w:type="dxa"/>
            <w:tcBorders>
              <w:top w:val="nil"/>
              <w:left w:val="nil"/>
              <w:bottom w:val="single" w:sz="4" w:space="0" w:color="auto"/>
              <w:right w:val="nil"/>
            </w:tcBorders>
            <w:shd w:val="clear" w:color="auto" w:fill="auto"/>
            <w:noWrap/>
            <w:vAlign w:val="bottom"/>
            <w:hideMark/>
          </w:tcPr>
          <w:p w14:paraId="451E650B"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36.6</w:t>
            </w:r>
          </w:p>
        </w:tc>
        <w:tc>
          <w:tcPr>
            <w:tcW w:w="1313" w:type="dxa"/>
            <w:tcBorders>
              <w:top w:val="nil"/>
              <w:left w:val="nil"/>
              <w:bottom w:val="single" w:sz="4" w:space="0" w:color="auto"/>
              <w:right w:val="nil"/>
            </w:tcBorders>
            <w:shd w:val="clear" w:color="auto" w:fill="auto"/>
            <w:noWrap/>
            <w:vAlign w:val="bottom"/>
            <w:hideMark/>
          </w:tcPr>
          <w:p w14:paraId="3A1728E5"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0.3</w:t>
            </w:r>
          </w:p>
        </w:tc>
      </w:tr>
      <w:tr w:rsidR="00463A75" w:rsidRPr="003E76E7" w14:paraId="64236B53" w14:textId="77777777" w:rsidTr="00B17397">
        <w:trPr>
          <w:trHeight w:val="225"/>
        </w:trPr>
        <w:tc>
          <w:tcPr>
            <w:tcW w:w="3119" w:type="dxa"/>
            <w:tcBorders>
              <w:top w:val="nil"/>
              <w:left w:val="nil"/>
              <w:bottom w:val="nil"/>
              <w:right w:val="nil"/>
            </w:tcBorders>
            <w:shd w:val="clear" w:color="auto" w:fill="auto"/>
            <w:vAlign w:val="center"/>
            <w:hideMark/>
          </w:tcPr>
          <w:p w14:paraId="059A0A7E"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xml:space="preserve">Guided Weapons Production Capability Assembly Facility </w:t>
            </w:r>
          </w:p>
        </w:tc>
        <w:tc>
          <w:tcPr>
            <w:tcW w:w="1911" w:type="dxa"/>
            <w:tcBorders>
              <w:top w:val="nil"/>
              <w:left w:val="nil"/>
              <w:bottom w:val="nil"/>
              <w:right w:val="nil"/>
            </w:tcBorders>
            <w:shd w:val="clear" w:color="auto" w:fill="auto"/>
            <w:vAlign w:val="center"/>
            <w:hideMark/>
          </w:tcPr>
          <w:p w14:paraId="01912A4A"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141" w:type="dxa"/>
            <w:tcBorders>
              <w:top w:val="nil"/>
              <w:left w:val="nil"/>
              <w:bottom w:val="nil"/>
              <w:right w:val="nil"/>
            </w:tcBorders>
            <w:shd w:val="clear" w:color="auto" w:fill="auto"/>
            <w:vAlign w:val="center"/>
            <w:hideMark/>
          </w:tcPr>
          <w:p w14:paraId="39101A4C"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462" w:type="dxa"/>
            <w:tcBorders>
              <w:top w:val="nil"/>
              <w:left w:val="nil"/>
              <w:bottom w:val="nil"/>
              <w:right w:val="nil"/>
            </w:tcBorders>
            <w:shd w:val="clear" w:color="auto" w:fill="auto"/>
            <w:vAlign w:val="center"/>
            <w:hideMark/>
          </w:tcPr>
          <w:p w14:paraId="39CD9F0A"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313" w:type="dxa"/>
            <w:tcBorders>
              <w:top w:val="nil"/>
              <w:left w:val="nil"/>
              <w:bottom w:val="nil"/>
              <w:right w:val="nil"/>
            </w:tcBorders>
            <w:shd w:val="clear" w:color="auto" w:fill="auto"/>
            <w:vAlign w:val="center"/>
            <w:hideMark/>
          </w:tcPr>
          <w:p w14:paraId="205B283D"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r>
      <w:tr w:rsidR="00463A75" w:rsidRPr="003E76E7" w14:paraId="454FE742" w14:textId="77777777" w:rsidTr="00B17397">
        <w:trPr>
          <w:trHeight w:val="225"/>
        </w:trPr>
        <w:tc>
          <w:tcPr>
            <w:tcW w:w="3119" w:type="dxa"/>
            <w:tcBorders>
              <w:top w:val="nil"/>
              <w:left w:val="nil"/>
              <w:bottom w:val="single" w:sz="4" w:space="0" w:color="auto"/>
              <w:right w:val="nil"/>
            </w:tcBorders>
            <w:shd w:val="clear" w:color="auto" w:fill="auto"/>
            <w:vAlign w:val="bottom"/>
            <w:hideMark/>
          </w:tcPr>
          <w:p w14:paraId="3DD92DB6"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Port Wakefield</w:t>
            </w:r>
          </w:p>
        </w:tc>
        <w:tc>
          <w:tcPr>
            <w:tcW w:w="1911" w:type="dxa"/>
            <w:tcBorders>
              <w:top w:val="nil"/>
              <w:left w:val="nil"/>
              <w:bottom w:val="single" w:sz="4" w:space="0" w:color="auto"/>
              <w:right w:val="nil"/>
            </w:tcBorders>
            <w:shd w:val="clear" w:color="auto" w:fill="auto"/>
            <w:noWrap/>
            <w:vAlign w:val="bottom"/>
            <w:hideMark/>
          </w:tcPr>
          <w:p w14:paraId="4FBB81CC"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SA - Grey</w:t>
            </w:r>
          </w:p>
        </w:tc>
        <w:tc>
          <w:tcPr>
            <w:tcW w:w="1141" w:type="dxa"/>
            <w:tcBorders>
              <w:top w:val="nil"/>
              <w:left w:val="nil"/>
              <w:bottom w:val="single" w:sz="4" w:space="0" w:color="auto"/>
              <w:right w:val="nil"/>
            </w:tcBorders>
            <w:shd w:val="clear" w:color="auto" w:fill="auto"/>
            <w:noWrap/>
            <w:vAlign w:val="bottom"/>
            <w:hideMark/>
          </w:tcPr>
          <w:p w14:paraId="676F516A"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40.2</w:t>
            </w:r>
          </w:p>
        </w:tc>
        <w:tc>
          <w:tcPr>
            <w:tcW w:w="1462" w:type="dxa"/>
            <w:tcBorders>
              <w:top w:val="nil"/>
              <w:left w:val="nil"/>
              <w:bottom w:val="single" w:sz="4" w:space="0" w:color="auto"/>
              <w:right w:val="nil"/>
            </w:tcBorders>
            <w:shd w:val="clear" w:color="auto" w:fill="auto"/>
            <w:noWrap/>
            <w:vAlign w:val="bottom"/>
            <w:hideMark/>
          </w:tcPr>
          <w:p w14:paraId="34933556"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23.4</w:t>
            </w:r>
          </w:p>
        </w:tc>
        <w:tc>
          <w:tcPr>
            <w:tcW w:w="1313" w:type="dxa"/>
            <w:tcBorders>
              <w:top w:val="nil"/>
              <w:left w:val="nil"/>
              <w:bottom w:val="single" w:sz="4" w:space="0" w:color="auto"/>
              <w:right w:val="nil"/>
            </w:tcBorders>
            <w:shd w:val="clear" w:color="auto" w:fill="auto"/>
            <w:noWrap/>
            <w:vAlign w:val="bottom"/>
            <w:hideMark/>
          </w:tcPr>
          <w:p w14:paraId="0E71F851"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0.1</w:t>
            </w:r>
          </w:p>
        </w:tc>
      </w:tr>
      <w:tr w:rsidR="00463A75" w:rsidRPr="003E76E7" w14:paraId="0A7B7D0E" w14:textId="77777777" w:rsidTr="00B17397">
        <w:trPr>
          <w:trHeight w:val="225"/>
        </w:trPr>
        <w:tc>
          <w:tcPr>
            <w:tcW w:w="3119" w:type="dxa"/>
            <w:tcBorders>
              <w:top w:val="nil"/>
              <w:left w:val="nil"/>
              <w:bottom w:val="nil"/>
              <w:right w:val="nil"/>
            </w:tcBorders>
            <w:shd w:val="clear" w:color="auto" w:fill="auto"/>
            <w:vAlign w:val="center"/>
            <w:hideMark/>
          </w:tcPr>
          <w:p w14:paraId="2567B2C8"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Puckapunyal Health and Wellbeing Centre</w:t>
            </w:r>
          </w:p>
        </w:tc>
        <w:tc>
          <w:tcPr>
            <w:tcW w:w="1911" w:type="dxa"/>
            <w:tcBorders>
              <w:top w:val="nil"/>
              <w:left w:val="nil"/>
              <w:bottom w:val="nil"/>
              <w:right w:val="nil"/>
            </w:tcBorders>
            <w:shd w:val="clear" w:color="auto" w:fill="auto"/>
            <w:vAlign w:val="center"/>
            <w:hideMark/>
          </w:tcPr>
          <w:p w14:paraId="16427A66"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141" w:type="dxa"/>
            <w:tcBorders>
              <w:top w:val="nil"/>
              <w:left w:val="nil"/>
              <w:bottom w:val="nil"/>
              <w:right w:val="nil"/>
            </w:tcBorders>
            <w:shd w:val="clear" w:color="auto" w:fill="auto"/>
            <w:vAlign w:val="center"/>
            <w:hideMark/>
          </w:tcPr>
          <w:p w14:paraId="0F5E696F"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462" w:type="dxa"/>
            <w:tcBorders>
              <w:top w:val="nil"/>
              <w:left w:val="nil"/>
              <w:bottom w:val="nil"/>
              <w:right w:val="nil"/>
            </w:tcBorders>
            <w:shd w:val="clear" w:color="auto" w:fill="auto"/>
            <w:vAlign w:val="center"/>
            <w:hideMark/>
          </w:tcPr>
          <w:p w14:paraId="33FF7AA7"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313" w:type="dxa"/>
            <w:tcBorders>
              <w:top w:val="nil"/>
              <w:left w:val="nil"/>
              <w:bottom w:val="nil"/>
              <w:right w:val="nil"/>
            </w:tcBorders>
            <w:shd w:val="clear" w:color="auto" w:fill="auto"/>
            <w:vAlign w:val="center"/>
            <w:hideMark/>
          </w:tcPr>
          <w:p w14:paraId="6B111C67"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r>
      <w:tr w:rsidR="00463A75" w:rsidRPr="003E76E7" w14:paraId="4D457A29" w14:textId="77777777" w:rsidTr="00B17397">
        <w:trPr>
          <w:trHeight w:val="225"/>
        </w:trPr>
        <w:tc>
          <w:tcPr>
            <w:tcW w:w="3119" w:type="dxa"/>
            <w:tcBorders>
              <w:top w:val="nil"/>
              <w:left w:val="nil"/>
              <w:bottom w:val="single" w:sz="4" w:space="0" w:color="auto"/>
              <w:right w:val="nil"/>
            </w:tcBorders>
            <w:shd w:val="clear" w:color="auto" w:fill="auto"/>
            <w:vAlign w:val="bottom"/>
            <w:hideMark/>
          </w:tcPr>
          <w:p w14:paraId="3E792946"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Puckapunyal Military Area</w:t>
            </w:r>
          </w:p>
        </w:tc>
        <w:tc>
          <w:tcPr>
            <w:tcW w:w="1911" w:type="dxa"/>
            <w:tcBorders>
              <w:top w:val="nil"/>
              <w:left w:val="nil"/>
              <w:bottom w:val="single" w:sz="4" w:space="0" w:color="auto"/>
              <w:right w:val="nil"/>
            </w:tcBorders>
            <w:shd w:val="clear" w:color="auto" w:fill="auto"/>
            <w:noWrap/>
            <w:vAlign w:val="bottom"/>
            <w:hideMark/>
          </w:tcPr>
          <w:p w14:paraId="49313C32"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VIC - Nicholls</w:t>
            </w:r>
          </w:p>
        </w:tc>
        <w:tc>
          <w:tcPr>
            <w:tcW w:w="1141" w:type="dxa"/>
            <w:tcBorders>
              <w:top w:val="nil"/>
              <w:left w:val="nil"/>
              <w:bottom w:val="single" w:sz="4" w:space="0" w:color="auto"/>
              <w:right w:val="nil"/>
            </w:tcBorders>
            <w:shd w:val="clear" w:color="auto" w:fill="auto"/>
            <w:noWrap/>
            <w:vAlign w:val="bottom"/>
            <w:hideMark/>
          </w:tcPr>
          <w:p w14:paraId="00DF14DF"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39.8</w:t>
            </w:r>
          </w:p>
        </w:tc>
        <w:tc>
          <w:tcPr>
            <w:tcW w:w="1462" w:type="dxa"/>
            <w:tcBorders>
              <w:top w:val="nil"/>
              <w:left w:val="nil"/>
              <w:bottom w:val="single" w:sz="4" w:space="0" w:color="auto"/>
              <w:right w:val="nil"/>
            </w:tcBorders>
            <w:shd w:val="clear" w:color="auto" w:fill="auto"/>
            <w:noWrap/>
            <w:vAlign w:val="bottom"/>
            <w:hideMark/>
          </w:tcPr>
          <w:p w14:paraId="0930662A"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39.7</w:t>
            </w:r>
          </w:p>
        </w:tc>
        <w:tc>
          <w:tcPr>
            <w:tcW w:w="1313" w:type="dxa"/>
            <w:tcBorders>
              <w:top w:val="nil"/>
              <w:left w:val="nil"/>
              <w:bottom w:val="single" w:sz="4" w:space="0" w:color="auto"/>
              <w:right w:val="nil"/>
            </w:tcBorders>
            <w:shd w:val="clear" w:color="auto" w:fill="auto"/>
            <w:noWrap/>
            <w:vAlign w:val="bottom"/>
            <w:hideMark/>
          </w:tcPr>
          <w:p w14:paraId="20CC00C0"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0.0</w:t>
            </w:r>
          </w:p>
        </w:tc>
      </w:tr>
      <w:tr w:rsidR="00463A75" w:rsidRPr="003E76E7" w14:paraId="69A96CEE" w14:textId="77777777" w:rsidTr="00B17397">
        <w:trPr>
          <w:trHeight w:val="225"/>
        </w:trPr>
        <w:tc>
          <w:tcPr>
            <w:tcW w:w="3119" w:type="dxa"/>
            <w:tcBorders>
              <w:top w:val="single" w:sz="4" w:space="0" w:color="auto"/>
              <w:left w:val="nil"/>
              <w:right w:val="nil"/>
            </w:tcBorders>
            <w:shd w:val="clear" w:color="auto" w:fill="auto"/>
            <w:vAlign w:val="center"/>
          </w:tcPr>
          <w:p w14:paraId="7D6C661F"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b/>
                <w:bCs/>
                <w:color w:val="000000"/>
                <w:sz w:val="16"/>
                <w:szCs w:val="16"/>
                <w:lang w:val="en-AU"/>
              </w:rPr>
              <w:t>LAND 2110 Phase 1B - Chemical, Biological, Radiological and Nuclear Defence Facilities</w:t>
            </w:r>
          </w:p>
        </w:tc>
        <w:tc>
          <w:tcPr>
            <w:tcW w:w="1911" w:type="dxa"/>
            <w:tcBorders>
              <w:top w:val="single" w:sz="4" w:space="0" w:color="auto"/>
              <w:left w:val="nil"/>
              <w:right w:val="nil"/>
            </w:tcBorders>
            <w:shd w:val="clear" w:color="auto" w:fill="auto"/>
            <w:noWrap/>
            <w:vAlign w:val="center"/>
          </w:tcPr>
          <w:p w14:paraId="4296B915"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b/>
                <w:bCs/>
                <w:color w:val="000000"/>
                <w:sz w:val="16"/>
                <w:szCs w:val="16"/>
                <w:lang w:val="en-AU"/>
              </w:rPr>
              <w:t> </w:t>
            </w:r>
          </w:p>
        </w:tc>
        <w:tc>
          <w:tcPr>
            <w:tcW w:w="1141" w:type="dxa"/>
            <w:tcBorders>
              <w:top w:val="single" w:sz="4" w:space="0" w:color="auto"/>
              <w:left w:val="nil"/>
              <w:right w:val="nil"/>
            </w:tcBorders>
            <w:shd w:val="clear" w:color="auto" w:fill="auto"/>
            <w:noWrap/>
            <w:vAlign w:val="center"/>
          </w:tcPr>
          <w:p w14:paraId="2B47445B"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 </w:t>
            </w:r>
          </w:p>
        </w:tc>
        <w:tc>
          <w:tcPr>
            <w:tcW w:w="1462" w:type="dxa"/>
            <w:tcBorders>
              <w:top w:val="single" w:sz="4" w:space="0" w:color="auto"/>
              <w:left w:val="nil"/>
              <w:right w:val="nil"/>
            </w:tcBorders>
            <w:shd w:val="clear" w:color="auto" w:fill="auto"/>
            <w:noWrap/>
            <w:vAlign w:val="center"/>
          </w:tcPr>
          <w:p w14:paraId="681615D9"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 </w:t>
            </w:r>
          </w:p>
        </w:tc>
        <w:tc>
          <w:tcPr>
            <w:tcW w:w="1313" w:type="dxa"/>
            <w:tcBorders>
              <w:top w:val="single" w:sz="4" w:space="0" w:color="auto"/>
              <w:left w:val="nil"/>
              <w:right w:val="nil"/>
            </w:tcBorders>
            <w:shd w:val="clear" w:color="auto" w:fill="auto"/>
            <w:noWrap/>
            <w:vAlign w:val="center"/>
          </w:tcPr>
          <w:p w14:paraId="325107EA"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 </w:t>
            </w:r>
          </w:p>
        </w:tc>
      </w:tr>
      <w:tr w:rsidR="00463A75" w:rsidRPr="003E76E7" w14:paraId="1C378822" w14:textId="77777777" w:rsidTr="00B17397">
        <w:trPr>
          <w:trHeight w:val="225"/>
        </w:trPr>
        <w:tc>
          <w:tcPr>
            <w:tcW w:w="3119" w:type="dxa"/>
            <w:tcBorders>
              <w:top w:val="nil"/>
              <w:left w:val="nil"/>
              <w:right w:val="nil"/>
            </w:tcBorders>
            <w:shd w:val="clear" w:color="auto" w:fill="auto"/>
            <w:vAlign w:val="bottom"/>
          </w:tcPr>
          <w:p w14:paraId="23C4C6E5"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 xml:space="preserve">HMAS </w:t>
            </w:r>
            <w:r w:rsidRPr="00C210BD">
              <w:rPr>
                <w:rFonts w:ascii="Arial" w:hAnsi="Arial"/>
                <w:iCs/>
                <w:color w:val="000000"/>
                <w:sz w:val="16"/>
                <w:szCs w:val="16"/>
                <w:lang w:val="en-AU"/>
              </w:rPr>
              <w:t>Stirling</w:t>
            </w:r>
          </w:p>
        </w:tc>
        <w:tc>
          <w:tcPr>
            <w:tcW w:w="1911" w:type="dxa"/>
            <w:tcBorders>
              <w:top w:val="nil"/>
              <w:left w:val="nil"/>
              <w:right w:val="nil"/>
            </w:tcBorders>
            <w:shd w:val="clear" w:color="auto" w:fill="auto"/>
            <w:noWrap/>
            <w:vAlign w:val="bottom"/>
          </w:tcPr>
          <w:p w14:paraId="4F0F1043"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WA - Brand</w:t>
            </w:r>
          </w:p>
        </w:tc>
        <w:tc>
          <w:tcPr>
            <w:tcW w:w="1141" w:type="dxa"/>
            <w:tcBorders>
              <w:top w:val="nil"/>
              <w:left w:val="nil"/>
              <w:right w:val="nil"/>
            </w:tcBorders>
            <w:shd w:val="clear" w:color="auto" w:fill="auto"/>
            <w:noWrap/>
            <w:vAlign w:val="bottom"/>
          </w:tcPr>
          <w:p w14:paraId="0FEFC8B6" w14:textId="77777777" w:rsidR="00463A75" w:rsidRPr="003E76E7" w:rsidRDefault="00463A75" w:rsidP="00C4292D">
            <w:pPr>
              <w:spacing w:before="0" w:after="0"/>
              <w:jc w:val="right"/>
              <w:rPr>
                <w:rFonts w:ascii="Arial" w:hAnsi="Arial"/>
                <w:b/>
                <w:bCs/>
                <w:color w:val="000000"/>
                <w:sz w:val="16"/>
                <w:szCs w:val="16"/>
                <w:lang w:val="en-AU"/>
              </w:rPr>
            </w:pPr>
          </w:p>
        </w:tc>
        <w:tc>
          <w:tcPr>
            <w:tcW w:w="1462" w:type="dxa"/>
            <w:tcBorders>
              <w:top w:val="nil"/>
              <w:left w:val="nil"/>
              <w:right w:val="nil"/>
            </w:tcBorders>
            <w:shd w:val="clear" w:color="auto" w:fill="auto"/>
            <w:noWrap/>
            <w:vAlign w:val="bottom"/>
          </w:tcPr>
          <w:p w14:paraId="7CF3B6F2"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color w:val="000000"/>
                <w:sz w:val="16"/>
                <w:szCs w:val="16"/>
                <w:lang w:val="en-AU"/>
              </w:rPr>
              <w:t>0.8</w:t>
            </w:r>
          </w:p>
        </w:tc>
        <w:tc>
          <w:tcPr>
            <w:tcW w:w="1313" w:type="dxa"/>
            <w:tcBorders>
              <w:top w:val="nil"/>
              <w:left w:val="nil"/>
              <w:right w:val="nil"/>
            </w:tcBorders>
            <w:shd w:val="clear" w:color="auto" w:fill="auto"/>
            <w:noWrap/>
            <w:vAlign w:val="bottom"/>
          </w:tcPr>
          <w:p w14:paraId="2CBE5109"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color w:val="000000"/>
                <w:sz w:val="16"/>
                <w:szCs w:val="16"/>
                <w:lang w:val="en-AU"/>
              </w:rPr>
              <w:t xml:space="preserve">                     - </w:t>
            </w:r>
          </w:p>
        </w:tc>
      </w:tr>
      <w:tr w:rsidR="00463A75" w:rsidRPr="003E76E7" w14:paraId="43F44757" w14:textId="77777777" w:rsidTr="00B17397">
        <w:trPr>
          <w:trHeight w:val="225"/>
        </w:trPr>
        <w:tc>
          <w:tcPr>
            <w:tcW w:w="3119" w:type="dxa"/>
            <w:tcBorders>
              <w:top w:val="nil"/>
              <w:left w:val="nil"/>
              <w:right w:val="nil"/>
            </w:tcBorders>
            <w:shd w:val="clear" w:color="auto" w:fill="auto"/>
            <w:vAlign w:val="bottom"/>
          </w:tcPr>
          <w:p w14:paraId="196E4D3B"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Bindoon Training Area</w:t>
            </w:r>
          </w:p>
        </w:tc>
        <w:tc>
          <w:tcPr>
            <w:tcW w:w="1911" w:type="dxa"/>
            <w:tcBorders>
              <w:top w:val="nil"/>
              <w:left w:val="nil"/>
              <w:right w:val="nil"/>
            </w:tcBorders>
            <w:shd w:val="clear" w:color="auto" w:fill="auto"/>
            <w:noWrap/>
            <w:vAlign w:val="bottom"/>
          </w:tcPr>
          <w:p w14:paraId="379591D9"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WA - Bullwinkel</w:t>
            </w:r>
          </w:p>
        </w:tc>
        <w:tc>
          <w:tcPr>
            <w:tcW w:w="1141" w:type="dxa"/>
            <w:tcBorders>
              <w:top w:val="nil"/>
              <w:left w:val="nil"/>
              <w:right w:val="nil"/>
            </w:tcBorders>
            <w:shd w:val="clear" w:color="auto" w:fill="auto"/>
            <w:noWrap/>
            <w:vAlign w:val="bottom"/>
          </w:tcPr>
          <w:p w14:paraId="0008FB44" w14:textId="77777777" w:rsidR="00463A75" w:rsidRPr="003E76E7" w:rsidRDefault="00463A75" w:rsidP="00C4292D">
            <w:pPr>
              <w:spacing w:before="0" w:after="0"/>
              <w:jc w:val="right"/>
              <w:rPr>
                <w:rFonts w:ascii="Arial" w:hAnsi="Arial"/>
                <w:b/>
                <w:bCs/>
                <w:color w:val="000000"/>
                <w:sz w:val="16"/>
                <w:szCs w:val="16"/>
                <w:lang w:val="en-AU"/>
              </w:rPr>
            </w:pPr>
          </w:p>
        </w:tc>
        <w:tc>
          <w:tcPr>
            <w:tcW w:w="1462" w:type="dxa"/>
            <w:tcBorders>
              <w:top w:val="nil"/>
              <w:left w:val="nil"/>
              <w:right w:val="nil"/>
            </w:tcBorders>
            <w:shd w:val="clear" w:color="auto" w:fill="auto"/>
            <w:noWrap/>
            <w:vAlign w:val="bottom"/>
          </w:tcPr>
          <w:p w14:paraId="739C137A"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color w:val="000000"/>
                <w:sz w:val="16"/>
                <w:szCs w:val="16"/>
                <w:lang w:val="en-AU"/>
              </w:rPr>
              <w:t>0.5</w:t>
            </w:r>
          </w:p>
        </w:tc>
        <w:tc>
          <w:tcPr>
            <w:tcW w:w="1313" w:type="dxa"/>
            <w:tcBorders>
              <w:top w:val="nil"/>
              <w:left w:val="nil"/>
              <w:right w:val="nil"/>
            </w:tcBorders>
            <w:shd w:val="clear" w:color="auto" w:fill="auto"/>
            <w:noWrap/>
            <w:vAlign w:val="bottom"/>
          </w:tcPr>
          <w:p w14:paraId="45A41CDE"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color w:val="000000"/>
                <w:sz w:val="16"/>
                <w:szCs w:val="16"/>
                <w:lang w:val="en-AU"/>
              </w:rPr>
              <w:t xml:space="preserve">                     - </w:t>
            </w:r>
          </w:p>
        </w:tc>
      </w:tr>
      <w:tr w:rsidR="00463A75" w:rsidRPr="003E76E7" w14:paraId="454A2BBF" w14:textId="77777777" w:rsidTr="00B17397">
        <w:trPr>
          <w:trHeight w:val="225"/>
        </w:trPr>
        <w:tc>
          <w:tcPr>
            <w:tcW w:w="3119" w:type="dxa"/>
            <w:tcBorders>
              <w:top w:val="nil"/>
              <w:left w:val="nil"/>
              <w:right w:val="nil"/>
            </w:tcBorders>
            <w:shd w:val="clear" w:color="auto" w:fill="auto"/>
            <w:vAlign w:val="bottom"/>
          </w:tcPr>
          <w:p w14:paraId="0D61B484"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Robertson Barracks</w:t>
            </w:r>
          </w:p>
        </w:tc>
        <w:tc>
          <w:tcPr>
            <w:tcW w:w="1911" w:type="dxa"/>
            <w:tcBorders>
              <w:top w:val="nil"/>
              <w:left w:val="nil"/>
              <w:right w:val="nil"/>
            </w:tcBorders>
            <w:shd w:val="clear" w:color="auto" w:fill="auto"/>
            <w:noWrap/>
            <w:vAlign w:val="bottom"/>
          </w:tcPr>
          <w:p w14:paraId="7856F29B"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NT - Lingiari</w:t>
            </w:r>
          </w:p>
        </w:tc>
        <w:tc>
          <w:tcPr>
            <w:tcW w:w="1141" w:type="dxa"/>
            <w:tcBorders>
              <w:top w:val="nil"/>
              <w:left w:val="nil"/>
              <w:right w:val="nil"/>
            </w:tcBorders>
            <w:shd w:val="clear" w:color="auto" w:fill="auto"/>
            <w:noWrap/>
            <w:vAlign w:val="bottom"/>
          </w:tcPr>
          <w:p w14:paraId="3AA62F87" w14:textId="77777777" w:rsidR="00463A75" w:rsidRPr="003E76E7" w:rsidRDefault="00463A75" w:rsidP="00C4292D">
            <w:pPr>
              <w:spacing w:before="0" w:after="0"/>
              <w:jc w:val="right"/>
              <w:rPr>
                <w:rFonts w:ascii="Arial" w:hAnsi="Arial"/>
                <w:b/>
                <w:bCs/>
                <w:color w:val="000000"/>
                <w:sz w:val="16"/>
                <w:szCs w:val="16"/>
                <w:lang w:val="en-AU"/>
              </w:rPr>
            </w:pPr>
          </w:p>
        </w:tc>
        <w:tc>
          <w:tcPr>
            <w:tcW w:w="1462" w:type="dxa"/>
            <w:tcBorders>
              <w:top w:val="nil"/>
              <w:left w:val="nil"/>
              <w:right w:val="nil"/>
            </w:tcBorders>
            <w:shd w:val="clear" w:color="auto" w:fill="auto"/>
            <w:noWrap/>
            <w:vAlign w:val="bottom"/>
          </w:tcPr>
          <w:p w14:paraId="147A1467"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color w:val="000000"/>
                <w:sz w:val="16"/>
                <w:szCs w:val="16"/>
                <w:lang w:val="en-AU"/>
              </w:rPr>
              <w:t>2.4</w:t>
            </w:r>
          </w:p>
        </w:tc>
        <w:tc>
          <w:tcPr>
            <w:tcW w:w="1313" w:type="dxa"/>
            <w:tcBorders>
              <w:top w:val="nil"/>
              <w:left w:val="nil"/>
              <w:right w:val="nil"/>
            </w:tcBorders>
            <w:shd w:val="clear" w:color="auto" w:fill="auto"/>
            <w:noWrap/>
            <w:vAlign w:val="bottom"/>
          </w:tcPr>
          <w:p w14:paraId="2A6D7C66"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color w:val="000000"/>
                <w:sz w:val="16"/>
                <w:szCs w:val="16"/>
                <w:lang w:val="en-AU"/>
              </w:rPr>
              <w:t xml:space="preserve">                  4.2 </w:t>
            </w:r>
          </w:p>
        </w:tc>
      </w:tr>
      <w:tr w:rsidR="00463A75" w:rsidRPr="003E76E7" w14:paraId="5DC005FE" w14:textId="77777777" w:rsidTr="00B17397">
        <w:trPr>
          <w:trHeight w:val="225"/>
        </w:trPr>
        <w:tc>
          <w:tcPr>
            <w:tcW w:w="3119" w:type="dxa"/>
            <w:tcBorders>
              <w:top w:val="nil"/>
              <w:left w:val="nil"/>
              <w:right w:val="nil"/>
            </w:tcBorders>
            <w:shd w:val="clear" w:color="auto" w:fill="auto"/>
            <w:vAlign w:val="bottom"/>
          </w:tcPr>
          <w:p w14:paraId="497D1E4B"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RAAF Base Edinburgh</w:t>
            </w:r>
          </w:p>
        </w:tc>
        <w:tc>
          <w:tcPr>
            <w:tcW w:w="1911" w:type="dxa"/>
            <w:tcBorders>
              <w:top w:val="nil"/>
              <w:left w:val="nil"/>
              <w:right w:val="nil"/>
            </w:tcBorders>
            <w:shd w:val="clear" w:color="auto" w:fill="auto"/>
            <w:noWrap/>
            <w:vAlign w:val="bottom"/>
          </w:tcPr>
          <w:p w14:paraId="60001044"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SA - Spence</w:t>
            </w:r>
          </w:p>
        </w:tc>
        <w:tc>
          <w:tcPr>
            <w:tcW w:w="1141" w:type="dxa"/>
            <w:tcBorders>
              <w:top w:val="nil"/>
              <w:left w:val="nil"/>
              <w:right w:val="nil"/>
            </w:tcBorders>
            <w:shd w:val="clear" w:color="auto" w:fill="auto"/>
            <w:noWrap/>
            <w:vAlign w:val="bottom"/>
          </w:tcPr>
          <w:p w14:paraId="7D7CE58E" w14:textId="77777777" w:rsidR="00463A75" w:rsidRPr="003E76E7" w:rsidRDefault="00463A75" w:rsidP="00C4292D">
            <w:pPr>
              <w:spacing w:before="0" w:after="0"/>
              <w:jc w:val="right"/>
              <w:rPr>
                <w:rFonts w:ascii="Arial" w:hAnsi="Arial"/>
                <w:b/>
                <w:bCs/>
                <w:color w:val="000000"/>
                <w:sz w:val="16"/>
                <w:szCs w:val="16"/>
                <w:lang w:val="en-AU"/>
              </w:rPr>
            </w:pPr>
          </w:p>
        </w:tc>
        <w:tc>
          <w:tcPr>
            <w:tcW w:w="1462" w:type="dxa"/>
            <w:tcBorders>
              <w:top w:val="nil"/>
              <w:left w:val="nil"/>
              <w:right w:val="nil"/>
            </w:tcBorders>
            <w:shd w:val="clear" w:color="auto" w:fill="auto"/>
            <w:noWrap/>
            <w:vAlign w:val="bottom"/>
          </w:tcPr>
          <w:p w14:paraId="3B7F6528"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color w:val="000000"/>
                <w:sz w:val="16"/>
                <w:szCs w:val="16"/>
                <w:lang w:val="en-AU"/>
              </w:rPr>
              <w:t>1.9</w:t>
            </w:r>
          </w:p>
        </w:tc>
        <w:tc>
          <w:tcPr>
            <w:tcW w:w="1313" w:type="dxa"/>
            <w:tcBorders>
              <w:top w:val="nil"/>
              <w:left w:val="nil"/>
              <w:right w:val="nil"/>
            </w:tcBorders>
            <w:shd w:val="clear" w:color="auto" w:fill="auto"/>
            <w:noWrap/>
            <w:vAlign w:val="bottom"/>
          </w:tcPr>
          <w:p w14:paraId="21589104"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color w:val="000000"/>
                <w:sz w:val="16"/>
                <w:szCs w:val="16"/>
                <w:lang w:val="en-AU"/>
              </w:rPr>
              <w:t xml:space="preserve">                  3.5 </w:t>
            </w:r>
          </w:p>
        </w:tc>
      </w:tr>
      <w:tr w:rsidR="00463A75" w:rsidRPr="003E76E7" w14:paraId="3756A95B" w14:textId="77777777" w:rsidTr="00B17397">
        <w:trPr>
          <w:trHeight w:val="225"/>
        </w:trPr>
        <w:tc>
          <w:tcPr>
            <w:tcW w:w="3119" w:type="dxa"/>
            <w:tcBorders>
              <w:top w:val="nil"/>
              <w:left w:val="nil"/>
              <w:right w:val="nil"/>
            </w:tcBorders>
            <w:shd w:val="clear" w:color="auto" w:fill="auto"/>
            <w:vAlign w:val="bottom"/>
          </w:tcPr>
          <w:p w14:paraId="2AB2BC50"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Lavarack Barracks</w:t>
            </w:r>
          </w:p>
        </w:tc>
        <w:tc>
          <w:tcPr>
            <w:tcW w:w="1911" w:type="dxa"/>
            <w:tcBorders>
              <w:top w:val="nil"/>
              <w:left w:val="nil"/>
              <w:right w:val="nil"/>
            </w:tcBorders>
            <w:shd w:val="clear" w:color="auto" w:fill="auto"/>
            <w:noWrap/>
            <w:vAlign w:val="bottom"/>
          </w:tcPr>
          <w:p w14:paraId="25EF1724"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QLD - Herbert</w:t>
            </w:r>
          </w:p>
        </w:tc>
        <w:tc>
          <w:tcPr>
            <w:tcW w:w="1141" w:type="dxa"/>
            <w:tcBorders>
              <w:top w:val="nil"/>
              <w:left w:val="nil"/>
              <w:right w:val="nil"/>
            </w:tcBorders>
            <w:shd w:val="clear" w:color="auto" w:fill="auto"/>
            <w:noWrap/>
            <w:vAlign w:val="bottom"/>
          </w:tcPr>
          <w:p w14:paraId="60577DE4" w14:textId="77777777" w:rsidR="00463A75" w:rsidRPr="003E76E7" w:rsidRDefault="00463A75" w:rsidP="00C4292D">
            <w:pPr>
              <w:spacing w:before="0" w:after="0"/>
              <w:jc w:val="right"/>
              <w:rPr>
                <w:rFonts w:ascii="Arial" w:hAnsi="Arial"/>
                <w:b/>
                <w:bCs/>
                <w:color w:val="000000"/>
                <w:sz w:val="16"/>
                <w:szCs w:val="16"/>
                <w:lang w:val="en-AU"/>
              </w:rPr>
            </w:pPr>
          </w:p>
        </w:tc>
        <w:tc>
          <w:tcPr>
            <w:tcW w:w="1462" w:type="dxa"/>
            <w:tcBorders>
              <w:top w:val="nil"/>
              <w:left w:val="nil"/>
              <w:right w:val="nil"/>
            </w:tcBorders>
            <w:shd w:val="clear" w:color="auto" w:fill="auto"/>
            <w:noWrap/>
            <w:vAlign w:val="bottom"/>
          </w:tcPr>
          <w:p w14:paraId="17858E6A"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color w:val="000000"/>
                <w:sz w:val="16"/>
                <w:szCs w:val="16"/>
                <w:lang w:val="en-AU"/>
              </w:rPr>
              <w:t>1.7</w:t>
            </w:r>
          </w:p>
        </w:tc>
        <w:tc>
          <w:tcPr>
            <w:tcW w:w="1313" w:type="dxa"/>
            <w:tcBorders>
              <w:top w:val="nil"/>
              <w:left w:val="nil"/>
              <w:right w:val="nil"/>
            </w:tcBorders>
            <w:shd w:val="clear" w:color="auto" w:fill="auto"/>
            <w:noWrap/>
            <w:vAlign w:val="bottom"/>
          </w:tcPr>
          <w:p w14:paraId="79B53246"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color w:val="000000"/>
                <w:sz w:val="16"/>
                <w:szCs w:val="16"/>
                <w:lang w:val="en-AU"/>
              </w:rPr>
              <w:t xml:space="preserve">                  4.4 </w:t>
            </w:r>
          </w:p>
        </w:tc>
      </w:tr>
      <w:tr w:rsidR="00463A75" w:rsidRPr="003E76E7" w14:paraId="4A50D06E" w14:textId="77777777" w:rsidTr="00B17397">
        <w:trPr>
          <w:trHeight w:val="225"/>
        </w:trPr>
        <w:tc>
          <w:tcPr>
            <w:tcW w:w="3119" w:type="dxa"/>
            <w:tcBorders>
              <w:top w:val="nil"/>
              <w:left w:val="nil"/>
              <w:right w:val="nil"/>
            </w:tcBorders>
            <w:shd w:val="clear" w:color="auto" w:fill="auto"/>
            <w:vAlign w:val="bottom"/>
          </w:tcPr>
          <w:p w14:paraId="12ABE0B4"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Gallipoli Barracks</w:t>
            </w:r>
          </w:p>
        </w:tc>
        <w:tc>
          <w:tcPr>
            <w:tcW w:w="1911" w:type="dxa"/>
            <w:tcBorders>
              <w:top w:val="nil"/>
              <w:left w:val="nil"/>
              <w:right w:val="nil"/>
            </w:tcBorders>
            <w:shd w:val="clear" w:color="auto" w:fill="auto"/>
            <w:noWrap/>
            <w:vAlign w:val="bottom"/>
          </w:tcPr>
          <w:p w14:paraId="66D8084B"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QLD - Ryan</w:t>
            </w:r>
          </w:p>
        </w:tc>
        <w:tc>
          <w:tcPr>
            <w:tcW w:w="1141" w:type="dxa"/>
            <w:tcBorders>
              <w:top w:val="nil"/>
              <w:left w:val="nil"/>
              <w:right w:val="nil"/>
            </w:tcBorders>
            <w:shd w:val="clear" w:color="auto" w:fill="auto"/>
            <w:noWrap/>
            <w:vAlign w:val="bottom"/>
          </w:tcPr>
          <w:p w14:paraId="08C31A36" w14:textId="77777777" w:rsidR="00463A75" w:rsidRPr="003E76E7" w:rsidRDefault="00463A75" w:rsidP="00C4292D">
            <w:pPr>
              <w:spacing w:before="0" w:after="0"/>
              <w:jc w:val="right"/>
              <w:rPr>
                <w:rFonts w:ascii="Arial" w:hAnsi="Arial"/>
                <w:b/>
                <w:bCs/>
                <w:color w:val="000000"/>
                <w:sz w:val="16"/>
                <w:szCs w:val="16"/>
                <w:lang w:val="en-AU"/>
              </w:rPr>
            </w:pPr>
          </w:p>
        </w:tc>
        <w:tc>
          <w:tcPr>
            <w:tcW w:w="1462" w:type="dxa"/>
            <w:tcBorders>
              <w:top w:val="nil"/>
              <w:left w:val="nil"/>
              <w:right w:val="nil"/>
            </w:tcBorders>
            <w:shd w:val="clear" w:color="auto" w:fill="auto"/>
            <w:noWrap/>
            <w:vAlign w:val="bottom"/>
          </w:tcPr>
          <w:p w14:paraId="3FD151D9"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color w:val="000000"/>
                <w:sz w:val="16"/>
                <w:szCs w:val="16"/>
                <w:lang w:val="en-AU"/>
              </w:rPr>
              <w:t>1.5</w:t>
            </w:r>
          </w:p>
        </w:tc>
        <w:tc>
          <w:tcPr>
            <w:tcW w:w="1313" w:type="dxa"/>
            <w:tcBorders>
              <w:top w:val="nil"/>
              <w:left w:val="nil"/>
              <w:right w:val="nil"/>
            </w:tcBorders>
            <w:shd w:val="clear" w:color="auto" w:fill="auto"/>
            <w:noWrap/>
            <w:vAlign w:val="bottom"/>
          </w:tcPr>
          <w:p w14:paraId="5C3DCF91"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color w:val="000000"/>
                <w:sz w:val="16"/>
                <w:szCs w:val="16"/>
                <w:lang w:val="en-AU"/>
              </w:rPr>
              <w:t xml:space="preserve">                  0.4 </w:t>
            </w:r>
          </w:p>
        </w:tc>
      </w:tr>
      <w:tr w:rsidR="00463A75" w:rsidRPr="003E76E7" w14:paraId="1E0B1698" w14:textId="77777777" w:rsidTr="00B17397">
        <w:trPr>
          <w:trHeight w:val="225"/>
        </w:trPr>
        <w:tc>
          <w:tcPr>
            <w:tcW w:w="3119" w:type="dxa"/>
            <w:tcBorders>
              <w:top w:val="nil"/>
              <w:left w:val="nil"/>
              <w:right w:val="nil"/>
            </w:tcBorders>
            <w:shd w:val="clear" w:color="auto" w:fill="auto"/>
            <w:vAlign w:val="bottom"/>
          </w:tcPr>
          <w:p w14:paraId="1958F53D"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RAAF Base Amberley</w:t>
            </w:r>
          </w:p>
        </w:tc>
        <w:tc>
          <w:tcPr>
            <w:tcW w:w="1911" w:type="dxa"/>
            <w:tcBorders>
              <w:top w:val="nil"/>
              <w:left w:val="nil"/>
              <w:right w:val="nil"/>
            </w:tcBorders>
            <w:shd w:val="clear" w:color="auto" w:fill="auto"/>
            <w:noWrap/>
            <w:vAlign w:val="bottom"/>
          </w:tcPr>
          <w:p w14:paraId="04C4E082"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QLD - Blair</w:t>
            </w:r>
          </w:p>
        </w:tc>
        <w:tc>
          <w:tcPr>
            <w:tcW w:w="1141" w:type="dxa"/>
            <w:tcBorders>
              <w:top w:val="nil"/>
              <w:left w:val="nil"/>
              <w:right w:val="nil"/>
            </w:tcBorders>
            <w:shd w:val="clear" w:color="auto" w:fill="auto"/>
            <w:noWrap/>
            <w:vAlign w:val="bottom"/>
          </w:tcPr>
          <w:p w14:paraId="0FE58950" w14:textId="77777777" w:rsidR="00463A75" w:rsidRPr="003E76E7" w:rsidRDefault="00463A75" w:rsidP="00C4292D">
            <w:pPr>
              <w:spacing w:before="0" w:after="0"/>
              <w:jc w:val="right"/>
              <w:rPr>
                <w:rFonts w:ascii="Arial" w:hAnsi="Arial"/>
                <w:b/>
                <w:bCs/>
                <w:color w:val="000000"/>
                <w:sz w:val="16"/>
                <w:szCs w:val="16"/>
                <w:lang w:val="en-AU"/>
              </w:rPr>
            </w:pPr>
          </w:p>
        </w:tc>
        <w:tc>
          <w:tcPr>
            <w:tcW w:w="1462" w:type="dxa"/>
            <w:tcBorders>
              <w:top w:val="nil"/>
              <w:left w:val="nil"/>
              <w:right w:val="nil"/>
            </w:tcBorders>
            <w:shd w:val="clear" w:color="auto" w:fill="auto"/>
            <w:noWrap/>
            <w:vAlign w:val="bottom"/>
          </w:tcPr>
          <w:p w14:paraId="73D16A5F"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color w:val="000000"/>
                <w:sz w:val="16"/>
                <w:szCs w:val="16"/>
                <w:lang w:val="en-AU"/>
              </w:rPr>
              <w:t>3.1</w:t>
            </w:r>
          </w:p>
        </w:tc>
        <w:tc>
          <w:tcPr>
            <w:tcW w:w="1313" w:type="dxa"/>
            <w:tcBorders>
              <w:top w:val="nil"/>
              <w:left w:val="nil"/>
              <w:right w:val="nil"/>
            </w:tcBorders>
            <w:shd w:val="clear" w:color="auto" w:fill="auto"/>
            <w:noWrap/>
            <w:vAlign w:val="bottom"/>
          </w:tcPr>
          <w:p w14:paraId="43EAB413"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color w:val="000000"/>
                <w:sz w:val="16"/>
                <w:szCs w:val="16"/>
                <w:lang w:val="en-AU"/>
              </w:rPr>
              <w:t xml:space="preserve">                  0.5 </w:t>
            </w:r>
          </w:p>
        </w:tc>
      </w:tr>
      <w:tr w:rsidR="00463A75" w:rsidRPr="003E76E7" w14:paraId="3C7BF446" w14:textId="77777777" w:rsidTr="00B17397">
        <w:trPr>
          <w:trHeight w:val="225"/>
        </w:trPr>
        <w:tc>
          <w:tcPr>
            <w:tcW w:w="3119" w:type="dxa"/>
            <w:tcBorders>
              <w:top w:val="nil"/>
              <w:left w:val="nil"/>
              <w:right w:val="nil"/>
            </w:tcBorders>
            <w:shd w:val="clear" w:color="auto" w:fill="auto"/>
            <w:vAlign w:val="bottom"/>
          </w:tcPr>
          <w:p w14:paraId="2A6E88F5"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Holsworthy Barracks</w:t>
            </w:r>
          </w:p>
        </w:tc>
        <w:tc>
          <w:tcPr>
            <w:tcW w:w="1911" w:type="dxa"/>
            <w:tcBorders>
              <w:top w:val="nil"/>
              <w:left w:val="nil"/>
              <w:right w:val="nil"/>
            </w:tcBorders>
            <w:shd w:val="clear" w:color="auto" w:fill="auto"/>
            <w:noWrap/>
            <w:vAlign w:val="bottom"/>
          </w:tcPr>
          <w:p w14:paraId="6D88DA45"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NSW - Hughes</w:t>
            </w:r>
          </w:p>
        </w:tc>
        <w:tc>
          <w:tcPr>
            <w:tcW w:w="1141" w:type="dxa"/>
            <w:tcBorders>
              <w:top w:val="nil"/>
              <w:left w:val="nil"/>
              <w:right w:val="nil"/>
            </w:tcBorders>
            <w:shd w:val="clear" w:color="auto" w:fill="auto"/>
            <w:noWrap/>
            <w:vAlign w:val="bottom"/>
          </w:tcPr>
          <w:p w14:paraId="362A7CE8" w14:textId="77777777" w:rsidR="00463A75" w:rsidRPr="003E76E7" w:rsidRDefault="00463A75" w:rsidP="00C4292D">
            <w:pPr>
              <w:spacing w:before="0" w:after="0"/>
              <w:jc w:val="right"/>
              <w:rPr>
                <w:rFonts w:ascii="Arial" w:hAnsi="Arial"/>
                <w:b/>
                <w:bCs/>
                <w:color w:val="000000"/>
                <w:sz w:val="16"/>
                <w:szCs w:val="16"/>
                <w:lang w:val="en-AU"/>
              </w:rPr>
            </w:pPr>
          </w:p>
        </w:tc>
        <w:tc>
          <w:tcPr>
            <w:tcW w:w="1462" w:type="dxa"/>
            <w:tcBorders>
              <w:top w:val="nil"/>
              <w:left w:val="nil"/>
              <w:right w:val="nil"/>
            </w:tcBorders>
            <w:shd w:val="clear" w:color="auto" w:fill="auto"/>
            <w:noWrap/>
            <w:vAlign w:val="bottom"/>
          </w:tcPr>
          <w:p w14:paraId="1706A33B"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color w:val="000000"/>
                <w:sz w:val="16"/>
                <w:szCs w:val="16"/>
                <w:lang w:val="en-AU"/>
              </w:rPr>
              <w:t>1.1</w:t>
            </w:r>
          </w:p>
        </w:tc>
        <w:tc>
          <w:tcPr>
            <w:tcW w:w="1313" w:type="dxa"/>
            <w:tcBorders>
              <w:top w:val="nil"/>
              <w:left w:val="nil"/>
              <w:right w:val="nil"/>
            </w:tcBorders>
            <w:shd w:val="clear" w:color="auto" w:fill="auto"/>
            <w:noWrap/>
            <w:vAlign w:val="bottom"/>
          </w:tcPr>
          <w:p w14:paraId="74B0C4D4"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color w:val="000000"/>
                <w:sz w:val="16"/>
                <w:szCs w:val="16"/>
                <w:lang w:val="en-AU"/>
              </w:rPr>
              <w:t xml:space="preserve">                     - </w:t>
            </w:r>
          </w:p>
        </w:tc>
      </w:tr>
      <w:tr w:rsidR="00463A75" w:rsidRPr="003E76E7" w14:paraId="63D9E130" w14:textId="77777777" w:rsidTr="00B17397">
        <w:trPr>
          <w:trHeight w:val="225"/>
        </w:trPr>
        <w:tc>
          <w:tcPr>
            <w:tcW w:w="3119" w:type="dxa"/>
            <w:tcBorders>
              <w:top w:val="nil"/>
              <w:left w:val="nil"/>
              <w:right w:val="nil"/>
            </w:tcBorders>
            <w:shd w:val="clear" w:color="auto" w:fill="auto"/>
            <w:vAlign w:val="bottom"/>
          </w:tcPr>
          <w:p w14:paraId="7A56F39F"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Kapooka Military Area</w:t>
            </w:r>
          </w:p>
        </w:tc>
        <w:tc>
          <w:tcPr>
            <w:tcW w:w="1911" w:type="dxa"/>
            <w:tcBorders>
              <w:top w:val="nil"/>
              <w:left w:val="nil"/>
              <w:right w:val="nil"/>
            </w:tcBorders>
            <w:shd w:val="clear" w:color="auto" w:fill="auto"/>
            <w:noWrap/>
            <w:vAlign w:val="bottom"/>
          </w:tcPr>
          <w:p w14:paraId="74CD24ED"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NSW - Riverina</w:t>
            </w:r>
          </w:p>
        </w:tc>
        <w:tc>
          <w:tcPr>
            <w:tcW w:w="1141" w:type="dxa"/>
            <w:tcBorders>
              <w:top w:val="nil"/>
              <w:left w:val="nil"/>
              <w:right w:val="nil"/>
            </w:tcBorders>
            <w:shd w:val="clear" w:color="auto" w:fill="auto"/>
            <w:noWrap/>
            <w:vAlign w:val="bottom"/>
          </w:tcPr>
          <w:p w14:paraId="7D0E9633" w14:textId="77777777" w:rsidR="00463A75" w:rsidRPr="003E76E7" w:rsidRDefault="00463A75" w:rsidP="00C4292D">
            <w:pPr>
              <w:spacing w:before="0" w:after="0"/>
              <w:jc w:val="right"/>
              <w:rPr>
                <w:rFonts w:ascii="Arial" w:hAnsi="Arial"/>
                <w:b/>
                <w:bCs/>
                <w:color w:val="000000"/>
                <w:sz w:val="16"/>
                <w:szCs w:val="16"/>
                <w:lang w:val="en-AU"/>
              </w:rPr>
            </w:pPr>
          </w:p>
        </w:tc>
        <w:tc>
          <w:tcPr>
            <w:tcW w:w="1462" w:type="dxa"/>
            <w:tcBorders>
              <w:top w:val="nil"/>
              <w:left w:val="nil"/>
              <w:right w:val="nil"/>
            </w:tcBorders>
            <w:shd w:val="clear" w:color="auto" w:fill="auto"/>
            <w:noWrap/>
            <w:vAlign w:val="bottom"/>
          </w:tcPr>
          <w:p w14:paraId="33A51757"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color w:val="000000"/>
                <w:sz w:val="16"/>
                <w:szCs w:val="16"/>
                <w:lang w:val="en-AU"/>
              </w:rPr>
              <w:t>5.4</w:t>
            </w:r>
          </w:p>
        </w:tc>
        <w:tc>
          <w:tcPr>
            <w:tcW w:w="1313" w:type="dxa"/>
            <w:tcBorders>
              <w:top w:val="nil"/>
              <w:left w:val="nil"/>
              <w:right w:val="nil"/>
            </w:tcBorders>
            <w:shd w:val="clear" w:color="auto" w:fill="auto"/>
            <w:noWrap/>
            <w:vAlign w:val="bottom"/>
          </w:tcPr>
          <w:p w14:paraId="5F7D4556"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color w:val="000000"/>
                <w:sz w:val="16"/>
                <w:szCs w:val="16"/>
                <w:lang w:val="en-AU"/>
              </w:rPr>
              <w:t xml:space="preserve">                     - </w:t>
            </w:r>
          </w:p>
        </w:tc>
      </w:tr>
      <w:tr w:rsidR="00463A75" w:rsidRPr="003E76E7" w14:paraId="4A1D9FAF" w14:textId="77777777" w:rsidTr="00B17397">
        <w:trPr>
          <w:trHeight w:val="225"/>
        </w:trPr>
        <w:tc>
          <w:tcPr>
            <w:tcW w:w="3119" w:type="dxa"/>
            <w:tcBorders>
              <w:top w:val="nil"/>
              <w:left w:val="nil"/>
              <w:right w:val="nil"/>
            </w:tcBorders>
            <w:shd w:val="clear" w:color="auto" w:fill="auto"/>
            <w:vAlign w:val="bottom"/>
          </w:tcPr>
          <w:p w14:paraId="38A0CC53"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RAAF Base Wagga</w:t>
            </w:r>
          </w:p>
        </w:tc>
        <w:tc>
          <w:tcPr>
            <w:tcW w:w="1911" w:type="dxa"/>
            <w:tcBorders>
              <w:top w:val="nil"/>
              <w:left w:val="nil"/>
              <w:right w:val="nil"/>
            </w:tcBorders>
            <w:shd w:val="clear" w:color="auto" w:fill="auto"/>
            <w:noWrap/>
            <w:vAlign w:val="bottom"/>
          </w:tcPr>
          <w:p w14:paraId="0BCB567C"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NSW - Riverina</w:t>
            </w:r>
          </w:p>
        </w:tc>
        <w:tc>
          <w:tcPr>
            <w:tcW w:w="1141" w:type="dxa"/>
            <w:tcBorders>
              <w:top w:val="nil"/>
              <w:left w:val="nil"/>
              <w:right w:val="nil"/>
            </w:tcBorders>
            <w:shd w:val="clear" w:color="auto" w:fill="auto"/>
            <w:noWrap/>
            <w:vAlign w:val="bottom"/>
          </w:tcPr>
          <w:p w14:paraId="12C18DB8" w14:textId="77777777" w:rsidR="00463A75" w:rsidRPr="003E76E7" w:rsidRDefault="00463A75" w:rsidP="00C4292D">
            <w:pPr>
              <w:spacing w:before="0" w:after="0"/>
              <w:jc w:val="right"/>
              <w:rPr>
                <w:rFonts w:ascii="Arial" w:hAnsi="Arial"/>
                <w:b/>
                <w:bCs/>
                <w:color w:val="000000"/>
                <w:sz w:val="16"/>
                <w:szCs w:val="16"/>
                <w:lang w:val="en-AU"/>
              </w:rPr>
            </w:pPr>
          </w:p>
        </w:tc>
        <w:tc>
          <w:tcPr>
            <w:tcW w:w="1462" w:type="dxa"/>
            <w:tcBorders>
              <w:top w:val="nil"/>
              <w:left w:val="nil"/>
              <w:right w:val="nil"/>
            </w:tcBorders>
            <w:shd w:val="clear" w:color="auto" w:fill="auto"/>
            <w:noWrap/>
            <w:vAlign w:val="bottom"/>
          </w:tcPr>
          <w:p w14:paraId="266687F0"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color w:val="000000"/>
                <w:sz w:val="16"/>
                <w:szCs w:val="16"/>
                <w:lang w:val="en-AU"/>
              </w:rPr>
              <w:t>0.9</w:t>
            </w:r>
          </w:p>
        </w:tc>
        <w:tc>
          <w:tcPr>
            <w:tcW w:w="1313" w:type="dxa"/>
            <w:tcBorders>
              <w:top w:val="nil"/>
              <w:left w:val="nil"/>
              <w:right w:val="nil"/>
            </w:tcBorders>
            <w:shd w:val="clear" w:color="auto" w:fill="auto"/>
            <w:noWrap/>
            <w:vAlign w:val="bottom"/>
          </w:tcPr>
          <w:p w14:paraId="4679CF97"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color w:val="000000"/>
                <w:sz w:val="16"/>
                <w:szCs w:val="16"/>
                <w:lang w:val="en-AU"/>
              </w:rPr>
              <w:t xml:space="preserve">                     - </w:t>
            </w:r>
          </w:p>
        </w:tc>
      </w:tr>
      <w:tr w:rsidR="00463A75" w:rsidRPr="003E76E7" w14:paraId="280A4C31" w14:textId="77777777" w:rsidTr="00B17397">
        <w:trPr>
          <w:trHeight w:val="225"/>
        </w:trPr>
        <w:tc>
          <w:tcPr>
            <w:tcW w:w="3119" w:type="dxa"/>
            <w:tcBorders>
              <w:top w:val="nil"/>
              <w:left w:val="nil"/>
              <w:right w:val="nil"/>
            </w:tcBorders>
            <w:shd w:val="clear" w:color="auto" w:fill="auto"/>
            <w:vAlign w:val="bottom"/>
          </w:tcPr>
          <w:p w14:paraId="6D83CF84"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 xml:space="preserve">HMAS </w:t>
            </w:r>
            <w:r w:rsidRPr="002F62D4">
              <w:rPr>
                <w:rFonts w:ascii="Arial" w:hAnsi="Arial"/>
                <w:iCs/>
                <w:color w:val="000000"/>
                <w:sz w:val="16"/>
                <w:szCs w:val="16"/>
                <w:lang w:val="en-AU"/>
              </w:rPr>
              <w:t>Creswell</w:t>
            </w:r>
          </w:p>
        </w:tc>
        <w:tc>
          <w:tcPr>
            <w:tcW w:w="1911" w:type="dxa"/>
            <w:tcBorders>
              <w:top w:val="nil"/>
              <w:left w:val="nil"/>
              <w:right w:val="nil"/>
            </w:tcBorders>
            <w:shd w:val="clear" w:color="auto" w:fill="auto"/>
            <w:noWrap/>
            <w:vAlign w:val="bottom"/>
          </w:tcPr>
          <w:p w14:paraId="74BCFE13"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ACT - Fenner</w:t>
            </w:r>
          </w:p>
        </w:tc>
        <w:tc>
          <w:tcPr>
            <w:tcW w:w="1141" w:type="dxa"/>
            <w:tcBorders>
              <w:top w:val="nil"/>
              <w:left w:val="nil"/>
              <w:right w:val="nil"/>
            </w:tcBorders>
            <w:shd w:val="clear" w:color="auto" w:fill="auto"/>
            <w:noWrap/>
            <w:vAlign w:val="bottom"/>
          </w:tcPr>
          <w:p w14:paraId="116C1A50" w14:textId="77777777" w:rsidR="00463A75" w:rsidRPr="003E76E7" w:rsidRDefault="00463A75" w:rsidP="00C4292D">
            <w:pPr>
              <w:spacing w:before="0" w:after="0"/>
              <w:jc w:val="right"/>
              <w:rPr>
                <w:rFonts w:ascii="Arial" w:hAnsi="Arial"/>
                <w:b/>
                <w:bCs/>
                <w:color w:val="000000"/>
                <w:sz w:val="16"/>
                <w:szCs w:val="16"/>
                <w:lang w:val="en-AU"/>
              </w:rPr>
            </w:pPr>
          </w:p>
        </w:tc>
        <w:tc>
          <w:tcPr>
            <w:tcW w:w="1462" w:type="dxa"/>
            <w:tcBorders>
              <w:top w:val="nil"/>
              <w:left w:val="nil"/>
              <w:right w:val="nil"/>
            </w:tcBorders>
            <w:shd w:val="clear" w:color="auto" w:fill="auto"/>
            <w:noWrap/>
            <w:vAlign w:val="bottom"/>
          </w:tcPr>
          <w:p w14:paraId="7B3A28D4"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color w:val="000000"/>
                <w:sz w:val="16"/>
                <w:szCs w:val="16"/>
                <w:lang w:val="en-AU"/>
              </w:rPr>
              <w:t>1.7</w:t>
            </w:r>
          </w:p>
        </w:tc>
        <w:tc>
          <w:tcPr>
            <w:tcW w:w="1313" w:type="dxa"/>
            <w:tcBorders>
              <w:top w:val="nil"/>
              <w:left w:val="nil"/>
              <w:right w:val="nil"/>
            </w:tcBorders>
            <w:shd w:val="clear" w:color="auto" w:fill="auto"/>
            <w:noWrap/>
            <w:vAlign w:val="bottom"/>
          </w:tcPr>
          <w:p w14:paraId="013D4EF2"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color w:val="000000"/>
                <w:sz w:val="16"/>
                <w:szCs w:val="16"/>
                <w:lang w:val="en-AU"/>
              </w:rPr>
              <w:t xml:space="preserve">                     - </w:t>
            </w:r>
          </w:p>
        </w:tc>
      </w:tr>
      <w:tr w:rsidR="00463A75" w:rsidRPr="003E76E7" w14:paraId="20D3477D" w14:textId="77777777" w:rsidTr="00B17397">
        <w:trPr>
          <w:trHeight w:val="225"/>
        </w:trPr>
        <w:tc>
          <w:tcPr>
            <w:tcW w:w="3119" w:type="dxa"/>
            <w:tcBorders>
              <w:top w:val="nil"/>
              <w:left w:val="nil"/>
              <w:right w:val="nil"/>
            </w:tcBorders>
            <w:shd w:val="clear" w:color="auto" w:fill="auto"/>
            <w:vAlign w:val="bottom"/>
          </w:tcPr>
          <w:p w14:paraId="2E19C912"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Majura Range</w:t>
            </w:r>
          </w:p>
        </w:tc>
        <w:tc>
          <w:tcPr>
            <w:tcW w:w="1911" w:type="dxa"/>
            <w:tcBorders>
              <w:top w:val="nil"/>
              <w:left w:val="nil"/>
              <w:right w:val="nil"/>
            </w:tcBorders>
            <w:shd w:val="clear" w:color="auto" w:fill="auto"/>
            <w:noWrap/>
            <w:vAlign w:val="bottom"/>
          </w:tcPr>
          <w:p w14:paraId="2E4391A4"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ACT - Canberra</w:t>
            </w:r>
          </w:p>
        </w:tc>
        <w:tc>
          <w:tcPr>
            <w:tcW w:w="1141" w:type="dxa"/>
            <w:tcBorders>
              <w:top w:val="nil"/>
              <w:left w:val="nil"/>
              <w:right w:val="nil"/>
            </w:tcBorders>
            <w:shd w:val="clear" w:color="auto" w:fill="auto"/>
            <w:noWrap/>
            <w:vAlign w:val="bottom"/>
          </w:tcPr>
          <w:p w14:paraId="71371774" w14:textId="77777777" w:rsidR="00463A75" w:rsidRPr="003E76E7" w:rsidRDefault="00463A75" w:rsidP="00C4292D">
            <w:pPr>
              <w:spacing w:before="0" w:after="0"/>
              <w:jc w:val="right"/>
              <w:rPr>
                <w:rFonts w:ascii="Arial" w:hAnsi="Arial"/>
                <w:b/>
                <w:bCs/>
                <w:color w:val="000000"/>
                <w:sz w:val="16"/>
                <w:szCs w:val="16"/>
                <w:lang w:val="en-AU"/>
              </w:rPr>
            </w:pPr>
          </w:p>
        </w:tc>
        <w:tc>
          <w:tcPr>
            <w:tcW w:w="1462" w:type="dxa"/>
            <w:tcBorders>
              <w:top w:val="nil"/>
              <w:left w:val="nil"/>
              <w:right w:val="nil"/>
            </w:tcBorders>
            <w:shd w:val="clear" w:color="auto" w:fill="auto"/>
            <w:noWrap/>
            <w:vAlign w:val="bottom"/>
          </w:tcPr>
          <w:p w14:paraId="698BC1A6"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color w:val="000000"/>
                <w:sz w:val="16"/>
                <w:szCs w:val="16"/>
                <w:lang w:val="en-AU"/>
              </w:rPr>
              <w:t>1.4</w:t>
            </w:r>
          </w:p>
        </w:tc>
        <w:tc>
          <w:tcPr>
            <w:tcW w:w="1313" w:type="dxa"/>
            <w:tcBorders>
              <w:top w:val="nil"/>
              <w:left w:val="nil"/>
              <w:right w:val="nil"/>
            </w:tcBorders>
            <w:shd w:val="clear" w:color="auto" w:fill="auto"/>
            <w:noWrap/>
            <w:vAlign w:val="bottom"/>
          </w:tcPr>
          <w:p w14:paraId="3190F351"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color w:val="000000"/>
                <w:sz w:val="16"/>
                <w:szCs w:val="16"/>
                <w:lang w:val="en-AU"/>
              </w:rPr>
              <w:t xml:space="preserve">                     - </w:t>
            </w:r>
          </w:p>
        </w:tc>
      </w:tr>
      <w:tr w:rsidR="00463A75" w:rsidRPr="003E76E7" w14:paraId="5BBC3987" w14:textId="77777777" w:rsidTr="00B17397">
        <w:trPr>
          <w:trHeight w:val="225"/>
        </w:trPr>
        <w:tc>
          <w:tcPr>
            <w:tcW w:w="3119" w:type="dxa"/>
            <w:tcBorders>
              <w:top w:val="nil"/>
              <w:left w:val="nil"/>
              <w:right w:val="nil"/>
            </w:tcBorders>
            <w:shd w:val="clear" w:color="auto" w:fill="auto"/>
            <w:vAlign w:val="bottom"/>
          </w:tcPr>
          <w:p w14:paraId="646A50D0"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HMAS</w:t>
            </w:r>
            <w:r w:rsidRPr="003E76E7">
              <w:rPr>
                <w:rFonts w:ascii="Arial" w:hAnsi="Arial"/>
                <w:i/>
                <w:iCs/>
                <w:color w:val="000000"/>
                <w:sz w:val="16"/>
                <w:szCs w:val="16"/>
                <w:lang w:val="en-AU"/>
              </w:rPr>
              <w:t xml:space="preserve"> </w:t>
            </w:r>
            <w:r w:rsidRPr="002F62D4">
              <w:rPr>
                <w:rFonts w:ascii="Arial" w:hAnsi="Arial"/>
                <w:iCs/>
                <w:color w:val="000000"/>
                <w:sz w:val="16"/>
                <w:szCs w:val="16"/>
                <w:lang w:val="en-AU"/>
              </w:rPr>
              <w:t>Cerberus</w:t>
            </w:r>
          </w:p>
        </w:tc>
        <w:tc>
          <w:tcPr>
            <w:tcW w:w="1911" w:type="dxa"/>
            <w:tcBorders>
              <w:top w:val="nil"/>
              <w:left w:val="nil"/>
              <w:right w:val="nil"/>
            </w:tcBorders>
            <w:shd w:val="clear" w:color="auto" w:fill="auto"/>
            <w:noWrap/>
            <w:vAlign w:val="bottom"/>
          </w:tcPr>
          <w:p w14:paraId="5DAB2390"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VIC - Flinders</w:t>
            </w:r>
          </w:p>
        </w:tc>
        <w:tc>
          <w:tcPr>
            <w:tcW w:w="1141" w:type="dxa"/>
            <w:tcBorders>
              <w:top w:val="nil"/>
              <w:left w:val="nil"/>
              <w:right w:val="nil"/>
            </w:tcBorders>
            <w:shd w:val="clear" w:color="auto" w:fill="auto"/>
            <w:noWrap/>
            <w:vAlign w:val="bottom"/>
          </w:tcPr>
          <w:p w14:paraId="098029A7" w14:textId="77777777" w:rsidR="00463A75" w:rsidRPr="003E76E7" w:rsidRDefault="00463A75" w:rsidP="00C4292D">
            <w:pPr>
              <w:spacing w:before="0" w:after="0"/>
              <w:jc w:val="right"/>
              <w:rPr>
                <w:rFonts w:ascii="Arial" w:hAnsi="Arial"/>
                <w:b/>
                <w:bCs/>
                <w:color w:val="000000"/>
                <w:sz w:val="16"/>
                <w:szCs w:val="16"/>
                <w:lang w:val="en-AU"/>
              </w:rPr>
            </w:pPr>
          </w:p>
        </w:tc>
        <w:tc>
          <w:tcPr>
            <w:tcW w:w="1462" w:type="dxa"/>
            <w:tcBorders>
              <w:top w:val="nil"/>
              <w:left w:val="nil"/>
              <w:right w:val="nil"/>
            </w:tcBorders>
            <w:shd w:val="clear" w:color="auto" w:fill="auto"/>
            <w:noWrap/>
            <w:vAlign w:val="bottom"/>
          </w:tcPr>
          <w:p w14:paraId="14CA9315"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color w:val="000000"/>
                <w:sz w:val="16"/>
                <w:szCs w:val="16"/>
                <w:lang w:val="en-AU"/>
              </w:rPr>
              <w:t>0.8</w:t>
            </w:r>
          </w:p>
        </w:tc>
        <w:tc>
          <w:tcPr>
            <w:tcW w:w="1313" w:type="dxa"/>
            <w:tcBorders>
              <w:top w:val="nil"/>
              <w:left w:val="nil"/>
              <w:right w:val="nil"/>
            </w:tcBorders>
            <w:shd w:val="clear" w:color="auto" w:fill="auto"/>
            <w:noWrap/>
            <w:vAlign w:val="bottom"/>
          </w:tcPr>
          <w:p w14:paraId="3A7954EF"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color w:val="000000"/>
                <w:sz w:val="16"/>
                <w:szCs w:val="16"/>
                <w:lang w:val="en-AU"/>
              </w:rPr>
              <w:t xml:space="preserve">                     - </w:t>
            </w:r>
          </w:p>
        </w:tc>
      </w:tr>
      <w:tr w:rsidR="00463A75" w:rsidRPr="003E76E7" w14:paraId="74308D3E" w14:textId="77777777" w:rsidTr="00B17397">
        <w:trPr>
          <w:trHeight w:val="225"/>
        </w:trPr>
        <w:tc>
          <w:tcPr>
            <w:tcW w:w="3119" w:type="dxa"/>
            <w:tcBorders>
              <w:top w:val="nil"/>
              <w:left w:val="nil"/>
              <w:right w:val="nil"/>
            </w:tcBorders>
            <w:shd w:val="clear" w:color="auto" w:fill="auto"/>
            <w:vAlign w:val="bottom"/>
          </w:tcPr>
          <w:p w14:paraId="5EF7CEAD"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Dutson Air Weapons Range</w:t>
            </w:r>
          </w:p>
        </w:tc>
        <w:tc>
          <w:tcPr>
            <w:tcW w:w="1911" w:type="dxa"/>
            <w:tcBorders>
              <w:top w:val="nil"/>
              <w:left w:val="nil"/>
              <w:right w:val="nil"/>
            </w:tcBorders>
            <w:shd w:val="clear" w:color="auto" w:fill="auto"/>
            <w:noWrap/>
            <w:vAlign w:val="bottom"/>
          </w:tcPr>
          <w:p w14:paraId="63C0AC7F"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VIC - Gippsland</w:t>
            </w:r>
          </w:p>
        </w:tc>
        <w:tc>
          <w:tcPr>
            <w:tcW w:w="1141" w:type="dxa"/>
            <w:tcBorders>
              <w:top w:val="nil"/>
              <w:left w:val="nil"/>
              <w:right w:val="nil"/>
            </w:tcBorders>
            <w:shd w:val="clear" w:color="auto" w:fill="auto"/>
            <w:noWrap/>
            <w:vAlign w:val="bottom"/>
          </w:tcPr>
          <w:p w14:paraId="71A66252" w14:textId="77777777" w:rsidR="00463A75" w:rsidRPr="003E76E7" w:rsidRDefault="00463A75" w:rsidP="00C4292D">
            <w:pPr>
              <w:spacing w:before="0" w:after="0"/>
              <w:jc w:val="right"/>
              <w:rPr>
                <w:rFonts w:ascii="Arial" w:hAnsi="Arial"/>
                <w:b/>
                <w:bCs/>
                <w:color w:val="000000"/>
                <w:sz w:val="16"/>
                <w:szCs w:val="16"/>
                <w:lang w:val="en-AU"/>
              </w:rPr>
            </w:pPr>
          </w:p>
        </w:tc>
        <w:tc>
          <w:tcPr>
            <w:tcW w:w="1462" w:type="dxa"/>
            <w:tcBorders>
              <w:top w:val="nil"/>
              <w:left w:val="nil"/>
              <w:right w:val="nil"/>
            </w:tcBorders>
            <w:shd w:val="clear" w:color="auto" w:fill="auto"/>
            <w:noWrap/>
            <w:vAlign w:val="bottom"/>
          </w:tcPr>
          <w:p w14:paraId="1716C9FE"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color w:val="000000"/>
                <w:sz w:val="16"/>
                <w:szCs w:val="16"/>
                <w:lang w:val="en-AU"/>
              </w:rPr>
              <w:t>1.1</w:t>
            </w:r>
          </w:p>
        </w:tc>
        <w:tc>
          <w:tcPr>
            <w:tcW w:w="1313" w:type="dxa"/>
            <w:tcBorders>
              <w:top w:val="nil"/>
              <w:left w:val="nil"/>
              <w:right w:val="nil"/>
            </w:tcBorders>
            <w:shd w:val="clear" w:color="auto" w:fill="auto"/>
            <w:noWrap/>
            <w:vAlign w:val="bottom"/>
          </w:tcPr>
          <w:p w14:paraId="604FE5D2"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color w:val="000000"/>
                <w:sz w:val="16"/>
                <w:szCs w:val="16"/>
                <w:lang w:val="en-AU"/>
              </w:rPr>
              <w:t xml:space="preserve">                     - </w:t>
            </w:r>
          </w:p>
        </w:tc>
      </w:tr>
      <w:tr w:rsidR="00463A75" w:rsidRPr="003E76E7" w14:paraId="4D444B0F" w14:textId="77777777" w:rsidTr="00B17397">
        <w:trPr>
          <w:trHeight w:val="225"/>
        </w:trPr>
        <w:tc>
          <w:tcPr>
            <w:tcW w:w="3119" w:type="dxa"/>
            <w:tcBorders>
              <w:top w:val="nil"/>
              <w:left w:val="nil"/>
              <w:bottom w:val="single" w:sz="4" w:space="0" w:color="auto"/>
              <w:right w:val="nil"/>
            </w:tcBorders>
            <w:shd w:val="clear" w:color="auto" w:fill="auto"/>
            <w:vAlign w:val="bottom"/>
          </w:tcPr>
          <w:p w14:paraId="05A76934"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b/>
                <w:bCs/>
                <w:color w:val="000000"/>
                <w:sz w:val="16"/>
                <w:szCs w:val="16"/>
                <w:lang w:val="en-AU"/>
              </w:rPr>
              <w:t>Total</w:t>
            </w:r>
          </w:p>
        </w:tc>
        <w:tc>
          <w:tcPr>
            <w:tcW w:w="1911" w:type="dxa"/>
            <w:tcBorders>
              <w:top w:val="nil"/>
              <w:left w:val="nil"/>
              <w:bottom w:val="single" w:sz="4" w:space="0" w:color="auto"/>
              <w:right w:val="nil"/>
            </w:tcBorders>
            <w:shd w:val="clear" w:color="auto" w:fill="auto"/>
            <w:noWrap/>
            <w:vAlign w:val="bottom"/>
          </w:tcPr>
          <w:p w14:paraId="027BB61A"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b/>
                <w:bCs/>
                <w:color w:val="000000"/>
                <w:sz w:val="16"/>
                <w:szCs w:val="16"/>
                <w:lang w:val="en-AU"/>
              </w:rPr>
              <w:t> </w:t>
            </w:r>
          </w:p>
        </w:tc>
        <w:tc>
          <w:tcPr>
            <w:tcW w:w="1141" w:type="dxa"/>
            <w:tcBorders>
              <w:top w:val="nil"/>
              <w:left w:val="nil"/>
              <w:bottom w:val="single" w:sz="4" w:space="0" w:color="auto"/>
              <w:right w:val="nil"/>
            </w:tcBorders>
            <w:shd w:val="clear" w:color="auto" w:fill="auto"/>
            <w:noWrap/>
            <w:vAlign w:val="bottom"/>
          </w:tcPr>
          <w:p w14:paraId="5F05BE7D"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38.3</w:t>
            </w:r>
          </w:p>
        </w:tc>
        <w:tc>
          <w:tcPr>
            <w:tcW w:w="1462" w:type="dxa"/>
            <w:tcBorders>
              <w:top w:val="nil"/>
              <w:left w:val="nil"/>
              <w:bottom w:val="single" w:sz="4" w:space="0" w:color="auto"/>
              <w:right w:val="nil"/>
            </w:tcBorders>
            <w:shd w:val="clear" w:color="auto" w:fill="auto"/>
            <w:noWrap/>
            <w:vAlign w:val="bottom"/>
          </w:tcPr>
          <w:p w14:paraId="7A69A058"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24.2</w:t>
            </w:r>
          </w:p>
        </w:tc>
        <w:tc>
          <w:tcPr>
            <w:tcW w:w="1313" w:type="dxa"/>
            <w:tcBorders>
              <w:top w:val="nil"/>
              <w:left w:val="nil"/>
              <w:bottom w:val="single" w:sz="4" w:space="0" w:color="auto"/>
              <w:right w:val="nil"/>
            </w:tcBorders>
            <w:shd w:val="clear" w:color="auto" w:fill="auto"/>
            <w:noWrap/>
            <w:vAlign w:val="bottom"/>
          </w:tcPr>
          <w:p w14:paraId="41394622"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13.0</w:t>
            </w:r>
          </w:p>
        </w:tc>
      </w:tr>
      <w:tr w:rsidR="00463A75" w:rsidRPr="003E76E7" w14:paraId="3641917A" w14:textId="77777777" w:rsidTr="00B17397">
        <w:trPr>
          <w:trHeight w:val="225"/>
        </w:trPr>
        <w:tc>
          <w:tcPr>
            <w:tcW w:w="3119" w:type="dxa"/>
            <w:tcBorders>
              <w:top w:val="nil"/>
              <w:left w:val="nil"/>
              <w:bottom w:val="nil"/>
              <w:right w:val="nil"/>
            </w:tcBorders>
            <w:shd w:val="clear" w:color="auto" w:fill="auto"/>
            <w:vAlign w:val="center"/>
            <w:hideMark/>
          </w:tcPr>
          <w:p w14:paraId="50006DF1"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xml:space="preserve">General John Baker Complex Capability Assurance Project </w:t>
            </w:r>
            <w:r w:rsidRPr="003E76E7">
              <w:rPr>
                <w:rFonts w:ascii="Arial" w:hAnsi="Arial"/>
                <w:b/>
                <w:bCs/>
                <w:color w:val="000000"/>
                <w:sz w:val="16"/>
                <w:szCs w:val="16"/>
                <w:lang w:val="en-AU"/>
              </w:rPr>
              <w:br/>
              <w:t>Tranche 1</w:t>
            </w:r>
          </w:p>
        </w:tc>
        <w:tc>
          <w:tcPr>
            <w:tcW w:w="1911" w:type="dxa"/>
            <w:tcBorders>
              <w:top w:val="nil"/>
              <w:left w:val="nil"/>
              <w:bottom w:val="nil"/>
              <w:right w:val="nil"/>
            </w:tcBorders>
            <w:shd w:val="clear" w:color="auto" w:fill="auto"/>
            <w:vAlign w:val="center"/>
            <w:hideMark/>
          </w:tcPr>
          <w:p w14:paraId="3B869B2E"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141" w:type="dxa"/>
            <w:tcBorders>
              <w:top w:val="nil"/>
              <w:left w:val="nil"/>
              <w:bottom w:val="nil"/>
              <w:right w:val="nil"/>
            </w:tcBorders>
            <w:shd w:val="clear" w:color="auto" w:fill="auto"/>
            <w:vAlign w:val="center"/>
            <w:hideMark/>
          </w:tcPr>
          <w:p w14:paraId="35FC0B61"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462" w:type="dxa"/>
            <w:tcBorders>
              <w:top w:val="nil"/>
              <w:left w:val="nil"/>
              <w:bottom w:val="nil"/>
              <w:right w:val="nil"/>
            </w:tcBorders>
            <w:shd w:val="clear" w:color="auto" w:fill="auto"/>
            <w:vAlign w:val="center"/>
            <w:hideMark/>
          </w:tcPr>
          <w:p w14:paraId="214D4FA6"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313" w:type="dxa"/>
            <w:tcBorders>
              <w:top w:val="nil"/>
              <w:left w:val="nil"/>
              <w:bottom w:val="nil"/>
              <w:right w:val="nil"/>
            </w:tcBorders>
            <w:shd w:val="clear" w:color="auto" w:fill="auto"/>
            <w:vAlign w:val="center"/>
            <w:hideMark/>
          </w:tcPr>
          <w:p w14:paraId="2DF54AC1"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r>
      <w:tr w:rsidR="00463A75" w:rsidRPr="003E76E7" w14:paraId="462580BD" w14:textId="77777777" w:rsidTr="00B17397">
        <w:trPr>
          <w:trHeight w:val="225"/>
        </w:trPr>
        <w:tc>
          <w:tcPr>
            <w:tcW w:w="3119" w:type="dxa"/>
            <w:tcBorders>
              <w:top w:val="nil"/>
              <w:left w:val="nil"/>
              <w:bottom w:val="single" w:sz="4" w:space="0" w:color="auto"/>
              <w:right w:val="nil"/>
            </w:tcBorders>
            <w:shd w:val="clear" w:color="auto" w:fill="auto"/>
            <w:vAlign w:val="bottom"/>
            <w:hideMark/>
          </w:tcPr>
          <w:p w14:paraId="0C76B41D"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General John Baker Complex</w:t>
            </w:r>
          </w:p>
        </w:tc>
        <w:tc>
          <w:tcPr>
            <w:tcW w:w="1911" w:type="dxa"/>
            <w:tcBorders>
              <w:top w:val="nil"/>
              <w:left w:val="nil"/>
              <w:bottom w:val="single" w:sz="4" w:space="0" w:color="auto"/>
              <w:right w:val="nil"/>
            </w:tcBorders>
            <w:shd w:val="clear" w:color="auto" w:fill="auto"/>
            <w:noWrap/>
            <w:vAlign w:val="bottom"/>
            <w:hideMark/>
          </w:tcPr>
          <w:p w14:paraId="40E87841"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NSW - Eden Monaro</w:t>
            </w:r>
          </w:p>
        </w:tc>
        <w:tc>
          <w:tcPr>
            <w:tcW w:w="1141" w:type="dxa"/>
            <w:tcBorders>
              <w:top w:val="nil"/>
              <w:left w:val="nil"/>
              <w:bottom w:val="single" w:sz="4" w:space="0" w:color="auto"/>
              <w:right w:val="nil"/>
            </w:tcBorders>
            <w:shd w:val="clear" w:color="auto" w:fill="auto"/>
            <w:noWrap/>
            <w:vAlign w:val="bottom"/>
            <w:hideMark/>
          </w:tcPr>
          <w:p w14:paraId="315A2689"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37.3</w:t>
            </w:r>
          </w:p>
        </w:tc>
        <w:tc>
          <w:tcPr>
            <w:tcW w:w="1462" w:type="dxa"/>
            <w:tcBorders>
              <w:top w:val="nil"/>
              <w:left w:val="nil"/>
              <w:bottom w:val="single" w:sz="4" w:space="0" w:color="auto"/>
              <w:right w:val="nil"/>
            </w:tcBorders>
            <w:shd w:val="clear" w:color="auto" w:fill="auto"/>
            <w:noWrap/>
            <w:vAlign w:val="bottom"/>
            <w:hideMark/>
          </w:tcPr>
          <w:p w14:paraId="6A853633"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33.0</w:t>
            </w:r>
          </w:p>
        </w:tc>
        <w:tc>
          <w:tcPr>
            <w:tcW w:w="1313" w:type="dxa"/>
            <w:tcBorders>
              <w:top w:val="nil"/>
              <w:left w:val="nil"/>
              <w:bottom w:val="single" w:sz="4" w:space="0" w:color="auto"/>
              <w:right w:val="nil"/>
            </w:tcBorders>
            <w:shd w:val="clear" w:color="auto" w:fill="auto"/>
            <w:noWrap/>
            <w:vAlign w:val="bottom"/>
            <w:hideMark/>
          </w:tcPr>
          <w:p w14:paraId="137D39F7"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0.0</w:t>
            </w:r>
          </w:p>
        </w:tc>
      </w:tr>
      <w:tr w:rsidR="00463A75" w:rsidRPr="003E76E7" w14:paraId="1D2453BF" w14:textId="77777777" w:rsidTr="00B17397">
        <w:trPr>
          <w:trHeight w:val="225"/>
        </w:trPr>
        <w:tc>
          <w:tcPr>
            <w:tcW w:w="3119" w:type="dxa"/>
            <w:tcBorders>
              <w:top w:val="nil"/>
              <w:left w:val="nil"/>
              <w:bottom w:val="nil"/>
              <w:right w:val="nil"/>
            </w:tcBorders>
            <w:shd w:val="clear" w:color="auto" w:fill="auto"/>
            <w:vAlign w:val="center"/>
            <w:hideMark/>
          </w:tcPr>
          <w:p w14:paraId="27C89B7E"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Facilities to Support LAND 8116 Phase 1 Protected Mobile Fires</w:t>
            </w:r>
          </w:p>
        </w:tc>
        <w:tc>
          <w:tcPr>
            <w:tcW w:w="1911" w:type="dxa"/>
            <w:tcBorders>
              <w:top w:val="nil"/>
              <w:left w:val="nil"/>
              <w:bottom w:val="nil"/>
              <w:right w:val="nil"/>
            </w:tcBorders>
            <w:shd w:val="clear" w:color="auto" w:fill="auto"/>
            <w:vAlign w:val="center"/>
            <w:hideMark/>
          </w:tcPr>
          <w:p w14:paraId="5601F987"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141" w:type="dxa"/>
            <w:tcBorders>
              <w:top w:val="nil"/>
              <w:left w:val="nil"/>
              <w:bottom w:val="nil"/>
              <w:right w:val="nil"/>
            </w:tcBorders>
            <w:shd w:val="clear" w:color="auto" w:fill="auto"/>
            <w:vAlign w:val="center"/>
            <w:hideMark/>
          </w:tcPr>
          <w:p w14:paraId="24CE9832"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462" w:type="dxa"/>
            <w:tcBorders>
              <w:top w:val="nil"/>
              <w:left w:val="nil"/>
              <w:bottom w:val="nil"/>
              <w:right w:val="nil"/>
            </w:tcBorders>
            <w:shd w:val="clear" w:color="auto" w:fill="auto"/>
            <w:vAlign w:val="center"/>
            <w:hideMark/>
          </w:tcPr>
          <w:p w14:paraId="24B17C13"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313" w:type="dxa"/>
            <w:tcBorders>
              <w:top w:val="nil"/>
              <w:left w:val="nil"/>
              <w:bottom w:val="nil"/>
              <w:right w:val="nil"/>
            </w:tcBorders>
            <w:shd w:val="clear" w:color="auto" w:fill="auto"/>
            <w:vAlign w:val="center"/>
            <w:hideMark/>
          </w:tcPr>
          <w:p w14:paraId="47F1AA70"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r>
      <w:tr w:rsidR="00463A75" w:rsidRPr="003E76E7" w14:paraId="320966D5" w14:textId="77777777" w:rsidTr="00B17397">
        <w:trPr>
          <w:trHeight w:val="225"/>
        </w:trPr>
        <w:tc>
          <w:tcPr>
            <w:tcW w:w="3119" w:type="dxa"/>
            <w:tcBorders>
              <w:top w:val="nil"/>
              <w:left w:val="nil"/>
              <w:bottom w:val="nil"/>
              <w:right w:val="nil"/>
            </w:tcBorders>
            <w:shd w:val="clear" w:color="auto" w:fill="auto"/>
            <w:vAlign w:val="bottom"/>
            <w:hideMark/>
          </w:tcPr>
          <w:p w14:paraId="15AD7DB0"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Lavarack Barracks</w:t>
            </w:r>
          </w:p>
        </w:tc>
        <w:tc>
          <w:tcPr>
            <w:tcW w:w="1911" w:type="dxa"/>
            <w:tcBorders>
              <w:top w:val="nil"/>
              <w:left w:val="nil"/>
              <w:bottom w:val="nil"/>
              <w:right w:val="nil"/>
            </w:tcBorders>
            <w:shd w:val="clear" w:color="auto" w:fill="auto"/>
            <w:noWrap/>
            <w:vAlign w:val="bottom"/>
            <w:hideMark/>
          </w:tcPr>
          <w:p w14:paraId="3BBB7E5D"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QLD - Herbert</w:t>
            </w:r>
          </w:p>
        </w:tc>
        <w:tc>
          <w:tcPr>
            <w:tcW w:w="1141" w:type="dxa"/>
            <w:tcBorders>
              <w:top w:val="nil"/>
              <w:left w:val="nil"/>
              <w:bottom w:val="nil"/>
              <w:right w:val="nil"/>
            </w:tcBorders>
            <w:shd w:val="clear" w:color="auto" w:fill="auto"/>
            <w:noWrap/>
            <w:vAlign w:val="bottom"/>
            <w:hideMark/>
          </w:tcPr>
          <w:p w14:paraId="22EB7CD2" w14:textId="77777777"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3F203F42"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29.1</w:t>
            </w:r>
          </w:p>
        </w:tc>
        <w:tc>
          <w:tcPr>
            <w:tcW w:w="1313" w:type="dxa"/>
            <w:tcBorders>
              <w:top w:val="nil"/>
              <w:left w:val="nil"/>
              <w:bottom w:val="nil"/>
              <w:right w:val="nil"/>
            </w:tcBorders>
            <w:shd w:val="clear" w:color="auto" w:fill="auto"/>
            <w:noWrap/>
            <w:vAlign w:val="bottom"/>
            <w:hideMark/>
          </w:tcPr>
          <w:p w14:paraId="53279EF1"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2.7</w:t>
            </w:r>
          </w:p>
        </w:tc>
      </w:tr>
      <w:tr w:rsidR="00463A75" w:rsidRPr="003E76E7" w14:paraId="5055CE41" w14:textId="77777777" w:rsidTr="00B17397">
        <w:trPr>
          <w:trHeight w:val="225"/>
        </w:trPr>
        <w:tc>
          <w:tcPr>
            <w:tcW w:w="3119" w:type="dxa"/>
            <w:tcBorders>
              <w:top w:val="nil"/>
              <w:left w:val="nil"/>
              <w:bottom w:val="nil"/>
              <w:right w:val="nil"/>
            </w:tcBorders>
            <w:shd w:val="clear" w:color="auto" w:fill="auto"/>
            <w:vAlign w:val="bottom"/>
            <w:hideMark/>
          </w:tcPr>
          <w:p w14:paraId="2DBAC6B5"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Puckapunyal Military Area</w:t>
            </w:r>
          </w:p>
        </w:tc>
        <w:tc>
          <w:tcPr>
            <w:tcW w:w="1911" w:type="dxa"/>
            <w:tcBorders>
              <w:top w:val="nil"/>
              <w:left w:val="nil"/>
              <w:bottom w:val="nil"/>
              <w:right w:val="nil"/>
            </w:tcBorders>
            <w:shd w:val="clear" w:color="auto" w:fill="auto"/>
            <w:noWrap/>
            <w:vAlign w:val="bottom"/>
            <w:hideMark/>
          </w:tcPr>
          <w:p w14:paraId="7165D29C"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VIC - Nicholls</w:t>
            </w:r>
          </w:p>
        </w:tc>
        <w:tc>
          <w:tcPr>
            <w:tcW w:w="1141" w:type="dxa"/>
            <w:tcBorders>
              <w:top w:val="nil"/>
              <w:left w:val="nil"/>
              <w:bottom w:val="nil"/>
              <w:right w:val="nil"/>
            </w:tcBorders>
            <w:shd w:val="clear" w:color="auto" w:fill="auto"/>
            <w:noWrap/>
            <w:vAlign w:val="bottom"/>
            <w:hideMark/>
          </w:tcPr>
          <w:p w14:paraId="6A4DA819" w14:textId="77777777"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4036C9FB"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0.7</w:t>
            </w:r>
          </w:p>
        </w:tc>
        <w:tc>
          <w:tcPr>
            <w:tcW w:w="1313" w:type="dxa"/>
            <w:tcBorders>
              <w:top w:val="nil"/>
              <w:left w:val="nil"/>
              <w:bottom w:val="nil"/>
              <w:right w:val="nil"/>
            </w:tcBorders>
            <w:shd w:val="clear" w:color="auto" w:fill="auto"/>
            <w:noWrap/>
            <w:vAlign w:val="bottom"/>
            <w:hideMark/>
          </w:tcPr>
          <w:p w14:paraId="10EF888A"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0.0</w:t>
            </w:r>
          </w:p>
        </w:tc>
      </w:tr>
      <w:tr w:rsidR="00463A75" w:rsidRPr="003E76E7" w14:paraId="71A1D5FC" w14:textId="77777777" w:rsidTr="00B17397">
        <w:trPr>
          <w:trHeight w:val="225"/>
        </w:trPr>
        <w:tc>
          <w:tcPr>
            <w:tcW w:w="3119" w:type="dxa"/>
            <w:tcBorders>
              <w:top w:val="nil"/>
              <w:left w:val="nil"/>
              <w:bottom w:val="single" w:sz="4" w:space="0" w:color="auto"/>
              <w:right w:val="nil"/>
            </w:tcBorders>
            <w:shd w:val="clear" w:color="auto" w:fill="auto"/>
            <w:vAlign w:val="bottom"/>
            <w:hideMark/>
          </w:tcPr>
          <w:p w14:paraId="06D66F54"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Total</w:t>
            </w:r>
          </w:p>
        </w:tc>
        <w:tc>
          <w:tcPr>
            <w:tcW w:w="1911" w:type="dxa"/>
            <w:tcBorders>
              <w:top w:val="nil"/>
              <w:left w:val="nil"/>
              <w:bottom w:val="single" w:sz="4" w:space="0" w:color="auto"/>
              <w:right w:val="nil"/>
            </w:tcBorders>
            <w:shd w:val="clear" w:color="auto" w:fill="auto"/>
            <w:noWrap/>
            <w:vAlign w:val="bottom"/>
            <w:hideMark/>
          </w:tcPr>
          <w:p w14:paraId="6B79A994" w14:textId="77777777" w:rsidR="00463A75" w:rsidRPr="003E76E7" w:rsidRDefault="00463A75" w:rsidP="00C4292D">
            <w:pPr>
              <w:spacing w:before="0" w:after="0"/>
              <w:jc w:val="center"/>
              <w:rPr>
                <w:rFonts w:ascii="Arial" w:hAnsi="Arial"/>
                <w:b/>
                <w:bCs/>
                <w:color w:val="000000"/>
                <w:sz w:val="16"/>
                <w:szCs w:val="16"/>
                <w:lang w:val="en-AU"/>
              </w:rPr>
            </w:pPr>
            <w:r w:rsidRPr="003E76E7">
              <w:rPr>
                <w:rFonts w:ascii="Arial" w:hAnsi="Arial"/>
                <w:b/>
                <w:bCs/>
                <w:color w:val="000000"/>
                <w:sz w:val="16"/>
                <w:szCs w:val="16"/>
                <w:lang w:val="en-AU"/>
              </w:rPr>
              <w:t> </w:t>
            </w:r>
          </w:p>
        </w:tc>
        <w:tc>
          <w:tcPr>
            <w:tcW w:w="1141" w:type="dxa"/>
            <w:tcBorders>
              <w:top w:val="nil"/>
              <w:left w:val="nil"/>
              <w:bottom w:val="single" w:sz="4" w:space="0" w:color="auto"/>
              <w:right w:val="nil"/>
            </w:tcBorders>
            <w:shd w:val="clear" w:color="auto" w:fill="auto"/>
            <w:noWrap/>
            <w:vAlign w:val="bottom"/>
            <w:hideMark/>
          </w:tcPr>
          <w:p w14:paraId="356B7838"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36.5</w:t>
            </w:r>
          </w:p>
        </w:tc>
        <w:tc>
          <w:tcPr>
            <w:tcW w:w="1462" w:type="dxa"/>
            <w:tcBorders>
              <w:top w:val="nil"/>
              <w:left w:val="nil"/>
              <w:bottom w:val="single" w:sz="4" w:space="0" w:color="auto"/>
              <w:right w:val="nil"/>
            </w:tcBorders>
            <w:shd w:val="clear" w:color="auto" w:fill="auto"/>
            <w:noWrap/>
            <w:vAlign w:val="bottom"/>
            <w:hideMark/>
          </w:tcPr>
          <w:p w14:paraId="76EFD415"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29.8</w:t>
            </w:r>
          </w:p>
        </w:tc>
        <w:tc>
          <w:tcPr>
            <w:tcW w:w="1313" w:type="dxa"/>
            <w:tcBorders>
              <w:top w:val="nil"/>
              <w:left w:val="nil"/>
              <w:bottom w:val="single" w:sz="4" w:space="0" w:color="auto"/>
              <w:right w:val="nil"/>
            </w:tcBorders>
            <w:shd w:val="clear" w:color="auto" w:fill="auto"/>
            <w:noWrap/>
            <w:vAlign w:val="bottom"/>
            <w:hideMark/>
          </w:tcPr>
          <w:p w14:paraId="69A81E5D"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2.7</w:t>
            </w:r>
          </w:p>
        </w:tc>
      </w:tr>
      <w:tr w:rsidR="00463A75" w:rsidRPr="003E76E7" w14:paraId="18312CB1" w14:textId="77777777" w:rsidTr="00B17397">
        <w:trPr>
          <w:trHeight w:val="225"/>
        </w:trPr>
        <w:tc>
          <w:tcPr>
            <w:tcW w:w="3119" w:type="dxa"/>
            <w:tcBorders>
              <w:top w:val="nil"/>
              <w:left w:val="nil"/>
              <w:bottom w:val="nil"/>
              <w:right w:val="nil"/>
            </w:tcBorders>
            <w:shd w:val="clear" w:color="auto" w:fill="auto"/>
            <w:vAlign w:val="center"/>
            <w:hideMark/>
          </w:tcPr>
          <w:p w14:paraId="689B1C94" w14:textId="44AE5F92"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xml:space="preserve">Relocation of Units from Elizabeth North Training Depot </w:t>
            </w:r>
          </w:p>
        </w:tc>
        <w:tc>
          <w:tcPr>
            <w:tcW w:w="1911" w:type="dxa"/>
            <w:tcBorders>
              <w:top w:val="nil"/>
              <w:left w:val="nil"/>
              <w:bottom w:val="nil"/>
              <w:right w:val="nil"/>
            </w:tcBorders>
            <w:shd w:val="clear" w:color="auto" w:fill="auto"/>
            <w:vAlign w:val="center"/>
            <w:hideMark/>
          </w:tcPr>
          <w:p w14:paraId="21A459AC"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141" w:type="dxa"/>
            <w:tcBorders>
              <w:top w:val="nil"/>
              <w:left w:val="nil"/>
              <w:bottom w:val="nil"/>
              <w:right w:val="nil"/>
            </w:tcBorders>
            <w:shd w:val="clear" w:color="auto" w:fill="auto"/>
            <w:vAlign w:val="center"/>
            <w:hideMark/>
          </w:tcPr>
          <w:p w14:paraId="3910D149"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462" w:type="dxa"/>
            <w:tcBorders>
              <w:top w:val="nil"/>
              <w:left w:val="nil"/>
              <w:bottom w:val="nil"/>
              <w:right w:val="nil"/>
            </w:tcBorders>
            <w:shd w:val="clear" w:color="auto" w:fill="auto"/>
            <w:vAlign w:val="center"/>
            <w:hideMark/>
          </w:tcPr>
          <w:p w14:paraId="5539A107"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313" w:type="dxa"/>
            <w:tcBorders>
              <w:top w:val="nil"/>
              <w:left w:val="nil"/>
              <w:bottom w:val="nil"/>
              <w:right w:val="nil"/>
            </w:tcBorders>
            <w:shd w:val="clear" w:color="auto" w:fill="auto"/>
            <w:vAlign w:val="center"/>
            <w:hideMark/>
          </w:tcPr>
          <w:p w14:paraId="1EE37CA3"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r>
      <w:tr w:rsidR="00463A75" w:rsidRPr="003E76E7" w14:paraId="40E53588" w14:textId="77777777" w:rsidTr="00B17397">
        <w:trPr>
          <w:trHeight w:val="225"/>
        </w:trPr>
        <w:tc>
          <w:tcPr>
            <w:tcW w:w="3119" w:type="dxa"/>
            <w:tcBorders>
              <w:top w:val="nil"/>
              <w:left w:val="nil"/>
              <w:bottom w:val="single" w:sz="4" w:space="0" w:color="auto"/>
              <w:right w:val="nil"/>
            </w:tcBorders>
            <w:shd w:val="clear" w:color="auto" w:fill="auto"/>
            <w:vAlign w:val="bottom"/>
            <w:hideMark/>
          </w:tcPr>
          <w:p w14:paraId="318C53F9"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Edinburgh Defence Precinct</w:t>
            </w:r>
          </w:p>
        </w:tc>
        <w:tc>
          <w:tcPr>
            <w:tcW w:w="1911" w:type="dxa"/>
            <w:tcBorders>
              <w:top w:val="nil"/>
              <w:left w:val="nil"/>
              <w:bottom w:val="single" w:sz="4" w:space="0" w:color="auto"/>
              <w:right w:val="nil"/>
            </w:tcBorders>
            <w:shd w:val="clear" w:color="auto" w:fill="auto"/>
            <w:noWrap/>
            <w:vAlign w:val="bottom"/>
            <w:hideMark/>
          </w:tcPr>
          <w:p w14:paraId="6F7E50D8"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SA - Spence</w:t>
            </w:r>
          </w:p>
        </w:tc>
        <w:tc>
          <w:tcPr>
            <w:tcW w:w="1141" w:type="dxa"/>
            <w:tcBorders>
              <w:top w:val="nil"/>
              <w:left w:val="nil"/>
              <w:bottom w:val="single" w:sz="4" w:space="0" w:color="auto"/>
              <w:right w:val="nil"/>
            </w:tcBorders>
            <w:shd w:val="clear" w:color="auto" w:fill="auto"/>
            <w:noWrap/>
            <w:vAlign w:val="bottom"/>
            <w:hideMark/>
          </w:tcPr>
          <w:p w14:paraId="5BF0630E"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35.4</w:t>
            </w:r>
          </w:p>
        </w:tc>
        <w:tc>
          <w:tcPr>
            <w:tcW w:w="1462" w:type="dxa"/>
            <w:tcBorders>
              <w:top w:val="nil"/>
              <w:left w:val="nil"/>
              <w:bottom w:val="single" w:sz="4" w:space="0" w:color="auto"/>
              <w:right w:val="nil"/>
            </w:tcBorders>
            <w:shd w:val="clear" w:color="auto" w:fill="auto"/>
            <w:noWrap/>
            <w:vAlign w:val="bottom"/>
            <w:hideMark/>
          </w:tcPr>
          <w:p w14:paraId="30150234"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31.8</w:t>
            </w:r>
          </w:p>
        </w:tc>
        <w:tc>
          <w:tcPr>
            <w:tcW w:w="1313" w:type="dxa"/>
            <w:tcBorders>
              <w:top w:val="nil"/>
              <w:left w:val="nil"/>
              <w:bottom w:val="single" w:sz="4" w:space="0" w:color="auto"/>
              <w:right w:val="nil"/>
            </w:tcBorders>
            <w:shd w:val="clear" w:color="auto" w:fill="auto"/>
            <w:noWrap/>
            <w:vAlign w:val="bottom"/>
            <w:hideMark/>
          </w:tcPr>
          <w:p w14:paraId="310250DF"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0.3</w:t>
            </w:r>
          </w:p>
        </w:tc>
      </w:tr>
      <w:tr w:rsidR="00463A75" w:rsidRPr="003E76E7" w14:paraId="2C89B0F9" w14:textId="77777777" w:rsidTr="00B17397">
        <w:trPr>
          <w:trHeight w:val="225"/>
        </w:trPr>
        <w:tc>
          <w:tcPr>
            <w:tcW w:w="3119" w:type="dxa"/>
            <w:tcBorders>
              <w:top w:val="nil"/>
              <w:left w:val="nil"/>
              <w:bottom w:val="nil"/>
              <w:right w:val="nil"/>
            </w:tcBorders>
            <w:shd w:val="clear" w:color="auto" w:fill="auto"/>
            <w:vAlign w:val="center"/>
            <w:hideMark/>
          </w:tcPr>
          <w:p w14:paraId="344376ED"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lastRenderedPageBreak/>
              <w:t>Facilities to Support LAND 3025 Phase 2 Deployable Special Operations Engineer Regiment</w:t>
            </w:r>
          </w:p>
        </w:tc>
        <w:tc>
          <w:tcPr>
            <w:tcW w:w="1911" w:type="dxa"/>
            <w:tcBorders>
              <w:top w:val="nil"/>
              <w:left w:val="nil"/>
              <w:bottom w:val="nil"/>
              <w:right w:val="nil"/>
            </w:tcBorders>
            <w:shd w:val="clear" w:color="auto" w:fill="auto"/>
            <w:vAlign w:val="center"/>
            <w:hideMark/>
          </w:tcPr>
          <w:p w14:paraId="1B3637BE"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141" w:type="dxa"/>
            <w:tcBorders>
              <w:top w:val="nil"/>
              <w:left w:val="nil"/>
              <w:bottom w:val="nil"/>
              <w:right w:val="nil"/>
            </w:tcBorders>
            <w:shd w:val="clear" w:color="auto" w:fill="auto"/>
            <w:vAlign w:val="center"/>
            <w:hideMark/>
          </w:tcPr>
          <w:p w14:paraId="0A053F1B"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462" w:type="dxa"/>
            <w:tcBorders>
              <w:top w:val="nil"/>
              <w:left w:val="nil"/>
              <w:bottom w:val="nil"/>
              <w:right w:val="nil"/>
            </w:tcBorders>
            <w:shd w:val="clear" w:color="auto" w:fill="auto"/>
            <w:vAlign w:val="center"/>
            <w:hideMark/>
          </w:tcPr>
          <w:p w14:paraId="0652A270"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313" w:type="dxa"/>
            <w:tcBorders>
              <w:top w:val="nil"/>
              <w:left w:val="nil"/>
              <w:bottom w:val="nil"/>
              <w:right w:val="nil"/>
            </w:tcBorders>
            <w:shd w:val="clear" w:color="auto" w:fill="auto"/>
            <w:vAlign w:val="center"/>
            <w:hideMark/>
          </w:tcPr>
          <w:p w14:paraId="2B2E5BEF"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r>
      <w:tr w:rsidR="00463A75" w:rsidRPr="003E76E7" w14:paraId="140B37EF" w14:textId="77777777" w:rsidTr="00B17397">
        <w:trPr>
          <w:trHeight w:val="225"/>
        </w:trPr>
        <w:tc>
          <w:tcPr>
            <w:tcW w:w="3119" w:type="dxa"/>
            <w:tcBorders>
              <w:top w:val="nil"/>
              <w:left w:val="nil"/>
              <w:bottom w:val="single" w:sz="4" w:space="0" w:color="auto"/>
              <w:right w:val="nil"/>
            </w:tcBorders>
            <w:shd w:val="clear" w:color="auto" w:fill="auto"/>
            <w:vAlign w:val="bottom"/>
            <w:hideMark/>
          </w:tcPr>
          <w:p w14:paraId="39570F6F"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Holsworthy Barracks</w:t>
            </w:r>
          </w:p>
        </w:tc>
        <w:tc>
          <w:tcPr>
            <w:tcW w:w="1911" w:type="dxa"/>
            <w:tcBorders>
              <w:top w:val="nil"/>
              <w:left w:val="nil"/>
              <w:bottom w:val="single" w:sz="4" w:space="0" w:color="auto"/>
              <w:right w:val="nil"/>
            </w:tcBorders>
            <w:shd w:val="clear" w:color="auto" w:fill="auto"/>
            <w:noWrap/>
            <w:vAlign w:val="bottom"/>
            <w:hideMark/>
          </w:tcPr>
          <w:p w14:paraId="5BF7DA08"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NSW - Hughes</w:t>
            </w:r>
          </w:p>
        </w:tc>
        <w:tc>
          <w:tcPr>
            <w:tcW w:w="1141" w:type="dxa"/>
            <w:tcBorders>
              <w:top w:val="nil"/>
              <w:left w:val="nil"/>
              <w:bottom w:val="single" w:sz="4" w:space="0" w:color="auto"/>
              <w:right w:val="nil"/>
            </w:tcBorders>
            <w:shd w:val="clear" w:color="auto" w:fill="auto"/>
            <w:noWrap/>
            <w:vAlign w:val="bottom"/>
            <w:hideMark/>
          </w:tcPr>
          <w:p w14:paraId="4E745466"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35.3</w:t>
            </w:r>
          </w:p>
        </w:tc>
        <w:tc>
          <w:tcPr>
            <w:tcW w:w="1462" w:type="dxa"/>
            <w:tcBorders>
              <w:top w:val="nil"/>
              <w:left w:val="nil"/>
              <w:bottom w:val="single" w:sz="4" w:space="0" w:color="auto"/>
              <w:right w:val="nil"/>
            </w:tcBorders>
            <w:shd w:val="clear" w:color="auto" w:fill="auto"/>
            <w:noWrap/>
            <w:vAlign w:val="bottom"/>
            <w:hideMark/>
          </w:tcPr>
          <w:p w14:paraId="5FD6B1AF"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31.8</w:t>
            </w:r>
          </w:p>
        </w:tc>
        <w:tc>
          <w:tcPr>
            <w:tcW w:w="1313" w:type="dxa"/>
            <w:tcBorders>
              <w:top w:val="nil"/>
              <w:left w:val="nil"/>
              <w:bottom w:val="single" w:sz="4" w:space="0" w:color="auto"/>
              <w:right w:val="nil"/>
            </w:tcBorders>
            <w:shd w:val="clear" w:color="auto" w:fill="auto"/>
            <w:noWrap/>
            <w:vAlign w:val="bottom"/>
            <w:hideMark/>
          </w:tcPr>
          <w:p w14:paraId="4A6B5E3D"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0.0</w:t>
            </w:r>
          </w:p>
        </w:tc>
      </w:tr>
      <w:tr w:rsidR="00463A75" w:rsidRPr="003E76E7" w14:paraId="6D3FCEF3" w14:textId="77777777" w:rsidTr="00B17397">
        <w:trPr>
          <w:trHeight w:val="225"/>
        </w:trPr>
        <w:tc>
          <w:tcPr>
            <w:tcW w:w="3119" w:type="dxa"/>
            <w:tcBorders>
              <w:top w:val="nil"/>
              <w:left w:val="nil"/>
              <w:bottom w:val="nil"/>
              <w:right w:val="nil"/>
            </w:tcBorders>
            <w:shd w:val="clear" w:color="auto" w:fill="auto"/>
            <w:vAlign w:val="center"/>
            <w:hideMark/>
          </w:tcPr>
          <w:p w14:paraId="3D51D7CA" w14:textId="74D41951"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xml:space="preserve">Facilities to Support </w:t>
            </w:r>
            <w:r w:rsidR="00B17397" w:rsidRPr="003E76E7">
              <w:rPr>
                <w:rFonts w:ascii="Arial" w:hAnsi="Arial"/>
                <w:b/>
                <w:bCs/>
                <w:color w:val="000000"/>
                <w:sz w:val="16"/>
                <w:szCs w:val="16"/>
                <w:lang w:val="en-AU"/>
              </w:rPr>
              <w:br/>
            </w:r>
            <w:r w:rsidRPr="003E76E7">
              <w:rPr>
                <w:rFonts w:ascii="Arial" w:hAnsi="Arial"/>
                <w:b/>
                <w:bCs/>
                <w:color w:val="000000"/>
                <w:sz w:val="16"/>
                <w:szCs w:val="16"/>
                <w:lang w:val="en-AU"/>
              </w:rPr>
              <w:t xml:space="preserve">LAND 8180 Phase 1 Aviation </w:t>
            </w:r>
            <w:r w:rsidR="00B17397" w:rsidRPr="003E76E7">
              <w:rPr>
                <w:rFonts w:ascii="Arial" w:hAnsi="Arial"/>
                <w:b/>
                <w:bCs/>
                <w:color w:val="000000"/>
                <w:sz w:val="16"/>
                <w:szCs w:val="16"/>
                <w:lang w:val="en-AU"/>
              </w:rPr>
              <w:br/>
            </w:r>
            <w:r w:rsidRPr="003E76E7">
              <w:rPr>
                <w:rFonts w:ascii="Arial" w:hAnsi="Arial"/>
                <w:b/>
                <w:bCs/>
                <w:color w:val="000000"/>
                <w:sz w:val="16"/>
                <w:szCs w:val="16"/>
                <w:lang w:val="en-AU"/>
              </w:rPr>
              <w:t xml:space="preserve">and Field Fire Truck </w:t>
            </w:r>
          </w:p>
        </w:tc>
        <w:tc>
          <w:tcPr>
            <w:tcW w:w="1911" w:type="dxa"/>
            <w:tcBorders>
              <w:top w:val="nil"/>
              <w:left w:val="nil"/>
              <w:bottom w:val="nil"/>
              <w:right w:val="nil"/>
            </w:tcBorders>
            <w:shd w:val="clear" w:color="auto" w:fill="auto"/>
            <w:vAlign w:val="center"/>
            <w:hideMark/>
          </w:tcPr>
          <w:p w14:paraId="07D0458A"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141" w:type="dxa"/>
            <w:tcBorders>
              <w:top w:val="nil"/>
              <w:left w:val="nil"/>
              <w:bottom w:val="nil"/>
              <w:right w:val="nil"/>
            </w:tcBorders>
            <w:shd w:val="clear" w:color="auto" w:fill="auto"/>
            <w:vAlign w:val="center"/>
            <w:hideMark/>
          </w:tcPr>
          <w:p w14:paraId="5C087AD9"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462" w:type="dxa"/>
            <w:tcBorders>
              <w:top w:val="nil"/>
              <w:left w:val="nil"/>
              <w:bottom w:val="nil"/>
              <w:right w:val="nil"/>
            </w:tcBorders>
            <w:shd w:val="clear" w:color="auto" w:fill="auto"/>
            <w:vAlign w:val="center"/>
            <w:hideMark/>
          </w:tcPr>
          <w:p w14:paraId="4C5DCE1E"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313" w:type="dxa"/>
            <w:tcBorders>
              <w:top w:val="nil"/>
              <w:left w:val="nil"/>
              <w:bottom w:val="nil"/>
              <w:right w:val="nil"/>
            </w:tcBorders>
            <w:shd w:val="clear" w:color="auto" w:fill="auto"/>
            <w:vAlign w:val="center"/>
            <w:hideMark/>
          </w:tcPr>
          <w:p w14:paraId="45B93555"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r>
      <w:tr w:rsidR="00463A75" w:rsidRPr="003E76E7" w14:paraId="2F119EAA" w14:textId="77777777" w:rsidTr="00B17397">
        <w:trPr>
          <w:trHeight w:val="225"/>
        </w:trPr>
        <w:tc>
          <w:tcPr>
            <w:tcW w:w="3119" w:type="dxa"/>
            <w:tcBorders>
              <w:top w:val="nil"/>
              <w:left w:val="nil"/>
              <w:bottom w:val="nil"/>
              <w:right w:val="nil"/>
            </w:tcBorders>
            <w:shd w:val="clear" w:color="auto" w:fill="auto"/>
            <w:vAlign w:val="bottom"/>
            <w:hideMark/>
          </w:tcPr>
          <w:p w14:paraId="43F32EA6"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RAAF Base Richmond</w:t>
            </w:r>
          </w:p>
        </w:tc>
        <w:tc>
          <w:tcPr>
            <w:tcW w:w="1911" w:type="dxa"/>
            <w:tcBorders>
              <w:top w:val="nil"/>
              <w:left w:val="nil"/>
              <w:bottom w:val="nil"/>
              <w:right w:val="nil"/>
            </w:tcBorders>
            <w:shd w:val="clear" w:color="auto" w:fill="auto"/>
            <w:noWrap/>
            <w:vAlign w:val="bottom"/>
            <w:hideMark/>
          </w:tcPr>
          <w:p w14:paraId="63515F35"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NSW - Macquarie</w:t>
            </w:r>
          </w:p>
        </w:tc>
        <w:tc>
          <w:tcPr>
            <w:tcW w:w="1141" w:type="dxa"/>
            <w:tcBorders>
              <w:top w:val="nil"/>
              <w:left w:val="nil"/>
              <w:bottom w:val="nil"/>
              <w:right w:val="nil"/>
            </w:tcBorders>
            <w:shd w:val="clear" w:color="auto" w:fill="auto"/>
            <w:noWrap/>
            <w:vAlign w:val="bottom"/>
            <w:hideMark/>
          </w:tcPr>
          <w:p w14:paraId="43BE6A57" w14:textId="77777777"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7B026FA2"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0.2</w:t>
            </w:r>
          </w:p>
        </w:tc>
        <w:tc>
          <w:tcPr>
            <w:tcW w:w="1313" w:type="dxa"/>
            <w:tcBorders>
              <w:top w:val="nil"/>
              <w:left w:val="nil"/>
              <w:bottom w:val="nil"/>
              <w:right w:val="nil"/>
            </w:tcBorders>
            <w:shd w:val="clear" w:color="auto" w:fill="auto"/>
            <w:noWrap/>
            <w:vAlign w:val="bottom"/>
            <w:hideMark/>
          </w:tcPr>
          <w:p w14:paraId="27818680"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0.3</w:t>
            </w:r>
          </w:p>
        </w:tc>
      </w:tr>
      <w:tr w:rsidR="00463A75" w:rsidRPr="003E76E7" w14:paraId="4A4A55EF" w14:textId="77777777" w:rsidTr="00B17397">
        <w:trPr>
          <w:trHeight w:val="225"/>
        </w:trPr>
        <w:tc>
          <w:tcPr>
            <w:tcW w:w="3119" w:type="dxa"/>
            <w:tcBorders>
              <w:top w:val="nil"/>
              <w:left w:val="nil"/>
              <w:bottom w:val="nil"/>
              <w:right w:val="nil"/>
            </w:tcBorders>
            <w:shd w:val="clear" w:color="auto" w:fill="auto"/>
            <w:vAlign w:val="bottom"/>
            <w:hideMark/>
          </w:tcPr>
          <w:p w14:paraId="5200A225"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 xml:space="preserve">RAAF Base Williamtown </w:t>
            </w:r>
          </w:p>
        </w:tc>
        <w:tc>
          <w:tcPr>
            <w:tcW w:w="1911" w:type="dxa"/>
            <w:tcBorders>
              <w:top w:val="nil"/>
              <w:left w:val="nil"/>
              <w:bottom w:val="nil"/>
              <w:right w:val="nil"/>
            </w:tcBorders>
            <w:shd w:val="clear" w:color="auto" w:fill="auto"/>
            <w:noWrap/>
            <w:vAlign w:val="bottom"/>
            <w:hideMark/>
          </w:tcPr>
          <w:p w14:paraId="7D593CBB"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NSW - Paterson</w:t>
            </w:r>
          </w:p>
        </w:tc>
        <w:tc>
          <w:tcPr>
            <w:tcW w:w="1141" w:type="dxa"/>
            <w:tcBorders>
              <w:top w:val="nil"/>
              <w:left w:val="nil"/>
              <w:bottom w:val="nil"/>
              <w:right w:val="nil"/>
            </w:tcBorders>
            <w:shd w:val="clear" w:color="auto" w:fill="auto"/>
            <w:noWrap/>
            <w:vAlign w:val="bottom"/>
            <w:hideMark/>
          </w:tcPr>
          <w:p w14:paraId="637BC339" w14:textId="77777777"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1DFD5420"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0.2</w:t>
            </w:r>
          </w:p>
        </w:tc>
        <w:tc>
          <w:tcPr>
            <w:tcW w:w="1313" w:type="dxa"/>
            <w:tcBorders>
              <w:top w:val="nil"/>
              <w:left w:val="nil"/>
              <w:bottom w:val="nil"/>
              <w:right w:val="nil"/>
            </w:tcBorders>
            <w:shd w:val="clear" w:color="auto" w:fill="auto"/>
            <w:noWrap/>
            <w:vAlign w:val="bottom"/>
            <w:hideMark/>
          </w:tcPr>
          <w:p w14:paraId="1A91111D"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0.3</w:t>
            </w:r>
          </w:p>
        </w:tc>
      </w:tr>
      <w:tr w:rsidR="00463A75" w:rsidRPr="003E76E7" w14:paraId="533DC528" w14:textId="77777777" w:rsidTr="00B17397">
        <w:trPr>
          <w:trHeight w:val="225"/>
        </w:trPr>
        <w:tc>
          <w:tcPr>
            <w:tcW w:w="3119" w:type="dxa"/>
            <w:tcBorders>
              <w:top w:val="nil"/>
              <w:left w:val="nil"/>
              <w:bottom w:val="nil"/>
              <w:right w:val="nil"/>
            </w:tcBorders>
            <w:shd w:val="clear" w:color="auto" w:fill="auto"/>
            <w:vAlign w:val="bottom"/>
            <w:hideMark/>
          </w:tcPr>
          <w:p w14:paraId="20CF87D8"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RAAF Base Tindal</w:t>
            </w:r>
          </w:p>
        </w:tc>
        <w:tc>
          <w:tcPr>
            <w:tcW w:w="1911" w:type="dxa"/>
            <w:tcBorders>
              <w:top w:val="nil"/>
              <w:left w:val="nil"/>
              <w:bottom w:val="nil"/>
              <w:right w:val="nil"/>
            </w:tcBorders>
            <w:shd w:val="clear" w:color="auto" w:fill="auto"/>
            <w:noWrap/>
            <w:vAlign w:val="bottom"/>
            <w:hideMark/>
          </w:tcPr>
          <w:p w14:paraId="549B3106"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NT - Lingiari</w:t>
            </w:r>
          </w:p>
        </w:tc>
        <w:tc>
          <w:tcPr>
            <w:tcW w:w="1141" w:type="dxa"/>
            <w:tcBorders>
              <w:top w:val="nil"/>
              <w:left w:val="nil"/>
              <w:bottom w:val="nil"/>
              <w:right w:val="nil"/>
            </w:tcBorders>
            <w:shd w:val="clear" w:color="auto" w:fill="auto"/>
            <w:noWrap/>
            <w:vAlign w:val="bottom"/>
            <w:hideMark/>
          </w:tcPr>
          <w:p w14:paraId="60B49EED" w14:textId="77777777"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0C41CB95"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 xml:space="preserve">                  0.4 </w:t>
            </w:r>
          </w:p>
        </w:tc>
        <w:tc>
          <w:tcPr>
            <w:tcW w:w="1313" w:type="dxa"/>
            <w:tcBorders>
              <w:top w:val="nil"/>
              <w:left w:val="nil"/>
              <w:bottom w:val="nil"/>
              <w:right w:val="nil"/>
            </w:tcBorders>
            <w:shd w:val="clear" w:color="auto" w:fill="auto"/>
            <w:noWrap/>
            <w:vAlign w:val="bottom"/>
            <w:hideMark/>
          </w:tcPr>
          <w:p w14:paraId="532BD2AB"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0.3</w:t>
            </w:r>
          </w:p>
        </w:tc>
      </w:tr>
      <w:tr w:rsidR="00463A75" w:rsidRPr="003E76E7" w14:paraId="042FED9D" w14:textId="77777777" w:rsidTr="00B17397">
        <w:trPr>
          <w:trHeight w:val="225"/>
        </w:trPr>
        <w:tc>
          <w:tcPr>
            <w:tcW w:w="3119" w:type="dxa"/>
            <w:tcBorders>
              <w:top w:val="nil"/>
              <w:left w:val="nil"/>
              <w:bottom w:val="nil"/>
              <w:right w:val="nil"/>
            </w:tcBorders>
            <w:shd w:val="clear" w:color="auto" w:fill="auto"/>
            <w:vAlign w:val="bottom"/>
            <w:hideMark/>
          </w:tcPr>
          <w:p w14:paraId="03C183F9"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RAAF Base Amberley</w:t>
            </w:r>
          </w:p>
        </w:tc>
        <w:tc>
          <w:tcPr>
            <w:tcW w:w="1911" w:type="dxa"/>
            <w:tcBorders>
              <w:top w:val="nil"/>
              <w:left w:val="nil"/>
              <w:bottom w:val="nil"/>
              <w:right w:val="nil"/>
            </w:tcBorders>
            <w:shd w:val="clear" w:color="auto" w:fill="auto"/>
            <w:noWrap/>
            <w:vAlign w:val="bottom"/>
            <w:hideMark/>
          </w:tcPr>
          <w:p w14:paraId="31F0A546"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QLD - Blair</w:t>
            </w:r>
          </w:p>
        </w:tc>
        <w:tc>
          <w:tcPr>
            <w:tcW w:w="1141" w:type="dxa"/>
            <w:tcBorders>
              <w:top w:val="nil"/>
              <w:left w:val="nil"/>
              <w:bottom w:val="nil"/>
              <w:right w:val="nil"/>
            </w:tcBorders>
            <w:shd w:val="clear" w:color="auto" w:fill="auto"/>
            <w:noWrap/>
            <w:vAlign w:val="bottom"/>
            <w:hideMark/>
          </w:tcPr>
          <w:p w14:paraId="780142A5" w14:textId="77777777" w:rsidR="00463A75" w:rsidRPr="003E76E7" w:rsidRDefault="00463A75" w:rsidP="00C4292D">
            <w:pPr>
              <w:spacing w:before="0" w:after="0"/>
              <w:jc w:val="right"/>
              <w:rPr>
                <w:rFonts w:ascii="Arial" w:hAnsi="Arial"/>
                <w:color w:val="000000"/>
                <w:sz w:val="16"/>
                <w:szCs w:val="16"/>
                <w:lang w:val="en-AU"/>
              </w:rPr>
            </w:pPr>
          </w:p>
        </w:tc>
        <w:tc>
          <w:tcPr>
            <w:tcW w:w="1462" w:type="dxa"/>
            <w:tcBorders>
              <w:top w:val="nil"/>
              <w:left w:val="nil"/>
              <w:bottom w:val="nil"/>
              <w:right w:val="nil"/>
            </w:tcBorders>
            <w:shd w:val="clear" w:color="auto" w:fill="auto"/>
            <w:noWrap/>
            <w:vAlign w:val="bottom"/>
            <w:hideMark/>
          </w:tcPr>
          <w:p w14:paraId="6366BA70"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3.7</w:t>
            </w:r>
          </w:p>
        </w:tc>
        <w:tc>
          <w:tcPr>
            <w:tcW w:w="1313" w:type="dxa"/>
            <w:tcBorders>
              <w:top w:val="nil"/>
              <w:left w:val="nil"/>
              <w:bottom w:val="nil"/>
              <w:right w:val="nil"/>
            </w:tcBorders>
            <w:shd w:val="clear" w:color="auto" w:fill="auto"/>
            <w:noWrap/>
            <w:vAlign w:val="bottom"/>
            <w:hideMark/>
          </w:tcPr>
          <w:p w14:paraId="770B3652"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25.5</w:t>
            </w:r>
          </w:p>
        </w:tc>
      </w:tr>
      <w:tr w:rsidR="00463A75" w:rsidRPr="003E76E7" w14:paraId="0FD5E173" w14:textId="77777777" w:rsidTr="00B17397">
        <w:trPr>
          <w:trHeight w:val="225"/>
        </w:trPr>
        <w:tc>
          <w:tcPr>
            <w:tcW w:w="3119" w:type="dxa"/>
            <w:tcBorders>
              <w:top w:val="nil"/>
              <w:left w:val="nil"/>
              <w:bottom w:val="single" w:sz="4" w:space="0" w:color="auto"/>
              <w:right w:val="nil"/>
            </w:tcBorders>
            <w:shd w:val="clear" w:color="auto" w:fill="auto"/>
            <w:vAlign w:val="bottom"/>
            <w:hideMark/>
          </w:tcPr>
          <w:p w14:paraId="3DBB6365"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Total</w:t>
            </w:r>
          </w:p>
        </w:tc>
        <w:tc>
          <w:tcPr>
            <w:tcW w:w="1911" w:type="dxa"/>
            <w:tcBorders>
              <w:top w:val="nil"/>
              <w:left w:val="nil"/>
              <w:bottom w:val="single" w:sz="4" w:space="0" w:color="auto"/>
              <w:right w:val="nil"/>
            </w:tcBorders>
            <w:shd w:val="clear" w:color="auto" w:fill="auto"/>
            <w:noWrap/>
            <w:vAlign w:val="bottom"/>
            <w:hideMark/>
          </w:tcPr>
          <w:p w14:paraId="58E0FED8"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 </w:t>
            </w:r>
          </w:p>
        </w:tc>
        <w:tc>
          <w:tcPr>
            <w:tcW w:w="1141" w:type="dxa"/>
            <w:tcBorders>
              <w:top w:val="nil"/>
              <w:left w:val="nil"/>
              <w:bottom w:val="single" w:sz="4" w:space="0" w:color="auto"/>
              <w:right w:val="nil"/>
            </w:tcBorders>
            <w:shd w:val="clear" w:color="auto" w:fill="auto"/>
            <w:noWrap/>
            <w:vAlign w:val="bottom"/>
            <w:hideMark/>
          </w:tcPr>
          <w:p w14:paraId="4A9D868D"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32.4</w:t>
            </w:r>
          </w:p>
        </w:tc>
        <w:tc>
          <w:tcPr>
            <w:tcW w:w="1462" w:type="dxa"/>
            <w:tcBorders>
              <w:top w:val="nil"/>
              <w:left w:val="nil"/>
              <w:bottom w:val="single" w:sz="4" w:space="0" w:color="auto"/>
              <w:right w:val="nil"/>
            </w:tcBorders>
            <w:shd w:val="clear" w:color="auto" w:fill="auto"/>
            <w:noWrap/>
            <w:vAlign w:val="bottom"/>
            <w:hideMark/>
          </w:tcPr>
          <w:p w14:paraId="183FA026"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4.6</w:t>
            </w:r>
          </w:p>
        </w:tc>
        <w:tc>
          <w:tcPr>
            <w:tcW w:w="1313" w:type="dxa"/>
            <w:tcBorders>
              <w:top w:val="nil"/>
              <w:left w:val="nil"/>
              <w:bottom w:val="single" w:sz="4" w:space="0" w:color="auto"/>
              <w:right w:val="nil"/>
            </w:tcBorders>
            <w:shd w:val="clear" w:color="auto" w:fill="auto"/>
            <w:noWrap/>
            <w:vAlign w:val="bottom"/>
            <w:hideMark/>
          </w:tcPr>
          <w:p w14:paraId="5BEF8BDF"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26.3</w:t>
            </w:r>
          </w:p>
        </w:tc>
      </w:tr>
      <w:tr w:rsidR="00463A75" w:rsidRPr="003E76E7" w14:paraId="481AC58C" w14:textId="77777777" w:rsidTr="00B17397">
        <w:trPr>
          <w:trHeight w:val="225"/>
        </w:trPr>
        <w:tc>
          <w:tcPr>
            <w:tcW w:w="3119" w:type="dxa"/>
            <w:tcBorders>
              <w:top w:val="nil"/>
              <w:left w:val="nil"/>
              <w:bottom w:val="nil"/>
              <w:right w:val="nil"/>
            </w:tcBorders>
            <w:shd w:val="clear" w:color="auto" w:fill="auto"/>
            <w:vAlign w:val="center"/>
            <w:hideMark/>
          </w:tcPr>
          <w:p w14:paraId="1B36C0C9" w14:textId="4C65B46A" w:rsidR="00463A75" w:rsidRPr="002F62D4" w:rsidRDefault="00463A75" w:rsidP="00C4292D">
            <w:pPr>
              <w:spacing w:before="0" w:after="0"/>
              <w:rPr>
                <w:rFonts w:ascii="Arial" w:hAnsi="Arial"/>
                <w:b/>
                <w:bCs/>
                <w:color w:val="000000"/>
                <w:sz w:val="16"/>
                <w:szCs w:val="16"/>
                <w:lang w:val="en-AU"/>
              </w:rPr>
            </w:pPr>
            <w:r w:rsidRPr="002F62D4">
              <w:rPr>
                <w:rFonts w:ascii="Arial" w:hAnsi="Arial"/>
                <w:b/>
                <w:bCs/>
                <w:color w:val="000000"/>
                <w:sz w:val="16"/>
                <w:szCs w:val="16"/>
                <w:lang w:val="en-AU"/>
              </w:rPr>
              <w:t xml:space="preserve">HMAS </w:t>
            </w:r>
            <w:r w:rsidRPr="002F62D4">
              <w:rPr>
                <w:rFonts w:ascii="Arial" w:hAnsi="Arial"/>
                <w:b/>
                <w:bCs/>
                <w:iCs/>
                <w:color w:val="000000"/>
                <w:sz w:val="16"/>
                <w:szCs w:val="16"/>
                <w:lang w:val="en-AU"/>
              </w:rPr>
              <w:t>Creswell</w:t>
            </w:r>
            <w:r w:rsidRPr="002F62D4">
              <w:rPr>
                <w:rFonts w:ascii="Arial" w:hAnsi="Arial"/>
                <w:b/>
                <w:bCs/>
                <w:color w:val="000000"/>
                <w:sz w:val="16"/>
                <w:szCs w:val="16"/>
                <w:lang w:val="en-AU"/>
              </w:rPr>
              <w:t xml:space="preserve"> Mid-Term </w:t>
            </w:r>
            <w:r w:rsidR="00B17397" w:rsidRPr="002F62D4">
              <w:rPr>
                <w:rFonts w:ascii="Arial" w:hAnsi="Arial"/>
                <w:b/>
                <w:bCs/>
                <w:color w:val="000000"/>
                <w:sz w:val="16"/>
                <w:szCs w:val="16"/>
                <w:lang w:val="en-AU"/>
              </w:rPr>
              <w:br/>
            </w:r>
            <w:r w:rsidRPr="002F62D4">
              <w:rPr>
                <w:rFonts w:ascii="Arial" w:hAnsi="Arial"/>
                <w:b/>
                <w:bCs/>
                <w:color w:val="000000"/>
                <w:sz w:val="16"/>
                <w:szCs w:val="16"/>
                <w:lang w:val="en-AU"/>
              </w:rPr>
              <w:t>Refresh Project</w:t>
            </w:r>
          </w:p>
        </w:tc>
        <w:tc>
          <w:tcPr>
            <w:tcW w:w="1911" w:type="dxa"/>
            <w:tcBorders>
              <w:top w:val="nil"/>
              <w:left w:val="nil"/>
              <w:bottom w:val="nil"/>
              <w:right w:val="nil"/>
            </w:tcBorders>
            <w:shd w:val="clear" w:color="auto" w:fill="auto"/>
            <w:vAlign w:val="center"/>
            <w:hideMark/>
          </w:tcPr>
          <w:p w14:paraId="1E8EA7DA"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141" w:type="dxa"/>
            <w:tcBorders>
              <w:top w:val="nil"/>
              <w:left w:val="nil"/>
              <w:bottom w:val="nil"/>
              <w:right w:val="nil"/>
            </w:tcBorders>
            <w:shd w:val="clear" w:color="auto" w:fill="auto"/>
            <w:vAlign w:val="center"/>
            <w:hideMark/>
          </w:tcPr>
          <w:p w14:paraId="61CA1EF3"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462" w:type="dxa"/>
            <w:tcBorders>
              <w:top w:val="nil"/>
              <w:left w:val="nil"/>
              <w:bottom w:val="nil"/>
              <w:right w:val="nil"/>
            </w:tcBorders>
            <w:shd w:val="clear" w:color="auto" w:fill="auto"/>
            <w:vAlign w:val="center"/>
            <w:hideMark/>
          </w:tcPr>
          <w:p w14:paraId="2212386E"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313" w:type="dxa"/>
            <w:tcBorders>
              <w:top w:val="nil"/>
              <w:left w:val="nil"/>
              <w:bottom w:val="nil"/>
              <w:right w:val="nil"/>
            </w:tcBorders>
            <w:shd w:val="clear" w:color="auto" w:fill="auto"/>
            <w:vAlign w:val="center"/>
            <w:hideMark/>
          </w:tcPr>
          <w:p w14:paraId="300B99DF"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r>
      <w:tr w:rsidR="00463A75" w:rsidRPr="003E76E7" w14:paraId="22BE1BAF" w14:textId="77777777" w:rsidTr="00B17397">
        <w:trPr>
          <w:trHeight w:val="225"/>
        </w:trPr>
        <w:tc>
          <w:tcPr>
            <w:tcW w:w="3119" w:type="dxa"/>
            <w:tcBorders>
              <w:top w:val="nil"/>
              <w:left w:val="nil"/>
              <w:bottom w:val="single" w:sz="4" w:space="0" w:color="auto"/>
              <w:right w:val="nil"/>
            </w:tcBorders>
            <w:shd w:val="clear" w:color="auto" w:fill="auto"/>
            <w:vAlign w:val="bottom"/>
            <w:hideMark/>
          </w:tcPr>
          <w:p w14:paraId="461954EA" w14:textId="77777777" w:rsidR="00463A75" w:rsidRPr="002F62D4" w:rsidRDefault="00463A75" w:rsidP="00C4292D">
            <w:pPr>
              <w:spacing w:before="0" w:after="0"/>
              <w:rPr>
                <w:rFonts w:ascii="Arial" w:hAnsi="Arial"/>
                <w:color w:val="000000"/>
                <w:sz w:val="16"/>
                <w:szCs w:val="16"/>
                <w:lang w:val="en-AU"/>
              </w:rPr>
            </w:pPr>
            <w:r w:rsidRPr="002F62D4">
              <w:rPr>
                <w:rFonts w:ascii="Arial" w:hAnsi="Arial"/>
                <w:color w:val="000000"/>
                <w:sz w:val="16"/>
                <w:szCs w:val="16"/>
                <w:lang w:val="en-AU"/>
              </w:rPr>
              <w:t xml:space="preserve">HMAS </w:t>
            </w:r>
            <w:r w:rsidRPr="002F62D4">
              <w:rPr>
                <w:rFonts w:ascii="Arial" w:hAnsi="Arial"/>
                <w:iCs/>
                <w:color w:val="000000"/>
                <w:sz w:val="16"/>
                <w:szCs w:val="16"/>
                <w:lang w:val="en-AU"/>
              </w:rPr>
              <w:t>Creswell</w:t>
            </w:r>
          </w:p>
        </w:tc>
        <w:tc>
          <w:tcPr>
            <w:tcW w:w="1911" w:type="dxa"/>
            <w:tcBorders>
              <w:top w:val="nil"/>
              <w:left w:val="nil"/>
              <w:bottom w:val="single" w:sz="4" w:space="0" w:color="auto"/>
              <w:right w:val="nil"/>
            </w:tcBorders>
            <w:shd w:val="clear" w:color="auto" w:fill="auto"/>
            <w:noWrap/>
            <w:vAlign w:val="bottom"/>
            <w:hideMark/>
          </w:tcPr>
          <w:p w14:paraId="54DB72AB"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ACT - Fenner</w:t>
            </w:r>
          </w:p>
        </w:tc>
        <w:tc>
          <w:tcPr>
            <w:tcW w:w="1141" w:type="dxa"/>
            <w:tcBorders>
              <w:top w:val="nil"/>
              <w:left w:val="nil"/>
              <w:bottom w:val="single" w:sz="4" w:space="0" w:color="auto"/>
              <w:right w:val="nil"/>
            </w:tcBorders>
            <w:shd w:val="clear" w:color="auto" w:fill="auto"/>
            <w:noWrap/>
            <w:vAlign w:val="bottom"/>
            <w:hideMark/>
          </w:tcPr>
          <w:p w14:paraId="01CAE5EA"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30.7</w:t>
            </w:r>
          </w:p>
        </w:tc>
        <w:tc>
          <w:tcPr>
            <w:tcW w:w="1462" w:type="dxa"/>
            <w:tcBorders>
              <w:top w:val="nil"/>
              <w:left w:val="nil"/>
              <w:bottom w:val="single" w:sz="4" w:space="0" w:color="auto"/>
              <w:right w:val="nil"/>
            </w:tcBorders>
            <w:shd w:val="clear" w:color="auto" w:fill="auto"/>
            <w:noWrap/>
            <w:vAlign w:val="bottom"/>
            <w:hideMark/>
          </w:tcPr>
          <w:p w14:paraId="5FE2E2AD"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26.6</w:t>
            </w:r>
          </w:p>
        </w:tc>
        <w:tc>
          <w:tcPr>
            <w:tcW w:w="1313" w:type="dxa"/>
            <w:tcBorders>
              <w:top w:val="nil"/>
              <w:left w:val="nil"/>
              <w:bottom w:val="single" w:sz="4" w:space="0" w:color="auto"/>
              <w:right w:val="nil"/>
            </w:tcBorders>
            <w:shd w:val="clear" w:color="auto" w:fill="auto"/>
            <w:noWrap/>
            <w:vAlign w:val="bottom"/>
            <w:hideMark/>
          </w:tcPr>
          <w:p w14:paraId="1E1EE82F"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0.5</w:t>
            </w:r>
          </w:p>
        </w:tc>
      </w:tr>
      <w:tr w:rsidR="00463A75" w:rsidRPr="003E76E7" w14:paraId="511D37C6" w14:textId="77777777" w:rsidTr="00B17397">
        <w:trPr>
          <w:trHeight w:val="225"/>
        </w:trPr>
        <w:tc>
          <w:tcPr>
            <w:tcW w:w="3119" w:type="dxa"/>
            <w:tcBorders>
              <w:top w:val="nil"/>
              <w:left w:val="nil"/>
              <w:bottom w:val="nil"/>
              <w:right w:val="nil"/>
            </w:tcBorders>
            <w:shd w:val="clear" w:color="auto" w:fill="auto"/>
            <w:vAlign w:val="center"/>
            <w:hideMark/>
          </w:tcPr>
          <w:p w14:paraId="7238BC6C"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North Queensland Mid-Term Refresh Program: Townsville Field Training Area Mid-Term Refresh Project</w:t>
            </w:r>
          </w:p>
        </w:tc>
        <w:tc>
          <w:tcPr>
            <w:tcW w:w="1911" w:type="dxa"/>
            <w:tcBorders>
              <w:top w:val="nil"/>
              <w:left w:val="nil"/>
              <w:bottom w:val="nil"/>
              <w:right w:val="nil"/>
            </w:tcBorders>
            <w:shd w:val="clear" w:color="auto" w:fill="auto"/>
            <w:vAlign w:val="center"/>
            <w:hideMark/>
          </w:tcPr>
          <w:p w14:paraId="05A16FC0"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141" w:type="dxa"/>
            <w:tcBorders>
              <w:top w:val="nil"/>
              <w:left w:val="nil"/>
              <w:bottom w:val="nil"/>
              <w:right w:val="nil"/>
            </w:tcBorders>
            <w:shd w:val="clear" w:color="auto" w:fill="auto"/>
            <w:vAlign w:val="center"/>
            <w:hideMark/>
          </w:tcPr>
          <w:p w14:paraId="1D48DD9D"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462" w:type="dxa"/>
            <w:tcBorders>
              <w:top w:val="nil"/>
              <w:left w:val="nil"/>
              <w:bottom w:val="nil"/>
              <w:right w:val="nil"/>
            </w:tcBorders>
            <w:shd w:val="clear" w:color="auto" w:fill="auto"/>
            <w:vAlign w:val="center"/>
            <w:hideMark/>
          </w:tcPr>
          <w:p w14:paraId="0F6A80BE"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313" w:type="dxa"/>
            <w:tcBorders>
              <w:top w:val="nil"/>
              <w:left w:val="nil"/>
              <w:bottom w:val="nil"/>
              <w:right w:val="nil"/>
            </w:tcBorders>
            <w:shd w:val="clear" w:color="auto" w:fill="auto"/>
            <w:vAlign w:val="center"/>
            <w:hideMark/>
          </w:tcPr>
          <w:p w14:paraId="03D9AF0D"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r>
      <w:tr w:rsidR="00463A75" w:rsidRPr="003E76E7" w14:paraId="0F1BCB4B" w14:textId="77777777" w:rsidTr="00B17397">
        <w:trPr>
          <w:trHeight w:val="225"/>
        </w:trPr>
        <w:tc>
          <w:tcPr>
            <w:tcW w:w="3119" w:type="dxa"/>
            <w:tcBorders>
              <w:top w:val="nil"/>
              <w:left w:val="nil"/>
              <w:bottom w:val="single" w:sz="4" w:space="0" w:color="auto"/>
              <w:right w:val="nil"/>
            </w:tcBorders>
            <w:shd w:val="clear" w:color="auto" w:fill="auto"/>
            <w:vAlign w:val="bottom"/>
            <w:hideMark/>
          </w:tcPr>
          <w:p w14:paraId="68F18DA7"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Townsville Field Training Area</w:t>
            </w:r>
          </w:p>
        </w:tc>
        <w:tc>
          <w:tcPr>
            <w:tcW w:w="1911" w:type="dxa"/>
            <w:tcBorders>
              <w:top w:val="nil"/>
              <w:left w:val="nil"/>
              <w:bottom w:val="single" w:sz="4" w:space="0" w:color="auto"/>
              <w:right w:val="nil"/>
            </w:tcBorders>
            <w:shd w:val="clear" w:color="auto" w:fill="auto"/>
            <w:noWrap/>
            <w:vAlign w:val="bottom"/>
            <w:hideMark/>
          </w:tcPr>
          <w:p w14:paraId="15D440FF"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QLD - Kennedy</w:t>
            </w:r>
          </w:p>
        </w:tc>
        <w:tc>
          <w:tcPr>
            <w:tcW w:w="1141" w:type="dxa"/>
            <w:tcBorders>
              <w:top w:val="nil"/>
              <w:left w:val="nil"/>
              <w:bottom w:val="single" w:sz="4" w:space="0" w:color="auto"/>
              <w:right w:val="nil"/>
            </w:tcBorders>
            <w:shd w:val="clear" w:color="auto" w:fill="auto"/>
            <w:noWrap/>
            <w:vAlign w:val="bottom"/>
            <w:hideMark/>
          </w:tcPr>
          <w:p w14:paraId="0ACE3DBF"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22.8</w:t>
            </w:r>
          </w:p>
        </w:tc>
        <w:tc>
          <w:tcPr>
            <w:tcW w:w="1462" w:type="dxa"/>
            <w:tcBorders>
              <w:top w:val="nil"/>
              <w:left w:val="nil"/>
              <w:bottom w:val="single" w:sz="4" w:space="0" w:color="auto"/>
              <w:right w:val="nil"/>
            </w:tcBorders>
            <w:shd w:val="clear" w:color="auto" w:fill="auto"/>
            <w:noWrap/>
            <w:vAlign w:val="bottom"/>
            <w:hideMark/>
          </w:tcPr>
          <w:p w14:paraId="25238A53" w14:textId="77777777" w:rsidR="00463A75" w:rsidRPr="003E76E7" w:rsidRDefault="00463A75" w:rsidP="00C4292D">
            <w:pPr>
              <w:spacing w:before="0" w:after="0"/>
              <w:jc w:val="right"/>
              <w:rPr>
                <w:rFonts w:ascii="Arial" w:hAnsi="Arial"/>
                <w:b/>
                <w:bCs/>
                <w:sz w:val="16"/>
                <w:szCs w:val="16"/>
                <w:lang w:val="en-AU"/>
              </w:rPr>
            </w:pPr>
            <w:r w:rsidRPr="003E76E7">
              <w:rPr>
                <w:rFonts w:ascii="Arial" w:hAnsi="Arial"/>
                <w:b/>
                <w:bCs/>
                <w:sz w:val="16"/>
                <w:szCs w:val="16"/>
                <w:lang w:val="en-AU"/>
              </w:rPr>
              <w:t>18.1</w:t>
            </w:r>
          </w:p>
        </w:tc>
        <w:tc>
          <w:tcPr>
            <w:tcW w:w="1313" w:type="dxa"/>
            <w:tcBorders>
              <w:top w:val="nil"/>
              <w:left w:val="nil"/>
              <w:bottom w:val="single" w:sz="4" w:space="0" w:color="auto"/>
              <w:right w:val="nil"/>
            </w:tcBorders>
            <w:shd w:val="clear" w:color="auto" w:fill="auto"/>
            <w:noWrap/>
            <w:vAlign w:val="bottom"/>
            <w:hideMark/>
          </w:tcPr>
          <w:p w14:paraId="5F7E65FF"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0.0</w:t>
            </w:r>
          </w:p>
        </w:tc>
      </w:tr>
      <w:tr w:rsidR="00463A75" w:rsidRPr="003E76E7" w14:paraId="6ABC6164" w14:textId="77777777" w:rsidTr="00B17397">
        <w:trPr>
          <w:trHeight w:val="225"/>
        </w:trPr>
        <w:tc>
          <w:tcPr>
            <w:tcW w:w="3119" w:type="dxa"/>
            <w:tcBorders>
              <w:top w:val="nil"/>
              <w:left w:val="nil"/>
              <w:bottom w:val="nil"/>
              <w:right w:val="nil"/>
            </w:tcBorders>
            <w:shd w:val="clear" w:color="auto" w:fill="auto"/>
            <w:vAlign w:val="center"/>
            <w:hideMark/>
          </w:tcPr>
          <w:p w14:paraId="3852C60D"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Facilities for A Company 41st Royal New South Wales Regiment Tweed Heads Region</w:t>
            </w:r>
          </w:p>
        </w:tc>
        <w:tc>
          <w:tcPr>
            <w:tcW w:w="1911" w:type="dxa"/>
            <w:tcBorders>
              <w:top w:val="nil"/>
              <w:left w:val="nil"/>
              <w:bottom w:val="nil"/>
              <w:right w:val="nil"/>
            </w:tcBorders>
            <w:shd w:val="clear" w:color="auto" w:fill="auto"/>
            <w:vAlign w:val="center"/>
            <w:hideMark/>
          </w:tcPr>
          <w:p w14:paraId="5A84B757"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141" w:type="dxa"/>
            <w:tcBorders>
              <w:top w:val="nil"/>
              <w:left w:val="nil"/>
              <w:bottom w:val="nil"/>
              <w:right w:val="nil"/>
            </w:tcBorders>
            <w:shd w:val="clear" w:color="auto" w:fill="auto"/>
            <w:vAlign w:val="center"/>
            <w:hideMark/>
          </w:tcPr>
          <w:p w14:paraId="307A5D8C"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462" w:type="dxa"/>
            <w:tcBorders>
              <w:top w:val="nil"/>
              <w:left w:val="nil"/>
              <w:bottom w:val="nil"/>
              <w:right w:val="nil"/>
            </w:tcBorders>
            <w:shd w:val="clear" w:color="auto" w:fill="auto"/>
            <w:vAlign w:val="center"/>
            <w:hideMark/>
          </w:tcPr>
          <w:p w14:paraId="61638EA3"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313" w:type="dxa"/>
            <w:tcBorders>
              <w:top w:val="nil"/>
              <w:left w:val="nil"/>
              <w:bottom w:val="nil"/>
              <w:right w:val="nil"/>
            </w:tcBorders>
            <w:shd w:val="clear" w:color="auto" w:fill="auto"/>
            <w:vAlign w:val="center"/>
            <w:hideMark/>
          </w:tcPr>
          <w:p w14:paraId="4363E7B2"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r>
      <w:tr w:rsidR="00463A75" w:rsidRPr="003E76E7" w14:paraId="1A0A8CA3" w14:textId="77777777" w:rsidTr="00B17397">
        <w:trPr>
          <w:trHeight w:val="225"/>
        </w:trPr>
        <w:tc>
          <w:tcPr>
            <w:tcW w:w="3119" w:type="dxa"/>
            <w:tcBorders>
              <w:top w:val="nil"/>
              <w:left w:val="nil"/>
              <w:bottom w:val="single" w:sz="4" w:space="0" w:color="auto"/>
              <w:right w:val="nil"/>
            </w:tcBorders>
            <w:shd w:val="clear" w:color="auto" w:fill="auto"/>
            <w:vAlign w:val="bottom"/>
            <w:hideMark/>
          </w:tcPr>
          <w:p w14:paraId="57F12F57"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Tweed Heads</w:t>
            </w:r>
          </w:p>
        </w:tc>
        <w:tc>
          <w:tcPr>
            <w:tcW w:w="1911" w:type="dxa"/>
            <w:tcBorders>
              <w:top w:val="nil"/>
              <w:left w:val="nil"/>
              <w:bottom w:val="single" w:sz="4" w:space="0" w:color="auto"/>
              <w:right w:val="nil"/>
            </w:tcBorders>
            <w:shd w:val="clear" w:color="auto" w:fill="auto"/>
            <w:noWrap/>
            <w:vAlign w:val="bottom"/>
            <w:hideMark/>
          </w:tcPr>
          <w:p w14:paraId="5AB1F9AA"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NSW - Richmond</w:t>
            </w:r>
          </w:p>
        </w:tc>
        <w:tc>
          <w:tcPr>
            <w:tcW w:w="1141" w:type="dxa"/>
            <w:tcBorders>
              <w:top w:val="nil"/>
              <w:left w:val="nil"/>
              <w:bottom w:val="single" w:sz="4" w:space="0" w:color="auto"/>
              <w:right w:val="nil"/>
            </w:tcBorders>
            <w:shd w:val="clear" w:color="auto" w:fill="auto"/>
            <w:noWrap/>
            <w:vAlign w:val="bottom"/>
            <w:hideMark/>
          </w:tcPr>
          <w:p w14:paraId="78C3DF86"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17.4</w:t>
            </w:r>
          </w:p>
        </w:tc>
        <w:tc>
          <w:tcPr>
            <w:tcW w:w="1462" w:type="dxa"/>
            <w:tcBorders>
              <w:top w:val="nil"/>
              <w:left w:val="nil"/>
              <w:bottom w:val="single" w:sz="4" w:space="0" w:color="auto"/>
              <w:right w:val="nil"/>
            </w:tcBorders>
            <w:shd w:val="clear" w:color="auto" w:fill="auto"/>
            <w:noWrap/>
            <w:vAlign w:val="bottom"/>
            <w:hideMark/>
          </w:tcPr>
          <w:p w14:paraId="0D62FFAF" w14:textId="77777777" w:rsidR="00463A75" w:rsidRPr="003E76E7" w:rsidRDefault="00463A75" w:rsidP="00C4292D">
            <w:pPr>
              <w:spacing w:before="0" w:after="0"/>
              <w:jc w:val="right"/>
              <w:rPr>
                <w:rFonts w:ascii="Arial" w:hAnsi="Arial"/>
                <w:b/>
                <w:bCs/>
                <w:sz w:val="16"/>
                <w:szCs w:val="16"/>
                <w:lang w:val="en-AU"/>
              </w:rPr>
            </w:pPr>
            <w:r w:rsidRPr="003E76E7">
              <w:rPr>
                <w:rFonts w:ascii="Arial" w:hAnsi="Arial"/>
                <w:b/>
                <w:bCs/>
                <w:sz w:val="16"/>
                <w:szCs w:val="16"/>
                <w:lang w:val="en-AU"/>
              </w:rPr>
              <w:t>16.2</w:t>
            </w:r>
          </w:p>
        </w:tc>
        <w:tc>
          <w:tcPr>
            <w:tcW w:w="1313" w:type="dxa"/>
            <w:tcBorders>
              <w:top w:val="nil"/>
              <w:left w:val="nil"/>
              <w:bottom w:val="single" w:sz="4" w:space="0" w:color="auto"/>
              <w:right w:val="nil"/>
            </w:tcBorders>
            <w:shd w:val="clear" w:color="auto" w:fill="auto"/>
            <w:noWrap/>
            <w:vAlign w:val="bottom"/>
            <w:hideMark/>
          </w:tcPr>
          <w:p w14:paraId="29F7948C"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1.0</w:t>
            </w:r>
          </w:p>
        </w:tc>
      </w:tr>
      <w:tr w:rsidR="00463A75" w:rsidRPr="003E76E7" w14:paraId="63DF88DB" w14:textId="77777777" w:rsidTr="00B17397">
        <w:trPr>
          <w:trHeight w:val="225"/>
        </w:trPr>
        <w:tc>
          <w:tcPr>
            <w:tcW w:w="3119" w:type="dxa"/>
            <w:tcBorders>
              <w:top w:val="nil"/>
              <w:left w:val="nil"/>
              <w:bottom w:val="nil"/>
              <w:right w:val="nil"/>
            </w:tcBorders>
            <w:shd w:val="clear" w:color="auto" w:fill="auto"/>
            <w:vAlign w:val="center"/>
            <w:hideMark/>
          </w:tcPr>
          <w:p w14:paraId="21C21186"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xml:space="preserve">North Queensland  Mid-Term Refresh Program: HMAS </w:t>
            </w:r>
            <w:r w:rsidRPr="002F62D4">
              <w:rPr>
                <w:rFonts w:ascii="Arial" w:hAnsi="Arial"/>
                <w:b/>
                <w:bCs/>
                <w:color w:val="000000"/>
                <w:sz w:val="16"/>
                <w:szCs w:val="16"/>
                <w:lang w:val="en-AU"/>
              </w:rPr>
              <w:t>Cairns</w:t>
            </w:r>
            <w:r w:rsidRPr="003E76E7">
              <w:rPr>
                <w:rFonts w:ascii="Arial" w:hAnsi="Arial"/>
                <w:b/>
                <w:bCs/>
                <w:color w:val="000000"/>
                <w:sz w:val="16"/>
                <w:szCs w:val="16"/>
                <w:lang w:val="en-AU"/>
              </w:rPr>
              <w:t xml:space="preserve"> Mid-Term Refresh Project</w:t>
            </w:r>
          </w:p>
        </w:tc>
        <w:tc>
          <w:tcPr>
            <w:tcW w:w="1911" w:type="dxa"/>
            <w:tcBorders>
              <w:top w:val="nil"/>
              <w:left w:val="nil"/>
              <w:bottom w:val="nil"/>
              <w:right w:val="nil"/>
            </w:tcBorders>
            <w:shd w:val="clear" w:color="auto" w:fill="auto"/>
            <w:vAlign w:val="center"/>
            <w:hideMark/>
          </w:tcPr>
          <w:p w14:paraId="2D270006"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141" w:type="dxa"/>
            <w:tcBorders>
              <w:top w:val="nil"/>
              <w:left w:val="nil"/>
              <w:bottom w:val="nil"/>
              <w:right w:val="nil"/>
            </w:tcBorders>
            <w:shd w:val="clear" w:color="auto" w:fill="auto"/>
            <w:vAlign w:val="center"/>
            <w:hideMark/>
          </w:tcPr>
          <w:p w14:paraId="4C389E73"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462" w:type="dxa"/>
            <w:tcBorders>
              <w:top w:val="nil"/>
              <w:left w:val="nil"/>
              <w:bottom w:val="nil"/>
              <w:right w:val="nil"/>
            </w:tcBorders>
            <w:shd w:val="clear" w:color="auto" w:fill="auto"/>
            <w:vAlign w:val="center"/>
            <w:hideMark/>
          </w:tcPr>
          <w:p w14:paraId="33238B6D"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313" w:type="dxa"/>
            <w:tcBorders>
              <w:top w:val="nil"/>
              <w:left w:val="nil"/>
              <w:bottom w:val="nil"/>
              <w:right w:val="nil"/>
            </w:tcBorders>
            <w:shd w:val="clear" w:color="auto" w:fill="auto"/>
            <w:vAlign w:val="center"/>
            <w:hideMark/>
          </w:tcPr>
          <w:p w14:paraId="75A8B2C8"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r>
      <w:tr w:rsidR="00463A75" w:rsidRPr="003E76E7" w14:paraId="38283A22" w14:textId="77777777" w:rsidTr="00B17397">
        <w:trPr>
          <w:trHeight w:val="225"/>
        </w:trPr>
        <w:tc>
          <w:tcPr>
            <w:tcW w:w="3119" w:type="dxa"/>
            <w:tcBorders>
              <w:top w:val="nil"/>
              <w:left w:val="nil"/>
              <w:bottom w:val="single" w:sz="4" w:space="0" w:color="auto"/>
              <w:right w:val="nil"/>
            </w:tcBorders>
            <w:shd w:val="clear" w:color="auto" w:fill="auto"/>
            <w:vAlign w:val="bottom"/>
            <w:hideMark/>
          </w:tcPr>
          <w:p w14:paraId="11923079"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 xml:space="preserve">HMAS </w:t>
            </w:r>
            <w:r w:rsidRPr="002F62D4">
              <w:rPr>
                <w:rFonts w:ascii="Arial" w:hAnsi="Arial"/>
                <w:color w:val="000000"/>
                <w:sz w:val="16"/>
                <w:szCs w:val="16"/>
                <w:lang w:val="en-AU"/>
              </w:rPr>
              <w:t>Cairns</w:t>
            </w:r>
          </w:p>
        </w:tc>
        <w:tc>
          <w:tcPr>
            <w:tcW w:w="1911" w:type="dxa"/>
            <w:tcBorders>
              <w:top w:val="nil"/>
              <w:left w:val="nil"/>
              <w:bottom w:val="single" w:sz="4" w:space="0" w:color="auto"/>
              <w:right w:val="nil"/>
            </w:tcBorders>
            <w:shd w:val="clear" w:color="auto" w:fill="auto"/>
            <w:noWrap/>
            <w:vAlign w:val="bottom"/>
            <w:hideMark/>
          </w:tcPr>
          <w:p w14:paraId="305A4F8D"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QLD - Leichhardt</w:t>
            </w:r>
          </w:p>
        </w:tc>
        <w:tc>
          <w:tcPr>
            <w:tcW w:w="1141" w:type="dxa"/>
            <w:tcBorders>
              <w:top w:val="nil"/>
              <w:left w:val="nil"/>
              <w:bottom w:val="single" w:sz="4" w:space="0" w:color="auto"/>
              <w:right w:val="nil"/>
            </w:tcBorders>
            <w:shd w:val="clear" w:color="auto" w:fill="auto"/>
            <w:noWrap/>
            <w:vAlign w:val="bottom"/>
            <w:hideMark/>
          </w:tcPr>
          <w:p w14:paraId="13AA938A"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15.6</w:t>
            </w:r>
          </w:p>
        </w:tc>
        <w:tc>
          <w:tcPr>
            <w:tcW w:w="1462" w:type="dxa"/>
            <w:tcBorders>
              <w:top w:val="nil"/>
              <w:left w:val="nil"/>
              <w:bottom w:val="single" w:sz="4" w:space="0" w:color="auto"/>
              <w:right w:val="nil"/>
            </w:tcBorders>
            <w:shd w:val="clear" w:color="auto" w:fill="auto"/>
            <w:noWrap/>
            <w:vAlign w:val="bottom"/>
            <w:hideMark/>
          </w:tcPr>
          <w:p w14:paraId="11EADB45" w14:textId="77777777" w:rsidR="00463A75" w:rsidRPr="003E76E7" w:rsidRDefault="00463A75" w:rsidP="00C4292D">
            <w:pPr>
              <w:spacing w:before="0" w:after="0"/>
              <w:jc w:val="right"/>
              <w:rPr>
                <w:rFonts w:ascii="Arial" w:hAnsi="Arial"/>
                <w:b/>
                <w:bCs/>
                <w:sz w:val="16"/>
                <w:szCs w:val="16"/>
                <w:lang w:val="en-AU"/>
              </w:rPr>
            </w:pPr>
            <w:r w:rsidRPr="003E76E7">
              <w:rPr>
                <w:rFonts w:ascii="Arial" w:hAnsi="Arial"/>
                <w:b/>
                <w:bCs/>
                <w:sz w:val="16"/>
                <w:szCs w:val="16"/>
                <w:lang w:val="en-AU"/>
              </w:rPr>
              <w:t>14.4</w:t>
            </w:r>
          </w:p>
        </w:tc>
        <w:tc>
          <w:tcPr>
            <w:tcW w:w="1313" w:type="dxa"/>
            <w:tcBorders>
              <w:top w:val="nil"/>
              <w:left w:val="nil"/>
              <w:bottom w:val="single" w:sz="4" w:space="0" w:color="auto"/>
              <w:right w:val="nil"/>
            </w:tcBorders>
            <w:shd w:val="clear" w:color="auto" w:fill="auto"/>
            <w:noWrap/>
            <w:vAlign w:val="bottom"/>
            <w:hideMark/>
          </w:tcPr>
          <w:p w14:paraId="79EA9A23"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0.4</w:t>
            </w:r>
          </w:p>
        </w:tc>
      </w:tr>
      <w:tr w:rsidR="00463A75" w:rsidRPr="003E76E7" w14:paraId="37F3387D" w14:textId="77777777" w:rsidTr="00B17397">
        <w:trPr>
          <w:trHeight w:val="225"/>
        </w:trPr>
        <w:tc>
          <w:tcPr>
            <w:tcW w:w="3119" w:type="dxa"/>
            <w:tcBorders>
              <w:top w:val="nil"/>
              <w:left w:val="nil"/>
              <w:bottom w:val="nil"/>
              <w:right w:val="nil"/>
            </w:tcBorders>
            <w:shd w:val="clear" w:color="auto" w:fill="auto"/>
            <w:vAlign w:val="center"/>
            <w:hideMark/>
          </w:tcPr>
          <w:p w14:paraId="7A4B0948"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xml:space="preserve">RAAF Base Pearce Additional Flight Training Device </w:t>
            </w:r>
          </w:p>
        </w:tc>
        <w:tc>
          <w:tcPr>
            <w:tcW w:w="1911" w:type="dxa"/>
            <w:tcBorders>
              <w:top w:val="nil"/>
              <w:left w:val="nil"/>
              <w:bottom w:val="nil"/>
              <w:right w:val="nil"/>
            </w:tcBorders>
            <w:shd w:val="clear" w:color="auto" w:fill="auto"/>
            <w:vAlign w:val="center"/>
            <w:hideMark/>
          </w:tcPr>
          <w:p w14:paraId="2BB014AE"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141" w:type="dxa"/>
            <w:tcBorders>
              <w:top w:val="nil"/>
              <w:left w:val="nil"/>
              <w:bottom w:val="nil"/>
              <w:right w:val="nil"/>
            </w:tcBorders>
            <w:shd w:val="clear" w:color="auto" w:fill="auto"/>
            <w:vAlign w:val="center"/>
            <w:hideMark/>
          </w:tcPr>
          <w:p w14:paraId="1D162510"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462" w:type="dxa"/>
            <w:tcBorders>
              <w:top w:val="nil"/>
              <w:left w:val="nil"/>
              <w:bottom w:val="nil"/>
              <w:right w:val="nil"/>
            </w:tcBorders>
            <w:shd w:val="clear" w:color="auto" w:fill="auto"/>
            <w:vAlign w:val="center"/>
            <w:hideMark/>
          </w:tcPr>
          <w:p w14:paraId="7598A615"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313" w:type="dxa"/>
            <w:tcBorders>
              <w:top w:val="nil"/>
              <w:left w:val="nil"/>
              <w:bottom w:val="nil"/>
              <w:right w:val="nil"/>
            </w:tcBorders>
            <w:shd w:val="clear" w:color="auto" w:fill="auto"/>
            <w:vAlign w:val="center"/>
            <w:hideMark/>
          </w:tcPr>
          <w:p w14:paraId="7C287A92"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r>
      <w:tr w:rsidR="00463A75" w:rsidRPr="003E76E7" w14:paraId="337E3705" w14:textId="77777777" w:rsidTr="00B17397">
        <w:trPr>
          <w:trHeight w:val="225"/>
        </w:trPr>
        <w:tc>
          <w:tcPr>
            <w:tcW w:w="3119" w:type="dxa"/>
            <w:tcBorders>
              <w:top w:val="nil"/>
              <w:left w:val="nil"/>
              <w:bottom w:val="single" w:sz="4" w:space="0" w:color="auto"/>
              <w:right w:val="nil"/>
            </w:tcBorders>
            <w:shd w:val="clear" w:color="auto" w:fill="auto"/>
            <w:vAlign w:val="bottom"/>
            <w:hideMark/>
          </w:tcPr>
          <w:p w14:paraId="08CADA39"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RAAF Base Pearce</w:t>
            </w:r>
          </w:p>
        </w:tc>
        <w:tc>
          <w:tcPr>
            <w:tcW w:w="1911" w:type="dxa"/>
            <w:tcBorders>
              <w:top w:val="nil"/>
              <w:left w:val="nil"/>
              <w:bottom w:val="single" w:sz="4" w:space="0" w:color="auto"/>
              <w:right w:val="nil"/>
            </w:tcBorders>
            <w:shd w:val="clear" w:color="auto" w:fill="auto"/>
            <w:noWrap/>
            <w:vAlign w:val="bottom"/>
            <w:hideMark/>
          </w:tcPr>
          <w:p w14:paraId="692262C5"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WA - Durack</w:t>
            </w:r>
          </w:p>
        </w:tc>
        <w:tc>
          <w:tcPr>
            <w:tcW w:w="1141" w:type="dxa"/>
            <w:tcBorders>
              <w:top w:val="nil"/>
              <w:left w:val="nil"/>
              <w:bottom w:val="single" w:sz="4" w:space="0" w:color="auto"/>
              <w:right w:val="nil"/>
            </w:tcBorders>
            <w:shd w:val="clear" w:color="auto" w:fill="auto"/>
            <w:noWrap/>
            <w:vAlign w:val="bottom"/>
            <w:hideMark/>
          </w:tcPr>
          <w:p w14:paraId="673403E5"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11.5</w:t>
            </w:r>
          </w:p>
        </w:tc>
        <w:tc>
          <w:tcPr>
            <w:tcW w:w="1462" w:type="dxa"/>
            <w:tcBorders>
              <w:top w:val="nil"/>
              <w:left w:val="nil"/>
              <w:bottom w:val="single" w:sz="4" w:space="0" w:color="auto"/>
              <w:right w:val="nil"/>
            </w:tcBorders>
            <w:shd w:val="clear" w:color="auto" w:fill="auto"/>
            <w:noWrap/>
            <w:vAlign w:val="bottom"/>
            <w:hideMark/>
          </w:tcPr>
          <w:p w14:paraId="51864A59"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11.3</w:t>
            </w:r>
          </w:p>
        </w:tc>
        <w:tc>
          <w:tcPr>
            <w:tcW w:w="1313" w:type="dxa"/>
            <w:tcBorders>
              <w:top w:val="nil"/>
              <w:left w:val="nil"/>
              <w:bottom w:val="single" w:sz="4" w:space="0" w:color="auto"/>
              <w:right w:val="nil"/>
            </w:tcBorders>
            <w:shd w:val="clear" w:color="auto" w:fill="auto"/>
            <w:noWrap/>
            <w:vAlign w:val="bottom"/>
            <w:hideMark/>
          </w:tcPr>
          <w:p w14:paraId="27DF103A"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0.0</w:t>
            </w:r>
          </w:p>
        </w:tc>
      </w:tr>
      <w:tr w:rsidR="00463A75" w:rsidRPr="003E76E7" w14:paraId="7840AF03" w14:textId="77777777" w:rsidTr="00B17397">
        <w:trPr>
          <w:trHeight w:val="225"/>
        </w:trPr>
        <w:tc>
          <w:tcPr>
            <w:tcW w:w="3119" w:type="dxa"/>
            <w:tcBorders>
              <w:top w:val="nil"/>
              <w:left w:val="nil"/>
              <w:bottom w:val="nil"/>
              <w:right w:val="nil"/>
            </w:tcBorders>
            <w:shd w:val="clear" w:color="auto" w:fill="auto"/>
            <w:vAlign w:val="center"/>
            <w:hideMark/>
          </w:tcPr>
          <w:p w14:paraId="0C118C44"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xml:space="preserve">Facilities to Support LAND 159 </w:t>
            </w:r>
            <w:r w:rsidRPr="003E76E7">
              <w:rPr>
                <w:rFonts w:ascii="Arial" w:hAnsi="Arial"/>
                <w:b/>
                <w:bCs/>
                <w:color w:val="000000"/>
                <w:sz w:val="16"/>
                <w:szCs w:val="16"/>
                <w:lang w:val="en-AU"/>
              </w:rPr>
              <w:br/>
              <w:t>Phase 1 Lethality Systems</w:t>
            </w:r>
          </w:p>
        </w:tc>
        <w:tc>
          <w:tcPr>
            <w:tcW w:w="1911" w:type="dxa"/>
            <w:tcBorders>
              <w:top w:val="nil"/>
              <w:left w:val="nil"/>
              <w:bottom w:val="nil"/>
              <w:right w:val="nil"/>
            </w:tcBorders>
            <w:shd w:val="clear" w:color="auto" w:fill="auto"/>
            <w:vAlign w:val="center"/>
            <w:hideMark/>
          </w:tcPr>
          <w:p w14:paraId="183ED131"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141" w:type="dxa"/>
            <w:tcBorders>
              <w:top w:val="nil"/>
              <w:left w:val="nil"/>
              <w:bottom w:val="nil"/>
              <w:right w:val="nil"/>
            </w:tcBorders>
            <w:shd w:val="clear" w:color="auto" w:fill="auto"/>
            <w:vAlign w:val="center"/>
            <w:hideMark/>
          </w:tcPr>
          <w:p w14:paraId="3CEBF907"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462" w:type="dxa"/>
            <w:tcBorders>
              <w:top w:val="nil"/>
              <w:left w:val="nil"/>
              <w:bottom w:val="nil"/>
              <w:right w:val="nil"/>
            </w:tcBorders>
            <w:shd w:val="clear" w:color="auto" w:fill="auto"/>
            <w:vAlign w:val="center"/>
            <w:hideMark/>
          </w:tcPr>
          <w:p w14:paraId="43BD4C2C"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313" w:type="dxa"/>
            <w:tcBorders>
              <w:top w:val="nil"/>
              <w:left w:val="nil"/>
              <w:bottom w:val="nil"/>
              <w:right w:val="nil"/>
            </w:tcBorders>
            <w:shd w:val="clear" w:color="auto" w:fill="auto"/>
            <w:vAlign w:val="center"/>
            <w:hideMark/>
          </w:tcPr>
          <w:p w14:paraId="50200A87"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r>
      <w:tr w:rsidR="00463A75" w:rsidRPr="003E76E7" w14:paraId="25448B78" w14:textId="77777777" w:rsidTr="00B17397">
        <w:trPr>
          <w:trHeight w:val="225"/>
        </w:trPr>
        <w:tc>
          <w:tcPr>
            <w:tcW w:w="3119" w:type="dxa"/>
            <w:tcBorders>
              <w:top w:val="nil"/>
              <w:left w:val="nil"/>
              <w:bottom w:val="single" w:sz="4" w:space="0" w:color="auto"/>
              <w:right w:val="nil"/>
            </w:tcBorders>
            <w:shd w:val="clear" w:color="auto" w:fill="auto"/>
            <w:vAlign w:val="bottom"/>
            <w:hideMark/>
          </w:tcPr>
          <w:p w14:paraId="6486FB5A"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Greenbank Training Area</w:t>
            </w:r>
          </w:p>
        </w:tc>
        <w:tc>
          <w:tcPr>
            <w:tcW w:w="1911" w:type="dxa"/>
            <w:tcBorders>
              <w:top w:val="nil"/>
              <w:left w:val="nil"/>
              <w:bottom w:val="single" w:sz="4" w:space="0" w:color="auto"/>
              <w:right w:val="nil"/>
            </w:tcBorders>
            <w:shd w:val="clear" w:color="auto" w:fill="auto"/>
            <w:noWrap/>
            <w:vAlign w:val="bottom"/>
            <w:hideMark/>
          </w:tcPr>
          <w:p w14:paraId="29658FE0"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 xml:space="preserve">QLD - Wright </w:t>
            </w:r>
          </w:p>
        </w:tc>
        <w:tc>
          <w:tcPr>
            <w:tcW w:w="1141" w:type="dxa"/>
            <w:tcBorders>
              <w:top w:val="nil"/>
              <w:left w:val="nil"/>
              <w:bottom w:val="single" w:sz="4" w:space="0" w:color="auto"/>
              <w:right w:val="nil"/>
            </w:tcBorders>
            <w:shd w:val="clear" w:color="auto" w:fill="auto"/>
            <w:noWrap/>
            <w:vAlign w:val="bottom"/>
            <w:hideMark/>
          </w:tcPr>
          <w:p w14:paraId="384D5898"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8.2</w:t>
            </w:r>
          </w:p>
        </w:tc>
        <w:tc>
          <w:tcPr>
            <w:tcW w:w="1462" w:type="dxa"/>
            <w:tcBorders>
              <w:top w:val="nil"/>
              <w:left w:val="nil"/>
              <w:bottom w:val="single" w:sz="4" w:space="0" w:color="auto"/>
              <w:right w:val="nil"/>
            </w:tcBorders>
            <w:shd w:val="clear" w:color="auto" w:fill="auto"/>
            <w:noWrap/>
            <w:vAlign w:val="bottom"/>
            <w:hideMark/>
          </w:tcPr>
          <w:p w14:paraId="0A4C9F5B"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5.3</w:t>
            </w:r>
          </w:p>
        </w:tc>
        <w:tc>
          <w:tcPr>
            <w:tcW w:w="1313" w:type="dxa"/>
            <w:tcBorders>
              <w:top w:val="nil"/>
              <w:left w:val="nil"/>
              <w:bottom w:val="single" w:sz="4" w:space="0" w:color="auto"/>
              <w:right w:val="nil"/>
            </w:tcBorders>
            <w:shd w:val="clear" w:color="auto" w:fill="auto"/>
            <w:noWrap/>
            <w:vAlign w:val="bottom"/>
            <w:hideMark/>
          </w:tcPr>
          <w:p w14:paraId="388A1B42"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0.0</w:t>
            </w:r>
          </w:p>
        </w:tc>
      </w:tr>
      <w:tr w:rsidR="00463A75" w:rsidRPr="003E76E7" w14:paraId="0F0E15E1" w14:textId="77777777" w:rsidTr="00B17397">
        <w:trPr>
          <w:trHeight w:val="225"/>
        </w:trPr>
        <w:tc>
          <w:tcPr>
            <w:tcW w:w="3119" w:type="dxa"/>
            <w:tcBorders>
              <w:top w:val="nil"/>
              <w:left w:val="nil"/>
              <w:bottom w:val="nil"/>
              <w:right w:val="nil"/>
            </w:tcBorders>
            <w:shd w:val="clear" w:color="auto" w:fill="auto"/>
            <w:vAlign w:val="center"/>
            <w:hideMark/>
          </w:tcPr>
          <w:p w14:paraId="51A741ED"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Facilities to Support P-8A Poseidon Capability Assurance Program</w:t>
            </w:r>
          </w:p>
        </w:tc>
        <w:tc>
          <w:tcPr>
            <w:tcW w:w="1911" w:type="dxa"/>
            <w:tcBorders>
              <w:top w:val="nil"/>
              <w:left w:val="nil"/>
              <w:bottom w:val="nil"/>
              <w:right w:val="nil"/>
            </w:tcBorders>
            <w:shd w:val="clear" w:color="auto" w:fill="auto"/>
            <w:vAlign w:val="center"/>
            <w:hideMark/>
          </w:tcPr>
          <w:p w14:paraId="1898F7F1"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141" w:type="dxa"/>
            <w:tcBorders>
              <w:top w:val="nil"/>
              <w:left w:val="nil"/>
              <w:bottom w:val="nil"/>
              <w:right w:val="nil"/>
            </w:tcBorders>
            <w:shd w:val="clear" w:color="auto" w:fill="auto"/>
            <w:vAlign w:val="center"/>
            <w:hideMark/>
          </w:tcPr>
          <w:p w14:paraId="3F6CA008"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462" w:type="dxa"/>
            <w:tcBorders>
              <w:top w:val="nil"/>
              <w:left w:val="nil"/>
              <w:bottom w:val="nil"/>
              <w:right w:val="nil"/>
            </w:tcBorders>
            <w:shd w:val="clear" w:color="auto" w:fill="auto"/>
            <w:vAlign w:val="center"/>
            <w:hideMark/>
          </w:tcPr>
          <w:p w14:paraId="454437AF"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313" w:type="dxa"/>
            <w:tcBorders>
              <w:top w:val="nil"/>
              <w:left w:val="nil"/>
              <w:bottom w:val="nil"/>
              <w:right w:val="nil"/>
            </w:tcBorders>
            <w:shd w:val="clear" w:color="auto" w:fill="auto"/>
            <w:vAlign w:val="center"/>
            <w:hideMark/>
          </w:tcPr>
          <w:p w14:paraId="65191A2D"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r>
      <w:tr w:rsidR="00463A75" w:rsidRPr="003E76E7" w14:paraId="180E1F2E" w14:textId="77777777" w:rsidTr="00B17397">
        <w:trPr>
          <w:trHeight w:val="225"/>
        </w:trPr>
        <w:tc>
          <w:tcPr>
            <w:tcW w:w="3119" w:type="dxa"/>
            <w:tcBorders>
              <w:top w:val="nil"/>
              <w:left w:val="nil"/>
              <w:bottom w:val="single" w:sz="4" w:space="0" w:color="auto"/>
              <w:right w:val="nil"/>
            </w:tcBorders>
            <w:shd w:val="clear" w:color="auto" w:fill="auto"/>
            <w:vAlign w:val="bottom"/>
            <w:hideMark/>
          </w:tcPr>
          <w:p w14:paraId="2A6A10F0" w14:textId="77777777" w:rsidR="00463A75" w:rsidRPr="003E76E7" w:rsidRDefault="00463A75" w:rsidP="00C4292D">
            <w:pPr>
              <w:spacing w:before="0" w:after="0"/>
              <w:rPr>
                <w:rFonts w:ascii="Arial" w:hAnsi="Arial"/>
                <w:color w:val="000000"/>
                <w:sz w:val="16"/>
                <w:szCs w:val="16"/>
                <w:lang w:val="en-AU"/>
              </w:rPr>
            </w:pPr>
            <w:r w:rsidRPr="003E76E7">
              <w:rPr>
                <w:rFonts w:ascii="Arial" w:hAnsi="Arial"/>
                <w:color w:val="000000"/>
                <w:sz w:val="16"/>
                <w:szCs w:val="16"/>
                <w:lang w:val="en-AU"/>
              </w:rPr>
              <w:t>RAAF Base Edinburgh</w:t>
            </w:r>
          </w:p>
        </w:tc>
        <w:tc>
          <w:tcPr>
            <w:tcW w:w="1911" w:type="dxa"/>
            <w:tcBorders>
              <w:top w:val="nil"/>
              <w:left w:val="nil"/>
              <w:bottom w:val="single" w:sz="4" w:space="0" w:color="auto"/>
              <w:right w:val="nil"/>
            </w:tcBorders>
            <w:shd w:val="clear" w:color="auto" w:fill="auto"/>
            <w:noWrap/>
            <w:vAlign w:val="bottom"/>
            <w:hideMark/>
          </w:tcPr>
          <w:p w14:paraId="42188381" w14:textId="77777777" w:rsidR="00463A75" w:rsidRPr="003E76E7" w:rsidRDefault="00463A75"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SA - Spence</w:t>
            </w:r>
          </w:p>
        </w:tc>
        <w:tc>
          <w:tcPr>
            <w:tcW w:w="1141" w:type="dxa"/>
            <w:tcBorders>
              <w:top w:val="nil"/>
              <w:left w:val="nil"/>
              <w:bottom w:val="single" w:sz="4" w:space="0" w:color="auto"/>
              <w:right w:val="nil"/>
            </w:tcBorders>
            <w:shd w:val="clear" w:color="auto" w:fill="auto"/>
            <w:noWrap/>
            <w:vAlign w:val="bottom"/>
            <w:hideMark/>
          </w:tcPr>
          <w:p w14:paraId="4179CE2B"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4.9</w:t>
            </w:r>
          </w:p>
        </w:tc>
        <w:tc>
          <w:tcPr>
            <w:tcW w:w="1462" w:type="dxa"/>
            <w:tcBorders>
              <w:top w:val="nil"/>
              <w:left w:val="nil"/>
              <w:bottom w:val="single" w:sz="4" w:space="0" w:color="auto"/>
              <w:right w:val="nil"/>
            </w:tcBorders>
            <w:shd w:val="clear" w:color="auto" w:fill="auto"/>
            <w:noWrap/>
            <w:vAlign w:val="bottom"/>
            <w:hideMark/>
          </w:tcPr>
          <w:p w14:paraId="78E72D72"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2.2</w:t>
            </w:r>
          </w:p>
        </w:tc>
        <w:tc>
          <w:tcPr>
            <w:tcW w:w="1313" w:type="dxa"/>
            <w:tcBorders>
              <w:top w:val="nil"/>
              <w:left w:val="nil"/>
              <w:bottom w:val="single" w:sz="4" w:space="0" w:color="auto"/>
              <w:right w:val="nil"/>
            </w:tcBorders>
            <w:shd w:val="clear" w:color="auto" w:fill="auto"/>
            <w:noWrap/>
            <w:vAlign w:val="bottom"/>
            <w:hideMark/>
          </w:tcPr>
          <w:p w14:paraId="57C768D9"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2.1</w:t>
            </w:r>
          </w:p>
        </w:tc>
      </w:tr>
      <w:tr w:rsidR="00463A75" w:rsidRPr="003E76E7" w14:paraId="1B2DE6CE" w14:textId="77777777" w:rsidTr="00B17397">
        <w:trPr>
          <w:trHeight w:val="225"/>
        </w:trPr>
        <w:tc>
          <w:tcPr>
            <w:tcW w:w="3119" w:type="dxa"/>
            <w:tcBorders>
              <w:top w:val="nil"/>
              <w:left w:val="nil"/>
              <w:bottom w:val="single" w:sz="4" w:space="0" w:color="auto"/>
              <w:right w:val="nil"/>
            </w:tcBorders>
            <w:shd w:val="clear" w:color="auto" w:fill="auto"/>
            <w:vAlign w:val="center"/>
            <w:hideMark/>
          </w:tcPr>
          <w:p w14:paraId="70CEF316"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Total</w:t>
            </w:r>
          </w:p>
        </w:tc>
        <w:tc>
          <w:tcPr>
            <w:tcW w:w="1911" w:type="dxa"/>
            <w:tcBorders>
              <w:top w:val="nil"/>
              <w:left w:val="nil"/>
              <w:bottom w:val="single" w:sz="4" w:space="0" w:color="auto"/>
              <w:right w:val="nil"/>
            </w:tcBorders>
            <w:shd w:val="clear" w:color="auto" w:fill="auto"/>
            <w:noWrap/>
            <w:vAlign w:val="center"/>
            <w:hideMark/>
          </w:tcPr>
          <w:p w14:paraId="4E5088DB" w14:textId="77777777" w:rsidR="00463A75" w:rsidRPr="003E76E7" w:rsidRDefault="00463A75"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 </w:t>
            </w:r>
          </w:p>
        </w:tc>
        <w:tc>
          <w:tcPr>
            <w:tcW w:w="1141" w:type="dxa"/>
            <w:tcBorders>
              <w:top w:val="nil"/>
              <w:left w:val="nil"/>
              <w:bottom w:val="single" w:sz="4" w:space="0" w:color="auto"/>
              <w:right w:val="nil"/>
            </w:tcBorders>
            <w:shd w:val="clear" w:color="auto" w:fill="auto"/>
            <w:noWrap/>
            <w:vAlign w:val="center"/>
            <w:hideMark/>
          </w:tcPr>
          <w:p w14:paraId="029F08C3"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21,133.5</w:t>
            </w:r>
          </w:p>
        </w:tc>
        <w:tc>
          <w:tcPr>
            <w:tcW w:w="1462" w:type="dxa"/>
            <w:tcBorders>
              <w:top w:val="nil"/>
              <w:left w:val="nil"/>
              <w:bottom w:val="single" w:sz="4" w:space="0" w:color="auto"/>
              <w:right w:val="nil"/>
            </w:tcBorders>
            <w:shd w:val="clear" w:color="auto" w:fill="auto"/>
            <w:noWrap/>
            <w:vAlign w:val="center"/>
            <w:hideMark/>
          </w:tcPr>
          <w:p w14:paraId="2A1FD418"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12,117.7</w:t>
            </w:r>
          </w:p>
        </w:tc>
        <w:tc>
          <w:tcPr>
            <w:tcW w:w="1313" w:type="dxa"/>
            <w:tcBorders>
              <w:top w:val="nil"/>
              <w:left w:val="nil"/>
              <w:bottom w:val="single" w:sz="4" w:space="0" w:color="auto"/>
              <w:right w:val="nil"/>
            </w:tcBorders>
            <w:shd w:val="clear" w:color="auto" w:fill="auto"/>
            <w:noWrap/>
            <w:vAlign w:val="center"/>
            <w:hideMark/>
          </w:tcPr>
          <w:p w14:paraId="2218597D" w14:textId="77777777" w:rsidR="00463A75" w:rsidRPr="003E76E7" w:rsidRDefault="00463A75"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3,791.3</w:t>
            </w:r>
          </w:p>
        </w:tc>
      </w:tr>
    </w:tbl>
    <w:p w14:paraId="56CCA899" w14:textId="77777777" w:rsidR="008A7ABF" w:rsidRPr="003E76E7" w:rsidRDefault="008A7ABF" w:rsidP="00C4292D">
      <w:pPr>
        <w:spacing w:before="0" w:after="0"/>
        <w:rPr>
          <w:rFonts w:ascii="Arial" w:hAnsi="Arial"/>
          <w:b/>
          <w:sz w:val="14"/>
          <w:szCs w:val="14"/>
          <w:lang w:val="en-AU"/>
        </w:rPr>
      </w:pPr>
    </w:p>
    <w:p w14:paraId="046CD592" w14:textId="5A95D79D" w:rsidR="008A7ABF" w:rsidRPr="003E76E7" w:rsidRDefault="008A7ABF" w:rsidP="00C4292D">
      <w:pPr>
        <w:spacing w:before="0" w:after="0"/>
        <w:rPr>
          <w:rFonts w:ascii="Arial" w:hAnsi="Arial"/>
          <w:b/>
          <w:sz w:val="14"/>
          <w:szCs w:val="14"/>
          <w:lang w:val="en-AU"/>
        </w:rPr>
      </w:pPr>
      <w:r w:rsidRPr="003E76E7">
        <w:rPr>
          <w:rFonts w:ascii="Arial" w:hAnsi="Arial"/>
          <w:b/>
          <w:sz w:val="14"/>
          <w:szCs w:val="14"/>
          <w:lang w:val="en-AU"/>
        </w:rPr>
        <w:t>Note</w:t>
      </w:r>
    </w:p>
    <w:p w14:paraId="494609B8" w14:textId="01A5E2B1" w:rsidR="00CB6FCA" w:rsidRPr="003E76E7" w:rsidRDefault="008A7ABF" w:rsidP="00C4292D">
      <w:pPr>
        <w:pStyle w:val="BodyText"/>
        <w:numPr>
          <w:ilvl w:val="1"/>
          <w:numId w:val="68"/>
        </w:numPr>
        <w:spacing w:before="0"/>
        <w:ind w:left="284" w:hanging="284"/>
        <w:rPr>
          <w:rFonts w:ascii="Arial" w:hAnsi="Arial"/>
          <w:sz w:val="14"/>
          <w:szCs w:val="14"/>
          <w:lang w:val="en-AU"/>
        </w:rPr>
      </w:pPr>
      <w:r w:rsidRPr="003E76E7">
        <w:rPr>
          <w:rFonts w:ascii="Arial" w:hAnsi="Arial"/>
          <w:sz w:val="14"/>
          <w:szCs w:val="14"/>
          <w:lang w:val="en-AU"/>
        </w:rPr>
        <w:t>The sum of the individual project totals, where a project has multiple sites within the table, and the table’s total figures may differ due to rounding. Budget estimates shown as 0.0 are amounts greater than $0 but less than $50,000.</w:t>
      </w:r>
    </w:p>
    <w:p w14:paraId="5E49E94D" w14:textId="4755FFE0" w:rsidR="008A7ABF" w:rsidRPr="003E76E7" w:rsidRDefault="008A7ABF" w:rsidP="00C4292D">
      <w:pPr>
        <w:pStyle w:val="Heading4level5"/>
        <w:spacing w:before="120" w:after="120"/>
        <w:rPr>
          <w:rFonts w:cs="Arial"/>
          <w:b w:val="0"/>
          <w:bCs w:val="0"/>
          <w:sz w:val="14"/>
          <w:szCs w:val="14"/>
          <w:lang w:val="en-AU"/>
        </w:rPr>
      </w:pPr>
      <w:r w:rsidRPr="003E76E7">
        <w:rPr>
          <w:rFonts w:cs="Arial"/>
          <w:sz w:val="14"/>
          <w:szCs w:val="14"/>
        </w:rPr>
        <w:br w:type="page"/>
      </w:r>
      <w:r w:rsidRPr="003E76E7">
        <w:lastRenderedPageBreak/>
        <w:t xml:space="preserve">Explanation of Projects </w:t>
      </w:r>
    </w:p>
    <w:p w14:paraId="54880FB4" w14:textId="77777777" w:rsidR="008A7ABF" w:rsidRPr="003E76E7" w:rsidRDefault="008A7ABF" w:rsidP="00C4292D">
      <w:pPr>
        <w:pStyle w:val="Heading4level5"/>
        <w:spacing w:before="120" w:after="120"/>
        <w:outlineLvl w:val="9"/>
      </w:pPr>
      <w:r w:rsidRPr="003E76E7">
        <w:t>Australian Capital Territory</w:t>
      </w:r>
    </w:p>
    <w:p w14:paraId="02CF5957" w14:textId="77777777" w:rsidR="008A7ABF" w:rsidRPr="003E76E7" w:rsidRDefault="008A7ABF" w:rsidP="00C4292D">
      <w:pPr>
        <w:spacing w:before="0"/>
        <w:rPr>
          <w:rFonts w:ascii="Arial" w:hAnsi="Arial"/>
          <w:lang w:val="en-AU"/>
        </w:rPr>
      </w:pPr>
      <w:r w:rsidRPr="003E76E7">
        <w:rPr>
          <w:rFonts w:ascii="Arial" w:hAnsi="Arial"/>
          <w:lang w:val="en-AU"/>
        </w:rPr>
        <w:t xml:space="preserve">HMAS </w:t>
      </w:r>
      <w:r w:rsidRPr="002F62D4">
        <w:rPr>
          <w:rFonts w:ascii="Arial" w:hAnsi="Arial"/>
          <w:lang w:val="en-AU"/>
        </w:rPr>
        <w:t>Harman</w:t>
      </w:r>
      <w:r w:rsidRPr="003E76E7">
        <w:rPr>
          <w:rFonts w:ascii="Arial" w:hAnsi="Arial"/>
          <w:lang w:val="en-AU"/>
        </w:rPr>
        <w:t xml:space="preserve"> Redevelopment</w:t>
      </w:r>
    </w:p>
    <w:p w14:paraId="67A31620" w14:textId="34BC3778" w:rsidR="008A7ABF" w:rsidRPr="003E76E7" w:rsidRDefault="008A7ABF" w:rsidP="00C4292D">
      <w:pPr>
        <w:autoSpaceDE w:val="0"/>
        <w:autoSpaceDN w:val="0"/>
        <w:adjustRightInd w:val="0"/>
        <w:spacing w:before="0"/>
        <w:rPr>
          <w:lang w:val="en-AU"/>
        </w:rPr>
      </w:pPr>
      <w:r w:rsidRPr="003E76E7">
        <w:rPr>
          <w:szCs w:val="20"/>
          <w:lang w:val="en-AU"/>
        </w:rPr>
        <w:t xml:space="preserve">This project is delivering facilities and infrastructure at HMAS </w:t>
      </w:r>
      <w:r w:rsidRPr="002F62D4">
        <w:rPr>
          <w:szCs w:val="20"/>
          <w:lang w:val="en-AU"/>
        </w:rPr>
        <w:t>Harman</w:t>
      </w:r>
      <w:r w:rsidR="00A37D48" w:rsidRPr="003E76E7">
        <w:rPr>
          <w:i/>
          <w:szCs w:val="20"/>
          <w:lang w:val="en-AU"/>
        </w:rPr>
        <w:t>,</w:t>
      </w:r>
      <w:r w:rsidRPr="003E76E7">
        <w:rPr>
          <w:szCs w:val="20"/>
          <w:lang w:val="en-AU"/>
        </w:rPr>
        <w:t xml:space="preserve"> ACT, including upgrading, replacing and providing new engineering services, command facility, entry precinct, office accommodation, and living-in accommodation. This project is scheduled for completion in </w:t>
      </w:r>
      <w:r w:rsidR="008F2688" w:rsidRPr="003E76E7">
        <w:rPr>
          <w:szCs w:val="20"/>
          <w:lang w:val="en-AU"/>
        </w:rPr>
        <w:br/>
      </w:r>
      <w:r w:rsidRPr="003E76E7">
        <w:rPr>
          <w:szCs w:val="20"/>
          <w:lang w:val="en-AU"/>
        </w:rPr>
        <w:t>late 2026.</w:t>
      </w:r>
    </w:p>
    <w:p w14:paraId="7694BA51" w14:textId="77777777" w:rsidR="008A7ABF" w:rsidRPr="003E76E7" w:rsidRDefault="008A7ABF" w:rsidP="00C4292D">
      <w:pPr>
        <w:autoSpaceDE w:val="0"/>
        <w:autoSpaceDN w:val="0"/>
        <w:adjustRightInd w:val="0"/>
        <w:spacing w:before="0"/>
        <w:rPr>
          <w:szCs w:val="20"/>
          <w:lang w:val="en-AU"/>
        </w:rPr>
      </w:pPr>
    </w:p>
    <w:p w14:paraId="42BCAD76" w14:textId="77777777" w:rsidR="008A7ABF" w:rsidRPr="003E76E7" w:rsidRDefault="008A7ABF" w:rsidP="00C4292D">
      <w:pPr>
        <w:spacing w:before="0"/>
        <w:rPr>
          <w:rFonts w:ascii="Arial" w:hAnsi="Arial"/>
          <w:lang w:val="en-AU"/>
        </w:rPr>
      </w:pPr>
      <w:r w:rsidRPr="003E76E7">
        <w:rPr>
          <w:rFonts w:ascii="Arial" w:hAnsi="Arial"/>
          <w:lang w:val="en-AU"/>
        </w:rPr>
        <w:t xml:space="preserve">HMAS </w:t>
      </w:r>
      <w:r w:rsidRPr="002F62D4">
        <w:rPr>
          <w:rFonts w:ascii="Arial" w:hAnsi="Arial"/>
          <w:lang w:val="en-AU"/>
        </w:rPr>
        <w:t>Creswell</w:t>
      </w:r>
      <w:r w:rsidRPr="003E76E7">
        <w:rPr>
          <w:rFonts w:ascii="Arial" w:hAnsi="Arial"/>
          <w:lang w:val="en-AU"/>
        </w:rPr>
        <w:t xml:space="preserve"> Mid-Term Refresh</w:t>
      </w:r>
    </w:p>
    <w:p w14:paraId="5B576168" w14:textId="78BC19B6" w:rsidR="008A7ABF" w:rsidRPr="003E76E7" w:rsidRDefault="008A7ABF" w:rsidP="00C4292D">
      <w:pPr>
        <w:autoSpaceDE w:val="0"/>
        <w:autoSpaceDN w:val="0"/>
        <w:adjustRightInd w:val="0"/>
        <w:spacing w:before="0"/>
        <w:rPr>
          <w:szCs w:val="20"/>
          <w:lang w:val="en-AU"/>
        </w:rPr>
      </w:pPr>
      <w:r w:rsidRPr="003E76E7">
        <w:rPr>
          <w:szCs w:val="20"/>
          <w:lang w:val="en-AU"/>
        </w:rPr>
        <w:t xml:space="preserve">This project is refurbishing existing facilities and infrastructure at HMAS </w:t>
      </w:r>
      <w:r w:rsidRPr="002F62D4">
        <w:rPr>
          <w:szCs w:val="20"/>
          <w:lang w:val="en-AU"/>
        </w:rPr>
        <w:t>Creswell</w:t>
      </w:r>
      <w:r w:rsidR="00B565AE" w:rsidRPr="003E76E7">
        <w:rPr>
          <w:i/>
          <w:szCs w:val="20"/>
          <w:lang w:val="en-AU"/>
        </w:rPr>
        <w:t>,</w:t>
      </w:r>
      <w:r w:rsidRPr="003E76E7">
        <w:rPr>
          <w:szCs w:val="20"/>
          <w:lang w:val="en-AU"/>
        </w:rPr>
        <w:t xml:space="preserve"> Jervis Bay</w:t>
      </w:r>
      <w:r w:rsidR="00A37D48" w:rsidRPr="003E76E7">
        <w:rPr>
          <w:szCs w:val="20"/>
          <w:lang w:val="en-AU"/>
        </w:rPr>
        <w:t>,</w:t>
      </w:r>
      <w:r w:rsidRPr="003E76E7">
        <w:rPr>
          <w:szCs w:val="20"/>
          <w:lang w:val="en-AU"/>
        </w:rPr>
        <w:t xml:space="preserve"> ACT, including engineering services, car parking, and entry precinct. This project is scheduled for completion in mid-2026.</w:t>
      </w:r>
    </w:p>
    <w:p w14:paraId="4240AEF1" w14:textId="77777777" w:rsidR="008A7ABF" w:rsidRPr="003E76E7" w:rsidRDefault="008A7ABF" w:rsidP="00C4292D">
      <w:pPr>
        <w:autoSpaceDE w:val="0"/>
        <w:autoSpaceDN w:val="0"/>
        <w:adjustRightInd w:val="0"/>
        <w:spacing w:before="0"/>
        <w:rPr>
          <w:szCs w:val="20"/>
          <w:lang w:val="en-AU"/>
        </w:rPr>
      </w:pPr>
    </w:p>
    <w:p w14:paraId="46843D6D" w14:textId="77777777" w:rsidR="008A7ABF" w:rsidRPr="003E76E7" w:rsidRDefault="008A7ABF" w:rsidP="00C4292D">
      <w:pPr>
        <w:pStyle w:val="Heading4level5"/>
        <w:spacing w:before="120" w:after="120"/>
        <w:outlineLvl w:val="9"/>
      </w:pPr>
      <w:r w:rsidRPr="003E76E7">
        <w:t>New South Wales</w:t>
      </w:r>
    </w:p>
    <w:p w14:paraId="5A354B53" w14:textId="77777777" w:rsidR="008A7ABF" w:rsidRPr="003E76E7" w:rsidRDefault="008A7ABF" w:rsidP="00C4292D">
      <w:pPr>
        <w:autoSpaceDE w:val="0"/>
        <w:autoSpaceDN w:val="0"/>
        <w:adjustRightInd w:val="0"/>
        <w:spacing w:before="0"/>
        <w:rPr>
          <w:rFonts w:ascii="Arial" w:hAnsi="Arial"/>
          <w:szCs w:val="20"/>
          <w:lang w:val="en-AU"/>
        </w:rPr>
      </w:pPr>
      <w:r w:rsidRPr="003E76E7">
        <w:rPr>
          <w:rFonts w:ascii="Arial" w:hAnsi="Arial"/>
          <w:szCs w:val="20"/>
          <w:lang w:val="en-AU"/>
        </w:rPr>
        <w:t>RAAF Base Wagga Redevelopment</w:t>
      </w:r>
    </w:p>
    <w:p w14:paraId="499788FE" w14:textId="54714F0B" w:rsidR="008A7ABF" w:rsidRPr="003E76E7" w:rsidRDefault="008A7ABF" w:rsidP="00C4292D">
      <w:pPr>
        <w:autoSpaceDE w:val="0"/>
        <w:autoSpaceDN w:val="0"/>
        <w:adjustRightInd w:val="0"/>
        <w:spacing w:before="0"/>
        <w:rPr>
          <w:szCs w:val="20"/>
          <w:lang w:val="en-AU"/>
        </w:rPr>
      </w:pPr>
      <w:r w:rsidRPr="003E76E7">
        <w:rPr>
          <w:szCs w:val="20"/>
          <w:lang w:val="en-AU"/>
        </w:rPr>
        <w:t>This project is addressing condition, capacity and compliance issues at RAAF Base Wagga</w:t>
      </w:r>
      <w:r w:rsidR="00A37D48" w:rsidRPr="003E76E7">
        <w:rPr>
          <w:szCs w:val="20"/>
          <w:lang w:val="en-AU"/>
        </w:rPr>
        <w:t>,</w:t>
      </w:r>
      <w:r w:rsidRPr="003E76E7">
        <w:rPr>
          <w:szCs w:val="20"/>
          <w:lang w:val="en-AU"/>
        </w:rPr>
        <w:t xml:space="preserve"> NSW, including upgrading engineering services, constructing new infrastructure, and demolishing aged facilities. This project is scheduled for completion in mid-2031.</w:t>
      </w:r>
    </w:p>
    <w:p w14:paraId="556F49F2" w14:textId="77777777" w:rsidR="008A7ABF" w:rsidRPr="003E76E7" w:rsidRDefault="008A7ABF" w:rsidP="00C4292D">
      <w:pPr>
        <w:spacing w:before="0"/>
        <w:rPr>
          <w:rFonts w:cs="BookAntiqua"/>
          <w:szCs w:val="20"/>
          <w:lang w:val="en-AU"/>
        </w:rPr>
      </w:pPr>
    </w:p>
    <w:p w14:paraId="2974A24E" w14:textId="77777777" w:rsidR="008A7ABF" w:rsidRPr="003E76E7" w:rsidRDefault="008A7ABF" w:rsidP="00C4292D">
      <w:pPr>
        <w:autoSpaceDE w:val="0"/>
        <w:autoSpaceDN w:val="0"/>
        <w:adjustRightInd w:val="0"/>
        <w:spacing w:before="0"/>
        <w:rPr>
          <w:rFonts w:ascii="Arial" w:hAnsi="Arial"/>
          <w:szCs w:val="20"/>
          <w:lang w:val="en-AU"/>
        </w:rPr>
      </w:pPr>
      <w:r w:rsidRPr="003E76E7">
        <w:rPr>
          <w:rFonts w:ascii="Arial" w:hAnsi="Arial"/>
          <w:szCs w:val="20"/>
          <w:lang w:val="en-AU"/>
        </w:rPr>
        <w:t xml:space="preserve">HMAS </w:t>
      </w:r>
      <w:r w:rsidRPr="002F62D4">
        <w:rPr>
          <w:rFonts w:ascii="Arial" w:hAnsi="Arial"/>
          <w:szCs w:val="20"/>
          <w:lang w:val="en-AU"/>
        </w:rPr>
        <w:t>Watson</w:t>
      </w:r>
      <w:r w:rsidRPr="003E76E7">
        <w:rPr>
          <w:rFonts w:ascii="Arial" w:hAnsi="Arial"/>
          <w:szCs w:val="20"/>
          <w:lang w:val="en-AU"/>
        </w:rPr>
        <w:t xml:space="preserve"> Redevelopment</w:t>
      </w:r>
    </w:p>
    <w:p w14:paraId="1BE95811" w14:textId="67EE9047" w:rsidR="008A7ABF" w:rsidRPr="003E76E7" w:rsidRDefault="008A7ABF" w:rsidP="00C4292D">
      <w:pPr>
        <w:autoSpaceDE w:val="0"/>
        <w:autoSpaceDN w:val="0"/>
        <w:adjustRightInd w:val="0"/>
        <w:spacing w:before="0"/>
        <w:rPr>
          <w:szCs w:val="20"/>
          <w:lang w:val="en-AU"/>
        </w:rPr>
      </w:pPr>
      <w:r w:rsidRPr="003E76E7">
        <w:rPr>
          <w:szCs w:val="20"/>
          <w:lang w:val="en-AU"/>
        </w:rPr>
        <w:t>This project is addressing condition, capacity and compliance issues with facilities and</w:t>
      </w:r>
      <w:r w:rsidR="00BE14A6" w:rsidRPr="003E76E7">
        <w:rPr>
          <w:szCs w:val="20"/>
          <w:lang w:val="en-AU"/>
        </w:rPr>
        <w:t xml:space="preserve"> </w:t>
      </w:r>
      <w:r w:rsidRPr="003E76E7">
        <w:rPr>
          <w:szCs w:val="20"/>
          <w:lang w:val="en-AU"/>
        </w:rPr>
        <w:t xml:space="preserve">infrastructure at HMAS </w:t>
      </w:r>
      <w:r w:rsidRPr="002F62D4">
        <w:rPr>
          <w:szCs w:val="20"/>
          <w:lang w:val="en-AU"/>
        </w:rPr>
        <w:t>Watson</w:t>
      </w:r>
      <w:r w:rsidRPr="003E76E7">
        <w:rPr>
          <w:szCs w:val="20"/>
          <w:lang w:val="en-AU"/>
        </w:rPr>
        <w:t>, Sydney, NSW. This includes engineering services and training facilities. This project is scheduled for completion in early 2028.</w:t>
      </w:r>
    </w:p>
    <w:p w14:paraId="61E4503A" w14:textId="77777777" w:rsidR="008A7ABF" w:rsidRPr="003E76E7" w:rsidRDefault="008A7ABF" w:rsidP="00C4292D">
      <w:pPr>
        <w:autoSpaceDE w:val="0"/>
        <w:autoSpaceDN w:val="0"/>
        <w:adjustRightInd w:val="0"/>
        <w:spacing w:before="0"/>
        <w:rPr>
          <w:rFonts w:cs="ArialMT"/>
          <w:szCs w:val="20"/>
          <w:lang w:val="en-AU"/>
        </w:rPr>
      </w:pPr>
    </w:p>
    <w:p w14:paraId="0EE6A8ED" w14:textId="77777777" w:rsidR="008A7ABF" w:rsidRPr="003E76E7" w:rsidRDefault="008A7ABF" w:rsidP="00C4292D">
      <w:pPr>
        <w:autoSpaceDE w:val="0"/>
        <w:autoSpaceDN w:val="0"/>
        <w:adjustRightInd w:val="0"/>
        <w:spacing w:before="0"/>
        <w:rPr>
          <w:rFonts w:ascii="Arial" w:hAnsi="Arial"/>
          <w:szCs w:val="20"/>
          <w:lang w:val="en-AU"/>
        </w:rPr>
      </w:pPr>
      <w:r w:rsidRPr="003E76E7">
        <w:rPr>
          <w:rFonts w:ascii="Arial" w:hAnsi="Arial"/>
          <w:szCs w:val="20"/>
          <w:lang w:val="en-AU"/>
        </w:rPr>
        <w:t>Explosive Ordnance Facilities Northern New South Wales Redevelopment</w:t>
      </w:r>
    </w:p>
    <w:p w14:paraId="77888C5E" w14:textId="0916AEF8" w:rsidR="008A7ABF" w:rsidRPr="003E76E7" w:rsidRDefault="008A7ABF" w:rsidP="00C4292D">
      <w:pPr>
        <w:autoSpaceDE w:val="0"/>
        <w:autoSpaceDN w:val="0"/>
        <w:adjustRightInd w:val="0"/>
        <w:spacing w:before="0"/>
        <w:rPr>
          <w:szCs w:val="20"/>
          <w:lang w:val="en-AU"/>
        </w:rPr>
      </w:pPr>
      <w:r w:rsidRPr="003E76E7">
        <w:rPr>
          <w:szCs w:val="20"/>
          <w:lang w:val="en-AU"/>
        </w:rPr>
        <w:t>This project is providing new, and remediating existing, facilities and infrastructure to support</w:t>
      </w:r>
      <w:r w:rsidR="00BE14A6" w:rsidRPr="003E76E7">
        <w:rPr>
          <w:szCs w:val="20"/>
          <w:lang w:val="en-AU"/>
        </w:rPr>
        <w:t xml:space="preserve"> </w:t>
      </w:r>
      <w:r w:rsidRPr="003E76E7">
        <w:rPr>
          <w:szCs w:val="20"/>
          <w:lang w:val="en-AU"/>
        </w:rPr>
        <w:t>training, storage, maintenance and distribution activities at Defence Establishment Orchard Hills</w:t>
      </w:r>
      <w:r w:rsidR="00B565AE" w:rsidRPr="003E76E7">
        <w:rPr>
          <w:szCs w:val="20"/>
          <w:lang w:val="en-AU"/>
        </w:rPr>
        <w:t>,</w:t>
      </w:r>
      <w:r w:rsidRPr="003E76E7">
        <w:rPr>
          <w:szCs w:val="20"/>
          <w:lang w:val="en-AU"/>
        </w:rPr>
        <w:t xml:space="preserve"> NSW. This project is scheduled for completion in mid-2029.</w:t>
      </w:r>
    </w:p>
    <w:p w14:paraId="4C7DE011" w14:textId="77777777" w:rsidR="008A7ABF" w:rsidRPr="003E76E7" w:rsidRDefault="008A7ABF" w:rsidP="00C4292D">
      <w:pPr>
        <w:spacing w:before="0"/>
        <w:rPr>
          <w:rFonts w:cs="BookAntiqua"/>
          <w:szCs w:val="20"/>
          <w:lang w:val="en-AU"/>
        </w:rPr>
      </w:pPr>
    </w:p>
    <w:p w14:paraId="1409D800" w14:textId="77777777" w:rsidR="008A7ABF" w:rsidRPr="003E76E7" w:rsidRDefault="008A7ABF" w:rsidP="00C4292D">
      <w:pPr>
        <w:autoSpaceDE w:val="0"/>
        <w:autoSpaceDN w:val="0"/>
        <w:adjustRightInd w:val="0"/>
        <w:spacing w:before="0"/>
        <w:rPr>
          <w:rFonts w:ascii="Arial" w:hAnsi="Arial"/>
          <w:szCs w:val="20"/>
          <w:lang w:val="en-AU"/>
        </w:rPr>
      </w:pPr>
      <w:r w:rsidRPr="003E76E7">
        <w:rPr>
          <w:rFonts w:ascii="Arial" w:hAnsi="Arial"/>
          <w:szCs w:val="20"/>
          <w:lang w:val="en-AU"/>
        </w:rPr>
        <w:t>Garden Island (East) Critical Infrastructure Recovery Program (CIRP) Stage 2</w:t>
      </w:r>
    </w:p>
    <w:p w14:paraId="7BB13FC5" w14:textId="06556FF0" w:rsidR="008A7ABF" w:rsidRPr="003E76E7" w:rsidRDefault="008A7ABF" w:rsidP="00C4292D">
      <w:pPr>
        <w:autoSpaceDE w:val="0"/>
        <w:autoSpaceDN w:val="0"/>
        <w:adjustRightInd w:val="0"/>
        <w:spacing w:before="0"/>
        <w:rPr>
          <w:szCs w:val="20"/>
          <w:lang w:val="en-AU"/>
        </w:rPr>
      </w:pPr>
      <w:r w:rsidRPr="003E76E7">
        <w:rPr>
          <w:szCs w:val="20"/>
          <w:lang w:val="en-AU"/>
        </w:rPr>
        <w:t>This project is providing upgraded wharves and engineering services to address condition,</w:t>
      </w:r>
      <w:r w:rsidR="00BE14A6" w:rsidRPr="003E76E7">
        <w:rPr>
          <w:szCs w:val="20"/>
          <w:lang w:val="en-AU"/>
        </w:rPr>
        <w:t xml:space="preserve"> </w:t>
      </w:r>
      <w:r w:rsidRPr="003E76E7">
        <w:rPr>
          <w:szCs w:val="20"/>
          <w:lang w:val="en-AU"/>
        </w:rPr>
        <w:t>capacity and compliance issues at the Garden Island Defence Precinct, Sydney</w:t>
      </w:r>
      <w:r w:rsidR="00B565AE" w:rsidRPr="003E76E7">
        <w:rPr>
          <w:szCs w:val="20"/>
          <w:lang w:val="en-AU"/>
        </w:rPr>
        <w:t>,</w:t>
      </w:r>
      <w:r w:rsidRPr="003E76E7">
        <w:rPr>
          <w:szCs w:val="20"/>
          <w:lang w:val="en-AU"/>
        </w:rPr>
        <w:t xml:space="preserve"> NSW. This project is scheduled for completion in early</w:t>
      </w:r>
      <w:r w:rsidR="00846A3A" w:rsidRPr="003E76E7">
        <w:rPr>
          <w:szCs w:val="20"/>
          <w:lang w:val="en-AU"/>
        </w:rPr>
        <w:t xml:space="preserve"> </w:t>
      </w:r>
      <w:r w:rsidRPr="003E76E7">
        <w:rPr>
          <w:szCs w:val="20"/>
          <w:lang w:val="en-AU"/>
        </w:rPr>
        <w:t>2027.</w:t>
      </w:r>
    </w:p>
    <w:p w14:paraId="59E86A57" w14:textId="77777777" w:rsidR="008A7ABF" w:rsidRPr="003E76E7" w:rsidRDefault="008A7ABF" w:rsidP="00C4292D">
      <w:pPr>
        <w:autoSpaceDE w:val="0"/>
        <w:autoSpaceDN w:val="0"/>
        <w:adjustRightInd w:val="0"/>
        <w:spacing w:before="0"/>
        <w:rPr>
          <w:szCs w:val="20"/>
          <w:lang w:val="en-AU"/>
        </w:rPr>
      </w:pPr>
    </w:p>
    <w:p w14:paraId="44447C86" w14:textId="77777777" w:rsidR="008A7ABF" w:rsidRPr="003E76E7" w:rsidRDefault="008A7ABF" w:rsidP="00C4292D">
      <w:pPr>
        <w:autoSpaceDE w:val="0"/>
        <w:autoSpaceDN w:val="0"/>
        <w:adjustRightInd w:val="0"/>
        <w:spacing w:before="0"/>
        <w:rPr>
          <w:rFonts w:ascii="Arial" w:hAnsi="Arial"/>
          <w:szCs w:val="20"/>
          <w:lang w:val="en-AU"/>
        </w:rPr>
      </w:pPr>
      <w:r w:rsidRPr="003E76E7">
        <w:rPr>
          <w:rFonts w:ascii="Arial" w:hAnsi="Arial"/>
          <w:szCs w:val="20"/>
          <w:lang w:val="en-AU"/>
        </w:rPr>
        <w:t>Airfield Capital Works P0008 (RAAF Base Williamtown)</w:t>
      </w:r>
    </w:p>
    <w:p w14:paraId="1269F042" w14:textId="77777777" w:rsidR="008A7ABF" w:rsidRPr="003E76E7" w:rsidRDefault="008A7ABF" w:rsidP="00C4292D">
      <w:pPr>
        <w:autoSpaceDE w:val="0"/>
        <w:autoSpaceDN w:val="0"/>
        <w:adjustRightInd w:val="0"/>
        <w:spacing w:before="0"/>
        <w:rPr>
          <w:szCs w:val="20"/>
          <w:lang w:val="en-AU"/>
        </w:rPr>
      </w:pPr>
      <w:r w:rsidRPr="003E76E7">
        <w:rPr>
          <w:szCs w:val="20"/>
          <w:lang w:val="en-AU"/>
        </w:rPr>
        <w:t>This project is now in the Defects Liability Period.</w:t>
      </w:r>
    </w:p>
    <w:p w14:paraId="0532C3B6" w14:textId="77777777" w:rsidR="008A7ABF" w:rsidRPr="003E76E7" w:rsidRDefault="008A7ABF" w:rsidP="00C4292D">
      <w:pPr>
        <w:autoSpaceDE w:val="0"/>
        <w:autoSpaceDN w:val="0"/>
        <w:adjustRightInd w:val="0"/>
        <w:spacing w:before="0"/>
        <w:rPr>
          <w:rFonts w:cs="BookAntiqua"/>
          <w:szCs w:val="20"/>
          <w:lang w:val="en-AU"/>
        </w:rPr>
      </w:pPr>
    </w:p>
    <w:p w14:paraId="078AC548" w14:textId="77777777" w:rsidR="008A7ABF" w:rsidRPr="003E76E7" w:rsidRDefault="008A7ABF" w:rsidP="00C4292D">
      <w:pPr>
        <w:autoSpaceDE w:val="0"/>
        <w:autoSpaceDN w:val="0"/>
        <w:adjustRightInd w:val="0"/>
        <w:spacing w:before="0"/>
        <w:rPr>
          <w:rFonts w:ascii="Arial" w:hAnsi="Arial"/>
          <w:szCs w:val="20"/>
          <w:lang w:val="en-AU"/>
        </w:rPr>
      </w:pPr>
      <w:r w:rsidRPr="003E76E7">
        <w:rPr>
          <w:rFonts w:ascii="Arial" w:hAnsi="Arial"/>
          <w:szCs w:val="20"/>
          <w:lang w:val="en-AU"/>
        </w:rPr>
        <w:t>Guided Weapons Explosive Ordnance Program Accelerated Storage Myambat</w:t>
      </w:r>
    </w:p>
    <w:p w14:paraId="4BB216BA" w14:textId="5589EEED" w:rsidR="008A7ABF" w:rsidRPr="003E76E7" w:rsidRDefault="008A7ABF" w:rsidP="00C4292D">
      <w:pPr>
        <w:autoSpaceDE w:val="0"/>
        <w:autoSpaceDN w:val="0"/>
        <w:adjustRightInd w:val="0"/>
        <w:spacing w:before="0"/>
        <w:rPr>
          <w:szCs w:val="20"/>
          <w:lang w:val="en-AU"/>
        </w:rPr>
      </w:pPr>
      <w:r w:rsidRPr="003E76E7">
        <w:rPr>
          <w:szCs w:val="20"/>
          <w:lang w:val="en-AU"/>
        </w:rPr>
        <w:t>This project is providing storage at Defence Establishment</w:t>
      </w:r>
      <w:r w:rsidR="00B565AE" w:rsidRPr="003E76E7">
        <w:rPr>
          <w:szCs w:val="20"/>
          <w:lang w:val="en-AU"/>
        </w:rPr>
        <w:t>,</w:t>
      </w:r>
      <w:r w:rsidRPr="003E76E7">
        <w:rPr>
          <w:szCs w:val="20"/>
          <w:lang w:val="en-AU"/>
        </w:rPr>
        <w:t xml:space="preserve"> Myambat</w:t>
      </w:r>
      <w:r w:rsidR="00B565AE" w:rsidRPr="003E76E7">
        <w:rPr>
          <w:szCs w:val="20"/>
          <w:lang w:val="en-AU"/>
        </w:rPr>
        <w:t>,</w:t>
      </w:r>
      <w:r w:rsidRPr="003E76E7">
        <w:rPr>
          <w:szCs w:val="20"/>
          <w:lang w:val="en-AU"/>
        </w:rPr>
        <w:t xml:space="preserve"> NSW. This project is</w:t>
      </w:r>
      <w:r w:rsidR="00BE14A6" w:rsidRPr="003E76E7">
        <w:rPr>
          <w:szCs w:val="20"/>
          <w:lang w:val="en-AU"/>
        </w:rPr>
        <w:t xml:space="preserve"> </w:t>
      </w:r>
      <w:r w:rsidRPr="003E76E7">
        <w:rPr>
          <w:szCs w:val="20"/>
          <w:lang w:val="en-AU"/>
        </w:rPr>
        <w:t>scheduled for completion in mid-2026.</w:t>
      </w:r>
    </w:p>
    <w:p w14:paraId="0A1EC01B" w14:textId="47DECD8D" w:rsidR="008A7ABF" w:rsidRPr="003E76E7" w:rsidRDefault="008A7ABF" w:rsidP="00C4292D">
      <w:pPr>
        <w:autoSpaceDE w:val="0"/>
        <w:autoSpaceDN w:val="0"/>
        <w:adjustRightInd w:val="0"/>
        <w:spacing w:before="0"/>
        <w:rPr>
          <w:rFonts w:cs="BookAntiqua"/>
          <w:szCs w:val="20"/>
          <w:lang w:val="en-AU"/>
        </w:rPr>
      </w:pPr>
    </w:p>
    <w:p w14:paraId="71C64D8C" w14:textId="77777777" w:rsidR="00BE14A6" w:rsidRPr="003E76E7" w:rsidRDefault="00BE14A6" w:rsidP="00C4292D">
      <w:pPr>
        <w:spacing w:before="0" w:after="0"/>
        <w:rPr>
          <w:szCs w:val="20"/>
          <w:lang w:val="en-AU"/>
        </w:rPr>
      </w:pPr>
      <w:r w:rsidRPr="003E76E7">
        <w:rPr>
          <w:szCs w:val="20"/>
          <w:lang w:val="en-AU"/>
        </w:rPr>
        <w:br w:type="page"/>
      </w:r>
    </w:p>
    <w:p w14:paraId="58BC79D0" w14:textId="4A7125DC" w:rsidR="008A7ABF" w:rsidRPr="003E76E7" w:rsidRDefault="008A7ABF" w:rsidP="00C4292D">
      <w:pPr>
        <w:autoSpaceDE w:val="0"/>
        <w:autoSpaceDN w:val="0"/>
        <w:adjustRightInd w:val="0"/>
        <w:spacing w:before="0"/>
        <w:rPr>
          <w:rFonts w:ascii="Arial" w:hAnsi="Arial"/>
          <w:szCs w:val="20"/>
          <w:lang w:val="en-AU"/>
        </w:rPr>
      </w:pPr>
      <w:r w:rsidRPr="003E76E7">
        <w:rPr>
          <w:rFonts w:ascii="Arial" w:hAnsi="Arial"/>
          <w:szCs w:val="20"/>
          <w:lang w:val="en-AU"/>
        </w:rPr>
        <w:lastRenderedPageBreak/>
        <w:t>Guided Weapons Explosive Ordnance Program Accelerated Storage Jennings</w:t>
      </w:r>
    </w:p>
    <w:p w14:paraId="519A0EA2" w14:textId="6CDCB53B" w:rsidR="008A7ABF" w:rsidRPr="003E76E7" w:rsidRDefault="008A7ABF" w:rsidP="00C4292D">
      <w:pPr>
        <w:autoSpaceDE w:val="0"/>
        <w:autoSpaceDN w:val="0"/>
        <w:adjustRightInd w:val="0"/>
        <w:spacing w:before="0"/>
        <w:rPr>
          <w:szCs w:val="20"/>
          <w:lang w:val="en-AU"/>
        </w:rPr>
      </w:pPr>
      <w:r w:rsidRPr="003E76E7">
        <w:rPr>
          <w:szCs w:val="20"/>
          <w:lang w:val="en-AU"/>
        </w:rPr>
        <w:t>This project is providing storage at Defence Establishment Jennings</w:t>
      </w:r>
      <w:r w:rsidR="00B565AE" w:rsidRPr="003E76E7">
        <w:rPr>
          <w:szCs w:val="20"/>
          <w:lang w:val="en-AU"/>
        </w:rPr>
        <w:t>,</w:t>
      </w:r>
      <w:r w:rsidRPr="003E76E7">
        <w:rPr>
          <w:szCs w:val="20"/>
          <w:lang w:val="en-AU"/>
        </w:rPr>
        <w:t xml:space="preserve"> NSW. This project is scheduled for completion in late 2026.</w:t>
      </w:r>
    </w:p>
    <w:p w14:paraId="39B4E13A" w14:textId="1538C9EC" w:rsidR="008A7ABF" w:rsidRPr="003E76E7" w:rsidRDefault="008A7ABF" w:rsidP="00C4292D">
      <w:pPr>
        <w:autoSpaceDE w:val="0"/>
        <w:autoSpaceDN w:val="0"/>
        <w:adjustRightInd w:val="0"/>
        <w:spacing w:before="0"/>
        <w:rPr>
          <w:szCs w:val="20"/>
          <w:lang w:val="en-AU"/>
        </w:rPr>
      </w:pPr>
    </w:p>
    <w:p w14:paraId="6B312E5B" w14:textId="77777777" w:rsidR="008A7ABF" w:rsidRPr="003E76E7" w:rsidRDefault="008A7ABF" w:rsidP="00C4292D">
      <w:pPr>
        <w:autoSpaceDE w:val="0"/>
        <w:autoSpaceDN w:val="0"/>
        <w:adjustRightInd w:val="0"/>
        <w:spacing w:before="0"/>
        <w:rPr>
          <w:rFonts w:ascii="Arial" w:hAnsi="Arial"/>
          <w:szCs w:val="20"/>
          <w:lang w:val="en-AU"/>
        </w:rPr>
      </w:pPr>
      <w:r w:rsidRPr="003E76E7">
        <w:rPr>
          <w:rFonts w:ascii="Arial" w:hAnsi="Arial"/>
          <w:szCs w:val="20"/>
          <w:lang w:val="en-AU"/>
        </w:rPr>
        <w:t>General John Baker Complex Capability Assurance Project Tranche 1</w:t>
      </w:r>
    </w:p>
    <w:p w14:paraId="58CC536A" w14:textId="77777777" w:rsidR="008A7ABF" w:rsidRPr="003E76E7" w:rsidRDefault="008A7ABF" w:rsidP="00C4292D">
      <w:pPr>
        <w:autoSpaceDE w:val="0"/>
        <w:autoSpaceDN w:val="0"/>
        <w:adjustRightInd w:val="0"/>
        <w:spacing w:before="0"/>
        <w:rPr>
          <w:szCs w:val="20"/>
          <w:lang w:val="en-AU"/>
        </w:rPr>
      </w:pPr>
      <w:r w:rsidRPr="003E76E7">
        <w:rPr>
          <w:szCs w:val="20"/>
          <w:lang w:val="en-AU"/>
        </w:rPr>
        <w:t xml:space="preserve">This project is now in the Defects Liability Period. </w:t>
      </w:r>
    </w:p>
    <w:p w14:paraId="31A8FB2D" w14:textId="77777777" w:rsidR="008A7ABF" w:rsidRPr="003E76E7" w:rsidRDefault="008A7ABF" w:rsidP="00C4292D">
      <w:pPr>
        <w:autoSpaceDE w:val="0"/>
        <w:autoSpaceDN w:val="0"/>
        <w:adjustRightInd w:val="0"/>
        <w:spacing w:before="0"/>
        <w:rPr>
          <w:rFonts w:cs="BookAntiqua"/>
          <w:szCs w:val="20"/>
          <w:lang w:val="en-AU"/>
        </w:rPr>
      </w:pPr>
    </w:p>
    <w:p w14:paraId="3AB8B5E1" w14:textId="77777777" w:rsidR="008A7ABF" w:rsidRPr="003E76E7" w:rsidRDefault="008A7ABF" w:rsidP="00C4292D">
      <w:pPr>
        <w:autoSpaceDE w:val="0"/>
        <w:autoSpaceDN w:val="0"/>
        <w:adjustRightInd w:val="0"/>
        <w:spacing w:before="0"/>
        <w:rPr>
          <w:rFonts w:ascii="Arial" w:hAnsi="Arial"/>
          <w:szCs w:val="20"/>
          <w:lang w:val="en-AU"/>
        </w:rPr>
      </w:pPr>
      <w:r w:rsidRPr="003E76E7">
        <w:rPr>
          <w:rFonts w:ascii="Arial" w:hAnsi="Arial"/>
          <w:szCs w:val="20"/>
          <w:lang w:val="en-AU"/>
        </w:rPr>
        <w:t>Facilities to Support LAND 3025 Phase 2 Deployable Special Operations Engineer Regiment</w:t>
      </w:r>
    </w:p>
    <w:p w14:paraId="5B264BFB" w14:textId="77777777" w:rsidR="008A7ABF" w:rsidRPr="003E76E7" w:rsidRDefault="008A7ABF" w:rsidP="00C4292D">
      <w:pPr>
        <w:autoSpaceDE w:val="0"/>
        <w:autoSpaceDN w:val="0"/>
        <w:adjustRightInd w:val="0"/>
        <w:spacing w:before="0"/>
        <w:rPr>
          <w:szCs w:val="20"/>
          <w:lang w:val="en-AU"/>
        </w:rPr>
      </w:pPr>
      <w:r w:rsidRPr="003E76E7">
        <w:rPr>
          <w:szCs w:val="20"/>
          <w:lang w:val="en-AU"/>
        </w:rPr>
        <w:t>This project is now in the Defects Liability Period.</w:t>
      </w:r>
    </w:p>
    <w:p w14:paraId="673DD4D1" w14:textId="77777777" w:rsidR="008A7ABF" w:rsidRPr="003E76E7" w:rsidRDefault="008A7ABF" w:rsidP="00C4292D">
      <w:pPr>
        <w:autoSpaceDE w:val="0"/>
        <w:autoSpaceDN w:val="0"/>
        <w:adjustRightInd w:val="0"/>
        <w:spacing w:before="0"/>
        <w:rPr>
          <w:rFonts w:cs="BookAntiqua"/>
          <w:szCs w:val="20"/>
          <w:lang w:val="en-AU"/>
        </w:rPr>
      </w:pPr>
    </w:p>
    <w:p w14:paraId="4A1A40B3" w14:textId="77777777" w:rsidR="008A7ABF" w:rsidRPr="003E76E7" w:rsidRDefault="008A7ABF" w:rsidP="00C4292D">
      <w:pPr>
        <w:autoSpaceDE w:val="0"/>
        <w:autoSpaceDN w:val="0"/>
        <w:adjustRightInd w:val="0"/>
        <w:spacing w:before="0"/>
        <w:rPr>
          <w:rFonts w:ascii="Arial" w:hAnsi="Arial"/>
          <w:szCs w:val="20"/>
          <w:lang w:val="en-AU"/>
        </w:rPr>
      </w:pPr>
      <w:r w:rsidRPr="003E76E7">
        <w:rPr>
          <w:rFonts w:ascii="Arial" w:hAnsi="Arial"/>
          <w:szCs w:val="20"/>
          <w:lang w:val="en-AU"/>
        </w:rPr>
        <w:t>Facilities for A Company 41st Royal New South Wales Regiment Tweed Heads Region</w:t>
      </w:r>
    </w:p>
    <w:p w14:paraId="6C30E6A5" w14:textId="77777777" w:rsidR="008A7ABF" w:rsidRPr="003E76E7" w:rsidRDefault="008A7ABF" w:rsidP="00C4292D">
      <w:pPr>
        <w:autoSpaceDE w:val="0"/>
        <w:autoSpaceDN w:val="0"/>
        <w:adjustRightInd w:val="0"/>
        <w:spacing w:before="0"/>
        <w:rPr>
          <w:szCs w:val="20"/>
          <w:lang w:val="en-AU"/>
        </w:rPr>
      </w:pPr>
      <w:r w:rsidRPr="003E76E7">
        <w:rPr>
          <w:szCs w:val="20"/>
          <w:lang w:val="en-AU"/>
        </w:rPr>
        <w:t>This project is now in the Defects Liability Period.</w:t>
      </w:r>
    </w:p>
    <w:p w14:paraId="2B0D3D0E" w14:textId="77777777" w:rsidR="008A7ABF" w:rsidRPr="003E76E7" w:rsidRDefault="008A7ABF" w:rsidP="00C4292D">
      <w:pPr>
        <w:autoSpaceDE w:val="0"/>
        <w:autoSpaceDN w:val="0"/>
        <w:adjustRightInd w:val="0"/>
        <w:spacing w:before="0"/>
        <w:rPr>
          <w:szCs w:val="20"/>
          <w:lang w:val="en-AU"/>
        </w:rPr>
      </w:pPr>
    </w:p>
    <w:p w14:paraId="35EC1854" w14:textId="77777777" w:rsidR="008A7ABF" w:rsidRPr="003E76E7" w:rsidRDefault="008A7ABF" w:rsidP="00C4292D">
      <w:pPr>
        <w:pStyle w:val="Heading4level5"/>
        <w:spacing w:before="0" w:after="100"/>
        <w:outlineLvl w:val="9"/>
      </w:pPr>
      <w:r w:rsidRPr="003E76E7">
        <w:t>Northern Territory</w:t>
      </w:r>
    </w:p>
    <w:p w14:paraId="3D6E2AFA" w14:textId="77777777" w:rsidR="008A7ABF" w:rsidRPr="003E76E7" w:rsidRDefault="008A7ABF" w:rsidP="00C4292D">
      <w:pPr>
        <w:autoSpaceDE w:val="0"/>
        <w:autoSpaceDN w:val="0"/>
        <w:adjustRightInd w:val="0"/>
        <w:spacing w:before="0"/>
        <w:rPr>
          <w:rFonts w:ascii="Arial" w:hAnsi="Arial"/>
          <w:szCs w:val="20"/>
          <w:lang w:val="en-AU"/>
        </w:rPr>
      </w:pPr>
      <w:r w:rsidRPr="003E76E7">
        <w:rPr>
          <w:rFonts w:ascii="Arial" w:hAnsi="Arial"/>
          <w:szCs w:val="20"/>
          <w:lang w:val="en-AU"/>
        </w:rPr>
        <w:t>RAAF Base Tindal Redevelopment Stage 6 and United States Force Posture Initiative (USFPI) Airfield Works and Associated Infrastructure</w:t>
      </w:r>
    </w:p>
    <w:p w14:paraId="46739834" w14:textId="66999368" w:rsidR="008A7ABF" w:rsidRPr="003E76E7" w:rsidRDefault="008A7ABF" w:rsidP="00C4292D">
      <w:pPr>
        <w:autoSpaceDE w:val="0"/>
        <w:autoSpaceDN w:val="0"/>
        <w:adjustRightInd w:val="0"/>
        <w:spacing w:before="0"/>
        <w:rPr>
          <w:szCs w:val="20"/>
          <w:lang w:val="en-AU"/>
        </w:rPr>
      </w:pPr>
      <w:r w:rsidRPr="003E76E7">
        <w:rPr>
          <w:szCs w:val="20"/>
          <w:lang w:val="en-AU"/>
        </w:rPr>
        <w:t>This program is delivering a range of new and refurbished facilities and infrastructure, including airfield improvements and engineering services upgrades, at RAAF Base Tindal</w:t>
      </w:r>
      <w:r w:rsidR="00B565AE" w:rsidRPr="003E76E7">
        <w:rPr>
          <w:szCs w:val="20"/>
          <w:lang w:val="en-AU"/>
        </w:rPr>
        <w:t>,</w:t>
      </w:r>
      <w:r w:rsidRPr="003E76E7">
        <w:rPr>
          <w:szCs w:val="20"/>
          <w:lang w:val="en-AU"/>
        </w:rPr>
        <w:t xml:space="preserve"> NT. This program of works is scheduled for completion in late 2026.</w:t>
      </w:r>
    </w:p>
    <w:p w14:paraId="2ACD1AF8" w14:textId="77777777" w:rsidR="00EC4935" w:rsidRPr="003E76E7" w:rsidRDefault="00EC4935" w:rsidP="00C4292D">
      <w:pPr>
        <w:spacing w:before="0"/>
        <w:rPr>
          <w:rFonts w:ascii="BookAntiqua" w:hAnsi="BookAntiqua" w:cs="BookAntiqua"/>
          <w:szCs w:val="20"/>
          <w:lang w:val="en-AU"/>
        </w:rPr>
      </w:pPr>
    </w:p>
    <w:p w14:paraId="19905378" w14:textId="77777777" w:rsidR="00EC4935" w:rsidRPr="003E76E7" w:rsidRDefault="00EC4935" w:rsidP="00C4292D">
      <w:pPr>
        <w:autoSpaceDE w:val="0"/>
        <w:autoSpaceDN w:val="0"/>
        <w:adjustRightInd w:val="0"/>
        <w:spacing w:before="0"/>
        <w:rPr>
          <w:szCs w:val="20"/>
          <w:lang w:val="en-AU"/>
        </w:rPr>
      </w:pPr>
      <w:r w:rsidRPr="003E76E7">
        <w:rPr>
          <w:rFonts w:ascii="Arial" w:hAnsi="Arial"/>
          <w:szCs w:val="20"/>
          <w:lang w:val="en-AU"/>
        </w:rPr>
        <w:t>Cocos (Keeling) Islands Airfield Upgrade</w:t>
      </w:r>
    </w:p>
    <w:p w14:paraId="50DEDEFC" w14:textId="77777777" w:rsidR="00EC4935" w:rsidRPr="003E76E7" w:rsidRDefault="00EC4935" w:rsidP="00C4292D">
      <w:pPr>
        <w:autoSpaceDE w:val="0"/>
        <w:autoSpaceDN w:val="0"/>
        <w:adjustRightInd w:val="0"/>
        <w:spacing w:before="0"/>
        <w:rPr>
          <w:szCs w:val="20"/>
          <w:lang w:val="en-AU"/>
        </w:rPr>
      </w:pPr>
      <w:r w:rsidRPr="003E76E7">
        <w:rPr>
          <w:szCs w:val="20"/>
          <w:lang w:val="en-AU"/>
        </w:rPr>
        <w:t>This project is upgrading the airfield and constructing supporting infrastructure at Cocos (Keeling) Islands. This project is scheduled for completion in early 2029.</w:t>
      </w:r>
    </w:p>
    <w:p w14:paraId="5BA2E57F" w14:textId="77777777" w:rsidR="008A7ABF" w:rsidRPr="003E76E7" w:rsidRDefault="008A7ABF" w:rsidP="00C4292D">
      <w:pPr>
        <w:autoSpaceDE w:val="0"/>
        <w:autoSpaceDN w:val="0"/>
        <w:adjustRightInd w:val="0"/>
        <w:spacing w:before="0"/>
        <w:rPr>
          <w:lang w:val="en-AU"/>
        </w:rPr>
      </w:pPr>
    </w:p>
    <w:p w14:paraId="134B147A" w14:textId="77777777" w:rsidR="008A7ABF" w:rsidRPr="003E76E7" w:rsidRDefault="008A7ABF" w:rsidP="00C4292D">
      <w:pPr>
        <w:autoSpaceDE w:val="0"/>
        <w:autoSpaceDN w:val="0"/>
        <w:adjustRightInd w:val="0"/>
        <w:spacing w:before="0"/>
        <w:rPr>
          <w:rFonts w:ascii="Arial" w:hAnsi="Arial"/>
          <w:szCs w:val="20"/>
          <w:lang w:val="en-AU"/>
        </w:rPr>
      </w:pPr>
      <w:r w:rsidRPr="003E76E7">
        <w:rPr>
          <w:rFonts w:ascii="Arial" w:hAnsi="Arial"/>
          <w:szCs w:val="20"/>
          <w:lang w:val="en-AU"/>
        </w:rPr>
        <w:t>USFPI Northern Territory Training Areas and Ranges Upgrades</w:t>
      </w:r>
    </w:p>
    <w:p w14:paraId="425D4FE8" w14:textId="77777777" w:rsidR="008A7ABF" w:rsidRPr="003E76E7" w:rsidRDefault="008A7ABF" w:rsidP="00C4292D">
      <w:pPr>
        <w:autoSpaceDE w:val="0"/>
        <w:autoSpaceDN w:val="0"/>
        <w:adjustRightInd w:val="0"/>
        <w:spacing w:before="0"/>
        <w:rPr>
          <w:szCs w:val="20"/>
          <w:lang w:val="en-AU"/>
        </w:rPr>
      </w:pPr>
      <w:r w:rsidRPr="003E76E7">
        <w:rPr>
          <w:szCs w:val="20"/>
          <w:lang w:val="en-AU"/>
        </w:rPr>
        <w:t>This project is providing upgraded range facilities and associated infrastructure at the Bradshaw Field, Kangaroo Flats, Mount Bundey and Robertson Barracks Close training areas in the NT. This includes range control, training camp accommodation, small arms ranges, roads, and supporting facilities and infrastructure. This project is scheduled for completion in mid-2026.</w:t>
      </w:r>
    </w:p>
    <w:p w14:paraId="10CF4AFB" w14:textId="77777777" w:rsidR="008A7ABF" w:rsidRPr="003E76E7" w:rsidRDefault="008A7ABF" w:rsidP="00C4292D">
      <w:pPr>
        <w:spacing w:before="0"/>
        <w:rPr>
          <w:rFonts w:ascii="BookAntiqua" w:hAnsi="BookAntiqua" w:cs="BookAntiqua"/>
          <w:szCs w:val="20"/>
          <w:lang w:val="en-AU"/>
        </w:rPr>
      </w:pPr>
    </w:p>
    <w:p w14:paraId="7B7C2E89" w14:textId="77777777" w:rsidR="008A7ABF" w:rsidRPr="003E76E7" w:rsidRDefault="008A7ABF" w:rsidP="00C4292D">
      <w:pPr>
        <w:autoSpaceDE w:val="0"/>
        <w:autoSpaceDN w:val="0"/>
        <w:adjustRightInd w:val="0"/>
        <w:spacing w:before="0"/>
        <w:rPr>
          <w:rFonts w:ascii="Arial" w:hAnsi="Arial"/>
          <w:szCs w:val="20"/>
          <w:lang w:val="en-AU"/>
        </w:rPr>
      </w:pPr>
      <w:r w:rsidRPr="003E76E7">
        <w:rPr>
          <w:rFonts w:ascii="Arial" w:hAnsi="Arial"/>
          <w:szCs w:val="20"/>
          <w:lang w:val="en-AU"/>
        </w:rPr>
        <w:t>Larrakeyah Defence Precinct Redevelopment Program</w:t>
      </w:r>
    </w:p>
    <w:p w14:paraId="6612362D" w14:textId="01D080B7" w:rsidR="008A7ABF" w:rsidRPr="003E76E7" w:rsidRDefault="008A7ABF" w:rsidP="00C4292D">
      <w:pPr>
        <w:autoSpaceDE w:val="0"/>
        <w:autoSpaceDN w:val="0"/>
        <w:adjustRightInd w:val="0"/>
        <w:spacing w:before="0"/>
        <w:rPr>
          <w:szCs w:val="20"/>
          <w:lang w:val="en-AU"/>
        </w:rPr>
      </w:pPr>
      <w:r w:rsidRPr="003E76E7">
        <w:rPr>
          <w:szCs w:val="20"/>
          <w:lang w:val="en-AU"/>
        </w:rPr>
        <w:t>This program is upgrading critical base infrastructure at the Larrakeyah Defence Precinct</w:t>
      </w:r>
      <w:r w:rsidR="00B565AE" w:rsidRPr="003E76E7">
        <w:rPr>
          <w:szCs w:val="20"/>
          <w:lang w:val="en-AU"/>
        </w:rPr>
        <w:t>,</w:t>
      </w:r>
      <w:r w:rsidRPr="003E76E7">
        <w:rPr>
          <w:szCs w:val="20"/>
          <w:lang w:val="en-AU"/>
        </w:rPr>
        <w:t xml:space="preserve"> NT. This includes upgrading engineering services and providing a new wharf. This program is scheduled for completion in mid-2026.</w:t>
      </w:r>
    </w:p>
    <w:p w14:paraId="31BCE7D0" w14:textId="77777777" w:rsidR="008A7ABF" w:rsidRPr="003E76E7" w:rsidRDefault="008A7ABF" w:rsidP="00C4292D">
      <w:pPr>
        <w:spacing w:before="0"/>
        <w:rPr>
          <w:rFonts w:ascii="BookAntiqua" w:hAnsi="BookAntiqua" w:cs="BookAntiqua"/>
          <w:szCs w:val="20"/>
          <w:lang w:val="en-AU"/>
        </w:rPr>
      </w:pPr>
    </w:p>
    <w:p w14:paraId="3715D9A0" w14:textId="77777777" w:rsidR="008A7ABF" w:rsidRPr="003E76E7" w:rsidRDefault="008A7ABF" w:rsidP="00C4292D">
      <w:pPr>
        <w:autoSpaceDE w:val="0"/>
        <w:autoSpaceDN w:val="0"/>
        <w:adjustRightInd w:val="0"/>
        <w:spacing w:before="0"/>
        <w:rPr>
          <w:rFonts w:ascii="Arial" w:hAnsi="Arial"/>
          <w:szCs w:val="20"/>
          <w:lang w:val="en-AU"/>
        </w:rPr>
      </w:pPr>
      <w:r w:rsidRPr="003E76E7">
        <w:rPr>
          <w:rFonts w:ascii="Arial" w:hAnsi="Arial"/>
          <w:szCs w:val="20"/>
          <w:lang w:val="en-AU"/>
        </w:rPr>
        <w:t>Robertson Barracks Base Improvements Project</w:t>
      </w:r>
    </w:p>
    <w:p w14:paraId="34C599FC" w14:textId="45D20B9F" w:rsidR="008A7ABF" w:rsidRPr="003E76E7" w:rsidRDefault="008A7ABF" w:rsidP="00C4292D">
      <w:pPr>
        <w:autoSpaceDE w:val="0"/>
        <w:autoSpaceDN w:val="0"/>
        <w:adjustRightInd w:val="0"/>
        <w:spacing w:before="0"/>
        <w:rPr>
          <w:szCs w:val="20"/>
          <w:lang w:val="en-AU"/>
        </w:rPr>
      </w:pPr>
      <w:r w:rsidRPr="003E76E7">
        <w:rPr>
          <w:szCs w:val="20"/>
          <w:lang w:val="en-AU"/>
        </w:rPr>
        <w:t>This project is upgrading engineering services such as potable water and power, providing</w:t>
      </w:r>
      <w:r w:rsidR="00BE14A6" w:rsidRPr="003E76E7">
        <w:rPr>
          <w:szCs w:val="20"/>
          <w:lang w:val="en-AU"/>
        </w:rPr>
        <w:t xml:space="preserve"> </w:t>
      </w:r>
      <w:r w:rsidRPr="003E76E7">
        <w:rPr>
          <w:szCs w:val="20"/>
          <w:lang w:val="en-AU"/>
        </w:rPr>
        <w:t>additional living-in accommodation, and upgrading engineering services at Robertson Barracks</w:t>
      </w:r>
      <w:r w:rsidR="00B565AE" w:rsidRPr="003E76E7">
        <w:rPr>
          <w:szCs w:val="20"/>
          <w:lang w:val="en-AU"/>
        </w:rPr>
        <w:t>,</w:t>
      </w:r>
      <w:r w:rsidRPr="003E76E7">
        <w:rPr>
          <w:szCs w:val="20"/>
          <w:lang w:val="en-AU"/>
        </w:rPr>
        <w:t xml:space="preserve"> NT. This project is scheduled for completion in early 2027.</w:t>
      </w:r>
    </w:p>
    <w:p w14:paraId="1BB127F9" w14:textId="77777777" w:rsidR="008A7ABF" w:rsidRPr="003E76E7" w:rsidRDefault="008A7ABF" w:rsidP="00C4292D">
      <w:pPr>
        <w:autoSpaceDE w:val="0"/>
        <w:autoSpaceDN w:val="0"/>
        <w:adjustRightInd w:val="0"/>
        <w:spacing w:before="0"/>
        <w:rPr>
          <w:rFonts w:ascii="ArialMT" w:hAnsi="ArialMT" w:cs="ArialMT"/>
          <w:szCs w:val="20"/>
          <w:lang w:val="en-AU"/>
        </w:rPr>
      </w:pPr>
    </w:p>
    <w:p w14:paraId="7657439C" w14:textId="77777777" w:rsidR="008A7ABF" w:rsidRPr="003E76E7" w:rsidRDefault="008A7ABF" w:rsidP="00C4292D">
      <w:pPr>
        <w:autoSpaceDE w:val="0"/>
        <w:autoSpaceDN w:val="0"/>
        <w:adjustRightInd w:val="0"/>
        <w:spacing w:before="0"/>
        <w:rPr>
          <w:rFonts w:ascii="Arial" w:hAnsi="Arial"/>
          <w:szCs w:val="20"/>
          <w:lang w:val="en-AU"/>
        </w:rPr>
      </w:pPr>
      <w:r w:rsidRPr="003E76E7">
        <w:rPr>
          <w:rFonts w:ascii="Arial" w:hAnsi="Arial"/>
          <w:szCs w:val="20"/>
          <w:lang w:val="en-AU"/>
        </w:rPr>
        <w:t>Airfield Capital Works P0009 (RAAF Darwin and Mount Bundey)</w:t>
      </w:r>
    </w:p>
    <w:p w14:paraId="312A0380" w14:textId="69D3CAAF" w:rsidR="008A7ABF" w:rsidRPr="003E76E7" w:rsidRDefault="008A7ABF" w:rsidP="00C4292D">
      <w:pPr>
        <w:autoSpaceDE w:val="0"/>
        <w:autoSpaceDN w:val="0"/>
        <w:adjustRightInd w:val="0"/>
        <w:spacing w:before="0"/>
        <w:rPr>
          <w:szCs w:val="20"/>
          <w:lang w:val="en-AU"/>
        </w:rPr>
      </w:pPr>
      <w:r w:rsidRPr="003E76E7">
        <w:rPr>
          <w:szCs w:val="20"/>
          <w:lang w:val="en-AU"/>
        </w:rPr>
        <w:t>This project is maintaining aircraft pavements and aeronautical ground lighting at RAAF Base</w:t>
      </w:r>
      <w:r w:rsidR="00BE14A6" w:rsidRPr="003E76E7">
        <w:rPr>
          <w:szCs w:val="20"/>
          <w:lang w:val="en-AU"/>
        </w:rPr>
        <w:t xml:space="preserve"> </w:t>
      </w:r>
      <w:r w:rsidRPr="003E76E7">
        <w:rPr>
          <w:szCs w:val="20"/>
          <w:lang w:val="en-AU"/>
        </w:rPr>
        <w:t>Darwin</w:t>
      </w:r>
      <w:r w:rsidR="00B565AE" w:rsidRPr="003E76E7">
        <w:rPr>
          <w:szCs w:val="20"/>
          <w:lang w:val="en-AU"/>
        </w:rPr>
        <w:t>,</w:t>
      </w:r>
      <w:r w:rsidRPr="003E76E7">
        <w:rPr>
          <w:szCs w:val="20"/>
          <w:lang w:val="en-AU"/>
        </w:rPr>
        <w:t xml:space="preserve"> NT and Mount Bundey</w:t>
      </w:r>
      <w:r w:rsidR="00B565AE" w:rsidRPr="003E76E7">
        <w:rPr>
          <w:szCs w:val="20"/>
          <w:lang w:val="en-AU"/>
        </w:rPr>
        <w:t>,</w:t>
      </w:r>
      <w:r w:rsidRPr="003E76E7">
        <w:rPr>
          <w:szCs w:val="20"/>
          <w:lang w:val="en-AU"/>
        </w:rPr>
        <w:t xml:space="preserve"> NT. This project is scheduled for completion in mid-2026.</w:t>
      </w:r>
    </w:p>
    <w:p w14:paraId="33D515F9" w14:textId="77777777" w:rsidR="008A7ABF" w:rsidRPr="003E76E7" w:rsidRDefault="008A7ABF" w:rsidP="00C4292D">
      <w:pPr>
        <w:autoSpaceDE w:val="0"/>
        <w:autoSpaceDN w:val="0"/>
        <w:adjustRightInd w:val="0"/>
        <w:spacing w:before="0"/>
        <w:rPr>
          <w:rFonts w:ascii="ArialMT" w:hAnsi="ArialMT" w:cs="ArialMT"/>
          <w:szCs w:val="20"/>
          <w:lang w:val="en-AU"/>
        </w:rPr>
      </w:pPr>
    </w:p>
    <w:p w14:paraId="10B8CE72" w14:textId="77777777" w:rsidR="008A7ABF" w:rsidRPr="003E76E7" w:rsidRDefault="008A7ABF" w:rsidP="00C4292D">
      <w:pPr>
        <w:autoSpaceDE w:val="0"/>
        <w:autoSpaceDN w:val="0"/>
        <w:adjustRightInd w:val="0"/>
        <w:spacing w:before="0"/>
        <w:rPr>
          <w:rFonts w:ascii="Arial" w:hAnsi="Arial"/>
          <w:szCs w:val="20"/>
          <w:lang w:val="en-AU"/>
        </w:rPr>
      </w:pPr>
      <w:r w:rsidRPr="003E76E7">
        <w:rPr>
          <w:rFonts w:ascii="Arial" w:hAnsi="Arial"/>
          <w:szCs w:val="20"/>
          <w:lang w:val="en-AU"/>
        </w:rPr>
        <w:lastRenderedPageBreak/>
        <w:t>RAAF Base Darwin Mid-Term Refresh</w:t>
      </w:r>
    </w:p>
    <w:p w14:paraId="1CD4AEDA" w14:textId="274185D3" w:rsidR="008A7ABF" w:rsidRPr="003E76E7" w:rsidRDefault="008A7ABF" w:rsidP="00C4292D">
      <w:pPr>
        <w:autoSpaceDE w:val="0"/>
        <w:autoSpaceDN w:val="0"/>
        <w:adjustRightInd w:val="0"/>
        <w:spacing w:before="0"/>
        <w:rPr>
          <w:szCs w:val="20"/>
          <w:lang w:val="en-AU"/>
        </w:rPr>
      </w:pPr>
      <w:r w:rsidRPr="003E76E7">
        <w:rPr>
          <w:szCs w:val="20"/>
          <w:lang w:val="en-AU"/>
        </w:rPr>
        <w:t>This project is upgrading the entry and engineering services, such as water and sewer networks, at RAAF Base Darwin</w:t>
      </w:r>
      <w:r w:rsidR="00B565AE" w:rsidRPr="003E76E7">
        <w:rPr>
          <w:szCs w:val="20"/>
          <w:lang w:val="en-AU"/>
        </w:rPr>
        <w:t>,</w:t>
      </w:r>
      <w:r w:rsidRPr="003E76E7">
        <w:rPr>
          <w:szCs w:val="20"/>
          <w:lang w:val="en-AU"/>
        </w:rPr>
        <w:t xml:space="preserve"> NT. This project is scheduled for completion in mid-2027.</w:t>
      </w:r>
    </w:p>
    <w:p w14:paraId="2644A6F5" w14:textId="77777777" w:rsidR="008A7ABF" w:rsidRPr="003E76E7" w:rsidRDefault="008A7ABF" w:rsidP="00C4292D">
      <w:pPr>
        <w:autoSpaceDE w:val="0"/>
        <w:autoSpaceDN w:val="0"/>
        <w:adjustRightInd w:val="0"/>
        <w:spacing w:before="0"/>
        <w:rPr>
          <w:szCs w:val="20"/>
          <w:lang w:val="en-AU"/>
        </w:rPr>
      </w:pPr>
    </w:p>
    <w:p w14:paraId="32C5BC9A" w14:textId="77777777" w:rsidR="008A7ABF" w:rsidRPr="003E76E7" w:rsidRDefault="008A7ABF" w:rsidP="00C4292D">
      <w:pPr>
        <w:pStyle w:val="Heading4level5"/>
        <w:spacing w:before="0" w:after="100"/>
        <w:outlineLvl w:val="9"/>
      </w:pPr>
      <w:r w:rsidRPr="003E76E7">
        <w:t>Queensland</w:t>
      </w:r>
    </w:p>
    <w:p w14:paraId="66E1313E" w14:textId="77777777" w:rsidR="008A7ABF" w:rsidRPr="003E76E7" w:rsidRDefault="008A7ABF" w:rsidP="00C4292D">
      <w:pPr>
        <w:autoSpaceDE w:val="0"/>
        <w:autoSpaceDN w:val="0"/>
        <w:adjustRightInd w:val="0"/>
        <w:spacing w:before="0"/>
        <w:rPr>
          <w:rFonts w:ascii="Arial" w:hAnsi="Arial"/>
          <w:szCs w:val="20"/>
          <w:lang w:val="en-AU"/>
        </w:rPr>
      </w:pPr>
      <w:r w:rsidRPr="003E76E7">
        <w:rPr>
          <w:rFonts w:ascii="Arial" w:hAnsi="Arial"/>
          <w:szCs w:val="20"/>
          <w:lang w:val="en-AU"/>
        </w:rPr>
        <w:t>Army Aviation Program of Works</w:t>
      </w:r>
    </w:p>
    <w:p w14:paraId="52F02927" w14:textId="4B89E417" w:rsidR="008A7ABF" w:rsidRPr="003E76E7" w:rsidRDefault="008A7ABF" w:rsidP="00C4292D">
      <w:pPr>
        <w:autoSpaceDE w:val="0"/>
        <w:autoSpaceDN w:val="0"/>
        <w:adjustRightInd w:val="0"/>
        <w:spacing w:before="0"/>
        <w:rPr>
          <w:szCs w:val="20"/>
          <w:lang w:val="en-AU"/>
        </w:rPr>
      </w:pPr>
      <w:r w:rsidRPr="003E76E7">
        <w:rPr>
          <w:szCs w:val="20"/>
          <w:lang w:val="en-AU"/>
        </w:rPr>
        <w:t>This program of works is providing facilities and infrastructure to support new helicopter</w:t>
      </w:r>
      <w:r w:rsidR="00BE14A6" w:rsidRPr="003E76E7">
        <w:rPr>
          <w:szCs w:val="20"/>
          <w:lang w:val="en-AU"/>
        </w:rPr>
        <w:t xml:space="preserve"> </w:t>
      </w:r>
      <w:r w:rsidRPr="003E76E7">
        <w:rPr>
          <w:szCs w:val="20"/>
          <w:lang w:val="en-AU"/>
        </w:rPr>
        <w:t>capability at RAAF Base Townsville and Townsville Field Training Area</w:t>
      </w:r>
      <w:r w:rsidR="00B565AE" w:rsidRPr="003E76E7">
        <w:rPr>
          <w:szCs w:val="20"/>
          <w:lang w:val="en-AU"/>
        </w:rPr>
        <w:t>,</w:t>
      </w:r>
      <w:r w:rsidRPr="003E76E7">
        <w:rPr>
          <w:szCs w:val="20"/>
          <w:lang w:val="en-AU"/>
        </w:rPr>
        <w:t xml:space="preserve"> QLD. This program is scheduled for completion in late 2028.</w:t>
      </w:r>
    </w:p>
    <w:p w14:paraId="6267AD69" w14:textId="77777777" w:rsidR="008A7ABF" w:rsidRPr="003E76E7" w:rsidRDefault="008A7ABF" w:rsidP="00C4292D">
      <w:pPr>
        <w:spacing w:before="0"/>
        <w:rPr>
          <w:rFonts w:ascii="BookAntiqua" w:hAnsi="BookAntiqua" w:cs="BookAntiqua"/>
          <w:szCs w:val="20"/>
          <w:lang w:val="en-AU"/>
        </w:rPr>
      </w:pPr>
    </w:p>
    <w:p w14:paraId="3E7472BB" w14:textId="77777777" w:rsidR="008A7ABF" w:rsidRPr="003E76E7" w:rsidRDefault="008A7ABF" w:rsidP="00C4292D">
      <w:pPr>
        <w:autoSpaceDE w:val="0"/>
        <w:autoSpaceDN w:val="0"/>
        <w:adjustRightInd w:val="0"/>
        <w:spacing w:before="0"/>
        <w:rPr>
          <w:rFonts w:ascii="Arial" w:hAnsi="Arial"/>
          <w:szCs w:val="20"/>
          <w:lang w:val="en-AU"/>
        </w:rPr>
      </w:pPr>
      <w:r w:rsidRPr="003E76E7">
        <w:rPr>
          <w:rFonts w:ascii="Arial" w:hAnsi="Arial"/>
          <w:szCs w:val="20"/>
          <w:lang w:val="en-AU"/>
        </w:rPr>
        <w:t>Airfield Capital Works P0012 (RAAF Base Townsville)</w:t>
      </w:r>
    </w:p>
    <w:p w14:paraId="18F46B45" w14:textId="3494A9AC" w:rsidR="008A7ABF" w:rsidRPr="003E76E7" w:rsidRDefault="008A7ABF" w:rsidP="00C4292D">
      <w:pPr>
        <w:autoSpaceDE w:val="0"/>
        <w:autoSpaceDN w:val="0"/>
        <w:adjustRightInd w:val="0"/>
        <w:spacing w:before="0"/>
        <w:rPr>
          <w:szCs w:val="20"/>
          <w:lang w:val="en-AU"/>
        </w:rPr>
      </w:pPr>
      <w:r w:rsidRPr="003E76E7">
        <w:rPr>
          <w:szCs w:val="20"/>
          <w:lang w:val="en-AU"/>
        </w:rPr>
        <w:t>This project is maintaining aircraft pavements and aeronautical ground lighting at RAAF Base</w:t>
      </w:r>
      <w:r w:rsidR="00BE14A6" w:rsidRPr="003E76E7">
        <w:rPr>
          <w:szCs w:val="20"/>
          <w:lang w:val="en-AU"/>
        </w:rPr>
        <w:t xml:space="preserve"> </w:t>
      </w:r>
      <w:r w:rsidRPr="003E76E7">
        <w:rPr>
          <w:szCs w:val="20"/>
          <w:lang w:val="en-AU"/>
        </w:rPr>
        <w:t>Townsville</w:t>
      </w:r>
      <w:r w:rsidR="00B565AE" w:rsidRPr="003E76E7">
        <w:rPr>
          <w:szCs w:val="20"/>
          <w:lang w:val="en-AU"/>
        </w:rPr>
        <w:t>,</w:t>
      </w:r>
      <w:r w:rsidRPr="003E76E7">
        <w:rPr>
          <w:szCs w:val="20"/>
          <w:lang w:val="en-AU"/>
        </w:rPr>
        <w:t xml:space="preserve"> QLD. This project is scheduled for completion in mid-2027.</w:t>
      </w:r>
    </w:p>
    <w:p w14:paraId="73C3F0A8" w14:textId="77777777" w:rsidR="008A7ABF" w:rsidRPr="003E76E7" w:rsidRDefault="008A7ABF" w:rsidP="00C4292D">
      <w:pPr>
        <w:spacing w:before="0"/>
        <w:rPr>
          <w:rFonts w:ascii="BookAntiqua" w:hAnsi="BookAntiqua" w:cs="BookAntiqua"/>
          <w:szCs w:val="20"/>
          <w:lang w:val="en-AU"/>
        </w:rPr>
      </w:pPr>
    </w:p>
    <w:p w14:paraId="3EF45EE2" w14:textId="77777777" w:rsidR="008A7ABF" w:rsidRPr="003E76E7" w:rsidRDefault="008A7ABF" w:rsidP="00C4292D">
      <w:pPr>
        <w:autoSpaceDE w:val="0"/>
        <w:autoSpaceDN w:val="0"/>
        <w:adjustRightInd w:val="0"/>
        <w:spacing w:before="0"/>
        <w:rPr>
          <w:rFonts w:ascii="Arial" w:hAnsi="Arial"/>
          <w:szCs w:val="20"/>
          <w:lang w:val="en-AU"/>
        </w:rPr>
      </w:pPr>
      <w:r w:rsidRPr="003E76E7">
        <w:rPr>
          <w:rFonts w:ascii="Arial" w:hAnsi="Arial"/>
          <w:szCs w:val="20"/>
          <w:lang w:val="en-AU"/>
        </w:rPr>
        <w:t>RAAF Base Townsville Mid-Term Refresh Project</w:t>
      </w:r>
    </w:p>
    <w:p w14:paraId="3FE8D5B3" w14:textId="309C2181" w:rsidR="008A7ABF" w:rsidRPr="003E76E7" w:rsidRDefault="008A7ABF" w:rsidP="00C4292D">
      <w:pPr>
        <w:autoSpaceDE w:val="0"/>
        <w:autoSpaceDN w:val="0"/>
        <w:adjustRightInd w:val="0"/>
        <w:spacing w:before="0"/>
        <w:rPr>
          <w:szCs w:val="20"/>
          <w:lang w:val="en-AU"/>
        </w:rPr>
      </w:pPr>
      <w:r w:rsidRPr="003E76E7">
        <w:rPr>
          <w:szCs w:val="20"/>
          <w:lang w:val="en-AU"/>
        </w:rPr>
        <w:t>This project is now in the Defects Liability Period.</w:t>
      </w:r>
    </w:p>
    <w:p w14:paraId="70BE2A80" w14:textId="77777777" w:rsidR="00BE14A6" w:rsidRPr="003E76E7" w:rsidRDefault="00BE14A6" w:rsidP="00C4292D">
      <w:pPr>
        <w:autoSpaceDE w:val="0"/>
        <w:autoSpaceDN w:val="0"/>
        <w:adjustRightInd w:val="0"/>
        <w:spacing w:before="0"/>
        <w:rPr>
          <w:szCs w:val="20"/>
          <w:lang w:val="en-AU"/>
        </w:rPr>
      </w:pPr>
    </w:p>
    <w:p w14:paraId="625B0672" w14:textId="77777777" w:rsidR="008A7ABF" w:rsidRPr="003E76E7" w:rsidRDefault="008A7ABF" w:rsidP="00C4292D">
      <w:pPr>
        <w:autoSpaceDE w:val="0"/>
        <w:autoSpaceDN w:val="0"/>
        <w:adjustRightInd w:val="0"/>
        <w:spacing w:before="0"/>
        <w:rPr>
          <w:rFonts w:ascii="Arial" w:hAnsi="Arial"/>
          <w:szCs w:val="20"/>
          <w:lang w:val="en-AU"/>
        </w:rPr>
      </w:pPr>
      <w:r w:rsidRPr="003E76E7">
        <w:rPr>
          <w:rFonts w:ascii="Arial" w:hAnsi="Arial"/>
          <w:szCs w:val="20"/>
          <w:lang w:val="en-AU"/>
        </w:rPr>
        <w:t>RAAF Base Amberley Sewage Treatment Plant</w:t>
      </w:r>
    </w:p>
    <w:p w14:paraId="59133C1F" w14:textId="39B80DC7" w:rsidR="008A7ABF" w:rsidRPr="003E76E7" w:rsidRDefault="008A7ABF" w:rsidP="00C4292D">
      <w:pPr>
        <w:autoSpaceDE w:val="0"/>
        <w:autoSpaceDN w:val="0"/>
        <w:adjustRightInd w:val="0"/>
        <w:spacing w:before="0"/>
        <w:rPr>
          <w:szCs w:val="20"/>
          <w:lang w:val="en-AU"/>
        </w:rPr>
      </w:pPr>
      <w:r w:rsidRPr="003E76E7">
        <w:rPr>
          <w:szCs w:val="20"/>
          <w:lang w:val="en-AU"/>
        </w:rPr>
        <w:t>This project is providing a new sewage treatment plant and associated infrastructure and facilities, inclu</w:t>
      </w:r>
      <w:r w:rsidR="00D92594">
        <w:rPr>
          <w:szCs w:val="20"/>
          <w:lang w:val="en-AU"/>
        </w:rPr>
        <w:t>ding administration and storage</w:t>
      </w:r>
      <w:r w:rsidRPr="003E76E7">
        <w:rPr>
          <w:szCs w:val="20"/>
          <w:lang w:val="en-AU"/>
        </w:rPr>
        <w:t xml:space="preserve"> at RAAF Base Amberley</w:t>
      </w:r>
      <w:r w:rsidR="00B565AE" w:rsidRPr="003E76E7">
        <w:rPr>
          <w:szCs w:val="20"/>
          <w:lang w:val="en-AU"/>
        </w:rPr>
        <w:t>,</w:t>
      </w:r>
      <w:r w:rsidRPr="003E76E7">
        <w:rPr>
          <w:szCs w:val="20"/>
          <w:lang w:val="en-AU"/>
        </w:rPr>
        <w:t xml:space="preserve"> QLD. This project is scheduled for completion in mid-2027.</w:t>
      </w:r>
    </w:p>
    <w:p w14:paraId="51F66301" w14:textId="77777777" w:rsidR="008A7ABF" w:rsidRPr="003E76E7" w:rsidRDefault="008A7ABF" w:rsidP="00C4292D">
      <w:pPr>
        <w:spacing w:before="0"/>
        <w:rPr>
          <w:rFonts w:ascii="BookAntiqua" w:hAnsi="BookAntiqua" w:cs="BookAntiqua"/>
          <w:szCs w:val="20"/>
          <w:lang w:val="en-AU"/>
        </w:rPr>
      </w:pPr>
    </w:p>
    <w:p w14:paraId="7440ECDC" w14:textId="77777777" w:rsidR="008A7ABF" w:rsidRPr="003E76E7" w:rsidRDefault="008A7ABF" w:rsidP="00C4292D">
      <w:pPr>
        <w:autoSpaceDE w:val="0"/>
        <w:autoSpaceDN w:val="0"/>
        <w:adjustRightInd w:val="0"/>
        <w:spacing w:before="0"/>
        <w:rPr>
          <w:rFonts w:ascii="Arial" w:hAnsi="Arial"/>
          <w:szCs w:val="20"/>
          <w:lang w:val="en-AU"/>
        </w:rPr>
      </w:pPr>
      <w:r w:rsidRPr="003E76E7">
        <w:rPr>
          <w:rFonts w:ascii="Arial" w:hAnsi="Arial"/>
          <w:szCs w:val="20"/>
          <w:lang w:val="en-AU"/>
        </w:rPr>
        <w:t>Facilities to Support LAND 129 Phase 3 Tactical Unmanned Aerial Vehicles</w:t>
      </w:r>
    </w:p>
    <w:p w14:paraId="79CBA968" w14:textId="1A4238B4" w:rsidR="008A7ABF" w:rsidRPr="003E76E7" w:rsidRDefault="008A7ABF" w:rsidP="00C4292D">
      <w:pPr>
        <w:autoSpaceDE w:val="0"/>
        <w:autoSpaceDN w:val="0"/>
        <w:adjustRightInd w:val="0"/>
        <w:spacing w:before="0"/>
        <w:rPr>
          <w:szCs w:val="20"/>
          <w:lang w:val="en-AU"/>
        </w:rPr>
      </w:pPr>
      <w:r w:rsidRPr="003E76E7">
        <w:rPr>
          <w:szCs w:val="20"/>
          <w:lang w:val="en-AU"/>
        </w:rPr>
        <w:t>This project is providing facilities and infrastructure to support Tactical Unmanned Aerial Vehicle capability at Gallipoli Barracks</w:t>
      </w:r>
      <w:r w:rsidR="00B565AE" w:rsidRPr="003E76E7">
        <w:rPr>
          <w:szCs w:val="20"/>
          <w:lang w:val="en-AU"/>
        </w:rPr>
        <w:t>,</w:t>
      </w:r>
      <w:r w:rsidRPr="003E76E7">
        <w:rPr>
          <w:szCs w:val="20"/>
          <w:lang w:val="en-AU"/>
        </w:rPr>
        <w:t xml:space="preserve"> QLD. It includes working accommodation, training, storage, and hardstand facilities. This project is scheduled for completion in late 2026.</w:t>
      </w:r>
    </w:p>
    <w:p w14:paraId="152EF3CB" w14:textId="77777777" w:rsidR="008A7ABF" w:rsidRPr="003E76E7" w:rsidRDefault="008A7ABF" w:rsidP="00C4292D">
      <w:pPr>
        <w:spacing w:before="0"/>
        <w:rPr>
          <w:rFonts w:ascii="BookAntiqua" w:hAnsi="BookAntiqua" w:cs="BookAntiqua"/>
          <w:szCs w:val="20"/>
          <w:lang w:val="en-AU"/>
        </w:rPr>
      </w:pPr>
    </w:p>
    <w:p w14:paraId="454B73B5" w14:textId="77777777" w:rsidR="008A7ABF" w:rsidRPr="003E76E7" w:rsidRDefault="008A7ABF" w:rsidP="00C4292D">
      <w:pPr>
        <w:autoSpaceDE w:val="0"/>
        <w:autoSpaceDN w:val="0"/>
        <w:adjustRightInd w:val="0"/>
        <w:spacing w:before="0"/>
        <w:rPr>
          <w:rFonts w:ascii="Arial" w:hAnsi="Arial"/>
          <w:szCs w:val="20"/>
          <w:lang w:val="en-AU"/>
        </w:rPr>
      </w:pPr>
      <w:r w:rsidRPr="003E76E7">
        <w:rPr>
          <w:rFonts w:ascii="Arial" w:hAnsi="Arial"/>
          <w:szCs w:val="20"/>
          <w:lang w:val="en-AU"/>
        </w:rPr>
        <w:t>Townsville Field Training Area Mid-Term Refresh Project</w:t>
      </w:r>
    </w:p>
    <w:p w14:paraId="7AA2D319" w14:textId="77777777" w:rsidR="008A7ABF" w:rsidRPr="003E76E7" w:rsidRDefault="008A7ABF" w:rsidP="00C4292D">
      <w:pPr>
        <w:autoSpaceDE w:val="0"/>
        <w:autoSpaceDN w:val="0"/>
        <w:adjustRightInd w:val="0"/>
        <w:spacing w:before="0"/>
        <w:rPr>
          <w:szCs w:val="20"/>
          <w:lang w:val="en-AU"/>
        </w:rPr>
      </w:pPr>
      <w:r w:rsidRPr="003E76E7">
        <w:rPr>
          <w:szCs w:val="20"/>
          <w:lang w:val="en-AU"/>
        </w:rPr>
        <w:t>This project is now in the Defects Liability Period.</w:t>
      </w:r>
    </w:p>
    <w:p w14:paraId="538958F2" w14:textId="77777777" w:rsidR="008A7ABF" w:rsidRPr="003E76E7" w:rsidRDefault="008A7ABF" w:rsidP="00C4292D">
      <w:pPr>
        <w:autoSpaceDE w:val="0"/>
        <w:autoSpaceDN w:val="0"/>
        <w:adjustRightInd w:val="0"/>
        <w:spacing w:before="0"/>
        <w:rPr>
          <w:rFonts w:ascii="BookAntiqua" w:hAnsi="BookAntiqua" w:cs="BookAntiqua"/>
          <w:szCs w:val="20"/>
          <w:lang w:val="en-AU"/>
        </w:rPr>
      </w:pPr>
    </w:p>
    <w:p w14:paraId="57262749" w14:textId="77777777" w:rsidR="008A7ABF" w:rsidRPr="003E76E7" w:rsidRDefault="008A7ABF" w:rsidP="00C4292D">
      <w:pPr>
        <w:autoSpaceDE w:val="0"/>
        <w:autoSpaceDN w:val="0"/>
        <w:adjustRightInd w:val="0"/>
        <w:spacing w:before="0"/>
        <w:rPr>
          <w:rFonts w:ascii="Arial" w:hAnsi="Arial"/>
          <w:szCs w:val="20"/>
          <w:lang w:val="en-AU"/>
        </w:rPr>
      </w:pPr>
      <w:r w:rsidRPr="003E76E7">
        <w:rPr>
          <w:rFonts w:ascii="Arial" w:hAnsi="Arial"/>
          <w:szCs w:val="20"/>
          <w:lang w:val="en-AU"/>
        </w:rPr>
        <w:t xml:space="preserve">HMAS </w:t>
      </w:r>
      <w:r w:rsidRPr="002F62D4">
        <w:rPr>
          <w:rFonts w:ascii="Arial" w:hAnsi="Arial"/>
          <w:szCs w:val="20"/>
          <w:lang w:val="en-AU"/>
        </w:rPr>
        <w:t>Cairns</w:t>
      </w:r>
      <w:r w:rsidRPr="003E76E7">
        <w:rPr>
          <w:rFonts w:ascii="Arial" w:hAnsi="Arial"/>
          <w:szCs w:val="20"/>
          <w:lang w:val="en-AU"/>
        </w:rPr>
        <w:t xml:space="preserve"> Mid-Term Refresh Project</w:t>
      </w:r>
    </w:p>
    <w:p w14:paraId="6DBE0085" w14:textId="77777777" w:rsidR="008A7ABF" w:rsidRPr="003E76E7" w:rsidRDefault="008A7ABF" w:rsidP="00C4292D">
      <w:pPr>
        <w:autoSpaceDE w:val="0"/>
        <w:autoSpaceDN w:val="0"/>
        <w:adjustRightInd w:val="0"/>
        <w:spacing w:before="0"/>
        <w:rPr>
          <w:szCs w:val="20"/>
          <w:lang w:val="en-AU"/>
        </w:rPr>
      </w:pPr>
      <w:r w:rsidRPr="003E76E7">
        <w:rPr>
          <w:szCs w:val="20"/>
          <w:lang w:val="en-AU"/>
        </w:rPr>
        <w:t>This project is now in the Defects Liability Period.</w:t>
      </w:r>
    </w:p>
    <w:p w14:paraId="03FC1A72" w14:textId="13BB5C39" w:rsidR="00BE14A6" w:rsidRPr="003E76E7" w:rsidRDefault="00BE14A6" w:rsidP="00C4292D">
      <w:pPr>
        <w:spacing w:before="0" w:after="0"/>
        <w:rPr>
          <w:szCs w:val="20"/>
          <w:lang w:val="en-AU"/>
        </w:rPr>
      </w:pPr>
    </w:p>
    <w:p w14:paraId="5BC29A66" w14:textId="042469D1" w:rsidR="008A7ABF" w:rsidRPr="003E76E7" w:rsidRDefault="008A7ABF" w:rsidP="00C4292D">
      <w:pPr>
        <w:autoSpaceDE w:val="0"/>
        <w:autoSpaceDN w:val="0"/>
        <w:adjustRightInd w:val="0"/>
        <w:spacing w:before="0"/>
        <w:rPr>
          <w:rFonts w:ascii="Arial" w:hAnsi="Arial"/>
          <w:szCs w:val="20"/>
          <w:lang w:val="en-AU"/>
        </w:rPr>
      </w:pPr>
      <w:r w:rsidRPr="003E76E7">
        <w:rPr>
          <w:rFonts w:ascii="Arial" w:hAnsi="Arial"/>
          <w:szCs w:val="20"/>
          <w:lang w:val="en-AU"/>
        </w:rPr>
        <w:t>Facilities to Support LAND 159 Phase 1 Lethality Systems</w:t>
      </w:r>
    </w:p>
    <w:p w14:paraId="437F725B" w14:textId="4BC6B7E1" w:rsidR="008A7ABF" w:rsidRPr="003E76E7" w:rsidRDefault="008A7ABF" w:rsidP="00C4292D">
      <w:pPr>
        <w:autoSpaceDE w:val="0"/>
        <w:autoSpaceDN w:val="0"/>
        <w:adjustRightInd w:val="0"/>
        <w:spacing w:before="0"/>
        <w:rPr>
          <w:szCs w:val="20"/>
          <w:lang w:val="en-AU"/>
        </w:rPr>
      </w:pPr>
      <w:r w:rsidRPr="003E76E7">
        <w:rPr>
          <w:szCs w:val="20"/>
          <w:lang w:val="en-AU"/>
        </w:rPr>
        <w:t>This project is providing upgraded training facilities and associated infrastructure at the</w:t>
      </w:r>
      <w:r w:rsidR="00BE14A6" w:rsidRPr="003E76E7">
        <w:rPr>
          <w:szCs w:val="20"/>
          <w:lang w:val="en-AU"/>
        </w:rPr>
        <w:t xml:space="preserve"> </w:t>
      </w:r>
      <w:r w:rsidRPr="003E76E7">
        <w:rPr>
          <w:szCs w:val="20"/>
          <w:lang w:val="en-AU"/>
        </w:rPr>
        <w:t>Greenbank Training Area</w:t>
      </w:r>
      <w:r w:rsidR="00B565AE" w:rsidRPr="003E76E7">
        <w:rPr>
          <w:szCs w:val="20"/>
          <w:lang w:val="en-AU"/>
        </w:rPr>
        <w:t>,</w:t>
      </w:r>
      <w:r w:rsidRPr="003E76E7">
        <w:rPr>
          <w:szCs w:val="20"/>
          <w:lang w:val="en-AU"/>
        </w:rPr>
        <w:t xml:space="preserve"> QLD. This project is scheduled for completion in mid-2026.</w:t>
      </w:r>
    </w:p>
    <w:p w14:paraId="28D12193" w14:textId="5D120320" w:rsidR="0074283D" w:rsidRPr="003E76E7" w:rsidRDefault="0074283D" w:rsidP="00C4292D">
      <w:pPr>
        <w:spacing w:before="0"/>
        <w:rPr>
          <w:rFonts w:ascii="Arial" w:hAnsi="Arial" w:cs="Times New Roman"/>
          <w:b/>
          <w:bCs/>
          <w:sz w:val="22"/>
          <w:szCs w:val="28"/>
        </w:rPr>
      </w:pPr>
    </w:p>
    <w:p w14:paraId="0898BE66" w14:textId="722C4E9F" w:rsidR="008A7ABF" w:rsidRPr="003E76E7" w:rsidRDefault="008A7ABF" w:rsidP="00C4292D">
      <w:pPr>
        <w:pStyle w:val="Heading4level5"/>
        <w:spacing w:before="0" w:after="100"/>
        <w:outlineLvl w:val="9"/>
      </w:pPr>
      <w:r w:rsidRPr="003E76E7">
        <w:t>South Australia</w:t>
      </w:r>
    </w:p>
    <w:p w14:paraId="66CD1077" w14:textId="77777777" w:rsidR="008A7ABF" w:rsidRPr="003E76E7" w:rsidRDefault="008A7ABF" w:rsidP="00C4292D">
      <w:pPr>
        <w:autoSpaceDE w:val="0"/>
        <w:autoSpaceDN w:val="0"/>
        <w:adjustRightInd w:val="0"/>
        <w:spacing w:before="0"/>
        <w:rPr>
          <w:rFonts w:ascii="Arial" w:hAnsi="Arial"/>
          <w:szCs w:val="20"/>
          <w:lang w:val="en-AU"/>
        </w:rPr>
      </w:pPr>
      <w:r w:rsidRPr="003E76E7">
        <w:rPr>
          <w:rFonts w:ascii="Arial" w:hAnsi="Arial"/>
          <w:szCs w:val="20"/>
          <w:lang w:val="en-AU"/>
        </w:rPr>
        <w:t>Facilities to Support Highly Available ICT Project</w:t>
      </w:r>
    </w:p>
    <w:p w14:paraId="63FD9506" w14:textId="77777777" w:rsidR="008A7ABF" w:rsidRPr="003E76E7" w:rsidRDefault="008A7ABF" w:rsidP="00C4292D">
      <w:pPr>
        <w:autoSpaceDE w:val="0"/>
        <w:autoSpaceDN w:val="0"/>
        <w:adjustRightInd w:val="0"/>
        <w:spacing w:before="0"/>
        <w:rPr>
          <w:szCs w:val="20"/>
          <w:lang w:val="en-AU"/>
        </w:rPr>
      </w:pPr>
      <w:r w:rsidRPr="003E76E7">
        <w:rPr>
          <w:szCs w:val="20"/>
          <w:lang w:val="en-AU"/>
        </w:rPr>
        <w:t>This project is providing a new facility. This project is scheduled for completion in late 2027.</w:t>
      </w:r>
    </w:p>
    <w:p w14:paraId="23BE9E77" w14:textId="7880DC36" w:rsidR="00EC4935" w:rsidRPr="003E76E7" w:rsidRDefault="00EC4935" w:rsidP="00C4292D">
      <w:pPr>
        <w:autoSpaceDE w:val="0"/>
        <w:autoSpaceDN w:val="0"/>
        <w:adjustRightInd w:val="0"/>
        <w:spacing w:before="0"/>
        <w:rPr>
          <w:rFonts w:ascii="Arial" w:hAnsi="Arial"/>
          <w:szCs w:val="20"/>
          <w:lang w:val="en-AU"/>
        </w:rPr>
      </w:pPr>
    </w:p>
    <w:p w14:paraId="028CE999" w14:textId="74D59E18" w:rsidR="00EC4935" w:rsidRPr="003E76E7" w:rsidRDefault="00EC4935" w:rsidP="00C4292D">
      <w:pPr>
        <w:autoSpaceDE w:val="0"/>
        <w:autoSpaceDN w:val="0"/>
        <w:adjustRightInd w:val="0"/>
        <w:spacing w:before="0"/>
        <w:rPr>
          <w:rFonts w:ascii="Arial" w:hAnsi="Arial"/>
          <w:szCs w:val="20"/>
          <w:lang w:val="en-AU"/>
        </w:rPr>
      </w:pPr>
    </w:p>
    <w:p w14:paraId="421EE48C" w14:textId="56A660F1" w:rsidR="00EC4935" w:rsidRPr="003E76E7" w:rsidRDefault="00FE1250" w:rsidP="00C4292D">
      <w:pPr>
        <w:tabs>
          <w:tab w:val="left" w:pos="3678"/>
        </w:tabs>
        <w:autoSpaceDE w:val="0"/>
        <w:autoSpaceDN w:val="0"/>
        <w:adjustRightInd w:val="0"/>
        <w:spacing w:before="0"/>
        <w:rPr>
          <w:szCs w:val="20"/>
          <w:lang w:val="en-AU"/>
        </w:rPr>
      </w:pPr>
      <w:r w:rsidRPr="003E76E7">
        <w:rPr>
          <w:szCs w:val="20"/>
          <w:lang w:val="en-AU"/>
        </w:rPr>
        <w:tab/>
      </w:r>
    </w:p>
    <w:p w14:paraId="65A26441" w14:textId="7C36B79F" w:rsidR="008A7ABF" w:rsidRPr="003E76E7" w:rsidRDefault="008A7ABF" w:rsidP="00C4292D">
      <w:pPr>
        <w:autoSpaceDE w:val="0"/>
        <w:autoSpaceDN w:val="0"/>
        <w:adjustRightInd w:val="0"/>
        <w:spacing w:before="0"/>
        <w:rPr>
          <w:rFonts w:ascii="Arial" w:hAnsi="Arial"/>
          <w:szCs w:val="20"/>
          <w:lang w:val="en-AU"/>
        </w:rPr>
      </w:pPr>
      <w:r w:rsidRPr="003E76E7">
        <w:rPr>
          <w:rFonts w:ascii="Arial" w:hAnsi="Arial"/>
          <w:szCs w:val="20"/>
          <w:lang w:val="en-AU"/>
        </w:rPr>
        <w:lastRenderedPageBreak/>
        <w:t>Edinburgh Defence Precinct Mid-Term Refresh</w:t>
      </w:r>
    </w:p>
    <w:p w14:paraId="1BE5F23A" w14:textId="698CEF1A" w:rsidR="008A7ABF" w:rsidRPr="003E76E7" w:rsidRDefault="008A7ABF" w:rsidP="00C4292D">
      <w:pPr>
        <w:autoSpaceDE w:val="0"/>
        <w:autoSpaceDN w:val="0"/>
        <w:adjustRightInd w:val="0"/>
        <w:spacing w:before="0"/>
        <w:rPr>
          <w:szCs w:val="20"/>
          <w:lang w:val="en-AU"/>
        </w:rPr>
      </w:pPr>
      <w:r w:rsidRPr="003E76E7">
        <w:rPr>
          <w:szCs w:val="20"/>
          <w:lang w:val="en-AU"/>
        </w:rPr>
        <w:t>This project is upgrading base infrastructure at the Edinburgh Defence Precinct</w:t>
      </w:r>
      <w:r w:rsidR="00B565AE" w:rsidRPr="003E76E7">
        <w:rPr>
          <w:szCs w:val="20"/>
          <w:lang w:val="en-AU"/>
        </w:rPr>
        <w:t>,</w:t>
      </w:r>
      <w:r w:rsidRPr="003E76E7">
        <w:rPr>
          <w:szCs w:val="20"/>
          <w:lang w:val="en-AU"/>
        </w:rPr>
        <w:t xml:space="preserve"> SA including</w:t>
      </w:r>
      <w:r w:rsidR="008F2688" w:rsidRPr="003E76E7">
        <w:rPr>
          <w:szCs w:val="20"/>
          <w:lang w:val="en-AU"/>
        </w:rPr>
        <w:t xml:space="preserve"> </w:t>
      </w:r>
      <w:r w:rsidRPr="003E76E7">
        <w:rPr>
          <w:szCs w:val="20"/>
          <w:lang w:val="en-AU"/>
        </w:rPr>
        <w:t xml:space="preserve">engineering services such as power and water. This project is scheduled for completion in </w:t>
      </w:r>
      <w:r w:rsidR="008F2688" w:rsidRPr="003E76E7">
        <w:rPr>
          <w:szCs w:val="20"/>
          <w:lang w:val="en-AU"/>
        </w:rPr>
        <w:br/>
      </w:r>
      <w:r w:rsidRPr="003E76E7">
        <w:rPr>
          <w:szCs w:val="20"/>
          <w:lang w:val="en-AU"/>
        </w:rPr>
        <w:t>mid-2028.</w:t>
      </w:r>
    </w:p>
    <w:p w14:paraId="5F8A4B66" w14:textId="77777777" w:rsidR="008A7ABF" w:rsidRPr="003E76E7" w:rsidRDefault="008A7ABF" w:rsidP="00C4292D">
      <w:pPr>
        <w:autoSpaceDE w:val="0"/>
        <w:autoSpaceDN w:val="0"/>
        <w:adjustRightInd w:val="0"/>
        <w:spacing w:before="0"/>
        <w:rPr>
          <w:szCs w:val="20"/>
          <w:lang w:val="en-AU"/>
        </w:rPr>
      </w:pPr>
    </w:p>
    <w:p w14:paraId="577B67F6" w14:textId="77777777" w:rsidR="008A7ABF" w:rsidRPr="003E76E7" w:rsidRDefault="008A7ABF" w:rsidP="00C4292D">
      <w:pPr>
        <w:autoSpaceDE w:val="0"/>
        <w:autoSpaceDN w:val="0"/>
        <w:adjustRightInd w:val="0"/>
        <w:spacing w:before="0"/>
        <w:rPr>
          <w:rFonts w:ascii="Arial" w:hAnsi="Arial"/>
          <w:szCs w:val="20"/>
          <w:lang w:val="en-AU"/>
        </w:rPr>
      </w:pPr>
      <w:r w:rsidRPr="003E76E7">
        <w:rPr>
          <w:rFonts w:ascii="Arial" w:hAnsi="Arial"/>
          <w:szCs w:val="20"/>
          <w:lang w:val="en-AU"/>
        </w:rPr>
        <w:t>Facilities to Support LAND 19 Phase 7B Short Range Ground Based Air Defence</w:t>
      </w:r>
    </w:p>
    <w:p w14:paraId="34503564" w14:textId="77777777" w:rsidR="008A7ABF" w:rsidRPr="003E76E7" w:rsidRDefault="008A7ABF" w:rsidP="00C4292D">
      <w:pPr>
        <w:autoSpaceDE w:val="0"/>
        <w:autoSpaceDN w:val="0"/>
        <w:adjustRightInd w:val="0"/>
        <w:spacing w:before="0"/>
        <w:rPr>
          <w:szCs w:val="20"/>
          <w:lang w:val="en-AU"/>
        </w:rPr>
      </w:pPr>
      <w:r w:rsidRPr="003E76E7">
        <w:rPr>
          <w:szCs w:val="20"/>
          <w:lang w:val="en-AU"/>
        </w:rPr>
        <w:t>This project is now in the Defects Liability Period.</w:t>
      </w:r>
    </w:p>
    <w:p w14:paraId="041CFBD3" w14:textId="77777777" w:rsidR="008A7ABF" w:rsidRPr="003E76E7" w:rsidRDefault="008A7ABF" w:rsidP="00C4292D">
      <w:pPr>
        <w:autoSpaceDE w:val="0"/>
        <w:autoSpaceDN w:val="0"/>
        <w:adjustRightInd w:val="0"/>
        <w:spacing w:before="0"/>
        <w:rPr>
          <w:szCs w:val="20"/>
          <w:lang w:val="en-AU"/>
        </w:rPr>
      </w:pPr>
    </w:p>
    <w:p w14:paraId="66F56D7F" w14:textId="77777777" w:rsidR="008A7ABF" w:rsidRPr="003E76E7" w:rsidRDefault="008A7ABF" w:rsidP="00C4292D">
      <w:pPr>
        <w:autoSpaceDE w:val="0"/>
        <w:autoSpaceDN w:val="0"/>
        <w:adjustRightInd w:val="0"/>
        <w:spacing w:before="0"/>
        <w:rPr>
          <w:rFonts w:ascii="Arial" w:hAnsi="Arial"/>
          <w:szCs w:val="20"/>
          <w:lang w:val="en-AU"/>
        </w:rPr>
      </w:pPr>
      <w:r w:rsidRPr="003E76E7">
        <w:rPr>
          <w:rFonts w:ascii="Arial" w:hAnsi="Arial"/>
          <w:szCs w:val="20"/>
          <w:lang w:val="en-AU"/>
        </w:rPr>
        <w:t>Cultana Training Area Redevelopment Phase 2</w:t>
      </w:r>
    </w:p>
    <w:p w14:paraId="7076828A" w14:textId="5BF99F45" w:rsidR="008A7ABF" w:rsidRPr="003E76E7" w:rsidRDefault="008A7ABF" w:rsidP="00C4292D">
      <w:pPr>
        <w:autoSpaceDE w:val="0"/>
        <w:autoSpaceDN w:val="0"/>
        <w:adjustRightInd w:val="0"/>
        <w:spacing w:before="0"/>
        <w:rPr>
          <w:szCs w:val="20"/>
          <w:lang w:val="en-AU"/>
        </w:rPr>
      </w:pPr>
      <w:r w:rsidRPr="003E76E7">
        <w:rPr>
          <w:szCs w:val="20"/>
          <w:lang w:val="en-AU"/>
        </w:rPr>
        <w:t>This project is providing new facilities and infrastructure to expand the training area into a training range at the Cultana Training Area</w:t>
      </w:r>
      <w:r w:rsidR="00B565AE" w:rsidRPr="003E76E7">
        <w:rPr>
          <w:szCs w:val="20"/>
          <w:lang w:val="en-AU"/>
        </w:rPr>
        <w:t>,</w:t>
      </w:r>
      <w:r w:rsidRPr="003E76E7">
        <w:rPr>
          <w:szCs w:val="20"/>
          <w:lang w:val="en-AU"/>
        </w:rPr>
        <w:t xml:space="preserve"> SA. This project is scheduled for completion in late 2026.</w:t>
      </w:r>
    </w:p>
    <w:p w14:paraId="0D7AED6F" w14:textId="77777777" w:rsidR="008A7ABF" w:rsidRPr="003E76E7" w:rsidRDefault="008A7ABF" w:rsidP="00C4292D">
      <w:pPr>
        <w:autoSpaceDE w:val="0"/>
        <w:autoSpaceDN w:val="0"/>
        <w:adjustRightInd w:val="0"/>
        <w:spacing w:before="0"/>
        <w:rPr>
          <w:szCs w:val="20"/>
          <w:lang w:val="en-AU"/>
        </w:rPr>
      </w:pPr>
    </w:p>
    <w:p w14:paraId="3FF37432" w14:textId="77777777" w:rsidR="008A7ABF" w:rsidRPr="003E76E7" w:rsidRDefault="008A7ABF" w:rsidP="00C4292D">
      <w:pPr>
        <w:autoSpaceDE w:val="0"/>
        <w:autoSpaceDN w:val="0"/>
        <w:adjustRightInd w:val="0"/>
        <w:spacing w:before="0"/>
        <w:rPr>
          <w:rFonts w:ascii="Arial" w:hAnsi="Arial"/>
          <w:szCs w:val="20"/>
          <w:lang w:val="en-AU"/>
        </w:rPr>
      </w:pPr>
      <w:r w:rsidRPr="003E76E7">
        <w:rPr>
          <w:rFonts w:ascii="Arial" w:hAnsi="Arial"/>
          <w:szCs w:val="20"/>
          <w:lang w:val="en-AU"/>
        </w:rPr>
        <w:t>Guided Weapons Production Capability Assembly Facility</w:t>
      </w:r>
    </w:p>
    <w:p w14:paraId="79BD76D4" w14:textId="77777777" w:rsidR="008A7ABF" w:rsidRPr="003E76E7" w:rsidRDefault="008A7ABF" w:rsidP="00C4292D">
      <w:pPr>
        <w:autoSpaceDE w:val="0"/>
        <w:autoSpaceDN w:val="0"/>
        <w:adjustRightInd w:val="0"/>
        <w:spacing w:before="0"/>
        <w:rPr>
          <w:szCs w:val="20"/>
          <w:lang w:val="en-AU"/>
        </w:rPr>
      </w:pPr>
      <w:r w:rsidRPr="003E76E7">
        <w:rPr>
          <w:szCs w:val="20"/>
          <w:lang w:val="en-AU"/>
        </w:rPr>
        <w:t>This project is now in the Defects Liability Period.</w:t>
      </w:r>
    </w:p>
    <w:p w14:paraId="7484ACF5" w14:textId="77777777" w:rsidR="008A7ABF" w:rsidRPr="003E76E7" w:rsidRDefault="008A7ABF" w:rsidP="00C4292D">
      <w:pPr>
        <w:spacing w:before="0"/>
        <w:rPr>
          <w:rFonts w:ascii="BookAntiqua" w:hAnsi="BookAntiqua" w:cs="BookAntiqua"/>
          <w:szCs w:val="20"/>
          <w:lang w:val="en-AU"/>
        </w:rPr>
      </w:pPr>
    </w:p>
    <w:p w14:paraId="20EC1C48" w14:textId="77777777" w:rsidR="008A7ABF" w:rsidRPr="003E76E7" w:rsidRDefault="008A7ABF" w:rsidP="00C4292D">
      <w:pPr>
        <w:autoSpaceDE w:val="0"/>
        <w:autoSpaceDN w:val="0"/>
        <w:adjustRightInd w:val="0"/>
        <w:spacing w:before="0"/>
        <w:rPr>
          <w:rFonts w:ascii="Arial" w:hAnsi="Arial"/>
          <w:szCs w:val="20"/>
          <w:lang w:val="en-AU"/>
        </w:rPr>
      </w:pPr>
      <w:r w:rsidRPr="003E76E7">
        <w:rPr>
          <w:rFonts w:ascii="Arial" w:hAnsi="Arial"/>
          <w:szCs w:val="20"/>
          <w:lang w:val="en-AU"/>
        </w:rPr>
        <w:t>Relocation of Units from Elizabeth North Training Depot</w:t>
      </w:r>
    </w:p>
    <w:p w14:paraId="1D05B194" w14:textId="77777777" w:rsidR="008A7ABF" w:rsidRPr="003E76E7" w:rsidRDefault="008A7ABF" w:rsidP="00C4292D">
      <w:pPr>
        <w:autoSpaceDE w:val="0"/>
        <w:autoSpaceDN w:val="0"/>
        <w:adjustRightInd w:val="0"/>
        <w:spacing w:before="0"/>
        <w:rPr>
          <w:szCs w:val="20"/>
          <w:lang w:val="en-AU"/>
        </w:rPr>
      </w:pPr>
      <w:r w:rsidRPr="003E76E7">
        <w:rPr>
          <w:szCs w:val="20"/>
          <w:lang w:val="en-AU"/>
        </w:rPr>
        <w:t>This project is now in the Defects Liability Period.</w:t>
      </w:r>
    </w:p>
    <w:p w14:paraId="7E7A2FD0" w14:textId="77777777" w:rsidR="008A7ABF" w:rsidRPr="003E76E7" w:rsidRDefault="008A7ABF" w:rsidP="00C4292D">
      <w:pPr>
        <w:autoSpaceDE w:val="0"/>
        <w:autoSpaceDN w:val="0"/>
        <w:adjustRightInd w:val="0"/>
        <w:spacing w:before="0"/>
        <w:rPr>
          <w:szCs w:val="20"/>
          <w:lang w:val="en-AU"/>
        </w:rPr>
      </w:pPr>
    </w:p>
    <w:p w14:paraId="30892F7B" w14:textId="77777777" w:rsidR="008A7ABF" w:rsidRPr="003E76E7" w:rsidRDefault="008A7ABF" w:rsidP="00C4292D">
      <w:pPr>
        <w:autoSpaceDE w:val="0"/>
        <w:autoSpaceDN w:val="0"/>
        <w:adjustRightInd w:val="0"/>
        <w:spacing w:before="0"/>
        <w:rPr>
          <w:rFonts w:ascii="Arial" w:hAnsi="Arial"/>
          <w:szCs w:val="20"/>
          <w:lang w:val="en-AU"/>
        </w:rPr>
      </w:pPr>
      <w:r w:rsidRPr="003E76E7">
        <w:rPr>
          <w:rFonts w:ascii="Arial" w:hAnsi="Arial"/>
          <w:szCs w:val="20"/>
          <w:lang w:val="en-AU"/>
        </w:rPr>
        <w:t>Facilities to Support P-8A Poseidon Capability Assurance Program</w:t>
      </w:r>
    </w:p>
    <w:p w14:paraId="19EF5156" w14:textId="77777777" w:rsidR="008A7ABF" w:rsidRPr="003E76E7" w:rsidRDefault="008A7ABF" w:rsidP="00C4292D">
      <w:pPr>
        <w:autoSpaceDE w:val="0"/>
        <w:autoSpaceDN w:val="0"/>
        <w:adjustRightInd w:val="0"/>
        <w:spacing w:before="0"/>
        <w:rPr>
          <w:szCs w:val="20"/>
          <w:lang w:val="en-AU"/>
        </w:rPr>
      </w:pPr>
      <w:r w:rsidRPr="003E76E7">
        <w:rPr>
          <w:szCs w:val="20"/>
          <w:lang w:val="en-AU"/>
        </w:rPr>
        <w:t>This project is providing minor fit-out works to support the installation of equipment. This project is scheduled for completion in late 2027.</w:t>
      </w:r>
    </w:p>
    <w:p w14:paraId="0D1006F1" w14:textId="77777777" w:rsidR="008A7ABF" w:rsidRPr="003E76E7" w:rsidRDefault="008A7ABF" w:rsidP="00C4292D">
      <w:pPr>
        <w:autoSpaceDE w:val="0"/>
        <w:autoSpaceDN w:val="0"/>
        <w:adjustRightInd w:val="0"/>
        <w:spacing w:before="0"/>
        <w:rPr>
          <w:szCs w:val="20"/>
          <w:lang w:val="en-AU"/>
        </w:rPr>
      </w:pPr>
    </w:p>
    <w:p w14:paraId="3AE715F5" w14:textId="77777777" w:rsidR="008A7ABF" w:rsidRPr="003E76E7" w:rsidRDefault="008A7ABF" w:rsidP="00C4292D">
      <w:pPr>
        <w:pStyle w:val="Heading4level5"/>
        <w:spacing w:before="0" w:after="100"/>
        <w:outlineLvl w:val="9"/>
      </w:pPr>
      <w:r w:rsidRPr="003E76E7">
        <w:t>Tasmania</w:t>
      </w:r>
    </w:p>
    <w:p w14:paraId="4E4219A4" w14:textId="77777777" w:rsidR="008A7ABF" w:rsidRPr="003E76E7" w:rsidRDefault="008A7ABF" w:rsidP="00C4292D">
      <w:pPr>
        <w:autoSpaceDE w:val="0"/>
        <w:autoSpaceDN w:val="0"/>
        <w:adjustRightInd w:val="0"/>
        <w:spacing w:before="0"/>
        <w:rPr>
          <w:rFonts w:ascii="Arial" w:hAnsi="Arial"/>
          <w:szCs w:val="20"/>
          <w:lang w:val="en-AU"/>
        </w:rPr>
      </w:pPr>
      <w:r w:rsidRPr="003E76E7">
        <w:rPr>
          <w:rFonts w:ascii="Arial" w:hAnsi="Arial"/>
          <w:szCs w:val="20"/>
          <w:lang w:val="en-AU"/>
        </w:rPr>
        <w:t>Anglesea Paterson Project</w:t>
      </w:r>
    </w:p>
    <w:p w14:paraId="58DE86E9" w14:textId="3FAFDFEF" w:rsidR="008A7ABF" w:rsidRPr="003E76E7" w:rsidRDefault="008A7ABF" w:rsidP="00C4292D">
      <w:pPr>
        <w:autoSpaceDE w:val="0"/>
        <w:autoSpaceDN w:val="0"/>
        <w:adjustRightInd w:val="0"/>
        <w:spacing w:before="0"/>
        <w:rPr>
          <w:szCs w:val="20"/>
          <w:lang w:val="en-AU"/>
        </w:rPr>
      </w:pPr>
      <w:r w:rsidRPr="003E76E7">
        <w:rPr>
          <w:szCs w:val="20"/>
          <w:lang w:val="en-AU"/>
        </w:rPr>
        <w:t>This project is upgrading engineering services and refurbishing buildings at Anglesea Barracks, and constructing new facilities in North Launceston</w:t>
      </w:r>
      <w:r w:rsidR="00B565AE" w:rsidRPr="003E76E7">
        <w:rPr>
          <w:szCs w:val="20"/>
          <w:lang w:val="en-AU"/>
        </w:rPr>
        <w:t>,</w:t>
      </w:r>
      <w:r w:rsidRPr="003E76E7">
        <w:rPr>
          <w:szCs w:val="20"/>
          <w:lang w:val="en-AU"/>
        </w:rPr>
        <w:t xml:space="preserve"> TAS. This project is scheduled for completion in mid-2027.</w:t>
      </w:r>
    </w:p>
    <w:p w14:paraId="6BEA8CC8" w14:textId="77777777" w:rsidR="008A7ABF" w:rsidRPr="003E76E7" w:rsidRDefault="008A7ABF" w:rsidP="00C4292D">
      <w:pPr>
        <w:autoSpaceDE w:val="0"/>
        <w:autoSpaceDN w:val="0"/>
        <w:adjustRightInd w:val="0"/>
        <w:spacing w:before="0"/>
        <w:rPr>
          <w:szCs w:val="20"/>
          <w:lang w:val="en-AU"/>
        </w:rPr>
      </w:pPr>
    </w:p>
    <w:p w14:paraId="2027C354" w14:textId="77777777" w:rsidR="008A7ABF" w:rsidRPr="003E76E7" w:rsidRDefault="008A7ABF" w:rsidP="00C4292D">
      <w:pPr>
        <w:pStyle w:val="Heading4level5"/>
        <w:spacing w:before="0" w:after="100"/>
        <w:outlineLvl w:val="9"/>
      </w:pPr>
      <w:r w:rsidRPr="003E76E7">
        <w:t>Victoria</w:t>
      </w:r>
    </w:p>
    <w:p w14:paraId="307D2BEF" w14:textId="77777777" w:rsidR="008A7ABF" w:rsidRPr="003E76E7" w:rsidRDefault="008A7ABF" w:rsidP="00C4292D">
      <w:pPr>
        <w:autoSpaceDE w:val="0"/>
        <w:autoSpaceDN w:val="0"/>
        <w:adjustRightInd w:val="0"/>
        <w:spacing w:before="0"/>
        <w:rPr>
          <w:rFonts w:ascii="Arial" w:hAnsi="Arial"/>
          <w:szCs w:val="20"/>
          <w:lang w:val="en-AU"/>
        </w:rPr>
      </w:pPr>
      <w:r w:rsidRPr="003E76E7">
        <w:rPr>
          <w:rFonts w:ascii="Arial" w:hAnsi="Arial"/>
          <w:szCs w:val="20"/>
          <w:lang w:val="en-AU"/>
        </w:rPr>
        <w:t>Albury Wodonga Military Area Redevelopment</w:t>
      </w:r>
    </w:p>
    <w:p w14:paraId="453D43F0" w14:textId="16093EE1" w:rsidR="008A7ABF" w:rsidRPr="003E76E7" w:rsidRDefault="008A7ABF" w:rsidP="00C4292D">
      <w:pPr>
        <w:autoSpaceDE w:val="0"/>
        <w:autoSpaceDN w:val="0"/>
        <w:adjustRightInd w:val="0"/>
        <w:spacing w:before="0"/>
        <w:rPr>
          <w:szCs w:val="20"/>
          <w:lang w:val="en-AU"/>
        </w:rPr>
      </w:pPr>
      <w:r w:rsidRPr="003E76E7">
        <w:rPr>
          <w:szCs w:val="20"/>
          <w:lang w:val="en-AU"/>
        </w:rPr>
        <w:t>This project is addressing condition, capacity and compliance issues at the Albury Wodonga</w:t>
      </w:r>
      <w:r w:rsidR="0015415F" w:rsidRPr="003E76E7">
        <w:rPr>
          <w:szCs w:val="20"/>
          <w:lang w:val="en-AU"/>
        </w:rPr>
        <w:t xml:space="preserve"> </w:t>
      </w:r>
      <w:r w:rsidRPr="003E76E7">
        <w:rPr>
          <w:szCs w:val="20"/>
          <w:lang w:val="en-AU"/>
        </w:rPr>
        <w:t>Military Area</w:t>
      </w:r>
      <w:r w:rsidR="00B565AE" w:rsidRPr="003E76E7">
        <w:rPr>
          <w:szCs w:val="20"/>
          <w:lang w:val="en-AU"/>
        </w:rPr>
        <w:t>,</w:t>
      </w:r>
      <w:r w:rsidRPr="003E76E7">
        <w:rPr>
          <w:szCs w:val="20"/>
          <w:lang w:val="en-AU"/>
        </w:rPr>
        <w:t xml:space="preserve"> VIC, including upgrading engineering services, constructing new facilities and</w:t>
      </w:r>
      <w:r w:rsidR="0015415F" w:rsidRPr="003E76E7">
        <w:rPr>
          <w:szCs w:val="20"/>
          <w:lang w:val="en-AU"/>
        </w:rPr>
        <w:t xml:space="preserve"> </w:t>
      </w:r>
      <w:r w:rsidRPr="003E76E7">
        <w:rPr>
          <w:szCs w:val="20"/>
          <w:lang w:val="en-AU"/>
        </w:rPr>
        <w:t>infrastructure, and demolishing aged facilities. This project is scheduled for completion in</w:t>
      </w:r>
      <w:r w:rsidR="0015415F" w:rsidRPr="003E76E7">
        <w:rPr>
          <w:szCs w:val="20"/>
          <w:lang w:val="en-AU"/>
        </w:rPr>
        <w:t xml:space="preserve"> </w:t>
      </w:r>
      <w:r w:rsidR="00846A3A" w:rsidRPr="003E76E7">
        <w:rPr>
          <w:szCs w:val="20"/>
          <w:lang w:val="en-AU"/>
        </w:rPr>
        <w:br/>
      </w:r>
      <w:r w:rsidRPr="003E76E7">
        <w:rPr>
          <w:szCs w:val="20"/>
          <w:lang w:val="en-AU"/>
        </w:rPr>
        <w:t>late 2029.</w:t>
      </w:r>
    </w:p>
    <w:p w14:paraId="5A64307E" w14:textId="77777777" w:rsidR="008A7ABF" w:rsidRPr="003E76E7" w:rsidRDefault="008A7ABF" w:rsidP="00C4292D">
      <w:pPr>
        <w:autoSpaceDE w:val="0"/>
        <w:autoSpaceDN w:val="0"/>
        <w:adjustRightInd w:val="0"/>
        <w:spacing w:before="0"/>
        <w:rPr>
          <w:rFonts w:ascii="BookAntiqua" w:hAnsi="BookAntiqua" w:cs="BookAntiqua"/>
          <w:szCs w:val="20"/>
          <w:lang w:val="en-AU"/>
        </w:rPr>
      </w:pPr>
    </w:p>
    <w:p w14:paraId="50A5379A" w14:textId="77777777" w:rsidR="008A7ABF" w:rsidRPr="003E76E7" w:rsidRDefault="008A7ABF" w:rsidP="00C4292D">
      <w:pPr>
        <w:autoSpaceDE w:val="0"/>
        <w:autoSpaceDN w:val="0"/>
        <w:adjustRightInd w:val="0"/>
        <w:spacing w:before="0"/>
        <w:rPr>
          <w:szCs w:val="20"/>
          <w:lang w:val="en-AU"/>
        </w:rPr>
      </w:pPr>
      <w:r w:rsidRPr="003E76E7">
        <w:rPr>
          <w:rFonts w:ascii="Arial" w:hAnsi="Arial"/>
          <w:szCs w:val="20"/>
          <w:lang w:val="en-AU"/>
        </w:rPr>
        <w:t>Fishermans Bend Redevelopment</w:t>
      </w:r>
    </w:p>
    <w:p w14:paraId="5192DE2F" w14:textId="52944AB0" w:rsidR="008A7ABF" w:rsidRPr="003E76E7" w:rsidRDefault="008A7ABF" w:rsidP="00C4292D">
      <w:pPr>
        <w:autoSpaceDE w:val="0"/>
        <w:autoSpaceDN w:val="0"/>
        <w:adjustRightInd w:val="0"/>
        <w:spacing w:before="0"/>
        <w:rPr>
          <w:szCs w:val="20"/>
          <w:lang w:val="en-AU"/>
        </w:rPr>
      </w:pPr>
      <w:r w:rsidRPr="003E76E7">
        <w:rPr>
          <w:szCs w:val="20"/>
          <w:lang w:val="en-AU"/>
        </w:rPr>
        <w:t>This project is addressing condition, capacity and compliance issues at Fishermans Bend</w:t>
      </w:r>
      <w:r w:rsidR="00B565AE" w:rsidRPr="003E76E7">
        <w:rPr>
          <w:szCs w:val="20"/>
          <w:lang w:val="en-AU"/>
        </w:rPr>
        <w:t>,</w:t>
      </w:r>
      <w:r w:rsidRPr="003E76E7">
        <w:rPr>
          <w:szCs w:val="20"/>
          <w:lang w:val="en-AU"/>
        </w:rPr>
        <w:t xml:space="preserve"> VIC,</w:t>
      </w:r>
      <w:r w:rsidR="0015415F" w:rsidRPr="003E76E7">
        <w:rPr>
          <w:szCs w:val="20"/>
          <w:lang w:val="en-AU"/>
        </w:rPr>
        <w:t xml:space="preserve"> </w:t>
      </w:r>
      <w:r w:rsidRPr="003E76E7">
        <w:rPr>
          <w:szCs w:val="20"/>
          <w:lang w:val="en-AU"/>
        </w:rPr>
        <w:t>including upgrading engineering services, refurbishing existing facilities and providing new</w:t>
      </w:r>
      <w:r w:rsidR="0015415F" w:rsidRPr="003E76E7">
        <w:rPr>
          <w:szCs w:val="20"/>
          <w:lang w:val="en-AU"/>
        </w:rPr>
        <w:t xml:space="preserve"> </w:t>
      </w:r>
      <w:r w:rsidRPr="003E76E7">
        <w:rPr>
          <w:szCs w:val="20"/>
          <w:lang w:val="en-AU"/>
        </w:rPr>
        <w:t>working accommodation. This project is scheduled for completion in early 2027.</w:t>
      </w:r>
    </w:p>
    <w:p w14:paraId="49BAEDCF" w14:textId="77777777" w:rsidR="00EC4935" w:rsidRPr="003E76E7" w:rsidRDefault="00EC4935" w:rsidP="00C4292D">
      <w:pPr>
        <w:autoSpaceDE w:val="0"/>
        <w:autoSpaceDN w:val="0"/>
        <w:adjustRightInd w:val="0"/>
        <w:spacing w:before="0"/>
        <w:rPr>
          <w:szCs w:val="20"/>
          <w:lang w:val="en-AU"/>
        </w:rPr>
      </w:pPr>
    </w:p>
    <w:p w14:paraId="0232DC47" w14:textId="0487C52D" w:rsidR="008A7ABF" w:rsidRPr="003E76E7" w:rsidRDefault="008A7ABF" w:rsidP="00C4292D">
      <w:pPr>
        <w:autoSpaceDE w:val="0"/>
        <w:autoSpaceDN w:val="0"/>
        <w:adjustRightInd w:val="0"/>
        <w:spacing w:before="0"/>
        <w:rPr>
          <w:rFonts w:ascii="Arial" w:hAnsi="Arial"/>
          <w:szCs w:val="20"/>
          <w:lang w:val="en-AU"/>
        </w:rPr>
      </w:pPr>
      <w:r w:rsidRPr="003E76E7">
        <w:rPr>
          <w:rFonts w:ascii="Arial" w:hAnsi="Arial"/>
          <w:szCs w:val="20"/>
          <w:lang w:val="en-AU"/>
        </w:rPr>
        <w:t>Facilities to Support JP</w:t>
      </w:r>
      <w:r w:rsidR="00846A3A" w:rsidRPr="003E76E7">
        <w:rPr>
          <w:rFonts w:ascii="Arial" w:hAnsi="Arial"/>
          <w:szCs w:val="20"/>
          <w:lang w:val="en-AU"/>
        </w:rPr>
        <w:t xml:space="preserve"> </w:t>
      </w:r>
      <w:r w:rsidRPr="003E76E7">
        <w:rPr>
          <w:rFonts w:ascii="Arial" w:hAnsi="Arial"/>
          <w:szCs w:val="20"/>
          <w:lang w:val="en-AU"/>
        </w:rPr>
        <w:t>8218 Theatre Logistics</w:t>
      </w:r>
    </w:p>
    <w:p w14:paraId="38CD9883" w14:textId="1AAC7911" w:rsidR="00864C07" w:rsidRPr="003E76E7" w:rsidRDefault="008A7ABF" w:rsidP="00C4292D">
      <w:pPr>
        <w:autoSpaceDE w:val="0"/>
        <w:autoSpaceDN w:val="0"/>
        <w:adjustRightInd w:val="0"/>
        <w:spacing w:before="0"/>
        <w:rPr>
          <w:szCs w:val="20"/>
          <w:lang w:val="en-AU"/>
        </w:rPr>
      </w:pPr>
      <w:r w:rsidRPr="003E76E7">
        <w:rPr>
          <w:szCs w:val="20"/>
          <w:lang w:val="en-AU"/>
        </w:rPr>
        <w:t>This project is providing infrastructure at North Bandiana</w:t>
      </w:r>
      <w:r w:rsidR="00B565AE" w:rsidRPr="003E76E7">
        <w:rPr>
          <w:szCs w:val="20"/>
          <w:lang w:val="en-AU"/>
        </w:rPr>
        <w:t>,</w:t>
      </w:r>
      <w:r w:rsidRPr="003E76E7">
        <w:rPr>
          <w:szCs w:val="20"/>
          <w:lang w:val="en-AU"/>
        </w:rPr>
        <w:t xml:space="preserve"> VIC, including vehicle shelters, civil works and engineering services. This project is scheduled for completion in 2026.</w:t>
      </w:r>
    </w:p>
    <w:p w14:paraId="6FBEC98E" w14:textId="77777777" w:rsidR="00B565AE" w:rsidRPr="003E76E7" w:rsidRDefault="00B565AE" w:rsidP="00C4292D">
      <w:pPr>
        <w:autoSpaceDE w:val="0"/>
        <w:autoSpaceDN w:val="0"/>
        <w:adjustRightInd w:val="0"/>
        <w:spacing w:before="0"/>
        <w:rPr>
          <w:rFonts w:ascii="Arial" w:hAnsi="Arial"/>
          <w:szCs w:val="20"/>
          <w:lang w:val="en-AU"/>
        </w:rPr>
      </w:pPr>
    </w:p>
    <w:p w14:paraId="31C2A3BA" w14:textId="51DEE9DE" w:rsidR="008A7ABF" w:rsidRPr="003E76E7" w:rsidRDefault="008A7ABF" w:rsidP="00C4292D">
      <w:pPr>
        <w:autoSpaceDE w:val="0"/>
        <w:autoSpaceDN w:val="0"/>
        <w:adjustRightInd w:val="0"/>
        <w:spacing w:before="0"/>
        <w:rPr>
          <w:szCs w:val="20"/>
          <w:lang w:val="en-AU"/>
        </w:rPr>
      </w:pPr>
      <w:r w:rsidRPr="003E76E7">
        <w:rPr>
          <w:rFonts w:ascii="Arial" w:hAnsi="Arial"/>
          <w:szCs w:val="20"/>
          <w:lang w:val="en-AU"/>
        </w:rPr>
        <w:lastRenderedPageBreak/>
        <w:t>Puckapunyal Health and Wellbeing Centre</w:t>
      </w:r>
    </w:p>
    <w:p w14:paraId="130FDCDB" w14:textId="77777777" w:rsidR="008A7ABF" w:rsidRPr="003E76E7" w:rsidRDefault="008A7ABF" w:rsidP="00C4292D">
      <w:pPr>
        <w:autoSpaceDE w:val="0"/>
        <w:autoSpaceDN w:val="0"/>
        <w:adjustRightInd w:val="0"/>
        <w:spacing w:before="0"/>
        <w:rPr>
          <w:szCs w:val="20"/>
          <w:lang w:val="en-AU"/>
        </w:rPr>
      </w:pPr>
      <w:r w:rsidRPr="003E76E7">
        <w:rPr>
          <w:szCs w:val="20"/>
          <w:lang w:val="en-AU"/>
        </w:rPr>
        <w:t>This project is now in the Defects Liability Period.</w:t>
      </w:r>
    </w:p>
    <w:p w14:paraId="62987F92" w14:textId="77777777" w:rsidR="008A7ABF" w:rsidRPr="003E76E7" w:rsidRDefault="008A7ABF" w:rsidP="00C4292D">
      <w:pPr>
        <w:autoSpaceDE w:val="0"/>
        <w:autoSpaceDN w:val="0"/>
        <w:adjustRightInd w:val="0"/>
        <w:spacing w:before="0"/>
        <w:rPr>
          <w:szCs w:val="20"/>
          <w:lang w:val="en-AU"/>
        </w:rPr>
      </w:pPr>
    </w:p>
    <w:p w14:paraId="0F62DEDB" w14:textId="77777777" w:rsidR="008A7ABF" w:rsidRPr="003E76E7" w:rsidRDefault="008A7ABF" w:rsidP="00C4292D">
      <w:pPr>
        <w:pStyle w:val="Heading4level5"/>
        <w:spacing w:before="0" w:after="100"/>
        <w:outlineLvl w:val="9"/>
      </w:pPr>
      <w:r w:rsidRPr="003E76E7">
        <w:t>Western Australia</w:t>
      </w:r>
    </w:p>
    <w:p w14:paraId="5F0C30BA" w14:textId="77777777" w:rsidR="008A7ABF" w:rsidRPr="003E76E7" w:rsidRDefault="008A7ABF" w:rsidP="00C4292D">
      <w:pPr>
        <w:autoSpaceDE w:val="0"/>
        <w:autoSpaceDN w:val="0"/>
        <w:adjustRightInd w:val="0"/>
        <w:spacing w:before="0"/>
        <w:rPr>
          <w:rFonts w:ascii="Arial" w:hAnsi="Arial"/>
          <w:szCs w:val="20"/>
          <w:lang w:val="en-AU"/>
        </w:rPr>
      </w:pPr>
      <w:r w:rsidRPr="003E76E7">
        <w:rPr>
          <w:rFonts w:ascii="Arial" w:hAnsi="Arial"/>
          <w:szCs w:val="20"/>
          <w:lang w:val="en-AU"/>
        </w:rPr>
        <w:t>DEF 01 Submarine Rotational Force - West Infrastructure Project Priority Works</w:t>
      </w:r>
    </w:p>
    <w:p w14:paraId="71B6401C" w14:textId="26428337" w:rsidR="008A7ABF" w:rsidRPr="003E76E7" w:rsidRDefault="008A7ABF" w:rsidP="00C4292D">
      <w:pPr>
        <w:autoSpaceDE w:val="0"/>
        <w:autoSpaceDN w:val="0"/>
        <w:adjustRightInd w:val="0"/>
        <w:spacing w:before="0"/>
        <w:rPr>
          <w:szCs w:val="20"/>
          <w:lang w:val="en-AU"/>
        </w:rPr>
      </w:pPr>
      <w:r w:rsidRPr="003E76E7">
        <w:rPr>
          <w:szCs w:val="20"/>
          <w:lang w:val="en-AU"/>
        </w:rPr>
        <w:t xml:space="preserve">This project is delivering infrastructure enhancements and upgrades at HMAS </w:t>
      </w:r>
      <w:r w:rsidRPr="00C210BD">
        <w:rPr>
          <w:szCs w:val="20"/>
          <w:lang w:val="en-AU"/>
        </w:rPr>
        <w:t>Stirling</w:t>
      </w:r>
      <w:r w:rsidR="00B565AE" w:rsidRPr="003E76E7">
        <w:rPr>
          <w:i/>
          <w:szCs w:val="20"/>
          <w:lang w:val="en-AU"/>
        </w:rPr>
        <w:t>,</w:t>
      </w:r>
      <w:r w:rsidRPr="003E76E7">
        <w:rPr>
          <w:szCs w:val="20"/>
          <w:lang w:val="en-AU"/>
        </w:rPr>
        <w:t xml:space="preserve"> WA to support the safe and secure operation of conventionally-armed, nuclear-powered submarines, and the establishment of the Submarine Rotational Force</w:t>
      </w:r>
      <w:r w:rsidR="00AD14EC" w:rsidRPr="003E76E7">
        <w:rPr>
          <w:szCs w:val="20"/>
          <w:lang w:val="en-AU"/>
        </w:rPr>
        <w:t>-</w:t>
      </w:r>
      <w:r w:rsidRPr="003E76E7">
        <w:rPr>
          <w:szCs w:val="20"/>
          <w:lang w:val="en-AU"/>
        </w:rPr>
        <w:t>West. This project is scheduled for completion in late 2028.</w:t>
      </w:r>
    </w:p>
    <w:p w14:paraId="77C66BA1" w14:textId="77777777" w:rsidR="008A7ABF" w:rsidRPr="003E76E7" w:rsidRDefault="008A7ABF" w:rsidP="00C4292D">
      <w:pPr>
        <w:autoSpaceDE w:val="0"/>
        <w:autoSpaceDN w:val="0"/>
        <w:adjustRightInd w:val="0"/>
        <w:spacing w:before="0"/>
        <w:rPr>
          <w:color w:val="000000"/>
          <w:szCs w:val="20"/>
          <w:lang w:val="en-AU"/>
        </w:rPr>
      </w:pPr>
    </w:p>
    <w:p w14:paraId="121BEA44" w14:textId="77777777" w:rsidR="008A7ABF" w:rsidRPr="003E76E7" w:rsidRDefault="008A7ABF" w:rsidP="00C4292D">
      <w:pPr>
        <w:autoSpaceDE w:val="0"/>
        <w:autoSpaceDN w:val="0"/>
        <w:adjustRightInd w:val="0"/>
        <w:spacing w:before="0"/>
        <w:rPr>
          <w:rFonts w:ascii="Arial" w:hAnsi="Arial"/>
          <w:szCs w:val="20"/>
          <w:lang w:val="en-AU"/>
        </w:rPr>
      </w:pPr>
      <w:r w:rsidRPr="003E76E7">
        <w:rPr>
          <w:rFonts w:ascii="Arial" w:hAnsi="Arial"/>
          <w:szCs w:val="20"/>
          <w:lang w:val="en-AU"/>
        </w:rPr>
        <w:t>RAAF Base Learmonth Redevelopment Enabling KC-30 Operations</w:t>
      </w:r>
    </w:p>
    <w:p w14:paraId="40FD8EFD" w14:textId="47194BC4" w:rsidR="008A7ABF" w:rsidRPr="003E76E7" w:rsidRDefault="008A7ABF" w:rsidP="00C4292D">
      <w:pPr>
        <w:autoSpaceDE w:val="0"/>
        <w:autoSpaceDN w:val="0"/>
        <w:adjustRightInd w:val="0"/>
        <w:spacing w:before="0"/>
        <w:rPr>
          <w:szCs w:val="20"/>
          <w:lang w:val="en-AU"/>
        </w:rPr>
      </w:pPr>
      <w:r w:rsidRPr="003E76E7">
        <w:rPr>
          <w:szCs w:val="20"/>
          <w:lang w:val="en-AU"/>
        </w:rPr>
        <w:t>This project is upgrading the airfield including the runway, taxiway and parking aprons at</w:t>
      </w:r>
      <w:r w:rsidR="0015415F" w:rsidRPr="003E76E7">
        <w:rPr>
          <w:szCs w:val="20"/>
          <w:lang w:val="en-AU"/>
        </w:rPr>
        <w:t xml:space="preserve"> </w:t>
      </w:r>
      <w:r w:rsidR="00B565AE" w:rsidRPr="003E76E7">
        <w:rPr>
          <w:szCs w:val="20"/>
          <w:lang w:val="en-AU"/>
        </w:rPr>
        <w:br/>
      </w:r>
      <w:r w:rsidRPr="003E76E7">
        <w:rPr>
          <w:szCs w:val="20"/>
          <w:lang w:val="en-AU"/>
        </w:rPr>
        <w:t>RAAF Base Learmonth</w:t>
      </w:r>
      <w:r w:rsidR="00B565AE" w:rsidRPr="003E76E7">
        <w:rPr>
          <w:szCs w:val="20"/>
          <w:lang w:val="en-AU"/>
        </w:rPr>
        <w:t>,</w:t>
      </w:r>
      <w:r w:rsidRPr="003E76E7">
        <w:rPr>
          <w:szCs w:val="20"/>
          <w:lang w:val="en-AU"/>
        </w:rPr>
        <w:t xml:space="preserve"> WA. This project is scheduled for completion in mid-2028.</w:t>
      </w:r>
    </w:p>
    <w:p w14:paraId="5A6351F5" w14:textId="77777777" w:rsidR="008A7ABF" w:rsidRPr="003E76E7" w:rsidRDefault="008A7ABF" w:rsidP="00C4292D">
      <w:pPr>
        <w:autoSpaceDE w:val="0"/>
        <w:autoSpaceDN w:val="0"/>
        <w:adjustRightInd w:val="0"/>
        <w:spacing w:before="0"/>
        <w:rPr>
          <w:rFonts w:ascii="BookAntiqua" w:hAnsi="BookAntiqua" w:cs="BookAntiqua"/>
          <w:szCs w:val="20"/>
          <w:lang w:val="en-AU"/>
        </w:rPr>
      </w:pPr>
    </w:p>
    <w:p w14:paraId="2F4BF9E0" w14:textId="77777777" w:rsidR="008A7ABF" w:rsidRPr="003E76E7" w:rsidRDefault="008A7ABF" w:rsidP="00C4292D">
      <w:pPr>
        <w:autoSpaceDE w:val="0"/>
        <w:autoSpaceDN w:val="0"/>
        <w:adjustRightInd w:val="0"/>
        <w:spacing w:before="0"/>
        <w:rPr>
          <w:rFonts w:ascii="Arial" w:hAnsi="Arial"/>
          <w:szCs w:val="20"/>
          <w:lang w:val="en-AU"/>
        </w:rPr>
      </w:pPr>
      <w:r w:rsidRPr="003E76E7">
        <w:rPr>
          <w:rFonts w:ascii="Arial" w:hAnsi="Arial"/>
          <w:szCs w:val="20"/>
          <w:lang w:val="en-AU"/>
        </w:rPr>
        <w:t>Airfield Capital Works P0013 (Curtin and Learmonth)</w:t>
      </w:r>
    </w:p>
    <w:p w14:paraId="5A7B6743" w14:textId="59D951F8" w:rsidR="008A7ABF" w:rsidRPr="003E76E7" w:rsidRDefault="008A7ABF" w:rsidP="00C4292D">
      <w:pPr>
        <w:autoSpaceDE w:val="0"/>
        <w:autoSpaceDN w:val="0"/>
        <w:adjustRightInd w:val="0"/>
        <w:spacing w:before="0"/>
        <w:rPr>
          <w:szCs w:val="20"/>
          <w:lang w:val="en-AU"/>
        </w:rPr>
      </w:pPr>
      <w:r w:rsidRPr="003E76E7">
        <w:rPr>
          <w:szCs w:val="20"/>
          <w:lang w:val="en-AU"/>
        </w:rPr>
        <w:t>This project is maintaining aircraft pavements and aeronautical ground lighting at RAAF Base</w:t>
      </w:r>
      <w:r w:rsidR="0015415F" w:rsidRPr="003E76E7">
        <w:rPr>
          <w:szCs w:val="20"/>
          <w:lang w:val="en-AU"/>
        </w:rPr>
        <w:t xml:space="preserve"> </w:t>
      </w:r>
      <w:r w:rsidRPr="003E76E7">
        <w:rPr>
          <w:szCs w:val="20"/>
          <w:lang w:val="en-AU"/>
        </w:rPr>
        <w:t>Curtin</w:t>
      </w:r>
      <w:r w:rsidR="00B565AE" w:rsidRPr="003E76E7">
        <w:rPr>
          <w:szCs w:val="20"/>
          <w:lang w:val="en-AU"/>
        </w:rPr>
        <w:t>,</w:t>
      </w:r>
      <w:r w:rsidRPr="003E76E7">
        <w:rPr>
          <w:szCs w:val="20"/>
          <w:lang w:val="en-AU"/>
        </w:rPr>
        <w:t xml:space="preserve"> WA and RAAF Base Learmonth</w:t>
      </w:r>
      <w:r w:rsidR="00B565AE" w:rsidRPr="003E76E7">
        <w:rPr>
          <w:szCs w:val="20"/>
          <w:lang w:val="en-AU"/>
        </w:rPr>
        <w:t>,</w:t>
      </w:r>
      <w:r w:rsidRPr="003E76E7">
        <w:rPr>
          <w:szCs w:val="20"/>
          <w:lang w:val="en-AU"/>
        </w:rPr>
        <w:t xml:space="preserve"> WA. This project is scheduled for completion in mid-2028.</w:t>
      </w:r>
    </w:p>
    <w:p w14:paraId="4B355612" w14:textId="77777777" w:rsidR="008A7ABF" w:rsidRPr="003E76E7" w:rsidRDefault="008A7ABF" w:rsidP="00C4292D">
      <w:pPr>
        <w:autoSpaceDE w:val="0"/>
        <w:autoSpaceDN w:val="0"/>
        <w:adjustRightInd w:val="0"/>
        <w:spacing w:before="0"/>
        <w:rPr>
          <w:rFonts w:ascii="BookAntiqua" w:hAnsi="BookAntiqua" w:cs="BookAntiqua"/>
          <w:szCs w:val="20"/>
          <w:lang w:val="en-AU"/>
        </w:rPr>
      </w:pPr>
    </w:p>
    <w:p w14:paraId="5833DD7C" w14:textId="77777777" w:rsidR="008A7ABF" w:rsidRPr="003E76E7" w:rsidRDefault="008A7ABF" w:rsidP="00C4292D">
      <w:pPr>
        <w:autoSpaceDE w:val="0"/>
        <w:autoSpaceDN w:val="0"/>
        <w:adjustRightInd w:val="0"/>
        <w:spacing w:before="0"/>
        <w:rPr>
          <w:rFonts w:ascii="Arial" w:hAnsi="Arial"/>
          <w:szCs w:val="20"/>
          <w:lang w:val="en-AU"/>
        </w:rPr>
      </w:pPr>
      <w:r w:rsidRPr="003E76E7">
        <w:rPr>
          <w:rFonts w:ascii="Arial" w:hAnsi="Arial"/>
          <w:szCs w:val="20"/>
          <w:lang w:val="en-AU"/>
        </w:rPr>
        <w:t>RAAF Base Pearce Additional Flight Training Device</w:t>
      </w:r>
    </w:p>
    <w:p w14:paraId="58C4BBEE" w14:textId="77777777" w:rsidR="008A7ABF" w:rsidRPr="003E76E7" w:rsidRDefault="008A7ABF" w:rsidP="00C4292D">
      <w:pPr>
        <w:autoSpaceDE w:val="0"/>
        <w:autoSpaceDN w:val="0"/>
        <w:adjustRightInd w:val="0"/>
        <w:spacing w:before="0"/>
        <w:rPr>
          <w:szCs w:val="20"/>
          <w:lang w:val="en-AU"/>
        </w:rPr>
      </w:pPr>
      <w:r w:rsidRPr="003E76E7">
        <w:rPr>
          <w:szCs w:val="20"/>
          <w:lang w:val="en-AU"/>
        </w:rPr>
        <w:t>This project is now in the Defects Liability Period.</w:t>
      </w:r>
    </w:p>
    <w:p w14:paraId="0E6A8A28" w14:textId="77777777" w:rsidR="008A7ABF" w:rsidRPr="003E76E7" w:rsidRDefault="008A7ABF" w:rsidP="00C4292D">
      <w:pPr>
        <w:autoSpaceDE w:val="0"/>
        <w:autoSpaceDN w:val="0"/>
        <w:adjustRightInd w:val="0"/>
        <w:spacing w:before="0"/>
        <w:rPr>
          <w:rFonts w:ascii="BookAntiqua" w:hAnsi="BookAntiqua" w:cs="BookAntiqua"/>
          <w:szCs w:val="20"/>
          <w:lang w:val="en-AU"/>
        </w:rPr>
      </w:pPr>
    </w:p>
    <w:p w14:paraId="2842DB34" w14:textId="77777777" w:rsidR="008A7ABF" w:rsidRPr="003E76E7" w:rsidRDefault="008A7ABF" w:rsidP="00C4292D">
      <w:pPr>
        <w:pStyle w:val="Heading4level5"/>
        <w:spacing w:before="0" w:after="100"/>
        <w:outlineLvl w:val="9"/>
      </w:pPr>
      <w:r w:rsidRPr="003E76E7">
        <w:t>Various Locations</w:t>
      </w:r>
    </w:p>
    <w:p w14:paraId="27E015FC" w14:textId="77777777" w:rsidR="008A7ABF" w:rsidRPr="003E76E7" w:rsidRDefault="008A7ABF" w:rsidP="00C4292D">
      <w:pPr>
        <w:autoSpaceDE w:val="0"/>
        <w:autoSpaceDN w:val="0"/>
        <w:adjustRightInd w:val="0"/>
        <w:spacing w:before="0"/>
        <w:rPr>
          <w:rFonts w:ascii="Arial" w:hAnsi="Arial"/>
          <w:szCs w:val="20"/>
          <w:lang w:val="en-AU"/>
        </w:rPr>
      </w:pPr>
      <w:r w:rsidRPr="003E76E7">
        <w:rPr>
          <w:rFonts w:ascii="Arial" w:hAnsi="Arial"/>
          <w:szCs w:val="20"/>
          <w:lang w:val="en-AU"/>
        </w:rPr>
        <w:t>Enhanced Land Force (ELF) Stage 2</w:t>
      </w:r>
    </w:p>
    <w:p w14:paraId="0FC0F5C2" w14:textId="5EAEB561" w:rsidR="008A7ABF" w:rsidRPr="003E76E7" w:rsidRDefault="008A7ABF" w:rsidP="00C4292D">
      <w:pPr>
        <w:autoSpaceDE w:val="0"/>
        <w:autoSpaceDN w:val="0"/>
        <w:adjustRightInd w:val="0"/>
        <w:spacing w:before="0"/>
        <w:rPr>
          <w:szCs w:val="20"/>
          <w:lang w:val="en-AU"/>
        </w:rPr>
      </w:pPr>
      <w:r w:rsidRPr="003E76E7">
        <w:rPr>
          <w:szCs w:val="20"/>
          <w:lang w:val="en-AU"/>
        </w:rPr>
        <w:t xml:space="preserve">This project provided purpose-built facilities and supporting infrastructure to support </w:t>
      </w:r>
      <w:r w:rsidR="00B565AE" w:rsidRPr="003E76E7">
        <w:rPr>
          <w:szCs w:val="20"/>
          <w:lang w:val="en-AU"/>
        </w:rPr>
        <w:br/>
      </w:r>
      <w:r w:rsidRPr="003E76E7">
        <w:rPr>
          <w:szCs w:val="20"/>
          <w:lang w:val="en-AU"/>
        </w:rPr>
        <w:t>ELF</w:t>
      </w:r>
      <w:r w:rsidR="0015415F" w:rsidRPr="003E76E7">
        <w:rPr>
          <w:szCs w:val="20"/>
          <w:lang w:val="en-AU"/>
        </w:rPr>
        <w:t xml:space="preserve"> </w:t>
      </w:r>
      <w:r w:rsidRPr="003E76E7">
        <w:rPr>
          <w:szCs w:val="20"/>
          <w:lang w:val="en-AU"/>
        </w:rPr>
        <w:t>capabilities across various bases. This included the construction of new and refurbished</w:t>
      </w:r>
      <w:r w:rsidR="0015415F" w:rsidRPr="003E76E7">
        <w:rPr>
          <w:szCs w:val="20"/>
          <w:lang w:val="en-AU"/>
        </w:rPr>
        <w:t xml:space="preserve"> </w:t>
      </w:r>
      <w:r w:rsidRPr="003E76E7">
        <w:rPr>
          <w:szCs w:val="20"/>
          <w:lang w:val="en-AU"/>
        </w:rPr>
        <w:t>accommodation, common use, and training facilities, and upgraded site infrastructure. The works are complete with the exception of access-related scope at the Cultana Training Area</w:t>
      </w:r>
      <w:r w:rsidR="00B565AE" w:rsidRPr="003E76E7">
        <w:rPr>
          <w:szCs w:val="20"/>
          <w:lang w:val="en-AU"/>
        </w:rPr>
        <w:t>,</w:t>
      </w:r>
      <w:r w:rsidRPr="003E76E7">
        <w:rPr>
          <w:szCs w:val="20"/>
          <w:lang w:val="en-AU"/>
        </w:rPr>
        <w:t xml:space="preserve"> SA, which is scheduled for completion in early 2027.</w:t>
      </w:r>
    </w:p>
    <w:p w14:paraId="78A0C9DF" w14:textId="77777777" w:rsidR="008A7ABF" w:rsidRPr="003E76E7" w:rsidRDefault="008A7ABF" w:rsidP="00C4292D">
      <w:pPr>
        <w:spacing w:before="0"/>
        <w:rPr>
          <w:lang w:val="en-AU"/>
        </w:rPr>
      </w:pPr>
    </w:p>
    <w:p w14:paraId="4B6D6B45" w14:textId="77777777" w:rsidR="008A7ABF" w:rsidRPr="003E76E7" w:rsidRDefault="008A7ABF" w:rsidP="00C4292D">
      <w:pPr>
        <w:autoSpaceDE w:val="0"/>
        <w:autoSpaceDN w:val="0"/>
        <w:adjustRightInd w:val="0"/>
        <w:spacing w:before="0"/>
        <w:rPr>
          <w:rFonts w:ascii="Arial" w:hAnsi="Arial"/>
          <w:szCs w:val="20"/>
          <w:lang w:val="en-AU"/>
        </w:rPr>
      </w:pPr>
      <w:r w:rsidRPr="003E76E7">
        <w:rPr>
          <w:rFonts w:ascii="Arial" w:hAnsi="Arial"/>
          <w:szCs w:val="20"/>
          <w:lang w:val="en-AU"/>
        </w:rPr>
        <w:t>Navy Capability Infrastructure Sub-program</w:t>
      </w:r>
    </w:p>
    <w:p w14:paraId="3FB90843" w14:textId="77777777" w:rsidR="008A7ABF" w:rsidRPr="003E76E7" w:rsidRDefault="008A7ABF" w:rsidP="00C4292D">
      <w:pPr>
        <w:autoSpaceDE w:val="0"/>
        <w:autoSpaceDN w:val="0"/>
        <w:adjustRightInd w:val="0"/>
        <w:spacing w:before="0"/>
        <w:rPr>
          <w:szCs w:val="20"/>
          <w:lang w:val="en-AU"/>
        </w:rPr>
      </w:pPr>
      <w:r w:rsidRPr="003E76E7">
        <w:rPr>
          <w:szCs w:val="20"/>
          <w:lang w:val="en-AU"/>
        </w:rPr>
        <w:t>This program of works is providing new and upgraded facilities and infrastructure across various bases to support new frigate and offshore patrol vessels including:</w:t>
      </w:r>
    </w:p>
    <w:p w14:paraId="409CD1FC" w14:textId="46F84E0C" w:rsidR="00864C07" w:rsidRPr="003E76E7" w:rsidRDefault="00864C07" w:rsidP="00C4292D">
      <w:pPr>
        <w:spacing w:before="0" w:after="0"/>
        <w:rPr>
          <w:szCs w:val="20"/>
          <w:lang w:val="en-AU"/>
        </w:rPr>
      </w:pPr>
    </w:p>
    <w:p w14:paraId="387ED625" w14:textId="377FE5BA" w:rsidR="008A7ABF" w:rsidRPr="003E76E7" w:rsidRDefault="008A7ABF" w:rsidP="00C4292D">
      <w:pPr>
        <w:autoSpaceDE w:val="0"/>
        <w:autoSpaceDN w:val="0"/>
        <w:adjustRightInd w:val="0"/>
        <w:spacing w:before="0"/>
        <w:ind w:left="284"/>
        <w:rPr>
          <w:rFonts w:ascii="Arial" w:hAnsi="Arial"/>
          <w:szCs w:val="20"/>
          <w:lang w:val="en-AU"/>
        </w:rPr>
      </w:pPr>
      <w:r w:rsidRPr="003E76E7">
        <w:rPr>
          <w:rFonts w:ascii="Arial" w:hAnsi="Arial"/>
          <w:szCs w:val="20"/>
          <w:lang w:val="en-AU"/>
        </w:rPr>
        <w:t>Offshore Patrol Vessel (OPV) Facilities (SEA 1180 Phase 1)</w:t>
      </w:r>
    </w:p>
    <w:p w14:paraId="5507D673" w14:textId="38B8B080" w:rsidR="008A7ABF" w:rsidRPr="003E76E7" w:rsidRDefault="008A7ABF" w:rsidP="00C4292D">
      <w:pPr>
        <w:autoSpaceDE w:val="0"/>
        <w:autoSpaceDN w:val="0"/>
        <w:adjustRightInd w:val="0"/>
        <w:spacing w:before="0"/>
        <w:ind w:left="284"/>
        <w:rPr>
          <w:szCs w:val="20"/>
          <w:lang w:val="en-AU"/>
        </w:rPr>
      </w:pPr>
      <w:r w:rsidRPr="003E76E7">
        <w:rPr>
          <w:szCs w:val="20"/>
          <w:lang w:val="en-AU"/>
        </w:rPr>
        <w:t>This project is providing berthing, training, maintenance, logistics, and support facilities to</w:t>
      </w:r>
      <w:r w:rsidR="0015415F" w:rsidRPr="003E76E7">
        <w:rPr>
          <w:szCs w:val="20"/>
          <w:lang w:val="en-AU"/>
        </w:rPr>
        <w:t xml:space="preserve"> </w:t>
      </w:r>
      <w:r w:rsidRPr="003E76E7">
        <w:rPr>
          <w:szCs w:val="20"/>
          <w:lang w:val="en-AU"/>
        </w:rPr>
        <w:t xml:space="preserve">support the introduction into service of the Arafura Class OPVs at HMAS </w:t>
      </w:r>
      <w:r w:rsidRPr="00C210BD">
        <w:rPr>
          <w:szCs w:val="20"/>
          <w:lang w:val="en-AU"/>
        </w:rPr>
        <w:t>Coonawarra</w:t>
      </w:r>
      <w:r w:rsidRPr="003E76E7">
        <w:rPr>
          <w:szCs w:val="20"/>
          <w:lang w:val="en-AU"/>
        </w:rPr>
        <w:t xml:space="preserve"> and </w:t>
      </w:r>
      <w:r w:rsidRPr="003E76E7">
        <w:rPr>
          <w:szCs w:val="20"/>
          <w:lang w:val="en-AU"/>
        </w:rPr>
        <w:br/>
        <w:t xml:space="preserve">RAAF Base Darwin in the NT, HMAS </w:t>
      </w:r>
      <w:r w:rsidRPr="002F62D4">
        <w:rPr>
          <w:szCs w:val="20"/>
          <w:lang w:val="en-AU"/>
        </w:rPr>
        <w:t>Cairns</w:t>
      </w:r>
      <w:r w:rsidRPr="003E76E7">
        <w:rPr>
          <w:szCs w:val="20"/>
          <w:lang w:val="en-AU"/>
        </w:rPr>
        <w:t xml:space="preserve"> in QLD, and HMAS </w:t>
      </w:r>
      <w:r w:rsidRPr="00C210BD">
        <w:rPr>
          <w:szCs w:val="20"/>
          <w:lang w:val="en-AU"/>
        </w:rPr>
        <w:t>Stirling</w:t>
      </w:r>
      <w:r w:rsidRPr="003E76E7">
        <w:rPr>
          <w:szCs w:val="20"/>
          <w:lang w:val="en-AU"/>
        </w:rPr>
        <w:t xml:space="preserve"> and Henderson Maritime Precinct in WA. This project is scheduled for completion in mid-2029.</w:t>
      </w:r>
    </w:p>
    <w:p w14:paraId="2870B334" w14:textId="77777777" w:rsidR="00EC4935" w:rsidRPr="003E76E7" w:rsidRDefault="00EC4935" w:rsidP="00C4292D">
      <w:pPr>
        <w:autoSpaceDE w:val="0"/>
        <w:autoSpaceDN w:val="0"/>
        <w:adjustRightInd w:val="0"/>
        <w:spacing w:before="0"/>
        <w:ind w:left="284"/>
        <w:rPr>
          <w:szCs w:val="20"/>
          <w:lang w:val="en-AU"/>
        </w:rPr>
      </w:pPr>
    </w:p>
    <w:p w14:paraId="28BAD39E" w14:textId="6FA84D8B" w:rsidR="008A7ABF" w:rsidRPr="003E76E7" w:rsidRDefault="008A7ABF" w:rsidP="00C4292D">
      <w:pPr>
        <w:autoSpaceDE w:val="0"/>
        <w:autoSpaceDN w:val="0"/>
        <w:adjustRightInd w:val="0"/>
        <w:spacing w:before="0"/>
        <w:ind w:left="284"/>
        <w:rPr>
          <w:rFonts w:ascii="Arial" w:hAnsi="Arial"/>
          <w:szCs w:val="20"/>
          <w:lang w:val="en-AU"/>
        </w:rPr>
      </w:pPr>
      <w:r w:rsidRPr="003E76E7">
        <w:rPr>
          <w:rFonts w:ascii="Arial" w:hAnsi="Arial"/>
          <w:szCs w:val="20"/>
          <w:lang w:val="en-AU"/>
        </w:rPr>
        <w:t>Hunter Class Frigate Program Facilities (SEA 5000 Phase 1)</w:t>
      </w:r>
    </w:p>
    <w:p w14:paraId="65A326A1" w14:textId="5A816583" w:rsidR="00864C07" w:rsidRPr="003E76E7" w:rsidRDefault="008A7ABF" w:rsidP="00C4292D">
      <w:pPr>
        <w:autoSpaceDE w:val="0"/>
        <w:autoSpaceDN w:val="0"/>
        <w:adjustRightInd w:val="0"/>
        <w:spacing w:before="0"/>
        <w:ind w:left="284"/>
        <w:rPr>
          <w:szCs w:val="20"/>
          <w:lang w:val="en-AU"/>
        </w:rPr>
      </w:pPr>
      <w:r w:rsidRPr="003E76E7">
        <w:rPr>
          <w:szCs w:val="20"/>
          <w:lang w:val="en-AU"/>
        </w:rPr>
        <w:t xml:space="preserve">This project is providing upgraded facilities and infrastructure to support the introduction of the new Hunter Class frigates at HMAS </w:t>
      </w:r>
      <w:r w:rsidRPr="002F62D4">
        <w:rPr>
          <w:szCs w:val="20"/>
          <w:lang w:val="en-AU"/>
        </w:rPr>
        <w:t>Watson</w:t>
      </w:r>
      <w:r w:rsidRPr="003E76E7">
        <w:rPr>
          <w:szCs w:val="20"/>
          <w:lang w:val="en-AU"/>
        </w:rPr>
        <w:t xml:space="preserve"> and the Garden Island Defence Precinct in NSW, St Kilda and Osborne Naval Shipyards in SA, and HMAS </w:t>
      </w:r>
      <w:r w:rsidRPr="00C210BD">
        <w:rPr>
          <w:szCs w:val="20"/>
          <w:lang w:val="en-AU"/>
        </w:rPr>
        <w:t>Stirling</w:t>
      </w:r>
      <w:r w:rsidRPr="003E76E7">
        <w:rPr>
          <w:szCs w:val="20"/>
          <w:lang w:val="en-AU"/>
        </w:rPr>
        <w:t xml:space="preserve"> and Henderson Maritime Precinct in WA. This project is scheduled for completion in late 2027.</w:t>
      </w:r>
    </w:p>
    <w:p w14:paraId="419E4D70" w14:textId="77777777" w:rsidR="008100F7" w:rsidRPr="003E76E7" w:rsidRDefault="008100F7" w:rsidP="00C4292D">
      <w:pPr>
        <w:autoSpaceDE w:val="0"/>
        <w:autoSpaceDN w:val="0"/>
        <w:adjustRightInd w:val="0"/>
        <w:spacing w:before="0"/>
        <w:rPr>
          <w:rFonts w:ascii="Arial" w:hAnsi="Arial"/>
          <w:szCs w:val="20"/>
          <w:lang w:val="en-AU"/>
        </w:rPr>
      </w:pPr>
    </w:p>
    <w:p w14:paraId="6A60CDAF" w14:textId="169A899F" w:rsidR="008A7ABF" w:rsidRPr="003E76E7" w:rsidRDefault="008A7ABF" w:rsidP="00C4292D">
      <w:pPr>
        <w:autoSpaceDE w:val="0"/>
        <w:autoSpaceDN w:val="0"/>
        <w:adjustRightInd w:val="0"/>
        <w:spacing w:before="0"/>
        <w:rPr>
          <w:rFonts w:ascii="Arial" w:hAnsi="Arial"/>
          <w:szCs w:val="20"/>
          <w:lang w:val="en-AU"/>
        </w:rPr>
      </w:pPr>
      <w:r w:rsidRPr="003E76E7">
        <w:rPr>
          <w:rFonts w:ascii="Arial" w:hAnsi="Arial"/>
          <w:szCs w:val="20"/>
          <w:lang w:val="en-AU"/>
        </w:rPr>
        <w:lastRenderedPageBreak/>
        <w:t>Maritime Patrol Aircraft Replacement (AIR 7000 Phase 2B)</w:t>
      </w:r>
    </w:p>
    <w:p w14:paraId="391DE647" w14:textId="75DEB812" w:rsidR="008A7ABF" w:rsidRPr="003E76E7" w:rsidRDefault="008A7ABF" w:rsidP="00C4292D">
      <w:pPr>
        <w:autoSpaceDE w:val="0"/>
        <w:autoSpaceDN w:val="0"/>
        <w:adjustRightInd w:val="0"/>
        <w:spacing w:before="0"/>
        <w:rPr>
          <w:szCs w:val="20"/>
          <w:lang w:val="en-AU"/>
        </w:rPr>
      </w:pPr>
      <w:r w:rsidRPr="003E76E7">
        <w:rPr>
          <w:szCs w:val="20"/>
          <w:lang w:val="en-AU"/>
        </w:rPr>
        <w:t>This project is providing new and upgraded facilities and infrastructure to support the</w:t>
      </w:r>
      <w:r w:rsidR="0015415F" w:rsidRPr="003E76E7">
        <w:rPr>
          <w:szCs w:val="20"/>
          <w:lang w:val="en-AU"/>
        </w:rPr>
        <w:t xml:space="preserve"> </w:t>
      </w:r>
      <w:r w:rsidRPr="003E76E7">
        <w:rPr>
          <w:szCs w:val="20"/>
          <w:lang w:val="en-AU"/>
        </w:rPr>
        <w:t>introduction of P-8A aircraft at RAAF Base Edinburgh</w:t>
      </w:r>
      <w:r w:rsidR="004853DD">
        <w:rPr>
          <w:szCs w:val="20"/>
          <w:lang w:val="en-AU"/>
        </w:rPr>
        <w:t>,</w:t>
      </w:r>
      <w:r w:rsidRPr="003E76E7">
        <w:rPr>
          <w:szCs w:val="20"/>
          <w:lang w:val="en-AU"/>
        </w:rPr>
        <w:t xml:space="preserve"> SA, RAAF Base Darwin</w:t>
      </w:r>
      <w:r w:rsidR="00B565AE" w:rsidRPr="003E76E7">
        <w:rPr>
          <w:szCs w:val="20"/>
          <w:lang w:val="en-AU"/>
        </w:rPr>
        <w:t>,</w:t>
      </w:r>
      <w:r w:rsidRPr="003E76E7">
        <w:rPr>
          <w:szCs w:val="20"/>
          <w:lang w:val="en-AU"/>
        </w:rPr>
        <w:t xml:space="preserve"> NT, RAAF Base Townsville</w:t>
      </w:r>
      <w:r w:rsidR="00B565AE" w:rsidRPr="003E76E7">
        <w:rPr>
          <w:szCs w:val="20"/>
          <w:lang w:val="en-AU"/>
        </w:rPr>
        <w:t>,</w:t>
      </w:r>
      <w:r w:rsidRPr="003E76E7">
        <w:rPr>
          <w:szCs w:val="20"/>
          <w:lang w:val="en-AU"/>
        </w:rPr>
        <w:t xml:space="preserve"> QLD, RAAF Base Pearce</w:t>
      </w:r>
      <w:r w:rsidR="00B565AE" w:rsidRPr="003E76E7">
        <w:rPr>
          <w:szCs w:val="20"/>
          <w:lang w:val="en-AU"/>
        </w:rPr>
        <w:t>,</w:t>
      </w:r>
      <w:r w:rsidRPr="003E76E7">
        <w:rPr>
          <w:szCs w:val="20"/>
          <w:lang w:val="en-AU"/>
        </w:rPr>
        <w:t xml:space="preserve"> WA, and HMAS </w:t>
      </w:r>
      <w:r w:rsidRPr="00C210BD">
        <w:rPr>
          <w:szCs w:val="20"/>
          <w:lang w:val="en-AU"/>
        </w:rPr>
        <w:t>Stirling</w:t>
      </w:r>
      <w:r w:rsidR="00B565AE" w:rsidRPr="003E76E7">
        <w:rPr>
          <w:i/>
          <w:szCs w:val="20"/>
          <w:lang w:val="en-AU"/>
        </w:rPr>
        <w:t>,</w:t>
      </w:r>
      <w:r w:rsidRPr="003E76E7">
        <w:rPr>
          <w:szCs w:val="20"/>
          <w:lang w:val="en-AU"/>
        </w:rPr>
        <w:t xml:space="preserve"> WA. The works are progressively scheduled for completion at each base up to mid-2027.</w:t>
      </w:r>
    </w:p>
    <w:p w14:paraId="75914B5D" w14:textId="7CAA66CD" w:rsidR="008A7ABF" w:rsidRPr="003E76E7" w:rsidRDefault="008A7ABF" w:rsidP="00C4292D">
      <w:pPr>
        <w:autoSpaceDE w:val="0"/>
        <w:autoSpaceDN w:val="0"/>
        <w:adjustRightInd w:val="0"/>
        <w:spacing w:before="0"/>
        <w:rPr>
          <w:szCs w:val="20"/>
          <w:lang w:val="en-AU"/>
        </w:rPr>
      </w:pPr>
    </w:p>
    <w:p w14:paraId="62052ACA" w14:textId="77777777" w:rsidR="008A7ABF" w:rsidRPr="003E76E7" w:rsidRDefault="008A7ABF" w:rsidP="00C4292D">
      <w:pPr>
        <w:autoSpaceDE w:val="0"/>
        <w:autoSpaceDN w:val="0"/>
        <w:adjustRightInd w:val="0"/>
        <w:spacing w:before="0"/>
        <w:rPr>
          <w:rFonts w:ascii="Arial" w:hAnsi="Arial"/>
          <w:szCs w:val="20"/>
          <w:lang w:val="en-AU"/>
        </w:rPr>
      </w:pPr>
      <w:r w:rsidRPr="003E76E7">
        <w:rPr>
          <w:rFonts w:ascii="Arial" w:hAnsi="Arial"/>
          <w:szCs w:val="20"/>
          <w:lang w:val="en-AU"/>
        </w:rPr>
        <w:t>Facilities to Support Joint Intelligence and Targeting Training Facility</w:t>
      </w:r>
    </w:p>
    <w:p w14:paraId="7B4778E5" w14:textId="77777777" w:rsidR="008A7ABF" w:rsidRPr="003E76E7" w:rsidRDefault="008A7ABF" w:rsidP="00C4292D">
      <w:pPr>
        <w:autoSpaceDE w:val="0"/>
        <w:autoSpaceDN w:val="0"/>
        <w:adjustRightInd w:val="0"/>
        <w:spacing w:before="0"/>
        <w:rPr>
          <w:szCs w:val="20"/>
          <w:lang w:val="en-AU"/>
        </w:rPr>
      </w:pPr>
      <w:r w:rsidRPr="003E76E7">
        <w:rPr>
          <w:szCs w:val="20"/>
          <w:lang w:val="en-AU"/>
        </w:rPr>
        <w:t>This project is providing a training and permanent facility in the ACT and SA. This project is scheduled for completion in late 2028.</w:t>
      </w:r>
    </w:p>
    <w:p w14:paraId="7FF5F082" w14:textId="77777777" w:rsidR="008A7ABF" w:rsidRPr="003E76E7" w:rsidRDefault="008A7ABF" w:rsidP="00C4292D">
      <w:pPr>
        <w:autoSpaceDE w:val="0"/>
        <w:autoSpaceDN w:val="0"/>
        <w:adjustRightInd w:val="0"/>
        <w:spacing w:before="0"/>
        <w:rPr>
          <w:rFonts w:ascii="BookAntiqua" w:hAnsi="BookAntiqua" w:cs="BookAntiqua"/>
          <w:szCs w:val="20"/>
          <w:lang w:val="en-AU"/>
        </w:rPr>
      </w:pPr>
    </w:p>
    <w:p w14:paraId="1918AD3B" w14:textId="3F014B3A" w:rsidR="008A7ABF" w:rsidRPr="003E76E7" w:rsidRDefault="008A7ABF" w:rsidP="00C4292D">
      <w:pPr>
        <w:autoSpaceDE w:val="0"/>
        <w:autoSpaceDN w:val="0"/>
        <w:adjustRightInd w:val="0"/>
        <w:spacing w:before="0"/>
        <w:rPr>
          <w:rFonts w:ascii="Arial" w:hAnsi="Arial"/>
          <w:szCs w:val="20"/>
          <w:lang w:val="en-AU"/>
        </w:rPr>
      </w:pPr>
      <w:r w:rsidRPr="003E76E7">
        <w:rPr>
          <w:rFonts w:ascii="Arial" w:hAnsi="Arial"/>
          <w:szCs w:val="20"/>
          <w:lang w:val="en-AU"/>
        </w:rPr>
        <w:t xml:space="preserve">Airfield Capital Works P0010 (Amberley, Pearce, Richmond and </w:t>
      </w:r>
      <w:r w:rsidR="002F62D4">
        <w:rPr>
          <w:rFonts w:ascii="Arial" w:hAnsi="Arial"/>
          <w:szCs w:val="20"/>
          <w:lang w:val="en-AU"/>
        </w:rPr>
        <w:t>Albatross</w:t>
      </w:r>
      <w:r w:rsidRPr="003E76E7">
        <w:rPr>
          <w:rFonts w:ascii="Arial" w:hAnsi="Arial"/>
          <w:szCs w:val="20"/>
          <w:lang w:val="en-AU"/>
        </w:rPr>
        <w:t>)</w:t>
      </w:r>
    </w:p>
    <w:p w14:paraId="4AAE7381" w14:textId="09DB6B43" w:rsidR="008A7ABF" w:rsidRPr="003E76E7" w:rsidRDefault="008A7ABF" w:rsidP="00C4292D">
      <w:pPr>
        <w:autoSpaceDE w:val="0"/>
        <w:autoSpaceDN w:val="0"/>
        <w:adjustRightInd w:val="0"/>
        <w:spacing w:before="0"/>
        <w:rPr>
          <w:szCs w:val="20"/>
          <w:lang w:val="en-AU"/>
        </w:rPr>
      </w:pPr>
      <w:r w:rsidRPr="003E76E7">
        <w:rPr>
          <w:szCs w:val="20"/>
          <w:lang w:val="en-AU"/>
        </w:rPr>
        <w:t>This project is maintaining aircraft pavements, aeronautical ground lighting, and drainage at</w:t>
      </w:r>
      <w:r w:rsidR="0015415F" w:rsidRPr="003E76E7">
        <w:rPr>
          <w:szCs w:val="20"/>
          <w:lang w:val="en-AU"/>
        </w:rPr>
        <w:t xml:space="preserve"> </w:t>
      </w:r>
      <w:r w:rsidR="0015415F" w:rsidRPr="003E76E7">
        <w:rPr>
          <w:szCs w:val="20"/>
          <w:lang w:val="en-AU"/>
        </w:rPr>
        <w:br/>
      </w:r>
      <w:r w:rsidRPr="003E76E7">
        <w:rPr>
          <w:szCs w:val="20"/>
          <w:lang w:val="en-AU"/>
        </w:rPr>
        <w:t xml:space="preserve">HMAS </w:t>
      </w:r>
      <w:r w:rsidR="002F62D4" w:rsidRPr="002F62D4">
        <w:rPr>
          <w:szCs w:val="20"/>
          <w:lang w:val="en-AU"/>
        </w:rPr>
        <w:t>Albatross</w:t>
      </w:r>
      <w:r w:rsidR="00B565AE" w:rsidRPr="003E76E7">
        <w:rPr>
          <w:i/>
          <w:szCs w:val="20"/>
          <w:lang w:val="en-AU"/>
        </w:rPr>
        <w:t>,</w:t>
      </w:r>
      <w:r w:rsidRPr="003E76E7">
        <w:rPr>
          <w:szCs w:val="20"/>
          <w:lang w:val="en-AU"/>
        </w:rPr>
        <w:t xml:space="preserve"> NSW and RAAF Base Richmond</w:t>
      </w:r>
      <w:r w:rsidR="00B565AE" w:rsidRPr="003E76E7">
        <w:rPr>
          <w:szCs w:val="20"/>
          <w:lang w:val="en-AU"/>
        </w:rPr>
        <w:t>,</w:t>
      </w:r>
      <w:r w:rsidRPr="003E76E7">
        <w:rPr>
          <w:szCs w:val="20"/>
          <w:lang w:val="en-AU"/>
        </w:rPr>
        <w:t xml:space="preserve"> NSW, RAAF Base Amberley</w:t>
      </w:r>
      <w:r w:rsidR="00B565AE" w:rsidRPr="003E76E7">
        <w:rPr>
          <w:szCs w:val="20"/>
          <w:lang w:val="en-AU"/>
        </w:rPr>
        <w:t>,</w:t>
      </w:r>
      <w:r w:rsidRPr="003E76E7">
        <w:rPr>
          <w:szCs w:val="20"/>
          <w:lang w:val="en-AU"/>
        </w:rPr>
        <w:t xml:space="preserve"> QLD and</w:t>
      </w:r>
      <w:r w:rsidR="0015415F" w:rsidRPr="003E76E7">
        <w:rPr>
          <w:szCs w:val="20"/>
          <w:lang w:val="en-AU"/>
        </w:rPr>
        <w:t xml:space="preserve"> </w:t>
      </w:r>
      <w:r w:rsidR="00B565AE" w:rsidRPr="003E76E7">
        <w:rPr>
          <w:szCs w:val="20"/>
          <w:lang w:val="en-AU"/>
        </w:rPr>
        <w:br/>
      </w:r>
      <w:r w:rsidRPr="003E76E7">
        <w:rPr>
          <w:szCs w:val="20"/>
          <w:lang w:val="en-AU"/>
        </w:rPr>
        <w:t>RAAF Base Pearce</w:t>
      </w:r>
      <w:r w:rsidR="00B565AE" w:rsidRPr="003E76E7">
        <w:rPr>
          <w:szCs w:val="20"/>
          <w:lang w:val="en-AU"/>
        </w:rPr>
        <w:t>,</w:t>
      </w:r>
      <w:r w:rsidRPr="003E76E7">
        <w:rPr>
          <w:szCs w:val="20"/>
          <w:lang w:val="en-AU"/>
        </w:rPr>
        <w:t xml:space="preserve"> WA. The works are scheduled for completion in mid-2026.</w:t>
      </w:r>
    </w:p>
    <w:p w14:paraId="21920690" w14:textId="77777777" w:rsidR="008A7ABF" w:rsidRPr="003E76E7" w:rsidRDefault="008A7ABF" w:rsidP="00C4292D">
      <w:pPr>
        <w:autoSpaceDE w:val="0"/>
        <w:autoSpaceDN w:val="0"/>
        <w:adjustRightInd w:val="0"/>
        <w:spacing w:before="0"/>
        <w:rPr>
          <w:rFonts w:ascii="BookAntiqua" w:hAnsi="BookAntiqua" w:cs="BookAntiqua"/>
          <w:szCs w:val="20"/>
          <w:lang w:val="en-AU"/>
        </w:rPr>
      </w:pPr>
    </w:p>
    <w:p w14:paraId="7A128EF6" w14:textId="77777777" w:rsidR="008A7ABF" w:rsidRPr="003E76E7" w:rsidRDefault="008A7ABF" w:rsidP="00C4292D">
      <w:pPr>
        <w:autoSpaceDE w:val="0"/>
        <w:autoSpaceDN w:val="0"/>
        <w:adjustRightInd w:val="0"/>
        <w:spacing w:before="0"/>
        <w:rPr>
          <w:rFonts w:ascii="Arial" w:hAnsi="Arial"/>
          <w:szCs w:val="20"/>
          <w:lang w:val="en-AU"/>
        </w:rPr>
      </w:pPr>
      <w:r w:rsidRPr="003E76E7">
        <w:rPr>
          <w:rFonts w:ascii="Arial" w:hAnsi="Arial"/>
          <w:szCs w:val="20"/>
          <w:lang w:val="en-AU"/>
        </w:rPr>
        <w:t>Facilities to Support AIR 7000 Phase 1B Remotely Piloted Aircraft System</w:t>
      </w:r>
    </w:p>
    <w:p w14:paraId="35036C9A" w14:textId="77777777" w:rsidR="008A7ABF" w:rsidRPr="003E76E7" w:rsidRDefault="008A7ABF" w:rsidP="00C4292D">
      <w:pPr>
        <w:autoSpaceDE w:val="0"/>
        <w:autoSpaceDN w:val="0"/>
        <w:adjustRightInd w:val="0"/>
        <w:spacing w:before="0"/>
        <w:rPr>
          <w:szCs w:val="20"/>
          <w:lang w:val="en-AU"/>
        </w:rPr>
      </w:pPr>
      <w:r w:rsidRPr="003E76E7">
        <w:rPr>
          <w:szCs w:val="20"/>
          <w:lang w:val="en-AU"/>
        </w:rPr>
        <w:t>This project is now in the Defects Liability Period.</w:t>
      </w:r>
    </w:p>
    <w:p w14:paraId="5F6A25E3" w14:textId="77777777" w:rsidR="008A7ABF" w:rsidRPr="003E76E7" w:rsidRDefault="008A7ABF" w:rsidP="00C4292D">
      <w:pPr>
        <w:autoSpaceDE w:val="0"/>
        <w:autoSpaceDN w:val="0"/>
        <w:adjustRightInd w:val="0"/>
        <w:spacing w:before="0"/>
        <w:rPr>
          <w:rFonts w:ascii="ArialMT" w:hAnsi="ArialMT" w:cs="ArialMT"/>
          <w:szCs w:val="20"/>
          <w:lang w:val="en-AU"/>
        </w:rPr>
      </w:pPr>
    </w:p>
    <w:p w14:paraId="063C5C6C" w14:textId="1B58F9E4" w:rsidR="008A7ABF" w:rsidRPr="003E76E7" w:rsidRDefault="008A7ABF" w:rsidP="00C4292D">
      <w:pPr>
        <w:autoSpaceDE w:val="0"/>
        <w:autoSpaceDN w:val="0"/>
        <w:adjustRightInd w:val="0"/>
        <w:spacing w:before="0"/>
        <w:rPr>
          <w:rFonts w:ascii="Arial" w:hAnsi="Arial"/>
          <w:szCs w:val="20"/>
          <w:lang w:val="en-AU"/>
        </w:rPr>
      </w:pPr>
      <w:r w:rsidRPr="003E76E7">
        <w:rPr>
          <w:rFonts w:ascii="Arial" w:hAnsi="Arial"/>
          <w:szCs w:val="20"/>
          <w:lang w:val="en-AU"/>
        </w:rPr>
        <w:t>Facilities to Support LAND</w:t>
      </w:r>
      <w:r w:rsidR="00846A3A" w:rsidRPr="003E76E7">
        <w:rPr>
          <w:rFonts w:ascii="Arial" w:hAnsi="Arial"/>
          <w:szCs w:val="20"/>
          <w:lang w:val="en-AU"/>
        </w:rPr>
        <w:t xml:space="preserve"> </w:t>
      </w:r>
      <w:r w:rsidRPr="003E76E7">
        <w:rPr>
          <w:rFonts w:ascii="Arial" w:hAnsi="Arial"/>
          <w:szCs w:val="20"/>
          <w:lang w:val="en-AU"/>
        </w:rPr>
        <w:t>8113</w:t>
      </w:r>
      <w:r w:rsidR="00846A3A" w:rsidRPr="003E76E7">
        <w:rPr>
          <w:rFonts w:ascii="Arial" w:hAnsi="Arial"/>
          <w:szCs w:val="20"/>
          <w:lang w:val="en-AU"/>
        </w:rPr>
        <w:t xml:space="preserve"> </w:t>
      </w:r>
      <w:r w:rsidRPr="003E76E7">
        <w:rPr>
          <w:rFonts w:ascii="Arial" w:hAnsi="Arial"/>
          <w:szCs w:val="20"/>
          <w:lang w:val="en-AU"/>
        </w:rPr>
        <w:t>PH1 Long Range Fires First Regiment</w:t>
      </w:r>
    </w:p>
    <w:p w14:paraId="54B23E60" w14:textId="367627E4" w:rsidR="008A7ABF" w:rsidRPr="003E76E7" w:rsidRDefault="008A7ABF" w:rsidP="00C4292D">
      <w:pPr>
        <w:autoSpaceDE w:val="0"/>
        <w:autoSpaceDN w:val="0"/>
        <w:adjustRightInd w:val="0"/>
        <w:spacing w:before="0"/>
        <w:rPr>
          <w:szCs w:val="20"/>
          <w:lang w:val="en-AU"/>
        </w:rPr>
      </w:pPr>
      <w:r w:rsidRPr="003E76E7">
        <w:rPr>
          <w:szCs w:val="20"/>
          <w:lang w:val="en-AU"/>
        </w:rPr>
        <w:t>This project is providing facilities and infrastructure at the Edinburgh Defence Precinct</w:t>
      </w:r>
      <w:r w:rsidR="00B565AE" w:rsidRPr="003E76E7">
        <w:rPr>
          <w:szCs w:val="20"/>
          <w:lang w:val="en-AU"/>
        </w:rPr>
        <w:t>,</w:t>
      </w:r>
      <w:r w:rsidRPr="003E76E7">
        <w:rPr>
          <w:szCs w:val="20"/>
          <w:lang w:val="en-AU"/>
        </w:rPr>
        <w:t xml:space="preserve"> SA and the Puckapunyal Military Area</w:t>
      </w:r>
      <w:r w:rsidR="00B565AE" w:rsidRPr="003E76E7">
        <w:rPr>
          <w:szCs w:val="20"/>
          <w:lang w:val="en-AU"/>
        </w:rPr>
        <w:t>,</w:t>
      </w:r>
      <w:r w:rsidRPr="003E76E7">
        <w:rPr>
          <w:szCs w:val="20"/>
          <w:lang w:val="en-AU"/>
        </w:rPr>
        <w:t xml:space="preserve"> VIC to support the operation and maintenance of long range fire capability. The scope includes new and refurbished training, storage and maintenance facilities. This project is scheduled for completion in late 2028.</w:t>
      </w:r>
    </w:p>
    <w:p w14:paraId="550FC9FB" w14:textId="77777777" w:rsidR="008A7ABF" w:rsidRPr="003E76E7" w:rsidRDefault="008A7ABF" w:rsidP="00C4292D">
      <w:pPr>
        <w:autoSpaceDE w:val="0"/>
        <w:autoSpaceDN w:val="0"/>
        <w:adjustRightInd w:val="0"/>
        <w:spacing w:before="0"/>
        <w:rPr>
          <w:szCs w:val="20"/>
          <w:lang w:val="en-AU"/>
        </w:rPr>
      </w:pPr>
    </w:p>
    <w:p w14:paraId="59C48B9B" w14:textId="77777777" w:rsidR="008A7ABF" w:rsidRPr="003E76E7" w:rsidRDefault="008A7ABF" w:rsidP="00C4292D">
      <w:pPr>
        <w:autoSpaceDE w:val="0"/>
        <w:autoSpaceDN w:val="0"/>
        <w:adjustRightInd w:val="0"/>
        <w:spacing w:before="0"/>
        <w:rPr>
          <w:rFonts w:ascii="Arial" w:hAnsi="Arial"/>
          <w:szCs w:val="20"/>
          <w:lang w:val="en-AU"/>
        </w:rPr>
      </w:pPr>
      <w:r w:rsidRPr="003E76E7">
        <w:rPr>
          <w:rFonts w:ascii="Arial" w:hAnsi="Arial"/>
          <w:szCs w:val="20"/>
          <w:lang w:val="en-AU"/>
        </w:rPr>
        <w:t>Defence Fuel Transformation Program - Tranche 2 Facilities Program</w:t>
      </w:r>
    </w:p>
    <w:p w14:paraId="642CA8F3" w14:textId="77777777" w:rsidR="008A7ABF" w:rsidRPr="003E76E7" w:rsidRDefault="008A7ABF" w:rsidP="00C4292D">
      <w:pPr>
        <w:autoSpaceDE w:val="0"/>
        <w:autoSpaceDN w:val="0"/>
        <w:adjustRightInd w:val="0"/>
        <w:spacing w:before="0"/>
        <w:rPr>
          <w:szCs w:val="20"/>
          <w:lang w:val="en-AU"/>
        </w:rPr>
      </w:pPr>
      <w:r w:rsidRPr="003E76E7">
        <w:rPr>
          <w:szCs w:val="20"/>
          <w:lang w:val="en-AU"/>
        </w:rPr>
        <w:t>This program will remediate, replace, upgrade and dispose existing fuel installations across various bases. The works are scheduled to commence in mid-2026 for completion in mid-2028.</w:t>
      </w:r>
    </w:p>
    <w:p w14:paraId="1DF89C94" w14:textId="42D375F2" w:rsidR="00864C07" w:rsidRPr="003E76E7" w:rsidRDefault="00864C07" w:rsidP="00C4292D">
      <w:pPr>
        <w:spacing w:before="0" w:after="0"/>
        <w:rPr>
          <w:szCs w:val="20"/>
          <w:lang w:val="en-AU"/>
        </w:rPr>
      </w:pPr>
    </w:p>
    <w:p w14:paraId="46DB81E5" w14:textId="58D27C55" w:rsidR="008A7ABF" w:rsidRPr="003E76E7" w:rsidRDefault="008A7ABF" w:rsidP="00C4292D">
      <w:pPr>
        <w:autoSpaceDE w:val="0"/>
        <w:autoSpaceDN w:val="0"/>
        <w:adjustRightInd w:val="0"/>
        <w:spacing w:before="0"/>
        <w:rPr>
          <w:rFonts w:ascii="Arial" w:hAnsi="Arial"/>
          <w:szCs w:val="20"/>
          <w:lang w:val="en-AU"/>
        </w:rPr>
      </w:pPr>
      <w:r w:rsidRPr="003E76E7">
        <w:rPr>
          <w:rFonts w:ascii="Arial" w:hAnsi="Arial"/>
          <w:szCs w:val="20"/>
          <w:lang w:val="en-AU"/>
        </w:rPr>
        <w:t>Guided Weapons Explosive Ordnance Storage</w:t>
      </w:r>
    </w:p>
    <w:p w14:paraId="68818B19" w14:textId="11C0F443" w:rsidR="008A7ABF" w:rsidRPr="003E76E7" w:rsidRDefault="008A7ABF" w:rsidP="00C4292D">
      <w:pPr>
        <w:autoSpaceDE w:val="0"/>
        <w:autoSpaceDN w:val="0"/>
        <w:adjustRightInd w:val="0"/>
        <w:spacing w:before="0"/>
        <w:rPr>
          <w:szCs w:val="20"/>
          <w:lang w:val="en-AU"/>
        </w:rPr>
      </w:pPr>
      <w:r w:rsidRPr="003E76E7">
        <w:rPr>
          <w:szCs w:val="20"/>
          <w:lang w:val="en-AU"/>
        </w:rPr>
        <w:t>This project is providing storage facilities and infrastructure at RAAF Base Amberley</w:t>
      </w:r>
      <w:r w:rsidR="00B565AE" w:rsidRPr="003E76E7">
        <w:rPr>
          <w:szCs w:val="20"/>
          <w:lang w:val="en-AU"/>
        </w:rPr>
        <w:t>,</w:t>
      </w:r>
      <w:r w:rsidRPr="003E76E7">
        <w:rPr>
          <w:szCs w:val="20"/>
          <w:lang w:val="en-AU"/>
        </w:rPr>
        <w:t xml:space="preserve"> QLD,</w:t>
      </w:r>
      <w:r w:rsidR="0015415F" w:rsidRPr="003E76E7">
        <w:rPr>
          <w:szCs w:val="20"/>
          <w:lang w:val="en-AU"/>
        </w:rPr>
        <w:t xml:space="preserve"> </w:t>
      </w:r>
      <w:r w:rsidR="0015415F" w:rsidRPr="003E76E7">
        <w:rPr>
          <w:szCs w:val="20"/>
          <w:lang w:val="en-AU"/>
        </w:rPr>
        <w:br/>
      </w:r>
      <w:r w:rsidRPr="003E76E7">
        <w:rPr>
          <w:szCs w:val="20"/>
          <w:lang w:val="en-AU"/>
        </w:rPr>
        <w:t xml:space="preserve">HMAS </w:t>
      </w:r>
      <w:r w:rsidRPr="00C210BD">
        <w:rPr>
          <w:szCs w:val="20"/>
          <w:lang w:val="en-AU"/>
        </w:rPr>
        <w:t>Stirling</w:t>
      </w:r>
      <w:r w:rsidR="00B565AE" w:rsidRPr="003E76E7">
        <w:rPr>
          <w:i/>
          <w:szCs w:val="20"/>
          <w:lang w:val="en-AU"/>
        </w:rPr>
        <w:t>,</w:t>
      </w:r>
      <w:r w:rsidRPr="003E76E7">
        <w:rPr>
          <w:szCs w:val="20"/>
          <w:lang w:val="en-AU"/>
        </w:rPr>
        <w:t xml:space="preserve"> WA, and Defence Establishment Orchard Hills</w:t>
      </w:r>
      <w:r w:rsidR="00B565AE" w:rsidRPr="003E76E7">
        <w:rPr>
          <w:szCs w:val="20"/>
          <w:lang w:val="en-AU"/>
        </w:rPr>
        <w:t>,</w:t>
      </w:r>
      <w:r w:rsidRPr="003E76E7">
        <w:rPr>
          <w:szCs w:val="20"/>
          <w:lang w:val="en-AU"/>
        </w:rPr>
        <w:t xml:space="preserve"> NSW. This project is scheduled for completion in late 2027.</w:t>
      </w:r>
    </w:p>
    <w:p w14:paraId="4CC2251C" w14:textId="77777777" w:rsidR="008A7ABF" w:rsidRPr="003E76E7" w:rsidRDefault="008A7ABF" w:rsidP="00C4292D">
      <w:pPr>
        <w:autoSpaceDE w:val="0"/>
        <w:autoSpaceDN w:val="0"/>
        <w:adjustRightInd w:val="0"/>
        <w:spacing w:before="0"/>
        <w:rPr>
          <w:szCs w:val="20"/>
          <w:lang w:val="en-AU"/>
        </w:rPr>
      </w:pPr>
    </w:p>
    <w:p w14:paraId="4F1673A5" w14:textId="77777777" w:rsidR="008A7ABF" w:rsidRPr="003E76E7" w:rsidRDefault="008A7ABF" w:rsidP="00C4292D">
      <w:pPr>
        <w:autoSpaceDE w:val="0"/>
        <w:autoSpaceDN w:val="0"/>
        <w:adjustRightInd w:val="0"/>
        <w:spacing w:before="0"/>
        <w:rPr>
          <w:rFonts w:ascii="Arial" w:hAnsi="Arial"/>
          <w:szCs w:val="20"/>
          <w:lang w:val="en-AU"/>
        </w:rPr>
      </w:pPr>
      <w:r w:rsidRPr="003E76E7">
        <w:rPr>
          <w:rFonts w:ascii="Arial" w:hAnsi="Arial"/>
          <w:szCs w:val="20"/>
          <w:lang w:val="en-AU"/>
        </w:rPr>
        <w:t>Facilities to Support Enhanced Defence Communications</w:t>
      </w:r>
    </w:p>
    <w:p w14:paraId="2B5F5DEE" w14:textId="494EB7FC" w:rsidR="008A7ABF" w:rsidRPr="003E76E7" w:rsidRDefault="008A7ABF" w:rsidP="00C4292D">
      <w:pPr>
        <w:autoSpaceDE w:val="0"/>
        <w:autoSpaceDN w:val="0"/>
        <w:adjustRightInd w:val="0"/>
        <w:spacing w:before="0"/>
        <w:rPr>
          <w:szCs w:val="20"/>
          <w:lang w:val="en-AU"/>
        </w:rPr>
      </w:pPr>
      <w:r w:rsidRPr="003E76E7">
        <w:rPr>
          <w:szCs w:val="20"/>
          <w:lang w:val="en-AU"/>
        </w:rPr>
        <w:t xml:space="preserve">This project is providing facilities and infrastructure to support the implementation of enhanced communications systems across various bases. This project is scheduled for completion in </w:t>
      </w:r>
      <w:r w:rsidR="008F2688" w:rsidRPr="003E76E7">
        <w:rPr>
          <w:szCs w:val="20"/>
          <w:lang w:val="en-AU"/>
        </w:rPr>
        <w:br/>
      </w:r>
      <w:r w:rsidRPr="003E76E7">
        <w:rPr>
          <w:szCs w:val="20"/>
          <w:lang w:val="en-AU"/>
        </w:rPr>
        <w:t>late 2030.</w:t>
      </w:r>
    </w:p>
    <w:p w14:paraId="3D56A6B5" w14:textId="77777777" w:rsidR="00EC4935" w:rsidRPr="003E76E7" w:rsidRDefault="00EC4935" w:rsidP="00C4292D">
      <w:pPr>
        <w:autoSpaceDE w:val="0"/>
        <w:autoSpaceDN w:val="0"/>
        <w:adjustRightInd w:val="0"/>
        <w:spacing w:before="0"/>
        <w:rPr>
          <w:szCs w:val="20"/>
          <w:lang w:val="en-AU"/>
        </w:rPr>
      </w:pPr>
    </w:p>
    <w:p w14:paraId="047DDB51" w14:textId="68611126" w:rsidR="008A7ABF" w:rsidRPr="003E76E7" w:rsidRDefault="008A7ABF" w:rsidP="00C4292D">
      <w:pPr>
        <w:autoSpaceDE w:val="0"/>
        <w:autoSpaceDN w:val="0"/>
        <w:adjustRightInd w:val="0"/>
        <w:spacing w:before="0"/>
        <w:rPr>
          <w:rFonts w:ascii="Arial" w:hAnsi="Arial"/>
          <w:szCs w:val="20"/>
          <w:lang w:val="en-AU"/>
        </w:rPr>
      </w:pPr>
      <w:r w:rsidRPr="003E76E7">
        <w:rPr>
          <w:rFonts w:ascii="Arial" w:hAnsi="Arial"/>
          <w:szCs w:val="20"/>
          <w:lang w:val="en-AU"/>
        </w:rPr>
        <w:t>Facilities to Support AIR</w:t>
      </w:r>
      <w:r w:rsidR="00846A3A" w:rsidRPr="003E76E7">
        <w:rPr>
          <w:rFonts w:ascii="Arial" w:hAnsi="Arial"/>
          <w:szCs w:val="20"/>
          <w:lang w:val="en-AU"/>
        </w:rPr>
        <w:t xml:space="preserve"> </w:t>
      </w:r>
      <w:r w:rsidRPr="003E76E7">
        <w:rPr>
          <w:rFonts w:ascii="Arial" w:hAnsi="Arial"/>
          <w:szCs w:val="20"/>
          <w:lang w:val="en-AU"/>
        </w:rPr>
        <w:t>5349 Advanced Growler Phase 6</w:t>
      </w:r>
    </w:p>
    <w:p w14:paraId="5999B27E" w14:textId="60B0998A" w:rsidR="00EC4935" w:rsidRPr="003E76E7" w:rsidRDefault="008A7ABF" w:rsidP="00C4292D">
      <w:pPr>
        <w:autoSpaceDE w:val="0"/>
        <w:autoSpaceDN w:val="0"/>
        <w:adjustRightInd w:val="0"/>
        <w:spacing w:before="0"/>
        <w:rPr>
          <w:szCs w:val="20"/>
          <w:lang w:val="en-AU"/>
        </w:rPr>
      </w:pPr>
      <w:r w:rsidRPr="003E76E7">
        <w:rPr>
          <w:szCs w:val="20"/>
          <w:lang w:val="en-AU"/>
        </w:rPr>
        <w:t>This project is providing storage, maintenance and working accommodation at RAAF Base</w:t>
      </w:r>
      <w:r w:rsidR="0015415F" w:rsidRPr="003E76E7">
        <w:rPr>
          <w:szCs w:val="20"/>
          <w:lang w:val="en-AU"/>
        </w:rPr>
        <w:t xml:space="preserve"> </w:t>
      </w:r>
      <w:r w:rsidRPr="003E76E7">
        <w:rPr>
          <w:szCs w:val="20"/>
          <w:lang w:val="en-AU"/>
        </w:rPr>
        <w:t>Amberley</w:t>
      </w:r>
      <w:r w:rsidR="00B565AE" w:rsidRPr="003E76E7">
        <w:rPr>
          <w:szCs w:val="20"/>
          <w:lang w:val="en-AU"/>
        </w:rPr>
        <w:t>,</w:t>
      </w:r>
      <w:r w:rsidRPr="003E76E7">
        <w:rPr>
          <w:szCs w:val="20"/>
          <w:lang w:val="en-AU"/>
        </w:rPr>
        <w:t xml:space="preserve"> QLD and Delamere Air Weapons Range</w:t>
      </w:r>
      <w:r w:rsidR="00B565AE" w:rsidRPr="003E76E7">
        <w:rPr>
          <w:szCs w:val="20"/>
          <w:lang w:val="en-AU"/>
        </w:rPr>
        <w:t>,</w:t>
      </w:r>
      <w:r w:rsidRPr="003E76E7">
        <w:rPr>
          <w:szCs w:val="20"/>
          <w:lang w:val="en-AU"/>
        </w:rPr>
        <w:t xml:space="preserve"> NT. This project is scheduled for completion </w:t>
      </w:r>
      <w:r w:rsidR="00B565AE" w:rsidRPr="003E76E7">
        <w:rPr>
          <w:szCs w:val="20"/>
          <w:lang w:val="en-AU"/>
        </w:rPr>
        <w:br/>
      </w:r>
      <w:r w:rsidRPr="003E76E7">
        <w:rPr>
          <w:szCs w:val="20"/>
          <w:lang w:val="en-AU"/>
        </w:rPr>
        <w:t>in mid-2026.</w:t>
      </w:r>
    </w:p>
    <w:p w14:paraId="12D87710" w14:textId="00BAACB1" w:rsidR="00692514" w:rsidRPr="003E76E7" w:rsidRDefault="00692514" w:rsidP="00C4292D">
      <w:pPr>
        <w:autoSpaceDE w:val="0"/>
        <w:autoSpaceDN w:val="0"/>
        <w:adjustRightInd w:val="0"/>
        <w:spacing w:before="0"/>
        <w:rPr>
          <w:szCs w:val="20"/>
          <w:lang w:val="en-AU"/>
        </w:rPr>
      </w:pPr>
    </w:p>
    <w:p w14:paraId="147FAD76" w14:textId="6B209F04" w:rsidR="00692514" w:rsidRPr="003E76E7" w:rsidRDefault="00692514" w:rsidP="00C4292D">
      <w:pPr>
        <w:autoSpaceDE w:val="0"/>
        <w:autoSpaceDN w:val="0"/>
        <w:adjustRightInd w:val="0"/>
        <w:spacing w:before="0"/>
        <w:rPr>
          <w:szCs w:val="20"/>
          <w:lang w:val="en-AU"/>
        </w:rPr>
      </w:pPr>
    </w:p>
    <w:p w14:paraId="5D814F64" w14:textId="77777777" w:rsidR="00692514" w:rsidRPr="003E76E7" w:rsidRDefault="00692514" w:rsidP="00C4292D">
      <w:pPr>
        <w:autoSpaceDE w:val="0"/>
        <w:autoSpaceDN w:val="0"/>
        <w:adjustRightInd w:val="0"/>
        <w:spacing w:before="0"/>
        <w:rPr>
          <w:szCs w:val="20"/>
          <w:lang w:val="en-AU"/>
        </w:rPr>
      </w:pPr>
    </w:p>
    <w:p w14:paraId="1D37CC36" w14:textId="1E5C64F4" w:rsidR="008A7ABF" w:rsidRPr="003E76E7" w:rsidRDefault="008A7ABF" w:rsidP="00C4292D">
      <w:pPr>
        <w:autoSpaceDE w:val="0"/>
        <w:autoSpaceDN w:val="0"/>
        <w:adjustRightInd w:val="0"/>
        <w:spacing w:before="0"/>
        <w:rPr>
          <w:rFonts w:ascii="Arial" w:hAnsi="Arial"/>
          <w:szCs w:val="20"/>
          <w:lang w:val="en-AU"/>
        </w:rPr>
      </w:pPr>
      <w:r w:rsidRPr="003E76E7">
        <w:rPr>
          <w:rFonts w:ascii="Arial" w:hAnsi="Arial"/>
          <w:szCs w:val="20"/>
          <w:lang w:val="en-AU"/>
        </w:rPr>
        <w:lastRenderedPageBreak/>
        <w:t>Facilities to Support Special Operations Capability Enhancements</w:t>
      </w:r>
    </w:p>
    <w:p w14:paraId="00A20059" w14:textId="3978AC3B" w:rsidR="008A7ABF" w:rsidRPr="003E76E7" w:rsidRDefault="008A7ABF" w:rsidP="00C4292D">
      <w:pPr>
        <w:autoSpaceDE w:val="0"/>
        <w:autoSpaceDN w:val="0"/>
        <w:adjustRightInd w:val="0"/>
        <w:spacing w:before="0"/>
        <w:rPr>
          <w:szCs w:val="20"/>
          <w:lang w:val="en-AU"/>
        </w:rPr>
      </w:pPr>
      <w:r w:rsidRPr="003E76E7">
        <w:rPr>
          <w:szCs w:val="20"/>
          <w:lang w:val="en-AU"/>
        </w:rPr>
        <w:t>This project will deliver facilities and infrastructure to support workforce growth at Holsworthy Barracks</w:t>
      </w:r>
      <w:r w:rsidR="00B565AE" w:rsidRPr="003E76E7">
        <w:rPr>
          <w:szCs w:val="20"/>
          <w:lang w:val="en-AU"/>
        </w:rPr>
        <w:t>,</w:t>
      </w:r>
      <w:r w:rsidRPr="003E76E7">
        <w:rPr>
          <w:szCs w:val="20"/>
          <w:lang w:val="en-AU"/>
        </w:rPr>
        <w:t xml:space="preserve"> NSW and Campbell Barracks</w:t>
      </w:r>
      <w:r w:rsidR="00B565AE" w:rsidRPr="003E76E7">
        <w:rPr>
          <w:szCs w:val="20"/>
          <w:lang w:val="en-AU"/>
        </w:rPr>
        <w:t>,</w:t>
      </w:r>
      <w:r w:rsidRPr="003E76E7">
        <w:rPr>
          <w:szCs w:val="20"/>
          <w:lang w:val="en-AU"/>
        </w:rPr>
        <w:t xml:space="preserve"> WA. This project is scheduled for completion in early 2027.</w:t>
      </w:r>
    </w:p>
    <w:p w14:paraId="51F637EE" w14:textId="77777777" w:rsidR="0015415F" w:rsidRPr="003E76E7" w:rsidRDefault="0015415F" w:rsidP="00C4292D">
      <w:pPr>
        <w:autoSpaceDE w:val="0"/>
        <w:autoSpaceDN w:val="0"/>
        <w:adjustRightInd w:val="0"/>
        <w:spacing w:before="0"/>
        <w:rPr>
          <w:szCs w:val="20"/>
          <w:lang w:val="en-AU"/>
        </w:rPr>
      </w:pPr>
    </w:p>
    <w:p w14:paraId="61F409CE" w14:textId="77777777" w:rsidR="008A7ABF" w:rsidRPr="003E76E7" w:rsidRDefault="008A7ABF" w:rsidP="00C4292D">
      <w:pPr>
        <w:autoSpaceDE w:val="0"/>
        <w:autoSpaceDN w:val="0"/>
        <w:adjustRightInd w:val="0"/>
        <w:spacing w:before="0"/>
        <w:rPr>
          <w:rFonts w:ascii="Arial" w:hAnsi="Arial"/>
          <w:szCs w:val="20"/>
          <w:lang w:val="en-AU"/>
        </w:rPr>
      </w:pPr>
      <w:r w:rsidRPr="003E76E7">
        <w:rPr>
          <w:rFonts w:ascii="Arial" w:hAnsi="Arial"/>
          <w:szCs w:val="20"/>
          <w:lang w:val="en-AU"/>
        </w:rPr>
        <w:t>LAND 121 Phase 5B Facilities Project</w:t>
      </w:r>
    </w:p>
    <w:p w14:paraId="6A291BDF" w14:textId="77777777" w:rsidR="008A7ABF" w:rsidRPr="003E76E7" w:rsidRDefault="008A7ABF" w:rsidP="00C4292D">
      <w:pPr>
        <w:autoSpaceDE w:val="0"/>
        <w:autoSpaceDN w:val="0"/>
        <w:adjustRightInd w:val="0"/>
        <w:spacing w:before="0"/>
        <w:rPr>
          <w:szCs w:val="20"/>
          <w:lang w:val="en-AU"/>
        </w:rPr>
      </w:pPr>
      <w:r w:rsidRPr="003E76E7">
        <w:rPr>
          <w:szCs w:val="20"/>
          <w:lang w:val="en-AU"/>
        </w:rPr>
        <w:t>This project is now in the Defects Liability Period.</w:t>
      </w:r>
    </w:p>
    <w:p w14:paraId="461F1EDD" w14:textId="77777777" w:rsidR="008A7ABF" w:rsidRPr="003E76E7" w:rsidRDefault="008A7ABF" w:rsidP="00C4292D">
      <w:pPr>
        <w:autoSpaceDE w:val="0"/>
        <w:autoSpaceDN w:val="0"/>
        <w:adjustRightInd w:val="0"/>
        <w:spacing w:before="0"/>
        <w:rPr>
          <w:szCs w:val="20"/>
          <w:lang w:val="en-AU"/>
        </w:rPr>
      </w:pPr>
    </w:p>
    <w:p w14:paraId="32EFF0DB" w14:textId="77777777" w:rsidR="008A7ABF" w:rsidRPr="003E76E7" w:rsidRDefault="008A7ABF" w:rsidP="00C4292D">
      <w:pPr>
        <w:autoSpaceDE w:val="0"/>
        <w:autoSpaceDN w:val="0"/>
        <w:adjustRightInd w:val="0"/>
        <w:spacing w:before="0"/>
        <w:rPr>
          <w:rFonts w:ascii="Arial" w:hAnsi="Arial"/>
          <w:szCs w:val="20"/>
          <w:lang w:val="en-AU"/>
        </w:rPr>
      </w:pPr>
      <w:r w:rsidRPr="003E76E7">
        <w:rPr>
          <w:rFonts w:ascii="Arial" w:hAnsi="Arial"/>
          <w:szCs w:val="20"/>
          <w:lang w:val="en-AU"/>
        </w:rPr>
        <w:t>Facilities to Support SEA 9100 Phase 1 Improved Embarked Logistics Support Helicopter</w:t>
      </w:r>
    </w:p>
    <w:p w14:paraId="75CAFCA9" w14:textId="606CEA7F" w:rsidR="008A7ABF" w:rsidRPr="003E76E7" w:rsidRDefault="008A7ABF" w:rsidP="00C4292D">
      <w:pPr>
        <w:autoSpaceDE w:val="0"/>
        <w:autoSpaceDN w:val="0"/>
        <w:adjustRightInd w:val="0"/>
        <w:spacing w:before="0"/>
        <w:rPr>
          <w:szCs w:val="20"/>
          <w:lang w:val="en-AU"/>
        </w:rPr>
      </w:pPr>
      <w:r w:rsidRPr="003E76E7">
        <w:rPr>
          <w:szCs w:val="20"/>
          <w:lang w:val="en-AU"/>
        </w:rPr>
        <w:t>This project is providing new and refurbished facilities to support new helicopter capability at</w:t>
      </w:r>
      <w:r w:rsidR="0015415F" w:rsidRPr="003E76E7">
        <w:rPr>
          <w:szCs w:val="20"/>
          <w:lang w:val="en-AU"/>
        </w:rPr>
        <w:t xml:space="preserve"> </w:t>
      </w:r>
      <w:r w:rsidRPr="003E76E7">
        <w:rPr>
          <w:szCs w:val="20"/>
          <w:lang w:val="en-AU"/>
        </w:rPr>
        <w:t xml:space="preserve">HMAS </w:t>
      </w:r>
      <w:r w:rsidR="002F62D4" w:rsidRPr="002F62D4">
        <w:rPr>
          <w:szCs w:val="20"/>
          <w:lang w:val="en-AU"/>
        </w:rPr>
        <w:t>Albatross</w:t>
      </w:r>
      <w:r w:rsidR="00B565AE" w:rsidRPr="003E76E7">
        <w:rPr>
          <w:i/>
          <w:szCs w:val="20"/>
          <w:lang w:val="en-AU"/>
        </w:rPr>
        <w:t>,</w:t>
      </w:r>
      <w:r w:rsidRPr="003E76E7">
        <w:rPr>
          <w:szCs w:val="20"/>
          <w:lang w:val="en-AU"/>
        </w:rPr>
        <w:t xml:space="preserve"> NSW and HMAS </w:t>
      </w:r>
      <w:r w:rsidRPr="00C210BD">
        <w:rPr>
          <w:szCs w:val="20"/>
          <w:lang w:val="en-AU"/>
        </w:rPr>
        <w:t>Stirling</w:t>
      </w:r>
      <w:r w:rsidR="00B565AE" w:rsidRPr="003E76E7">
        <w:rPr>
          <w:i/>
          <w:szCs w:val="20"/>
          <w:lang w:val="en-AU"/>
        </w:rPr>
        <w:t>,</w:t>
      </w:r>
      <w:r w:rsidRPr="003E76E7">
        <w:rPr>
          <w:szCs w:val="20"/>
          <w:lang w:val="en-AU"/>
        </w:rPr>
        <w:t xml:space="preserve"> WA. This project is scheduled for completion in </w:t>
      </w:r>
      <w:r w:rsidR="00846A3A" w:rsidRPr="003E76E7">
        <w:rPr>
          <w:szCs w:val="20"/>
          <w:lang w:val="en-AU"/>
        </w:rPr>
        <w:br/>
      </w:r>
      <w:r w:rsidRPr="003E76E7">
        <w:rPr>
          <w:szCs w:val="20"/>
          <w:lang w:val="en-AU"/>
        </w:rPr>
        <w:t>mid-2027.</w:t>
      </w:r>
    </w:p>
    <w:p w14:paraId="074BE4EC" w14:textId="77777777" w:rsidR="008A7ABF" w:rsidRPr="003E76E7" w:rsidRDefault="008A7ABF" w:rsidP="00C4292D">
      <w:pPr>
        <w:autoSpaceDE w:val="0"/>
        <w:autoSpaceDN w:val="0"/>
        <w:adjustRightInd w:val="0"/>
        <w:spacing w:before="0"/>
        <w:rPr>
          <w:szCs w:val="20"/>
          <w:lang w:val="en-AU"/>
        </w:rPr>
      </w:pPr>
    </w:p>
    <w:p w14:paraId="0599D93A" w14:textId="77777777" w:rsidR="008A7ABF" w:rsidRPr="003E76E7" w:rsidRDefault="008A7ABF" w:rsidP="00C4292D">
      <w:pPr>
        <w:autoSpaceDE w:val="0"/>
        <w:autoSpaceDN w:val="0"/>
        <w:adjustRightInd w:val="0"/>
        <w:spacing w:before="0"/>
        <w:rPr>
          <w:rFonts w:ascii="Arial" w:hAnsi="Arial"/>
          <w:szCs w:val="20"/>
          <w:lang w:val="en-AU"/>
        </w:rPr>
      </w:pPr>
      <w:r w:rsidRPr="003E76E7">
        <w:rPr>
          <w:rFonts w:ascii="Arial" w:hAnsi="Arial"/>
          <w:szCs w:val="20"/>
          <w:lang w:val="en-AU"/>
        </w:rPr>
        <w:t>AIR 2025 Phase 6 Jindalee Operational Radar Networks (JORN) Facilities Project</w:t>
      </w:r>
    </w:p>
    <w:p w14:paraId="7A2F2EFA" w14:textId="53DF8299" w:rsidR="008A7ABF" w:rsidRPr="003E76E7" w:rsidRDefault="008A7ABF" w:rsidP="00C4292D">
      <w:pPr>
        <w:autoSpaceDE w:val="0"/>
        <w:autoSpaceDN w:val="0"/>
        <w:adjustRightInd w:val="0"/>
        <w:spacing w:before="0"/>
        <w:rPr>
          <w:szCs w:val="20"/>
          <w:lang w:val="en-AU"/>
        </w:rPr>
      </w:pPr>
      <w:r w:rsidRPr="003E76E7">
        <w:rPr>
          <w:szCs w:val="20"/>
          <w:lang w:val="en-AU"/>
        </w:rPr>
        <w:t>This project is providing new facilities and infrastructure to support the mid-life upgrade of JORN capability at sites near Alice Springs</w:t>
      </w:r>
      <w:r w:rsidR="00B565AE" w:rsidRPr="003E76E7">
        <w:rPr>
          <w:szCs w:val="20"/>
          <w:lang w:val="en-AU"/>
        </w:rPr>
        <w:t>,</w:t>
      </w:r>
      <w:r w:rsidRPr="003E76E7">
        <w:rPr>
          <w:szCs w:val="20"/>
          <w:lang w:val="en-AU"/>
        </w:rPr>
        <w:t xml:space="preserve"> NT, Murray Bridge Training Area</w:t>
      </w:r>
      <w:r w:rsidR="00B565AE" w:rsidRPr="003E76E7">
        <w:rPr>
          <w:szCs w:val="20"/>
          <w:lang w:val="en-AU"/>
        </w:rPr>
        <w:t>,</w:t>
      </w:r>
      <w:r w:rsidRPr="003E76E7">
        <w:rPr>
          <w:szCs w:val="20"/>
          <w:lang w:val="en-AU"/>
        </w:rPr>
        <w:t xml:space="preserve"> SA, RAAF Base Learmonth</w:t>
      </w:r>
      <w:r w:rsidR="00B565AE" w:rsidRPr="003E76E7">
        <w:rPr>
          <w:szCs w:val="20"/>
          <w:lang w:val="en-AU"/>
        </w:rPr>
        <w:t>,</w:t>
      </w:r>
      <w:r w:rsidRPr="003E76E7">
        <w:rPr>
          <w:szCs w:val="20"/>
          <w:lang w:val="en-AU"/>
        </w:rPr>
        <w:t xml:space="preserve"> WA and Geraldton</w:t>
      </w:r>
      <w:r w:rsidR="00B565AE" w:rsidRPr="003E76E7">
        <w:rPr>
          <w:szCs w:val="20"/>
          <w:lang w:val="en-AU"/>
        </w:rPr>
        <w:t>,</w:t>
      </w:r>
      <w:r w:rsidRPr="003E76E7">
        <w:rPr>
          <w:szCs w:val="20"/>
          <w:lang w:val="en-AU"/>
        </w:rPr>
        <w:t xml:space="preserve"> WA. This project is scheduled for completion in mid-2027.</w:t>
      </w:r>
    </w:p>
    <w:p w14:paraId="7F2A33C3" w14:textId="77777777" w:rsidR="008A7ABF" w:rsidRPr="003E76E7" w:rsidRDefault="008A7ABF" w:rsidP="00C4292D">
      <w:pPr>
        <w:autoSpaceDE w:val="0"/>
        <w:autoSpaceDN w:val="0"/>
        <w:adjustRightInd w:val="0"/>
        <w:spacing w:before="0"/>
        <w:rPr>
          <w:szCs w:val="20"/>
          <w:lang w:val="en-AU"/>
        </w:rPr>
      </w:pPr>
    </w:p>
    <w:p w14:paraId="1110C54A" w14:textId="77777777" w:rsidR="008A7ABF" w:rsidRPr="003E76E7" w:rsidRDefault="008A7ABF" w:rsidP="00C4292D">
      <w:pPr>
        <w:autoSpaceDE w:val="0"/>
        <w:autoSpaceDN w:val="0"/>
        <w:adjustRightInd w:val="0"/>
        <w:spacing w:before="0"/>
        <w:rPr>
          <w:rFonts w:ascii="Arial" w:hAnsi="Arial"/>
          <w:szCs w:val="20"/>
          <w:lang w:val="en-AU"/>
        </w:rPr>
      </w:pPr>
      <w:r w:rsidRPr="003E76E7">
        <w:rPr>
          <w:rFonts w:ascii="Arial" w:hAnsi="Arial"/>
          <w:szCs w:val="20"/>
          <w:lang w:val="en-AU"/>
        </w:rPr>
        <w:t>Armoured Fighting Vehicle Facilities Program Stage 2</w:t>
      </w:r>
    </w:p>
    <w:p w14:paraId="4B6D6EB1" w14:textId="7FC1AFFF" w:rsidR="008A7ABF" w:rsidRPr="003E76E7" w:rsidRDefault="008A7ABF" w:rsidP="00C4292D">
      <w:pPr>
        <w:autoSpaceDE w:val="0"/>
        <w:autoSpaceDN w:val="0"/>
        <w:adjustRightInd w:val="0"/>
        <w:spacing w:before="0"/>
        <w:rPr>
          <w:rFonts w:ascii="BookAntiqua" w:hAnsi="BookAntiqua" w:cs="BookAntiqua"/>
          <w:szCs w:val="20"/>
          <w:lang w:val="en-AU"/>
        </w:rPr>
      </w:pPr>
      <w:r w:rsidRPr="003E76E7">
        <w:rPr>
          <w:szCs w:val="20"/>
          <w:lang w:val="en-AU"/>
        </w:rPr>
        <w:t>This project is providing facilities and infrastructure at Gallipoli Barracks</w:t>
      </w:r>
      <w:r w:rsidR="00B565AE" w:rsidRPr="003E76E7">
        <w:rPr>
          <w:szCs w:val="20"/>
          <w:lang w:val="en-AU"/>
        </w:rPr>
        <w:t>,</w:t>
      </w:r>
      <w:r w:rsidRPr="003E76E7">
        <w:rPr>
          <w:szCs w:val="20"/>
          <w:lang w:val="en-AU"/>
        </w:rPr>
        <w:t xml:space="preserve"> QLD, Lavarack Barracks</w:t>
      </w:r>
      <w:r w:rsidR="00B565AE" w:rsidRPr="003E76E7">
        <w:rPr>
          <w:szCs w:val="20"/>
          <w:lang w:val="en-AU"/>
        </w:rPr>
        <w:t>,</w:t>
      </w:r>
      <w:r w:rsidRPr="003E76E7">
        <w:rPr>
          <w:szCs w:val="20"/>
          <w:lang w:val="en-AU"/>
        </w:rPr>
        <w:t xml:space="preserve"> QLD, Albury Wodonga Military Area</w:t>
      </w:r>
      <w:r w:rsidR="00B565AE" w:rsidRPr="003E76E7">
        <w:rPr>
          <w:szCs w:val="20"/>
          <w:lang w:val="en-AU"/>
        </w:rPr>
        <w:t>,</w:t>
      </w:r>
      <w:r w:rsidRPr="003E76E7">
        <w:rPr>
          <w:szCs w:val="20"/>
          <w:lang w:val="en-AU"/>
        </w:rPr>
        <w:t xml:space="preserve"> VIC and Puckapunyal Military Area</w:t>
      </w:r>
      <w:r w:rsidR="00B565AE" w:rsidRPr="003E76E7">
        <w:rPr>
          <w:szCs w:val="20"/>
          <w:lang w:val="en-AU"/>
        </w:rPr>
        <w:t>,</w:t>
      </w:r>
      <w:r w:rsidRPr="003E76E7">
        <w:rPr>
          <w:szCs w:val="20"/>
          <w:lang w:val="en-AU"/>
        </w:rPr>
        <w:t xml:space="preserve"> VIC to support vehicles. This project is scheduled for completion in early 2027</w:t>
      </w:r>
      <w:r w:rsidRPr="003E76E7">
        <w:rPr>
          <w:rFonts w:ascii="BookAntiqua" w:hAnsi="BookAntiqua" w:cs="BookAntiqua"/>
          <w:szCs w:val="20"/>
          <w:lang w:val="en-AU"/>
        </w:rPr>
        <w:t>.</w:t>
      </w:r>
    </w:p>
    <w:p w14:paraId="403C48BA" w14:textId="77777777" w:rsidR="008A7ABF" w:rsidRPr="003E76E7" w:rsidRDefault="008A7ABF" w:rsidP="00C4292D">
      <w:pPr>
        <w:autoSpaceDE w:val="0"/>
        <w:autoSpaceDN w:val="0"/>
        <w:adjustRightInd w:val="0"/>
        <w:spacing w:before="0"/>
        <w:rPr>
          <w:szCs w:val="20"/>
          <w:lang w:val="en-AU"/>
        </w:rPr>
      </w:pPr>
    </w:p>
    <w:p w14:paraId="63BEEBE6" w14:textId="77777777" w:rsidR="008A7ABF" w:rsidRPr="003E76E7" w:rsidRDefault="008A7ABF" w:rsidP="00C4292D">
      <w:pPr>
        <w:autoSpaceDE w:val="0"/>
        <w:autoSpaceDN w:val="0"/>
        <w:adjustRightInd w:val="0"/>
        <w:spacing w:before="0"/>
        <w:rPr>
          <w:rFonts w:ascii="Arial" w:hAnsi="Arial"/>
          <w:szCs w:val="20"/>
          <w:lang w:val="en-AU"/>
        </w:rPr>
      </w:pPr>
      <w:r w:rsidRPr="003E76E7">
        <w:rPr>
          <w:rFonts w:ascii="Arial" w:hAnsi="Arial"/>
          <w:szCs w:val="20"/>
          <w:lang w:val="en-AU"/>
        </w:rPr>
        <w:t>Airfield Capital Works P0006 (Curtin, Tindal and Townsville)</w:t>
      </w:r>
    </w:p>
    <w:p w14:paraId="35715C15" w14:textId="35202576" w:rsidR="008A7ABF" w:rsidRPr="003E76E7" w:rsidRDefault="008A7ABF" w:rsidP="00C4292D">
      <w:pPr>
        <w:autoSpaceDE w:val="0"/>
        <w:autoSpaceDN w:val="0"/>
        <w:adjustRightInd w:val="0"/>
        <w:spacing w:before="0"/>
        <w:rPr>
          <w:szCs w:val="20"/>
          <w:lang w:val="en-AU"/>
        </w:rPr>
      </w:pPr>
      <w:r w:rsidRPr="003E76E7">
        <w:rPr>
          <w:szCs w:val="20"/>
          <w:lang w:val="en-AU"/>
        </w:rPr>
        <w:t>This project is maintaining aircraft pavements and airfield lighting at RAAF Base Curtin</w:t>
      </w:r>
      <w:r w:rsidR="00B565AE" w:rsidRPr="003E76E7">
        <w:rPr>
          <w:szCs w:val="20"/>
          <w:lang w:val="en-AU"/>
        </w:rPr>
        <w:t>,</w:t>
      </w:r>
      <w:r w:rsidRPr="003E76E7">
        <w:rPr>
          <w:szCs w:val="20"/>
          <w:lang w:val="en-AU"/>
        </w:rPr>
        <w:t xml:space="preserve"> WA,</w:t>
      </w:r>
      <w:r w:rsidR="0015415F" w:rsidRPr="003E76E7">
        <w:rPr>
          <w:szCs w:val="20"/>
          <w:lang w:val="en-AU"/>
        </w:rPr>
        <w:t xml:space="preserve"> </w:t>
      </w:r>
      <w:r w:rsidRPr="003E76E7">
        <w:rPr>
          <w:szCs w:val="20"/>
          <w:lang w:val="en-AU"/>
        </w:rPr>
        <w:t>RAAF Base Tindal</w:t>
      </w:r>
      <w:r w:rsidR="00B565AE" w:rsidRPr="003E76E7">
        <w:rPr>
          <w:szCs w:val="20"/>
          <w:lang w:val="en-AU"/>
        </w:rPr>
        <w:t>,</w:t>
      </w:r>
      <w:r w:rsidRPr="003E76E7">
        <w:rPr>
          <w:szCs w:val="20"/>
          <w:lang w:val="en-AU"/>
        </w:rPr>
        <w:t xml:space="preserve"> NT, and RAAF Base Townsville</w:t>
      </w:r>
      <w:r w:rsidR="00B565AE" w:rsidRPr="003E76E7">
        <w:rPr>
          <w:szCs w:val="20"/>
          <w:lang w:val="en-AU"/>
        </w:rPr>
        <w:t>,</w:t>
      </w:r>
      <w:r w:rsidRPr="003E76E7">
        <w:rPr>
          <w:szCs w:val="20"/>
          <w:lang w:val="en-AU"/>
        </w:rPr>
        <w:t xml:space="preserve"> QLD. The works at Curtin and Tindal are</w:t>
      </w:r>
      <w:r w:rsidR="0015415F" w:rsidRPr="003E76E7">
        <w:rPr>
          <w:szCs w:val="20"/>
          <w:lang w:val="en-AU"/>
        </w:rPr>
        <w:t xml:space="preserve"> </w:t>
      </w:r>
      <w:r w:rsidRPr="003E76E7">
        <w:rPr>
          <w:szCs w:val="20"/>
          <w:lang w:val="en-AU"/>
        </w:rPr>
        <w:t>complete while the works at Townsville have been reprogrammed to align with similar works</w:t>
      </w:r>
      <w:r w:rsidR="0015415F" w:rsidRPr="003E76E7">
        <w:rPr>
          <w:szCs w:val="20"/>
          <w:lang w:val="en-AU"/>
        </w:rPr>
        <w:t xml:space="preserve"> </w:t>
      </w:r>
      <w:r w:rsidRPr="003E76E7">
        <w:rPr>
          <w:szCs w:val="20"/>
          <w:lang w:val="en-AU"/>
        </w:rPr>
        <w:t xml:space="preserve">being delivered under a related project to minimise disruptions to airfield operations. These </w:t>
      </w:r>
      <w:r w:rsidR="00B565AE" w:rsidRPr="003E76E7">
        <w:rPr>
          <w:szCs w:val="20"/>
          <w:lang w:val="en-AU"/>
        </w:rPr>
        <w:br/>
      </w:r>
      <w:r w:rsidRPr="003E76E7">
        <w:rPr>
          <w:szCs w:val="20"/>
          <w:lang w:val="en-AU"/>
        </w:rPr>
        <w:t>works are scheduled for completion in mid-2027.</w:t>
      </w:r>
    </w:p>
    <w:p w14:paraId="1869F9B4" w14:textId="267FBAC5" w:rsidR="00864C07" w:rsidRPr="003E76E7" w:rsidRDefault="00864C07" w:rsidP="00C4292D">
      <w:pPr>
        <w:spacing w:before="0" w:after="0"/>
        <w:rPr>
          <w:szCs w:val="20"/>
          <w:lang w:val="en-AU"/>
        </w:rPr>
      </w:pPr>
    </w:p>
    <w:p w14:paraId="178550FF" w14:textId="42141B59" w:rsidR="008A7ABF" w:rsidRPr="003E76E7" w:rsidRDefault="008A7ABF" w:rsidP="00C4292D">
      <w:pPr>
        <w:autoSpaceDE w:val="0"/>
        <w:autoSpaceDN w:val="0"/>
        <w:adjustRightInd w:val="0"/>
        <w:spacing w:before="0"/>
        <w:rPr>
          <w:rFonts w:ascii="Arial" w:hAnsi="Arial"/>
          <w:szCs w:val="20"/>
          <w:lang w:val="en-AU"/>
        </w:rPr>
      </w:pPr>
      <w:r w:rsidRPr="003E76E7">
        <w:rPr>
          <w:rFonts w:ascii="Arial" w:hAnsi="Arial"/>
          <w:szCs w:val="20"/>
          <w:lang w:val="en-AU"/>
        </w:rPr>
        <w:t>Facilities to Support Information and Communication Technology Early Works</w:t>
      </w:r>
    </w:p>
    <w:p w14:paraId="70810D24" w14:textId="77777777" w:rsidR="008A7ABF" w:rsidRPr="003E76E7" w:rsidRDefault="008A7ABF" w:rsidP="00C4292D">
      <w:pPr>
        <w:autoSpaceDE w:val="0"/>
        <w:autoSpaceDN w:val="0"/>
        <w:adjustRightInd w:val="0"/>
        <w:spacing w:before="0"/>
        <w:rPr>
          <w:szCs w:val="20"/>
          <w:lang w:val="en-AU"/>
        </w:rPr>
      </w:pPr>
      <w:r w:rsidRPr="003E76E7">
        <w:rPr>
          <w:szCs w:val="20"/>
          <w:lang w:val="en-AU"/>
        </w:rPr>
        <w:t>This project is delivering facilities to support networks and applications in NSW, QLD and SA. This project is scheduled for completion in late 2027.</w:t>
      </w:r>
    </w:p>
    <w:p w14:paraId="7BF7DB3F" w14:textId="77777777" w:rsidR="008A7ABF" w:rsidRPr="003E76E7" w:rsidRDefault="008A7ABF" w:rsidP="00C4292D">
      <w:pPr>
        <w:autoSpaceDE w:val="0"/>
        <w:autoSpaceDN w:val="0"/>
        <w:adjustRightInd w:val="0"/>
        <w:spacing w:before="0"/>
        <w:rPr>
          <w:szCs w:val="20"/>
          <w:lang w:val="en-AU"/>
        </w:rPr>
      </w:pPr>
    </w:p>
    <w:p w14:paraId="6EA2EFD4" w14:textId="1DA8B896" w:rsidR="008A7ABF" w:rsidRPr="003E76E7" w:rsidRDefault="008A7ABF" w:rsidP="00C4292D">
      <w:pPr>
        <w:autoSpaceDE w:val="0"/>
        <w:autoSpaceDN w:val="0"/>
        <w:adjustRightInd w:val="0"/>
        <w:spacing w:before="0"/>
        <w:rPr>
          <w:rFonts w:ascii="Arial" w:hAnsi="Arial"/>
          <w:szCs w:val="20"/>
          <w:lang w:val="en-AU"/>
        </w:rPr>
      </w:pPr>
      <w:r w:rsidRPr="003E76E7">
        <w:rPr>
          <w:rFonts w:ascii="Arial" w:hAnsi="Arial"/>
          <w:szCs w:val="20"/>
          <w:lang w:val="en-AU"/>
        </w:rPr>
        <w:t>Facilities to Support SEA 2273 Fleet Information Environment Modernisation Project</w:t>
      </w:r>
    </w:p>
    <w:p w14:paraId="155F977A" w14:textId="248650A0" w:rsidR="008A7ABF" w:rsidRPr="003E76E7" w:rsidRDefault="008A7ABF" w:rsidP="00C4292D">
      <w:pPr>
        <w:autoSpaceDE w:val="0"/>
        <w:autoSpaceDN w:val="0"/>
        <w:adjustRightInd w:val="0"/>
        <w:spacing w:before="0"/>
        <w:rPr>
          <w:szCs w:val="20"/>
          <w:lang w:val="en-AU"/>
        </w:rPr>
      </w:pPr>
      <w:r w:rsidRPr="003E76E7">
        <w:rPr>
          <w:szCs w:val="20"/>
          <w:lang w:val="en-AU"/>
        </w:rPr>
        <w:t>This project is providing an upgraded information system to support naval operations at</w:t>
      </w:r>
      <w:r w:rsidR="0015415F" w:rsidRPr="003E76E7">
        <w:rPr>
          <w:szCs w:val="20"/>
          <w:lang w:val="en-AU"/>
        </w:rPr>
        <w:t xml:space="preserve"> </w:t>
      </w:r>
      <w:r w:rsidR="0015415F" w:rsidRPr="003E76E7">
        <w:rPr>
          <w:szCs w:val="20"/>
          <w:lang w:val="en-AU"/>
        </w:rPr>
        <w:br/>
      </w:r>
      <w:r w:rsidRPr="003E76E7">
        <w:rPr>
          <w:szCs w:val="20"/>
          <w:lang w:val="en-AU"/>
        </w:rPr>
        <w:t xml:space="preserve">HMAS </w:t>
      </w:r>
      <w:r w:rsidRPr="00C210BD">
        <w:rPr>
          <w:szCs w:val="20"/>
          <w:lang w:val="en-AU"/>
        </w:rPr>
        <w:t>Kuttabul</w:t>
      </w:r>
      <w:r w:rsidR="00B565AE" w:rsidRPr="003E76E7">
        <w:rPr>
          <w:i/>
          <w:szCs w:val="20"/>
          <w:lang w:val="en-AU"/>
        </w:rPr>
        <w:t>,</w:t>
      </w:r>
      <w:r w:rsidRPr="003E76E7">
        <w:rPr>
          <w:szCs w:val="20"/>
          <w:lang w:val="en-AU"/>
        </w:rPr>
        <w:t xml:space="preserve"> NSW, HMAS </w:t>
      </w:r>
      <w:r w:rsidRPr="00C210BD">
        <w:rPr>
          <w:szCs w:val="20"/>
          <w:lang w:val="en-AU"/>
        </w:rPr>
        <w:t>Cerberus</w:t>
      </w:r>
      <w:r w:rsidR="00B565AE" w:rsidRPr="003E76E7">
        <w:rPr>
          <w:i/>
          <w:szCs w:val="20"/>
          <w:lang w:val="en-AU"/>
        </w:rPr>
        <w:t>,</w:t>
      </w:r>
      <w:r w:rsidRPr="003E76E7">
        <w:rPr>
          <w:szCs w:val="20"/>
          <w:lang w:val="en-AU"/>
        </w:rPr>
        <w:t xml:space="preserve"> VIC, HMAS </w:t>
      </w:r>
      <w:r w:rsidRPr="00C210BD">
        <w:rPr>
          <w:szCs w:val="20"/>
          <w:lang w:val="en-AU"/>
        </w:rPr>
        <w:t>Stirling</w:t>
      </w:r>
      <w:r w:rsidR="00B565AE" w:rsidRPr="003E76E7">
        <w:rPr>
          <w:i/>
          <w:szCs w:val="20"/>
          <w:lang w:val="en-AU"/>
        </w:rPr>
        <w:t>,</w:t>
      </w:r>
      <w:r w:rsidRPr="003E76E7">
        <w:rPr>
          <w:szCs w:val="20"/>
          <w:lang w:val="en-AU"/>
        </w:rPr>
        <w:t xml:space="preserve"> WA, HMAS </w:t>
      </w:r>
      <w:r w:rsidRPr="00C210BD">
        <w:rPr>
          <w:szCs w:val="20"/>
          <w:lang w:val="en-AU"/>
        </w:rPr>
        <w:t>Coonawarra</w:t>
      </w:r>
      <w:r w:rsidR="00B565AE" w:rsidRPr="003E76E7">
        <w:rPr>
          <w:i/>
          <w:szCs w:val="20"/>
          <w:lang w:val="en-AU"/>
        </w:rPr>
        <w:t>,</w:t>
      </w:r>
      <w:r w:rsidRPr="003E76E7">
        <w:rPr>
          <w:szCs w:val="20"/>
          <w:lang w:val="en-AU"/>
        </w:rPr>
        <w:t xml:space="preserve"> NT and </w:t>
      </w:r>
      <w:r w:rsidR="0015415F" w:rsidRPr="003E76E7">
        <w:rPr>
          <w:szCs w:val="20"/>
          <w:lang w:val="en-AU"/>
        </w:rPr>
        <w:br/>
      </w:r>
      <w:r w:rsidRPr="003E76E7">
        <w:rPr>
          <w:szCs w:val="20"/>
          <w:lang w:val="en-AU"/>
        </w:rPr>
        <w:t xml:space="preserve">HMAS </w:t>
      </w:r>
      <w:r w:rsidRPr="00C210BD">
        <w:rPr>
          <w:szCs w:val="20"/>
          <w:lang w:val="en-AU"/>
        </w:rPr>
        <w:t>Cairns</w:t>
      </w:r>
      <w:r w:rsidR="00B565AE" w:rsidRPr="003E76E7">
        <w:rPr>
          <w:i/>
          <w:szCs w:val="20"/>
          <w:lang w:val="en-AU"/>
        </w:rPr>
        <w:t>,</w:t>
      </w:r>
      <w:r w:rsidRPr="003E76E7">
        <w:rPr>
          <w:szCs w:val="20"/>
          <w:lang w:val="en-AU"/>
        </w:rPr>
        <w:t xml:space="preserve"> QLD. This project is scheduled for completion in mid-2026.</w:t>
      </w:r>
    </w:p>
    <w:p w14:paraId="0F42EBC7" w14:textId="77777777" w:rsidR="008A7ABF" w:rsidRPr="003E76E7" w:rsidRDefault="008A7ABF" w:rsidP="00C4292D">
      <w:pPr>
        <w:autoSpaceDE w:val="0"/>
        <w:autoSpaceDN w:val="0"/>
        <w:adjustRightInd w:val="0"/>
        <w:spacing w:before="0"/>
        <w:rPr>
          <w:szCs w:val="20"/>
          <w:lang w:val="en-AU"/>
        </w:rPr>
      </w:pPr>
    </w:p>
    <w:p w14:paraId="155BFD93" w14:textId="77777777" w:rsidR="008A7ABF" w:rsidRPr="003E76E7" w:rsidRDefault="008A7ABF" w:rsidP="00C4292D">
      <w:pPr>
        <w:autoSpaceDE w:val="0"/>
        <w:autoSpaceDN w:val="0"/>
        <w:adjustRightInd w:val="0"/>
        <w:spacing w:before="0"/>
        <w:rPr>
          <w:rFonts w:ascii="Arial" w:hAnsi="Arial"/>
          <w:szCs w:val="20"/>
          <w:lang w:val="en-AU"/>
        </w:rPr>
      </w:pPr>
      <w:r w:rsidRPr="003E76E7">
        <w:rPr>
          <w:rFonts w:ascii="Arial" w:hAnsi="Arial"/>
          <w:szCs w:val="20"/>
          <w:lang w:val="en-AU"/>
        </w:rPr>
        <w:t>LAND 2110 Phase 1B Chemical, Biological, Radiological and Nuclear Defence Facilities</w:t>
      </w:r>
    </w:p>
    <w:p w14:paraId="416ADC1C" w14:textId="3C1E5962" w:rsidR="00864C07" w:rsidRPr="003E76E7" w:rsidRDefault="008A7ABF" w:rsidP="00C4292D">
      <w:pPr>
        <w:autoSpaceDE w:val="0"/>
        <w:autoSpaceDN w:val="0"/>
        <w:adjustRightInd w:val="0"/>
        <w:spacing w:before="0"/>
        <w:rPr>
          <w:szCs w:val="20"/>
          <w:lang w:val="en-AU"/>
        </w:rPr>
      </w:pPr>
      <w:r w:rsidRPr="003E76E7">
        <w:rPr>
          <w:szCs w:val="20"/>
          <w:lang w:val="en-AU"/>
        </w:rPr>
        <w:t>This project is providing new and refurbished facilities, including training and storage facilities, at various bases around Australia. This project is schedul</w:t>
      </w:r>
      <w:r w:rsidR="0074283D" w:rsidRPr="003E76E7">
        <w:rPr>
          <w:szCs w:val="20"/>
          <w:lang w:val="en-AU"/>
        </w:rPr>
        <w:t>ed for completion in late 2026.</w:t>
      </w:r>
    </w:p>
    <w:p w14:paraId="5498F4E0" w14:textId="7357DE4A" w:rsidR="0074283D" w:rsidRPr="003E76E7" w:rsidRDefault="0074283D" w:rsidP="00C4292D">
      <w:pPr>
        <w:autoSpaceDE w:val="0"/>
        <w:autoSpaceDN w:val="0"/>
        <w:adjustRightInd w:val="0"/>
        <w:spacing w:before="0"/>
        <w:rPr>
          <w:szCs w:val="20"/>
          <w:lang w:val="en-AU"/>
        </w:rPr>
      </w:pPr>
    </w:p>
    <w:p w14:paraId="0A661D2A" w14:textId="77777777" w:rsidR="00EC4935" w:rsidRPr="003E76E7" w:rsidRDefault="00EC4935" w:rsidP="00C4292D">
      <w:pPr>
        <w:spacing w:before="0" w:after="0"/>
        <w:rPr>
          <w:rFonts w:ascii="Arial" w:hAnsi="Arial"/>
          <w:szCs w:val="20"/>
          <w:lang w:val="en-AU"/>
        </w:rPr>
      </w:pPr>
      <w:r w:rsidRPr="003E76E7">
        <w:rPr>
          <w:rFonts w:ascii="Arial" w:hAnsi="Arial"/>
          <w:szCs w:val="20"/>
          <w:lang w:val="en-AU"/>
        </w:rPr>
        <w:br w:type="page"/>
      </w:r>
    </w:p>
    <w:p w14:paraId="19BD4E91" w14:textId="2B30CE46" w:rsidR="008A7ABF" w:rsidRPr="003E76E7" w:rsidRDefault="008A7ABF" w:rsidP="00C4292D">
      <w:pPr>
        <w:autoSpaceDE w:val="0"/>
        <w:autoSpaceDN w:val="0"/>
        <w:adjustRightInd w:val="0"/>
        <w:spacing w:before="0"/>
        <w:rPr>
          <w:rFonts w:ascii="Arial" w:hAnsi="Arial"/>
          <w:szCs w:val="20"/>
          <w:lang w:val="en-AU"/>
        </w:rPr>
      </w:pPr>
      <w:r w:rsidRPr="003E76E7">
        <w:rPr>
          <w:rFonts w:ascii="Arial" w:hAnsi="Arial"/>
          <w:szCs w:val="20"/>
          <w:lang w:val="en-AU"/>
        </w:rPr>
        <w:lastRenderedPageBreak/>
        <w:t>Facilities to Support LAND 8116 Phase 1 Protected Mobile Fires</w:t>
      </w:r>
    </w:p>
    <w:p w14:paraId="0E7BCDAC" w14:textId="5AE6F75B" w:rsidR="008A7ABF" w:rsidRPr="003E76E7" w:rsidRDefault="008A7ABF" w:rsidP="00C4292D">
      <w:pPr>
        <w:autoSpaceDE w:val="0"/>
        <w:autoSpaceDN w:val="0"/>
        <w:adjustRightInd w:val="0"/>
        <w:spacing w:before="0"/>
        <w:rPr>
          <w:szCs w:val="20"/>
          <w:lang w:val="en-AU"/>
        </w:rPr>
      </w:pPr>
      <w:r w:rsidRPr="003E76E7">
        <w:rPr>
          <w:szCs w:val="20"/>
          <w:lang w:val="en-AU"/>
        </w:rPr>
        <w:t>This project is providing new storage, workshop, and shelter facilities, and upgrading road and infrastructure services at Lavarack Barracks</w:t>
      </w:r>
      <w:r w:rsidR="00B565AE" w:rsidRPr="003E76E7">
        <w:rPr>
          <w:szCs w:val="20"/>
          <w:lang w:val="en-AU"/>
        </w:rPr>
        <w:t>,</w:t>
      </w:r>
      <w:r w:rsidRPr="003E76E7">
        <w:rPr>
          <w:szCs w:val="20"/>
          <w:lang w:val="en-AU"/>
        </w:rPr>
        <w:t xml:space="preserve"> QLD and the Puckapunyal Military Area</w:t>
      </w:r>
      <w:r w:rsidR="00B565AE" w:rsidRPr="003E76E7">
        <w:rPr>
          <w:szCs w:val="20"/>
          <w:lang w:val="en-AU"/>
        </w:rPr>
        <w:t>,</w:t>
      </w:r>
      <w:r w:rsidRPr="003E76E7">
        <w:rPr>
          <w:szCs w:val="20"/>
          <w:lang w:val="en-AU"/>
        </w:rPr>
        <w:t xml:space="preserve"> VIC. This project is scheduled for completion in mid-2026.</w:t>
      </w:r>
    </w:p>
    <w:p w14:paraId="3E8DED6A" w14:textId="77777777" w:rsidR="008A7ABF" w:rsidRPr="003E76E7" w:rsidRDefault="008A7ABF" w:rsidP="00C4292D">
      <w:pPr>
        <w:autoSpaceDE w:val="0"/>
        <w:autoSpaceDN w:val="0"/>
        <w:adjustRightInd w:val="0"/>
        <w:spacing w:before="0" w:after="0"/>
        <w:rPr>
          <w:szCs w:val="20"/>
          <w:lang w:val="en-AU"/>
        </w:rPr>
      </w:pPr>
    </w:p>
    <w:p w14:paraId="65D9E29B" w14:textId="77777777" w:rsidR="008A7ABF" w:rsidRPr="003E76E7" w:rsidRDefault="008A7ABF" w:rsidP="00C4292D">
      <w:pPr>
        <w:autoSpaceDE w:val="0"/>
        <w:autoSpaceDN w:val="0"/>
        <w:adjustRightInd w:val="0"/>
        <w:spacing w:before="0"/>
        <w:rPr>
          <w:rFonts w:ascii="Arial" w:hAnsi="Arial"/>
          <w:szCs w:val="20"/>
          <w:lang w:val="en-AU"/>
        </w:rPr>
      </w:pPr>
      <w:r w:rsidRPr="003E76E7">
        <w:rPr>
          <w:rFonts w:ascii="Arial" w:hAnsi="Arial"/>
          <w:szCs w:val="20"/>
          <w:lang w:val="en-AU"/>
        </w:rPr>
        <w:t>Facilities to Support LAND 8180 Phase 1 Aviation and Field Fire Truck</w:t>
      </w:r>
    </w:p>
    <w:p w14:paraId="72D7521C" w14:textId="51695938" w:rsidR="008A7ABF" w:rsidRPr="003E76E7" w:rsidRDefault="008A7ABF" w:rsidP="00C4292D">
      <w:pPr>
        <w:autoSpaceDE w:val="0"/>
        <w:autoSpaceDN w:val="0"/>
        <w:adjustRightInd w:val="0"/>
        <w:spacing w:before="0"/>
        <w:rPr>
          <w:szCs w:val="20"/>
          <w:lang w:val="en-AU"/>
        </w:rPr>
      </w:pPr>
      <w:r w:rsidRPr="003E76E7">
        <w:rPr>
          <w:szCs w:val="20"/>
          <w:lang w:val="en-AU"/>
        </w:rPr>
        <w:t>This project will deliver training, testing, maintenance, and storage facilities to support the aviation and field fire truck capability at RAAF Base Amberley</w:t>
      </w:r>
      <w:r w:rsidR="00B565AE" w:rsidRPr="003E76E7">
        <w:rPr>
          <w:szCs w:val="20"/>
          <w:lang w:val="en-AU"/>
        </w:rPr>
        <w:t>,</w:t>
      </w:r>
      <w:r w:rsidRPr="003E76E7">
        <w:rPr>
          <w:szCs w:val="20"/>
          <w:lang w:val="en-AU"/>
        </w:rPr>
        <w:t xml:space="preserve"> QLD, RAAF Base Tindal</w:t>
      </w:r>
      <w:r w:rsidR="00B565AE" w:rsidRPr="003E76E7">
        <w:rPr>
          <w:szCs w:val="20"/>
          <w:lang w:val="en-AU"/>
        </w:rPr>
        <w:t>,</w:t>
      </w:r>
      <w:r w:rsidRPr="003E76E7">
        <w:rPr>
          <w:szCs w:val="20"/>
          <w:lang w:val="en-AU"/>
        </w:rPr>
        <w:t xml:space="preserve"> NT, RAAF Base Richmond</w:t>
      </w:r>
      <w:r w:rsidR="00B565AE" w:rsidRPr="003E76E7">
        <w:rPr>
          <w:szCs w:val="20"/>
          <w:lang w:val="en-AU"/>
        </w:rPr>
        <w:t>,</w:t>
      </w:r>
      <w:r w:rsidRPr="003E76E7">
        <w:rPr>
          <w:szCs w:val="20"/>
          <w:lang w:val="en-AU"/>
        </w:rPr>
        <w:t xml:space="preserve"> NSW and RAAF Base Williamtown</w:t>
      </w:r>
      <w:r w:rsidR="00B565AE" w:rsidRPr="003E76E7">
        <w:rPr>
          <w:szCs w:val="20"/>
          <w:lang w:val="en-AU"/>
        </w:rPr>
        <w:t>,</w:t>
      </w:r>
      <w:r w:rsidRPr="003E76E7">
        <w:rPr>
          <w:szCs w:val="20"/>
          <w:lang w:val="en-AU"/>
        </w:rPr>
        <w:t xml:space="preserve"> NSW. This project is schedul</w:t>
      </w:r>
      <w:r w:rsidR="0074283D" w:rsidRPr="003E76E7">
        <w:rPr>
          <w:szCs w:val="20"/>
          <w:lang w:val="en-AU"/>
        </w:rPr>
        <w:t xml:space="preserve">ed to commence construction in </w:t>
      </w:r>
      <w:r w:rsidRPr="003E76E7">
        <w:rPr>
          <w:szCs w:val="20"/>
          <w:lang w:val="en-AU"/>
        </w:rPr>
        <w:t>mid-2026 for completion in early 2028.</w:t>
      </w:r>
    </w:p>
    <w:p w14:paraId="04566063" w14:textId="2DB7EF96" w:rsidR="006D5735" w:rsidRPr="003E76E7" w:rsidRDefault="006D5735" w:rsidP="00C4292D">
      <w:pPr>
        <w:pStyle w:val="BodyText"/>
        <w:rPr>
          <w:lang w:val="en-AU"/>
        </w:rPr>
      </w:pPr>
    </w:p>
    <w:p w14:paraId="046F102F" w14:textId="77777777" w:rsidR="008D5E5E" w:rsidRPr="003E76E7" w:rsidRDefault="008D5E5E" w:rsidP="00C4292D">
      <w:pPr>
        <w:rPr>
          <w:lang w:val="en-AU"/>
        </w:rPr>
        <w:sectPr w:rsidR="008D5E5E" w:rsidRPr="003E76E7" w:rsidSect="001D6B09">
          <w:headerReference w:type="even" r:id="rId134"/>
          <w:headerReference w:type="default" r:id="rId135"/>
          <w:footerReference w:type="even" r:id="rId136"/>
          <w:footerReference w:type="default" r:id="rId137"/>
          <w:pgSz w:w="11907" w:h="16840" w:code="9"/>
          <w:pgMar w:top="1701" w:right="1417" w:bottom="1276" w:left="1701" w:header="720" w:footer="720" w:gutter="0"/>
          <w:cols w:space="720"/>
          <w:noEndnote/>
        </w:sectPr>
      </w:pPr>
    </w:p>
    <w:p w14:paraId="00BC7608" w14:textId="41DBE78E" w:rsidR="00C525C2" w:rsidRPr="003E76E7" w:rsidRDefault="00C525C2" w:rsidP="00C4292D">
      <w:pPr>
        <w:pStyle w:val="Heading4"/>
        <w:rPr>
          <w:sz w:val="26"/>
          <w:szCs w:val="26"/>
          <w:lang w:val="en-AU"/>
        </w:rPr>
      </w:pPr>
      <w:bookmarkStart w:id="1321" w:name="_Toc222129935"/>
      <w:bookmarkStart w:id="1322" w:name="_Toc222148365"/>
      <w:bookmarkStart w:id="1323" w:name="_Toc225847993"/>
      <w:bookmarkStart w:id="1324" w:name="_Toc225848076"/>
      <w:bookmarkStart w:id="1325" w:name="_Toc225848159"/>
      <w:bookmarkStart w:id="1326" w:name="_Toc225848498"/>
      <w:bookmarkStart w:id="1327" w:name="_Toc225941565"/>
      <w:bookmarkStart w:id="1328" w:name="_Toc225942572"/>
      <w:bookmarkStart w:id="1329" w:name="_Toc227334382"/>
      <w:bookmarkStart w:id="1330" w:name="_Toc229072457"/>
      <w:bookmarkStart w:id="1331" w:name="_Toc229072629"/>
      <w:bookmarkStart w:id="1332" w:name="_Toc1561691"/>
      <w:bookmarkStart w:id="1333" w:name="_Toc51691688"/>
      <w:bookmarkStart w:id="1334" w:name="_Toc69917851"/>
      <w:bookmarkStart w:id="1335" w:name="_Toc97747840"/>
      <w:bookmarkStart w:id="1336" w:name="_Toc108088951"/>
      <w:bookmarkStart w:id="1337" w:name="_Toc109227747"/>
      <w:bookmarkStart w:id="1338" w:name="_Toc159499695"/>
      <w:bookmarkStart w:id="1339" w:name="_Toc159859112"/>
      <w:r w:rsidRPr="003E76E7">
        <w:rPr>
          <w:sz w:val="26"/>
          <w:szCs w:val="26"/>
          <w:lang w:val="en-AU"/>
        </w:rPr>
        <w:lastRenderedPageBreak/>
        <w:t>Appendix E: Status of Projects Foreshadowed for Parliamentary Standing Committee on Public Works Consideration in 202</w:t>
      </w:r>
      <w:r w:rsidR="000F76D5" w:rsidRPr="003E76E7">
        <w:rPr>
          <w:sz w:val="26"/>
          <w:szCs w:val="26"/>
          <w:lang w:val="en-AU"/>
        </w:rPr>
        <w:t>6</w:t>
      </w:r>
      <w:r w:rsidRPr="003E76E7">
        <w:rPr>
          <w:sz w:val="26"/>
          <w:szCs w:val="26"/>
          <w:lang w:val="en-AU"/>
        </w:rPr>
        <w:t>-2</w:t>
      </w:r>
      <w:r w:rsidR="000F76D5" w:rsidRPr="003E76E7">
        <w:rPr>
          <w:sz w:val="26"/>
          <w:szCs w:val="26"/>
          <w:lang w:val="en-AU"/>
        </w:rPr>
        <w:t>7</w:t>
      </w:r>
      <w:bookmarkEnd w:id="1321"/>
      <w:bookmarkEnd w:id="1322"/>
      <w:bookmarkEnd w:id="1323"/>
      <w:bookmarkEnd w:id="1324"/>
      <w:bookmarkEnd w:id="1325"/>
      <w:bookmarkEnd w:id="1326"/>
      <w:bookmarkEnd w:id="1327"/>
      <w:bookmarkEnd w:id="1328"/>
      <w:bookmarkEnd w:id="1329"/>
      <w:bookmarkEnd w:id="1330"/>
      <w:bookmarkEnd w:id="1331"/>
    </w:p>
    <w:bookmarkEnd w:id="1317"/>
    <w:bookmarkEnd w:id="1318"/>
    <w:bookmarkEnd w:id="1319"/>
    <w:bookmarkEnd w:id="1320"/>
    <w:bookmarkEnd w:id="1332"/>
    <w:bookmarkEnd w:id="1333"/>
    <w:bookmarkEnd w:id="1334"/>
    <w:bookmarkEnd w:id="1335"/>
    <w:bookmarkEnd w:id="1336"/>
    <w:bookmarkEnd w:id="1337"/>
    <w:bookmarkEnd w:id="1338"/>
    <w:bookmarkEnd w:id="1339"/>
    <w:p w14:paraId="44EED1BE" w14:textId="77777777" w:rsidR="0074283D" w:rsidRPr="003E76E7" w:rsidRDefault="0074283D" w:rsidP="00C4292D">
      <w:pPr>
        <w:pStyle w:val="Heading4level5"/>
        <w:spacing w:before="120" w:after="120"/>
      </w:pPr>
      <w:r w:rsidRPr="003E76E7">
        <w:t>Projects Foreshadowed for Consideration and Approval</w:t>
      </w:r>
    </w:p>
    <w:p w14:paraId="18F139A6" w14:textId="77777777" w:rsidR="0074283D" w:rsidRPr="003E76E7" w:rsidRDefault="0074283D" w:rsidP="00C4292D">
      <w:r w:rsidRPr="003E76E7">
        <w:t>During 2026-27, Defence expects to present a number of Enterprise Estate and Infrastructure Program (EEIP) capital facilities and infrastructure project proposals to the Parliamentary Standing Committee on Public Works (PWC). The following tables detail the proposed major capital facilities and infrastructure projects expected to be referred to the PWC, and medium capital facilities and infrastructure projects expected to be notified to the PWC.</w:t>
      </w:r>
    </w:p>
    <w:p w14:paraId="793D4927" w14:textId="77777777" w:rsidR="0074283D" w:rsidRPr="003E76E7" w:rsidRDefault="0074283D" w:rsidP="00C4292D">
      <w:pPr>
        <w:pStyle w:val="TableHeading"/>
        <w:numPr>
          <w:ilvl w:val="0"/>
          <w:numId w:val="61"/>
        </w:numPr>
        <w:spacing w:before="100"/>
        <w:ind w:left="0" w:firstLine="0"/>
        <w:outlineLvl w:val="4"/>
      </w:pPr>
      <w:r w:rsidRPr="003E76E7">
        <w:t>Major Capital Facilities Projects Foreshadowed for PWC Consideration and Approval in 2026-27</w:t>
      </w:r>
    </w:p>
    <w:tbl>
      <w:tblPr>
        <w:tblW w:w="852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4"/>
        <w:gridCol w:w="1523"/>
        <w:gridCol w:w="1524"/>
        <w:gridCol w:w="1524"/>
        <w:gridCol w:w="1524"/>
      </w:tblGrid>
      <w:tr w:rsidR="0074283D" w:rsidRPr="003E76E7" w14:paraId="2F224FDF" w14:textId="77777777" w:rsidTr="000E1A17">
        <w:trPr>
          <w:trHeight w:val="640"/>
          <w:tblHeader/>
        </w:trPr>
        <w:tc>
          <w:tcPr>
            <w:tcW w:w="2434" w:type="dxa"/>
            <w:vAlign w:val="bottom"/>
          </w:tcPr>
          <w:p w14:paraId="3F2C51AF" w14:textId="77777777" w:rsidR="0074283D" w:rsidRPr="003E76E7" w:rsidRDefault="0074283D" w:rsidP="00C4292D">
            <w:pPr>
              <w:pStyle w:val="TableTextHeadingRight"/>
              <w:ind w:left="-249" w:firstLine="249"/>
              <w:jc w:val="center"/>
              <w:rPr>
                <w:sz w:val="16"/>
                <w:szCs w:val="16"/>
              </w:rPr>
            </w:pPr>
            <w:r w:rsidRPr="003E76E7">
              <w:rPr>
                <w:sz w:val="16"/>
                <w:szCs w:val="16"/>
              </w:rPr>
              <w:t>Project Description</w:t>
            </w:r>
          </w:p>
        </w:tc>
        <w:tc>
          <w:tcPr>
            <w:tcW w:w="1523" w:type="dxa"/>
            <w:vAlign w:val="bottom"/>
          </w:tcPr>
          <w:p w14:paraId="22466B6F" w14:textId="77777777" w:rsidR="0074283D" w:rsidRPr="003E76E7" w:rsidRDefault="0074283D" w:rsidP="00C4292D">
            <w:pPr>
              <w:pStyle w:val="TableTextHeadingRight"/>
              <w:ind w:left="-249" w:firstLine="249"/>
              <w:jc w:val="center"/>
              <w:rPr>
                <w:sz w:val="16"/>
                <w:szCs w:val="16"/>
              </w:rPr>
            </w:pPr>
            <w:r w:rsidRPr="003E76E7">
              <w:rPr>
                <w:sz w:val="16"/>
                <w:szCs w:val="16"/>
              </w:rPr>
              <w:t>State/Electorate</w:t>
            </w:r>
          </w:p>
        </w:tc>
        <w:tc>
          <w:tcPr>
            <w:tcW w:w="1524" w:type="dxa"/>
            <w:vAlign w:val="center"/>
          </w:tcPr>
          <w:p w14:paraId="02945865" w14:textId="77777777" w:rsidR="0074283D" w:rsidRPr="003E76E7" w:rsidRDefault="0074283D" w:rsidP="00C4292D">
            <w:pPr>
              <w:pStyle w:val="TableTextHeadingRight"/>
              <w:spacing w:before="0" w:after="0"/>
              <w:ind w:left="-57" w:right="-57"/>
              <w:jc w:val="center"/>
              <w:rPr>
                <w:sz w:val="16"/>
                <w:szCs w:val="16"/>
              </w:rPr>
            </w:pPr>
            <w:r w:rsidRPr="003E76E7">
              <w:rPr>
                <w:sz w:val="16"/>
                <w:szCs w:val="16"/>
              </w:rPr>
              <w:t>Actual/Indicative</w:t>
            </w:r>
          </w:p>
          <w:p w14:paraId="100FD0B8" w14:textId="77777777" w:rsidR="0074283D" w:rsidRPr="003E76E7" w:rsidRDefault="0074283D" w:rsidP="00C4292D">
            <w:pPr>
              <w:pStyle w:val="TableTextHeadingRight"/>
              <w:spacing w:before="0" w:after="0"/>
              <w:jc w:val="center"/>
              <w:rPr>
                <w:sz w:val="16"/>
                <w:szCs w:val="16"/>
              </w:rPr>
            </w:pPr>
            <w:r w:rsidRPr="003E76E7">
              <w:rPr>
                <w:sz w:val="16"/>
                <w:szCs w:val="16"/>
              </w:rPr>
              <w:t>PWC Referral</w:t>
            </w:r>
          </w:p>
          <w:p w14:paraId="49C6D4E6" w14:textId="77777777" w:rsidR="0074283D" w:rsidRPr="003E76E7" w:rsidRDefault="0074283D" w:rsidP="00C4292D">
            <w:pPr>
              <w:pStyle w:val="TableTextHeadingRight"/>
              <w:spacing w:before="0" w:after="0"/>
              <w:jc w:val="center"/>
              <w:rPr>
                <w:sz w:val="16"/>
                <w:szCs w:val="16"/>
              </w:rPr>
            </w:pPr>
            <w:r w:rsidRPr="003E76E7">
              <w:rPr>
                <w:sz w:val="16"/>
                <w:szCs w:val="16"/>
              </w:rPr>
              <w:t>Date</w:t>
            </w:r>
            <w:r w:rsidRPr="003E76E7">
              <w:rPr>
                <w:sz w:val="16"/>
                <w:szCs w:val="16"/>
                <w:vertAlign w:val="superscript"/>
              </w:rPr>
              <w:t xml:space="preserve"> [a]</w:t>
            </w:r>
          </w:p>
        </w:tc>
        <w:tc>
          <w:tcPr>
            <w:tcW w:w="1524" w:type="dxa"/>
            <w:vAlign w:val="center"/>
          </w:tcPr>
          <w:p w14:paraId="6BE252EB" w14:textId="77777777" w:rsidR="0074283D" w:rsidRPr="003E76E7" w:rsidRDefault="0074283D" w:rsidP="00C4292D">
            <w:pPr>
              <w:pStyle w:val="TableTextHeadingRight"/>
              <w:spacing w:before="0" w:after="0"/>
              <w:ind w:left="-57" w:right="-57"/>
              <w:jc w:val="center"/>
              <w:rPr>
                <w:sz w:val="16"/>
                <w:szCs w:val="16"/>
              </w:rPr>
            </w:pPr>
            <w:r w:rsidRPr="003E76E7">
              <w:rPr>
                <w:sz w:val="16"/>
                <w:szCs w:val="16"/>
              </w:rPr>
              <w:t>Actual/Indicative</w:t>
            </w:r>
          </w:p>
          <w:p w14:paraId="6493F9A1" w14:textId="77777777" w:rsidR="0074283D" w:rsidRPr="003E76E7" w:rsidRDefault="0074283D" w:rsidP="00C4292D">
            <w:pPr>
              <w:pStyle w:val="TableTextHeadingRight"/>
              <w:spacing w:before="0" w:after="0"/>
              <w:jc w:val="center"/>
              <w:rPr>
                <w:sz w:val="16"/>
                <w:szCs w:val="16"/>
              </w:rPr>
            </w:pPr>
            <w:r w:rsidRPr="003E76E7">
              <w:rPr>
                <w:sz w:val="16"/>
                <w:szCs w:val="16"/>
              </w:rPr>
              <w:t>PWC Hearing</w:t>
            </w:r>
          </w:p>
          <w:p w14:paraId="1BDC83DC" w14:textId="77777777" w:rsidR="0074283D" w:rsidRPr="003E76E7" w:rsidRDefault="0074283D" w:rsidP="00C4292D">
            <w:pPr>
              <w:pStyle w:val="TableTextHeadingRight"/>
              <w:spacing w:before="0" w:after="0"/>
              <w:jc w:val="center"/>
              <w:rPr>
                <w:sz w:val="16"/>
                <w:szCs w:val="16"/>
              </w:rPr>
            </w:pPr>
            <w:r w:rsidRPr="003E76E7">
              <w:rPr>
                <w:sz w:val="16"/>
                <w:szCs w:val="16"/>
              </w:rPr>
              <w:t>Date</w:t>
            </w:r>
            <w:r w:rsidRPr="003E76E7">
              <w:rPr>
                <w:sz w:val="16"/>
                <w:szCs w:val="16"/>
                <w:vertAlign w:val="superscript"/>
              </w:rPr>
              <w:t xml:space="preserve"> [a] [b]</w:t>
            </w:r>
          </w:p>
        </w:tc>
        <w:tc>
          <w:tcPr>
            <w:tcW w:w="1524" w:type="dxa"/>
            <w:vAlign w:val="center"/>
          </w:tcPr>
          <w:p w14:paraId="75BB57C0" w14:textId="77777777" w:rsidR="0074283D" w:rsidRPr="003E76E7" w:rsidRDefault="0074283D" w:rsidP="00C4292D">
            <w:pPr>
              <w:pStyle w:val="TableTextHeadingRight"/>
              <w:spacing w:before="0" w:after="0"/>
              <w:ind w:left="-57" w:right="-57"/>
              <w:jc w:val="center"/>
              <w:rPr>
                <w:sz w:val="16"/>
                <w:szCs w:val="16"/>
              </w:rPr>
            </w:pPr>
            <w:r w:rsidRPr="003E76E7">
              <w:rPr>
                <w:sz w:val="16"/>
                <w:szCs w:val="16"/>
              </w:rPr>
              <w:t xml:space="preserve">Indicative Parliamentary Approval Date </w:t>
            </w:r>
            <w:r w:rsidRPr="003E76E7">
              <w:rPr>
                <w:sz w:val="16"/>
                <w:szCs w:val="16"/>
                <w:vertAlign w:val="superscript"/>
              </w:rPr>
              <w:t>[a]</w:t>
            </w:r>
          </w:p>
        </w:tc>
      </w:tr>
      <w:tr w:rsidR="0074283D" w:rsidRPr="003E76E7" w14:paraId="2DA3DFC4" w14:textId="77777777" w:rsidTr="000E1A17">
        <w:trPr>
          <w:trHeight w:val="640"/>
          <w:tblHeader/>
        </w:trPr>
        <w:tc>
          <w:tcPr>
            <w:tcW w:w="2434" w:type="dxa"/>
            <w:vAlign w:val="center"/>
          </w:tcPr>
          <w:p w14:paraId="525EDFDF" w14:textId="77777777" w:rsidR="0074283D" w:rsidRPr="003E76E7" w:rsidRDefault="0074283D" w:rsidP="00C4292D">
            <w:pPr>
              <w:pStyle w:val="TableTextHeadingRight"/>
              <w:jc w:val="left"/>
              <w:rPr>
                <w:b w:val="0"/>
                <w:sz w:val="16"/>
                <w:szCs w:val="16"/>
              </w:rPr>
            </w:pPr>
            <w:r w:rsidRPr="003E76E7">
              <w:rPr>
                <w:b w:val="0"/>
                <w:sz w:val="16"/>
                <w:szCs w:val="16"/>
              </w:rPr>
              <w:t>Facilities to Support Air Mission Training System</w:t>
            </w:r>
          </w:p>
        </w:tc>
        <w:tc>
          <w:tcPr>
            <w:tcW w:w="1523" w:type="dxa"/>
            <w:vAlign w:val="center"/>
          </w:tcPr>
          <w:p w14:paraId="1CBF6141" w14:textId="77777777" w:rsidR="0074283D" w:rsidRPr="003E76E7" w:rsidRDefault="0074283D" w:rsidP="00C4292D">
            <w:pPr>
              <w:pStyle w:val="TableTextHeadingRight"/>
              <w:jc w:val="center"/>
              <w:rPr>
                <w:b w:val="0"/>
                <w:sz w:val="16"/>
                <w:szCs w:val="16"/>
              </w:rPr>
            </w:pPr>
            <w:r w:rsidRPr="003E76E7">
              <w:rPr>
                <w:b w:val="0"/>
                <w:sz w:val="16"/>
                <w:szCs w:val="16"/>
              </w:rPr>
              <w:t>VIC - Gippsland</w:t>
            </w:r>
          </w:p>
        </w:tc>
        <w:tc>
          <w:tcPr>
            <w:tcW w:w="1524" w:type="dxa"/>
            <w:vAlign w:val="center"/>
          </w:tcPr>
          <w:p w14:paraId="7502BC06" w14:textId="77777777" w:rsidR="0074283D" w:rsidRPr="003E76E7" w:rsidRDefault="0074283D" w:rsidP="00C4292D">
            <w:pPr>
              <w:pStyle w:val="TableTextHeadingRight"/>
              <w:spacing w:after="0"/>
              <w:ind w:left="-57" w:right="-57"/>
              <w:jc w:val="center"/>
              <w:rPr>
                <w:b w:val="0"/>
                <w:sz w:val="16"/>
                <w:szCs w:val="16"/>
              </w:rPr>
            </w:pPr>
            <w:r w:rsidRPr="003E76E7">
              <w:rPr>
                <w:b w:val="0"/>
                <w:sz w:val="16"/>
                <w:szCs w:val="16"/>
              </w:rPr>
              <w:t>Mid-2026</w:t>
            </w:r>
          </w:p>
        </w:tc>
        <w:tc>
          <w:tcPr>
            <w:tcW w:w="1524" w:type="dxa"/>
            <w:vAlign w:val="center"/>
          </w:tcPr>
          <w:p w14:paraId="04F421FA" w14:textId="77777777" w:rsidR="0074283D" w:rsidRPr="003E76E7" w:rsidRDefault="0074283D" w:rsidP="00C4292D">
            <w:pPr>
              <w:pStyle w:val="TableTextHeadingRight"/>
              <w:spacing w:after="0"/>
              <w:ind w:left="-57" w:right="-57"/>
              <w:jc w:val="center"/>
              <w:rPr>
                <w:b w:val="0"/>
                <w:sz w:val="16"/>
                <w:szCs w:val="16"/>
              </w:rPr>
            </w:pPr>
            <w:r w:rsidRPr="003E76E7">
              <w:rPr>
                <w:b w:val="0"/>
                <w:sz w:val="16"/>
                <w:szCs w:val="16"/>
              </w:rPr>
              <w:t>Mid-2026</w:t>
            </w:r>
          </w:p>
        </w:tc>
        <w:tc>
          <w:tcPr>
            <w:tcW w:w="1524" w:type="dxa"/>
            <w:vAlign w:val="center"/>
          </w:tcPr>
          <w:p w14:paraId="24C82799" w14:textId="77777777" w:rsidR="0074283D" w:rsidRPr="003E76E7" w:rsidRDefault="0074283D" w:rsidP="00C4292D">
            <w:pPr>
              <w:pStyle w:val="TableTextHeadingRight"/>
              <w:spacing w:after="0"/>
              <w:ind w:left="-57" w:right="-57"/>
              <w:jc w:val="center"/>
              <w:rPr>
                <w:b w:val="0"/>
                <w:sz w:val="16"/>
                <w:szCs w:val="16"/>
              </w:rPr>
            </w:pPr>
            <w:r w:rsidRPr="003E76E7">
              <w:rPr>
                <w:b w:val="0"/>
                <w:sz w:val="16"/>
                <w:szCs w:val="16"/>
              </w:rPr>
              <w:t>Late 2026</w:t>
            </w:r>
          </w:p>
        </w:tc>
      </w:tr>
      <w:tr w:rsidR="0074283D" w:rsidRPr="003E76E7" w14:paraId="5F2E6AA3" w14:textId="77777777" w:rsidTr="000E1A17">
        <w:trPr>
          <w:trHeight w:val="640"/>
          <w:tblHeader/>
        </w:trPr>
        <w:tc>
          <w:tcPr>
            <w:tcW w:w="2434" w:type="dxa"/>
            <w:vAlign w:val="center"/>
          </w:tcPr>
          <w:p w14:paraId="02CC2B1D" w14:textId="77777777" w:rsidR="0074283D" w:rsidRPr="003E76E7" w:rsidRDefault="0074283D" w:rsidP="00C4292D">
            <w:pPr>
              <w:pStyle w:val="TableTextHeadingRight"/>
              <w:jc w:val="left"/>
              <w:rPr>
                <w:b w:val="0"/>
                <w:sz w:val="16"/>
                <w:szCs w:val="16"/>
              </w:rPr>
            </w:pPr>
            <w:r w:rsidRPr="003E76E7">
              <w:rPr>
                <w:b w:val="0"/>
                <w:sz w:val="16"/>
                <w:szCs w:val="16"/>
              </w:rPr>
              <w:t>Armoured Fighting Vehicle Facilities Program Stage 3</w:t>
            </w:r>
          </w:p>
        </w:tc>
        <w:tc>
          <w:tcPr>
            <w:tcW w:w="1523" w:type="dxa"/>
            <w:vAlign w:val="center"/>
          </w:tcPr>
          <w:p w14:paraId="6D9EA0E5" w14:textId="77777777" w:rsidR="0074283D" w:rsidRPr="003E76E7" w:rsidRDefault="0074283D" w:rsidP="00C4292D">
            <w:pPr>
              <w:pStyle w:val="TableTextHeadingRight"/>
              <w:jc w:val="center"/>
              <w:rPr>
                <w:b w:val="0"/>
                <w:sz w:val="16"/>
                <w:szCs w:val="16"/>
              </w:rPr>
            </w:pPr>
            <w:r w:rsidRPr="003E76E7">
              <w:rPr>
                <w:b w:val="0"/>
                <w:sz w:val="16"/>
                <w:szCs w:val="16"/>
              </w:rPr>
              <w:t>QLD - Various</w:t>
            </w:r>
          </w:p>
        </w:tc>
        <w:tc>
          <w:tcPr>
            <w:tcW w:w="1524" w:type="dxa"/>
            <w:vAlign w:val="center"/>
          </w:tcPr>
          <w:p w14:paraId="798F5538" w14:textId="77777777" w:rsidR="0074283D" w:rsidRPr="003E76E7" w:rsidRDefault="0074283D" w:rsidP="00C4292D">
            <w:pPr>
              <w:pStyle w:val="TableTextHeadingRight"/>
              <w:spacing w:after="0"/>
              <w:ind w:left="-57" w:right="-57"/>
              <w:jc w:val="center"/>
              <w:rPr>
                <w:b w:val="0"/>
                <w:sz w:val="16"/>
                <w:szCs w:val="16"/>
              </w:rPr>
            </w:pPr>
            <w:r w:rsidRPr="003E76E7">
              <w:rPr>
                <w:b w:val="0"/>
                <w:sz w:val="16"/>
                <w:szCs w:val="16"/>
              </w:rPr>
              <w:t>Mid-2026</w:t>
            </w:r>
          </w:p>
        </w:tc>
        <w:tc>
          <w:tcPr>
            <w:tcW w:w="1524" w:type="dxa"/>
            <w:vAlign w:val="center"/>
          </w:tcPr>
          <w:p w14:paraId="0AC548FF" w14:textId="77777777" w:rsidR="0074283D" w:rsidRPr="003E76E7" w:rsidRDefault="0074283D" w:rsidP="00C4292D">
            <w:pPr>
              <w:pStyle w:val="TableTextHeadingRight"/>
              <w:spacing w:after="0"/>
              <w:ind w:left="-57" w:right="-57"/>
              <w:jc w:val="center"/>
              <w:rPr>
                <w:b w:val="0"/>
                <w:sz w:val="16"/>
                <w:szCs w:val="16"/>
              </w:rPr>
            </w:pPr>
            <w:r w:rsidRPr="003E76E7">
              <w:rPr>
                <w:b w:val="0"/>
                <w:sz w:val="16"/>
                <w:szCs w:val="16"/>
              </w:rPr>
              <w:t>Mid-2026</w:t>
            </w:r>
          </w:p>
        </w:tc>
        <w:tc>
          <w:tcPr>
            <w:tcW w:w="1524" w:type="dxa"/>
            <w:vAlign w:val="center"/>
          </w:tcPr>
          <w:p w14:paraId="4D8E17A8" w14:textId="77777777" w:rsidR="0074283D" w:rsidRPr="003E76E7" w:rsidRDefault="0074283D" w:rsidP="00C4292D">
            <w:pPr>
              <w:pStyle w:val="TableTextHeadingRight"/>
              <w:spacing w:after="0"/>
              <w:ind w:left="-57" w:right="-57"/>
              <w:jc w:val="center"/>
              <w:rPr>
                <w:b w:val="0"/>
                <w:sz w:val="16"/>
                <w:szCs w:val="16"/>
              </w:rPr>
            </w:pPr>
            <w:r w:rsidRPr="003E76E7">
              <w:rPr>
                <w:b w:val="0"/>
                <w:sz w:val="16"/>
                <w:szCs w:val="16"/>
              </w:rPr>
              <w:t>Late 2026</w:t>
            </w:r>
          </w:p>
        </w:tc>
      </w:tr>
      <w:tr w:rsidR="0074283D" w:rsidRPr="003E76E7" w14:paraId="74369917" w14:textId="77777777" w:rsidTr="000E1A17">
        <w:trPr>
          <w:trHeight w:val="640"/>
          <w:tblHeader/>
        </w:trPr>
        <w:tc>
          <w:tcPr>
            <w:tcW w:w="2434" w:type="dxa"/>
            <w:vAlign w:val="center"/>
          </w:tcPr>
          <w:p w14:paraId="12BDCA8E" w14:textId="77777777" w:rsidR="0074283D" w:rsidRPr="003E76E7" w:rsidRDefault="0074283D" w:rsidP="00C4292D">
            <w:pPr>
              <w:pStyle w:val="TableTextHeadingRight"/>
              <w:jc w:val="left"/>
              <w:rPr>
                <w:b w:val="0"/>
                <w:sz w:val="16"/>
                <w:szCs w:val="16"/>
              </w:rPr>
            </w:pPr>
            <w:r w:rsidRPr="003E76E7">
              <w:rPr>
                <w:b w:val="0"/>
                <w:sz w:val="16"/>
                <w:szCs w:val="16"/>
              </w:rPr>
              <w:t>Facilities to Support Theatre Logistics (Work Package 2.4)</w:t>
            </w:r>
          </w:p>
        </w:tc>
        <w:tc>
          <w:tcPr>
            <w:tcW w:w="1523" w:type="dxa"/>
            <w:vAlign w:val="center"/>
          </w:tcPr>
          <w:p w14:paraId="16106D2D" w14:textId="77777777" w:rsidR="0074283D" w:rsidRPr="003E76E7" w:rsidRDefault="0074283D" w:rsidP="00C4292D">
            <w:pPr>
              <w:pStyle w:val="TableTextHeadingRight"/>
              <w:jc w:val="center"/>
              <w:rPr>
                <w:b w:val="0"/>
                <w:sz w:val="16"/>
                <w:szCs w:val="16"/>
              </w:rPr>
            </w:pPr>
            <w:r w:rsidRPr="003E76E7">
              <w:rPr>
                <w:b w:val="0"/>
                <w:sz w:val="16"/>
                <w:szCs w:val="16"/>
              </w:rPr>
              <w:t>WA - Perth</w:t>
            </w:r>
          </w:p>
        </w:tc>
        <w:tc>
          <w:tcPr>
            <w:tcW w:w="1524" w:type="dxa"/>
            <w:vAlign w:val="center"/>
          </w:tcPr>
          <w:p w14:paraId="0F3904AF" w14:textId="77777777" w:rsidR="0074283D" w:rsidRPr="003E76E7" w:rsidRDefault="0074283D" w:rsidP="00C4292D">
            <w:pPr>
              <w:pStyle w:val="TableTextHeadingRight"/>
              <w:spacing w:after="0"/>
              <w:ind w:left="-57" w:right="-57"/>
              <w:jc w:val="center"/>
              <w:rPr>
                <w:b w:val="0"/>
                <w:sz w:val="16"/>
                <w:szCs w:val="16"/>
              </w:rPr>
            </w:pPr>
            <w:r w:rsidRPr="003E76E7">
              <w:rPr>
                <w:b w:val="0"/>
                <w:sz w:val="16"/>
                <w:szCs w:val="16"/>
              </w:rPr>
              <w:t>Mid-2026</w:t>
            </w:r>
          </w:p>
        </w:tc>
        <w:tc>
          <w:tcPr>
            <w:tcW w:w="1524" w:type="dxa"/>
            <w:vAlign w:val="center"/>
          </w:tcPr>
          <w:p w14:paraId="19755CEE" w14:textId="77777777" w:rsidR="0074283D" w:rsidRPr="003E76E7" w:rsidRDefault="0074283D" w:rsidP="00C4292D">
            <w:pPr>
              <w:pStyle w:val="TableTextHeadingRight"/>
              <w:spacing w:after="0"/>
              <w:ind w:left="-57" w:right="-57"/>
              <w:jc w:val="center"/>
              <w:rPr>
                <w:b w:val="0"/>
                <w:sz w:val="16"/>
                <w:szCs w:val="16"/>
              </w:rPr>
            </w:pPr>
            <w:r w:rsidRPr="003E76E7">
              <w:rPr>
                <w:b w:val="0"/>
                <w:sz w:val="16"/>
                <w:szCs w:val="16"/>
              </w:rPr>
              <w:t>Late 2026</w:t>
            </w:r>
          </w:p>
        </w:tc>
        <w:tc>
          <w:tcPr>
            <w:tcW w:w="1524" w:type="dxa"/>
            <w:vAlign w:val="center"/>
          </w:tcPr>
          <w:p w14:paraId="467AE882" w14:textId="77777777" w:rsidR="0074283D" w:rsidRPr="003E76E7" w:rsidRDefault="0074283D" w:rsidP="00C4292D">
            <w:pPr>
              <w:pStyle w:val="TableTextHeadingRight"/>
              <w:spacing w:after="0"/>
              <w:ind w:left="-57" w:right="-57"/>
              <w:jc w:val="center"/>
              <w:rPr>
                <w:b w:val="0"/>
                <w:sz w:val="16"/>
                <w:szCs w:val="16"/>
              </w:rPr>
            </w:pPr>
            <w:r w:rsidRPr="003E76E7">
              <w:rPr>
                <w:b w:val="0"/>
                <w:sz w:val="16"/>
                <w:szCs w:val="16"/>
              </w:rPr>
              <w:t>Early 2027</w:t>
            </w:r>
          </w:p>
        </w:tc>
      </w:tr>
      <w:tr w:rsidR="0074283D" w:rsidRPr="003E76E7" w14:paraId="193C8E4B" w14:textId="77777777" w:rsidTr="000E1A17">
        <w:trPr>
          <w:trHeight w:val="640"/>
          <w:tblHeader/>
        </w:trPr>
        <w:tc>
          <w:tcPr>
            <w:tcW w:w="2434" w:type="dxa"/>
            <w:vAlign w:val="center"/>
          </w:tcPr>
          <w:p w14:paraId="6D9C0DB3" w14:textId="77777777" w:rsidR="0074283D" w:rsidRPr="003E76E7" w:rsidRDefault="0074283D" w:rsidP="00C4292D">
            <w:pPr>
              <w:pStyle w:val="TableTextHeadingRight"/>
              <w:jc w:val="left"/>
              <w:rPr>
                <w:b w:val="0"/>
                <w:sz w:val="16"/>
                <w:szCs w:val="16"/>
              </w:rPr>
            </w:pPr>
            <w:r w:rsidRPr="003E76E7">
              <w:rPr>
                <w:b w:val="0"/>
                <w:sz w:val="16"/>
                <w:szCs w:val="16"/>
              </w:rPr>
              <w:t>Facilities to Support Hobart Class Destroyer Aegis System Upgrade</w:t>
            </w:r>
          </w:p>
        </w:tc>
        <w:tc>
          <w:tcPr>
            <w:tcW w:w="1523" w:type="dxa"/>
            <w:vAlign w:val="center"/>
          </w:tcPr>
          <w:p w14:paraId="16C68018" w14:textId="77777777" w:rsidR="0074283D" w:rsidRPr="003E76E7" w:rsidRDefault="0074283D" w:rsidP="00C4292D">
            <w:pPr>
              <w:pStyle w:val="TableTextHeadingRight"/>
              <w:jc w:val="center"/>
              <w:rPr>
                <w:b w:val="0"/>
                <w:sz w:val="16"/>
                <w:szCs w:val="16"/>
              </w:rPr>
            </w:pPr>
            <w:r w:rsidRPr="003E76E7">
              <w:rPr>
                <w:b w:val="0"/>
                <w:sz w:val="16"/>
                <w:szCs w:val="16"/>
              </w:rPr>
              <w:t>Various</w:t>
            </w:r>
          </w:p>
        </w:tc>
        <w:tc>
          <w:tcPr>
            <w:tcW w:w="1524" w:type="dxa"/>
            <w:vAlign w:val="center"/>
          </w:tcPr>
          <w:p w14:paraId="582CDA21" w14:textId="77777777" w:rsidR="0074283D" w:rsidRPr="003E76E7" w:rsidRDefault="0074283D" w:rsidP="00C4292D">
            <w:pPr>
              <w:pStyle w:val="TableTextHeadingRight"/>
              <w:spacing w:after="0"/>
              <w:ind w:left="-57" w:right="-57"/>
              <w:jc w:val="center"/>
              <w:rPr>
                <w:b w:val="0"/>
                <w:sz w:val="16"/>
                <w:szCs w:val="16"/>
              </w:rPr>
            </w:pPr>
            <w:r w:rsidRPr="003E76E7">
              <w:rPr>
                <w:b w:val="0"/>
                <w:sz w:val="16"/>
                <w:szCs w:val="16"/>
              </w:rPr>
              <w:t>Mid-2026</w:t>
            </w:r>
          </w:p>
        </w:tc>
        <w:tc>
          <w:tcPr>
            <w:tcW w:w="1524" w:type="dxa"/>
            <w:vAlign w:val="center"/>
          </w:tcPr>
          <w:p w14:paraId="4BB913C8" w14:textId="77777777" w:rsidR="0074283D" w:rsidRPr="003E76E7" w:rsidRDefault="0074283D" w:rsidP="00C4292D">
            <w:pPr>
              <w:pStyle w:val="TableTextHeadingRight"/>
              <w:spacing w:after="0"/>
              <w:ind w:left="-57" w:right="-57"/>
              <w:jc w:val="center"/>
              <w:rPr>
                <w:b w:val="0"/>
                <w:sz w:val="16"/>
                <w:szCs w:val="16"/>
              </w:rPr>
            </w:pPr>
            <w:r w:rsidRPr="003E76E7">
              <w:rPr>
                <w:b w:val="0"/>
                <w:sz w:val="16"/>
                <w:szCs w:val="16"/>
              </w:rPr>
              <w:t>Late 2026</w:t>
            </w:r>
          </w:p>
        </w:tc>
        <w:tc>
          <w:tcPr>
            <w:tcW w:w="1524" w:type="dxa"/>
            <w:vAlign w:val="center"/>
          </w:tcPr>
          <w:p w14:paraId="1638B9CC" w14:textId="77777777" w:rsidR="0074283D" w:rsidRPr="003E76E7" w:rsidRDefault="0074283D" w:rsidP="00C4292D">
            <w:pPr>
              <w:pStyle w:val="TableTextHeadingRight"/>
              <w:spacing w:after="0"/>
              <w:ind w:left="-57" w:right="-57"/>
              <w:jc w:val="center"/>
              <w:rPr>
                <w:b w:val="0"/>
                <w:sz w:val="16"/>
                <w:szCs w:val="16"/>
              </w:rPr>
            </w:pPr>
            <w:r w:rsidRPr="003E76E7">
              <w:rPr>
                <w:b w:val="0"/>
                <w:sz w:val="16"/>
                <w:szCs w:val="16"/>
              </w:rPr>
              <w:t>Early 2027</w:t>
            </w:r>
          </w:p>
        </w:tc>
      </w:tr>
    </w:tbl>
    <w:p w14:paraId="432B9C27" w14:textId="77777777" w:rsidR="0074283D" w:rsidRPr="003E76E7" w:rsidRDefault="0074283D" w:rsidP="00C4292D">
      <w:pPr>
        <w:pStyle w:val="NotesHeading"/>
        <w:spacing w:before="0" w:after="0"/>
        <w:ind w:left="227" w:hanging="227"/>
        <w:jc w:val="both"/>
      </w:pPr>
    </w:p>
    <w:p w14:paraId="7B1253E3" w14:textId="77777777" w:rsidR="0074283D" w:rsidRPr="003E76E7" w:rsidRDefault="0074283D" w:rsidP="00C4292D">
      <w:pPr>
        <w:pStyle w:val="NotesHeading"/>
        <w:spacing w:before="0" w:after="0"/>
        <w:ind w:left="227" w:hanging="227"/>
        <w:jc w:val="both"/>
        <w:rPr>
          <w:sz w:val="14"/>
          <w:szCs w:val="14"/>
        </w:rPr>
      </w:pPr>
      <w:r w:rsidRPr="003E76E7">
        <w:rPr>
          <w:sz w:val="14"/>
          <w:szCs w:val="14"/>
        </w:rPr>
        <w:t>Notes</w:t>
      </w:r>
    </w:p>
    <w:p w14:paraId="092935DC" w14:textId="77777777" w:rsidR="0074283D" w:rsidRPr="003E76E7" w:rsidRDefault="0074283D" w:rsidP="00C4292D">
      <w:pPr>
        <w:pStyle w:val="ListParagraph"/>
        <w:widowControl w:val="0"/>
        <w:numPr>
          <w:ilvl w:val="2"/>
          <w:numId w:val="26"/>
        </w:numPr>
        <w:tabs>
          <w:tab w:val="left" w:pos="284"/>
        </w:tabs>
        <w:kinsoku w:val="0"/>
        <w:overflowPunct w:val="0"/>
        <w:autoSpaceDE w:val="0"/>
        <w:autoSpaceDN w:val="0"/>
        <w:adjustRightInd w:val="0"/>
        <w:spacing w:before="0" w:after="0"/>
        <w:ind w:left="284" w:hanging="284"/>
        <w:contextualSpacing w:val="0"/>
        <w:rPr>
          <w:rFonts w:ascii="Arial" w:hAnsi="Arial"/>
          <w:sz w:val="14"/>
          <w:szCs w:val="14"/>
        </w:rPr>
      </w:pPr>
      <w:r w:rsidRPr="003E76E7">
        <w:rPr>
          <w:rFonts w:ascii="Arial" w:hAnsi="Arial"/>
          <w:w w:val="105"/>
          <w:sz w:val="14"/>
          <w:szCs w:val="14"/>
        </w:rPr>
        <w:t>Actual dates are shown in full. Forecast dates are shown as “Early”, “Mid”, “Late”.</w:t>
      </w:r>
    </w:p>
    <w:p w14:paraId="0D03FF48" w14:textId="77777777" w:rsidR="0074283D" w:rsidRPr="003E76E7" w:rsidRDefault="0074283D" w:rsidP="00C4292D">
      <w:pPr>
        <w:widowControl w:val="0"/>
        <w:numPr>
          <w:ilvl w:val="2"/>
          <w:numId w:val="26"/>
        </w:numPr>
        <w:tabs>
          <w:tab w:val="left" w:pos="284"/>
        </w:tabs>
        <w:kinsoku w:val="0"/>
        <w:overflowPunct w:val="0"/>
        <w:autoSpaceDE w:val="0"/>
        <w:autoSpaceDN w:val="0"/>
        <w:adjustRightInd w:val="0"/>
        <w:spacing w:before="0" w:after="0"/>
        <w:ind w:left="284" w:hanging="284"/>
        <w:rPr>
          <w:rFonts w:ascii="Arial" w:hAnsi="Arial"/>
          <w:sz w:val="14"/>
          <w:szCs w:val="14"/>
        </w:rPr>
      </w:pPr>
      <w:r w:rsidRPr="003E76E7">
        <w:rPr>
          <w:rFonts w:ascii="Arial" w:hAnsi="Arial"/>
          <w:w w:val="105"/>
          <w:sz w:val="14"/>
          <w:szCs w:val="14"/>
        </w:rPr>
        <w:t>Hearing</w:t>
      </w:r>
      <w:r w:rsidRPr="003E76E7">
        <w:rPr>
          <w:rFonts w:ascii="Arial" w:hAnsi="Arial"/>
          <w:spacing w:val="-11"/>
          <w:w w:val="105"/>
          <w:sz w:val="14"/>
          <w:szCs w:val="14"/>
        </w:rPr>
        <w:t xml:space="preserve"> </w:t>
      </w:r>
      <w:r w:rsidRPr="003E76E7">
        <w:rPr>
          <w:rFonts w:ascii="Arial" w:hAnsi="Arial"/>
          <w:w w:val="105"/>
          <w:sz w:val="14"/>
          <w:szCs w:val="14"/>
        </w:rPr>
        <w:t>dates are</w:t>
      </w:r>
      <w:r w:rsidRPr="003E76E7">
        <w:rPr>
          <w:rFonts w:ascii="Arial" w:hAnsi="Arial"/>
          <w:spacing w:val="-17"/>
          <w:w w:val="105"/>
          <w:sz w:val="14"/>
          <w:szCs w:val="14"/>
        </w:rPr>
        <w:t xml:space="preserve"> </w:t>
      </w:r>
      <w:r w:rsidRPr="003E76E7">
        <w:rPr>
          <w:rFonts w:ascii="Arial" w:hAnsi="Arial"/>
          <w:spacing w:val="-6"/>
          <w:w w:val="105"/>
          <w:sz w:val="14"/>
          <w:szCs w:val="14"/>
        </w:rPr>
        <w:t xml:space="preserve">subject </w:t>
      </w:r>
      <w:r w:rsidRPr="003E76E7">
        <w:rPr>
          <w:rFonts w:ascii="Arial" w:hAnsi="Arial"/>
          <w:w w:val="105"/>
          <w:sz w:val="14"/>
          <w:szCs w:val="14"/>
        </w:rPr>
        <w:t>to</w:t>
      </w:r>
      <w:r w:rsidRPr="003E76E7">
        <w:rPr>
          <w:rFonts w:ascii="Arial" w:hAnsi="Arial"/>
          <w:spacing w:val="-12"/>
          <w:w w:val="105"/>
          <w:sz w:val="14"/>
          <w:szCs w:val="14"/>
        </w:rPr>
        <w:t xml:space="preserve"> </w:t>
      </w:r>
      <w:r w:rsidRPr="003E76E7">
        <w:rPr>
          <w:rFonts w:ascii="Arial" w:hAnsi="Arial"/>
          <w:w w:val="105"/>
          <w:sz w:val="14"/>
          <w:szCs w:val="14"/>
        </w:rPr>
        <w:t>the</w:t>
      </w:r>
      <w:r w:rsidRPr="003E76E7">
        <w:rPr>
          <w:rFonts w:ascii="Arial" w:hAnsi="Arial"/>
          <w:spacing w:val="-8"/>
          <w:w w:val="105"/>
          <w:sz w:val="14"/>
          <w:szCs w:val="14"/>
        </w:rPr>
        <w:t xml:space="preserve"> PWC’</w:t>
      </w:r>
      <w:r w:rsidRPr="003E76E7">
        <w:rPr>
          <w:rFonts w:ascii="Arial" w:hAnsi="Arial"/>
          <w:spacing w:val="-7"/>
          <w:w w:val="105"/>
          <w:sz w:val="14"/>
          <w:szCs w:val="14"/>
        </w:rPr>
        <w:t>s</w:t>
      </w:r>
      <w:r w:rsidRPr="003E76E7">
        <w:rPr>
          <w:rFonts w:ascii="Arial" w:hAnsi="Arial"/>
          <w:spacing w:val="-5"/>
          <w:w w:val="105"/>
          <w:sz w:val="14"/>
          <w:szCs w:val="14"/>
        </w:rPr>
        <w:t xml:space="preserve"> </w:t>
      </w:r>
      <w:r w:rsidRPr="003E76E7">
        <w:rPr>
          <w:rFonts w:ascii="Arial" w:hAnsi="Arial"/>
          <w:spacing w:val="-3"/>
          <w:w w:val="105"/>
          <w:sz w:val="14"/>
          <w:szCs w:val="14"/>
        </w:rPr>
        <w:t>consideration and</w:t>
      </w:r>
      <w:r w:rsidRPr="003E76E7">
        <w:rPr>
          <w:rFonts w:ascii="Arial" w:hAnsi="Arial"/>
          <w:spacing w:val="-20"/>
          <w:w w:val="105"/>
          <w:sz w:val="14"/>
          <w:szCs w:val="14"/>
        </w:rPr>
        <w:t xml:space="preserve"> </w:t>
      </w:r>
      <w:r w:rsidRPr="003E76E7">
        <w:rPr>
          <w:rFonts w:ascii="Arial" w:hAnsi="Arial"/>
          <w:w w:val="105"/>
          <w:sz w:val="14"/>
          <w:szCs w:val="14"/>
        </w:rPr>
        <w:t>agreement.</w:t>
      </w:r>
    </w:p>
    <w:p w14:paraId="6D653622" w14:textId="77777777" w:rsidR="0074283D" w:rsidRPr="003E76E7" w:rsidRDefault="0074283D" w:rsidP="00C4292D">
      <w:pPr>
        <w:widowControl w:val="0"/>
        <w:tabs>
          <w:tab w:val="left" w:pos="567"/>
        </w:tabs>
        <w:kinsoku w:val="0"/>
        <w:overflowPunct w:val="0"/>
        <w:autoSpaceDE w:val="0"/>
        <w:autoSpaceDN w:val="0"/>
        <w:adjustRightInd w:val="0"/>
        <w:spacing w:before="0" w:after="0"/>
        <w:ind w:left="567" w:hanging="567"/>
        <w:rPr>
          <w:rFonts w:ascii="Arial" w:hAnsi="Arial"/>
          <w:w w:val="105"/>
          <w:sz w:val="16"/>
          <w:szCs w:val="16"/>
        </w:rPr>
      </w:pPr>
    </w:p>
    <w:p w14:paraId="5EDAB368" w14:textId="77777777" w:rsidR="0074283D" w:rsidRPr="003E76E7" w:rsidRDefault="0074283D" w:rsidP="00C4292D">
      <w:pPr>
        <w:pStyle w:val="TableHeading"/>
        <w:numPr>
          <w:ilvl w:val="0"/>
          <w:numId w:val="61"/>
        </w:numPr>
        <w:spacing w:before="100"/>
        <w:ind w:left="0" w:firstLine="0"/>
        <w:outlineLvl w:val="4"/>
      </w:pPr>
      <w:r w:rsidRPr="003E76E7">
        <w:t xml:space="preserve">Medium Capital Facilities Projects Foreshadowed for PWC Notification in </w:t>
      </w:r>
      <w:r w:rsidRPr="003E76E7">
        <w:br/>
        <w:t>2026-27</w:t>
      </w:r>
    </w:p>
    <w:tbl>
      <w:tblPr>
        <w:tblW w:w="8563" w:type="dxa"/>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682"/>
        <w:gridCol w:w="1627"/>
        <w:gridCol w:w="1627"/>
        <w:gridCol w:w="1627"/>
      </w:tblGrid>
      <w:tr w:rsidR="0074283D" w:rsidRPr="003E76E7" w14:paraId="4FB95A70" w14:textId="77777777" w:rsidTr="000E1A17">
        <w:trPr>
          <w:trHeight w:val="538"/>
        </w:trPr>
        <w:tc>
          <w:tcPr>
            <w:tcW w:w="3682" w:type="dxa"/>
            <w:shd w:val="solid" w:color="FFFFFF" w:fill="666699"/>
            <w:vAlign w:val="bottom"/>
          </w:tcPr>
          <w:p w14:paraId="07217CC5" w14:textId="77777777" w:rsidR="0074283D" w:rsidRPr="003E76E7" w:rsidRDefault="0074283D" w:rsidP="00C4292D">
            <w:pPr>
              <w:pStyle w:val="TableTextHeadingRight"/>
              <w:ind w:left="-249" w:firstLine="249"/>
              <w:jc w:val="center"/>
              <w:rPr>
                <w:sz w:val="16"/>
                <w:szCs w:val="16"/>
              </w:rPr>
            </w:pPr>
            <w:r w:rsidRPr="003E76E7">
              <w:rPr>
                <w:sz w:val="16"/>
                <w:szCs w:val="16"/>
              </w:rPr>
              <w:t>Project Description</w:t>
            </w:r>
          </w:p>
        </w:tc>
        <w:tc>
          <w:tcPr>
            <w:tcW w:w="1627" w:type="dxa"/>
            <w:shd w:val="solid" w:color="FFFFFF" w:fill="666699"/>
            <w:vAlign w:val="bottom"/>
          </w:tcPr>
          <w:p w14:paraId="2ABC38D5" w14:textId="77777777" w:rsidR="0074283D" w:rsidRPr="003E76E7" w:rsidRDefault="0074283D" w:rsidP="00C4292D">
            <w:pPr>
              <w:pStyle w:val="TableTextHeadingRight"/>
              <w:ind w:left="-249" w:firstLine="249"/>
              <w:jc w:val="center"/>
              <w:rPr>
                <w:sz w:val="16"/>
                <w:szCs w:val="16"/>
              </w:rPr>
            </w:pPr>
            <w:r w:rsidRPr="003E76E7">
              <w:rPr>
                <w:sz w:val="16"/>
                <w:szCs w:val="16"/>
              </w:rPr>
              <w:t>State/Electorate</w:t>
            </w:r>
          </w:p>
        </w:tc>
        <w:tc>
          <w:tcPr>
            <w:tcW w:w="1627" w:type="dxa"/>
            <w:shd w:val="solid" w:color="FFFFFF" w:fill="666699"/>
            <w:vAlign w:val="center"/>
          </w:tcPr>
          <w:p w14:paraId="11DCFDC0" w14:textId="77777777" w:rsidR="0074283D" w:rsidRPr="003E76E7" w:rsidRDefault="0074283D" w:rsidP="00C4292D">
            <w:pPr>
              <w:pStyle w:val="TableTextHeadingRight"/>
              <w:spacing w:after="0"/>
              <w:jc w:val="center"/>
              <w:rPr>
                <w:sz w:val="16"/>
                <w:szCs w:val="16"/>
              </w:rPr>
            </w:pPr>
            <w:r w:rsidRPr="003E76E7">
              <w:rPr>
                <w:sz w:val="16"/>
                <w:szCs w:val="16"/>
              </w:rPr>
              <w:t>Actual/Indicative</w:t>
            </w:r>
          </w:p>
          <w:p w14:paraId="65FF7555" w14:textId="77777777" w:rsidR="0074283D" w:rsidRPr="003E76E7" w:rsidRDefault="0074283D" w:rsidP="00C4292D">
            <w:pPr>
              <w:pStyle w:val="TableTextHeadingRight"/>
              <w:spacing w:before="0" w:after="0"/>
              <w:jc w:val="center"/>
              <w:rPr>
                <w:sz w:val="16"/>
                <w:szCs w:val="16"/>
              </w:rPr>
            </w:pPr>
            <w:r w:rsidRPr="003E76E7">
              <w:rPr>
                <w:sz w:val="16"/>
                <w:szCs w:val="16"/>
              </w:rPr>
              <w:t>PWC Notification</w:t>
            </w:r>
          </w:p>
          <w:p w14:paraId="14451BC4" w14:textId="77777777" w:rsidR="0074283D" w:rsidRPr="003E76E7" w:rsidRDefault="0074283D" w:rsidP="00C4292D">
            <w:pPr>
              <w:pStyle w:val="TableTextHeadingRight"/>
              <w:spacing w:before="0"/>
              <w:ind w:left="-249" w:firstLine="249"/>
              <w:jc w:val="center"/>
              <w:rPr>
                <w:sz w:val="16"/>
                <w:szCs w:val="16"/>
              </w:rPr>
            </w:pPr>
            <w:r w:rsidRPr="003E76E7">
              <w:rPr>
                <w:sz w:val="16"/>
                <w:szCs w:val="16"/>
              </w:rPr>
              <w:t>Date</w:t>
            </w:r>
            <w:r w:rsidRPr="003E76E7">
              <w:rPr>
                <w:rFonts w:ascii="Arial Bold" w:hAnsi="Arial Bold"/>
                <w:sz w:val="16"/>
                <w:szCs w:val="16"/>
                <w:vertAlign w:val="superscript"/>
              </w:rPr>
              <w:t xml:space="preserve"> [a]</w:t>
            </w:r>
          </w:p>
        </w:tc>
        <w:tc>
          <w:tcPr>
            <w:tcW w:w="1627" w:type="dxa"/>
            <w:shd w:val="solid" w:color="FFFFFF" w:fill="666699"/>
            <w:vAlign w:val="center"/>
          </w:tcPr>
          <w:p w14:paraId="3A46F888" w14:textId="77777777" w:rsidR="0074283D" w:rsidRPr="003E76E7" w:rsidRDefault="0074283D" w:rsidP="00C4292D">
            <w:pPr>
              <w:pStyle w:val="TableTextHeadingRight"/>
              <w:spacing w:after="0"/>
              <w:jc w:val="center"/>
              <w:rPr>
                <w:sz w:val="16"/>
                <w:szCs w:val="16"/>
              </w:rPr>
            </w:pPr>
            <w:r w:rsidRPr="003E76E7">
              <w:rPr>
                <w:bCs/>
                <w:sz w:val="16"/>
                <w:szCs w:val="16"/>
              </w:rPr>
              <w:t xml:space="preserve">Indicative PWC Approval </w:t>
            </w:r>
            <w:r w:rsidRPr="003E76E7">
              <w:rPr>
                <w:sz w:val="16"/>
                <w:szCs w:val="16"/>
              </w:rPr>
              <w:t>Date</w:t>
            </w:r>
          </w:p>
        </w:tc>
      </w:tr>
      <w:tr w:rsidR="0074283D" w:rsidRPr="003E76E7" w14:paraId="7F3B616B" w14:textId="77777777" w:rsidTr="000E1A17">
        <w:trPr>
          <w:trHeight w:val="538"/>
        </w:trPr>
        <w:tc>
          <w:tcPr>
            <w:tcW w:w="3682" w:type="dxa"/>
            <w:tcBorders>
              <w:top w:val="single" w:sz="6" w:space="0" w:color="000000"/>
              <w:left w:val="single" w:sz="6" w:space="0" w:color="000000"/>
              <w:bottom w:val="single" w:sz="6" w:space="0" w:color="000000"/>
              <w:right w:val="single" w:sz="6" w:space="0" w:color="000000"/>
            </w:tcBorders>
            <w:shd w:val="solid" w:color="FFFFFF" w:fill="666699"/>
            <w:vAlign w:val="center"/>
          </w:tcPr>
          <w:p w14:paraId="14CF5D25" w14:textId="77777777" w:rsidR="0074283D" w:rsidRPr="003E76E7" w:rsidRDefault="0074283D" w:rsidP="00C4292D">
            <w:pPr>
              <w:pStyle w:val="TableTextHeadingRight"/>
              <w:jc w:val="left"/>
              <w:rPr>
                <w:b w:val="0"/>
                <w:sz w:val="16"/>
                <w:szCs w:val="16"/>
              </w:rPr>
            </w:pPr>
            <w:r w:rsidRPr="003E76E7">
              <w:rPr>
                <w:b w:val="0"/>
                <w:sz w:val="16"/>
                <w:szCs w:val="16"/>
              </w:rPr>
              <w:t>Facilities to Support Joint Counter Improvised Explosive Device (Tranche 2)</w:t>
            </w:r>
          </w:p>
        </w:tc>
        <w:tc>
          <w:tcPr>
            <w:tcW w:w="1627" w:type="dxa"/>
            <w:tcBorders>
              <w:top w:val="single" w:sz="6" w:space="0" w:color="000000"/>
              <w:left w:val="single" w:sz="6" w:space="0" w:color="000000"/>
              <w:bottom w:val="single" w:sz="6" w:space="0" w:color="000000"/>
              <w:right w:val="single" w:sz="6" w:space="0" w:color="000000"/>
            </w:tcBorders>
            <w:shd w:val="solid" w:color="FFFFFF" w:fill="666699"/>
            <w:vAlign w:val="center"/>
          </w:tcPr>
          <w:p w14:paraId="723521D7" w14:textId="77777777" w:rsidR="0074283D" w:rsidRPr="003E76E7" w:rsidRDefault="0074283D" w:rsidP="00C4292D">
            <w:pPr>
              <w:pStyle w:val="TableTextHeadingRight"/>
              <w:jc w:val="center"/>
              <w:rPr>
                <w:b w:val="0"/>
                <w:sz w:val="16"/>
                <w:szCs w:val="16"/>
              </w:rPr>
            </w:pPr>
            <w:r w:rsidRPr="003E76E7">
              <w:rPr>
                <w:b w:val="0"/>
                <w:sz w:val="16"/>
                <w:szCs w:val="16"/>
              </w:rPr>
              <w:t>Various</w:t>
            </w:r>
          </w:p>
        </w:tc>
        <w:tc>
          <w:tcPr>
            <w:tcW w:w="1627" w:type="dxa"/>
            <w:tcBorders>
              <w:top w:val="single" w:sz="6" w:space="0" w:color="000000"/>
              <w:left w:val="single" w:sz="6" w:space="0" w:color="000000"/>
              <w:bottom w:val="single" w:sz="6" w:space="0" w:color="000000"/>
              <w:right w:val="single" w:sz="6" w:space="0" w:color="000000"/>
            </w:tcBorders>
            <w:shd w:val="solid" w:color="FFFFFF" w:fill="666699"/>
            <w:vAlign w:val="center"/>
          </w:tcPr>
          <w:p w14:paraId="7B60274B" w14:textId="77777777" w:rsidR="0074283D" w:rsidRPr="003E76E7" w:rsidRDefault="0074283D" w:rsidP="00C4292D">
            <w:pPr>
              <w:pStyle w:val="TableTextHeadingRight"/>
              <w:spacing w:after="0"/>
              <w:ind w:left="-57" w:right="-57"/>
              <w:jc w:val="center"/>
              <w:rPr>
                <w:b w:val="0"/>
                <w:sz w:val="16"/>
                <w:szCs w:val="16"/>
              </w:rPr>
            </w:pPr>
            <w:r w:rsidRPr="003E76E7">
              <w:rPr>
                <w:b w:val="0"/>
                <w:sz w:val="16"/>
                <w:szCs w:val="16"/>
              </w:rPr>
              <w:t>Mid-2026</w:t>
            </w:r>
          </w:p>
        </w:tc>
        <w:tc>
          <w:tcPr>
            <w:tcW w:w="1627" w:type="dxa"/>
            <w:tcBorders>
              <w:top w:val="single" w:sz="6" w:space="0" w:color="000000"/>
              <w:left w:val="single" w:sz="6" w:space="0" w:color="000000"/>
              <w:bottom w:val="single" w:sz="6" w:space="0" w:color="000000"/>
              <w:right w:val="single" w:sz="6" w:space="0" w:color="000000"/>
            </w:tcBorders>
            <w:shd w:val="solid" w:color="FFFFFF" w:fill="666699"/>
            <w:vAlign w:val="center"/>
          </w:tcPr>
          <w:p w14:paraId="32D0618E" w14:textId="77777777" w:rsidR="0074283D" w:rsidRPr="003E76E7" w:rsidRDefault="0074283D" w:rsidP="00C4292D">
            <w:pPr>
              <w:pStyle w:val="TableTextHeadingRight"/>
              <w:spacing w:after="0"/>
              <w:ind w:left="-57" w:right="-57"/>
              <w:jc w:val="center"/>
              <w:rPr>
                <w:b w:val="0"/>
                <w:sz w:val="16"/>
                <w:szCs w:val="16"/>
              </w:rPr>
            </w:pPr>
            <w:r w:rsidRPr="003E76E7">
              <w:rPr>
                <w:b w:val="0"/>
                <w:sz w:val="16"/>
                <w:szCs w:val="16"/>
              </w:rPr>
              <w:t>Mid-2026</w:t>
            </w:r>
          </w:p>
        </w:tc>
      </w:tr>
    </w:tbl>
    <w:p w14:paraId="24154819" w14:textId="77777777" w:rsidR="0074283D" w:rsidRPr="003E76E7" w:rsidRDefault="0074283D" w:rsidP="00C4292D">
      <w:pPr>
        <w:pStyle w:val="NotesHeading"/>
        <w:spacing w:before="0" w:after="0"/>
        <w:ind w:left="227" w:hanging="227"/>
        <w:jc w:val="both"/>
        <w:rPr>
          <w:szCs w:val="16"/>
        </w:rPr>
      </w:pPr>
    </w:p>
    <w:p w14:paraId="5F7BB53B" w14:textId="77777777" w:rsidR="0074283D" w:rsidRPr="003E76E7" w:rsidRDefault="0074283D" w:rsidP="00C4292D">
      <w:pPr>
        <w:pStyle w:val="NotesHeading"/>
        <w:spacing w:before="0" w:after="0"/>
        <w:ind w:left="227" w:hanging="227"/>
        <w:jc w:val="both"/>
        <w:rPr>
          <w:sz w:val="14"/>
          <w:szCs w:val="16"/>
        </w:rPr>
      </w:pPr>
      <w:r w:rsidRPr="003E76E7">
        <w:rPr>
          <w:sz w:val="14"/>
          <w:szCs w:val="16"/>
        </w:rPr>
        <w:t>Note</w:t>
      </w:r>
    </w:p>
    <w:p w14:paraId="27E48395" w14:textId="77777777" w:rsidR="0074283D" w:rsidRPr="003E76E7" w:rsidRDefault="0074283D" w:rsidP="00C4292D">
      <w:pPr>
        <w:widowControl w:val="0"/>
        <w:numPr>
          <w:ilvl w:val="2"/>
          <w:numId w:val="74"/>
        </w:numPr>
        <w:tabs>
          <w:tab w:val="left" w:pos="567"/>
        </w:tabs>
        <w:kinsoku w:val="0"/>
        <w:overflowPunct w:val="0"/>
        <w:autoSpaceDE w:val="0"/>
        <w:autoSpaceDN w:val="0"/>
        <w:adjustRightInd w:val="0"/>
        <w:spacing w:before="0" w:after="0"/>
        <w:ind w:left="284" w:hanging="284"/>
        <w:rPr>
          <w:rFonts w:ascii="Arial" w:hAnsi="Arial"/>
          <w:sz w:val="14"/>
          <w:szCs w:val="16"/>
        </w:rPr>
      </w:pPr>
      <w:r w:rsidRPr="003E76E7">
        <w:rPr>
          <w:rFonts w:ascii="Arial" w:hAnsi="Arial"/>
          <w:w w:val="105"/>
          <w:sz w:val="14"/>
          <w:szCs w:val="14"/>
        </w:rPr>
        <w:t>Actual dates are shown in full. Forecast dates are shown as “Early”, “Mid”, “Late”.</w:t>
      </w:r>
    </w:p>
    <w:p w14:paraId="0498BB3B" w14:textId="77777777" w:rsidR="0074283D" w:rsidRPr="003E76E7" w:rsidRDefault="0074283D" w:rsidP="00C4292D">
      <w:pPr>
        <w:spacing w:before="0" w:after="240"/>
        <w:rPr>
          <w:rFonts w:ascii="Arial" w:hAnsi="Arial"/>
          <w:b/>
          <w:sz w:val="22"/>
          <w:szCs w:val="22"/>
        </w:rPr>
      </w:pPr>
      <w:r w:rsidRPr="003E76E7">
        <w:rPr>
          <w:sz w:val="14"/>
          <w:szCs w:val="14"/>
        </w:rPr>
        <w:br w:type="page"/>
      </w:r>
      <w:r w:rsidRPr="003E76E7">
        <w:rPr>
          <w:rFonts w:ascii="Arial" w:hAnsi="Arial"/>
          <w:b/>
          <w:sz w:val="22"/>
          <w:szCs w:val="22"/>
        </w:rPr>
        <w:lastRenderedPageBreak/>
        <w:t>Explanation of Projects</w:t>
      </w:r>
    </w:p>
    <w:p w14:paraId="72538093" w14:textId="77777777" w:rsidR="0074283D" w:rsidRPr="003E76E7" w:rsidRDefault="0074283D" w:rsidP="00C4292D">
      <w:pPr>
        <w:rPr>
          <w:rFonts w:ascii="Arial" w:hAnsi="Arial"/>
          <w:b/>
          <w:sz w:val="22"/>
          <w:szCs w:val="22"/>
        </w:rPr>
      </w:pPr>
      <w:r w:rsidRPr="003E76E7">
        <w:rPr>
          <w:rFonts w:ascii="Arial" w:hAnsi="Arial"/>
          <w:b/>
          <w:sz w:val="22"/>
          <w:szCs w:val="22"/>
        </w:rPr>
        <w:t>Australian Capital Territory</w:t>
      </w:r>
    </w:p>
    <w:p w14:paraId="087885CF" w14:textId="7A6035E5" w:rsidR="0074283D" w:rsidRPr="003E76E7" w:rsidRDefault="0074283D" w:rsidP="00C4292D">
      <w:pPr>
        <w:spacing w:before="0" w:after="0"/>
        <w:rPr>
          <w:szCs w:val="20"/>
        </w:rPr>
      </w:pPr>
      <w:r w:rsidRPr="003E76E7">
        <w:rPr>
          <w:szCs w:val="20"/>
        </w:rPr>
        <w:t>Not applicable.</w:t>
      </w:r>
    </w:p>
    <w:p w14:paraId="58008F3F" w14:textId="77777777" w:rsidR="00A97B2F" w:rsidRPr="003E76E7" w:rsidRDefault="00A97B2F" w:rsidP="00C4292D">
      <w:pPr>
        <w:spacing w:before="0" w:after="0"/>
        <w:rPr>
          <w:lang w:val="en-AU"/>
        </w:rPr>
      </w:pPr>
    </w:p>
    <w:p w14:paraId="12B21A2A" w14:textId="77777777" w:rsidR="0074283D" w:rsidRPr="003E76E7" w:rsidRDefault="0074283D" w:rsidP="00C4292D">
      <w:pPr>
        <w:rPr>
          <w:rFonts w:ascii="Arial" w:hAnsi="Arial"/>
          <w:b/>
          <w:sz w:val="22"/>
          <w:szCs w:val="22"/>
        </w:rPr>
      </w:pPr>
      <w:r w:rsidRPr="003E76E7">
        <w:rPr>
          <w:rFonts w:ascii="Arial" w:hAnsi="Arial"/>
          <w:b/>
          <w:sz w:val="22"/>
          <w:szCs w:val="22"/>
        </w:rPr>
        <w:t>New South Wales</w:t>
      </w:r>
    </w:p>
    <w:p w14:paraId="55A26711" w14:textId="7C1C424D" w:rsidR="0074283D" w:rsidRPr="003E76E7" w:rsidRDefault="0074283D" w:rsidP="00C4292D">
      <w:pPr>
        <w:spacing w:before="0" w:after="0"/>
        <w:rPr>
          <w:szCs w:val="20"/>
        </w:rPr>
      </w:pPr>
      <w:r w:rsidRPr="003E76E7">
        <w:rPr>
          <w:szCs w:val="20"/>
        </w:rPr>
        <w:t>Not applicable.</w:t>
      </w:r>
    </w:p>
    <w:p w14:paraId="63286BF9" w14:textId="77777777" w:rsidR="00A97B2F" w:rsidRPr="003E76E7" w:rsidRDefault="00A97B2F" w:rsidP="00C4292D">
      <w:pPr>
        <w:spacing w:before="0" w:after="0"/>
        <w:rPr>
          <w:lang w:val="en-AU"/>
        </w:rPr>
      </w:pPr>
    </w:p>
    <w:p w14:paraId="5258DEA7" w14:textId="77777777" w:rsidR="0074283D" w:rsidRPr="003E76E7" w:rsidRDefault="0074283D" w:rsidP="00C4292D">
      <w:pPr>
        <w:rPr>
          <w:rFonts w:ascii="Arial" w:hAnsi="Arial"/>
          <w:b/>
          <w:sz w:val="22"/>
          <w:szCs w:val="22"/>
        </w:rPr>
      </w:pPr>
      <w:r w:rsidRPr="003E76E7">
        <w:rPr>
          <w:rFonts w:ascii="Arial" w:hAnsi="Arial"/>
          <w:b/>
          <w:sz w:val="22"/>
          <w:szCs w:val="22"/>
        </w:rPr>
        <w:t>Northern Territory</w:t>
      </w:r>
    </w:p>
    <w:p w14:paraId="36628097" w14:textId="750FB8C7" w:rsidR="0074283D" w:rsidRPr="003E76E7" w:rsidRDefault="0074283D" w:rsidP="00C4292D">
      <w:pPr>
        <w:spacing w:before="0" w:after="0"/>
        <w:rPr>
          <w:szCs w:val="20"/>
        </w:rPr>
      </w:pPr>
      <w:r w:rsidRPr="003E76E7">
        <w:rPr>
          <w:szCs w:val="20"/>
        </w:rPr>
        <w:t>Not applicable.</w:t>
      </w:r>
    </w:p>
    <w:p w14:paraId="773094FD" w14:textId="77777777" w:rsidR="00A97B2F" w:rsidRPr="003E76E7" w:rsidRDefault="00A97B2F" w:rsidP="00C4292D">
      <w:pPr>
        <w:spacing w:before="0" w:after="0"/>
        <w:rPr>
          <w:lang w:val="en-AU"/>
        </w:rPr>
      </w:pPr>
    </w:p>
    <w:p w14:paraId="7BEBE51D" w14:textId="77777777" w:rsidR="0074283D" w:rsidRPr="003E76E7" w:rsidRDefault="0074283D" w:rsidP="00C4292D">
      <w:pPr>
        <w:rPr>
          <w:rFonts w:ascii="Arial" w:hAnsi="Arial"/>
          <w:b/>
          <w:sz w:val="22"/>
          <w:szCs w:val="22"/>
        </w:rPr>
      </w:pPr>
      <w:r w:rsidRPr="003E76E7">
        <w:rPr>
          <w:rFonts w:ascii="Arial" w:hAnsi="Arial"/>
          <w:b/>
          <w:sz w:val="22"/>
          <w:szCs w:val="22"/>
        </w:rPr>
        <w:t>Queensland</w:t>
      </w:r>
    </w:p>
    <w:p w14:paraId="23C17595" w14:textId="77777777" w:rsidR="0074283D" w:rsidRPr="003E76E7" w:rsidRDefault="0074283D" w:rsidP="00C4292D">
      <w:pPr>
        <w:spacing w:before="0"/>
        <w:rPr>
          <w:rFonts w:ascii="Arial" w:hAnsi="Arial"/>
          <w:szCs w:val="20"/>
        </w:rPr>
      </w:pPr>
      <w:r w:rsidRPr="003E76E7">
        <w:rPr>
          <w:rFonts w:ascii="Arial" w:hAnsi="Arial"/>
          <w:szCs w:val="20"/>
        </w:rPr>
        <w:t xml:space="preserve">Armoured Fighting Vehicle </w:t>
      </w:r>
      <w:r w:rsidRPr="003E76E7">
        <w:rPr>
          <w:rFonts w:ascii="Arial" w:hAnsi="Arial"/>
        </w:rPr>
        <w:t>Facilities</w:t>
      </w:r>
      <w:r w:rsidRPr="003E76E7">
        <w:rPr>
          <w:rFonts w:ascii="Arial" w:hAnsi="Arial"/>
          <w:szCs w:val="20"/>
        </w:rPr>
        <w:t xml:space="preserve"> Program Stage 3</w:t>
      </w:r>
    </w:p>
    <w:p w14:paraId="4FC8AC45" w14:textId="5923925A" w:rsidR="0074283D" w:rsidRPr="003E76E7" w:rsidRDefault="0074283D" w:rsidP="00C4292D">
      <w:pPr>
        <w:autoSpaceDE w:val="0"/>
        <w:autoSpaceDN w:val="0"/>
        <w:adjustRightInd w:val="0"/>
        <w:spacing w:before="0" w:after="0"/>
        <w:rPr>
          <w:szCs w:val="20"/>
          <w:lang w:val="en-AU"/>
        </w:rPr>
      </w:pPr>
      <w:r w:rsidRPr="003E76E7">
        <w:rPr>
          <w:szCs w:val="20"/>
          <w:lang w:val="en-AU"/>
        </w:rPr>
        <w:t xml:space="preserve">This project proposes to provide new and upgraded facilities and infrastructure at </w:t>
      </w:r>
      <w:r w:rsidRPr="003E76E7">
        <w:rPr>
          <w:szCs w:val="20"/>
          <w:lang w:val="en-AU"/>
        </w:rPr>
        <w:br/>
        <w:t>Gallipoli Barracks, Lavarack Barracks and Townsville Field Training Area</w:t>
      </w:r>
      <w:r w:rsidR="00B565AE" w:rsidRPr="003E76E7">
        <w:rPr>
          <w:szCs w:val="20"/>
          <w:lang w:val="en-AU"/>
        </w:rPr>
        <w:t>,</w:t>
      </w:r>
      <w:r w:rsidRPr="003E76E7">
        <w:rPr>
          <w:szCs w:val="20"/>
          <w:lang w:val="en-AU"/>
        </w:rPr>
        <w:t xml:space="preserve"> QLD. The proposed scope includes workshop and storage facilities.</w:t>
      </w:r>
    </w:p>
    <w:p w14:paraId="47653603" w14:textId="77777777" w:rsidR="00A97B2F" w:rsidRPr="003E76E7" w:rsidRDefault="00A97B2F" w:rsidP="00C4292D">
      <w:pPr>
        <w:autoSpaceDE w:val="0"/>
        <w:autoSpaceDN w:val="0"/>
        <w:adjustRightInd w:val="0"/>
        <w:spacing w:before="0" w:after="0"/>
        <w:rPr>
          <w:szCs w:val="20"/>
          <w:lang w:val="en-AU"/>
        </w:rPr>
      </w:pPr>
    </w:p>
    <w:p w14:paraId="6085B66B" w14:textId="77777777" w:rsidR="0074283D" w:rsidRPr="003E76E7" w:rsidRDefault="0074283D" w:rsidP="00C4292D">
      <w:pPr>
        <w:rPr>
          <w:rFonts w:ascii="Arial" w:hAnsi="Arial"/>
          <w:b/>
          <w:sz w:val="22"/>
          <w:szCs w:val="22"/>
        </w:rPr>
      </w:pPr>
      <w:r w:rsidRPr="003E76E7">
        <w:rPr>
          <w:rFonts w:ascii="Arial" w:hAnsi="Arial"/>
          <w:b/>
          <w:sz w:val="22"/>
          <w:szCs w:val="22"/>
        </w:rPr>
        <w:t>South Australia</w:t>
      </w:r>
    </w:p>
    <w:p w14:paraId="04B42188" w14:textId="69DFB67D" w:rsidR="0074283D" w:rsidRPr="003E76E7" w:rsidRDefault="0074283D" w:rsidP="00C4292D">
      <w:pPr>
        <w:spacing w:before="0" w:after="0"/>
        <w:rPr>
          <w:szCs w:val="20"/>
        </w:rPr>
      </w:pPr>
      <w:r w:rsidRPr="003E76E7">
        <w:rPr>
          <w:szCs w:val="20"/>
        </w:rPr>
        <w:t>Not applicable.</w:t>
      </w:r>
    </w:p>
    <w:p w14:paraId="4668D80A" w14:textId="77777777" w:rsidR="00A97B2F" w:rsidRPr="003E76E7" w:rsidRDefault="00A97B2F" w:rsidP="00C4292D">
      <w:pPr>
        <w:spacing w:before="0" w:after="0"/>
        <w:rPr>
          <w:lang w:val="en-AU"/>
        </w:rPr>
      </w:pPr>
    </w:p>
    <w:p w14:paraId="0D771F26" w14:textId="77777777" w:rsidR="0074283D" w:rsidRPr="003E76E7" w:rsidRDefault="0074283D" w:rsidP="00C4292D">
      <w:pPr>
        <w:rPr>
          <w:rFonts w:ascii="Arial" w:hAnsi="Arial"/>
          <w:b/>
          <w:sz w:val="22"/>
          <w:szCs w:val="22"/>
        </w:rPr>
      </w:pPr>
      <w:r w:rsidRPr="003E76E7">
        <w:rPr>
          <w:rFonts w:ascii="Arial" w:hAnsi="Arial"/>
          <w:b/>
          <w:sz w:val="22"/>
          <w:szCs w:val="22"/>
        </w:rPr>
        <w:t>Victoria</w:t>
      </w:r>
    </w:p>
    <w:p w14:paraId="2DF2A5E2" w14:textId="77777777" w:rsidR="0074283D" w:rsidRPr="003E76E7" w:rsidRDefault="0074283D" w:rsidP="00C4292D">
      <w:pPr>
        <w:spacing w:before="0"/>
        <w:rPr>
          <w:rFonts w:ascii="Arial" w:hAnsi="Arial"/>
          <w:szCs w:val="20"/>
        </w:rPr>
      </w:pPr>
      <w:r w:rsidRPr="003E76E7">
        <w:rPr>
          <w:rFonts w:ascii="Arial" w:hAnsi="Arial"/>
          <w:szCs w:val="20"/>
        </w:rPr>
        <w:t>Facilities to Support Air Mission Training System</w:t>
      </w:r>
    </w:p>
    <w:p w14:paraId="50D2A7F7" w14:textId="1E07FC8E" w:rsidR="0074283D" w:rsidRPr="003E76E7" w:rsidRDefault="0074283D" w:rsidP="00C4292D">
      <w:pPr>
        <w:autoSpaceDE w:val="0"/>
        <w:autoSpaceDN w:val="0"/>
        <w:adjustRightInd w:val="0"/>
        <w:spacing w:before="0" w:after="0"/>
        <w:rPr>
          <w:szCs w:val="20"/>
          <w:lang w:val="en-AU"/>
        </w:rPr>
      </w:pPr>
      <w:r w:rsidRPr="003E76E7">
        <w:rPr>
          <w:szCs w:val="20"/>
          <w:lang w:val="en-AU"/>
        </w:rPr>
        <w:t>This project proposes to provide facilities and infrastructure at RAAF Base East Sale</w:t>
      </w:r>
      <w:r w:rsidR="00B565AE" w:rsidRPr="003E76E7">
        <w:rPr>
          <w:szCs w:val="20"/>
          <w:lang w:val="en-AU"/>
        </w:rPr>
        <w:t>,</w:t>
      </w:r>
      <w:r w:rsidRPr="003E76E7">
        <w:rPr>
          <w:szCs w:val="20"/>
          <w:lang w:val="en-AU"/>
        </w:rPr>
        <w:t xml:space="preserve"> VIC to support the replacement of the Air Mission Training System. The proposed scope includes</w:t>
      </w:r>
      <w:r w:rsidRPr="003E76E7">
        <w:rPr>
          <w:szCs w:val="20"/>
          <w:lang w:val="en-AU"/>
        </w:rPr>
        <w:br/>
        <w:t>living-in accommodation and training facilities.</w:t>
      </w:r>
    </w:p>
    <w:p w14:paraId="52F3AF86" w14:textId="77777777" w:rsidR="00A97B2F" w:rsidRPr="003E76E7" w:rsidRDefault="00A97B2F" w:rsidP="00C4292D">
      <w:pPr>
        <w:autoSpaceDE w:val="0"/>
        <w:autoSpaceDN w:val="0"/>
        <w:adjustRightInd w:val="0"/>
        <w:spacing w:before="0" w:after="0"/>
        <w:rPr>
          <w:szCs w:val="20"/>
          <w:lang w:val="en-AU"/>
        </w:rPr>
      </w:pPr>
    </w:p>
    <w:p w14:paraId="3C8298E8" w14:textId="77777777" w:rsidR="0074283D" w:rsidRPr="003E76E7" w:rsidRDefault="0074283D" w:rsidP="00C4292D">
      <w:pPr>
        <w:rPr>
          <w:rFonts w:ascii="Arial" w:hAnsi="Arial"/>
          <w:b/>
          <w:sz w:val="22"/>
          <w:szCs w:val="22"/>
        </w:rPr>
      </w:pPr>
      <w:r w:rsidRPr="003E76E7">
        <w:rPr>
          <w:rFonts w:ascii="Arial" w:hAnsi="Arial"/>
          <w:b/>
          <w:sz w:val="22"/>
          <w:szCs w:val="22"/>
        </w:rPr>
        <w:t>Western Australia</w:t>
      </w:r>
    </w:p>
    <w:p w14:paraId="7930BE84" w14:textId="77777777" w:rsidR="0074283D" w:rsidRPr="003E76E7" w:rsidRDefault="0074283D" w:rsidP="00C4292D">
      <w:pPr>
        <w:spacing w:before="0"/>
        <w:rPr>
          <w:szCs w:val="20"/>
        </w:rPr>
      </w:pPr>
      <w:r w:rsidRPr="003E76E7">
        <w:rPr>
          <w:rFonts w:ascii="Arial" w:hAnsi="Arial"/>
          <w:szCs w:val="20"/>
        </w:rPr>
        <w:t xml:space="preserve">Facilities to Support Theatre Logistics (Work </w:t>
      </w:r>
      <w:r w:rsidRPr="003E76E7">
        <w:rPr>
          <w:rFonts w:ascii="Arial" w:hAnsi="Arial"/>
        </w:rPr>
        <w:t>Package</w:t>
      </w:r>
      <w:r w:rsidRPr="003E76E7">
        <w:rPr>
          <w:rFonts w:ascii="Arial" w:hAnsi="Arial"/>
          <w:szCs w:val="20"/>
        </w:rPr>
        <w:t xml:space="preserve"> 2.4)</w:t>
      </w:r>
    </w:p>
    <w:p w14:paraId="5E09BDAB" w14:textId="26AFEA43" w:rsidR="0074283D" w:rsidRPr="003E76E7" w:rsidRDefault="0074283D" w:rsidP="00C4292D">
      <w:pPr>
        <w:autoSpaceDE w:val="0"/>
        <w:autoSpaceDN w:val="0"/>
        <w:adjustRightInd w:val="0"/>
        <w:spacing w:before="0" w:after="0"/>
        <w:rPr>
          <w:szCs w:val="20"/>
          <w:lang w:val="en-AU"/>
        </w:rPr>
      </w:pPr>
      <w:r w:rsidRPr="003E76E7">
        <w:rPr>
          <w:szCs w:val="20"/>
          <w:lang w:val="en-AU"/>
        </w:rPr>
        <w:t>This project proposes to provide logistics enabling facilities and infrastructure in Perth</w:t>
      </w:r>
      <w:r w:rsidR="00B565AE" w:rsidRPr="003E76E7">
        <w:rPr>
          <w:szCs w:val="20"/>
          <w:lang w:val="en-AU"/>
        </w:rPr>
        <w:t>,</w:t>
      </w:r>
      <w:r w:rsidRPr="003E76E7">
        <w:rPr>
          <w:szCs w:val="20"/>
          <w:lang w:val="en-AU"/>
        </w:rPr>
        <w:t xml:space="preserve"> WA. The proposed scope includes storage, warehousing, distribution, maintenance and support facilities.</w:t>
      </w:r>
    </w:p>
    <w:p w14:paraId="05EF790B" w14:textId="77777777" w:rsidR="00A97B2F" w:rsidRPr="003E76E7" w:rsidRDefault="00A97B2F" w:rsidP="00C4292D">
      <w:pPr>
        <w:autoSpaceDE w:val="0"/>
        <w:autoSpaceDN w:val="0"/>
        <w:adjustRightInd w:val="0"/>
        <w:spacing w:before="0" w:after="0"/>
        <w:rPr>
          <w:szCs w:val="20"/>
          <w:lang w:val="en-AU"/>
        </w:rPr>
      </w:pPr>
    </w:p>
    <w:p w14:paraId="36BE42BB" w14:textId="77777777" w:rsidR="0074283D" w:rsidRPr="003E76E7" w:rsidRDefault="0074283D" w:rsidP="00C4292D">
      <w:pPr>
        <w:rPr>
          <w:rFonts w:ascii="Arial" w:hAnsi="Arial"/>
          <w:b/>
          <w:sz w:val="22"/>
          <w:szCs w:val="22"/>
        </w:rPr>
      </w:pPr>
      <w:r w:rsidRPr="003E76E7">
        <w:rPr>
          <w:rFonts w:ascii="Arial" w:hAnsi="Arial"/>
          <w:b/>
          <w:sz w:val="22"/>
          <w:szCs w:val="22"/>
        </w:rPr>
        <w:t>Various Locations</w:t>
      </w:r>
    </w:p>
    <w:p w14:paraId="3C12D235" w14:textId="77777777" w:rsidR="0074283D" w:rsidRPr="003E76E7" w:rsidRDefault="0074283D" w:rsidP="00C4292D">
      <w:pPr>
        <w:spacing w:before="0"/>
        <w:rPr>
          <w:rFonts w:ascii="Arial" w:hAnsi="Arial"/>
          <w:szCs w:val="20"/>
        </w:rPr>
      </w:pPr>
      <w:r w:rsidRPr="003E76E7">
        <w:rPr>
          <w:rFonts w:ascii="Arial" w:hAnsi="Arial"/>
          <w:szCs w:val="20"/>
        </w:rPr>
        <w:t xml:space="preserve">Facilities to Support Hobart Class Destroyer </w:t>
      </w:r>
      <w:r w:rsidRPr="003E76E7">
        <w:rPr>
          <w:rFonts w:ascii="Arial" w:hAnsi="Arial"/>
        </w:rPr>
        <w:t>Aegis</w:t>
      </w:r>
      <w:r w:rsidRPr="003E76E7">
        <w:rPr>
          <w:rFonts w:ascii="Arial" w:hAnsi="Arial"/>
          <w:szCs w:val="20"/>
        </w:rPr>
        <w:t xml:space="preserve"> System Upgrade</w:t>
      </w:r>
    </w:p>
    <w:p w14:paraId="3916FFAA" w14:textId="7C5B153C" w:rsidR="0074283D" w:rsidRPr="003E76E7" w:rsidRDefault="0074283D" w:rsidP="00C4292D">
      <w:pPr>
        <w:autoSpaceDE w:val="0"/>
        <w:autoSpaceDN w:val="0"/>
        <w:adjustRightInd w:val="0"/>
        <w:spacing w:before="0" w:after="0"/>
        <w:rPr>
          <w:szCs w:val="20"/>
          <w:lang w:val="en-AU"/>
        </w:rPr>
      </w:pPr>
      <w:r w:rsidRPr="003E76E7">
        <w:rPr>
          <w:szCs w:val="20"/>
          <w:lang w:val="en-AU"/>
        </w:rPr>
        <w:t>This project proposes to provide facilities and infrastructure at multiples sites across NSW and SA. The proposed scope includes logistics, test, support and training facilities.</w:t>
      </w:r>
    </w:p>
    <w:p w14:paraId="4D4AAC90" w14:textId="77777777" w:rsidR="00A97B2F" w:rsidRPr="003E76E7" w:rsidRDefault="00A97B2F" w:rsidP="00C4292D">
      <w:pPr>
        <w:autoSpaceDE w:val="0"/>
        <w:autoSpaceDN w:val="0"/>
        <w:adjustRightInd w:val="0"/>
        <w:spacing w:before="0" w:after="0"/>
        <w:rPr>
          <w:szCs w:val="20"/>
          <w:lang w:val="en-AU"/>
        </w:rPr>
      </w:pPr>
    </w:p>
    <w:p w14:paraId="425AF061" w14:textId="77777777" w:rsidR="0074283D" w:rsidRPr="003E76E7" w:rsidRDefault="0074283D" w:rsidP="00C4292D">
      <w:pPr>
        <w:spacing w:before="0"/>
        <w:rPr>
          <w:rFonts w:ascii="Arial" w:hAnsi="Arial"/>
          <w:szCs w:val="20"/>
        </w:rPr>
      </w:pPr>
      <w:r w:rsidRPr="003E76E7">
        <w:rPr>
          <w:rFonts w:ascii="Arial" w:hAnsi="Arial"/>
          <w:szCs w:val="20"/>
        </w:rPr>
        <w:t xml:space="preserve">Facilities to Support Joint </w:t>
      </w:r>
      <w:r w:rsidRPr="003E76E7">
        <w:rPr>
          <w:rFonts w:ascii="Arial" w:hAnsi="Arial"/>
        </w:rPr>
        <w:t>Counter</w:t>
      </w:r>
      <w:r w:rsidRPr="003E76E7">
        <w:rPr>
          <w:rFonts w:ascii="Arial" w:hAnsi="Arial"/>
          <w:szCs w:val="20"/>
        </w:rPr>
        <w:t xml:space="preserve"> Improvised Explosive Device (Tranche 2)</w:t>
      </w:r>
    </w:p>
    <w:p w14:paraId="35C487FD" w14:textId="57D4DF38" w:rsidR="0074283D" w:rsidRPr="003E76E7" w:rsidRDefault="0074283D" w:rsidP="00C4292D">
      <w:pPr>
        <w:autoSpaceDE w:val="0"/>
        <w:autoSpaceDN w:val="0"/>
        <w:adjustRightInd w:val="0"/>
        <w:spacing w:before="0" w:after="0"/>
        <w:rPr>
          <w:szCs w:val="20"/>
          <w:lang w:val="en-AU"/>
        </w:rPr>
      </w:pPr>
      <w:r w:rsidRPr="003E76E7">
        <w:rPr>
          <w:szCs w:val="20"/>
          <w:lang w:val="en-AU"/>
        </w:rPr>
        <w:t>This project proposes to provide facilities and infrastructure at multiple sites across QLD and the NT. The proposed scope includes storage facilities.</w:t>
      </w:r>
    </w:p>
    <w:p w14:paraId="1C845C4F" w14:textId="77777777" w:rsidR="00A97B2F" w:rsidRPr="003E76E7" w:rsidRDefault="00A97B2F" w:rsidP="00C4292D">
      <w:pPr>
        <w:autoSpaceDE w:val="0"/>
        <w:autoSpaceDN w:val="0"/>
        <w:adjustRightInd w:val="0"/>
        <w:spacing w:before="0" w:after="0"/>
        <w:rPr>
          <w:szCs w:val="20"/>
          <w:lang w:val="en-AU"/>
        </w:rPr>
      </w:pPr>
    </w:p>
    <w:p w14:paraId="258D4EC5" w14:textId="77777777" w:rsidR="004C3F0A" w:rsidRPr="003E76E7" w:rsidRDefault="004C3F0A" w:rsidP="00C4292D">
      <w:pPr>
        <w:ind w:left="2" w:firstLine="1"/>
        <w:rPr>
          <w:lang w:val="en-AU"/>
        </w:rPr>
      </w:pPr>
    </w:p>
    <w:p w14:paraId="3913AF56" w14:textId="77777777" w:rsidR="004C3F0A" w:rsidRPr="003E76E7" w:rsidRDefault="004C3F0A" w:rsidP="00C4292D">
      <w:pPr>
        <w:ind w:left="2" w:firstLine="1"/>
        <w:sectPr w:rsidR="004C3F0A" w:rsidRPr="003E76E7" w:rsidSect="004C3F0A">
          <w:headerReference w:type="even" r:id="rId138"/>
          <w:headerReference w:type="default" r:id="rId139"/>
          <w:footerReference w:type="even" r:id="rId140"/>
          <w:footerReference w:type="default" r:id="rId141"/>
          <w:pgSz w:w="11907" w:h="16840" w:code="9"/>
          <w:pgMar w:top="1701" w:right="1361" w:bottom="1701" w:left="1928" w:header="720" w:footer="720" w:gutter="0"/>
          <w:cols w:space="720"/>
          <w:noEndnote/>
        </w:sectPr>
      </w:pPr>
    </w:p>
    <w:p w14:paraId="771F89D3" w14:textId="70FB42FE" w:rsidR="003A3296" w:rsidRPr="003E76E7" w:rsidRDefault="003A3296" w:rsidP="00C4292D">
      <w:pPr>
        <w:pStyle w:val="Heading4"/>
        <w:rPr>
          <w:sz w:val="26"/>
          <w:szCs w:val="26"/>
          <w:lang w:val="en-AU"/>
        </w:rPr>
      </w:pPr>
      <w:bookmarkStart w:id="1340" w:name="_Toc69917852"/>
      <w:bookmarkStart w:id="1341" w:name="_Toc97747841"/>
      <w:bookmarkStart w:id="1342" w:name="_Toc108088952"/>
      <w:bookmarkStart w:id="1343" w:name="_Toc109227748"/>
      <w:bookmarkStart w:id="1344" w:name="_Toc159499696"/>
      <w:bookmarkStart w:id="1345" w:name="_Toc159859113"/>
      <w:bookmarkStart w:id="1346" w:name="_Toc222129936"/>
      <w:bookmarkStart w:id="1347" w:name="_Toc222148366"/>
      <w:bookmarkStart w:id="1348" w:name="_Toc225847994"/>
      <w:bookmarkStart w:id="1349" w:name="_Toc225848077"/>
      <w:bookmarkStart w:id="1350" w:name="_Toc225848160"/>
      <w:bookmarkStart w:id="1351" w:name="_Toc225848499"/>
      <w:bookmarkStart w:id="1352" w:name="_Toc225941566"/>
      <w:bookmarkStart w:id="1353" w:name="_Toc225942573"/>
      <w:bookmarkStart w:id="1354" w:name="_Toc227334383"/>
      <w:bookmarkStart w:id="1355" w:name="_Toc229072458"/>
      <w:bookmarkStart w:id="1356" w:name="_Toc229072630"/>
      <w:r w:rsidRPr="003E76E7">
        <w:rPr>
          <w:sz w:val="26"/>
          <w:szCs w:val="26"/>
          <w:lang w:val="en-AU"/>
        </w:rPr>
        <w:lastRenderedPageBreak/>
        <w:t>Appendi</w:t>
      </w:r>
      <w:r w:rsidR="00217AB4" w:rsidRPr="003E76E7">
        <w:rPr>
          <w:sz w:val="26"/>
          <w:szCs w:val="26"/>
          <w:lang w:val="en-AU"/>
        </w:rPr>
        <w:t xml:space="preserve">x F: </w:t>
      </w:r>
      <w:r w:rsidRPr="003E76E7">
        <w:rPr>
          <w:sz w:val="26"/>
          <w:szCs w:val="26"/>
          <w:lang w:val="en-AU"/>
        </w:rPr>
        <w:t>Top 5 Information and Communication Technology Approved Projects</w:t>
      </w:r>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p>
    <w:p w14:paraId="4C17E9FF" w14:textId="77777777" w:rsidR="000B7180" w:rsidRPr="003E76E7" w:rsidRDefault="000B7180" w:rsidP="00C4292D">
      <w:pPr>
        <w:spacing w:before="0"/>
      </w:pPr>
      <w:r w:rsidRPr="003E76E7">
        <w:t>The Information and Communication Technology (ICT) Program component of the Integrated Investment Program comprises approved and yet to be approved ICT projects. These projects support and sustain current and future capability requirements through the delivery of ICT to enable Command, Control, Communications, Computing, Intelligence, Surveillance, and Reconnaissance (C4ISR) and Defence’s corporate functions.</w:t>
      </w:r>
    </w:p>
    <w:p w14:paraId="1FBBE5F2" w14:textId="65235C92" w:rsidR="00E6198A" w:rsidRPr="003E76E7" w:rsidRDefault="00E6198A" w:rsidP="00C4292D">
      <w:pPr>
        <w:pStyle w:val="TableHeading"/>
        <w:numPr>
          <w:ilvl w:val="0"/>
          <w:numId w:val="61"/>
        </w:numPr>
        <w:spacing w:before="100"/>
        <w:ind w:left="0" w:firstLine="0"/>
        <w:outlineLvl w:val="4"/>
      </w:pPr>
      <w:r w:rsidRPr="003E76E7">
        <w:t>Top 5 ICT Approved Projects by 202</w:t>
      </w:r>
      <w:r w:rsidR="00AE4571" w:rsidRPr="003E76E7">
        <w:t>6</w:t>
      </w:r>
      <w:r w:rsidRPr="003E76E7">
        <w:t>-2</w:t>
      </w:r>
      <w:r w:rsidR="00AE4571" w:rsidRPr="003E76E7">
        <w:t>7</w:t>
      </w:r>
      <w:r w:rsidRPr="003E76E7">
        <w:t xml:space="preserve"> Forecast Expenditure (Gross Plan)</w:t>
      </w:r>
      <w:r w:rsidR="00E91956" w:rsidRPr="003E76E7">
        <w:rPr>
          <w:vertAlign w:val="superscript"/>
        </w:rPr>
        <w:t xml:space="preserve"> [a]</w:t>
      </w:r>
      <w:r w:rsidR="00126E5C" w:rsidRPr="003E76E7">
        <w:rPr>
          <w:vertAlign w:val="superscript"/>
        </w:rPr>
        <w:t xml:space="preserve"> </w:t>
      </w:r>
      <w:r w:rsidR="000B7180" w:rsidRPr="003E76E7">
        <w:rPr>
          <w:vertAlign w:val="superscript"/>
        </w:rPr>
        <w:t>[b]</w:t>
      </w:r>
    </w:p>
    <w:tbl>
      <w:tblPr>
        <w:tblW w:w="13720" w:type="dxa"/>
        <w:tblInd w:w="108" w:type="dxa"/>
        <w:tblLayout w:type="fixed"/>
        <w:tblLook w:val="04A0" w:firstRow="1" w:lastRow="0" w:firstColumn="1" w:lastColumn="0" w:noHBand="0" w:noVBand="1"/>
      </w:tblPr>
      <w:tblGrid>
        <w:gridCol w:w="1730"/>
        <w:gridCol w:w="1134"/>
        <w:gridCol w:w="1134"/>
        <w:gridCol w:w="1276"/>
        <w:gridCol w:w="1276"/>
        <w:gridCol w:w="7170"/>
      </w:tblGrid>
      <w:tr w:rsidR="00126E5C" w:rsidRPr="003E76E7" w14:paraId="120D3BBC" w14:textId="77777777" w:rsidTr="006678D3">
        <w:trPr>
          <w:trHeight w:val="1041"/>
        </w:trPr>
        <w:tc>
          <w:tcPr>
            <w:tcW w:w="17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6F7F27" w14:textId="77777777" w:rsidR="00126E5C" w:rsidRPr="003E76E7" w:rsidRDefault="00126E5C" w:rsidP="00C4292D">
            <w:pPr>
              <w:spacing w:before="0" w:after="0"/>
              <w:rPr>
                <w:rFonts w:ascii="Arial" w:hAnsi="Arial"/>
                <w:b/>
                <w:bCs/>
                <w:sz w:val="16"/>
                <w:szCs w:val="16"/>
                <w:lang w:val="en-AU"/>
              </w:rPr>
            </w:pPr>
            <w:r w:rsidRPr="003E76E7">
              <w:rPr>
                <w:rFonts w:ascii="Arial" w:hAnsi="Arial"/>
                <w:b/>
                <w:bCs/>
                <w:sz w:val="16"/>
                <w:szCs w:val="16"/>
                <w:lang w:val="en-AU"/>
              </w:rPr>
              <w:t>Project Name</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26DC9D8" w14:textId="77777777" w:rsidR="00126E5C" w:rsidRPr="003E76E7" w:rsidRDefault="00126E5C" w:rsidP="004853DD">
            <w:pPr>
              <w:spacing w:before="0" w:after="0"/>
              <w:ind w:left="-57" w:right="-57"/>
              <w:jc w:val="center"/>
              <w:rPr>
                <w:rFonts w:ascii="Arial" w:hAnsi="Arial"/>
                <w:b/>
                <w:bCs/>
                <w:sz w:val="16"/>
                <w:szCs w:val="16"/>
                <w:lang w:val="en-AU"/>
              </w:rPr>
            </w:pPr>
            <w:r w:rsidRPr="003E76E7">
              <w:rPr>
                <w:rFonts w:ascii="Arial" w:hAnsi="Arial"/>
                <w:b/>
                <w:bCs/>
                <w:sz w:val="16"/>
                <w:szCs w:val="16"/>
                <w:lang w:val="en-AU"/>
              </w:rPr>
              <w:t>Project Number/</w:t>
            </w:r>
            <w:r w:rsidRPr="003E76E7">
              <w:rPr>
                <w:rFonts w:ascii="Arial" w:hAnsi="Arial"/>
                <w:b/>
                <w:bCs/>
                <w:sz w:val="16"/>
                <w:szCs w:val="16"/>
                <w:lang w:val="en-AU"/>
              </w:rPr>
              <w:br/>
              <w:t>Phase</w:t>
            </w:r>
          </w:p>
        </w:tc>
        <w:tc>
          <w:tcPr>
            <w:tcW w:w="1134" w:type="dxa"/>
            <w:tcBorders>
              <w:top w:val="single" w:sz="4" w:space="0" w:color="auto"/>
              <w:left w:val="nil"/>
              <w:bottom w:val="single" w:sz="4" w:space="0" w:color="auto"/>
              <w:right w:val="single" w:sz="4" w:space="0" w:color="auto"/>
            </w:tcBorders>
            <w:shd w:val="clear" w:color="auto" w:fill="auto"/>
            <w:hideMark/>
          </w:tcPr>
          <w:p w14:paraId="469863E5" w14:textId="77777777" w:rsidR="00A15E81" w:rsidRPr="003E76E7" w:rsidRDefault="00A15E81" w:rsidP="00C4292D">
            <w:pPr>
              <w:spacing w:before="0" w:after="0"/>
              <w:ind w:left="-57" w:right="-57"/>
              <w:jc w:val="right"/>
              <w:rPr>
                <w:rFonts w:ascii="Arial" w:hAnsi="Arial"/>
                <w:b/>
                <w:bCs/>
                <w:sz w:val="16"/>
                <w:szCs w:val="16"/>
                <w:lang w:val="en-AU"/>
              </w:rPr>
            </w:pPr>
          </w:p>
          <w:p w14:paraId="08E532AC" w14:textId="2EB09031" w:rsidR="00126E5C" w:rsidRPr="003E76E7" w:rsidRDefault="00126E5C" w:rsidP="00C4292D">
            <w:pPr>
              <w:spacing w:before="0" w:after="0"/>
              <w:ind w:left="-57" w:right="-57"/>
              <w:jc w:val="right"/>
              <w:rPr>
                <w:rFonts w:ascii="Arial" w:hAnsi="Arial"/>
                <w:b/>
                <w:bCs/>
                <w:sz w:val="16"/>
                <w:szCs w:val="16"/>
                <w:lang w:val="en-AU"/>
              </w:rPr>
            </w:pPr>
            <w:r w:rsidRPr="003E76E7">
              <w:rPr>
                <w:rFonts w:ascii="Arial" w:hAnsi="Arial"/>
                <w:b/>
                <w:bCs/>
                <w:sz w:val="16"/>
                <w:szCs w:val="16"/>
                <w:lang w:val="en-AU"/>
              </w:rPr>
              <w:t>Approved</w:t>
            </w:r>
          </w:p>
          <w:p w14:paraId="5BD5A3BC" w14:textId="77777777" w:rsidR="00126E5C" w:rsidRPr="003E76E7" w:rsidRDefault="00126E5C" w:rsidP="00C4292D">
            <w:pPr>
              <w:spacing w:before="0" w:after="0"/>
              <w:ind w:left="-57" w:right="-57"/>
              <w:jc w:val="right"/>
              <w:rPr>
                <w:rFonts w:ascii="Arial" w:hAnsi="Arial"/>
                <w:b/>
                <w:bCs/>
                <w:sz w:val="16"/>
                <w:szCs w:val="16"/>
                <w:lang w:val="en-AU"/>
              </w:rPr>
            </w:pPr>
            <w:r w:rsidRPr="003E76E7">
              <w:rPr>
                <w:rFonts w:ascii="Arial" w:hAnsi="Arial"/>
                <w:b/>
                <w:bCs/>
                <w:sz w:val="16"/>
                <w:szCs w:val="16"/>
                <w:lang w:val="en-AU"/>
              </w:rPr>
              <w:t>Project</w:t>
            </w:r>
          </w:p>
          <w:p w14:paraId="2DF7466E" w14:textId="77777777" w:rsidR="00126E5C" w:rsidRPr="003E76E7" w:rsidRDefault="00126E5C" w:rsidP="00C4292D">
            <w:pPr>
              <w:spacing w:before="0" w:after="0"/>
              <w:ind w:left="-57" w:right="-57"/>
              <w:jc w:val="right"/>
              <w:rPr>
                <w:rFonts w:ascii="Arial" w:hAnsi="Arial"/>
                <w:b/>
                <w:bCs/>
                <w:sz w:val="16"/>
                <w:szCs w:val="16"/>
                <w:lang w:val="en-AU"/>
              </w:rPr>
            </w:pPr>
            <w:r w:rsidRPr="003E76E7">
              <w:rPr>
                <w:rFonts w:ascii="Arial" w:hAnsi="Arial"/>
                <w:b/>
                <w:bCs/>
                <w:sz w:val="16"/>
                <w:szCs w:val="16"/>
                <w:lang w:val="en-AU"/>
              </w:rPr>
              <w:t>Expenditure</w:t>
            </w:r>
          </w:p>
          <w:p w14:paraId="2B4EAECC" w14:textId="717D97AC" w:rsidR="00126E5C" w:rsidRPr="003E76E7" w:rsidRDefault="00126E5C" w:rsidP="00A15E81">
            <w:pPr>
              <w:spacing w:before="0" w:after="0"/>
              <w:ind w:right="-57"/>
              <w:rPr>
                <w:rFonts w:ascii="Arial" w:hAnsi="Arial"/>
                <w:b/>
                <w:bCs/>
                <w:sz w:val="16"/>
                <w:szCs w:val="16"/>
                <w:lang w:val="en-AU"/>
              </w:rPr>
            </w:pPr>
          </w:p>
          <w:p w14:paraId="04949E6F" w14:textId="77777777" w:rsidR="00126E5C" w:rsidRPr="003E76E7" w:rsidRDefault="00126E5C" w:rsidP="00C4292D">
            <w:pPr>
              <w:spacing w:before="0" w:after="0"/>
              <w:ind w:left="-57" w:right="-57"/>
              <w:jc w:val="right"/>
              <w:rPr>
                <w:rFonts w:ascii="Arial" w:hAnsi="Arial"/>
                <w:b/>
                <w:bCs/>
                <w:sz w:val="16"/>
                <w:szCs w:val="16"/>
                <w:lang w:val="en-AU"/>
              </w:rPr>
            </w:pPr>
            <w:r w:rsidRPr="003E76E7">
              <w:rPr>
                <w:rFonts w:ascii="Arial" w:hAnsi="Arial"/>
                <w:b/>
                <w:bCs/>
                <w:sz w:val="16"/>
                <w:szCs w:val="16"/>
                <w:lang w:val="en-AU"/>
              </w:rPr>
              <w:t>$m</w:t>
            </w:r>
          </w:p>
        </w:tc>
        <w:tc>
          <w:tcPr>
            <w:tcW w:w="1276" w:type="dxa"/>
            <w:tcBorders>
              <w:top w:val="single" w:sz="4" w:space="0" w:color="auto"/>
              <w:left w:val="nil"/>
              <w:bottom w:val="single" w:sz="4" w:space="0" w:color="auto"/>
              <w:right w:val="single" w:sz="4" w:space="0" w:color="auto"/>
            </w:tcBorders>
            <w:shd w:val="clear" w:color="auto" w:fill="auto"/>
            <w:hideMark/>
          </w:tcPr>
          <w:p w14:paraId="548EB608" w14:textId="77777777" w:rsidR="00126E5C" w:rsidRPr="003E76E7" w:rsidRDefault="00126E5C" w:rsidP="00C4292D">
            <w:pPr>
              <w:spacing w:before="0" w:after="0"/>
              <w:ind w:left="-57" w:right="-57"/>
              <w:jc w:val="right"/>
              <w:rPr>
                <w:rFonts w:ascii="Arial" w:hAnsi="Arial"/>
                <w:b/>
                <w:bCs/>
                <w:sz w:val="16"/>
                <w:szCs w:val="16"/>
                <w:lang w:val="en-AU"/>
              </w:rPr>
            </w:pPr>
            <w:r w:rsidRPr="003E76E7">
              <w:rPr>
                <w:rFonts w:ascii="Arial" w:hAnsi="Arial"/>
                <w:b/>
                <w:bCs/>
                <w:sz w:val="16"/>
                <w:szCs w:val="16"/>
                <w:lang w:val="en-AU"/>
              </w:rPr>
              <w:t>Estimated Cumulative</w:t>
            </w:r>
          </w:p>
          <w:p w14:paraId="01EA231B" w14:textId="77777777" w:rsidR="00126E5C" w:rsidRPr="003E76E7" w:rsidRDefault="00126E5C" w:rsidP="00C4292D">
            <w:pPr>
              <w:spacing w:before="0" w:after="0"/>
              <w:ind w:left="-57" w:right="-57"/>
              <w:jc w:val="right"/>
              <w:rPr>
                <w:rFonts w:ascii="Arial" w:hAnsi="Arial"/>
                <w:b/>
                <w:bCs/>
                <w:sz w:val="16"/>
                <w:szCs w:val="16"/>
                <w:lang w:val="en-AU"/>
              </w:rPr>
            </w:pPr>
            <w:r w:rsidRPr="003E76E7">
              <w:rPr>
                <w:rFonts w:ascii="Arial" w:hAnsi="Arial"/>
                <w:b/>
                <w:bCs/>
                <w:sz w:val="16"/>
                <w:szCs w:val="16"/>
                <w:lang w:val="en-AU"/>
              </w:rPr>
              <w:t>Expenditure to</w:t>
            </w:r>
          </w:p>
          <w:p w14:paraId="0E518041" w14:textId="77777777" w:rsidR="00126E5C" w:rsidRPr="003E76E7" w:rsidRDefault="00126E5C" w:rsidP="00C4292D">
            <w:pPr>
              <w:spacing w:before="0" w:after="0"/>
              <w:ind w:left="-57" w:right="-57"/>
              <w:jc w:val="right"/>
              <w:rPr>
                <w:rFonts w:ascii="Arial" w:hAnsi="Arial"/>
                <w:b/>
                <w:bCs/>
                <w:sz w:val="16"/>
                <w:szCs w:val="16"/>
                <w:lang w:val="en-AU"/>
              </w:rPr>
            </w:pPr>
            <w:r w:rsidRPr="003E76E7">
              <w:rPr>
                <w:rFonts w:ascii="Arial" w:hAnsi="Arial"/>
                <w:b/>
                <w:bCs/>
                <w:sz w:val="16"/>
                <w:szCs w:val="16"/>
                <w:lang w:val="en-AU"/>
              </w:rPr>
              <w:t xml:space="preserve"> 30 June 2026</w:t>
            </w:r>
          </w:p>
          <w:p w14:paraId="67B1EEFE" w14:textId="77777777" w:rsidR="00126E5C" w:rsidRPr="003E76E7" w:rsidRDefault="00126E5C" w:rsidP="00C4292D">
            <w:pPr>
              <w:spacing w:before="0" w:after="0"/>
              <w:ind w:left="-57" w:right="-57"/>
              <w:jc w:val="right"/>
              <w:rPr>
                <w:rFonts w:ascii="Arial" w:hAnsi="Arial"/>
                <w:b/>
                <w:bCs/>
                <w:sz w:val="16"/>
                <w:szCs w:val="16"/>
                <w:lang w:val="en-AU"/>
              </w:rPr>
            </w:pPr>
          </w:p>
          <w:p w14:paraId="302A6BA7" w14:textId="77777777" w:rsidR="00126E5C" w:rsidRPr="003E76E7" w:rsidRDefault="00126E5C" w:rsidP="00C4292D">
            <w:pPr>
              <w:spacing w:before="0" w:after="0"/>
              <w:ind w:left="-57" w:right="-57"/>
              <w:jc w:val="right"/>
              <w:rPr>
                <w:rFonts w:ascii="Arial" w:hAnsi="Arial"/>
                <w:b/>
                <w:bCs/>
                <w:sz w:val="16"/>
                <w:szCs w:val="16"/>
                <w:lang w:val="en-AU"/>
              </w:rPr>
            </w:pPr>
            <w:r w:rsidRPr="003E76E7">
              <w:rPr>
                <w:rFonts w:ascii="Arial" w:hAnsi="Arial"/>
                <w:b/>
                <w:bCs/>
                <w:sz w:val="16"/>
                <w:szCs w:val="16"/>
                <w:lang w:val="en-AU"/>
              </w:rPr>
              <w:t>$m</w:t>
            </w:r>
          </w:p>
        </w:tc>
        <w:tc>
          <w:tcPr>
            <w:tcW w:w="1276" w:type="dxa"/>
            <w:tcBorders>
              <w:top w:val="single" w:sz="4" w:space="0" w:color="auto"/>
              <w:left w:val="nil"/>
              <w:bottom w:val="single" w:sz="4" w:space="0" w:color="auto"/>
              <w:right w:val="single" w:sz="4" w:space="0" w:color="auto"/>
            </w:tcBorders>
            <w:shd w:val="clear" w:color="auto" w:fill="auto"/>
            <w:hideMark/>
          </w:tcPr>
          <w:p w14:paraId="069D4FFC" w14:textId="77777777" w:rsidR="00A15E81" w:rsidRPr="003E76E7" w:rsidRDefault="00A15E81" w:rsidP="00C4292D">
            <w:pPr>
              <w:spacing w:before="0" w:after="0"/>
              <w:ind w:left="-57" w:right="-57"/>
              <w:jc w:val="right"/>
              <w:rPr>
                <w:rFonts w:ascii="Arial" w:hAnsi="Arial"/>
                <w:b/>
                <w:bCs/>
                <w:sz w:val="16"/>
                <w:szCs w:val="16"/>
                <w:lang w:val="en-AU"/>
              </w:rPr>
            </w:pPr>
          </w:p>
          <w:p w14:paraId="6670B64A" w14:textId="39B24211" w:rsidR="00126E5C" w:rsidRPr="003E76E7" w:rsidRDefault="00126E5C" w:rsidP="00C4292D">
            <w:pPr>
              <w:spacing w:before="0" w:after="0"/>
              <w:ind w:left="-57" w:right="-57"/>
              <w:jc w:val="right"/>
              <w:rPr>
                <w:rFonts w:ascii="Arial" w:hAnsi="Arial"/>
                <w:b/>
                <w:bCs/>
                <w:sz w:val="16"/>
                <w:szCs w:val="16"/>
                <w:lang w:val="en-AU"/>
              </w:rPr>
            </w:pPr>
            <w:r w:rsidRPr="003E76E7">
              <w:rPr>
                <w:rFonts w:ascii="Arial" w:hAnsi="Arial"/>
                <w:b/>
                <w:bCs/>
                <w:sz w:val="16"/>
                <w:szCs w:val="16"/>
                <w:lang w:val="en-AU"/>
              </w:rPr>
              <w:t>Budget</w:t>
            </w:r>
          </w:p>
          <w:p w14:paraId="0D0E1FCF" w14:textId="77777777" w:rsidR="00126E5C" w:rsidRPr="003E76E7" w:rsidRDefault="00126E5C" w:rsidP="00C4292D">
            <w:pPr>
              <w:spacing w:before="0" w:after="0"/>
              <w:ind w:left="-57" w:right="-57"/>
              <w:jc w:val="right"/>
              <w:rPr>
                <w:rFonts w:ascii="Arial" w:hAnsi="Arial"/>
                <w:b/>
                <w:bCs/>
                <w:sz w:val="16"/>
                <w:szCs w:val="16"/>
                <w:lang w:val="en-AU"/>
              </w:rPr>
            </w:pPr>
            <w:r w:rsidRPr="003E76E7">
              <w:rPr>
                <w:rFonts w:ascii="Arial" w:hAnsi="Arial"/>
                <w:b/>
                <w:bCs/>
                <w:sz w:val="16"/>
                <w:szCs w:val="16"/>
                <w:lang w:val="en-AU"/>
              </w:rPr>
              <w:t>Estimate</w:t>
            </w:r>
          </w:p>
          <w:p w14:paraId="71E70364" w14:textId="77777777" w:rsidR="00126E5C" w:rsidRPr="003E76E7" w:rsidRDefault="00126E5C" w:rsidP="00C4292D">
            <w:pPr>
              <w:spacing w:before="0" w:after="0"/>
              <w:ind w:left="-57" w:right="-57"/>
              <w:jc w:val="right"/>
              <w:rPr>
                <w:rFonts w:ascii="Arial" w:hAnsi="Arial"/>
                <w:b/>
                <w:bCs/>
                <w:sz w:val="16"/>
                <w:szCs w:val="16"/>
                <w:lang w:val="en-AU"/>
              </w:rPr>
            </w:pPr>
            <w:r w:rsidRPr="003E76E7">
              <w:rPr>
                <w:rFonts w:ascii="Arial" w:hAnsi="Arial"/>
                <w:b/>
                <w:bCs/>
                <w:sz w:val="16"/>
                <w:szCs w:val="16"/>
                <w:lang w:val="en-AU"/>
              </w:rPr>
              <w:t>2026-27</w:t>
            </w:r>
          </w:p>
          <w:p w14:paraId="51667B85" w14:textId="07F7C839" w:rsidR="00126E5C" w:rsidRPr="003E76E7" w:rsidRDefault="00126E5C" w:rsidP="00A15E81">
            <w:pPr>
              <w:spacing w:before="0" w:after="0"/>
              <w:ind w:right="-57"/>
              <w:rPr>
                <w:rFonts w:ascii="Arial" w:hAnsi="Arial"/>
                <w:b/>
                <w:bCs/>
                <w:sz w:val="16"/>
                <w:szCs w:val="16"/>
                <w:lang w:val="en-AU"/>
              </w:rPr>
            </w:pPr>
          </w:p>
          <w:p w14:paraId="639D72BC" w14:textId="77777777" w:rsidR="00126E5C" w:rsidRPr="003E76E7" w:rsidRDefault="00126E5C" w:rsidP="00C4292D">
            <w:pPr>
              <w:spacing w:before="0" w:after="0"/>
              <w:ind w:left="-57" w:right="-57"/>
              <w:jc w:val="right"/>
              <w:rPr>
                <w:rFonts w:ascii="Arial" w:hAnsi="Arial"/>
                <w:b/>
                <w:bCs/>
                <w:sz w:val="16"/>
                <w:szCs w:val="16"/>
                <w:lang w:val="en-AU"/>
              </w:rPr>
            </w:pPr>
            <w:r w:rsidRPr="003E76E7">
              <w:rPr>
                <w:rFonts w:ascii="Arial" w:hAnsi="Arial"/>
                <w:b/>
                <w:bCs/>
                <w:sz w:val="16"/>
                <w:szCs w:val="16"/>
                <w:lang w:val="en-AU"/>
              </w:rPr>
              <w:t>$m</w:t>
            </w:r>
          </w:p>
        </w:tc>
        <w:tc>
          <w:tcPr>
            <w:tcW w:w="7170" w:type="dxa"/>
            <w:tcBorders>
              <w:top w:val="single" w:sz="4" w:space="0" w:color="auto"/>
              <w:left w:val="nil"/>
              <w:bottom w:val="single" w:sz="4" w:space="0" w:color="auto"/>
              <w:right w:val="single" w:sz="4" w:space="0" w:color="auto"/>
            </w:tcBorders>
            <w:shd w:val="clear" w:color="auto" w:fill="auto"/>
            <w:vAlign w:val="center"/>
            <w:hideMark/>
          </w:tcPr>
          <w:p w14:paraId="2A4772D6" w14:textId="77777777" w:rsidR="00126E5C" w:rsidRPr="003E76E7" w:rsidRDefault="00126E5C" w:rsidP="00C4292D">
            <w:pPr>
              <w:spacing w:before="0" w:after="0"/>
              <w:rPr>
                <w:rFonts w:ascii="Arial" w:hAnsi="Arial"/>
                <w:b/>
                <w:bCs/>
                <w:sz w:val="16"/>
                <w:szCs w:val="16"/>
                <w:lang w:val="en-AU"/>
              </w:rPr>
            </w:pPr>
            <w:r w:rsidRPr="003E76E7">
              <w:rPr>
                <w:rFonts w:ascii="Arial" w:hAnsi="Arial"/>
                <w:b/>
                <w:bCs/>
                <w:sz w:val="16"/>
                <w:szCs w:val="16"/>
                <w:lang w:val="en-AU"/>
              </w:rPr>
              <w:t>Top 5 ICT Project Descriptions</w:t>
            </w:r>
          </w:p>
        </w:tc>
      </w:tr>
      <w:tr w:rsidR="00B8738B" w:rsidRPr="003E76E7" w14:paraId="110B1150" w14:textId="77777777" w:rsidTr="009E133F">
        <w:trPr>
          <w:trHeight w:val="985"/>
        </w:trPr>
        <w:tc>
          <w:tcPr>
            <w:tcW w:w="1730" w:type="dxa"/>
            <w:tcBorders>
              <w:top w:val="nil"/>
              <w:left w:val="single" w:sz="4" w:space="0" w:color="auto"/>
              <w:bottom w:val="single" w:sz="4" w:space="0" w:color="auto"/>
              <w:right w:val="single" w:sz="4" w:space="0" w:color="auto"/>
            </w:tcBorders>
            <w:shd w:val="clear" w:color="auto" w:fill="auto"/>
            <w:vAlign w:val="center"/>
          </w:tcPr>
          <w:p w14:paraId="20B9536C" w14:textId="77777777" w:rsidR="00B8738B" w:rsidRPr="003E76E7" w:rsidRDefault="00B8738B" w:rsidP="00C4292D">
            <w:pPr>
              <w:rPr>
                <w:rFonts w:ascii="Arial" w:hAnsi="Arial"/>
                <w:sz w:val="16"/>
                <w:szCs w:val="16"/>
                <w:lang w:val="en-AU"/>
              </w:rPr>
            </w:pPr>
            <w:r w:rsidRPr="003E76E7">
              <w:rPr>
                <w:rFonts w:ascii="Arial" w:hAnsi="Arial"/>
                <w:sz w:val="16"/>
                <w:szCs w:val="16"/>
              </w:rPr>
              <w:t>Defence Secret Network (DSN)</w:t>
            </w:r>
          </w:p>
        </w:tc>
        <w:tc>
          <w:tcPr>
            <w:tcW w:w="1134" w:type="dxa"/>
            <w:tcBorders>
              <w:top w:val="nil"/>
              <w:left w:val="nil"/>
              <w:bottom w:val="single" w:sz="4" w:space="0" w:color="auto"/>
              <w:right w:val="single" w:sz="4" w:space="0" w:color="auto"/>
            </w:tcBorders>
            <w:shd w:val="clear" w:color="auto" w:fill="auto"/>
            <w:vAlign w:val="center"/>
          </w:tcPr>
          <w:p w14:paraId="00C20B96" w14:textId="77777777" w:rsidR="00B8738B" w:rsidRPr="003E76E7" w:rsidRDefault="00B8738B" w:rsidP="00C4292D">
            <w:pPr>
              <w:jc w:val="center"/>
              <w:rPr>
                <w:rFonts w:ascii="Arial" w:hAnsi="Arial"/>
                <w:b/>
                <w:sz w:val="16"/>
                <w:szCs w:val="16"/>
                <w:lang w:val="en-AU"/>
              </w:rPr>
            </w:pPr>
            <w:r w:rsidRPr="003E76E7">
              <w:rPr>
                <w:rFonts w:ascii="Arial" w:hAnsi="Arial"/>
                <w:b/>
                <w:sz w:val="16"/>
                <w:szCs w:val="16"/>
              </w:rPr>
              <w:t>DEF 2222</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2F43398F" w14:textId="77777777" w:rsidR="00B8738B" w:rsidRPr="003E76E7" w:rsidRDefault="00B8738B" w:rsidP="00C4292D">
            <w:pPr>
              <w:jc w:val="right"/>
              <w:rPr>
                <w:rFonts w:ascii="Arial" w:hAnsi="Arial"/>
                <w:sz w:val="16"/>
                <w:szCs w:val="16"/>
              </w:rPr>
            </w:pPr>
            <w:r w:rsidRPr="003E76E7">
              <w:rPr>
                <w:rFonts w:ascii="Arial" w:hAnsi="Arial"/>
                <w:sz w:val="16"/>
                <w:szCs w:val="16"/>
              </w:rPr>
              <w:t>2,081</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4103E20A" w14:textId="77777777" w:rsidR="00B8738B" w:rsidRPr="003E76E7" w:rsidRDefault="00B8738B" w:rsidP="00C4292D">
            <w:pPr>
              <w:jc w:val="right"/>
              <w:rPr>
                <w:rFonts w:ascii="Arial" w:hAnsi="Arial"/>
                <w:sz w:val="16"/>
                <w:szCs w:val="16"/>
              </w:rPr>
            </w:pPr>
            <w:r w:rsidRPr="003E76E7">
              <w:rPr>
                <w:rFonts w:ascii="Arial" w:hAnsi="Arial"/>
                <w:sz w:val="16"/>
                <w:szCs w:val="16"/>
              </w:rPr>
              <w:t>467</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4D037CBA" w14:textId="77777777" w:rsidR="00B8738B" w:rsidRPr="003E76E7" w:rsidRDefault="00B8738B" w:rsidP="00C4292D">
            <w:pPr>
              <w:jc w:val="right"/>
              <w:rPr>
                <w:rFonts w:ascii="Arial" w:hAnsi="Arial"/>
                <w:sz w:val="16"/>
                <w:szCs w:val="16"/>
              </w:rPr>
            </w:pPr>
            <w:r w:rsidRPr="003E76E7">
              <w:rPr>
                <w:rFonts w:ascii="Arial" w:hAnsi="Arial"/>
                <w:sz w:val="16"/>
                <w:szCs w:val="16"/>
              </w:rPr>
              <w:t>297</w:t>
            </w:r>
          </w:p>
        </w:tc>
        <w:tc>
          <w:tcPr>
            <w:tcW w:w="7170" w:type="dxa"/>
            <w:tcBorders>
              <w:top w:val="nil"/>
              <w:left w:val="nil"/>
              <w:bottom w:val="single" w:sz="4" w:space="0" w:color="auto"/>
              <w:right w:val="single" w:sz="4" w:space="0" w:color="auto"/>
            </w:tcBorders>
            <w:shd w:val="clear" w:color="auto" w:fill="auto"/>
          </w:tcPr>
          <w:p w14:paraId="4C985E0A" w14:textId="77777777" w:rsidR="00B8738B" w:rsidRPr="003E76E7" w:rsidRDefault="00B8738B" w:rsidP="00C4292D">
            <w:pPr>
              <w:tabs>
                <w:tab w:val="left" w:pos="1114"/>
              </w:tabs>
              <w:spacing w:before="60" w:after="60"/>
              <w:rPr>
                <w:rFonts w:ascii="Arial" w:hAnsi="Arial"/>
                <w:sz w:val="16"/>
                <w:szCs w:val="16"/>
              </w:rPr>
            </w:pPr>
            <w:r w:rsidRPr="003E76E7">
              <w:rPr>
                <w:rFonts w:ascii="Arial" w:hAnsi="Arial"/>
                <w:sz w:val="16"/>
                <w:szCs w:val="16"/>
              </w:rPr>
              <w:t>The project will deliver a scalable, resilient, secure, interoperable and supportable enterprise scale DSN. It will replace the existing DSN with a secure-by-design operating platform built on cloud technology, end user compute and storage, and the required connectivity to support a resilient and survivable capability. DEF 2222 is a critical enabler of many projects within the Integrated Investment Program (IIP) and will be delivered programmatically with JP 9111.</w:t>
            </w:r>
          </w:p>
          <w:p w14:paraId="19D4BAB2" w14:textId="7EAD1A9C" w:rsidR="00B8738B" w:rsidRPr="003E76E7" w:rsidRDefault="007F79A6" w:rsidP="00C4292D">
            <w:pPr>
              <w:tabs>
                <w:tab w:val="left" w:pos="1114"/>
              </w:tabs>
              <w:spacing w:before="60" w:after="60"/>
              <w:rPr>
                <w:rFonts w:ascii="Arial" w:hAnsi="Arial"/>
                <w:sz w:val="16"/>
                <w:szCs w:val="16"/>
                <w:lang w:val="en-AU"/>
              </w:rPr>
            </w:pPr>
            <w:r w:rsidRPr="003E76E7">
              <w:rPr>
                <w:rFonts w:ascii="Arial" w:hAnsi="Arial"/>
                <w:sz w:val="16"/>
                <w:szCs w:val="16"/>
              </w:rPr>
              <w:t>During 2026-27, the project will finalise design and commence delivery of secure air gapped cloud solutions alongside associated enabling services and business transformation activities.</w:t>
            </w:r>
          </w:p>
        </w:tc>
      </w:tr>
      <w:tr w:rsidR="00B8738B" w:rsidRPr="003E76E7" w14:paraId="3A6465A1" w14:textId="77777777" w:rsidTr="009E133F">
        <w:trPr>
          <w:trHeight w:val="1273"/>
        </w:trPr>
        <w:tc>
          <w:tcPr>
            <w:tcW w:w="1730" w:type="dxa"/>
            <w:tcBorders>
              <w:top w:val="single" w:sz="4" w:space="0" w:color="auto"/>
              <w:left w:val="single" w:sz="4" w:space="0" w:color="auto"/>
              <w:bottom w:val="single" w:sz="4" w:space="0" w:color="auto"/>
              <w:right w:val="single" w:sz="4" w:space="0" w:color="auto"/>
            </w:tcBorders>
            <w:shd w:val="clear" w:color="auto" w:fill="auto"/>
            <w:vAlign w:val="center"/>
          </w:tcPr>
          <w:p w14:paraId="70A3EAF3" w14:textId="77777777" w:rsidR="00B8738B" w:rsidRPr="003E76E7" w:rsidRDefault="00B8738B" w:rsidP="00C4292D">
            <w:pPr>
              <w:rPr>
                <w:rFonts w:ascii="Arial" w:hAnsi="Arial"/>
                <w:sz w:val="16"/>
                <w:szCs w:val="16"/>
                <w:lang w:val="en-AU"/>
              </w:rPr>
            </w:pPr>
            <w:r w:rsidRPr="003E76E7">
              <w:rPr>
                <w:rFonts w:ascii="Arial" w:hAnsi="Arial"/>
                <w:sz w:val="16"/>
                <w:szCs w:val="16"/>
              </w:rPr>
              <w:t>Joint Command &amp; Control</w:t>
            </w:r>
          </w:p>
        </w:tc>
        <w:tc>
          <w:tcPr>
            <w:tcW w:w="1134" w:type="dxa"/>
            <w:tcBorders>
              <w:top w:val="single" w:sz="4" w:space="0" w:color="auto"/>
              <w:left w:val="nil"/>
              <w:bottom w:val="single" w:sz="4" w:space="0" w:color="auto"/>
              <w:right w:val="single" w:sz="4" w:space="0" w:color="auto"/>
            </w:tcBorders>
            <w:shd w:val="clear" w:color="auto" w:fill="auto"/>
            <w:vAlign w:val="center"/>
          </w:tcPr>
          <w:p w14:paraId="5B7951A7" w14:textId="77777777" w:rsidR="00B8738B" w:rsidRPr="003E76E7" w:rsidRDefault="00B8738B" w:rsidP="00C4292D">
            <w:pPr>
              <w:jc w:val="center"/>
              <w:rPr>
                <w:rFonts w:ascii="Arial" w:hAnsi="Arial"/>
                <w:b/>
                <w:sz w:val="16"/>
                <w:szCs w:val="16"/>
                <w:lang w:val="en-AU"/>
              </w:rPr>
            </w:pPr>
            <w:r w:rsidRPr="003E76E7">
              <w:rPr>
                <w:rFonts w:ascii="Arial" w:hAnsi="Arial"/>
                <w:b/>
                <w:sz w:val="16"/>
                <w:szCs w:val="16"/>
              </w:rPr>
              <w:t>ICT 9111 Phase 1</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583E6ABA" w14:textId="77777777" w:rsidR="00B8738B" w:rsidRPr="003E76E7" w:rsidRDefault="00B8738B" w:rsidP="00C4292D">
            <w:pPr>
              <w:jc w:val="right"/>
              <w:rPr>
                <w:rFonts w:ascii="Arial" w:hAnsi="Arial"/>
                <w:sz w:val="16"/>
                <w:szCs w:val="16"/>
              </w:rPr>
            </w:pPr>
            <w:r w:rsidRPr="003E76E7">
              <w:rPr>
                <w:rFonts w:ascii="Arial" w:hAnsi="Arial"/>
                <w:sz w:val="16"/>
                <w:szCs w:val="16"/>
              </w:rPr>
              <w:t>1,490</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6D915375" w14:textId="77777777" w:rsidR="00B8738B" w:rsidRPr="003E76E7" w:rsidRDefault="00B8738B" w:rsidP="00C4292D">
            <w:pPr>
              <w:jc w:val="right"/>
              <w:rPr>
                <w:rFonts w:ascii="Arial" w:hAnsi="Arial"/>
                <w:sz w:val="16"/>
                <w:szCs w:val="16"/>
              </w:rPr>
            </w:pPr>
            <w:r w:rsidRPr="003E76E7">
              <w:rPr>
                <w:rFonts w:ascii="Arial" w:hAnsi="Arial"/>
                <w:sz w:val="16"/>
                <w:szCs w:val="16"/>
              </w:rPr>
              <w:t>154</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7B3BB34D" w14:textId="77777777" w:rsidR="00B8738B" w:rsidRPr="003E76E7" w:rsidRDefault="00B8738B" w:rsidP="00C4292D">
            <w:pPr>
              <w:jc w:val="right"/>
              <w:rPr>
                <w:rFonts w:ascii="Arial" w:hAnsi="Arial"/>
                <w:sz w:val="16"/>
                <w:szCs w:val="16"/>
              </w:rPr>
            </w:pPr>
            <w:r w:rsidRPr="003E76E7">
              <w:rPr>
                <w:rFonts w:ascii="Arial" w:hAnsi="Arial"/>
                <w:sz w:val="16"/>
                <w:szCs w:val="16"/>
              </w:rPr>
              <w:t>252</w:t>
            </w:r>
          </w:p>
        </w:tc>
        <w:tc>
          <w:tcPr>
            <w:tcW w:w="7170" w:type="dxa"/>
            <w:tcBorders>
              <w:top w:val="single" w:sz="4" w:space="0" w:color="auto"/>
              <w:left w:val="nil"/>
              <w:bottom w:val="single" w:sz="4" w:space="0" w:color="auto"/>
              <w:right w:val="single" w:sz="4" w:space="0" w:color="auto"/>
            </w:tcBorders>
            <w:shd w:val="clear" w:color="auto" w:fill="auto"/>
          </w:tcPr>
          <w:p w14:paraId="0E067D73" w14:textId="77777777" w:rsidR="00B8738B" w:rsidRPr="003E76E7" w:rsidRDefault="00B8738B" w:rsidP="00C4292D">
            <w:pPr>
              <w:autoSpaceDE w:val="0"/>
              <w:autoSpaceDN w:val="0"/>
              <w:spacing w:before="40" w:after="40"/>
              <w:rPr>
                <w:rFonts w:ascii="Arial" w:hAnsi="Arial"/>
                <w:sz w:val="16"/>
                <w:szCs w:val="16"/>
                <w:lang w:val="en-AU"/>
              </w:rPr>
            </w:pPr>
            <w:r w:rsidRPr="003E76E7">
              <w:rPr>
                <w:rFonts w:ascii="Arial" w:hAnsi="Arial"/>
                <w:sz w:val="16"/>
                <w:szCs w:val="16"/>
              </w:rPr>
              <w:t>The project will deliver a warfighting network, called the Joint Command and Control Network (JC2Net), associated software applications, and support system. This network will be used by all Services, in all warfighting domains for SECRET and below information sharing within Defence, and with other government agencies and partner forces.</w:t>
            </w:r>
          </w:p>
          <w:p w14:paraId="2A07704F" w14:textId="77777777" w:rsidR="00B8738B" w:rsidRPr="003E76E7" w:rsidRDefault="00B8738B" w:rsidP="00C4292D">
            <w:pPr>
              <w:tabs>
                <w:tab w:val="left" w:pos="1114"/>
              </w:tabs>
              <w:spacing w:before="60" w:after="60"/>
              <w:rPr>
                <w:rFonts w:ascii="Arial" w:hAnsi="Arial"/>
                <w:sz w:val="16"/>
                <w:szCs w:val="16"/>
              </w:rPr>
            </w:pPr>
            <w:r w:rsidRPr="003E76E7">
              <w:rPr>
                <w:rFonts w:ascii="Arial" w:hAnsi="Arial"/>
                <w:sz w:val="16"/>
                <w:szCs w:val="16"/>
              </w:rPr>
              <w:t>This capability will be a critical enabler for the Integrated Force described in the Defence Strategic Review, enabling resilient Command and Control, and collaboration with partner forces.</w:t>
            </w:r>
          </w:p>
          <w:p w14:paraId="76ABDDAE" w14:textId="1A0B6E44" w:rsidR="00B8738B" w:rsidRPr="003E76E7" w:rsidRDefault="007F79A6" w:rsidP="00C4292D">
            <w:pPr>
              <w:tabs>
                <w:tab w:val="left" w:pos="1114"/>
              </w:tabs>
              <w:spacing w:before="60" w:after="60"/>
              <w:rPr>
                <w:rFonts w:ascii="Arial" w:hAnsi="Arial"/>
                <w:sz w:val="16"/>
                <w:szCs w:val="16"/>
                <w:lang w:val="en-AU"/>
              </w:rPr>
            </w:pPr>
            <w:r w:rsidRPr="003E76E7">
              <w:rPr>
                <w:rFonts w:ascii="Arial" w:hAnsi="Arial"/>
                <w:sz w:val="16"/>
                <w:szCs w:val="16"/>
              </w:rPr>
              <w:t>During 2026-27, the project will design, test, verify, and accredit the Warfighting Networks and Applications Support System in preparation for release, alongside establishing the foundational design of the Mission System.</w:t>
            </w:r>
          </w:p>
        </w:tc>
      </w:tr>
      <w:tr w:rsidR="00B8738B" w:rsidRPr="003E76E7" w14:paraId="52620DF3" w14:textId="77777777" w:rsidTr="009E133F">
        <w:trPr>
          <w:trHeight w:val="1266"/>
        </w:trPr>
        <w:tc>
          <w:tcPr>
            <w:tcW w:w="1730" w:type="dxa"/>
            <w:tcBorders>
              <w:top w:val="single" w:sz="4" w:space="0" w:color="auto"/>
              <w:left w:val="single" w:sz="4" w:space="0" w:color="auto"/>
              <w:bottom w:val="single" w:sz="4" w:space="0" w:color="auto"/>
              <w:right w:val="single" w:sz="4" w:space="0" w:color="auto"/>
            </w:tcBorders>
            <w:shd w:val="clear" w:color="auto" w:fill="auto"/>
            <w:vAlign w:val="center"/>
          </w:tcPr>
          <w:p w14:paraId="389BB06C" w14:textId="77777777" w:rsidR="00B8738B" w:rsidRPr="003E76E7" w:rsidRDefault="00B8738B" w:rsidP="00C4292D">
            <w:pPr>
              <w:rPr>
                <w:rFonts w:ascii="Arial" w:hAnsi="Arial"/>
                <w:sz w:val="16"/>
                <w:szCs w:val="16"/>
              </w:rPr>
            </w:pPr>
            <w:r w:rsidRPr="003E76E7">
              <w:rPr>
                <w:rFonts w:ascii="Arial" w:hAnsi="Arial"/>
                <w:sz w:val="16"/>
                <w:szCs w:val="16"/>
                <w:lang w:val="en-AU"/>
              </w:rPr>
              <w:t>Enterprise Resource Planning (ERP)</w:t>
            </w:r>
          </w:p>
        </w:tc>
        <w:tc>
          <w:tcPr>
            <w:tcW w:w="1134" w:type="dxa"/>
            <w:tcBorders>
              <w:top w:val="single" w:sz="4" w:space="0" w:color="auto"/>
              <w:left w:val="nil"/>
              <w:bottom w:val="single" w:sz="4" w:space="0" w:color="auto"/>
              <w:right w:val="single" w:sz="4" w:space="0" w:color="auto"/>
            </w:tcBorders>
            <w:shd w:val="clear" w:color="auto" w:fill="auto"/>
            <w:vAlign w:val="center"/>
          </w:tcPr>
          <w:p w14:paraId="47CBFE65" w14:textId="77777777" w:rsidR="00B8738B" w:rsidRPr="003E76E7" w:rsidRDefault="00B8738B" w:rsidP="00C4292D">
            <w:pPr>
              <w:jc w:val="center"/>
              <w:rPr>
                <w:rFonts w:ascii="Arial" w:hAnsi="Arial"/>
                <w:b/>
                <w:sz w:val="16"/>
                <w:szCs w:val="16"/>
              </w:rPr>
            </w:pPr>
            <w:r w:rsidRPr="003E76E7">
              <w:rPr>
                <w:rFonts w:ascii="Arial" w:hAnsi="Arial"/>
                <w:b/>
                <w:bCs/>
                <w:sz w:val="16"/>
                <w:szCs w:val="16"/>
                <w:lang w:val="en-AU"/>
              </w:rPr>
              <w:t xml:space="preserve">ICT 2283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77EB3664" w14:textId="77777777" w:rsidR="00B8738B" w:rsidRPr="003E76E7" w:rsidRDefault="00B8738B" w:rsidP="00C4292D">
            <w:pPr>
              <w:jc w:val="right"/>
              <w:rPr>
                <w:rFonts w:ascii="Arial" w:hAnsi="Arial"/>
                <w:sz w:val="16"/>
                <w:szCs w:val="16"/>
              </w:rPr>
            </w:pPr>
            <w:r w:rsidRPr="003E76E7">
              <w:rPr>
                <w:rFonts w:ascii="Arial" w:hAnsi="Arial"/>
                <w:sz w:val="16"/>
                <w:szCs w:val="16"/>
              </w:rPr>
              <w:t>1,536</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15928208" w14:textId="77777777" w:rsidR="00B8738B" w:rsidRPr="003E76E7" w:rsidRDefault="00B8738B" w:rsidP="00C4292D">
            <w:pPr>
              <w:jc w:val="right"/>
              <w:rPr>
                <w:rFonts w:ascii="Arial" w:hAnsi="Arial"/>
                <w:sz w:val="16"/>
                <w:szCs w:val="16"/>
              </w:rPr>
            </w:pPr>
            <w:r w:rsidRPr="003E76E7">
              <w:rPr>
                <w:rFonts w:ascii="Arial" w:hAnsi="Arial"/>
                <w:sz w:val="16"/>
                <w:szCs w:val="16"/>
              </w:rPr>
              <w:t>1,087</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30932F5E" w14:textId="77777777" w:rsidR="00B8738B" w:rsidRPr="003E76E7" w:rsidRDefault="00B8738B" w:rsidP="00C4292D">
            <w:pPr>
              <w:jc w:val="right"/>
              <w:rPr>
                <w:rFonts w:ascii="Arial" w:hAnsi="Arial"/>
                <w:sz w:val="16"/>
                <w:szCs w:val="16"/>
              </w:rPr>
            </w:pPr>
            <w:r w:rsidRPr="003E76E7">
              <w:rPr>
                <w:rFonts w:ascii="Arial" w:hAnsi="Arial"/>
                <w:sz w:val="16"/>
                <w:szCs w:val="16"/>
              </w:rPr>
              <w:t>202</w:t>
            </w:r>
          </w:p>
        </w:tc>
        <w:tc>
          <w:tcPr>
            <w:tcW w:w="7170" w:type="dxa"/>
            <w:tcBorders>
              <w:top w:val="single" w:sz="4" w:space="0" w:color="auto"/>
              <w:left w:val="nil"/>
              <w:bottom w:val="single" w:sz="4" w:space="0" w:color="auto"/>
              <w:right w:val="single" w:sz="4" w:space="0" w:color="auto"/>
            </w:tcBorders>
            <w:shd w:val="clear" w:color="auto" w:fill="auto"/>
          </w:tcPr>
          <w:p w14:paraId="4CED1DEE" w14:textId="77777777" w:rsidR="00B8738B" w:rsidRPr="003E76E7" w:rsidRDefault="00B8738B" w:rsidP="00C4292D">
            <w:pPr>
              <w:tabs>
                <w:tab w:val="left" w:pos="1114"/>
              </w:tabs>
              <w:spacing w:before="60" w:after="60"/>
              <w:rPr>
                <w:rFonts w:ascii="Arial" w:hAnsi="Arial"/>
                <w:sz w:val="16"/>
                <w:szCs w:val="16"/>
              </w:rPr>
            </w:pPr>
            <w:r w:rsidRPr="003E76E7">
              <w:rPr>
                <w:rFonts w:ascii="Arial" w:hAnsi="Arial"/>
                <w:sz w:val="16"/>
                <w:szCs w:val="16"/>
              </w:rPr>
              <w:t>The ERP Program will deliver a risk prioritised, phased modernisation and integration of Defence’s enterprise systems, stabilising and modernising mission critical HR, payroll, logistics, engineering, maintenance, finance, procurement and estate capabilities. Delivery will progress through tightly scoped waves, emphasising system integration, obsolescence remediation, sustainment affordability and operational continuity, supported by incremental Government reporting.</w:t>
            </w:r>
          </w:p>
          <w:p w14:paraId="198D0769" w14:textId="2795E00D" w:rsidR="00B8738B" w:rsidRPr="003E76E7" w:rsidRDefault="007F79A6" w:rsidP="00C4292D">
            <w:pPr>
              <w:tabs>
                <w:tab w:val="left" w:pos="1114"/>
              </w:tabs>
              <w:spacing w:before="60" w:after="60"/>
              <w:rPr>
                <w:rFonts w:ascii="Arial" w:hAnsi="Arial"/>
                <w:sz w:val="16"/>
                <w:szCs w:val="16"/>
                <w:lang w:val="en-AU"/>
              </w:rPr>
            </w:pPr>
            <w:r w:rsidRPr="003E76E7">
              <w:rPr>
                <w:rFonts w:ascii="Arial" w:hAnsi="Arial"/>
                <w:sz w:val="16"/>
                <w:szCs w:val="16"/>
              </w:rPr>
              <w:t>During 2026</w:t>
            </w:r>
            <w:r w:rsidR="00A55307" w:rsidRPr="003E76E7">
              <w:rPr>
                <w:rFonts w:ascii="Arial" w:hAnsi="Arial"/>
                <w:sz w:val="16"/>
                <w:szCs w:val="16"/>
              </w:rPr>
              <w:t>-</w:t>
            </w:r>
            <w:r w:rsidRPr="003E76E7">
              <w:rPr>
                <w:rFonts w:ascii="Arial" w:hAnsi="Arial"/>
                <w:sz w:val="16"/>
                <w:szCs w:val="16"/>
              </w:rPr>
              <w:t>27, the project will progress the Human Resources transformation and enable the establishment of the Defence Delivery Agency as a separate agency within the ERP solution.</w:t>
            </w:r>
          </w:p>
        </w:tc>
      </w:tr>
    </w:tbl>
    <w:p w14:paraId="57C9CF79" w14:textId="3BC117E2" w:rsidR="00B8738B" w:rsidRPr="003E76E7" w:rsidRDefault="00B8738B" w:rsidP="00C4292D">
      <w:pPr>
        <w:pStyle w:val="TableHeading"/>
        <w:spacing w:before="100"/>
        <w:outlineLvl w:val="4"/>
      </w:pPr>
      <w:r w:rsidRPr="003E76E7">
        <w:lastRenderedPageBreak/>
        <w:t>Table 59: Top 5 ICT Approved Projects by 2026-27 Forecast Expenditure (Gross Plan)</w:t>
      </w:r>
      <w:r w:rsidRPr="003E76E7">
        <w:rPr>
          <w:vertAlign w:val="superscript"/>
        </w:rPr>
        <w:t xml:space="preserve"> </w:t>
      </w:r>
      <w:r w:rsidR="00EB12C7" w:rsidRPr="003E76E7">
        <w:rPr>
          <w:vertAlign w:val="superscript"/>
        </w:rPr>
        <w:t>[a] [b]</w:t>
      </w:r>
      <w:r w:rsidR="00EB12C7" w:rsidRPr="003E76E7" w:rsidDel="00EB12C7">
        <w:rPr>
          <w:vertAlign w:val="superscript"/>
        </w:rPr>
        <w:t xml:space="preserve"> </w:t>
      </w:r>
    </w:p>
    <w:tbl>
      <w:tblPr>
        <w:tblW w:w="13720" w:type="dxa"/>
        <w:tblInd w:w="108" w:type="dxa"/>
        <w:tblLayout w:type="fixed"/>
        <w:tblLook w:val="04A0" w:firstRow="1" w:lastRow="0" w:firstColumn="1" w:lastColumn="0" w:noHBand="0" w:noVBand="1"/>
      </w:tblPr>
      <w:tblGrid>
        <w:gridCol w:w="1730"/>
        <w:gridCol w:w="1134"/>
        <w:gridCol w:w="1134"/>
        <w:gridCol w:w="1276"/>
        <w:gridCol w:w="1276"/>
        <w:gridCol w:w="7170"/>
      </w:tblGrid>
      <w:tr w:rsidR="00B8738B" w:rsidRPr="003E76E7" w14:paraId="51CB1E15" w14:textId="77777777" w:rsidTr="001E227C">
        <w:trPr>
          <w:trHeight w:val="1041"/>
        </w:trPr>
        <w:tc>
          <w:tcPr>
            <w:tcW w:w="17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B0D86D" w14:textId="57BE90EB" w:rsidR="00B8738B" w:rsidRPr="003E76E7" w:rsidRDefault="00B8738B" w:rsidP="00C4292D">
            <w:pPr>
              <w:spacing w:before="0" w:after="0"/>
              <w:rPr>
                <w:rFonts w:ascii="Arial" w:hAnsi="Arial"/>
                <w:b/>
                <w:bCs/>
                <w:sz w:val="16"/>
                <w:szCs w:val="16"/>
                <w:lang w:val="en-AU"/>
              </w:rPr>
            </w:pPr>
            <w:r w:rsidRPr="003E76E7">
              <w:rPr>
                <w:rFonts w:ascii="Arial" w:hAnsi="Arial"/>
                <w:b/>
                <w:bCs/>
                <w:sz w:val="16"/>
                <w:szCs w:val="16"/>
                <w:lang w:val="en-AU"/>
              </w:rPr>
              <w:t>Project Name</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86B997F" w14:textId="2208F16A" w:rsidR="00B8738B" w:rsidRPr="003E76E7" w:rsidRDefault="00B8738B" w:rsidP="00C4292D">
            <w:pPr>
              <w:spacing w:before="0" w:after="0"/>
              <w:ind w:left="-57" w:right="-57"/>
              <w:jc w:val="center"/>
              <w:rPr>
                <w:rFonts w:ascii="Arial" w:hAnsi="Arial"/>
                <w:b/>
                <w:bCs/>
                <w:sz w:val="16"/>
                <w:szCs w:val="16"/>
                <w:lang w:val="en-AU"/>
              </w:rPr>
            </w:pPr>
            <w:r w:rsidRPr="003E76E7">
              <w:rPr>
                <w:rFonts w:ascii="Arial" w:hAnsi="Arial"/>
                <w:b/>
                <w:bCs/>
                <w:sz w:val="16"/>
                <w:szCs w:val="16"/>
                <w:lang w:val="en-AU"/>
              </w:rPr>
              <w:t>Project Number/</w:t>
            </w:r>
            <w:r w:rsidRPr="003E76E7">
              <w:rPr>
                <w:rFonts w:ascii="Arial" w:hAnsi="Arial"/>
                <w:b/>
                <w:bCs/>
                <w:sz w:val="16"/>
                <w:szCs w:val="16"/>
                <w:lang w:val="en-AU"/>
              </w:rPr>
              <w:br/>
              <w:t>Phase</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02A7D93D" w14:textId="77777777" w:rsidR="00B8738B" w:rsidRPr="003E76E7" w:rsidRDefault="00B8738B" w:rsidP="001E227C">
            <w:pPr>
              <w:spacing w:before="0" w:after="0"/>
              <w:ind w:left="-57" w:right="-57"/>
              <w:jc w:val="right"/>
              <w:rPr>
                <w:rFonts w:ascii="Arial" w:hAnsi="Arial"/>
                <w:b/>
                <w:bCs/>
                <w:sz w:val="16"/>
                <w:szCs w:val="16"/>
                <w:lang w:val="en-AU"/>
              </w:rPr>
            </w:pPr>
            <w:r w:rsidRPr="003E76E7">
              <w:rPr>
                <w:rFonts w:ascii="Arial" w:hAnsi="Arial"/>
                <w:b/>
                <w:bCs/>
                <w:sz w:val="16"/>
                <w:szCs w:val="16"/>
                <w:lang w:val="en-AU"/>
              </w:rPr>
              <w:t>Approved</w:t>
            </w:r>
          </w:p>
          <w:p w14:paraId="7C45B972" w14:textId="77777777" w:rsidR="00B8738B" w:rsidRPr="003E76E7" w:rsidRDefault="00B8738B" w:rsidP="001E227C">
            <w:pPr>
              <w:spacing w:before="0" w:after="0"/>
              <w:ind w:left="-57" w:right="-57"/>
              <w:jc w:val="right"/>
              <w:rPr>
                <w:rFonts w:ascii="Arial" w:hAnsi="Arial"/>
                <w:b/>
                <w:bCs/>
                <w:sz w:val="16"/>
                <w:szCs w:val="16"/>
                <w:lang w:val="en-AU"/>
              </w:rPr>
            </w:pPr>
            <w:r w:rsidRPr="003E76E7">
              <w:rPr>
                <w:rFonts w:ascii="Arial" w:hAnsi="Arial"/>
                <w:b/>
                <w:bCs/>
                <w:sz w:val="16"/>
                <w:szCs w:val="16"/>
                <w:lang w:val="en-AU"/>
              </w:rPr>
              <w:t>Project</w:t>
            </w:r>
          </w:p>
          <w:p w14:paraId="7EA34228" w14:textId="47FE5DA0" w:rsidR="00B8738B" w:rsidRPr="003E76E7" w:rsidRDefault="001E227C" w:rsidP="001E227C">
            <w:pPr>
              <w:spacing w:before="0" w:after="0"/>
              <w:ind w:left="-57" w:right="-57"/>
              <w:jc w:val="right"/>
              <w:rPr>
                <w:rFonts w:ascii="Arial" w:hAnsi="Arial"/>
                <w:b/>
                <w:bCs/>
                <w:sz w:val="16"/>
                <w:szCs w:val="16"/>
                <w:lang w:val="en-AU"/>
              </w:rPr>
            </w:pPr>
            <w:r>
              <w:rPr>
                <w:rFonts w:ascii="Arial" w:hAnsi="Arial"/>
                <w:b/>
                <w:bCs/>
                <w:sz w:val="16"/>
                <w:szCs w:val="16"/>
                <w:lang w:val="en-AU"/>
              </w:rPr>
              <w:t>Expenditure</w:t>
            </w:r>
          </w:p>
          <w:p w14:paraId="582DFDC1" w14:textId="77777777" w:rsidR="00B8738B" w:rsidRPr="003E76E7" w:rsidRDefault="00B8738B" w:rsidP="001E227C">
            <w:pPr>
              <w:spacing w:before="0" w:after="0"/>
              <w:ind w:left="-57" w:right="-57"/>
              <w:jc w:val="right"/>
              <w:rPr>
                <w:rFonts w:ascii="Arial" w:hAnsi="Arial"/>
                <w:b/>
                <w:bCs/>
                <w:sz w:val="16"/>
                <w:szCs w:val="16"/>
                <w:lang w:val="en-AU"/>
              </w:rPr>
            </w:pPr>
          </w:p>
          <w:p w14:paraId="64EEC1E3" w14:textId="776CAD73" w:rsidR="00B8738B" w:rsidRPr="003E76E7" w:rsidRDefault="00B8738B" w:rsidP="001E227C">
            <w:pPr>
              <w:spacing w:before="0" w:after="0"/>
              <w:ind w:left="-57" w:right="-57"/>
              <w:jc w:val="right"/>
              <w:rPr>
                <w:rFonts w:ascii="Arial" w:hAnsi="Arial"/>
                <w:b/>
                <w:bCs/>
                <w:sz w:val="16"/>
                <w:szCs w:val="16"/>
                <w:lang w:val="en-AU"/>
              </w:rPr>
            </w:pPr>
            <w:r w:rsidRPr="003E76E7">
              <w:rPr>
                <w:rFonts w:ascii="Arial" w:hAnsi="Arial"/>
                <w:b/>
                <w:bCs/>
                <w:sz w:val="16"/>
                <w:szCs w:val="16"/>
                <w:lang w:val="en-AU"/>
              </w:rPr>
              <w:t>$m</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67FFE9AB" w14:textId="77777777" w:rsidR="00B8738B" w:rsidRPr="003E76E7" w:rsidRDefault="00B8738B" w:rsidP="001E227C">
            <w:pPr>
              <w:spacing w:before="0" w:after="0"/>
              <w:ind w:left="-57" w:right="-57"/>
              <w:jc w:val="right"/>
              <w:rPr>
                <w:rFonts w:ascii="Arial" w:hAnsi="Arial"/>
                <w:b/>
                <w:bCs/>
                <w:sz w:val="16"/>
                <w:szCs w:val="16"/>
                <w:lang w:val="en-AU"/>
              </w:rPr>
            </w:pPr>
            <w:r w:rsidRPr="003E76E7">
              <w:rPr>
                <w:rFonts w:ascii="Arial" w:hAnsi="Arial"/>
                <w:b/>
                <w:bCs/>
                <w:sz w:val="16"/>
                <w:szCs w:val="16"/>
                <w:lang w:val="en-AU"/>
              </w:rPr>
              <w:t>Estimated Cumulative</w:t>
            </w:r>
          </w:p>
          <w:p w14:paraId="5FB4209B" w14:textId="77777777" w:rsidR="00B8738B" w:rsidRPr="003E76E7" w:rsidRDefault="00B8738B" w:rsidP="001E227C">
            <w:pPr>
              <w:spacing w:before="0" w:after="0"/>
              <w:ind w:left="-57" w:right="-57"/>
              <w:jc w:val="right"/>
              <w:rPr>
                <w:rFonts w:ascii="Arial" w:hAnsi="Arial"/>
                <w:b/>
                <w:bCs/>
                <w:sz w:val="16"/>
                <w:szCs w:val="16"/>
                <w:lang w:val="en-AU"/>
              </w:rPr>
            </w:pPr>
            <w:r w:rsidRPr="003E76E7">
              <w:rPr>
                <w:rFonts w:ascii="Arial" w:hAnsi="Arial"/>
                <w:b/>
                <w:bCs/>
                <w:sz w:val="16"/>
                <w:szCs w:val="16"/>
                <w:lang w:val="en-AU"/>
              </w:rPr>
              <w:t>Expenditure to</w:t>
            </w:r>
          </w:p>
          <w:p w14:paraId="1C53D232" w14:textId="77777777" w:rsidR="00B8738B" w:rsidRPr="003E76E7" w:rsidRDefault="00B8738B" w:rsidP="001E227C">
            <w:pPr>
              <w:spacing w:before="0" w:after="0"/>
              <w:ind w:left="-57" w:right="-57"/>
              <w:jc w:val="right"/>
              <w:rPr>
                <w:rFonts w:ascii="Arial" w:hAnsi="Arial"/>
                <w:b/>
                <w:bCs/>
                <w:sz w:val="16"/>
                <w:szCs w:val="16"/>
                <w:lang w:val="en-AU"/>
              </w:rPr>
            </w:pPr>
            <w:r w:rsidRPr="003E76E7">
              <w:rPr>
                <w:rFonts w:ascii="Arial" w:hAnsi="Arial"/>
                <w:b/>
                <w:bCs/>
                <w:sz w:val="16"/>
                <w:szCs w:val="16"/>
                <w:lang w:val="en-AU"/>
              </w:rPr>
              <w:t xml:space="preserve"> 30 June 2026</w:t>
            </w:r>
          </w:p>
          <w:p w14:paraId="56B3939E" w14:textId="77777777" w:rsidR="00B8738B" w:rsidRPr="003E76E7" w:rsidRDefault="00B8738B" w:rsidP="001E227C">
            <w:pPr>
              <w:spacing w:before="0" w:after="0"/>
              <w:ind w:left="-57" w:right="-57"/>
              <w:jc w:val="right"/>
              <w:rPr>
                <w:rFonts w:ascii="Arial" w:hAnsi="Arial"/>
                <w:b/>
                <w:bCs/>
                <w:sz w:val="16"/>
                <w:szCs w:val="16"/>
                <w:lang w:val="en-AU"/>
              </w:rPr>
            </w:pPr>
          </w:p>
          <w:p w14:paraId="70B400C9" w14:textId="4232EADE" w:rsidR="00B8738B" w:rsidRPr="003E76E7" w:rsidRDefault="00B8738B" w:rsidP="001E227C">
            <w:pPr>
              <w:spacing w:before="0" w:after="0"/>
              <w:ind w:left="-57" w:right="-57"/>
              <w:jc w:val="right"/>
              <w:rPr>
                <w:rFonts w:ascii="Arial" w:hAnsi="Arial"/>
                <w:b/>
                <w:bCs/>
                <w:sz w:val="16"/>
                <w:szCs w:val="16"/>
                <w:lang w:val="en-AU"/>
              </w:rPr>
            </w:pPr>
            <w:r w:rsidRPr="003E76E7">
              <w:rPr>
                <w:rFonts w:ascii="Arial" w:hAnsi="Arial"/>
                <w:b/>
                <w:bCs/>
                <w:sz w:val="16"/>
                <w:szCs w:val="16"/>
                <w:lang w:val="en-AU"/>
              </w:rPr>
              <w:t>$m</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31AF7F25" w14:textId="77777777" w:rsidR="00B8738B" w:rsidRPr="003E76E7" w:rsidRDefault="00B8738B" w:rsidP="001E227C">
            <w:pPr>
              <w:spacing w:before="0" w:after="0"/>
              <w:ind w:left="-57" w:right="-57"/>
              <w:jc w:val="right"/>
              <w:rPr>
                <w:rFonts w:ascii="Arial" w:hAnsi="Arial"/>
                <w:b/>
                <w:bCs/>
                <w:sz w:val="16"/>
                <w:szCs w:val="16"/>
                <w:lang w:val="en-AU"/>
              </w:rPr>
            </w:pPr>
            <w:r w:rsidRPr="003E76E7">
              <w:rPr>
                <w:rFonts w:ascii="Arial" w:hAnsi="Arial"/>
                <w:b/>
                <w:bCs/>
                <w:sz w:val="16"/>
                <w:szCs w:val="16"/>
                <w:lang w:val="en-AU"/>
              </w:rPr>
              <w:t>Budget</w:t>
            </w:r>
          </w:p>
          <w:p w14:paraId="34AD7613" w14:textId="77777777" w:rsidR="00B8738B" w:rsidRPr="003E76E7" w:rsidRDefault="00B8738B" w:rsidP="001E227C">
            <w:pPr>
              <w:spacing w:before="0" w:after="0"/>
              <w:ind w:left="-57" w:right="-57"/>
              <w:jc w:val="right"/>
              <w:rPr>
                <w:rFonts w:ascii="Arial" w:hAnsi="Arial"/>
                <w:b/>
                <w:bCs/>
                <w:sz w:val="16"/>
                <w:szCs w:val="16"/>
                <w:lang w:val="en-AU"/>
              </w:rPr>
            </w:pPr>
            <w:r w:rsidRPr="003E76E7">
              <w:rPr>
                <w:rFonts w:ascii="Arial" w:hAnsi="Arial"/>
                <w:b/>
                <w:bCs/>
                <w:sz w:val="16"/>
                <w:szCs w:val="16"/>
                <w:lang w:val="en-AU"/>
              </w:rPr>
              <w:t>Estimate</w:t>
            </w:r>
          </w:p>
          <w:p w14:paraId="389331FA" w14:textId="00F5D615" w:rsidR="00B8738B" w:rsidRPr="003E76E7" w:rsidRDefault="001E227C" w:rsidP="001E227C">
            <w:pPr>
              <w:spacing w:before="0" w:after="0"/>
              <w:ind w:left="-57" w:right="-57"/>
              <w:jc w:val="right"/>
              <w:rPr>
                <w:rFonts w:ascii="Arial" w:hAnsi="Arial"/>
                <w:b/>
                <w:bCs/>
                <w:sz w:val="16"/>
                <w:szCs w:val="16"/>
                <w:lang w:val="en-AU"/>
              </w:rPr>
            </w:pPr>
            <w:r>
              <w:rPr>
                <w:rFonts w:ascii="Arial" w:hAnsi="Arial"/>
                <w:b/>
                <w:bCs/>
                <w:sz w:val="16"/>
                <w:szCs w:val="16"/>
                <w:lang w:val="en-AU"/>
              </w:rPr>
              <w:t>2026-27</w:t>
            </w:r>
          </w:p>
          <w:p w14:paraId="01F103E3" w14:textId="77777777" w:rsidR="00B8738B" w:rsidRPr="003E76E7" w:rsidRDefault="00B8738B" w:rsidP="001E227C">
            <w:pPr>
              <w:spacing w:before="0" w:after="0"/>
              <w:ind w:left="-57" w:right="-57"/>
              <w:jc w:val="right"/>
              <w:rPr>
                <w:rFonts w:ascii="Arial" w:hAnsi="Arial"/>
                <w:b/>
                <w:bCs/>
                <w:sz w:val="16"/>
                <w:szCs w:val="16"/>
                <w:lang w:val="en-AU"/>
              </w:rPr>
            </w:pPr>
          </w:p>
          <w:p w14:paraId="491D78A8" w14:textId="162EDA8F" w:rsidR="00B8738B" w:rsidRPr="003E76E7" w:rsidRDefault="00B8738B" w:rsidP="001E227C">
            <w:pPr>
              <w:spacing w:before="0" w:after="0"/>
              <w:ind w:left="-57" w:right="-57"/>
              <w:jc w:val="right"/>
              <w:rPr>
                <w:rFonts w:ascii="Arial" w:hAnsi="Arial"/>
                <w:b/>
                <w:bCs/>
                <w:sz w:val="16"/>
                <w:szCs w:val="16"/>
                <w:lang w:val="en-AU"/>
              </w:rPr>
            </w:pPr>
            <w:r w:rsidRPr="003E76E7">
              <w:rPr>
                <w:rFonts w:ascii="Arial" w:hAnsi="Arial"/>
                <w:b/>
                <w:bCs/>
                <w:sz w:val="16"/>
                <w:szCs w:val="16"/>
                <w:lang w:val="en-AU"/>
              </w:rPr>
              <w:t>$m</w:t>
            </w:r>
          </w:p>
        </w:tc>
        <w:tc>
          <w:tcPr>
            <w:tcW w:w="7170" w:type="dxa"/>
            <w:tcBorders>
              <w:top w:val="single" w:sz="4" w:space="0" w:color="auto"/>
              <w:left w:val="nil"/>
              <w:bottom w:val="single" w:sz="4" w:space="0" w:color="auto"/>
              <w:right w:val="single" w:sz="4" w:space="0" w:color="auto"/>
            </w:tcBorders>
            <w:shd w:val="clear" w:color="auto" w:fill="auto"/>
            <w:vAlign w:val="center"/>
            <w:hideMark/>
          </w:tcPr>
          <w:p w14:paraId="0AAAB414" w14:textId="2ECE2927" w:rsidR="00B8738B" w:rsidRPr="003E76E7" w:rsidRDefault="00B8738B" w:rsidP="00C4292D">
            <w:pPr>
              <w:spacing w:before="0" w:after="0"/>
              <w:rPr>
                <w:rFonts w:ascii="Arial" w:hAnsi="Arial"/>
                <w:b/>
                <w:bCs/>
                <w:sz w:val="16"/>
                <w:szCs w:val="16"/>
                <w:lang w:val="en-AU"/>
              </w:rPr>
            </w:pPr>
            <w:r w:rsidRPr="003E76E7">
              <w:rPr>
                <w:rFonts w:ascii="Arial" w:hAnsi="Arial"/>
                <w:b/>
                <w:bCs/>
                <w:sz w:val="16"/>
                <w:szCs w:val="16"/>
                <w:lang w:val="en-AU"/>
              </w:rPr>
              <w:t>Top 5 ICT Project Descriptions</w:t>
            </w:r>
          </w:p>
        </w:tc>
      </w:tr>
      <w:tr w:rsidR="00B8738B" w:rsidRPr="003E76E7" w14:paraId="7E699971" w14:textId="77777777" w:rsidTr="004C3F0A">
        <w:trPr>
          <w:trHeight w:val="1266"/>
        </w:trPr>
        <w:tc>
          <w:tcPr>
            <w:tcW w:w="1730" w:type="dxa"/>
            <w:tcBorders>
              <w:top w:val="single" w:sz="4" w:space="0" w:color="auto"/>
              <w:left w:val="single" w:sz="4" w:space="0" w:color="auto"/>
              <w:bottom w:val="single" w:sz="4" w:space="0" w:color="auto"/>
              <w:right w:val="single" w:sz="4" w:space="0" w:color="auto"/>
            </w:tcBorders>
            <w:shd w:val="clear" w:color="auto" w:fill="auto"/>
            <w:vAlign w:val="center"/>
          </w:tcPr>
          <w:p w14:paraId="784DFC05" w14:textId="77777777" w:rsidR="00B8738B" w:rsidRPr="003E76E7" w:rsidRDefault="00B8738B" w:rsidP="00C4292D">
            <w:pPr>
              <w:rPr>
                <w:rFonts w:ascii="Arial" w:hAnsi="Arial"/>
                <w:sz w:val="16"/>
                <w:szCs w:val="16"/>
              </w:rPr>
            </w:pPr>
            <w:r w:rsidRPr="003E76E7">
              <w:rPr>
                <w:rFonts w:ascii="Arial" w:hAnsi="Arial"/>
                <w:sz w:val="16"/>
                <w:szCs w:val="16"/>
                <w:lang w:val="en-AU"/>
              </w:rPr>
              <w:t>Fleet Information Environment Modernisation</w:t>
            </w:r>
          </w:p>
        </w:tc>
        <w:tc>
          <w:tcPr>
            <w:tcW w:w="1134" w:type="dxa"/>
            <w:tcBorders>
              <w:top w:val="single" w:sz="4" w:space="0" w:color="auto"/>
              <w:left w:val="nil"/>
              <w:bottom w:val="single" w:sz="4" w:space="0" w:color="auto"/>
              <w:right w:val="single" w:sz="4" w:space="0" w:color="auto"/>
            </w:tcBorders>
            <w:shd w:val="clear" w:color="auto" w:fill="auto"/>
            <w:vAlign w:val="center"/>
          </w:tcPr>
          <w:p w14:paraId="62CA3756" w14:textId="77777777" w:rsidR="00B8738B" w:rsidRPr="003E76E7" w:rsidRDefault="00B8738B" w:rsidP="00C4292D">
            <w:pPr>
              <w:jc w:val="center"/>
              <w:rPr>
                <w:rFonts w:ascii="Arial" w:hAnsi="Arial"/>
                <w:b/>
                <w:bCs/>
                <w:sz w:val="16"/>
                <w:szCs w:val="16"/>
              </w:rPr>
            </w:pPr>
            <w:r w:rsidRPr="003E76E7">
              <w:rPr>
                <w:rFonts w:ascii="Arial" w:hAnsi="Arial"/>
                <w:b/>
                <w:sz w:val="16"/>
                <w:szCs w:val="16"/>
                <w:lang w:val="en-AU"/>
              </w:rPr>
              <w:t>SEA 2273</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02B9D143" w14:textId="77777777" w:rsidR="00B8738B" w:rsidRPr="003E76E7" w:rsidRDefault="00B8738B" w:rsidP="00C4292D">
            <w:pPr>
              <w:jc w:val="right"/>
              <w:rPr>
                <w:rFonts w:ascii="Arial" w:hAnsi="Arial"/>
                <w:sz w:val="16"/>
                <w:szCs w:val="16"/>
              </w:rPr>
            </w:pPr>
            <w:r w:rsidRPr="003E76E7">
              <w:rPr>
                <w:rFonts w:ascii="Arial" w:hAnsi="Arial"/>
                <w:sz w:val="16"/>
                <w:szCs w:val="16"/>
              </w:rPr>
              <w:t>580</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2D9DA3D9" w14:textId="77777777" w:rsidR="00B8738B" w:rsidRPr="003E76E7" w:rsidRDefault="00B8738B" w:rsidP="00C4292D">
            <w:pPr>
              <w:jc w:val="right"/>
              <w:rPr>
                <w:rFonts w:ascii="Arial" w:hAnsi="Arial"/>
                <w:sz w:val="16"/>
                <w:szCs w:val="16"/>
              </w:rPr>
            </w:pPr>
            <w:r w:rsidRPr="003E76E7">
              <w:rPr>
                <w:rFonts w:ascii="Arial" w:hAnsi="Arial"/>
                <w:sz w:val="16"/>
                <w:szCs w:val="16"/>
              </w:rPr>
              <w:t>461</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13A391A1" w14:textId="77777777" w:rsidR="00B8738B" w:rsidRPr="003E76E7" w:rsidRDefault="00B8738B" w:rsidP="00C4292D">
            <w:pPr>
              <w:jc w:val="right"/>
              <w:rPr>
                <w:rFonts w:ascii="Arial" w:hAnsi="Arial"/>
                <w:sz w:val="16"/>
                <w:szCs w:val="16"/>
              </w:rPr>
            </w:pPr>
            <w:r w:rsidRPr="003E76E7">
              <w:rPr>
                <w:rFonts w:ascii="Arial" w:hAnsi="Arial"/>
                <w:sz w:val="16"/>
                <w:szCs w:val="16"/>
              </w:rPr>
              <w:t>29</w:t>
            </w:r>
          </w:p>
        </w:tc>
        <w:tc>
          <w:tcPr>
            <w:tcW w:w="7170" w:type="dxa"/>
            <w:tcBorders>
              <w:top w:val="nil"/>
              <w:left w:val="nil"/>
              <w:bottom w:val="single" w:sz="4" w:space="0" w:color="auto"/>
              <w:right w:val="single" w:sz="4" w:space="0" w:color="auto"/>
            </w:tcBorders>
            <w:shd w:val="clear" w:color="auto" w:fill="auto"/>
          </w:tcPr>
          <w:p w14:paraId="05169726" w14:textId="77777777" w:rsidR="00B8738B" w:rsidRPr="003E76E7" w:rsidRDefault="00B8738B" w:rsidP="00C4292D">
            <w:pPr>
              <w:tabs>
                <w:tab w:val="left" w:pos="1114"/>
              </w:tabs>
              <w:spacing w:before="60" w:after="60"/>
              <w:rPr>
                <w:rFonts w:ascii="Arial" w:hAnsi="Arial"/>
                <w:sz w:val="16"/>
                <w:szCs w:val="16"/>
                <w:lang w:val="en-AU"/>
              </w:rPr>
            </w:pPr>
            <w:r w:rsidRPr="003E76E7">
              <w:rPr>
                <w:rFonts w:ascii="Arial" w:hAnsi="Arial"/>
                <w:sz w:val="16"/>
                <w:szCs w:val="16"/>
                <w:lang w:val="en-AU"/>
              </w:rPr>
              <w:t>The project will deliver a suite of integrated ICT systems, applications and infrastructure that supports both deployed operations and day-to-day administrative activities, where ships and submarine crews are located. The systems, collectively, will provide Command and Control between headquarters and other Navy platforms, Communication and information sharing with other Navy platforms, ADF deployed forces, Coalition partners, and Other Government Organisation assets. Situational awareness, intelligence and surveillance information to enable timely decision-making.</w:t>
            </w:r>
          </w:p>
          <w:p w14:paraId="4EB12F1F" w14:textId="726FCDB1" w:rsidR="00B8738B" w:rsidRPr="003E76E7" w:rsidRDefault="007F79A6" w:rsidP="00C4292D">
            <w:pPr>
              <w:tabs>
                <w:tab w:val="left" w:pos="1114"/>
              </w:tabs>
              <w:spacing w:before="60" w:after="60"/>
              <w:rPr>
                <w:rFonts w:ascii="Arial" w:hAnsi="Arial"/>
                <w:sz w:val="16"/>
                <w:szCs w:val="16"/>
                <w:lang w:val="en-AU"/>
              </w:rPr>
            </w:pPr>
            <w:r w:rsidRPr="003E76E7">
              <w:rPr>
                <w:rFonts w:ascii="Arial" w:hAnsi="Arial"/>
                <w:sz w:val="16"/>
                <w:szCs w:val="16"/>
                <w:lang w:val="en-AU"/>
              </w:rPr>
              <w:t xml:space="preserve">During 2026-27, the Project will deliver systems to five Naval platforms including two platform </w:t>
            </w:r>
            <w:r w:rsidRPr="003E76E7">
              <w:rPr>
                <w:rFonts w:ascii="Arial" w:hAnsi="Arial"/>
                <w:sz w:val="16"/>
                <w:szCs w:val="16"/>
                <w:lang w:val="en-AU"/>
              </w:rPr>
              <w:br/>
              <w:t>First of Class installs. Work will also continue with ICT 9111 to develop the convergence plan for the integration of SEA 2273 systems into JC2Net.</w:t>
            </w:r>
          </w:p>
        </w:tc>
      </w:tr>
      <w:tr w:rsidR="00B8738B" w:rsidRPr="003E76E7" w14:paraId="464F8EF7" w14:textId="77777777" w:rsidTr="00A15E81">
        <w:trPr>
          <w:trHeight w:val="1165"/>
        </w:trPr>
        <w:tc>
          <w:tcPr>
            <w:tcW w:w="1730" w:type="dxa"/>
            <w:tcBorders>
              <w:top w:val="single" w:sz="4" w:space="0" w:color="auto"/>
              <w:left w:val="single" w:sz="4" w:space="0" w:color="auto"/>
              <w:bottom w:val="single" w:sz="4" w:space="0" w:color="auto"/>
              <w:right w:val="single" w:sz="4" w:space="0" w:color="auto"/>
            </w:tcBorders>
            <w:shd w:val="clear" w:color="auto" w:fill="auto"/>
            <w:vAlign w:val="center"/>
          </w:tcPr>
          <w:p w14:paraId="34307472" w14:textId="77777777" w:rsidR="00B8738B" w:rsidRPr="003E76E7" w:rsidRDefault="00B8738B" w:rsidP="00C4292D">
            <w:pPr>
              <w:spacing w:before="60" w:after="60"/>
              <w:rPr>
                <w:rFonts w:ascii="Arial" w:hAnsi="Arial"/>
                <w:sz w:val="16"/>
                <w:szCs w:val="16"/>
                <w:lang w:val="en-AU"/>
              </w:rPr>
            </w:pPr>
            <w:r w:rsidRPr="003E76E7">
              <w:rPr>
                <w:rFonts w:ascii="Arial" w:hAnsi="Arial"/>
                <w:sz w:val="16"/>
                <w:szCs w:val="16"/>
                <w:lang w:val="en-AU"/>
              </w:rPr>
              <w:t>Integrated Intelligence Surveillance Reconnaissance and Processing Exploitation Dissemination Enterprise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1EFFE93" w14:textId="77777777" w:rsidR="00B8738B" w:rsidRPr="003E76E7" w:rsidRDefault="00B8738B" w:rsidP="00C4292D">
            <w:pPr>
              <w:spacing w:before="0" w:after="0"/>
              <w:jc w:val="center"/>
              <w:rPr>
                <w:rFonts w:ascii="Arial" w:hAnsi="Arial"/>
                <w:b/>
                <w:bCs/>
                <w:sz w:val="16"/>
                <w:szCs w:val="16"/>
                <w:lang w:val="en-AU"/>
              </w:rPr>
            </w:pPr>
            <w:r w:rsidRPr="003E76E7">
              <w:rPr>
                <w:rFonts w:ascii="Arial" w:hAnsi="Arial"/>
                <w:b/>
                <w:sz w:val="16"/>
                <w:szCs w:val="16"/>
                <w:lang w:val="en-AU"/>
              </w:rPr>
              <w:t>DEF 2150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2F0619FB" w14:textId="77777777" w:rsidR="00B8738B" w:rsidRPr="003E76E7" w:rsidRDefault="00B8738B" w:rsidP="00C4292D">
            <w:pPr>
              <w:jc w:val="right"/>
              <w:rPr>
                <w:rFonts w:ascii="Arial" w:hAnsi="Arial"/>
                <w:sz w:val="16"/>
                <w:szCs w:val="16"/>
              </w:rPr>
            </w:pPr>
            <w:r w:rsidRPr="003E76E7">
              <w:rPr>
                <w:rFonts w:ascii="Arial" w:hAnsi="Arial"/>
                <w:sz w:val="16"/>
                <w:szCs w:val="16"/>
              </w:rPr>
              <w:t>202</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181F7E17" w14:textId="77777777" w:rsidR="00B8738B" w:rsidRPr="003E76E7" w:rsidRDefault="00B8738B" w:rsidP="00C4292D">
            <w:pPr>
              <w:jc w:val="right"/>
              <w:rPr>
                <w:rFonts w:ascii="Arial" w:hAnsi="Arial"/>
                <w:sz w:val="16"/>
                <w:szCs w:val="16"/>
              </w:rPr>
            </w:pPr>
            <w:r w:rsidRPr="003E76E7">
              <w:rPr>
                <w:rFonts w:ascii="Arial" w:hAnsi="Arial"/>
                <w:sz w:val="16"/>
                <w:szCs w:val="16"/>
              </w:rPr>
              <w:t>131</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0B34EBE9" w14:textId="77777777" w:rsidR="00B8738B" w:rsidRPr="003E76E7" w:rsidRDefault="00B8738B" w:rsidP="00C4292D">
            <w:pPr>
              <w:jc w:val="right"/>
              <w:rPr>
                <w:rFonts w:ascii="Arial" w:hAnsi="Arial"/>
                <w:sz w:val="16"/>
                <w:szCs w:val="16"/>
              </w:rPr>
            </w:pPr>
            <w:r w:rsidRPr="003E76E7">
              <w:rPr>
                <w:rFonts w:ascii="Arial" w:hAnsi="Arial"/>
                <w:sz w:val="16"/>
                <w:szCs w:val="16"/>
              </w:rPr>
              <w:t>16</w:t>
            </w:r>
          </w:p>
        </w:tc>
        <w:tc>
          <w:tcPr>
            <w:tcW w:w="7170" w:type="dxa"/>
            <w:tcBorders>
              <w:top w:val="single" w:sz="4" w:space="0" w:color="auto"/>
              <w:left w:val="single" w:sz="4" w:space="0" w:color="auto"/>
              <w:bottom w:val="single" w:sz="4" w:space="0" w:color="auto"/>
              <w:right w:val="single" w:sz="4" w:space="0" w:color="auto"/>
            </w:tcBorders>
            <w:shd w:val="clear" w:color="auto" w:fill="auto"/>
            <w:vAlign w:val="center"/>
          </w:tcPr>
          <w:p w14:paraId="084AFBED" w14:textId="4632E3EE" w:rsidR="00B8738B" w:rsidRPr="003E76E7" w:rsidRDefault="00B8738B" w:rsidP="00A15E81">
            <w:pPr>
              <w:tabs>
                <w:tab w:val="left" w:pos="1114"/>
              </w:tabs>
              <w:spacing w:before="60" w:after="60"/>
              <w:rPr>
                <w:rFonts w:ascii="Arial" w:hAnsi="Arial"/>
                <w:sz w:val="16"/>
                <w:szCs w:val="16"/>
                <w:lang w:val="en-AU"/>
              </w:rPr>
            </w:pPr>
            <w:r w:rsidRPr="003E76E7">
              <w:rPr>
                <w:rFonts w:ascii="Arial" w:hAnsi="Arial"/>
                <w:sz w:val="16"/>
                <w:szCs w:val="16"/>
                <w:lang w:val="en-AU"/>
              </w:rPr>
              <w:t xml:space="preserve">This project will deliver the baseline Distributed Ground Station </w:t>
            </w:r>
            <w:r w:rsidR="00A55307" w:rsidRPr="003E76E7">
              <w:rPr>
                <w:rFonts w:ascii="Arial" w:hAnsi="Arial"/>
                <w:sz w:val="16"/>
                <w:szCs w:val="16"/>
                <w:lang w:val="en-AU"/>
              </w:rPr>
              <w:t>-</w:t>
            </w:r>
            <w:r w:rsidRPr="003E76E7">
              <w:rPr>
                <w:rFonts w:ascii="Arial" w:hAnsi="Arial"/>
                <w:sz w:val="16"/>
                <w:szCs w:val="16"/>
                <w:lang w:val="en-AU"/>
              </w:rPr>
              <w:t xml:space="preserve"> Australia (DGS-AUS) Capability for the Processing, Exploitation and Dissemination (PED) of data and information collected by a range of airborne Intelligence, Surveillance and Reconnaissance (ISR) platforms.</w:t>
            </w:r>
          </w:p>
          <w:p w14:paraId="3FAF6201" w14:textId="295EF934" w:rsidR="00B8738B" w:rsidRPr="003E76E7" w:rsidRDefault="007F79A6" w:rsidP="00A15E81">
            <w:pPr>
              <w:tabs>
                <w:tab w:val="left" w:pos="1114"/>
              </w:tabs>
              <w:spacing w:before="60" w:after="60"/>
              <w:rPr>
                <w:rFonts w:ascii="Arial" w:hAnsi="Arial"/>
                <w:sz w:val="16"/>
                <w:szCs w:val="16"/>
                <w:lang w:val="en-AU"/>
              </w:rPr>
            </w:pPr>
            <w:r w:rsidRPr="003E76E7">
              <w:rPr>
                <w:rFonts w:ascii="Arial" w:hAnsi="Arial"/>
                <w:sz w:val="16"/>
                <w:szCs w:val="16"/>
                <w:lang w:val="en-AU"/>
              </w:rPr>
              <w:t>During 2026-27, the project will complete delivery of the foundation components of the DGS-AUS Capability.</w:t>
            </w:r>
          </w:p>
        </w:tc>
      </w:tr>
      <w:tr w:rsidR="00B8738B" w:rsidRPr="003E76E7" w14:paraId="6FFF1D12" w14:textId="77777777" w:rsidTr="00FE5A03">
        <w:trPr>
          <w:gridAfter w:val="1"/>
          <w:wAfter w:w="7170" w:type="dxa"/>
          <w:trHeight w:val="517"/>
        </w:trPr>
        <w:tc>
          <w:tcPr>
            <w:tcW w:w="2864"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52C61F5" w14:textId="34A37D61" w:rsidR="00B8738B" w:rsidRPr="003E76E7" w:rsidRDefault="00B8738B" w:rsidP="00C4292D">
            <w:pPr>
              <w:spacing w:before="0" w:after="0"/>
              <w:ind w:right="113"/>
              <w:rPr>
                <w:rFonts w:ascii="Arial" w:hAnsi="Arial"/>
                <w:sz w:val="16"/>
                <w:szCs w:val="16"/>
              </w:rPr>
            </w:pPr>
            <w:r w:rsidRPr="003E76E7">
              <w:rPr>
                <w:rFonts w:ascii="Arial" w:hAnsi="Arial"/>
                <w:b/>
                <w:bCs/>
                <w:sz w:val="16"/>
                <w:szCs w:val="16"/>
              </w:rPr>
              <w:t xml:space="preserve">Total Top 5 ICT Projects </w:t>
            </w:r>
            <w:r w:rsidR="00FE5A03">
              <w:rPr>
                <w:rFonts w:ascii="Arial" w:hAnsi="Arial"/>
                <w:b/>
                <w:bCs/>
                <w:sz w:val="16"/>
                <w:szCs w:val="16"/>
              </w:rPr>
              <w:br/>
            </w:r>
            <w:r w:rsidRPr="003E76E7">
              <w:rPr>
                <w:rFonts w:ascii="Arial" w:hAnsi="Arial"/>
                <w:b/>
                <w:bCs/>
                <w:sz w:val="16"/>
                <w:szCs w:val="16"/>
              </w:rPr>
              <w:t>(Gross Plan)</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2B6F81A" w14:textId="77777777" w:rsidR="00B8738B" w:rsidRPr="003E76E7" w:rsidRDefault="00B8738B" w:rsidP="00C4292D">
            <w:pPr>
              <w:jc w:val="right"/>
              <w:rPr>
                <w:rFonts w:ascii="Arial" w:hAnsi="Arial"/>
                <w:b/>
                <w:sz w:val="16"/>
                <w:szCs w:val="16"/>
              </w:rPr>
            </w:pPr>
            <w:r w:rsidRPr="003E76E7">
              <w:rPr>
                <w:rFonts w:ascii="Arial" w:hAnsi="Arial"/>
                <w:b/>
                <w:sz w:val="16"/>
                <w:szCs w:val="16"/>
              </w:rPr>
              <w:t>5,888</w:t>
            </w:r>
          </w:p>
        </w:tc>
        <w:tc>
          <w:tcPr>
            <w:tcW w:w="127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058E048" w14:textId="77777777" w:rsidR="00B8738B" w:rsidRPr="003E76E7" w:rsidRDefault="00B8738B" w:rsidP="00C4292D">
            <w:pPr>
              <w:jc w:val="right"/>
              <w:rPr>
                <w:rFonts w:ascii="Arial" w:hAnsi="Arial"/>
                <w:b/>
                <w:sz w:val="16"/>
                <w:szCs w:val="16"/>
              </w:rPr>
            </w:pPr>
            <w:r w:rsidRPr="003E76E7">
              <w:rPr>
                <w:rFonts w:ascii="Arial" w:hAnsi="Arial"/>
                <w:b/>
                <w:sz w:val="16"/>
                <w:szCs w:val="16"/>
              </w:rPr>
              <w:t>2,300</w:t>
            </w:r>
          </w:p>
        </w:tc>
        <w:tc>
          <w:tcPr>
            <w:tcW w:w="127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CA0CDAB" w14:textId="77777777" w:rsidR="00B8738B" w:rsidRPr="003E76E7" w:rsidRDefault="00B8738B" w:rsidP="00C4292D">
            <w:pPr>
              <w:jc w:val="right"/>
              <w:rPr>
                <w:rFonts w:ascii="Arial" w:hAnsi="Arial"/>
                <w:b/>
                <w:sz w:val="16"/>
                <w:szCs w:val="16"/>
              </w:rPr>
            </w:pPr>
            <w:r w:rsidRPr="003E76E7">
              <w:rPr>
                <w:rFonts w:ascii="Arial" w:hAnsi="Arial"/>
                <w:b/>
                <w:sz w:val="16"/>
                <w:szCs w:val="16"/>
              </w:rPr>
              <w:t>797</w:t>
            </w:r>
          </w:p>
        </w:tc>
      </w:tr>
    </w:tbl>
    <w:p w14:paraId="1FD306D4" w14:textId="7EE1245E" w:rsidR="00B8738B" w:rsidRPr="003E76E7" w:rsidRDefault="00B8738B" w:rsidP="00C4292D">
      <w:pPr>
        <w:pStyle w:val="ListParagraph"/>
        <w:spacing w:before="0" w:after="0"/>
        <w:ind w:left="0"/>
        <w:rPr>
          <w:rFonts w:ascii="Arial" w:hAnsi="Arial"/>
          <w:b/>
          <w:sz w:val="16"/>
          <w:szCs w:val="16"/>
          <w:lang w:val="en-AU"/>
        </w:rPr>
      </w:pPr>
    </w:p>
    <w:p w14:paraId="455AFD27" w14:textId="4287F7CC" w:rsidR="005A2223" w:rsidRPr="003E76E7" w:rsidRDefault="005A2223" w:rsidP="00C4292D">
      <w:pPr>
        <w:pStyle w:val="ListParagraph"/>
        <w:spacing w:before="0" w:after="0"/>
        <w:ind w:left="0"/>
        <w:contextualSpacing w:val="0"/>
        <w:rPr>
          <w:rFonts w:ascii="Arial" w:hAnsi="Arial"/>
          <w:b/>
          <w:sz w:val="14"/>
          <w:szCs w:val="14"/>
          <w:lang w:val="en-AU"/>
        </w:rPr>
      </w:pPr>
      <w:r w:rsidRPr="003E76E7">
        <w:rPr>
          <w:rFonts w:ascii="Arial" w:hAnsi="Arial"/>
          <w:b/>
          <w:sz w:val="14"/>
          <w:szCs w:val="14"/>
          <w:lang w:val="en-AU"/>
        </w:rPr>
        <w:t>Note</w:t>
      </w:r>
      <w:r w:rsidR="00126E5C" w:rsidRPr="003E76E7">
        <w:rPr>
          <w:rFonts w:ascii="Arial" w:hAnsi="Arial"/>
          <w:b/>
          <w:sz w:val="14"/>
          <w:szCs w:val="14"/>
          <w:lang w:val="en-AU"/>
        </w:rPr>
        <w:t>s</w:t>
      </w:r>
    </w:p>
    <w:p w14:paraId="61C20723" w14:textId="77777777" w:rsidR="00126E5C" w:rsidRPr="003E76E7" w:rsidRDefault="008F7CE6" w:rsidP="00C4292D">
      <w:pPr>
        <w:pStyle w:val="ListParagraph"/>
        <w:numPr>
          <w:ilvl w:val="0"/>
          <w:numId w:val="34"/>
        </w:numPr>
        <w:spacing w:before="0" w:after="0"/>
        <w:ind w:left="284" w:hanging="284"/>
        <w:rPr>
          <w:rFonts w:ascii="Arial" w:hAnsi="Arial"/>
          <w:sz w:val="14"/>
          <w:szCs w:val="14"/>
          <w:lang w:val="en-AU"/>
        </w:rPr>
      </w:pPr>
      <w:r w:rsidRPr="003E76E7">
        <w:rPr>
          <w:rFonts w:ascii="Arial" w:hAnsi="Arial"/>
          <w:sz w:val="14"/>
          <w:szCs w:val="14"/>
          <w:lang w:val="en-AU"/>
        </w:rPr>
        <w:tab/>
      </w:r>
      <w:r w:rsidR="00126E5C" w:rsidRPr="003E76E7">
        <w:rPr>
          <w:rFonts w:ascii="Arial" w:hAnsi="Arial"/>
          <w:sz w:val="14"/>
          <w:szCs w:val="14"/>
          <w:lang w:val="en-AU"/>
        </w:rPr>
        <w:t>Approved Project Expenditure, Estimated Cumulative Expenditure to 30 June 2026 and Budget Estimate 2026-27 are on an accrual basis and funded by appropriation.</w:t>
      </w:r>
    </w:p>
    <w:p w14:paraId="545D3609" w14:textId="3B9F3E65" w:rsidR="00126E5C" w:rsidRPr="003E76E7" w:rsidRDefault="00126E5C" w:rsidP="00C4292D">
      <w:pPr>
        <w:pStyle w:val="ListParagraph"/>
        <w:numPr>
          <w:ilvl w:val="0"/>
          <w:numId w:val="34"/>
        </w:numPr>
        <w:spacing w:before="0" w:after="0"/>
        <w:ind w:left="284" w:hanging="284"/>
        <w:rPr>
          <w:rFonts w:ascii="Arial" w:hAnsi="Arial"/>
          <w:sz w:val="14"/>
          <w:szCs w:val="14"/>
          <w:lang w:val="en-AU"/>
        </w:rPr>
      </w:pPr>
      <w:r w:rsidRPr="003E76E7">
        <w:rPr>
          <w:rFonts w:ascii="Arial" w:hAnsi="Arial"/>
          <w:sz w:val="14"/>
          <w:szCs w:val="14"/>
          <w:lang w:val="en-AU"/>
        </w:rPr>
        <w:t xml:space="preserve">Figures may not add due to rounding. </w:t>
      </w:r>
    </w:p>
    <w:p w14:paraId="2A5245F5" w14:textId="68F046FE" w:rsidR="008D41DB" w:rsidRPr="003E76E7" w:rsidRDefault="008D41DB" w:rsidP="00C4292D">
      <w:pPr>
        <w:spacing w:before="0" w:after="0"/>
        <w:rPr>
          <w:lang w:val="en-AU"/>
        </w:rPr>
      </w:pPr>
    </w:p>
    <w:p w14:paraId="64E07376" w14:textId="77777777" w:rsidR="007F149E" w:rsidRPr="003E76E7" w:rsidRDefault="007F149E" w:rsidP="00C4292D">
      <w:pPr>
        <w:spacing w:before="0" w:after="0"/>
        <w:rPr>
          <w:lang w:val="en-AU"/>
        </w:rPr>
        <w:sectPr w:rsidR="007F149E" w:rsidRPr="003E76E7" w:rsidSect="009E133F">
          <w:headerReference w:type="even" r:id="rId142"/>
          <w:headerReference w:type="default" r:id="rId143"/>
          <w:footerReference w:type="even" r:id="rId144"/>
          <w:footerReference w:type="default" r:id="rId145"/>
          <w:type w:val="continuous"/>
          <w:pgSz w:w="16840" w:h="11907" w:orient="landscape" w:code="9"/>
          <w:pgMar w:top="1928" w:right="1701" w:bottom="1361" w:left="1701" w:header="720" w:footer="720" w:gutter="0"/>
          <w:cols w:space="720"/>
          <w:noEndnote/>
          <w:docGrid w:linePitch="272"/>
        </w:sectPr>
      </w:pPr>
    </w:p>
    <w:p w14:paraId="31528406" w14:textId="20A184AA" w:rsidR="00617A5E" w:rsidRPr="003E76E7" w:rsidRDefault="00217AB4" w:rsidP="00C4292D">
      <w:pPr>
        <w:pStyle w:val="Heading4"/>
        <w:rPr>
          <w:sz w:val="26"/>
          <w:szCs w:val="26"/>
          <w:lang w:val="en-AU"/>
        </w:rPr>
      </w:pPr>
      <w:bookmarkStart w:id="1357" w:name="_Toc69917853"/>
      <w:bookmarkStart w:id="1358" w:name="_Toc97747842"/>
      <w:bookmarkStart w:id="1359" w:name="_Toc108088954"/>
      <w:bookmarkStart w:id="1360" w:name="_Toc109227749"/>
      <w:bookmarkStart w:id="1361" w:name="_Toc159499697"/>
      <w:bookmarkStart w:id="1362" w:name="_Toc159859114"/>
      <w:bookmarkStart w:id="1363" w:name="_Toc222129937"/>
      <w:bookmarkStart w:id="1364" w:name="_Toc222148367"/>
      <w:bookmarkStart w:id="1365" w:name="_Toc225847995"/>
      <w:bookmarkStart w:id="1366" w:name="_Toc225848078"/>
      <w:bookmarkStart w:id="1367" w:name="_Toc225848161"/>
      <w:bookmarkStart w:id="1368" w:name="_Toc225848500"/>
      <w:bookmarkStart w:id="1369" w:name="_Toc225941567"/>
      <w:bookmarkStart w:id="1370" w:name="_Toc225942574"/>
      <w:bookmarkStart w:id="1371" w:name="_Toc227334384"/>
      <w:bookmarkStart w:id="1372" w:name="_Toc229072459"/>
      <w:bookmarkStart w:id="1373" w:name="_Toc229072631"/>
      <w:r w:rsidRPr="003E76E7">
        <w:rPr>
          <w:sz w:val="26"/>
          <w:szCs w:val="26"/>
          <w:lang w:val="en-AU"/>
        </w:rPr>
        <w:lastRenderedPageBreak/>
        <w:t xml:space="preserve">Appendix G: </w:t>
      </w:r>
      <w:r w:rsidR="00617A5E" w:rsidRPr="003E76E7">
        <w:rPr>
          <w:sz w:val="26"/>
          <w:szCs w:val="26"/>
          <w:lang w:val="en-AU"/>
        </w:rPr>
        <w:t>Australian Government Indigenous Expenditure</w:t>
      </w:r>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p>
    <w:p w14:paraId="459FA09D" w14:textId="0EDA2E8F" w:rsidR="00617A5E" w:rsidRPr="003E76E7" w:rsidRDefault="00617A5E" w:rsidP="00C4292D">
      <w:pPr>
        <w:pStyle w:val="TableHeading"/>
        <w:numPr>
          <w:ilvl w:val="0"/>
          <w:numId w:val="61"/>
        </w:numPr>
        <w:spacing w:before="100"/>
        <w:ind w:left="0" w:firstLine="0"/>
        <w:outlineLvl w:val="4"/>
      </w:pPr>
      <w:r w:rsidRPr="003E76E7">
        <w:t>Australian Government Indigenous Expenditure</w:t>
      </w:r>
    </w:p>
    <w:tbl>
      <w:tblPr>
        <w:tblW w:w="4892" w:type="pct"/>
        <w:tblLook w:val="04A0" w:firstRow="1" w:lastRow="0" w:firstColumn="1" w:lastColumn="0" w:noHBand="0" w:noVBand="1"/>
      </w:tblPr>
      <w:tblGrid>
        <w:gridCol w:w="5212"/>
        <w:gridCol w:w="921"/>
        <w:gridCol w:w="1078"/>
        <w:gridCol w:w="1221"/>
      </w:tblGrid>
      <w:tr w:rsidR="00E74E8B" w:rsidRPr="003E76E7" w14:paraId="374A44CE" w14:textId="77777777" w:rsidTr="00067733">
        <w:trPr>
          <w:trHeight w:val="820"/>
        </w:trPr>
        <w:tc>
          <w:tcPr>
            <w:tcW w:w="5211" w:type="dxa"/>
            <w:tcBorders>
              <w:top w:val="single" w:sz="4" w:space="0" w:color="auto"/>
              <w:bottom w:val="single" w:sz="4" w:space="0" w:color="auto"/>
            </w:tcBorders>
            <w:shd w:val="clear" w:color="auto" w:fill="E6E6E6"/>
            <w:noWrap/>
            <w:vAlign w:val="center"/>
          </w:tcPr>
          <w:p w14:paraId="17E176FD" w14:textId="77777777" w:rsidR="00E74E8B" w:rsidRPr="003E76E7" w:rsidRDefault="00E74E8B" w:rsidP="00C4292D">
            <w:pPr>
              <w:spacing w:before="0" w:after="0"/>
              <w:rPr>
                <w:rFonts w:ascii="Arial" w:hAnsi="Arial"/>
                <w:b/>
                <w:bCs/>
                <w:color w:val="000000"/>
                <w:sz w:val="16"/>
                <w:szCs w:val="16"/>
                <w:lang w:val="en-AU"/>
              </w:rPr>
            </w:pPr>
          </w:p>
        </w:tc>
        <w:tc>
          <w:tcPr>
            <w:tcW w:w="921" w:type="dxa"/>
            <w:tcBorders>
              <w:top w:val="single" w:sz="4" w:space="0" w:color="auto"/>
              <w:bottom w:val="single" w:sz="4" w:space="0" w:color="auto"/>
              <w:right w:val="nil"/>
            </w:tcBorders>
            <w:shd w:val="clear" w:color="auto" w:fill="E6E6E6"/>
            <w:vAlign w:val="bottom"/>
          </w:tcPr>
          <w:p w14:paraId="3F9E741E" w14:textId="77777777" w:rsidR="00E74E8B" w:rsidRPr="003E76E7" w:rsidRDefault="00E74E8B"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Program</w:t>
            </w:r>
          </w:p>
        </w:tc>
        <w:tc>
          <w:tcPr>
            <w:tcW w:w="1078" w:type="dxa"/>
            <w:tcBorders>
              <w:top w:val="single" w:sz="4" w:space="0" w:color="auto"/>
              <w:bottom w:val="single" w:sz="4" w:space="0" w:color="auto"/>
              <w:right w:val="nil"/>
            </w:tcBorders>
            <w:shd w:val="clear" w:color="auto" w:fill="E6E6E6"/>
            <w:vAlign w:val="bottom"/>
          </w:tcPr>
          <w:p w14:paraId="3CD9832F" w14:textId="48E534AC" w:rsidR="00F66D1D" w:rsidRPr="003E76E7" w:rsidRDefault="00E74E8B" w:rsidP="00C4292D">
            <w:pPr>
              <w:spacing w:before="0" w:after="0"/>
              <w:jc w:val="right"/>
              <w:rPr>
                <w:rFonts w:ascii="Arial" w:hAnsi="Arial"/>
                <w:b/>
                <w:bCs/>
                <w:color w:val="000000"/>
                <w:sz w:val="16"/>
                <w:szCs w:val="16"/>
              </w:rPr>
            </w:pPr>
            <w:r w:rsidRPr="003E76E7">
              <w:rPr>
                <w:rFonts w:ascii="Arial" w:hAnsi="Arial"/>
                <w:b/>
                <w:bCs/>
                <w:color w:val="000000"/>
                <w:sz w:val="16"/>
                <w:szCs w:val="16"/>
              </w:rPr>
              <w:t>202</w:t>
            </w:r>
            <w:r w:rsidR="00734E58" w:rsidRPr="003E76E7">
              <w:rPr>
                <w:rFonts w:ascii="Arial" w:hAnsi="Arial"/>
                <w:b/>
                <w:bCs/>
                <w:color w:val="000000"/>
                <w:sz w:val="16"/>
                <w:szCs w:val="16"/>
              </w:rPr>
              <w:t>5</w:t>
            </w:r>
            <w:r w:rsidRPr="003E76E7">
              <w:rPr>
                <w:rFonts w:ascii="Arial" w:hAnsi="Arial"/>
                <w:b/>
                <w:bCs/>
                <w:color w:val="000000"/>
                <w:sz w:val="16"/>
                <w:szCs w:val="16"/>
              </w:rPr>
              <w:t>-2</w:t>
            </w:r>
            <w:r w:rsidR="00734E58" w:rsidRPr="003E76E7">
              <w:rPr>
                <w:rFonts w:ascii="Arial" w:hAnsi="Arial"/>
                <w:b/>
                <w:bCs/>
                <w:color w:val="000000"/>
                <w:sz w:val="16"/>
                <w:szCs w:val="16"/>
              </w:rPr>
              <w:t>6</w:t>
            </w:r>
            <w:r w:rsidRPr="003E76E7">
              <w:rPr>
                <w:rFonts w:ascii="Arial" w:hAnsi="Arial"/>
                <w:b/>
                <w:bCs/>
                <w:color w:val="000000"/>
                <w:sz w:val="16"/>
                <w:szCs w:val="16"/>
              </w:rPr>
              <w:t xml:space="preserve"> </w:t>
            </w:r>
            <w:r w:rsidR="00F66D1D" w:rsidRPr="003E76E7">
              <w:rPr>
                <w:rFonts w:ascii="Arial" w:hAnsi="Arial"/>
                <w:b/>
                <w:bCs/>
                <w:color w:val="000000"/>
                <w:sz w:val="16"/>
                <w:szCs w:val="16"/>
              </w:rPr>
              <w:t>Estimated Actual</w:t>
            </w:r>
          </w:p>
          <w:p w14:paraId="7F8A6535" w14:textId="77777777" w:rsidR="00E74E8B" w:rsidRPr="003E76E7" w:rsidRDefault="00E74E8B"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rPr>
              <w:t>$’000</w:t>
            </w:r>
          </w:p>
        </w:tc>
        <w:tc>
          <w:tcPr>
            <w:tcW w:w="1221" w:type="dxa"/>
            <w:tcBorders>
              <w:top w:val="single" w:sz="4" w:space="0" w:color="auto"/>
              <w:left w:val="nil"/>
              <w:bottom w:val="single" w:sz="4" w:space="0" w:color="auto"/>
            </w:tcBorders>
            <w:shd w:val="clear" w:color="auto" w:fill="E6E6E6"/>
            <w:noWrap/>
            <w:vAlign w:val="bottom"/>
          </w:tcPr>
          <w:p w14:paraId="7B5998DD" w14:textId="1248D4E6" w:rsidR="00E74E8B" w:rsidRPr="003E76E7" w:rsidRDefault="00E74E8B"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rPr>
              <w:t>202</w:t>
            </w:r>
            <w:r w:rsidR="00734E58" w:rsidRPr="003E76E7">
              <w:rPr>
                <w:rFonts w:ascii="Arial" w:hAnsi="Arial"/>
                <w:b/>
                <w:bCs/>
                <w:color w:val="000000"/>
                <w:sz w:val="16"/>
                <w:szCs w:val="16"/>
              </w:rPr>
              <w:t>6</w:t>
            </w:r>
            <w:r w:rsidRPr="003E76E7">
              <w:rPr>
                <w:rFonts w:ascii="Arial" w:hAnsi="Arial"/>
                <w:b/>
                <w:bCs/>
                <w:color w:val="000000"/>
                <w:sz w:val="16"/>
                <w:szCs w:val="16"/>
              </w:rPr>
              <w:t>-2</w:t>
            </w:r>
            <w:r w:rsidR="00734E58" w:rsidRPr="003E76E7">
              <w:rPr>
                <w:rFonts w:ascii="Arial" w:hAnsi="Arial"/>
                <w:b/>
                <w:bCs/>
                <w:color w:val="000000"/>
                <w:sz w:val="16"/>
                <w:szCs w:val="16"/>
              </w:rPr>
              <w:t>7</w:t>
            </w:r>
            <w:r w:rsidRPr="003E76E7">
              <w:rPr>
                <w:rFonts w:ascii="Arial" w:hAnsi="Arial"/>
                <w:b/>
                <w:bCs/>
                <w:color w:val="000000"/>
                <w:sz w:val="16"/>
                <w:szCs w:val="16"/>
              </w:rPr>
              <w:t xml:space="preserve"> </w:t>
            </w:r>
            <w:r w:rsidR="00E60398" w:rsidRPr="003E76E7">
              <w:rPr>
                <w:rFonts w:ascii="Arial" w:hAnsi="Arial"/>
                <w:b/>
                <w:bCs/>
                <w:color w:val="000000"/>
                <w:sz w:val="16"/>
                <w:szCs w:val="16"/>
              </w:rPr>
              <w:t>Budget</w:t>
            </w:r>
            <w:r w:rsidRPr="003E76E7">
              <w:rPr>
                <w:rFonts w:ascii="Arial" w:hAnsi="Arial"/>
                <w:b/>
                <w:bCs/>
                <w:color w:val="000000"/>
                <w:sz w:val="16"/>
                <w:szCs w:val="16"/>
              </w:rPr>
              <w:t xml:space="preserve"> Estimate $’000</w:t>
            </w:r>
          </w:p>
        </w:tc>
      </w:tr>
      <w:tr w:rsidR="00972DE7" w:rsidRPr="003E76E7" w14:paraId="7305DC0B" w14:textId="77777777" w:rsidTr="00067733">
        <w:trPr>
          <w:trHeight w:val="283"/>
        </w:trPr>
        <w:tc>
          <w:tcPr>
            <w:tcW w:w="5211" w:type="dxa"/>
            <w:tcBorders>
              <w:top w:val="single" w:sz="4" w:space="0" w:color="auto"/>
            </w:tcBorders>
            <w:shd w:val="clear" w:color="auto" w:fill="auto"/>
            <w:noWrap/>
            <w:vAlign w:val="center"/>
          </w:tcPr>
          <w:p w14:paraId="373E69AE" w14:textId="77777777" w:rsidR="00972DE7" w:rsidRPr="003E76E7" w:rsidRDefault="00972DE7" w:rsidP="00C4292D">
            <w:pPr>
              <w:spacing w:before="0" w:after="0"/>
              <w:rPr>
                <w:rFonts w:ascii="Arial" w:hAnsi="Arial"/>
                <w:color w:val="000000"/>
                <w:sz w:val="16"/>
                <w:szCs w:val="16"/>
                <w:lang w:val="en-AU"/>
              </w:rPr>
            </w:pPr>
            <w:r w:rsidRPr="003E76E7">
              <w:rPr>
                <w:rFonts w:ascii="Arial" w:hAnsi="Arial"/>
                <w:bCs/>
                <w:color w:val="000000"/>
                <w:sz w:val="16"/>
                <w:szCs w:val="16"/>
                <w:lang w:val="en-AU"/>
              </w:rPr>
              <w:t>Defence Indigenous Strategy</w:t>
            </w:r>
          </w:p>
        </w:tc>
        <w:tc>
          <w:tcPr>
            <w:tcW w:w="921" w:type="dxa"/>
            <w:tcBorders>
              <w:top w:val="single" w:sz="4" w:space="0" w:color="auto"/>
              <w:right w:val="nil"/>
            </w:tcBorders>
            <w:vAlign w:val="center"/>
          </w:tcPr>
          <w:p w14:paraId="7068FFB1" w14:textId="77777777" w:rsidR="00972DE7" w:rsidRPr="003E76E7" w:rsidRDefault="00972DE7"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2.12</w:t>
            </w:r>
          </w:p>
        </w:tc>
        <w:tc>
          <w:tcPr>
            <w:tcW w:w="1078" w:type="dxa"/>
            <w:tcBorders>
              <w:top w:val="single" w:sz="4" w:space="0" w:color="auto"/>
              <w:right w:val="nil"/>
            </w:tcBorders>
            <w:vAlign w:val="center"/>
          </w:tcPr>
          <w:p w14:paraId="07260E15" w14:textId="05D50E05" w:rsidR="00972DE7" w:rsidRPr="003E76E7" w:rsidRDefault="00972DE7"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5,757</w:t>
            </w:r>
          </w:p>
        </w:tc>
        <w:tc>
          <w:tcPr>
            <w:tcW w:w="1221" w:type="dxa"/>
            <w:tcBorders>
              <w:top w:val="single" w:sz="4" w:space="0" w:color="auto"/>
              <w:left w:val="nil"/>
            </w:tcBorders>
            <w:shd w:val="clear" w:color="auto" w:fill="auto"/>
            <w:noWrap/>
            <w:vAlign w:val="center"/>
          </w:tcPr>
          <w:p w14:paraId="59F6FAF1" w14:textId="15E47E5E" w:rsidR="00972DE7" w:rsidRPr="003E76E7" w:rsidRDefault="00972DE7"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6,294</w:t>
            </w:r>
          </w:p>
        </w:tc>
      </w:tr>
      <w:tr w:rsidR="00972DE7" w:rsidRPr="003E76E7" w14:paraId="4E583A90" w14:textId="77777777" w:rsidTr="00067733">
        <w:trPr>
          <w:trHeight w:val="283"/>
        </w:trPr>
        <w:tc>
          <w:tcPr>
            <w:tcW w:w="5211" w:type="dxa"/>
            <w:tcBorders>
              <w:bottom w:val="single" w:sz="4" w:space="0" w:color="auto"/>
            </w:tcBorders>
            <w:shd w:val="clear" w:color="auto" w:fill="auto"/>
            <w:noWrap/>
            <w:vAlign w:val="center"/>
          </w:tcPr>
          <w:p w14:paraId="42D792CC" w14:textId="27D93B95" w:rsidR="00972DE7" w:rsidRPr="003E76E7" w:rsidRDefault="00972DE7" w:rsidP="00C4292D">
            <w:pPr>
              <w:spacing w:before="0" w:after="0"/>
              <w:rPr>
                <w:rFonts w:ascii="Arial" w:hAnsi="Arial"/>
                <w:bCs/>
                <w:color w:val="000000"/>
                <w:sz w:val="16"/>
                <w:szCs w:val="16"/>
                <w:lang w:val="en-AU"/>
              </w:rPr>
            </w:pPr>
            <w:r w:rsidRPr="003E76E7">
              <w:rPr>
                <w:rFonts w:ascii="Arial" w:hAnsi="Arial"/>
                <w:bCs/>
                <w:color w:val="000000"/>
                <w:sz w:val="16"/>
                <w:szCs w:val="16"/>
                <w:lang w:val="en-AU"/>
              </w:rPr>
              <w:t>Army Aboriginal Community Assistance Program</w:t>
            </w:r>
          </w:p>
        </w:tc>
        <w:tc>
          <w:tcPr>
            <w:tcW w:w="921" w:type="dxa"/>
            <w:tcBorders>
              <w:bottom w:val="single" w:sz="4" w:space="0" w:color="auto"/>
              <w:right w:val="nil"/>
            </w:tcBorders>
            <w:vAlign w:val="center"/>
          </w:tcPr>
          <w:p w14:paraId="63277F3D" w14:textId="77777777" w:rsidR="00972DE7" w:rsidRPr="003E76E7" w:rsidRDefault="00972DE7"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2.6</w:t>
            </w:r>
          </w:p>
        </w:tc>
        <w:tc>
          <w:tcPr>
            <w:tcW w:w="1078" w:type="dxa"/>
            <w:tcBorders>
              <w:bottom w:val="single" w:sz="4" w:space="0" w:color="auto"/>
              <w:right w:val="nil"/>
            </w:tcBorders>
            <w:vAlign w:val="center"/>
          </w:tcPr>
          <w:p w14:paraId="7D492CE9" w14:textId="598783E5" w:rsidR="00972DE7" w:rsidRPr="003E76E7" w:rsidRDefault="00972DE7"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7,010</w:t>
            </w:r>
          </w:p>
        </w:tc>
        <w:tc>
          <w:tcPr>
            <w:tcW w:w="1221" w:type="dxa"/>
            <w:tcBorders>
              <w:left w:val="nil"/>
              <w:bottom w:val="single" w:sz="4" w:space="0" w:color="auto"/>
            </w:tcBorders>
            <w:shd w:val="clear" w:color="auto" w:fill="auto"/>
            <w:noWrap/>
            <w:vAlign w:val="center"/>
          </w:tcPr>
          <w:p w14:paraId="7B4CDA1B" w14:textId="79D0923E" w:rsidR="00972DE7" w:rsidRPr="003E76E7" w:rsidRDefault="00972DE7" w:rsidP="00C4292D">
            <w:pPr>
              <w:spacing w:before="0" w:after="0"/>
              <w:jc w:val="right"/>
              <w:rPr>
                <w:rFonts w:ascii="Arial" w:hAnsi="Arial"/>
                <w:color w:val="000000"/>
                <w:sz w:val="16"/>
                <w:szCs w:val="16"/>
                <w:lang w:val="en-AU"/>
              </w:rPr>
            </w:pPr>
            <w:r w:rsidRPr="003E76E7">
              <w:rPr>
                <w:rFonts w:ascii="Arial" w:hAnsi="Arial"/>
                <w:color w:val="000000"/>
                <w:sz w:val="16"/>
                <w:szCs w:val="16"/>
                <w:lang w:val="en-AU"/>
              </w:rPr>
              <w:t>5,540</w:t>
            </w:r>
          </w:p>
        </w:tc>
      </w:tr>
      <w:tr w:rsidR="00972DE7" w:rsidRPr="003E76E7" w14:paraId="1FE26EEC" w14:textId="77777777" w:rsidTr="00067733">
        <w:trPr>
          <w:trHeight w:val="283"/>
        </w:trPr>
        <w:tc>
          <w:tcPr>
            <w:tcW w:w="5211" w:type="dxa"/>
            <w:tcBorders>
              <w:top w:val="single" w:sz="4" w:space="0" w:color="auto"/>
              <w:bottom w:val="single" w:sz="4" w:space="0" w:color="auto"/>
            </w:tcBorders>
            <w:shd w:val="clear" w:color="auto" w:fill="E6E6E6"/>
            <w:noWrap/>
            <w:vAlign w:val="center"/>
          </w:tcPr>
          <w:p w14:paraId="29CB90CA" w14:textId="647C4418" w:rsidR="00972DE7" w:rsidRPr="003E76E7" w:rsidRDefault="00972DE7" w:rsidP="00C4292D">
            <w:pPr>
              <w:spacing w:before="0" w:after="0"/>
              <w:rPr>
                <w:rFonts w:ascii="Arial" w:hAnsi="Arial"/>
                <w:b/>
                <w:bCs/>
                <w:color w:val="000000"/>
                <w:sz w:val="16"/>
                <w:szCs w:val="16"/>
                <w:lang w:val="en-AU"/>
              </w:rPr>
            </w:pPr>
            <w:r w:rsidRPr="003E76E7">
              <w:rPr>
                <w:rFonts w:ascii="Arial" w:hAnsi="Arial"/>
                <w:b/>
                <w:bCs/>
                <w:color w:val="000000"/>
                <w:sz w:val="16"/>
                <w:szCs w:val="16"/>
                <w:lang w:val="en-AU"/>
              </w:rPr>
              <w:t>Total Australian Government Indigenous Expenditure*</w:t>
            </w:r>
          </w:p>
        </w:tc>
        <w:tc>
          <w:tcPr>
            <w:tcW w:w="921" w:type="dxa"/>
            <w:tcBorders>
              <w:top w:val="single" w:sz="4" w:space="0" w:color="auto"/>
              <w:bottom w:val="single" w:sz="4" w:space="0" w:color="auto"/>
              <w:right w:val="nil"/>
            </w:tcBorders>
            <w:shd w:val="clear" w:color="auto" w:fill="E6E6E6"/>
            <w:vAlign w:val="center"/>
          </w:tcPr>
          <w:p w14:paraId="017E4D22" w14:textId="77777777" w:rsidR="00972DE7" w:rsidRPr="003E76E7" w:rsidRDefault="00972DE7" w:rsidP="00C4292D">
            <w:pPr>
              <w:spacing w:before="0" w:after="0"/>
              <w:jc w:val="right"/>
              <w:rPr>
                <w:rFonts w:ascii="Arial" w:hAnsi="Arial"/>
                <w:b/>
                <w:bCs/>
                <w:color w:val="000000"/>
                <w:sz w:val="16"/>
                <w:szCs w:val="16"/>
                <w:lang w:val="en-AU"/>
              </w:rPr>
            </w:pPr>
          </w:p>
        </w:tc>
        <w:tc>
          <w:tcPr>
            <w:tcW w:w="1078" w:type="dxa"/>
            <w:tcBorders>
              <w:top w:val="single" w:sz="4" w:space="0" w:color="auto"/>
              <w:bottom w:val="single" w:sz="4" w:space="0" w:color="auto"/>
              <w:right w:val="nil"/>
            </w:tcBorders>
            <w:shd w:val="clear" w:color="auto" w:fill="E6E6E6"/>
            <w:vAlign w:val="center"/>
          </w:tcPr>
          <w:p w14:paraId="6561CA38" w14:textId="3EDBDD3B" w:rsidR="00972DE7" w:rsidRPr="003E76E7" w:rsidRDefault="00972DE7"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12,767</w:t>
            </w:r>
          </w:p>
        </w:tc>
        <w:tc>
          <w:tcPr>
            <w:tcW w:w="1221" w:type="dxa"/>
            <w:tcBorders>
              <w:top w:val="single" w:sz="4" w:space="0" w:color="auto"/>
              <w:left w:val="nil"/>
              <w:bottom w:val="single" w:sz="4" w:space="0" w:color="auto"/>
            </w:tcBorders>
            <w:shd w:val="clear" w:color="auto" w:fill="E6E6E6"/>
            <w:noWrap/>
            <w:vAlign w:val="center"/>
          </w:tcPr>
          <w:p w14:paraId="7397C160" w14:textId="743A9878" w:rsidR="00972DE7" w:rsidRPr="003E76E7" w:rsidRDefault="00972DE7" w:rsidP="00C4292D">
            <w:pPr>
              <w:spacing w:before="0" w:after="0"/>
              <w:jc w:val="right"/>
              <w:rPr>
                <w:rFonts w:ascii="Arial" w:hAnsi="Arial"/>
                <w:b/>
                <w:bCs/>
                <w:color w:val="000000"/>
                <w:sz w:val="16"/>
                <w:szCs w:val="16"/>
                <w:lang w:val="en-AU"/>
              </w:rPr>
            </w:pPr>
            <w:r w:rsidRPr="003E76E7">
              <w:rPr>
                <w:rFonts w:ascii="Arial" w:hAnsi="Arial"/>
                <w:b/>
                <w:bCs/>
                <w:color w:val="000000"/>
                <w:sz w:val="16"/>
                <w:szCs w:val="16"/>
                <w:lang w:val="en-AU"/>
              </w:rPr>
              <w:t>11,834</w:t>
            </w:r>
          </w:p>
        </w:tc>
      </w:tr>
    </w:tbl>
    <w:p w14:paraId="1EF74853" w14:textId="58835B13" w:rsidR="00740189" w:rsidRPr="003E76E7" w:rsidRDefault="001A4E61" w:rsidP="00C4292D">
      <w:pPr>
        <w:spacing w:beforeLines="50" w:before="120" w:afterLines="50" w:after="120"/>
        <w:rPr>
          <w:sz w:val="16"/>
          <w:szCs w:val="16"/>
        </w:rPr>
      </w:pPr>
      <w:r w:rsidRPr="003E76E7">
        <w:rPr>
          <w:sz w:val="16"/>
          <w:szCs w:val="16"/>
        </w:rPr>
        <w:t>* Note the above funding is reallocated funding within Defence.</w:t>
      </w:r>
    </w:p>
    <w:p w14:paraId="4A9440C2" w14:textId="292AF1E8" w:rsidR="007107A8" w:rsidRPr="003E76E7" w:rsidRDefault="00C91DE4" w:rsidP="00C4292D">
      <w:r w:rsidRPr="003E76E7">
        <w:t xml:space="preserve">In 2026-27, Defence will continue to support improved social and economic outcomes for First Nations peoples through workforce participation, procurement, engagement and capability activities aligned with the Australian Government’s priorities under the National Agreement on Closing the Gap. </w:t>
      </w:r>
    </w:p>
    <w:p w14:paraId="51B21509" w14:textId="213C6240" w:rsidR="007107A8" w:rsidRPr="003E76E7" w:rsidRDefault="00C91DE4" w:rsidP="00C4292D">
      <w:pPr>
        <w:spacing w:before="0"/>
      </w:pPr>
      <w:r w:rsidRPr="003E76E7">
        <w:t>Defence will contribute to these outcomes through initiatives that support employment pathways, strengthen economic participation through Indigenous procurement and enhance cultural capability across the Defence organisation. These activities support Defence’s mission and purpose to defend Australia and its national interests in order to advance Australia’s security and prosperity, while fostering an inclusive and capable workforce.</w:t>
      </w:r>
    </w:p>
    <w:p w14:paraId="2492041F" w14:textId="77777777" w:rsidR="007107A8" w:rsidRPr="003E76E7" w:rsidRDefault="007107A8" w:rsidP="00C4292D">
      <w:pPr>
        <w:spacing w:before="0" w:after="0"/>
      </w:pPr>
    </w:p>
    <w:p w14:paraId="5627FE6B" w14:textId="4E807024" w:rsidR="00ED4EF4" w:rsidRPr="003E76E7" w:rsidRDefault="00ED4EF4" w:rsidP="00C4292D">
      <w:pPr>
        <w:pStyle w:val="BodyText"/>
        <w:spacing w:before="0"/>
        <w:rPr>
          <w:rFonts w:ascii="Arial" w:hAnsi="Arial"/>
          <w:b/>
        </w:rPr>
      </w:pPr>
      <w:r w:rsidRPr="003E76E7">
        <w:rPr>
          <w:rFonts w:ascii="Arial" w:hAnsi="Arial"/>
          <w:b/>
        </w:rPr>
        <w:t xml:space="preserve">Defence </w:t>
      </w:r>
      <w:r w:rsidR="00C91DE4" w:rsidRPr="003E76E7">
        <w:rPr>
          <w:rFonts w:ascii="Arial" w:hAnsi="Arial"/>
          <w:b/>
        </w:rPr>
        <w:t xml:space="preserve">Workforce </w:t>
      </w:r>
      <w:r w:rsidRPr="003E76E7">
        <w:rPr>
          <w:rFonts w:ascii="Arial" w:hAnsi="Arial"/>
          <w:b/>
        </w:rPr>
        <w:t xml:space="preserve">Indigenous Participation </w:t>
      </w:r>
    </w:p>
    <w:p w14:paraId="607367D4" w14:textId="6F8F15D7" w:rsidR="00C91DE4" w:rsidRPr="003E76E7" w:rsidRDefault="00C91DE4" w:rsidP="00C4292D">
      <w:pPr>
        <w:spacing w:before="0" w:afterLines="100" w:after="240"/>
      </w:pPr>
      <w:r w:rsidRPr="003E76E7">
        <w:t xml:space="preserve">Defence has set First Nations representation targets of 5 per cent for both the Australian Defence Force (ADF) and the Defence Australian Public Service (APS) workforces by 2030. As at </w:t>
      </w:r>
      <w:r w:rsidR="00A97B2F" w:rsidRPr="003E76E7">
        <w:br/>
      </w:r>
      <w:r w:rsidRPr="003E76E7">
        <w:t>1</w:t>
      </w:r>
      <w:r w:rsidR="00A97B2F" w:rsidRPr="003E76E7">
        <w:t xml:space="preserve"> </w:t>
      </w:r>
      <w:r w:rsidRPr="003E76E7">
        <w:t xml:space="preserve">January 2026, the ADF participation rate was 3.8 per cent and the Defence APS participation rate was 1.8 per cent. </w:t>
      </w:r>
    </w:p>
    <w:p w14:paraId="3F32D049" w14:textId="77777777" w:rsidR="007107A8" w:rsidRPr="003E76E7" w:rsidRDefault="00C91DE4" w:rsidP="00C4292D">
      <w:pPr>
        <w:spacing w:before="0"/>
      </w:pPr>
      <w:r w:rsidRPr="003E76E7">
        <w:t>During 2026-27, Defence will continue to implement targeted recruitment, retention and career development initiatives to increase First Nations participation across the ADF and APS workforces. Workforce initiatives will focus on attraction, early career pathways and strengthening cultural capability to support retention and career progression, contributing to a workforce that reflects the diversity of the Australian community we serve.</w:t>
      </w:r>
      <w:r w:rsidR="007107A8" w:rsidRPr="003E76E7">
        <w:t xml:space="preserve"> </w:t>
      </w:r>
    </w:p>
    <w:p w14:paraId="46631DEF" w14:textId="08643884" w:rsidR="00C91DE4" w:rsidRPr="003E76E7" w:rsidRDefault="00C91DE4" w:rsidP="00C4292D">
      <w:pPr>
        <w:spacing w:before="0" w:after="0"/>
      </w:pPr>
    </w:p>
    <w:p w14:paraId="6E0FE96A" w14:textId="77777777" w:rsidR="00ED4EF4" w:rsidRPr="003E76E7" w:rsidRDefault="00ED4EF4" w:rsidP="00C4292D">
      <w:pPr>
        <w:pStyle w:val="BodyText"/>
        <w:spacing w:before="0"/>
        <w:rPr>
          <w:rFonts w:ascii="Arial" w:hAnsi="Arial"/>
          <w:b/>
        </w:rPr>
      </w:pPr>
      <w:r w:rsidRPr="003E76E7">
        <w:rPr>
          <w:rFonts w:ascii="Arial" w:hAnsi="Arial"/>
          <w:b/>
        </w:rPr>
        <w:t xml:space="preserve">Defence Indigenous Procurement Policy (IPP) </w:t>
      </w:r>
    </w:p>
    <w:p w14:paraId="35E4B6F2" w14:textId="486718AA" w:rsidR="00C91DE4" w:rsidRPr="003E76E7" w:rsidRDefault="00ED4EF4" w:rsidP="00C4292D">
      <w:pPr>
        <w:spacing w:before="0" w:afterLines="100" w:after="240"/>
      </w:pPr>
      <w:r w:rsidRPr="003E76E7">
        <w:t>Defence continues to exceed Government targets under the Indigenous Procurement Policy (IPP) and is the Commonwealth</w:t>
      </w:r>
      <w:r w:rsidRPr="003E76E7">
        <w:rPr>
          <w:rFonts w:cs="Book Antiqua"/>
        </w:rPr>
        <w:t>’</w:t>
      </w:r>
      <w:r w:rsidRPr="003E76E7">
        <w:t xml:space="preserve">s largest procurer of First Nations goods and services. As at </w:t>
      </w:r>
      <w:r w:rsidR="00B44C8E" w:rsidRPr="003E76E7">
        <w:br/>
      </w:r>
      <w:r w:rsidR="00C91DE4" w:rsidRPr="003E76E7">
        <w:t>March 2026</w:t>
      </w:r>
      <w:r w:rsidR="00B44C8E" w:rsidRPr="003E76E7">
        <w:t xml:space="preserve">, </w:t>
      </w:r>
      <w:r w:rsidRPr="003E76E7">
        <w:t>over $13.</w:t>
      </w:r>
      <w:r w:rsidR="00C91DE4" w:rsidRPr="003E76E7">
        <w:t>5</w:t>
      </w:r>
      <w:r w:rsidRPr="003E76E7">
        <w:t xml:space="preserve"> billion of Commonwealth Government contracts have been awarded to First Nations businesses since the introduction of the IPP in 2015. Of this, Defence has awarded over $6.</w:t>
      </w:r>
      <w:r w:rsidR="00C91DE4" w:rsidRPr="003E76E7">
        <w:t>7</w:t>
      </w:r>
      <w:r w:rsidRPr="003E76E7">
        <w:t xml:space="preserve"> billion in contract value to First Nations businesses.</w:t>
      </w:r>
    </w:p>
    <w:p w14:paraId="737A70DB" w14:textId="2831D3E9" w:rsidR="00ED4EF4" w:rsidRPr="003E76E7" w:rsidRDefault="00C91DE4" w:rsidP="00C4292D">
      <w:pPr>
        <w:spacing w:before="0" w:afterLines="100" w:after="240"/>
      </w:pPr>
      <w:r w:rsidRPr="003E76E7">
        <w:t>In 2026-27, Defence will continue to place strong emphasis on engagement with the First Nations business sector, creating opportunities and promoting greater inclusion of First Nations businesses within Defence’s procurement practices.</w:t>
      </w:r>
    </w:p>
    <w:p w14:paraId="0756B115" w14:textId="77777777" w:rsidR="002A31EA" w:rsidRPr="003E76E7" w:rsidRDefault="002A31EA" w:rsidP="00C4292D">
      <w:pPr>
        <w:spacing w:before="0" w:after="0"/>
        <w:rPr>
          <w:rFonts w:ascii="Arial" w:hAnsi="Arial"/>
          <w:b/>
        </w:rPr>
      </w:pPr>
      <w:r w:rsidRPr="003E76E7">
        <w:rPr>
          <w:rFonts w:ascii="Arial" w:hAnsi="Arial"/>
          <w:b/>
        </w:rPr>
        <w:br w:type="page"/>
      </w:r>
    </w:p>
    <w:p w14:paraId="3B486A62" w14:textId="4B3D3CEA" w:rsidR="00ED4EF4" w:rsidRPr="003E76E7" w:rsidRDefault="00ED4EF4" w:rsidP="00C4292D">
      <w:pPr>
        <w:pStyle w:val="BodyText"/>
        <w:spacing w:before="0"/>
        <w:rPr>
          <w:szCs w:val="20"/>
        </w:rPr>
      </w:pPr>
      <w:r w:rsidRPr="003E76E7">
        <w:rPr>
          <w:rFonts w:ascii="Arial" w:hAnsi="Arial"/>
          <w:b/>
        </w:rPr>
        <w:lastRenderedPageBreak/>
        <w:t>Defence Indigenous Programs</w:t>
      </w:r>
    </w:p>
    <w:p w14:paraId="64260FEF" w14:textId="77777777" w:rsidR="00ED4EF4" w:rsidRPr="003E76E7" w:rsidRDefault="00ED4EF4" w:rsidP="00C4292D">
      <w:pPr>
        <w:spacing w:before="0" w:after="0"/>
      </w:pPr>
      <w:r w:rsidRPr="003E76E7">
        <w:t>The ADF operates a number of First Nations employment pathway programs, including specialist ADF First Nations Recruitment Teams, the Navy and Army Indigenous Development Programs and Air Force Indigenous Recruitment Pathways Programs. The ADF also implements the Indigenous Pre-Recruit Program, a Tri-Service program, delivered across Australia.</w:t>
      </w:r>
    </w:p>
    <w:p w14:paraId="0B7EE3E7" w14:textId="11F42317" w:rsidR="007107A8" w:rsidRPr="003E76E7" w:rsidRDefault="00ED4EF4" w:rsidP="00C4292D">
      <w:pPr>
        <w:spacing w:before="0"/>
      </w:pPr>
      <w:r w:rsidRPr="003E76E7">
        <w:t>Defence will continue to partner with the National Indigenous Australians Agency (NIAA) to support programs identified in the Commonwealth Aboriginal and Torres Strait Islander Workforce Strategy 2020-24. The Indigenous Graduate Pathway Program (managed by Defence since 2021) and the Indigenous Apprenticeship Program (IAP) aim to increase First Nations graduates and apprentices across Government agencies. Defence will also implement the Indigenous Development Employment Program (IDEP), to provide First Nations personnel with development opportunities in areas of communication, leadership, teamwork, personal development and critical thinking.</w:t>
      </w:r>
      <w:r w:rsidR="007107A8" w:rsidRPr="003E76E7">
        <w:t xml:space="preserve"> </w:t>
      </w:r>
    </w:p>
    <w:p w14:paraId="777D90BC" w14:textId="03B2E4A8" w:rsidR="0029190E" w:rsidRPr="003E76E7" w:rsidRDefault="0029190E" w:rsidP="00C4292D">
      <w:pPr>
        <w:spacing w:before="0"/>
      </w:pPr>
    </w:p>
    <w:p w14:paraId="11A0E175" w14:textId="275EB61F" w:rsidR="001E4E1B" w:rsidRPr="003E76E7" w:rsidRDefault="001E4E1B" w:rsidP="00C4292D">
      <w:pPr>
        <w:pStyle w:val="BodyText"/>
        <w:spacing w:before="0"/>
        <w:rPr>
          <w:rFonts w:ascii="Arial" w:hAnsi="Arial"/>
          <w:b/>
        </w:rPr>
      </w:pPr>
      <w:r w:rsidRPr="003E76E7">
        <w:rPr>
          <w:rFonts w:ascii="Arial" w:hAnsi="Arial"/>
          <w:b/>
        </w:rPr>
        <w:t xml:space="preserve">Defence Indigenous Community Assistance Programs </w:t>
      </w:r>
    </w:p>
    <w:p w14:paraId="2A3F7351" w14:textId="4D087566" w:rsidR="007107A8" w:rsidRPr="003E76E7" w:rsidRDefault="001E4E1B" w:rsidP="00C4292D">
      <w:pPr>
        <w:spacing w:before="0"/>
      </w:pPr>
      <w:r w:rsidRPr="003E76E7">
        <w:rPr>
          <w:szCs w:val="20"/>
        </w:rPr>
        <w:t>Defence delivers two Indigenous Community Assistance Programs, the Army Aboriginal Community Assistance Program (AACAP) and the Air Force Exercise Kummundoo. AACAP is a Commonwealth Government initiative between Defence (Army) and the National Indigenous Australians Agency (NIAA). It aims to improve infrastructure, health, living and economic conditions within remote Indigenous communities. These aims support the National Agreement on Closing the Gap which brings Aboriginal and Torres Strait Islander peoples, governments and key stakeholders together, to address the inequality experienced by Aboriginal and Torres Strait Islander peoples.</w:t>
      </w:r>
      <w:r w:rsidR="007107A8" w:rsidRPr="003E76E7">
        <w:t xml:space="preserve"> </w:t>
      </w:r>
    </w:p>
    <w:p w14:paraId="014278A3" w14:textId="44DD53C6" w:rsidR="007107A8" w:rsidRPr="003E76E7" w:rsidRDefault="001E4E1B" w:rsidP="00C4292D">
      <w:pPr>
        <w:keepNext/>
        <w:keepLines/>
        <w:rPr>
          <w:szCs w:val="20"/>
        </w:rPr>
      </w:pPr>
      <w:r w:rsidRPr="003E76E7">
        <w:rPr>
          <w:szCs w:val="20"/>
        </w:rPr>
        <w:t xml:space="preserve">AACAP projects leverage the ability of Army to deliver a range of services in remote areas, providing infrastructure works, employability skills training, health promotion and community support in a holistic and highly effective manner. Army also benefits from the opportunities afforded by the conduct of AACAP projects to exercise various operational capabilities in a unique cultural and physical environment. AACAP projects have recently occurred in </w:t>
      </w:r>
      <w:r w:rsidR="00D92594">
        <w:rPr>
          <w:szCs w:val="20"/>
        </w:rPr>
        <w:br/>
      </w:r>
      <w:r w:rsidRPr="003E76E7">
        <w:rPr>
          <w:szCs w:val="20"/>
        </w:rPr>
        <w:t xml:space="preserve">Amata, SA (2024) and the Torres Strait, QLD (2025); AACAP 2026 will occur in Yungngora, WA. Army forward looking plans for the AACAP </w:t>
      </w:r>
      <w:r w:rsidR="00F034BA">
        <w:rPr>
          <w:szCs w:val="20"/>
        </w:rPr>
        <w:t>project include deployments to north-western</w:t>
      </w:r>
      <w:r w:rsidRPr="003E76E7">
        <w:rPr>
          <w:szCs w:val="20"/>
        </w:rPr>
        <w:t xml:space="preserve"> WA, </w:t>
      </w:r>
      <w:r w:rsidR="008D39A1" w:rsidRPr="003E76E7">
        <w:rPr>
          <w:szCs w:val="20"/>
        </w:rPr>
        <w:t xml:space="preserve">specifically </w:t>
      </w:r>
      <w:r w:rsidRPr="003E76E7">
        <w:rPr>
          <w:szCs w:val="20"/>
        </w:rPr>
        <w:t>the community of Yungngora.</w:t>
      </w:r>
    </w:p>
    <w:p w14:paraId="7E0FA2E4" w14:textId="77777777" w:rsidR="0029190E" w:rsidRPr="003E76E7" w:rsidRDefault="0029190E" w:rsidP="00C4292D">
      <w:pPr>
        <w:keepNext/>
        <w:keepLines/>
      </w:pPr>
      <w:r w:rsidRPr="003E76E7">
        <w:t>Exercise Kummundoo is an initiative facilitated by the strategic partnership between the Royal Australian Air Force and the National Aboriginal Community Controlled Health Organisation (NACCHO) - the national peak body that represents Aboriginal Community Controlled Health Organisations across Australia. It sees Air Force, through partnership with NACCHO, deploy small teams of personnel to remote Aboriginal and Torres Strait Islander communities across Australia, to work on health and wellbeing projects alongside the local community, to achieve outcomes that the community drive. This longstanding initiative demonstrates Air Force's strong commitment to supporting and enhancing primary healthcare outcomes in Aboriginal and Torres Strait Islander communities - actively contributing to Closing the Gap.</w:t>
      </w:r>
    </w:p>
    <w:p w14:paraId="312406D5" w14:textId="77777777" w:rsidR="00A818FD" w:rsidRPr="003E76E7" w:rsidRDefault="00A818FD" w:rsidP="00C4292D">
      <w:pPr>
        <w:pStyle w:val="BodyText"/>
        <w:rPr>
          <w:lang w:val="en-AU"/>
        </w:rPr>
      </w:pPr>
    </w:p>
    <w:p w14:paraId="4E26EF2C" w14:textId="77777777" w:rsidR="00593F37" w:rsidRPr="003E76E7" w:rsidRDefault="00593F37" w:rsidP="00C4292D">
      <w:pPr>
        <w:pStyle w:val="BodyText"/>
        <w:rPr>
          <w:lang w:val="en-AU"/>
        </w:rPr>
      </w:pPr>
    </w:p>
    <w:p w14:paraId="376AF023" w14:textId="01708B32" w:rsidR="00CC47BF" w:rsidRPr="003E76E7" w:rsidRDefault="00CC47BF" w:rsidP="00C4292D">
      <w:pPr>
        <w:spacing w:before="0" w:after="0"/>
        <w:rPr>
          <w:lang w:val="en-AU"/>
        </w:rPr>
      </w:pPr>
      <w:bookmarkStart w:id="1374" w:name="_Toc1561692"/>
      <w:bookmarkStart w:id="1375" w:name="_Toc51691689"/>
      <w:bookmarkStart w:id="1376" w:name="_Toc69729059"/>
      <w:bookmarkStart w:id="1377" w:name="_Toc69917854"/>
      <w:bookmarkStart w:id="1378" w:name="_Toc97747843"/>
      <w:bookmarkStart w:id="1379" w:name="_Toc108088956"/>
      <w:bookmarkStart w:id="1380" w:name="_Toc108089035"/>
      <w:bookmarkStart w:id="1381" w:name="_Toc108089429"/>
      <w:bookmarkStart w:id="1382" w:name="_Toc109227296"/>
      <w:bookmarkStart w:id="1383" w:name="_Toc109227751"/>
      <w:bookmarkStart w:id="1384" w:name="_Toc159499698"/>
      <w:bookmarkStart w:id="1385" w:name="_Toc159857677"/>
      <w:bookmarkStart w:id="1386" w:name="_Toc159857756"/>
      <w:bookmarkStart w:id="1387" w:name="_Toc159858152"/>
      <w:bookmarkStart w:id="1388" w:name="_Toc159858817"/>
      <w:bookmarkStart w:id="1389" w:name="_Toc159858887"/>
      <w:bookmarkStart w:id="1390" w:name="_Toc159859115"/>
      <w:bookmarkStart w:id="1391" w:name="_Toc159862477"/>
      <w:bookmarkStart w:id="1392" w:name="_Toc221786181"/>
      <w:r w:rsidRPr="003E76E7">
        <w:rPr>
          <w:lang w:val="en-AU"/>
        </w:rPr>
        <w:br w:type="page"/>
      </w:r>
    </w:p>
    <w:p w14:paraId="5598BCB4" w14:textId="77777777" w:rsidR="0007028A" w:rsidRPr="003E76E7" w:rsidRDefault="0007028A" w:rsidP="00C4292D">
      <w:pPr>
        <w:ind w:left="2" w:firstLine="1"/>
        <w:jc w:val="center"/>
        <w:rPr>
          <w:lang w:val="en-AU"/>
        </w:rPr>
      </w:pPr>
    </w:p>
    <w:p w14:paraId="1C8B39B8" w14:textId="77777777" w:rsidR="0007028A" w:rsidRPr="003E76E7" w:rsidRDefault="0007028A" w:rsidP="00C4292D">
      <w:pPr>
        <w:ind w:left="2" w:firstLine="1"/>
        <w:jc w:val="center"/>
        <w:rPr>
          <w:lang w:val="en-AU"/>
        </w:rPr>
      </w:pPr>
    </w:p>
    <w:p w14:paraId="24321ADE" w14:textId="77777777" w:rsidR="0007028A" w:rsidRPr="003E76E7" w:rsidRDefault="0007028A" w:rsidP="00C4292D">
      <w:pPr>
        <w:ind w:left="2" w:firstLine="1"/>
        <w:jc w:val="center"/>
        <w:rPr>
          <w:lang w:val="en-AU"/>
        </w:rPr>
      </w:pPr>
    </w:p>
    <w:p w14:paraId="313D7404" w14:textId="77777777" w:rsidR="0007028A" w:rsidRPr="003E76E7" w:rsidRDefault="0007028A" w:rsidP="00C4292D">
      <w:pPr>
        <w:ind w:left="2" w:firstLine="1"/>
        <w:jc w:val="center"/>
        <w:rPr>
          <w:lang w:val="en-AU"/>
        </w:rPr>
      </w:pPr>
    </w:p>
    <w:p w14:paraId="1D988E3A" w14:textId="77777777" w:rsidR="0007028A" w:rsidRPr="003E76E7" w:rsidRDefault="0007028A" w:rsidP="00C4292D">
      <w:pPr>
        <w:ind w:left="2" w:firstLine="1"/>
        <w:jc w:val="center"/>
        <w:rPr>
          <w:lang w:val="en-AU"/>
        </w:rPr>
      </w:pPr>
    </w:p>
    <w:p w14:paraId="00951992" w14:textId="77777777" w:rsidR="0007028A" w:rsidRPr="003E76E7" w:rsidRDefault="0007028A" w:rsidP="00C4292D">
      <w:pPr>
        <w:ind w:left="2" w:firstLine="1"/>
        <w:jc w:val="center"/>
        <w:rPr>
          <w:lang w:val="en-AU"/>
        </w:rPr>
      </w:pPr>
    </w:p>
    <w:p w14:paraId="7302A8FD" w14:textId="77777777" w:rsidR="0007028A" w:rsidRPr="003E76E7" w:rsidRDefault="0007028A" w:rsidP="00C4292D">
      <w:pPr>
        <w:ind w:left="2" w:firstLine="1"/>
        <w:jc w:val="center"/>
        <w:rPr>
          <w:lang w:val="en-AU"/>
        </w:rPr>
      </w:pPr>
    </w:p>
    <w:p w14:paraId="4819DF88" w14:textId="77777777" w:rsidR="0007028A" w:rsidRPr="003E76E7" w:rsidRDefault="0007028A" w:rsidP="00C4292D">
      <w:pPr>
        <w:ind w:left="2" w:firstLine="1"/>
        <w:jc w:val="center"/>
        <w:rPr>
          <w:lang w:val="en-AU"/>
        </w:rPr>
      </w:pPr>
    </w:p>
    <w:p w14:paraId="23A13FE5" w14:textId="77777777" w:rsidR="0007028A" w:rsidRPr="003E76E7" w:rsidRDefault="0007028A" w:rsidP="00C4292D">
      <w:pPr>
        <w:ind w:left="2" w:firstLine="1"/>
        <w:jc w:val="center"/>
        <w:rPr>
          <w:lang w:val="en-AU"/>
        </w:rPr>
      </w:pPr>
    </w:p>
    <w:p w14:paraId="7C1D05B6" w14:textId="77777777" w:rsidR="0007028A" w:rsidRPr="003E76E7" w:rsidRDefault="0007028A" w:rsidP="00C4292D">
      <w:pPr>
        <w:ind w:left="2" w:firstLine="1"/>
        <w:jc w:val="center"/>
        <w:rPr>
          <w:lang w:val="en-AU"/>
        </w:rPr>
      </w:pPr>
    </w:p>
    <w:p w14:paraId="007108F0" w14:textId="77777777" w:rsidR="0007028A" w:rsidRPr="003E76E7" w:rsidRDefault="0007028A" w:rsidP="00C4292D">
      <w:pPr>
        <w:ind w:left="2" w:firstLine="1"/>
        <w:jc w:val="center"/>
        <w:rPr>
          <w:lang w:val="en-AU"/>
        </w:rPr>
      </w:pPr>
    </w:p>
    <w:p w14:paraId="0B708F5F" w14:textId="77777777" w:rsidR="0007028A" w:rsidRPr="003E76E7" w:rsidRDefault="0007028A" w:rsidP="00C4292D">
      <w:pPr>
        <w:ind w:left="2" w:firstLine="1"/>
        <w:jc w:val="center"/>
        <w:rPr>
          <w:lang w:val="en-AU"/>
        </w:rPr>
      </w:pPr>
    </w:p>
    <w:p w14:paraId="7838DB1E" w14:textId="77777777" w:rsidR="0007028A" w:rsidRPr="003E76E7" w:rsidRDefault="0007028A" w:rsidP="00C4292D">
      <w:pPr>
        <w:ind w:left="2" w:firstLine="1"/>
        <w:jc w:val="center"/>
        <w:rPr>
          <w:lang w:val="en-AU"/>
        </w:rPr>
      </w:pPr>
    </w:p>
    <w:p w14:paraId="383B0EAA" w14:textId="77777777" w:rsidR="0007028A" w:rsidRPr="003E76E7" w:rsidRDefault="0007028A" w:rsidP="00C4292D">
      <w:pPr>
        <w:ind w:left="2" w:firstLine="1"/>
        <w:jc w:val="center"/>
        <w:rPr>
          <w:lang w:val="en-AU"/>
        </w:rPr>
      </w:pPr>
    </w:p>
    <w:p w14:paraId="4CAE5C42" w14:textId="77777777" w:rsidR="0007028A" w:rsidRPr="003E76E7" w:rsidRDefault="0007028A" w:rsidP="00C4292D">
      <w:pPr>
        <w:ind w:left="2" w:firstLine="1"/>
        <w:jc w:val="center"/>
        <w:rPr>
          <w:lang w:val="en-AU"/>
        </w:rPr>
      </w:pPr>
      <w:r w:rsidRPr="003E76E7">
        <w:rPr>
          <w:lang w:val="en-AU"/>
        </w:rPr>
        <w:t>This page intentionally left blank.</w:t>
      </w:r>
    </w:p>
    <w:p w14:paraId="0F3B5D09" w14:textId="77777777" w:rsidR="00CC47BF" w:rsidRPr="003E76E7" w:rsidRDefault="00CC47BF" w:rsidP="00C4292D">
      <w:pPr>
        <w:pStyle w:val="BodyText"/>
        <w:rPr>
          <w:lang w:val="en-AU"/>
        </w:rPr>
      </w:pPr>
    </w:p>
    <w:p w14:paraId="736CCE06" w14:textId="77777777" w:rsidR="00CC47BF" w:rsidRPr="003E76E7" w:rsidRDefault="00CC47BF" w:rsidP="00C4292D">
      <w:pPr>
        <w:rPr>
          <w:lang w:val="en-AU"/>
        </w:rPr>
        <w:sectPr w:rsidR="00CC47BF" w:rsidRPr="003E76E7" w:rsidSect="00FF46AE">
          <w:headerReference w:type="even" r:id="rId146"/>
          <w:headerReference w:type="default" r:id="rId147"/>
          <w:footerReference w:type="even" r:id="rId148"/>
          <w:footerReference w:type="default" r:id="rId149"/>
          <w:pgSz w:w="11907" w:h="16840" w:code="9"/>
          <w:pgMar w:top="1701" w:right="1361" w:bottom="1701" w:left="1928" w:header="720" w:footer="720" w:gutter="0"/>
          <w:cols w:space="720"/>
          <w:noEndnote/>
          <w:docGrid w:linePitch="272"/>
        </w:sectPr>
      </w:pPr>
    </w:p>
    <w:p w14:paraId="0886E4CB" w14:textId="75D2CC13" w:rsidR="001A4E61" w:rsidRPr="003E76E7" w:rsidRDefault="001A4E61" w:rsidP="00C4292D">
      <w:pPr>
        <w:spacing w:before="0" w:after="0"/>
      </w:pPr>
    </w:p>
    <w:p w14:paraId="32EBF4BB" w14:textId="41965FE5" w:rsidR="002A31EA" w:rsidRPr="003E76E7" w:rsidRDefault="002A31EA" w:rsidP="00C4292D">
      <w:pPr>
        <w:spacing w:before="0" w:after="0"/>
      </w:pPr>
    </w:p>
    <w:p w14:paraId="40E9B24D" w14:textId="3749BD51" w:rsidR="002A31EA" w:rsidRPr="003E76E7" w:rsidRDefault="002A31EA" w:rsidP="00C4292D">
      <w:pPr>
        <w:spacing w:before="0" w:after="0"/>
      </w:pPr>
    </w:p>
    <w:p w14:paraId="22F08F44" w14:textId="77777777" w:rsidR="002A31EA" w:rsidRPr="003E76E7" w:rsidRDefault="002A31EA" w:rsidP="00C4292D">
      <w:pPr>
        <w:spacing w:before="0" w:after="0"/>
      </w:pPr>
    </w:p>
    <w:p w14:paraId="6DE19129" w14:textId="1B278614" w:rsidR="001A4E61" w:rsidRPr="003E76E7" w:rsidRDefault="001A4E61" w:rsidP="00C4292D">
      <w:pPr>
        <w:pStyle w:val="BodyText"/>
      </w:pPr>
    </w:p>
    <w:p w14:paraId="564F6696" w14:textId="58AD3E62" w:rsidR="001A4E61" w:rsidRPr="003E76E7" w:rsidRDefault="001A4E61" w:rsidP="00C4292D">
      <w:pPr>
        <w:pStyle w:val="BodyText"/>
      </w:pPr>
    </w:p>
    <w:p w14:paraId="093F15F7" w14:textId="77777777" w:rsidR="001A4E61" w:rsidRPr="003E76E7" w:rsidRDefault="001A4E61" w:rsidP="00C4292D">
      <w:pPr>
        <w:pStyle w:val="BodyText"/>
      </w:pPr>
    </w:p>
    <w:p w14:paraId="2F0C1C22" w14:textId="5149019B" w:rsidR="001A4E61" w:rsidRPr="003E76E7" w:rsidRDefault="001A4E61" w:rsidP="00C4292D">
      <w:pPr>
        <w:pStyle w:val="BodyText"/>
      </w:pPr>
    </w:p>
    <w:p w14:paraId="332404EB" w14:textId="77777777" w:rsidR="001A4E61" w:rsidRPr="003E76E7" w:rsidRDefault="001A4E61" w:rsidP="00C4292D">
      <w:pPr>
        <w:pStyle w:val="BodyText"/>
      </w:pPr>
    </w:p>
    <w:p w14:paraId="3FE785BF" w14:textId="3EF9999D" w:rsidR="004B73E8" w:rsidRPr="003E76E7" w:rsidRDefault="004B73E8" w:rsidP="00C4292D">
      <w:pPr>
        <w:pStyle w:val="Heading2"/>
        <w:spacing w:before="0" w:after="360"/>
        <w:jc w:val="center"/>
        <w:rPr>
          <w:rFonts w:ascii="Arial Bold" w:hAnsi="Arial Bold"/>
          <w:b/>
          <w:sz w:val="52"/>
          <w:szCs w:val="52"/>
        </w:rPr>
      </w:pPr>
      <w:bookmarkStart w:id="1393" w:name="_Toc222129938"/>
      <w:bookmarkStart w:id="1394" w:name="_Toc222148368"/>
      <w:bookmarkStart w:id="1395" w:name="_Toc225847996"/>
      <w:bookmarkStart w:id="1396" w:name="_Toc225848079"/>
      <w:bookmarkStart w:id="1397" w:name="_Toc225848162"/>
      <w:bookmarkStart w:id="1398" w:name="_Toc225848260"/>
      <w:bookmarkStart w:id="1399" w:name="_Toc225848501"/>
      <w:bookmarkStart w:id="1400" w:name="_Toc225941568"/>
      <w:bookmarkStart w:id="1401" w:name="_Toc225942575"/>
      <w:bookmarkStart w:id="1402" w:name="_Toc227334385"/>
      <w:bookmarkStart w:id="1403" w:name="_Toc229072460"/>
      <w:bookmarkStart w:id="1404" w:name="_Toc229072632"/>
      <w:r w:rsidRPr="003E76E7">
        <w:rPr>
          <w:rFonts w:ascii="Arial Bold" w:hAnsi="Arial Bold"/>
          <w:b/>
          <w:sz w:val="52"/>
          <w:szCs w:val="52"/>
        </w:rPr>
        <w:t>Australian Signals Directorate</w:t>
      </w:r>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p>
    <w:p w14:paraId="3002D0BF" w14:textId="77777777" w:rsidR="004B73E8" w:rsidRPr="003E76E7" w:rsidRDefault="004B73E8" w:rsidP="00C4292D">
      <w:pPr>
        <w:rPr>
          <w:lang w:val="en-AU"/>
        </w:rPr>
      </w:pPr>
    </w:p>
    <w:p w14:paraId="78F5C05F" w14:textId="752124A0" w:rsidR="004B73E8" w:rsidRPr="003E76E7" w:rsidRDefault="004B73E8" w:rsidP="00C4292D">
      <w:pPr>
        <w:rPr>
          <w:lang w:val="en-AU"/>
        </w:rPr>
      </w:pPr>
    </w:p>
    <w:p w14:paraId="06E1EF28" w14:textId="77777777" w:rsidR="004B73E8" w:rsidRPr="003E76E7" w:rsidRDefault="004B73E8" w:rsidP="00C4292D">
      <w:pPr>
        <w:rPr>
          <w:lang w:val="en-AU"/>
        </w:rPr>
      </w:pPr>
    </w:p>
    <w:p w14:paraId="24A081B6" w14:textId="25C6C3FF" w:rsidR="004B73E8" w:rsidRPr="003E76E7" w:rsidRDefault="00CF10DD" w:rsidP="00C4292D">
      <w:pPr>
        <w:pStyle w:val="DepartmentalSubtitle"/>
        <w:rPr>
          <w:lang w:val="en-AU"/>
        </w:rPr>
      </w:pPr>
      <w:r w:rsidRPr="003E76E7">
        <w:rPr>
          <w:lang w:val="en-AU"/>
        </w:rPr>
        <w:t xml:space="preserve">Entity </w:t>
      </w:r>
      <w:r w:rsidR="004B73E8" w:rsidRPr="003E76E7">
        <w:rPr>
          <w:lang w:val="en-AU"/>
        </w:rPr>
        <w:t>Resources and Planned Performance</w:t>
      </w:r>
    </w:p>
    <w:p w14:paraId="2268EBAE" w14:textId="68F3D105" w:rsidR="009F75B3" w:rsidRPr="003E76E7" w:rsidRDefault="00CF10DD" w:rsidP="00C4292D">
      <w:pPr>
        <w:pStyle w:val="TOC2"/>
        <w:rPr>
          <w:rFonts w:asciiTheme="minorHAnsi" w:eastAsiaTheme="minorEastAsia" w:hAnsiTheme="minorHAnsi" w:cstheme="minorBidi"/>
          <w:b w:val="0"/>
          <w:caps w:val="0"/>
          <w:sz w:val="22"/>
          <w:szCs w:val="22"/>
          <w:lang w:val="en-AU"/>
        </w:rPr>
      </w:pPr>
      <w:r w:rsidRPr="003E76E7">
        <w:rPr>
          <w:rFonts w:ascii="Arial" w:hAnsi="Arial"/>
          <w:bCs/>
          <w:smallCaps/>
          <w:noProof w:val="0"/>
          <w:kern w:val="32"/>
          <w:sz w:val="34"/>
          <w:szCs w:val="32"/>
        </w:rPr>
        <w:fldChar w:fldCharType="begin"/>
      </w:r>
      <w:r w:rsidRPr="003E76E7">
        <w:rPr>
          <w:rFonts w:ascii="Arial" w:hAnsi="Arial"/>
        </w:rPr>
        <w:instrText xml:space="preserve"> TOC \o "1-4" \h \z \u </w:instrText>
      </w:r>
      <w:r w:rsidRPr="003E76E7">
        <w:rPr>
          <w:rFonts w:ascii="Arial" w:hAnsi="Arial"/>
          <w:bCs/>
          <w:smallCaps/>
          <w:noProof w:val="0"/>
          <w:kern w:val="32"/>
          <w:sz w:val="34"/>
          <w:szCs w:val="32"/>
        </w:rPr>
        <w:fldChar w:fldCharType="separate"/>
      </w:r>
    </w:p>
    <w:p w14:paraId="2E263C9E" w14:textId="5C955752" w:rsidR="009F75B3" w:rsidRPr="003E76E7" w:rsidRDefault="00AD70C0" w:rsidP="00C4292D">
      <w:pPr>
        <w:pStyle w:val="TOC3"/>
        <w:rPr>
          <w:rFonts w:asciiTheme="minorHAnsi" w:eastAsiaTheme="minorEastAsia" w:hAnsiTheme="minorHAnsi" w:cstheme="minorBidi"/>
          <w:sz w:val="22"/>
          <w:szCs w:val="22"/>
          <w:lang w:val="en-AU"/>
        </w:rPr>
      </w:pPr>
      <w:hyperlink w:anchor="_Toc225848080" w:history="1">
        <w:r w:rsidR="009F75B3" w:rsidRPr="003E76E7">
          <w:rPr>
            <w:rStyle w:val="Hyperlink"/>
          </w:rPr>
          <w:t>Section 1:  ASD Overview and Resources</w:t>
        </w:r>
        <w:r w:rsidR="009F75B3" w:rsidRPr="003E76E7">
          <w:rPr>
            <w:webHidden/>
          </w:rPr>
          <w:tab/>
        </w:r>
        <w:r w:rsidR="009F75B3" w:rsidRPr="003E76E7">
          <w:rPr>
            <w:webHidden/>
          </w:rPr>
          <w:fldChar w:fldCharType="begin"/>
        </w:r>
        <w:r w:rsidR="009F75B3" w:rsidRPr="003E76E7">
          <w:rPr>
            <w:webHidden/>
          </w:rPr>
          <w:instrText xml:space="preserve"> PAGEREF _Toc225848080 \h </w:instrText>
        </w:r>
        <w:r w:rsidR="009F75B3" w:rsidRPr="003E76E7">
          <w:rPr>
            <w:webHidden/>
          </w:rPr>
        </w:r>
        <w:r w:rsidR="009F75B3" w:rsidRPr="003E76E7">
          <w:rPr>
            <w:webHidden/>
          </w:rPr>
          <w:fldChar w:fldCharType="separate"/>
        </w:r>
        <w:r w:rsidR="00E00C37">
          <w:rPr>
            <w:webHidden/>
          </w:rPr>
          <w:t>165</w:t>
        </w:r>
        <w:r w:rsidR="009F75B3" w:rsidRPr="003E76E7">
          <w:rPr>
            <w:webHidden/>
          </w:rPr>
          <w:fldChar w:fldCharType="end"/>
        </w:r>
      </w:hyperlink>
    </w:p>
    <w:p w14:paraId="0BF03B0A" w14:textId="0CD4D70E" w:rsidR="009F75B3" w:rsidRPr="003E76E7" w:rsidRDefault="00AD70C0" w:rsidP="00C4292D">
      <w:pPr>
        <w:pStyle w:val="TOC4"/>
        <w:rPr>
          <w:rFonts w:asciiTheme="minorHAnsi" w:eastAsiaTheme="minorEastAsia" w:hAnsiTheme="minorHAnsi" w:cstheme="minorBidi"/>
          <w:sz w:val="22"/>
          <w:szCs w:val="22"/>
          <w:lang w:val="en-AU"/>
        </w:rPr>
      </w:pPr>
      <w:hyperlink w:anchor="_Toc225848081" w:history="1">
        <w:r w:rsidR="009F75B3" w:rsidRPr="003E76E7">
          <w:rPr>
            <w:rStyle w:val="Hyperlink"/>
            <w:lang w:val="en-AU"/>
          </w:rPr>
          <w:t>1.1 Strategic Direction Statement</w:t>
        </w:r>
        <w:r w:rsidR="009F75B3" w:rsidRPr="003E76E7">
          <w:rPr>
            <w:webHidden/>
          </w:rPr>
          <w:tab/>
        </w:r>
        <w:r w:rsidR="009F75B3" w:rsidRPr="003E76E7">
          <w:rPr>
            <w:webHidden/>
          </w:rPr>
          <w:fldChar w:fldCharType="begin"/>
        </w:r>
        <w:r w:rsidR="009F75B3" w:rsidRPr="003E76E7">
          <w:rPr>
            <w:webHidden/>
          </w:rPr>
          <w:instrText xml:space="preserve"> PAGEREF _Toc225848081 \h </w:instrText>
        </w:r>
        <w:r w:rsidR="009F75B3" w:rsidRPr="003E76E7">
          <w:rPr>
            <w:webHidden/>
          </w:rPr>
        </w:r>
        <w:r w:rsidR="009F75B3" w:rsidRPr="003E76E7">
          <w:rPr>
            <w:webHidden/>
          </w:rPr>
          <w:fldChar w:fldCharType="separate"/>
        </w:r>
        <w:r w:rsidR="00E00C37">
          <w:rPr>
            <w:webHidden/>
          </w:rPr>
          <w:t>165</w:t>
        </w:r>
        <w:r w:rsidR="009F75B3" w:rsidRPr="003E76E7">
          <w:rPr>
            <w:webHidden/>
          </w:rPr>
          <w:fldChar w:fldCharType="end"/>
        </w:r>
      </w:hyperlink>
    </w:p>
    <w:p w14:paraId="1A15A69B" w14:textId="4370F0A7" w:rsidR="009F75B3" w:rsidRPr="003E76E7" w:rsidRDefault="00AD70C0" w:rsidP="00C4292D">
      <w:pPr>
        <w:pStyle w:val="TOC4"/>
        <w:rPr>
          <w:rFonts w:asciiTheme="minorHAnsi" w:eastAsiaTheme="minorEastAsia" w:hAnsiTheme="minorHAnsi" w:cstheme="minorBidi"/>
          <w:sz w:val="22"/>
          <w:szCs w:val="22"/>
          <w:lang w:val="en-AU"/>
        </w:rPr>
      </w:pPr>
      <w:hyperlink w:anchor="_Toc225848082" w:history="1">
        <w:r w:rsidR="009F75B3" w:rsidRPr="003E76E7">
          <w:rPr>
            <w:rStyle w:val="Hyperlink"/>
            <w:lang w:val="en-AU"/>
          </w:rPr>
          <w:t>1.2 ASD Resource Statement</w:t>
        </w:r>
        <w:r w:rsidR="009F75B3" w:rsidRPr="003E76E7">
          <w:rPr>
            <w:webHidden/>
          </w:rPr>
          <w:tab/>
        </w:r>
        <w:r w:rsidR="009F75B3" w:rsidRPr="003E76E7">
          <w:rPr>
            <w:webHidden/>
          </w:rPr>
          <w:fldChar w:fldCharType="begin"/>
        </w:r>
        <w:r w:rsidR="009F75B3" w:rsidRPr="003E76E7">
          <w:rPr>
            <w:webHidden/>
          </w:rPr>
          <w:instrText xml:space="preserve"> PAGEREF _Toc225848082 \h </w:instrText>
        </w:r>
        <w:r w:rsidR="009F75B3" w:rsidRPr="003E76E7">
          <w:rPr>
            <w:webHidden/>
          </w:rPr>
        </w:r>
        <w:r w:rsidR="009F75B3" w:rsidRPr="003E76E7">
          <w:rPr>
            <w:webHidden/>
          </w:rPr>
          <w:fldChar w:fldCharType="separate"/>
        </w:r>
        <w:r w:rsidR="00E00C37">
          <w:rPr>
            <w:webHidden/>
          </w:rPr>
          <w:t>169</w:t>
        </w:r>
        <w:r w:rsidR="009F75B3" w:rsidRPr="003E76E7">
          <w:rPr>
            <w:webHidden/>
          </w:rPr>
          <w:fldChar w:fldCharType="end"/>
        </w:r>
      </w:hyperlink>
    </w:p>
    <w:p w14:paraId="4BA55615" w14:textId="7CC2941A" w:rsidR="009F75B3" w:rsidRPr="003E76E7" w:rsidRDefault="00AD70C0" w:rsidP="00C4292D">
      <w:pPr>
        <w:pStyle w:val="TOC4"/>
        <w:rPr>
          <w:rFonts w:asciiTheme="minorHAnsi" w:eastAsiaTheme="minorEastAsia" w:hAnsiTheme="minorHAnsi" w:cstheme="minorBidi"/>
          <w:sz w:val="22"/>
          <w:szCs w:val="22"/>
          <w:lang w:val="en-AU"/>
        </w:rPr>
      </w:pPr>
      <w:hyperlink w:anchor="_Toc225848083" w:history="1">
        <w:r w:rsidR="009F75B3" w:rsidRPr="003E76E7">
          <w:rPr>
            <w:rStyle w:val="Hyperlink"/>
            <w:lang w:val="en-AU"/>
          </w:rPr>
          <w:t>1.3 Budget Measures</w:t>
        </w:r>
        <w:r w:rsidR="009F75B3" w:rsidRPr="003E76E7">
          <w:rPr>
            <w:webHidden/>
          </w:rPr>
          <w:tab/>
        </w:r>
        <w:r w:rsidR="009F75B3" w:rsidRPr="003E76E7">
          <w:rPr>
            <w:webHidden/>
          </w:rPr>
          <w:fldChar w:fldCharType="begin"/>
        </w:r>
        <w:r w:rsidR="009F75B3" w:rsidRPr="003E76E7">
          <w:rPr>
            <w:webHidden/>
          </w:rPr>
          <w:instrText xml:space="preserve"> PAGEREF _Toc225848083 \h </w:instrText>
        </w:r>
        <w:r w:rsidR="009F75B3" w:rsidRPr="003E76E7">
          <w:rPr>
            <w:webHidden/>
          </w:rPr>
        </w:r>
        <w:r w:rsidR="009F75B3" w:rsidRPr="003E76E7">
          <w:rPr>
            <w:webHidden/>
          </w:rPr>
          <w:fldChar w:fldCharType="separate"/>
        </w:r>
        <w:r w:rsidR="00E00C37">
          <w:rPr>
            <w:webHidden/>
          </w:rPr>
          <w:t>170</w:t>
        </w:r>
        <w:r w:rsidR="009F75B3" w:rsidRPr="003E76E7">
          <w:rPr>
            <w:webHidden/>
          </w:rPr>
          <w:fldChar w:fldCharType="end"/>
        </w:r>
      </w:hyperlink>
    </w:p>
    <w:p w14:paraId="20E4524D" w14:textId="787F6C00" w:rsidR="009F75B3" w:rsidRPr="003E76E7" w:rsidRDefault="00AD70C0" w:rsidP="00C4292D">
      <w:pPr>
        <w:pStyle w:val="TOC3"/>
        <w:rPr>
          <w:rFonts w:asciiTheme="minorHAnsi" w:eastAsiaTheme="minorEastAsia" w:hAnsiTheme="minorHAnsi" w:cstheme="minorBidi"/>
          <w:sz w:val="22"/>
          <w:szCs w:val="22"/>
          <w:lang w:val="en-AU"/>
        </w:rPr>
      </w:pPr>
      <w:hyperlink w:anchor="_Toc225848084" w:history="1">
        <w:r w:rsidR="009F75B3" w:rsidRPr="003E76E7">
          <w:rPr>
            <w:rStyle w:val="Hyperlink"/>
          </w:rPr>
          <w:t>Section 2: ASD Outcomes and Planned Performance</w:t>
        </w:r>
        <w:r w:rsidR="009F75B3" w:rsidRPr="003E76E7">
          <w:rPr>
            <w:webHidden/>
          </w:rPr>
          <w:tab/>
        </w:r>
        <w:r w:rsidR="009F75B3" w:rsidRPr="003E76E7">
          <w:rPr>
            <w:webHidden/>
          </w:rPr>
          <w:fldChar w:fldCharType="begin"/>
        </w:r>
        <w:r w:rsidR="009F75B3" w:rsidRPr="003E76E7">
          <w:rPr>
            <w:webHidden/>
          </w:rPr>
          <w:instrText xml:space="preserve"> PAGEREF _Toc225848084 \h </w:instrText>
        </w:r>
        <w:r w:rsidR="009F75B3" w:rsidRPr="003E76E7">
          <w:rPr>
            <w:webHidden/>
          </w:rPr>
        </w:r>
        <w:r w:rsidR="009F75B3" w:rsidRPr="003E76E7">
          <w:rPr>
            <w:webHidden/>
          </w:rPr>
          <w:fldChar w:fldCharType="separate"/>
        </w:r>
        <w:r w:rsidR="00E00C37">
          <w:rPr>
            <w:webHidden/>
          </w:rPr>
          <w:t>171</w:t>
        </w:r>
        <w:r w:rsidR="009F75B3" w:rsidRPr="003E76E7">
          <w:rPr>
            <w:webHidden/>
          </w:rPr>
          <w:fldChar w:fldCharType="end"/>
        </w:r>
      </w:hyperlink>
    </w:p>
    <w:p w14:paraId="7236124F" w14:textId="1D1FE4E3" w:rsidR="009F75B3" w:rsidRPr="003E76E7" w:rsidRDefault="00AD70C0" w:rsidP="00C4292D">
      <w:pPr>
        <w:pStyle w:val="TOC4"/>
        <w:rPr>
          <w:rFonts w:asciiTheme="minorHAnsi" w:eastAsiaTheme="minorEastAsia" w:hAnsiTheme="minorHAnsi" w:cstheme="minorBidi"/>
          <w:sz w:val="22"/>
          <w:szCs w:val="22"/>
          <w:lang w:val="en-AU"/>
        </w:rPr>
      </w:pPr>
      <w:hyperlink w:anchor="_Toc225848085" w:history="1">
        <w:r w:rsidR="009F75B3" w:rsidRPr="003E76E7">
          <w:rPr>
            <w:rStyle w:val="Hyperlink"/>
            <w:lang w:val="en-AU"/>
          </w:rPr>
          <w:t>2.1 Budgeted Expenses and Performance for Outcome 1</w:t>
        </w:r>
        <w:r w:rsidR="009F75B3" w:rsidRPr="003E76E7">
          <w:rPr>
            <w:webHidden/>
          </w:rPr>
          <w:tab/>
        </w:r>
        <w:r w:rsidR="009F75B3" w:rsidRPr="003E76E7">
          <w:rPr>
            <w:webHidden/>
          </w:rPr>
          <w:fldChar w:fldCharType="begin"/>
        </w:r>
        <w:r w:rsidR="009F75B3" w:rsidRPr="003E76E7">
          <w:rPr>
            <w:webHidden/>
          </w:rPr>
          <w:instrText xml:space="preserve"> PAGEREF _Toc225848085 \h </w:instrText>
        </w:r>
        <w:r w:rsidR="009F75B3" w:rsidRPr="003E76E7">
          <w:rPr>
            <w:webHidden/>
          </w:rPr>
        </w:r>
        <w:r w:rsidR="009F75B3" w:rsidRPr="003E76E7">
          <w:rPr>
            <w:webHidden/>
          </w:rPr>
          <w:fldChar w:fldCharType="separate"/>
        </w:r>
        <w:r w:rsidR="00E00C37">
          <w:rPr>
            <w:webHidden/>
          </w:rPr>
          <w:t>172</w:t>
        </w:r>
        <w:r w:rsidR="009F75B3" w:rsidRPr="003E76E7">
          <w:rPr>
            <w:webHidden/>
          </w:rPr>
          <w:fldChar w:fldCharType="end"/>
        </w:r>
      </w:hyperlink>
    </w:p>
    <w:p w14:paraId="1F6965B3" w14:textId="72A56C35" w:rsidR="009F75B3" w:rsidRPr="003E76E7" w:rsidRDefault="00AD70C0" w:rsidP="00C4292D">
      <w:pPr>
        <w:pStyle w:val="TOC3"/>
        <w:rPr>
          <w:rFonts w:asciiTheme="minorHAnsi" w:eastAsiaTheme="minorEastAsia" w:hAnsiTheme="minorHAnsi" w:cstheme="minorBidi"/>
          <w:sz w:val="22"/>
          <w:szCs w:val="22"/>
          <w:lang w:val="en-AU"/>
        </w:rPr>
      </w:pPr>
      <w:hyperlink w:anchor="_Toc225848086" w:history="1">
        <w:r w:rsidR="009F75B3" w:rsidRPr="003E76E7">
          <w:rPr>
            <w:rStyle w:val="Hyperlink"/>
          </w:rPr>
          <w:t>Section 3: ASD Explanatory Tables and Budgeted Financial Statements</w:t>
        </w:r>
        <w:r w:rsidR="009F75B3" w:rsidRPr="003E76E7">
          <w:rPr>
            <w:webHidden/>
          </w:rPr>
          <w:tab/>
        </w:r>
        <w:r w:rsidR="009F75B3" w:rsidRPr="003E76E7">
          <w:rPr>
            <w:webHidden/>
          </w:rPr>
          <w:fldChar w:fldCharType="begin"/>
        </w:r>
        <w:r w:rsidR="009F75B3" w:rsidRPr="003E76E7">
          <w:rPr>
            <w:webHidden/>
          </w:rPr>
          <w:instrText xml:space="preserve"> PAGEREF _Toc225848086 \h </w:instrText>
        </w:r>
        <w:r w:rsidR="009F75B3" w:rsidRPr="003E76E7">
          <w:rPr>
            <w:webHidden/>
          </w:rPr>
        </w:r>
        <w:r w:rsidR="009F75B3" w:rsidRPr="003E76E7">
          <w:rPr>
            <w:webHidden/>
          </w:rPr>
          <w:fldChar w:fldCharType="separate"/>
        </w:r>
        <w:r w:rsidR="00E00C37">
          <w:rPr>
            <w:webHidden/>
          </w:rPr>
          <w:t>176</w:t>
        </w:r>
        <w:r w:rsidR="009F75B3" w:rsidRPr="003E76E7">
          <w:rPr>
            <w:webHidden/>
          </w:rPr>
          <w:fldChar w:fldCharType="end"/>
        </w:r>
      </w:hyperlink>
    </w:p>
    <w:p w14:paraId="296F4764" w14:textId="449C8495" w:rsidR="009F75B3" w:rsidRPr="003E76E7" w:rsidRDefault="00AD70C0" w:rsidP="00C4292D">
      <w:pPr>
        <w:pStyle w:val="TOC4"/>
        <w:rPr>
          <w:rFonts w:asciiTheme="minorHAnsi" w:eastAsiaTheme="minorEastAsia" w:hAnsiTheme="minorHAnsi" w:cstheme="minorBidi"/>
          <w:sz w:val="22"/>
          <w:szCs w:val="22"/>
          <w:lang w:val="en-AU"/>
        </w:rPr>
      </w:pPr>
      <w:hyperlink w:anchor="_Toc225848087" w:history="1">
        <w:r w:rsidR="009F75B3" w:rsidRPr="003E76E7">
          <w:rPr>
            <w:rStyle w:val="Hyperlink"/>
            <w:lang w:val="en-AU"/>
          </w:rPr>
          <w:t>3.1 Explanatory Tables</w:t>
        </w:r>
        <w:r w:rsidR="009F75B3" w:rsidRPr="003E76E7">
          <w:rPr>
            <w:webHidden/>
          </w:rPr>
          <w:tab/>
        </w:r>
        <w:r w:rsidR="009F75B3" w:rsidRPr="003E76E7">
          <w:rPr>
            <w:webHidden/>
          </w:rPr>
          <w:fldChar w:fldCharType="begin"/>
        </w:r>
        <w:r w:rsidR="009F75B3" w:rsidRPr="003E76E7">
          <w:rPr>
            <w:webHidden/>
          </w:rPr>
          <w:instrText xml:space="preserve"> PAGEREF _Toc225848087 \h </w:instrText>
        </w:r>
        <w:r w:rsidR="009F75B3" w:rsidRPr="003E76E7">
          <w:rPr>
            <w:webHidden/>
          </w:rPr>
        </w:r>
        <w:r w:rsidR="009F75B3" w:rsidRPr="003E76E7">
          <w:rPr>
            <w:webHidden/>
          </w:rPr>
          <w:fldChar w:fldCharType="separate"/>
        </w:r>
        <w:r w:rsidR="00E00C37">
          <w:rPr>
            <w:webHidden/>
          </w:rPr>
          <w:t>176</w:t>
        </w:r>
        <w:r w:rsidR="009F75B3" w:rsidRPr="003E76E7">
          <w:rPr>
            <w:webHidden/>
          </w:rPr>
          <w:fldChar w:fldCharType="end"/>
        </w:r>
      </w:hyperlink>
    </w:p>
    <w:p w14:paraId="2D12861F" w14:textId="157DF59C" w:rsidR="009F75B3" w:rsidRPr="003E76E7" w:rsidRDefault="00AD70C0" w:rsidP="00C4292D">
      <w:pPr>
        <w:pStyle w:val="TOC4"/>
        <w:rPr>
          <w:rFonts w:asciiTheme="minorHAnsi" w:eastAsiaTheme="minorEastAsia" w:hAnsiTheme="minorHAnsi" w:cstheme="minorBidi"/>
          <w:sz w:val="22"/>
          <w:szCs w:val="22"/>
          <w:lang w:val="en-AU"/>
        </w:rPr>
      </w:pPr>
      <w:hyperlink w:anchor="_Toc225848088" w:history="1">
        <w:r w:rsidR="009F75B3" w:rsidRPr="003E76E7">
          <w:rPr>
            <w:rStyle w:val="Hyperlink"/>
            <w:lang w:val="en-AU"/>
          </w:rPr>
          <w:t>3.2 Budgeted Financial Statements</w:t>
        </w:r>
        <w:r w:rsidR="009F75B3" w:rsidRPr="003E76E7">
          <w:rPr>
            <w:webHidden/>
          </w:rPr>
          <w:tab/>
        </w:r>
        <w:r w:rsidR="009F75B3" w:rsidRPr="003E76E7">
          <w:rPr>
            <w:webHidden/>
          </w:rPr>
          <w:fldChar w:fldCharType="begin"/>
        </w:r>
        <w:r w:rsidR="009F75B3" w:rsidRPr="003E76E7">
          <w:rPr>
            <w:webHidden/>
          </w:rPr>
          <w:instrText xml:space="preserve"> PAGEREF _Toc225848088 \h </w:instrText>
        </w:r>
        <w:r w:rsidR="009F75B3" w:rsidRPr="003E76E7">
          <w:rPr>
            <w:webHidden/>
          </w:rPr>
        </w:r>
        <w:r w:rsidR="009F75B3" w:rsidRPr="003E76E7">
          <w:rPr>
            <w:webHidden/>
          </w:rPr>
          <w:fldChar w:fldCharType="separate"/>
        </w:r>
        <w:r w:rsidR="00E00C37">
          <w:rPr>
            <w:webHidden/>
          </w:rPr>
          <w:t>177</w:t>
        </w:r>
        <w:r w:rsidR="009F75B3" w:rsidRPr="003E76E7">
          <w:rPr>
            <w:webHidden/>
          </w:rPr>
          <w:fldChar w:fldCharType="end"/>
        </w:r>
      </w:hyperlink>
    </w:p>
    <w:p w14:paraId="787B610D" w14:textId="77777777" w:rsidR="002A31EA" w:rsidRPr="003E76E7" w:rsidRDefault="00CF10DD" w:rsidP="00C4292D">
      <w:pPr>
        <w:pStyle w:val="BodyText"/>
        <w:rPr>
          <w:lang w:val="en-AU"/>
        </w:rPr>
      </w:pPr>
      <w:r w:rsidRPr="003E76E7">
        <w:rPr>
          <w:rFonts w:ascii="Arial" w:hAnsi="Arial"/>
          <w:caps/>
          <w:noProof/>
          <w:szCs w:val="20"/>
        </w:rPr>
        <w:fldChar w:fldCharType="end"/>
      </w:r>
      <w:r w:rsidR="004B73E8" w:rsidRPr="003E76E7">
        <w:rPr>
          <w:lang w:val="en-AU"/>
        </w:rPr>
        <w:br w:type="page"/>
      </w:r>
    </w:p>
    <w:p w14:paraId="3DFD9E59" w14:textId="77777777" w:rsidR="000512AB" w:rsidRPr="003E76E7" w:rsidRDefault="000512AB" w:rsidP="00C4292D">
      <w:pPr>
        <w:ind w:left="2" w:firstLine="1"/>
        <w:jc w:val="center"/>
        <w:rPr>
          <w:lang w:val="en-AU"/>
        </w:rPr>
      </w:pPr>
    </w:p>
    <w:p w14:paraId="45B0A24F" w14:textId="77777777" w:rsidR="000512AB" w:rsidRPr="003E76E7" w:rsidRDefault="000512AB" w:rsidP="00C4292D">
      <w:pPr>
        <w:ind w:left="2" w:firstLine="1"/>
        <w:jc w:val="center"/>
        <w:rPr>
          <w:lang w:val="en-AU"/>
        </w:rPr>
      </w:pPr>
    </w:p>
    <w:p w14:paraId="244F92B5" w14:textId="77777777" w:rsidR="000512AB" w:rsidRPr="003E76E7" w:rsidRDefault="000512AB" w:rsidP="00C4292D">
      <w:pPr>
        <w:ind w:left="2" w:firstLine="1"/>
        <w:jc w:val="center"/>
        <w:rPr>
          <w:lang w:val="en-AU"/>
        </w:rPr>
      </w:pPr>
    </w:p>
    <w:p w14:paraId="1BBBF3B6" w14:textId="77777777" w:rsidR="000512AB" w:rsidRPr="003E76E7" w:rsidRDefault="000512AB" w:rsidP="00C4292D">
      <w:pPr>
        <w:ind w:left="2" w:firstLine="1"/>
        <w:jc w:val="center"/>
        <w:rPr>
          <w:lang w:val="en-AU"/>
        </w:rPr>
      </w:pPr>
    </w:p>
    <w:p w14:paraId="14814B50" w14:textId="77777777" w:rsidR="000512AB" w:rsidRPr="003E76E7" w:rsidRDefault="000512AB" w:rsidP="00C4292D">
      <w:pPr>
        <w:ind w:left="2" w:firstLine="1"/>
        <w:jc w:val="center"/>
        <w:rPr>
          <w:lang w:val="en-AU"/>
        </w:rPr>
      </w:pPr>
    </w:p>
    <w:p w14:paraId="3F32E666" w14:textId="77777777" w:rsidR="000512AB" w:rsidRPr="003E76E7" w:rsidRDefault="000512AB" w:rsidP="00C4292D">
      <w:pPr>
        <w:ind w:left="2" w:firstLine="1"/>
        <w:jc w:val="center"/>
        <w:rPr>
          <w:lang w:val="en-AU"/>
        </w:rPr>
      </w:pPr>
    </w:p>
    <w:p w14:paraId="1EBDA296" w14:textId="77777777" w:rsidR="000512AB" w:rsidRPr="003E76E7" w:rsidRDefault="000512AB" w:rsidP="00C4292D">
      <w:pPr>
        <w:ind w:left="2" w:firstLine="1"/>
        <w:jc w:val="center"/>
        <w:rPr>
          <w:lang w:val="en-AU"/>
        </w:rPr>
      </w:pPr>
    </w:p>
    <w:p w14:paraId="6C130B90" w14:textId="77777777" w:rsidR="000512AB" w:rsidRPr="003E76E7" w:rsidRDefault="000512AB" w:rsidP="00C4292D">
      <w:pPr>
        <w:ind w:left="2" w:firstLine="1"/>
        <w:jc w:val="center"/>
        <w:rPr>
          <w:lang w:val="en-AU"/>
        </w:rPr>
      </w:pPr>
    </w:p>
    <w:p w14:paraId="31AF808F" w14:textId="77777777" w:rsidR="000512AB" w:rsidRPr="003E76E7" w:rsidRDefault="000512AB" w:rsidP="00C4292D">
      <w:pPr>
        <w:ind w:left="2" w:firstLine="1"/>
        <w:jc w:val="center"/>
        <w:rPr>
          <w:lang w:val="en-AU"/>
        </w:rPr>
      </w:pPr>
    </w:p>
    <w:p w14:paraId="34E3C17F" w14:textId="77777777" w:rsidR="000512AB" w:rsidRPr="003E76E7" w:rsidRDefault="000512AB" w:rsidP="00C4292D">
      <w:pPr>
        <w:ind w:left="2" w:firstLine="1"/>
        <w:jc w:val="center"/>
        <w:rPr>
          <w:lang w:val="en-AU"/>
        </w:rPr>
      </w:pPr>
    </w:p>
    <w:p w14:paraId="2082ECEC" w14:textId="77777777" w:rsidR="000512AB" w:rsidRPr="003E76E7" w:rsidRDefault="000512AB" w:rsidP="00C4292D">
      <w:pPr>
        <w:ind w:left="2" w:firstLine="1"/>
        <w:jc w:val="center"/>
        <w:rPr>
          <w:lang w:val="en-AU"/>
        </w:rPr>
      </w:pPr>
    </w:p>
    <w:p w14:paraId="59C7CDA9" w14:textId="77777777" w:rsidR="000512AB" w:rsidRPr="003E76E7" w:rsidRDefault="000512AB" w:rsidP="00C4292D">
      <w:pPr>
        <w:ind w:left="2" w:firstLine="1"/>
        <w:jc w:val="center"/>
        <w:rPr>
          <w:lang w:val="en-AU"/>
        </w:rPr>
      </w:pPr>
    </w:p>
    <w:p w14:paraId="6129A183" w14:textId="77777777" w:rsidR="000512AB" w:rsidRPr="003E76E7" w:rsidRDefault="000512AB" w:rsidP="00C4292D">
      <w:pPr>
        <w:ind w:left="2" w:firstLine="1"/>
        <w:jc w:val="center"/>
        <w:rPr>
          <w:lang w:val="en-AU"/>
        </w:rPr>
      </w:pPr>
    </w:p>
    <w:p w14:paraId="1526059F" w14:textId="77777777" w:rsidR="000512AB" w:rsidRPr="003E76E7" w:rsidRDefault="000512AB" w:rsidP="00C4292D">
      <w:pPr>
        <w:ind w:left="2" w:firstLine="1"/>
        <w:jc w:val="center"/>
        <w:rPr>
          <w:lang w:val="en-AU"/>
        </w:rPr>
      </w:pPr>
    </w:p>
    <w:p w14:paraId="6EB24EDE" w14:textId="77777777" w:rsidR="000512AB" w:rsidRPr="003E76E7" w:rsidRDefault="000512AB" w:rsidP="00C4292D">
      <w:pPr>
        <w:ind w:left="2" w:firstLine="1"/>
        <w:jc w:val="center"/>
        <w:rPr>
          <w:lang w:val="en-AU"/>
        </w:rPr>
      </w:pPr>
      <w:r w:rsidRPr="003E76E7">
        <w:rPr>
          <w:lang w:val="en-AU"/>
        </w:rPr>
        <w:t>This page intentionally left blank.</w:t>
      </w:r>
    </w:p>
    <w:p w14:paraId="2270821F" w14:textId="342FEA7C" w:rsidR="004B73E8" w:rsidRPr="003E76E7" w:rsidRDefault="002A31EA" w:rsidP="00C4292D">
      <w:pPr>
        <w:spacing w:before="0" w:after="0"/>
        <w:rPr>
          <w:lang w:val="en-AU"/>
        </w:rPr>
      </w:pPr>
      <w:r w:rsidRPr="003E76E7">
        <w:rPr>
          <w:lang w:val="en-AU"/>
        </w:rPr>
        <w:br w:type="page"/>
      </w:r>
    </w:p>
    <w:p w14:paraId="2873B155" w14:textId="77777777" w:rsidR="004B73E8" w:rsidRPr="003E76E7" w:rsidRDefault="004B73E8" w:rsidP="00C4292D">
      <w:pPr>
        <w:pStyle w:val="heading1level2"/>
        <w:spacing w:before="120" w:after="120"/>
        <w:jc w:val="left"/>
        <w:outlineLvl w:val="9"/>
        <w:rPr>
          <w:smallCaps w:val="0"/>
          <w:sz w:val="36"/>
          <w:szCs w:val="36"/>
          <w:lang w:val="en-AU"/>
        </w:rPr>
      </w:pPr>
      <w:bookmarkStart w:id="1405" w:name="_Toc511821810"/>
      <w:bookmarkStart w:id="1406" w:name="_Toc512360974"/>
      <w:bookmarkStart w:id="1407" w:name="_Toc512511748"/>
      <w:bookmarkStart w:id="1408" w:name="_Toc512518356"/>
      <w:bookmarkStart w:id="1409" w:name="_Toc512519009"/>
      <w:bookmarkStart w:id="1410" w:name="_Toc512946469"/>
      <w:bookmarkStart w:id="1411" w:name="_Toc512946543"/>
      <w:bookmarkStart w:id="1412" w:name="_Toc536092165"/>
      <w:bookmarkStart w:id="1413" w:name="_Toc536200560"/>
      <w:bookmarkStart w:id="1414" w:name="_Toc1561645"/>
      <w:bookmarkStart w:id="1415" w:name="_Toc1561693"/>
      <w:bookmarkStart w:id="1416" w:name="_Toc2018167"/>
      <w:r w:rsidRPr="003E76E7">
        <w:rPr>
          <w:smallCaps w:val="0"/>
          <w:sz w:val="36"/>
          <w:szCs w:val="36"/>
        </w:rPr>
        <w:lastRenderedPageBreak/>
        <w:t>Australian</w:t>
      </w:r>
      <w:r w:rsidRPr="003E76E7">
        <w:rPr>
          <w:smallCaps w:val="0"/>
          <w:sz w:val="36"/>
          <w:szCs w:val="36"/>
          <w:lang w:val="en-AU"/>
        </w:rPr>
        <w:t xml:space="preserve"> Signals Directorate</w:t>
      </w:r>
      <w:bookmarkEnd w:id="1405"/>
      <w:bookmarkEnd w:id="1406"/>
      <w:bookmarkEnd w:id="1407"/>
      <w:bookmarkEnd w:id="1408"/>
      <w:bookmarkEnd w:id="1409"/>
      <w:bookmarkEnd w:id="1410"/>
      <w:bookmarkEnd w:id="1411"/>
      <w:bookmarkEnd w:id="1412"/>
      <w:bookmarkEnd w:id="1413"/>
      <w:bookmarkEnd w:id="1414"/>
      <w:bookmarkEnd w:id="1415"/>
      <w:bookmarkEnd w:id="1416"/>
    </w:p>
    <w:p w14:paraId="4CF1C796" w14:textId="4307FB06" w:rsidR="00B672BF" w:rsidRPr="003E76E7" w:rsidRDefault="00B672BF" w:rsidP="00C4292D">
      <w:pPr>
        <w:pStyle w:val="Heading2level3"/>
        <w:spacing w:before="120" w:after="120"/>
        <w:rPr>
          <w:rStyle w:val="Heading2Char"/>
          <w:sz w:val="26"/>
          <w:szCs w:val="26"/>
        </w:rPr>
      </w:pPr>
      <w:bookmarkStart w:id="1417" w:name="_Toc221786182"/>
      <w:bookmarkStart w:id="1418" w:name="_Toc222129939"/>
      <w:bookmarkStart w:id="1419" w:name="_Toc222148369"/>
      <w:bookmarkStart w:id="1420" w:name="_Toc225847997"/>
      <w:bookmarkStart w:id="1421" w:name="_Toc225848080"/>
      <w:bookmarkStart w:id="1422" w:name="_Toc225848163"/>
      <w:bookmarkStart w:id="1423" w:name="_Toc225848261"/>
      <w:bookmarkStart w:id="1424" w:name="_Toc225848502"/>
      <w:bookmarkStart w:id="1425" w:name="_Toc225941569"/>
      <w:bookmarkStart w:id="1426" w:name="_Toc225942576"/>
      <w:bookmarkStart w:id="1427" w:name="_Toc227334386"/>
      <w:bookmarkStart w:id="1428" w:name="_Toc229072461"/>
      <w:bookmarkStart w:id="1429" w:name="_Toc229072633"/>
      <w:bookmarkStart w:id="1430" w:name="_Toc159499700"/>
      <w:bookmarkStart w:id="1431" w:name="_Toc159859117"/>
      <w:bookmarkStart w:id="1432" w:name="_Toc159862479"/>
      <w:r w:rsidRPr="003E76E7">
        <w:rPr>
          <w:rStyle w:val="Heading2Char"/>
          <w:sz w:val="26"/>
          <w:szCs w:val="26"/>
        </w:rPr>
        <w:t xml:space="preserve">Section 1: </w:t>
      </w:r>
      <w:r w:rsidR="00003C12" w:rsidRPr="003E76E7">
        <w:rPr>
          <w:rStyle w:val="Heading2Char"/>
          <w:sz w:val="26"/>
          <w:szCs w:val="26"/>
        </w:rPr>
        <w:t xml:space="preserve">ASD </w:t>
      </w:r>
      <w:r w:rsidRPr="003E76E7">
        <w:rPr>
          <w:rStyle w:val="Heading2Char"/>
          <w:sz w:val="26"/>
          <w:szCs w:val="26"/>
        </w:rPr>
        <w:t>Overview and Resources</w:t>
      </w:r>
      <w:bookmarkEnd w:id="1417"/>
      <w:bookmarkEnd w:id="1418"/>
      <w:bookmarkEnd w:id="1419"/>
      <w:bookmarkEnd w:id="1420"/>
      <w:bookmarkEnd w:id="1421"/>
      <w:bookmarkEnd w:id="1422"/>
      <w:bookmarkEnd w:id="1423"/>
      <w:bookmarkEnd w:id="1424"/>
      <w:bookmarkEnd w:id="1425"/>
      <w:bookmarkEnd w:id="1426"/>
      <w:bookmarkEnd w:id="1427"/>
      <w:bookmarkEnd w:id="1428"/>
      <w:bookmarkEnd w:id="1429"/>
    </w:p>
    <w:p w14:paraId="79B1243C" w14:textId="1B39137E" w:rsidR="004B73E8" w:rsidRPr="003E76E7" w:rsidRDefault="00F11584" w:rsidP="00C4292D">
      <w:pPr>
        <w:pStyle w:val="Heading4"/>
        <w:rPr>
          <w:sz w:val="26"/>
          <w:szCs w:val="26"/>
          <w:lang w:val="en-AU"/>
        </w:rPr>
      </w:pPr>
      <w:bookmarkStart w:id="1433" w:name="_Toc221786183"/>
      <w:bookmarkStart w:id="1434" w:name="_Toc222129940"/>
      <w:bookmarkStart w:id="1435" w:name="_Toc222148370"/>
      <w:bookmarkStart w:id="1436" w:name="_Toc225847998"/>
      <w:bookmarkStart w:id="1437" w:name="_Toc225848081"/>
      <w:bookmarkStart w:id="1438" w:name="_Toc225848164"/>
      <w:bookmarkStart w:id="1439" w:name="_Toc225848503"/>
      <w:bookmarkStart w:id="1440" w:name="_Toc225941570"/>
      <w:bookmarkStart w:id="1441" w:name="_Toc225942577"/>
      <w:bookmarkStart w:id="1442" w:name="_Toc227334387"/>
      <w:bookmarkStart w:id="1443" w:name="_Toc229072462"/>
      <w:bookmarkStart w:id="1444" w:name="_Toc229072634"/>
      <w:r w:rsidRPr="003E76E7">
        <w:rPr>
          <w:sz w:val="26"/>
          <w:szCs w:val="26"/>
          <w:lang w:val="en-AU"/>
        </w:rPr>
        <w:t xml:space="preserve">1.1 </w:t>
      </w:r>
      <w:r w:rsidR="004B73E8" w:rsidRPr="003E76E7">
        <w:rPr>
          <w:sz w:val="26"/>
          <w:szCs w:val="26"/>
          <w:lang w:val="en-AU"/>
        </w:rPr>
        <w:t>Strategic Direction Statement</w:t>
      </w:r>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p>
    <w:p w14:paraId="2139A0E2" w14:textId="77777777" w:rsidR="0069452A" w:rsidRPr="003E76E7" w:rsidRDefault="0069452A" w:rsidP="00C4292D">
      <w:pPr>
        <w:spacing w:before="60" w:after="60" w:line="256" w:lineRule="auto"/>
        <w:rPr>
          <w:lang w:eastAsia="en-US"/>
        </w:rPr>
      </w:pPr>
      <w:r w:rsidRPr="003E76E7">
        <w:rPr>
          <w:lang w:eastAsia="en-US"/>
        </w:rPr>
        <w:t xml:space="preserve">The Australian Signals Directorate (ASD) defends Australia from global threats and advances the national interest by providing foreign </w:t>
      </w:r>
      <w:r w:rsidRPr="003E76E7">
        <w:rPr>
          <w:rFonts w:eastAsia="Calibri" w:cs="Calibri"/>
          <w:szCs w:val="20"/>
          <w:lang w:val="en-AU" w:eastAsia="en-US"/>
        </w:rPr>
        <w:t>signals</w:t>
      </w:r>
      <w:r w:rsidRPr="003E76E7">
        <w:rPr>
          <w:lang w:eastAsia="en-US"/>
        </w:rPr>
        <w:t xml:space="preserve"> intelligence, cyber security, and offensive cyber operations, as directed by Government.</w:t>
      </w:r>
    </w:p>
    <w:p w14:paraId="3ADDD3F8" w14:textId="7AB20065" w:rsidR="0069452A" w:rsidRPr="003E76E7" w:rsidRDefault="0069452A" w:rsidP="00C4292D">
      <w:pPr>
        <w:spacing w:before="60" w:after="60" w:line="256" w:lineRule="auto"/>
        <w:rPr>
          <w:lang w:eastAsia="en-US"/>
        </w:rPr>
      </w:pPr>
      <w:r w:rsidRPr="003E76E7">
        <w:rPr>
          <w:lang w:eastAsia="en-US"/>
        </w:rPr>
        <w:t xml:space="preserve">ASD is a statutory agency within the Defence portfolio, reporting directly to the Minister for Defence. It operates under the </w:t>
      </w:r>
      <w:r w:rsidRPr="003E76E7">
        <w:rPr>
          <w:i/>
          <w:lang w:eastAsia="en-US"/>
        </w:rPr>
        <w:t xml:space="preserve">Public Governance, Performance and Accountability Act 2013 </w:t>
      </w:r>
      <w:r w:rsidRPr="003E76E7">
        <w:rPr>
          <w:lang w:eastAsia="en-US"/>
        </w:rPr>
        <w:t>and the</w:t>
      </w:r>
      <w:r w:rsidRPr="003E76E7">
        <w:rPr>
          <w:i/>
          <w:lang w:eastAsia="en-US"/>
        </w:rPr>
        <w:t xml:space="preserve"> Intelligence Services Act 2001</w:t>
      </w:r>
      <w:r w:rsidRPr="003E76E7">
        <w:rPr>
          <w:lang w:eastAsia="en-US"/>
        </w:rPr>
        <w:t xml:space="preserve">. All of ASD’s activities are subject to oversight from the </w:t>
      </w:r>
      <w:r w:rsidR="00EB25F9" w:rsidRPr="003E76E7">
        <w:rPr>
          <w:lang w:eastAsia="en-US"/>
        </w:rPr>
        <w:br/>
      </w:r>
      <w:r w:rsidRPr="003E76E7">
        <w:rPr>
          <w:lang w:eastAsia="en-US"/>
        </w:rPr>
        <w:t>Inspector</w:t>
      </w:r>
      <w:r w:rsidR="00EB25F9" w:rsidRPr="003E76E7">
        <w:rPr>
          <w:lang w:eastAsia="en-US"/>
        </w:rPr>
        <w:t>-</w:t>
      </w:r>
      <w:r w:rsidRPr="003E76E7">
        <w:rPr>
          <w:lang w:eastAsia="en-US"/>
        </w:rPr>
        <w:t>General of Intelligence and Security. The Parliamentary Joint Committee on Intelligence and Security provides further oversight of ASD’s administration, expenditure and enabling legislation. It also considers other matters within its scope that are referred by the Australian Senate, House of Representatives, or a Minister of the Australian Government.</w:t>
      </w:r>
    </w:p>
    <w:p w14:paraId="6B19B113" w14:textId="77777777" w:rsidR="0069452A" w:rsidRPr="003E76E7" w:rsidRDefault="0069452A" w:rsidP="00C4292D">
      <w:pPr>
        <w:spacing w:after="0"/>
        <w:rPr>
          <w:lang w:eastAsia="en-US"/>
        </w:rPr>
      </w:pPr>
      <w:r w:rsidRPr="003E76E7">
        <w:rPr>
          <w:lang w:eastAsia="en-US"/>
        </w:rPr>
        <w:t xml:space="preserve">The </w:t>
      </w:r>
      <w:r w:rsidRPr="003E76E7">
        <w:rPr>
          <w:i/>
          <w:lang w:eastAsia="en-US"/>
        </w:rPr>
        <w:t>Intelligence Services Act 2001</w:t>
      </w:r>
      <w:r w:rsidRPr="003E76E7">
        <w:rPr>
          <w:lang w:eastAsia="en-US"/>
        </w:rPr>
        <w:t xml:space="preserve"> specifies that the organisation’s functions are to:</w:t>
      </w:r>
    </w:p>
    <w:p w14:paraId="53AB19E4" w14:textId="77777777" w:rsidR="0069452A" w:rsidRPr="003E76E7" w:rsidRDefault="0069452A" w:rsidP="00C4292D">
      <w:pPr>
        <w:spacing w:before="60" w:after="60"/>
        <w:ind w:left="284" w:hanging="284"/>
        <w:rPr>
          <w:lang w:eastAsia="en-US"/>
        </w:rPr>
      </w:pPr>
      <w:r w:rsidRPr="003E76E7">
        <w:rPr>
          <w:lang w:eastAsia="en-US"/>
        </w:rPr>
        <w:t>•</w:t>
      </w:r>
      <w:r w:rsidRPr="003E76E7">
        <w:rPr>
          <w:lang w:eastAsia="en-US"/>
        </w:rPr>
        <w:tab/>
        <w:t>Collect foreign signals intelligence;</w:t>
      </w:r>
    </w:p>
    <w:p w14:paraId="660D208F" w14:textId="77777777" w:rsidR="0069452A" w:rsidRPr="003E76E7" w:rsidRDefault="0069452A" w:rsidP="00C4292D">
      <w:pPr>
        <w:spacing w:before="60" w:after="60"/>
        <w:ind w:left="284" w:hanging="284"/>
        <w:rPr>
          <w:lang w:eastAsia="en-US"/>
        </w:rPr>
      </w:pPr>
      <w:r w:rsidRPr="003E76E7">
        <w:rPr>
          <w:lang w:eastAsia="en-US"/>
        </w:rPr>
        <w:t>•</w:t>
      </w:r>
      <w:r w:rsidRPr="003E76E7">
        <w:rPr>
          <w:lang w:eastAsia="en-US"/>
        </w:rPr>
        <w:tab/>
        <w:t>Communicate foreign signals intelligence;</w:t>
      </w:r>
    </w:p>
    <w:p w14:paraId="20A6FAE6" w14:textId="77777777" w:rsidR="0069452A" w:rsidRPr="003E76E7" w:rsidRDefault="0069452A" w:rsidP="00C4292D">
      <w:pPr>
        <w:spacing w:before="60" w:after="60"/>
        <w:ind w:left="284" w:hanging="284"/>
        <w:rPr>
          <w:lang w:eastAsia="en-US"/>
        </w:rPr>
      </w:pPr>
      <w:r w:rsidRPr="003E76E7">
        <w:rPr>
          <w:lang w:eastAsia="en-US"/>
        </w:rPr>
        <w:t>•</w:t>
      </w:r>
      <w:r w:rsidRPr="003E76E7">
        <w:rPr>
          <w:lang w:eastAsia="en-US"/>
        </w:rPr>
        <w:tab/>
        <w:t>Prevent and disrupt offshore cyber-enabled crime;</w:t>
      </w:r>
    </w:p>
    <w:p w14:paraId="40F40114" w14:textId="77777777" w:rsidR="0069452A" w:rsidRPr="003E76E7" w:rsidRDefault="0069452A" w:rsidP="00C4292D">
      <w:pPr>
        <w:spacing w:before="60" w:after="60"/>
        <w:ind w:left="284" w:hanging="284"/>
        <w:rPr>
          <w:lang w:eastAsia="en-US"/>
        </w:rPr>
      </w:pPr>
      <w:r w:rsidRPr="003E76E7">
        <w:rPr>
          <w:lang w:eastAsia="en-US"/>
        </w:rPr>
        <w:t>•</w:t>
      </w:r>
      <w:r w:rsidRPr="003E76E7">
        <w:rPr>
          <w:lang w:eastAsia="en-US"/>
        </w:rPr>
        <w:tab/>
        <w:t>Provide cyber security advice and assistance to Australian governments, businesses and individuals;</w:t>
      </w:r>
    </w:p>
    <w:p w14:paraId="6BDA2698" w14:textId="77777777" w:rsidR="0069452A" w:rsidRPr="003E76E7" w:rsidRDefault="0069452A" w:rsidP="00C4292D">
      <w:pPr>
        <w:spacing w:before="60" w:after="60"/>
        <w:ind w:left="284" w:hanging="284"/>
        <w:rPr>
          <w:lang w:eastAsia="en-US"/>
        </w:rPr>
      </w:pPr>
      <w:r w:rsidRPr="003E76E7">
        <w:rPr>
          <w:lang w:eastAsia="en-US"/>
        </w:rPr>
        <w:t>•</w:t>
      </w:r>
      <w:r w:rsidRPr="003E76E7">
        <w:rPr>
          <w:lang w:eastAsia="en-US"/>
        </w:rPr>
        <w:tab/>
        <w:t>Support military operations;</w:t>
      </w:r>
    </w:p>
    <w:p w14:paraId="2B077641" w14:textId="77777777" w:rsidR="0069452A" w:rsidRPr="003E76E7" w:rsidRDefault="0069452A" w:rsidP="00C4292D">
      <w:pPr>
        <w:spacing w:before="60" w:after="60"/>
        <w:ind w:left="284" w:hanging="284"/>
        <w:rPr>
          <w:lang w:eastAsia="en-US"/>
        </w:rPr>
      </w:pPr>
      <w:r w:rsidRPr="003E76E7">
        <w:rPr>
          <w:lang w:eastAsia="en-US"/>
        </w:rPr>
        <w:t>•</w:t>
      </w:r>
      <w:r w:rsidRPr="003E76E7">
        <w:rPr>
          <w:lang w:eastAsia="en-US"/>
        </w:rPr>
        <w:tab/>
        <w:t xml:space="preserve">Protect the specialised tools ASD uses to fulfil its functions; and </w:t>
      </w:r>
    </w:p>
    <w:p w14:paraId="585057C8" w14:textId="77777777" w:rsidR="0069452A" w:rsidRPr="003E76E7" w:rsidRDefault="0069452A" w:rsidP="00C4292D">
      <w:pPr>
        <w:spacing w:before="60" w:after="60"/>
        <w:ind w:left="284" w:hanging="284"/>
        <w:rPr>
          <w:lang w:eastAsia="en-US"/>
        </w:rPr>
      </w:pPr>
      <w:r w:rsidRPr="003E76E7">
        <w:rPr>
          <w:lang w:eastAsia="en-US"/>
        </w:rPr>
        <w:t>•</w:t>
      </w:r>
      <w:r w:rsidRPr="003E76E7">
        <w:rPr>
          <w:lang w:eastAsia="en-US"/>
        </w:rPr>
        <w:tab/>
        <w:t>Cooperate with, and assist, the national security community’s performance of its functions.</w:t>
      </w:r>
    </w:p>
    <w:p w14:paraId="1D446807" w14:textId="77777777" w:rsidR="0069452A" w:rsidRPr="003E76E7" w:rsidRDefault="0069452A" w:rsidP="00C4292D">
      <w:pPr>
        <w:spacing w:after="0"/>
        <w:rPr>
          <w:lang w:eastAsia="en-US"/>
        </w:rPr>
      </w:pPr>
      <w:r w:rsidRPr="003E76E7">
        <w:rPr>
          <w:lang w:eastAsia="en-US"/>
        </w:rPr>
        <w:t>The organisation’s strategic objectives include:</w:t>
      </w:r>
    </w:p>
    <w:p w14:paraId="64579C3F" w14:textId="77777777" w:rsidR="0069452A" w:rsidRPr="003E76E7" w:rsidRDefault="0069452A" w:rsidP="00C4292D">
      <w:pPr>
        <w:spacing w:before="60" w:after="60"/>
        <w:ind w:left="284" w:hanging="284"/>
        <w:rPr>
          <w:lang w:eastAsia="en-US"/>
        </w:rPr>
      </w:pPr>
      <w:r w:rsidRPr="003E76E7">
        <w:rPr>
          <w:lang w:eastAsia="en-US"/>
        </w:rPr>
        <w:t>•</w:t>
      </w:r>
      <w:r w:rsidRPr="003E76E7">
        <w:rPr>
          <w:lang w:eastAsia="en-US"/>
        </w:rPr>
        <w:tab/>
        <w:t xml:space="preserve">ASD </w:t>
      </w:r>
      <w:r w:rsidRPr="003E76E7">
        <w:rPr>
          <w:b/>
          <w:lang w:eastAsia="en-US"/>
        </w:rPr>
        <w:t>delivers strategic advantage</w:t>
      </w:r>
      <w:r w:rsidRPr="003E76E7">
        <w:rPr>
          <w:lang w:eastAsia="en-US"/>
        </w:rPr>
        <w:t xml:space="preserve"> for Australia by providing foreign signals intelligence that protects and advances Australia’s national interest. Foreign intelligence collection activities are guided by strategic priorities set by the Government.</w:t>
      </w:r>
    </w:p>
    <w:p w14:paraId="20F8B848" w14:textId="5E0AE168" w:rsidR="0069452A" w:rsidRPr="003E76E7" w:rsidRDefault="0069452A" w:rsidP="00C4292D">
      <w:pPr>
        <w:spacing w:before="60" w:after="60"/>
        <w:ind w:left="284" w:hanging="284"/>
        <w:rPr>
          <w:lang w:eastAsia="en-US"/>
        </w:rPr>
      </w:pPr>
      <w:r w:rsidRPr="003E76E7">
        <w:rPr>
          <w:lang w:eastAsia="en-US"/>
        </w:rPr>
        <w:t>•</w:t>
      </w:r>
      <w:r w:rsidRPr="003E76E7">
        <w:rPr>
          <w:lang w:eastAsia="en-US"/>
        </w:rPr>
        <w:tab/>
        <w:t xml:space="preserve">ASD is the Australian Government’s </w:t>
      </w:r>
      <w:r w:rsidRPr="003E76E7">
        <w:rPr>
          <w:b/>
          <w:lang w:eastAsia="en-US"/>
        </w:rPr>
        <w:t>leading cyber security agency</w:t>
      </w:r>
      <w:r w:rsidRPr="003E76E7">
        <w:rPr>
          <w:lang w:eastAsia="en-US"/>
        </w:rPr>
        <w:t>, and aims to</w:t>
      </w:r>
      <w:r w:rsidR="00E42592" w:rsidRPr="003E76E7">
        <w:rPr>
          <w:lang w:eastAsia="en-US"/>
        </w:rPr>
        <w:t xml:space="preserve"> make Australia the most secure place to connect online and</w:t>
      </w:r>
      <w:r w:rsidRPr="003E76E7">
        <w:rPr>
          <w:lang w:eastAsia="en-US"/>
        </w:rPr>
        <w:t xml:space="preserve"> foster national cyber security resilience. ASD’s Australian Cyber Security Centre monitors cyber threats targeting Australian interests and provides advice and information, including through an international network of Computer Emergency Response Teams (CERTs), to help protect Australians. When serious cyber incidents occur, ASD leads the Australian Government response to help mitigate the threat and strengthen defences.</w:t>
      </w:r>
    </w:p>
    <w:p w14:paraId="00C26273" w14:textId="5D14A288" w:rsidR="0069452A" w:rsidRPr="003E76E7" w:rsidRDefault="0069452A" w:rsidP="00C4292D">
      <w:pPr>
        <w:spacing w:before="60" w:after="60"/>
        <w:ind w:left="284" w:hanging="284"/>
        <w:rPr>
          <w:lang w:eastAsia="en-US"/>
        </w:rPr>
      </w:pPr>
      <w:r w:rsidRPr="003E76E7">
        <w:rPr>
          <w:lang w:eastAsia="en-US"/>
        </w:rPr>
        <w:t>•</w:t>
      </w:r>
      <w:r w:rsidRPr="003E76E7">
        <w:rPr>
          <w:lang w:eastAsia="en-US"/>
        </w:rPr>
        <w:tab/>
        <w:t xml:space="preserve">ASD has a long history </w:t>
      </w:r>
      <w:r w:rsidRPr="003E76E7">
        <w:rPr>
          <w:b/>
          <w:lang w:eastAsia="en-US"/>
        </w:rPr>
        <w:t>of supporting Australian military operations</w:t>
      </w:r>
      <w:r w:rsidRPr="003E76E7">
        <w:rPr>
          <w:lang w:eastAsia="en-US"/>
        </w:rPr>
        <w:t>, with the organisation’s heritage dating back to the Second World War. Today, ASD supports Australian Defence Force (ADF) operations around the globe, including by providing intelligence and offensive cyber capabilities to enable the warfighter and protect ADF personnel and assets. ASD also draws on its deep technical expertise to help the ADF stay ahead of technology advancements in the region, including the introduction of 5th generation weapons and cyber-warfare capabilities.</w:t>
      </w:r>
    </w:p>
    <w:p w14:paraId="7BAC2068" w14:textId="77777777" w:rsidR="00846A3A" w:rsidRPr="003E76E7" w:rsidRDefault="00846A3A" w:rsidP="00C4292D">
      <w:pPr>
        <w:spacing w:before="60" w:after="60"/>
        <w:ind w:left="284" w:hanging="284"/>
        <w:rPr>
          <w:lang w:eastAsia="en-US"/>
        </w:rPr>
      </w:pPr>
    </w:p>
    <w:p w14:paraId="3C478369" w14:textId="77777777" w:rsidR="0069452A" w:rsidRPr="003E76E7" w:rsidRDefault="0069452A" w:rsidP="00C4292D">
      <w:pPr>
        <w:spacing w:before="60" w:after="60"/>
        <w:ind w:left="284" w:hanging="284"/>
        <w:rPr>
          <w:lang w:eastAsia="en-US"/>
        </w:rPr>
      </w:pPr>
      <w:r w:rsidRPr="003E76E7">
        <w:rPr>
          <w:lang w:eastAsia="en-US"/>
        </w:rPr>
        <w:lastRenderedPageBreak/>
        <w:t>•</w:t>
      </w:r>
      <w:r w:rsidRPr="003E76E7">
        <w:rPr>
          <w:lang w:eastAsia="en-US"/>
        </w:rPr>
        <w:tab/>
        <w:t xml:space="preserve">ASD capabilities play an important role </w:t>
      </w:r>
      <w:r w:rsidRPr="003E76E7">
        <w:rPr>
          <w:b/>
          <w:lang w:eastAsia="en-US"/>
        </w:rPr>
        <w:t>in countering cyber-enabled threats</w:t>
      </w:r>
      <w:r w:rsidRPr="003E76E7">
        <w:rPr>
          <w:lang w:eastAsia="en-US"/>
        </w:rPr>
        <w:t>. The organisation protects Australia and Australians by preventing and disrupting offshore cyber-enabled crime, including the activities of organised criminal groups using malware to target Australians, and terrorists who use the internet to plan and incite attacks against Australian interests.</w:t>
      </w:r>
    </w:p>
    <w:p w14:paraId="1E891E60" w14:textId="77777777" w:rsidR="0069452A" w:rsidRPr="003E76E7" w:rsidRDefault="0069452A" w:rsidP="00C4292D">
      <w:pPr>
        <w:spacing w:before="60" w:after="60"/>
        <w:ind w:left="284" w:hanging="284"/>
        <w:rPr>
          <w:lang w:eastAsia="en-US"/>
        </w:rPr>
      </w:pPr>
      <w:r w:rsidRPr="003E76E7">
        <w:rPr>
          <w:lang w:eastAsia="en-US"/>
        </w:rPr>
        <w:t>•</w:t>
      </w:r>
      <w:r w:rsidRPr="003E76E7">
        <w:rPr>
          <w:lang w:eastAsia="en-US"/>
        </w:rPr>
        <w:tab/>
        <w:t xml:space="preserve">Finally, ASD </w:t>
      </w:r>
      <w:r w:rsidRPr="003E76E7">
        <w:rPr>
          <w:b/>
          <w:lang w:eastAsia="en-US"/>
        </w:rPr>
        <w:t xml:space="preserve">provides trusted advice and expertise </w:t>
      </w:r>
      <w:r w:rsidRPr="003E76E7">
        <w:rPr>
          <w:lang w:eastAsia="en-US"/>
        </w:rPr>
        <w:t>to Government, business and the community. ASD draws on its deep technical understanding of communications technology to help the Australian Government, and the public understand the nature of the cyber threat environment, how they might be vulnerable and what they can do to protect themselves.</w:t>
      </w:r>
    </w:p>
    <w:p w14:paraId="0D5F15E8" w14:textId="77777777" w:rsidR="0069452A" w:rsidRPr="003E76E7" w:rsidRDefault="0069452A" w:rsidP="00C4292D">
      <w:pPr>
        <w:spacing w:before="60" w:after="60" w:line="256" w:lineRule="auto"/>
        <w:rPr>
          <w:lang w:eastAsia="en-US"/>
        </w:rPr>
      </w:pPr>
      <w:r w:rsidRPr="003E76E7">
        <w:rPr>
          <w:lang w:eastAsia="en-US"/>
        </w:rPr>
        <w:t>To achieve its purpose, ASD needs to keep pace with the latest technology trends and invest in cutting-edge capabilities to gain asymmetric advantage. ASD’s activities are enabled by innovative techniques, including specialist tools to probe large volumes of data to detect threats. ASD’s mastery of technology also underpins the formulation of sound advice to protect Australia from sophisticated threats.</w:t>
      </w:r>
    </w:p>
    <w:p w14:paraId="13D80E45" w14:textId="77777777" w:rsidR="0069452A" w:rsidRPr="003E76E7" w:rsidRDefault="0069452A" w:rsidP="00C4292D">
      <w:pPr>
        <w:spacing w:before="60" w:after="60" w:line="256" w:lineRule="auto"/>
        <w:rPr>
          <w:lang w:eastAsia="en-US"/>
        </w:rPr>
      </w:pPr>
      <w:r w:rsidRPr="003E76E7">
        <w:rPr>
          <w:lang w:eastAsia="en-US"/>
        </w:rPr>
        <w:t>Partnerships are critical to the organisation’s success. ASD works closely with the Australian national security community, overseas intelligence and cyber security partners, academia and industry. This level of collaboration is essential to comprehensively understand the threat environment and to stay at the leading edge of technology.</w:t>
      </w:r>
    </w:p>
    <w:p w14:paraId="62A82E41" w14:textId="77777777" w:rsidR="0069452A" w:rsidRPr="003E76E7" w:rsidRDefault="0069452A" w:rsidP="00C4292D">
      <w:pPr>
        <w:spacing w:before="60" w:after="60" w:line="256" w:lineRule="auto"/>
        <w:rPr>
          <w:lang w:eastAsia="en-US"/>
        </w:rPr>
      </w:pPr>
      <w:r w:rsidRPr="003E76E7">
        <w:rPr>
          <w:lang w:eastAsia="en-US"/>
        </w:rPr>
        <w:t>ASD’s success is founded in the ingenuity of its workforce. The organisation seeks to recruit and develop a curious and imaginative workforce which is not deterred by difficult challenges. Recruiting the requisite specialist technological expertise has become increasingly challenging, given the high demand for staff with these skillsets.</w:t>
      </w:r>
    </w:p>
    <w:p w14:paraId="69034E80" w14:textId="77777777" w:rsidR="0069452A" w:rsidRPr="003E76E7" w:rsidRDefault="0069452A" w:rsidP="00C4292D">
      <w:pPr>
        <w:spacing w:before="60" w:after="60" w:line="256" w:lineRule="auto"/>
        <w:rPr>
          <w:lang w:eastAsia="en-US"/>
        </w:rPr>
      </w:pPr>
      <w:r w:rsidRPr="003E76E7">
        <w:rPr>
          <w:lang w:eastAsia="en-US"/>
        </w:rPr>
        <w:t>The combination of a uniquely skilled workforce, empowered by innovative technology, enabled by responsible financial management, and leveraging partner capabilities, positions the organisation to deliver trusted intelligence, cyber security expertise and offensive cyber operations for Australia’s national interest.</w:t>
      </w:r>
    </w:p>
    <w:p w14:paraId="01E91D31" w14:textId="3EE76B01" w:rsidR="00063F33" w:rsidRPr="003E76E7" w:rsidRDefault="0069452A" w:rsidP="00C4292D">
      <w:pPr>
        <w:spacing w:before="60" w:after="60" w:line="256" w:lineRule="auto"/>
      </w:pPr>
      <w:r w:rsidRPr="003E76E7">
        <w:rPr>
          <w:lang w:eastAsia="en-US"/>
        </w:rPr>
        <w:t>The Government has prioritised REDSPICE funding in the Integrated Investment Program to enhance Australia’s cyber capabilities, intelligence, surveillance and reconnaissance and deliver resilient communications and computer network defence and disrupt operations.</w:t>
      </w:r>
    </w:p>
    <w:p w14:paraId="5A24ADE2" w14:textId="77777777" w:rsidR="00063F33" w:rsidRPr="003E76E7" w:rsidRDefault="004B73E8" w:rsidP="00C4292D">
      <w:pPr>
        <w:numPr>
          <w:ilvl w:val="0"/>
          <w:numId w:val="33"/>
        </w:numPr>
        <w:tabs>
          <w:tab w:val="num" w:pos="142"/>
          <w:tab w:val="num" w:pos="426"/>
        </w:tabs>
        <w:ind w:left="426" w:hanging="426"/>
        <w:outlineLvl w:val="4"/>
        <w:rPr>
          <w:rFonts w:ascii="Arial" w:hAnsi="Arial"/>
          <w:b/>
          <w:lang w:val="en-AU"/>
        </w:rPr>
      </w:pPr>
      <w:r w:rsidRPr="003E76E7">
        <w:br w:type="page"/>
      </w:r>
      <w:r w:rsidR="00063F33" w:rsidRPr="003E76E7">
        <w:rPr>
          <w:rFonts w:ascii="Arial" w:hAnsi="Arial"/>
          <w:b/>
          <w:lang w:val="en-AU"/>
        </w:rPr>
        <w:lastRenderedPageBreak/>
        <w:t>ASD Organisational Structure</w:t>
      </w:r>
      <w:bookmarkStart w:id="1445" w:name="_Toc511738481"/>
      <w:bookmarkStart w:id="1446" w:name="_Toc511738636"/>
      <w:bookmarkStart w:id="1447" w:name="_Toc511738684"/>
      <w:bookmarkStart w:id="1448" w:name="_Toc511738745"/>
      <w:bookmarkStart w:id="1449" w:name="_Toc511738794"/>
      <w:bookmarkStart w:id="1450" w:name="_Toc511809216"/>
      <w:bookmarkStart w:id="1451" w:name="_Toc511809348"/>
      <w:bookmarkStart w:id="1452" w:name="_Toc511821813"/>
      <w:bookmarkStart w:id="1453" w:name="_Toc512161989"/>
      <w:bookmarkStart w:id="1454" w:name="_Toc512162078"/>
      <w:bookmarkStart w:id="1455" w:name="_Toc512162128"/>
      <w:bookmarkStart w:id="1456" w:name="_Toc512249063"/>
      <w:bookmarkStart w:id="1457" w:name="_Toc512354530"/>
      <w:bookmarkStart w:id="1458" w:name="_Toc512360977"/>
      <w:bookmarkStart w:id="1459" w:name="_Toc512511700"/>
      <w:bookmarkStart w:id="1460" w:name="_Toc512511751"/>
      <w:bookmarkStart w:id="1461" w:name="_Toc512518359"/>
      <w:bookmarkStart w:id="1462" w:name="_Toc512519012"/>
      <w:bookmarkStart w:id="1463" w:name="_Toc512946472"/>
      <w:bookmarkStart w:id="1464" w:name="_Toc512946546"/>
      <w:bookmarkStart w:id="1465" w:name="_Toc512946473"/>
      <w:bookmarkStart w:id="1466" w:name="_Toc512946547"/>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p>
    <w:p w14:paraId="4C2FA5EC" w14:textId="77777777" w:rsidR="00063F33" w:rsidRPr="003E76E7" w:rsidRDefault="00063F33" w:rsidP="00C4292D">
      <w:pPr>
        <w:pStyle w:val="BodyText"/>
        <w:rPr>
          <w:rFonts w:ascii="Arial" w:hAnsi="Arial"/>
          <w:lang w:val="en-AU"/>
        </w:rPr>
      </w:pPr>
      <w:r w:rsidRPr="003E76E7">
        <w:rPr>
          <w:noProof/>
          <w:lang w:val="en-AU"/>
        </w:rPr>
        <mc:AlternateContent>
          <mc:Choice Requires="wps">
            <w:drawing>
              <wp:anchor distT="0" distB="0" distL="114300" distR="114300" simplePos="0" relativeHeight="251807232" behindDoc="0" locked="0" layoutInCell="1" allowOverlap="1" wp14:anchorId="11AE390A" wp14:editId="63CEF871">
                <wp:simplePos x="0" y="0"/>
                <wp:positionH relativeFrom="column">
                  <wp:posOffset>1541780</wp:posOffset>
                </wp:positionH>
                <wp:positionV relativeFrom="paragraph">
                  <wp:posOffset>196850</wp:posOffset>
                </wp:positionV>
                <wp:extent cx="2008505" cy="490855"/>
                <wp:effectExtent l="0" t="0" r="0" b="0"/>
                <wp:wrapNone/>
                <wp:docPr id="580"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8505" cy="490855"/>
                        </a:xfrm>
                        <a:prstGeom prst="rect">
                          <a:avLst/>
                        </a:prstGeom>
                        <a:solidFill>
                          <a:srgbClr val="FFFFFF"/>
                        </a:solidFill>
                        <a:ln w="9525">
                          <a:noFill/>
                          <a:miter lim="800000"/>
                          <a:headEnd/>
                          <a:tailEnd/>
                        </a:ln>
                        <a:extLst/>
                      </wps:spPr>
                      <wps:txbx>
                        <w:txbxContent>
                          <w:p w14:paraId="4CBFA7A3" w14:textId="77777777" w:rsidR="00CA309D" w:rsidRPr="00A01209" w:rsidRDefault="00CA309D" w:rsidP="00063F33">
                            <w:pPr>
                              <w:pStyle w:val="OrgChart"/>
                              <w:jc w:val="center"/>
                              <w:rPr>
                                <w:rFonts w:ascii="Arial" w:hAnsi="Arial"/>
                                <w:szCs w:val="16"/>
                                <w:lang w:val="en-AU"/>
                              </w:rPr>
                            </w:pPr>
                            <w:r w:rsidRPr="00A01209">
                              <w:rPr>
                                <w:rFonts w:ascii="Arial" w:hAnsi="Arial"/>
                                <w:szCs w:val="16"/>
                                <w:lang w:val="en-AU"/>
                              </w:rPr>
                              <w:t>Deputy Prime Minister</w:t>
                            </w:r>
                            <w:r w:rsidRPr="00A01209">
                              <w:rPr>
                                <w:rFonts w:ascii="Arial" w:hAnsi="Arial"/>
                                <w:szCs w:val="16"/>
                                <w:lang w:val="en-AU"/>
                              </w:rPr>
                              <w:br/>
                              <w:t>Minister for Defence</w:t>
                            </w:r>
                          </w:p>
                          <w:p w14:paraId="6F8EFAAB" w14:textId="77777777" w:rsidR="00CA309D" w:rsidRPr="00A01209" w:rsidRDefault="00CA309D" w:rsidP="00063F33">
                            <w:pPr>
                              <w:pStyle w:val="OrgChart"/>
                              <w:jc w:val="center"/>
                              <w:rPr>
                                <w:rFonts w:ascii="Arial" w:hAnsi="Arial"/>
                                <w:szCs w:val="16"/>
                                <w:lang w:val="en-AU"/>
                              </w:rPr>
                            </w:pPr>
                            <w:r w:rsidRPr="00A01209">
                              <w:rPr>
                                <w:rFonts w:ascii="Arial" w:hAnsi="Arial"/>
                                <w:szCs w:val="16"/>
                              </w:rPr>
                              <w:t>The Hon Richard Marles 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E390A" id="_x0000_s1087" type="#_x0000_t202" style="position:absolute;margin-left:121.4pt;margin-top:15.5pt;width:158.15pt;height:38.6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" stroked="f">
                <v:textbox>
                  <w:txbxContent>
                    <w:p w14:paraId="4CBFA7A3" w14:textId="77777777" w:rsidR="00CA309D" w:rsidRPr="00A01209" w:rsidRDefault="00CA309D" w:rsidP="00063F33">
                      <w:pPr>
                        <w:pStyle w:val="OrgChart"/>
                        <w:jc w:val="center"/>
                        <w:rPr>
                          <w:rFonts w:ascii="Arial" w:hAnsi="Arial"/>
                          <w:szCs w:val="16"/>
                          <w:lang w:val="en-AU"/>
                        </w:rPr>
                      </w:pPr>
                      <w:r w:rsidRPr="00A01209">
                        <w:rPr>
                          <w:rFonts w:ascii="Arial" w:hAnsi="Arial"/>
                          <w:szCs w:val="16"/>
                          <w:lang w:val="en-AU"/>
                        </w:rPr>
                        <w:t>Deputy Prime Minister</w:t>
                      </w:r>
                      <w:r w:rsidRPr="00A01209">
                        <w:rPr>
                          <w:rFonts w:ascii="Arial" w:hAnsi="Arial"/>
                          <w:szCs w:val="16"/>
                          <w:lang w:val="en-AU"/>
                        </w:rPr>
                        <w:br/>
                        <w:t>Minister for Defence</w:t>
                      </w:r>
                    </w:p>
                    <w:p w14:paraId="6F8EFAAB" w14:textId="77777777" w:rsidR="00CA309D" w:rsidRPr="00A01209" w:rsidRDefault="00CA309D" w:rsidP="00063F33">
                      <w:pPr>
                        <w:pStyle w:val="OrgChart"/>
                        <w:jc w:val="center"/>
                        <w:rPr>
                          <w:rFonts w:ascii="Arial" w:hAnsi="Arial"/>
                          <w:szCs w:val="16"/>
                          <w:lang w:val="en-AU"/>
                        </w:rPr>
                      </w:pPr>
                      <w:r w:rsidRPr="00A01209">
                        <w:rPr>
                          <w:rFonts w:ascii="Arial" w:hAnsi="Arial"/>
                          <w:szCs w:val="16"/>
                        </w:rPr>
                        <w:t>The Hon Richard Marles MP</w:t>
                      </w:r>
                    </w:p>
                  </w:txbxContent>
                </v:textbox>
              </v:shape>
            </w:pict>
          </mc:Fallback>
        </mc:AlternateContent>
      </w:r>
    </w:p>
    <w:p w14:paraId="5AFD1B03" w14:textId="77777777" w:rsidR="00063F33" w:rsidRPr="003E76E7" w:rsidRDefault="00063F33" w:rsidP="00C4292D">
      <w:pPr>
        <w:pStyle w:val="BodyText"/>
        <w:rPr>
          <w:rFonts w:ascii="Arial" w:hAnsi="Arial"/>
          <w:lang w:val="en-AU"/>
        </w:rPr>
      </w:pPr>
    </w:p>
    <w:p w14:paraId="3B02187C" w14:textId="77777777" w:rsidR="00063F33" w:rsidRPr="003E76E7" w:rsidRDefault="00063F33" w:rsidP="00C4292D">
      <w:pPr>
        <w:pStyle w:val="BodyText"/>
        <w:rPr>
          <w:szCs w:val="20"/>
        </w:rPr>
      </w:pPr>
      <w:r w:rsidRPr="003E76E7">
        <w:rPr>
          <w:noProof/>
          <w:lang w:val="en-AU"/>
        </w:rPr>
        <mc:AlternateContent>
          <mc:Choice Requires="wps">
            <w:drawing>
              <wp:anchor distT="0" distB="0" distL="114300" distR="114300" simplePos="0" relativeHeight="251814400" behindDoc="0" locked="0" layoutInCell="1" allowOverlap="1" wp14:anchorId="161DEFA7" wp14:editId="157FA307">
                <wp:simplePos x="0" y="0"/>
                <wp:positionH relativeFrom="column">
                  <wp:posOffset>1344930</wp:posOffset>
                </wp:positionH>
                <wp:positionV relativeFrom="paragraph">
                  <wp:posOffset>212090</wp:posOffset>
                </wp:positionV>
                <wp:extent cx="2480310" cy="680720"/>
                <wp:effectExtent l="0" t="0" r="0" b="0"/>
                <wp:wrapNone/>
                <wp:docPr id="149"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310" cy="680720"/>
                        </a:xfrm>
                        <a:prstGeom prst="rect">
                          <a:avLst/>
                        </a:prstGeom>
                        <a:noFill/>
                        <a:ln>
                          <a:noFill/>
                        </a:ln>
                        <a:extLst>
                          <a:ext uri="{909E8E84-426E-40DD-AFC4-6F175D3DCCD1}">
                            <a14:hiddenFill xmlns:a14="http://schemas.microsoft.com/office/drawing/2010/main">
                              <a:solidFill>
                                <a:srgbClr val="E7E6E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365E2" w14:textId="77777777" w:rsidR="00CA309D" w:rsidRDefault="00CA309D" w:rsidP="00063F33">
                            <w:pPr>
                              <w:pStyle w:val="OrgChart"/>
                              <w:jc w:val="center"/>
                              <w:rPr>
                                <w:rFonts w:ascii="Arial" w:hAnsi="Arial"/>
                                <w:lang w:val="en-AU"/>
                              </w:rPr>
                            </w:pPr>
                            <w:r>
                              <w:rPr>
                                <w:rFonts w:ascii="Arial" w:hAnsi="Arial"/>
                                <w:lang w:val="en-AU"/>
                              </w:rPr>
                              <w:t>Minister for Home Affairs</w:t>
                            </w:r>
                          </w:p>
                          <w:p w14:paraId="5DD8815E" w14:textId="77777777" w:rsidR="00CA309D" w:rsidRDefault="00CA309D" w:rsidP="00063F33">
                            <w:pPr>
                              <w:pStyle w:val="OrgChart"/>
                              <w:jc w:val="center"/>
                              <w:rPr>
                                <w:rFonts w:ascii="Arial" w:hAnsi="Arial"/>
                                <w:lang w:val="en-AU"/>
                              </w:rPr>
                            </w:pPr>
                            <w:r>
                              <w:rPr>
                                <w:rFonts w:ascii="Arial" w:hAnsi="Arial"/>
                                <w:lang w:val="en-AU"/>
                              </w:rPr>
                              <w:t>Minister for Immigration and Citizenship</w:t>
                            </w:r>
                          </w:p>
                          <w:p w14:paraId="55E7CD10" w14:textId="77777777" w:rsidR="00CA309D" w:rsidRDefault="00CA309D" w:rsidP="00063F33">
                            <w:pPr>
                              <w:pStyle w:val="OrgChart"/>
                              <w:jc w:val="center"/>
                              <w:rPr>
                                <w:rFonts w:ascii="Arial" w:hAnsi="Arial"/>
                                <w:lang w:val="en-AU"/>
                              </w:rPr>
                            </w:pPr>
                            <w:r w:rsidRPr="006A74C9">
                              <w:rPr>
                                <w:rFonts w:ascii="Arial" w:hAnsi="Arial"/>
                                <w:lang w:val="en-AU"/>
                              </w:rPr>
                              <w:t>Minister for Cyber Security</w:t>
                            </w:r>
                          </w:p>
                          <w:p w14:paraId="38B2B774" w14:textId="77777777" w:rsidR="00CA309D" w:rsidRDefault="00CA309D" w:rsidP="00063F33">
                            <w:pPr>
                              <w:pStyle w:val="OrgChart"/>
                              <w:jc w:val="center"/>
                              <w:rPr>
                                <w:rFonts w:ascii="Arial" w:hAnsi="Arial"/>
                                <w:lang w:val="en-AU"/>
                              </w:rPr>
                            </w:pPr>
                            <w:r>
                              <w:rPr>
                                <w:rFonts w:ascii="Arial" w:hAnsi="Arial"/>
                                <w:lang w:val="en-AU"/>
                              </w:rPr>
                              <w:t>Minister for the Arts</w:t>
                            </w:r>
                          </w:p>
                          <w:p w14:paraId="3B34B269" w14:textId="77777777" w:rsidR="00CA309D" w:rsidRDefault="00CA309D" w:rsidP="00063F33">
                            <w:pPr>
                              <w:pStyle w:val="OrgChart"/>
                              <w:jc w:val="center"/>
                              <w:rPr>
                                <w:rFonts w:ascii="Arial" w:hAnsi="Arial"/>
                                <w:lang w:val="en-AU"/>
                              </w:rPr>
                            </w:pPr>
                            <w:r>
                              <w:rPr>
                                <w:rFonts w:ascii="Arial" w:hAnsi="Arial"/>
                                <w:lang w:val="en-AU"/>
                              </w:rPr>
                              <w:t>The Hon Tony Burke</w:t>
                            </w:r>
                            <w:r w:rsidRPr="006A74C9">
                              <w:rPr>
                                <w:rFonts w:ascii="Arial" w:hAnsi="Arial"/>
                                <w:lang w:val="en-AU"/>
                              </w:rPr>
                              <w:t xml:space="preserve"> 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DEFA7" id="_x0000_s1088" type="#_x0000_t202" style="position:absolute;margin-left:105.9pt;margin-top:16.7pt;width:195.3pt;height:53.6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" filled="f" fillcolor="#e7e6e6" stroked="f">
                <v:textbox>
                  <w:txbxContent>
                    <w:p w14:paraId="5B3365E2" w14:textId="77777777" w:rsidR="00CA309D" w:rsidRDefault="00CA309D" w:rsidP="00063F33">
                      <w:pPr>
                        <w:pStyle w:val="OrgChart"/>
                        <w:jc w:val="center"/>
                        <w:rPr>
                          <w:rFonts w:ascii="Arial" w:hAnsi="Arial"/>
                          <w:lang w:val="en-AU"/>
                        </w:rPr>
                      </w:pPr>
                      <w:r>
                        <w:rPr>
                          <w:rFonts w:ascii="Arial" w:hAnsi="Arial"/>
                          <w:lang w:val="en-AU"/>
                        </w:rPr>
                        <w:t>Minister for Home Affairs</w:t>
                      </w:r>
                    </w:p>
                    <w:p w14:paraId="5DD8815E" w14:textId="77777777" w:rsidR="00CA309D" w:rsidRDefault="00CA309D" w:rsidP="00063F33">
                      <w:pPr>
                        <w:pStyle w:val="OrgChart"/>
                        <w:jc w:val="center"/>
                        <w:rPr>
                          <w:rFonts w:ascii="Arial" w:hAnsi="Arial"/>
                          <w:lang w:val="en-AU"/>
                        </w:rPr>
                      </w:pPr>
                      <w:r>
                        <w:rPr>
                          <w:rFonts w:ascii="Arial" w:hAnsi="Arial"/>
                          <w:lang w:val="en-AU"/>
                        </w:rPr>
                        <w:t>Minister for Immigration and Citizenship</w:t>
                      </w:r>
                    </w:p>
                    <w:p w14:paraId="55E7CD10" w14:textId="77777777" w:rsidR="00CA309D" w:rsidRDefault="00CA309D" w:rsidP="00063F33">
                      <w:pPr>
                        <w:pStyle w:val="OrgChart"/>
                        <w:jc w:val="center"/>
                        <w:rPr>
                          <w:rFonts w:ascii="Arial" w:hAnsi="Arial"/>
                          <w:lang w:val="en-AU"/>
                        </w:rPr>
                      </w:pPr>
                      <w:r w:rsidRPr="006A74C9">
                        <w:rPr>
                          <w:rFonts w:ascii="Arial" w:hAnsi="Arial"/>
                          <w:lang w:val="en-AU"/>
                        </w:rPr>
                        <w:t>Minister for Cyber Security</w:t>
                      </w:r>
                    </w:p>
                    <w:p w14:paraId="38B2B774" w14:textId="77777777" w:rsidR="00CA309D" w:rsidRDefault="00CA309D" w:rsidP="00063F33">
                      <w:pPr>
                        <w:pStyle w:val="OrgChart"/>
                        <w:jc w:val="center"/>
                        <w:rPr>
                          <w:rFonts w:ascii="Arial" w:hAnsi="Arial"/>
                          <w:lang w:val="en-AU"/>
                        </w:rPr>
                      </w:pPr>
                      <w:r>
                        <w:rPr>
                          <w:rFonts w:ascii="Arial" w:hAnsi="Arial"/>
                          <w:lang w:val="en-AU"/>
                        </w:rPr>
                        <w:t>Minister for the Arts</w:t>
                      </w:r>
                    </w:p>
                    <w:p w14:paraId="3B34B269" w14:textId="77777777" w:rsidR="00CA309D" w:rsidRDefault="00CA309D" w:rsidP="00063F33">
                      <w:pPr>
                        <w:pStyle w:val="OrgChart"/>
                        <w:jc w:val="center"/>
                        <w:rPr>
                          <w:rFonts w:ascii="Arial" w:hAnsi="Arial"/>
                          <w:lang w:val="en-AU"/>
                        </w:rPr>
                      </w:pPr>
                      <w:r>
                        <w:rPr>
                          <w:rFonts w:ascii="Arial" w:hAnsi="Arial"/>
                          <w:lang w:val="en-AU"/>
                        </w:rPr>
                        <w:t>The Hon Tony Burke</w:t>
                      </w:r>
                      <w:r w:rsidRPr="006A74C9">
                        <w:rPr>
                          <w:rFonts w:ascii="Arial" w:hAnsi="Arial"/>
                          <w:lang w:val="en-AU"/>
                        </w:rPr>
                        <w:t xml:space="preserve"> MP</w:t>
                      </w:r>
                    </w:p>
                  </w:txbxContent>
                </v:textbox>
              </v:shape>
            </w:pict>
          </mc:Fallback>
        </mc:AlternateContent>
      </w:r>
    </w:p>
    <w:p w14:paraId="5A721115" w14:textId="77777777" w:rsidR="00063F33" w:rsidRPr="003E76E7" w:rsidRDefault="00063F33" w:rsidP="00C4292D">
      <w:pPr>
        <w:pStyle w:val="BodyText"/>
        <w:rPr>
          <w:szCs w:val="20"/>
        </w:rPr>
      </w:pPr>
    </w:p>
    <w:p w14:paraId="650629C5" w14:textId="77777777" w:rsidR="00063F33" w:rsidRPr="003E76E7" w:rsidRDefault="00063F33" w:rsidP="00C4292D">
      <w:pPr>
        <w:pStyle w:val="BodyText"/>
        <w:rPr>
          <w:szCs w:val="20"/>
        </w:rPr>
      </w:pPr>
    </w:p>
    <w:p w14:paraId="387D4DEC" w14:textId="77777777" w:rsidR="00063F33" w:rsidRPr="003E76E7" w:rsidRDefault="00063F33" w:rsidP="00C4292D">
      <w:pPr>
        <w:pStyle w:val="BodyText"/>
        <w:rPr>
          <w:szCs w:val="20"/>
        </w:rPr>
      </w:pPr>
      <w:r w:rsidRPr="003E76E7">
        <w:rPr>
          <w:noProof/>
          <w:szCs w:val="20"/>
          <w:lang w:val="en-AU"/>
        </w:rPr>
        <mc:AlternateContent>
          <mc:Choice Requires="wps">
            <w:drawing>
              <wp:anchor distT="0" distB="0" distL="114300" distR="114300" simplePos="0" relativeHeight="251815424" behindDoc="0" locked="0" layoutInCell="1" allowOverlap="1" wp14:anchorId="5C9DF059" wp14:editId="321A7800">
                <wp:simplePos x="0" y="0"/>
                <wp:positionH relativeFrom="column">
                  <wp:posOffset>362585</wp:posOffset>
                </wp:positionH>
                <wp:positionV relativeFrom="paragraph">
                  <wp:posOffset>97155</wp:posOffset>
                </wp:positionV>
                <wp:extent cx="4400550" cy="4445"/>
                <wp:effectExtent l="7620" t="11430" r="11430" b="12700"/>
                <wp:wrapNone/>
                <wp:docPr id="148"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00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43B457" id="Line 47" o:spid="_x0000_s1026" style="position:absolute;flip:y;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5pt,7.65pt" to="375.0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"/>
            </w:pict>
          </mc:Fallback>
        </mc:AlternateContent>
      </w:r>
    </w:p>
    <w:p w14:paraId="3A232B08" w14:textId="77777777" w:rsidR="00063F33" w:rsidRPr="003E76E7" w:rsidRDefault="00063F33" w:rsidP="00C4292D">
      <w:pPr>
        <w:pStyle w:val="BodyText"/>
        <w:rPr>
          <w:szCs w:val="20"/>
        </w:rPr>
      </w:pPr>
      <w:r w:rsidRPr="003E76E7">
        <w:rPr>
          <w:noProof/>
          <w:lang w:val="en-AU"/>
        </w:rPr>
        <mc:AlternateContent>
          <mc:Choice Requires="wps">
            <w:drawing>
              <wp:anchor distT="0" distB="0" distL="114300" distR="114300" simplePos="0" relativeHeight="251808256" behindDoc="0" locked="0" layoutInCell="1" allowOverlap="1" wp14:anchorId="3C7A6088" wp14:editId="3DD614A7">
                <wp:simplePos x="0" y="0"/>
                <wp:positionH relativeFrom="column">
                  <wp:posOffset>1577975</wp:posOffset>
                </wp:positionH>
                <wp:positionV relativeFrom="paragraph">
                  <wp:posOffset>13335</wp:posOffset>
                </wp:positionV>
                <wp:extent cx="1927860" cy="476885"/>
                <wp:effectExtent l="0" t="0" r="0" b="0"/>
                <wp:wrapNone/>
                <wp:docPr id="577"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476885"/>
                        </a:xfrm>
                        <a:prstGeom prst="rect">
                          <a:avLst/>
                        </a:prstGeom>
                        <a:solidFill>
                          <a:srgbClr val="FFFFFF"/>
                        </a:solidFill>
                        <a:ln w="9525">
                          <a:noFill/>
                          <a:miter lim="800000"/>
                          <a:headEnd/>
                          <a:tailEnd/>
                        </a:ln>
                        <a:extLst/>
                      </wps:spPr>
                      <wps:txbx>
                        <w:txbxContent>
                          <w:p w14:paraId="6FAD34BE" w14:textId="77777777" w:rsidR="00CA309D" w:rsidRDefault="00CA309D" w:rsidP="00063F33">
                            <w:pPr>
                              <w:pStyle w:val="OrgChart"/>
                              <w:jc w:val="center"/>
                              <w:rPr>
                                <w:rFonts w:ascii="Arial" w:hAnsi="Arial"/>
                                <w:szCs w:val="16"/>
                              </w:rPr>
                            </w:pPr>
                            <w:r>
                              <w:rPr>
                                <w:rFonts w:ascii="Arial" w:hAnsi="Arial"/>
                                <w:szCs w:val="16"/>
                              </w:rPr>
                              <w:t>Director-General</w:t>
                            </w:r>
                          </w:p>
                          <w:p w14:paraId="62CD4B9E" w14:textId="4650C87C" w:rsidR="00CA309D" w:rsidRPr="00A01209" w:rsidRDefault="00CA309D" w:rsidP="00063F33">
                            <w:pPr>
                              <w:pStyle w:val="OrgChart"/>
                              <w:jc w:val="center"/>
                              <w:rPr>
                                <w:rFonts w:ascii="Arial" w:hAnsi="Arial"/>
                                <w:lang w:val="en-AU"/>
                              </w:rPr>
                            </w:pPr>
                            <w:r>
                              <w:rPr>
                                <w:rFonts w:ascii="Arial" w:hAnsi="Arial"/>
                                <w:szCs w:val="16"/>
                              </w:rPr>
                              <w:t>Abigail Bradshaw CSC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A6088" id="Text Box 577" o:spid="_x0000_s1089" type="#_x0000_t202" style="position:absolute;margin-left:124.25pt;margin-top:1.05pt;width:151.8pt;height:37.5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" stroked="f">
                <v:textbox>
                  <w:txbxContent>
                    <w:p w14:paraId="6FAD34BE" w14:textId="77777777" w:rsidR="00CA309D" w:rsidRDefault="00CA309D" w:rsidP="00063F33">
                      <w:pPr>
                        <w:pStyle w:val="OrgChart"/>
                        <w:jc w:val="center"/>
                        <w:rPr>
                          <w:rFonts w:ascii="Arial" w:hAnsi="Arial"/>
                          <w:szCs w:val="16"/>
                        </w:rPr>
                      </w:pPr>
                      <w:r>
                        <w:rPr>
                          <w:rFonts w:ascii="Arial" w:hAnsi="Arial"/>
                          <w:szCs w:val="16"/>
                        </w:rPr>
                        <w:t>Director-General</w:t>
                      </w:r>
                    </w:p>
                    <w:p w14:paraId="62CD4B9E" w14:textId="4650C87C" w:rsidR="00CA309D" w:rsidRPr="00A01209" w:rsidRDefault="00CA309D" w:rsidP="00063F33">
                      <w:pPr>
                        <w:pStyle w:val="OrgChart"/>
                        <w:jc w:val="center"/>
                        <w:rPr>
                          <w:rFonts w:ascii="Arial" w:hAnsi="Arial"/>
                          <w:lang w:val="en-AU"/>
                        </w:rPr>
                      </w:pPr>
                      <w:r>
                        <w:rPr>
                          <w:rFonts w:ascii="Arial" w:hAnsi="Arial"/>
                          <w:szCs w:val="16"/>
                        </w:rPr>
                        <w:t>Abigail Bradshaw CSC</w:t>
                      </w:r>
                    </w:p>
                  </w:txbxContent>
                </v:textbox>
              </v:shape>
            </w:pict>
          </mc:Fallback>
        </mc:AlternateContent>
      </w:r>
      <w:r w:rsidRPr="003E76E7">
        <w:rPr>
          <w:noProof/>
          <w:lang w:val="en-AU"/>
        </w:rPr>
        <mc:AlternateContent>
          <mc:Choice Requires="wps">
            <w:drawing>
              <wp:anchor distT="0" distB="0" distL="114300" distR="114300" simplePos="0" relativeHeight="251806208" behindDoc="0" locked="0" layoutInCell="1" allowOverlap="1" wp14:anchorId="58E31CF0" wp14:editId="1BDA0DF6">
                <wp:simplePos x="0" y="0"/>
                <wp:positionH relativeFrom="column">
                  <wp:posOffset>102235</wp:posOffset>
                </wp:positionH>
                <wp:positionV relativeFrom="paragraph">
                  <wp:posOffset>10097770</wp:posOffset>
                </wp:positionV>
                <wp:extent cx="1943100" cy="457200"/>
                <wp:effectExtent l="0" t="0" r="0" b="0"/>
                <wp:wrapNone/>
                <wp:docPr id="578"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DACA21" w14:textId="77777777" w:rsidR="00CA309D" w:rsidRDefault="00CA309D" w:rsidP="00063F33">
                            <w:pPr>
                              <w:pStyle w:val="OrgChart"/>
                              <w:rPr>
                                <w:lang w:val="en-AU"/>
                              </w:rPr>
                            </w:pPr>
                          </w:p>
                          <w:p w14:paraId="7C895D1B" w14:textId="77777777" w:rsidR="00CA309D" w:rsidRDefault="00CA309D" w:rsidP="00063F33">
                            <w:pPr>
                              <w:pStyle w:val="OrgChart"/>
                              <w:rPr>
                                <w:lang w:val="en-AU"/>
                              </w:rPr>
                            </w:pPr>
                            <w:r>
                              <w:rPr>
                                <w:lang w:val="en-AU"/>
                              </w:rPr>
                              <w:t>Stars (</w:t>
                            </w:r>
                            <w:r>
                              <w:rPr>
                                <w:vertAlign w:val="subscript"/>
                                <w:lang w:val="en-AU"/>
                              </w:rPr>
                              <w:t>*</w:t>
                            </w:r>
                            <w:r>
                              <w:rPr>
                                <w:lang w:val="en-AU"/>
                              </w:rPr>
                              <w:t>) refer to ADF Star Rank</w:t>
                            </w:r>
                            <w:r>
                              <w:rPr>
                                <w:lang w:val="en-AU"/>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31CF0" id="_x0000_s1090" type="#_x0000_t202" style="position:absolute;margin-left:8.05pt;margin-top:795.1pt;width:153pt;height:36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" stroked="f">
                <v:textbox>
                  <w:txbxContent>
                    <w:p w14:paraId="78DACA21" w14:textId="77777777" w:rsidR="00CA309D" w:rsidRDefault="00CA309D" w:rsidP="00063F33">
                      <w:pPr>
                        <w:pStyle w:val="OrgChart"/>
                        <w:rPr>
                          <w:lang w:val="en-AU"/>
                        </w:rPr>
                      </w:pPr>
                    </w:p>
                    <w:p w14:paraId="7C895D1B" w14:textId="77777777" w:rsidR="00CA309D" w:rsidRDefault="00CA309D" w:rsidP="00063F33">
                      <w:pPr>
                        <w:pStyle w:val="OrgChart"/>
                        <w:rPr>
                          <w:lang w:val="en-AU"/>
                        </w:rPr>
                      </w:pPr>
                      <w:r>
                        <w:rPr>
                          <w:lang w:val="en-AU"/>
                        </w:rPr>
                        <w:t>Stars (</w:t>
                      </w:r>
                      <w:r>
                        <w:rPr>
                          <w:vertAlign w:val="subscript"/>
                          <w:lang w:val="en-AU"/>
                        </w:rPr>
                        <w:t>*</w:t>
                      </w:r>
                      <w:r>
                        <w:rPr>
                          <w:lang w:val="en-AU"/>
                        </w:rPr>
                        <w:t>) refer to ADF Star Rank</w:t>
                      </w:r>
                      <w:r>
                        <w:rPr>
                          <w:lang w:val="en-AU"/>
                        </w:rPr>
                        <w:br/>
                      </w:r>
                    </w:p>
                  </w:txbxContent>
                </v:textbox>
              </v:shape>
            </w:pict>
          </mc:Fallback>
        </mc:AlternateContent>
      </w:r>
      <w:r w:rsidRPr="003E76E7">
        <w:rPr>
          <w:szCs w:val="20"/>
        </w:rPr>
        <w:tab/>
      </w:r>
    </w:p>
    <w:p w14:paraId="723692A4" w14:textId="77777777" w:rsidR="00063F33" w:rsidRPr="003E76E7" w:rsidRDefault="00063F33" w:rsidP="00C4292D">
      <w:pPr>
        <w:pStyle w:val="BodyText"/>
        <w:rPr>
          <w:szCs w:val="20"/>
        </w:rPr>
      </w:pPr>
      <w:r w:rsidRPr="003E76E7">
        <w:rPr>
          <w:noProof/>
          <w:lang w:val="en-AU"/>
        </w:rPr>
        <mc:AlternateContent>
          <mc:Choice Requires="wps">
            <w:drawing>
              <wp:anchor distT="0" distB="0" distL="114299" distR="114299" simplePos="0" relativeHeight="251810304" behindDoc="0" locked="0" layoutInCell="1" allowOverlap="1" wp14:anchorId="175669FD" wp14:editId="692CDDA8">
                <wp:simplePos x="0" y="0"/>
                <wp:positionH relativeFrom="column">
                  <wp:posOffset>1858010</wp:posOffset>
                </wp:positionH>
                <wp:positionV relativeFrom="paragraph">
                  <wp:posOffset>290830</wp:posOffset>
                </wp:positionV>
                <wp:extent cx="0" cy="171450"/>
                <wp:effectExtent l="7620" t="9525" r="11430" b="9525"/>
                <wp:wrapNone/>
                <wp:docPr id="147" name="Straight Connector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71450"/>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0F294348" id="Straight Connector 575" o:spid="_x0000_s1026" style="position:absolute;flip:y;z-index:251810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46.3pt,22.9pt" to="146.3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">
                <v:stroke joinstyle="miter"/>
                <o:lock v:ext="edit" shapetype="f"/>
              </v:line>
            </w:pict>
          </mc:Fallback>
        </mc:AlternateContent>
      </w:r>
      <w:r w:rsidRPr="003E76E7">
        <w:rPr>
          <w:noProof/>
          <w:lang w:val="en-AU"/>
        </w:rPr>
        <mc:AlternateContent>
          <mc:Choice Requires="wps">
            <w:drawing>
              <wp:anchor distT="0" distB="0" distL="114300" distR="114300" simplePos="0" relativeHeight="251809280" behindDoc="0" locked="0" layoutInCell="1" allowOverlap="1" wp14:anchorId="7940728F" wp14:editId="3877D3CE">
                <wp:simplePos x="0" y="0"/>
                <wp:positionH relativeFrom="column">
                  <wp:posOffset>588010</wp:posOffset>
                </wp:positionH>
                <wp:positionV relativeFrom="paragraph">
                  <wp:posOffset>290830</wp:posOffset>
                </wp:positionV>
                <wp:extent cx="3951605" cy="0"/>
                <wp:effectExtent l="13970" t="9525" r="6350" b="9525"/>
                <wp:wrapNone/>
                <wp:docPr id="146"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5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AF16D9" id="Line 47" o:spid="_x0000_s1026" style="position:absolute;flip:y;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3pt,22.9pt" to="357.4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dAnGwIAADU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"/>
            </w:pict>
          </mc:Fallback>
        </mc:AlternateContent>
      </w:r>
      <w:r w:rsidRPr="003E76E7">
        <w:rPr>
          <w:noProof/>
          <w:lang w:val="en-AU"/>
        </w:rPr>
        <mc:AlternateContent>
          <mc:Choice Requires="wps">
            <w:drawing>
              <wp:anchor distT="0" distB="0" distL="114299" distR="114299" simplePos="0" relativeHeight="251811328" behindDoc="0" locked="0" layoutInCell="1" allowOverlap="1" wp14:anchorId="6805696A" wp14:editId="32A9F0B5">
                <wp:simplePos x="0" y="0"/>
                <wp:positionH relativeFrom="column">
                  <wp:posOffset>4531360</wp:posOffset>
                </wp:positionH>
                <wp:positionV relativeFrom="paragraph">
                  <wp:posOffset>290830</wp:posOffset>
                </wp:positionV>
                <wp:extent cx="0" cy="171450"/>
                <wp:effectExtent l="13970" t="9525" r="5080" b="9525"/>
                <wp:wrapNone/>
                <wp:docPr id="145" name="Straight Connector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71450"/>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724BA18D" id="Straight Connector 575" o:spid="_x0000_s1026" style="position:absolute;flip:y;z-index:251811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56.8pt,22.9pt" to="356.8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">
                <v:stroke joinstyle="miter"/>
                <o:lock v:ext="edit" shapetype="f"/>
              </v:line>
            </w:pict>
          </mc:Fallback>
        </mc:AlternateContent>
      </w:r>
      <w:r w:rsidRPr="003E76E7">
        <w:rPr>
          <w:noProof/>
          <w:szCs w:val="20"/>
          <w:lang w:val="en-AU"/>
        </w:rPr>
        <mc:AlternateContent>
          <mc:Choice Requires="wps">
            <w:drawing>
              <wp:anchor distT="0" distB="0" distL="114299" distR="114299" simplePos="0" relativeHeight="251816448" behindDoc="0" locked="0" layoutInCell="1" allowOverlap="1" wp14:anchorId="3C842A7E" wp14:editId="355EFC57">
                <wp:simplePos x="0" y="0"/>
                <wp:positionH relativeFrom="column">
                  <wp:posOffset>3227070</wp:posOffset>
                </wp:positionH>
                <wp:positionV relativeFrom="paragraph">
                  <wp:posOffset>283845</wp:posOffset>
                </wp:positionV>
                <wp:extent cx="0" cy="171450"/>
                <wp:effectExtent l="5080" t="12065" r="13970" b="6985"/>
                <wp:wrapNone/>
                <wp:docPr id="144" name="Straight Connector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71450"/>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7FD3F328" id="Straight Connector 575" o:spid="_x0000_s1026" style="position:absolute;flip:y;z-index:251816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54.1pt,22.35pt" to="254.1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">
                <v:stroke joinstyle="miter"/>
                <o:lock v:ext="edit" shapetype="f"/>
              </v:line>
            </w:pict>
          </mc:Fallback>
        </mc:AlternateContent>
      </w:r>
      <w:r w:rsidRPr="003E76E7">
        <w:rPr>
          <w:noProof/>
          <w:szCs w:val="20"/>
          <w:lang w:val="en-AU"/>
        </w:rPr>
        <mc:AlternateContent>
          <mc:Choice Requires="wps">
            <w:drawing>
              <wp:anchor distT="0" distB="0" distL="114299" distR="114299" simplePos="0" relativeHeight="251812352" behindDoc="0" locked="0" layoutInCell="1" allowOverlap="1" wp14:anchorId="180363E9" wp14:editId="551C8E00">
                <wp:simplePos x="0" y="0"/>
                <wp:positionH relativeFrom="column">
                  <wp:posOffset>592455</wp:posOffset>
                </wp:positionH>
                <wp:positionV relativeFrom="paragraph">
                  <wp:posOffset>290830</wp:posOffset>
                </wp:positionV>
                <wp:extent cx="0" cy="171450"/>
                <wp:effectExtent l="8890" t="9525" r="10160" b="9525"/>
                <wp:wrapNone/>
                <wp:docPr id="143" name="Straight Connector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71450"/>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4D268964" id="Straight Connector 575" o:spid="_x0000_s1026" style="position:absolute;flip:y;z-index:251812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46.65pt,22.9pt" to="46.65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">
                <v:stroke joinstyle="miter"/>
                <o:lock v:ext="edit" shapetype="f"/>
              </v:line>
            </w:pict>
          </mc:Fallback>
        </mc:AlternateContent>
      </w:r>
      <w:r w:rsidRPr="003E76E7">
        <w:rPr>
          <w:noProof/>
          <w:szCs w:val="20"/>
          <w:lang w:val="en-AU"/>
        </w:rPr>
        <mc:AlternateContent>
          <mc:Choice Requires="wps">
            <w:drawing>
              <wp:anchor distT="0" distB="0" distL="114299" distR="114299" simplePos="0" relativeHeight="251813376" behindDoc="0" locked="0" layoutInCell="1" allowOverlap="1" wp14:anchorId="43808438" wp14:editId="345D399A">
                <wp:simplePos x="0" y="0"/>
                <wp:positionH relativeFrom="column">
                  <wp:posOffset>2528570</wp:posOffset>
                </wp:positionH>
                <wp:positionV relativeFrom="paragraph">
                  <wp:posOffset>104140</wp:posOffset>
                </wp:positionV>
                <wp:extent cx="0" cy="179705"/>
                <wp:effectExtent l="11430" t="13335" r="7620" b="6985"/>
                <wp:wrapNone/>
                <wp:docPr id="142" name="Straight Connector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0" cy="179705"/>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6243762B" id="Straight Connector 575" o:spid="_x0000_s1026" style="position:absolute;flip:x y;z-index:251813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99.1pt,8.2pt" to="199.1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">
                <v:stroke joinstyle="miter"/>
                <o:lock v:ext="edit" shapetype="f"/>
              </v:line>
            </w:pict>
          </mc:Fallback>
        </mc:AlternateContent>
      </w:r>
    </w:p>
    <w:p w14:paraId="32A49B62" w14:textId="77777777" w:rsidR="00063F33" w:rsidRPr="003E76E7" w:rsidRDefault="00063F33" w:rsidP="00C4292D">
      <w:pPr>
        <w:pStyle w:val="BodyText"/>
        <w:rPr>
          <w:szCs w:val="20"/>
        </w:rPr>
      </w:pPr>
      <w:r w:rsidRPr="003E76E7">
        <w:rPr>
          <w:noProof/>
          <w:lang w:val="en-AU"/>
        </w:rPr>
        <mc:AlternateContent>
          <mc:Choice Requires="wps">
            <w:drawing>
              <wp:anchor distT="0" distB="0" distL="114300" distR="114300" simplePos="0" relativeHeight="251805184" behindDoc="0" locked="0" layoutInCell="1" allowOverlap="1" wp14:anchorId="777799F1" wp14:editId="425999F4">
                <wp:simplePos x="0" y="0"/>
                <wp:positionH relativeFrom="column">
                  <wp:posOffset>1195705</wp:posOffset>
                </wp:positionH>
                <wp:positionV relativeFrom="paragraph">
                  <wp:posOffset>249555</wp:posOffset>
                </wp:positionV>
                <wp:extent cx="1328420" cy="654685"/>
                <wp:effectExtent l="0" t="0" r="0" b="0"/>
                <wp:wrapNone/>
                <wp:docPr id="141"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8420" cy="654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C5BE3C" w14:textId="77777777" w:rsidR="00CA309D" w:rsidRDefault="00CA309D" w:rsidP="00063F33">
                            <w:pPr>
                              <w:pStyle w:val="OrgChart"/>
                              <w:jc w:val="center"/>
                              <w:rPr>
                                <w:rFonts w:ascii="Arial" w:hAnsi="Arial"/>
                                <w:lang w:val="en-AU"/>
                              </w:rPr>
                            </w:pPr>
                            <w:r>
                              <w:rPr>
                                <w:rFonts w:ascii="Arial" w:hAnsi="Arial"/>
                                <w:lang w:val="en-AU"/>
                              </w:rPr>
                              <w:t>Deputy Director-</w:t>
                            </w:r>
                          </w:p>
                          <w:p w14:paraId="091FCD28" w14:textId="77777777" w:rsidR="00CA309D" w:rsidRDefault="00CA309D" w:rsidP="00063F33">
                            <w:pPr>
                              <w:pStyle w:val="OrgChart"/>
                              <w:jc w:val="center"/>
                              <w:rPr>
                                <w:rFonts w:ascii="Arial" w:hAnsi="Arial"/>
                                <w:lang w:val="en-AU"/>
                              </w:rPr>
                            </w:pPr>
                            <w:r>
                              <w:rPr>
                                <w:rFonts w:ascii="Arial" w:hAnsi="Arial"/>
                                <w:lang w:val="en-AU"/>
                              </w:rPr>
                              <w:t xml:space="preserve">General Signals </w:t>
                            </w:r>
                          </w:p>
                          <w:p w14:paraId="240E2457" w14:textId="77777777" w:rsidR="00CA309D" w:rsidRDefault="00CA309D" w:rsidP="00063F33">
                            <w:pPr>
                              <w:pStyle w:val="OrgChart"/>
                              <w:jc w:val="center"/>
                              <w:rPr>
                                <w:rFonts w:ascii="Arial" w:hAnsi="Arial"/>
                                <w:lang w:val="en-AU"/>
                              </w:rPr>
                            </w:pPr>
                            <w:r>
                              <w:rPr>
                                <w:rFonts w:ascii="Arial" w:hAnsi="Arial"/>
                                <w:lang w:val="en-AU"/>
                              </w:rPr>
                              <w:t>Intelligence &amp; Effects</w:t>
                            </w:r>
                          </w:p>
                          <w:p w14:paraId="4D94E8E8" w14:textId="2D5A80AE" w:rsidR="00CA309D" w:rsidRPr="00A01209" w:rsidRDefault="00CA309D" w:rsidP="00063F33">
                            <w:pPr>
                              <w:pStyle w:val="OrgChart"/>
                              <w:jc w:val="center"/>
                              <w:rPr>
                                <w:rFonts w:ascii="Arial" w:hAnsi="Arial"/>
                                <w:lang w:val="en-AU"/>
                              </w:rPr>
                            </w:pPr>
                            <w:r>
                              <w:rPr>
                                <w:rFonts w:ascii="Arial" w:hAnsi="Arial"/>
                                <w:lang w:val="en-AU"/>
                              </w:rPr>
                              <w:t xml:space="preserve"> Cameron Ashe AIM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799F1" id="_x0000_s1091" type="#_x0000_t202" style="position:absolute;margin-left:94.15pt;margin-top:19.65pt;width:104.6pt;height:51.5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" stroked="f">
                <v:textbox>
                  <w:txbxContent>
                    <w:p w14:paraId="3CC5BE3C" w14:textId="77777777" w:rsidR="00CA309D" w:rsidRDefault="00CA309D" w:rsidP="00063F33">
                      <w:pPr>
                        <w:pStyle w:val="OrgChart"/>
                        <w:jc w:val="center"/>
                        <w:rPr>
                          <w:rFonts w:ascii="Arial" w:hAnsi="Arial"/>
                          <w:lang w:val="en-AU"/>
                        </w:rPr>
                      </w:pPr>
                      <w:r>
                        <w:rPr>
                          <w:rFonts w:ascii="Arial" w:hAnsi="Arial"/>
                          <w:lang w:val="en-AU"/>
                        </w:rPr>
                        <w:t>Deputy Director-</w:t>
                      </w:r>
                    </w:p>
                    <w:p w14:paraId="091FCD28" w14:textId="77777777" w:rsidR="00CA309D" w:rsidRDefault="00CA309D" w:rsidP="00063F33">
                      <w:pPr>
                        <w:pStyle w:val="OrgChart"/>
                        <w:jc w:val="center"/>
                        <w:rPr>
                          <w:rFonts w:ascii="Arial" w:hAnsi="Arial"/>
                          <w:lang w:val="en-AU"/>
                        </w:rPr>
                      </w:pPr>
                      <w:r>
                        <w:rPr>
                          <w:rFonts w:ascii="Arial" w:hAnsi="Arial"/>
                          <w:lang w:val="en-AU"/>
                        </w:rPr>
                        <w:t xml:space="preserve">General Signals </w:t>
                      </w:r>
                    </w:p>
                    <w:p w14:paraId="240E2457" w14:textId="77777777" w:rsidR="00CA309D" w:rsidRDefault="00CA309D" w:rsidP="00063F33">
                      <w:pPr>
                        <w:pStyle w:val="OrgChart"/>
                        <w:jc w:val="center"/>
                        <w:rPr>
                          <w:rFonts w:ascii="Arial" w:hAnsi="Arial"/>
                          <w:lang w:val="en-AU"/>
                        </w:rPr>
                      </w:pPr>
                      <w:r>
                        <w:rPr>
                          <w:rFonts w:ascii="Arial" w:hAnsi="Arial"/>
                          <w:lang w:val="en-AU"/>
                        </w:rPr>
                        <w:t>Intelligence &amp; Effects</w:t>
                      </w:r>
                    </w:p>
                    <w:p w14:paraId="4D94E8E8" w14:textId="2D5A80AE" w:rsidR="00CA309D" w:rsidRPr="00A01209" w:rsidRDefault="00CA309D" w:rsidP="00063F33">
                      <w:pPr>
                        <w:pStyle w:val="OrgChart"/>
                        <w:jc w:val="center"/>
                        <w:rPr>
                          <w:rFonts w:ascii="Arial" w:hAnsi="Arial"/>
                          <w:lang w:val="en-AU"/>
                        </w:rPr>
                      </w:pPr>
                      <w:r>
                        <w:rPr>
                          <w:rFonts w:ascii="Arial" w:hAnsi="Arial"/>
                          <w:lang w:val="en-AU"/>
                        </w:rPr>
                        <w:t xml:space="preserve"> Cameron Ashe AIM</w:t>
                      </w:r>
                    </w:p>
                  </w:txbxContent>
                </v:textbox>
              </v:shape>
            </w:pict>
          </mc:Fallback>
        </mc:AlternateContent>
      </w:r>
      <w:r w:rsidRPr="003E76E7">
        <w:rPr>
          <w:noProof/>
          <w:szCs w:val="20"/>
          <w:lang w:val="en-AU"/>
        </w:rPr>
        <mc:AlternateContent>
          <mc:Choice Requires="wps">
            <w:drawing>
              <wp:anchor distT="0" distB="0" distL="114300" distR="114300" simplePos="0" relativeHeight="251818496" behindDoc="0" locked="0" layoutInCell="1" allowOverlap="1" wp14:anchorId="0273F299" wp14:editId="352E799A">
                <wp:simplePos x="0" y="0"/>
                <wp:positionH relativeFrom="column">
                  <wp:posOffset>3755390</wp:posOffset>
                </wp:positionH>
                <wp:positionV relativeFrom="paragraph">
                  <wp:posOffset>262255</wp:posOffset>
                </wp:positionV>
                <wp:extent cx="1560195" cy="654685"/>
                <wp:effectExtent l="0" t="0" r="0" b="0"/>
                <wp:wrapNone/>
                <wp:docPr id="140"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195" cy="654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B7FB2C" w14:textId="77777777" w:rsidR="00CA309D" w:rsidRDefault="00CA309D" w:rsidP="00063F33">
                            <w:pPr>
                              <w:pStyle w:val="OrgChart"/>
                              <w:jc w:val="center"/>
                              <w:rPr>
                                <w:rFonts w:ascii="Arial" w:hAnsi="Arial"/>
                                <w:lang w:val="en-AU"/>
                              </w:rPr>
                            </w:pPr>
                            <w:r>
                              <w:rPr>
                                <w:rFonts w:ascii="Arial" w:hAnsi="Arial"/>
                                <w:lang w:val="en-AU"/>
                              </w:rPr>
                              <w:t>Chief Operating</w:t>
                            </w:r>
                          </w:p>
                          <w:p w14:paraId="012BC099" w14:textId="0D2095B6" w:rsidR="00CA309D" w:rsidRDefault="00CA309D" w:rsidP="00063F33">
                            <w:pPr>
                              <w:pStyle w:val="OrgChart"/>
                              <w:jc w:val="center"/>
                              <w:rPr>
                                <w:rFonts w:ascii="Arial" w:hAnsi="Arial"/>
                                <w:lang w:val="en-AU"/>
                              </w:rPr>
                            </w:pPr>
                            <w:r>
                              <w:rPr>
                                <w:rFonts w:ascii="Arial" w:hAnsi="Arial"/>
                                <w:lang w:val="en-AU"/>
                              </w:rPr>
                              <w:t>Officer</w:t>
                            </w:r>
                          </w:p>
                          <w:p w14:paraId="361C2469" w14:textId="77777777" w:rsidR="00CA309D" w:rsidRDefault="00CA309D" w:rsidP="00063F33">
                            <w:pPr>
                              <w:pStyle w:val="OrgChart"/>
                              <w:jc w:val="center"/>
                              <w:rPr>
                                <w:rFonts w:ascii="Arial" w:hAnsi="Arial"/>
                                <w:lang w:val="en-AU"/>
                              </w:rPr>
                            </w:pPr>
                          </w:p>
                          <w:p w14:paraId="0688597E" w14:textId="77777777" w:rsidR="00CA309D" w:rsidRPr="00A01209" w:rsidRDefault="00CA309D" w:rsidP="00063F33">
                            <w:pPr>
                              <w:pStyle w:val="OrgChart"/>
                              <w:jc w:val="center"/>
                              <w:rPr>
                                <w:rFonts w:ascii="Arial" w:hAnsi="Arial"/>
                                <w:lang w:val="en-AU"/>
                              </w:rPr>
                            </w:pPr>
                            <w:r>
                              <w:rPr>
                                <w:rFonts w:ascii="Arial" w:hAnsi="Arial"/>
                                <w:lang w:val="en-AU"/>
                              </w:rPr>
                              <w:t>Dale Furse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3F299" id="_x0000_s1092" type="#_x0000_t202" style="position:absolute;margin-left:295.7pt;margin-top:20.65pt;width:122.85pt;height:51.5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" stroked="f">
                <v:textbox>
                  <w:txbxContent>
                    <w:p w14:paraId="64B7FB2C" w14:textId="77777777" w:rsidR="00CA309D" w:rsidRDefault="00CA309D" w:rsidP="00063F33">
                      <w:pPr>
                        <w:pStyle w:val="OrgChart"/>
                        <w:jc w:val="center"/>
                        <w:rPr>
                          <w:rFonts w:ascii="Arial" w:hAnsi="Arial"/>
                          <w:lang w:val="en-AU"/>
                        </w:rPr>
                      </w:pPr>
                      <w:r>
                        <w:rPr>
                          <w:rFonts w:ascii="Arial" w:hAnsi="Arial"/>
                          <w:lang w:val="en-AU"/>
                        </w:rPr>
                        <w:t>Chief Operating</w:t>
                      </w:r>
                    </w:p>
                    <w:p w14:paraId="012BC099" w14:textId="0D2095B6" w:rsidR="00CA309D" w:rsidRDefault="00CA309D" w:rsidP="00063F33">
                      <w:pPr>
                        <w:pStyle w:val="OrgChart"/>
                        <w:jc w:val="center"/>
                        <w:rPr>
                          <w:rFonts w:ascii="Arial" w:hAnsi="Arial"/>
                          <w:lang w:val="en-AU"/>
                        </w:rPr>
                      </w:pPr>
                      <w:r>
                        <w:rPr>
                          <w:rFonts w:ascii="Arial" w:hAnsi="Arial"/>
                          <w:lang w:val="en-AU"/>
                        </w:rPr>
                        <w:t>Officer</w:t>
                      </w:r>
                    </w:p>
                    <w:p w14:paraId="361C2469" w14:textId="77777777" w:rsidR="00CA309D" w:rsidRDefault="00CA309D" w:rsidP="00063F33">
                      <w:pPr>
                        <w:pStyle w:val="OrgChart"/>
                        <w:jc w:val="center"/>
                        <w:rPr>
                          <w:rFonts w:ascii="Arial" w:hAnsi="Arial"/>
                          <w:lang w:val="en-AU"/>
                        </w:rPr>
                      </w:pPr>
                    </w:p>
                    <w:p w14:paraId="0688597E" w14:textId="77777777" w:rsidR="00CA309D" w:rsidRPr="00A01209" w:rsidRDefault="00CA309D" w:rsidP="00063F33">
                      <w:pPr>
                        <w:pStyle w:val="OrgChart"/>
                        <w:jc w:val="center"/>
                        <w:rPr>
                          <w:rFonts w:ascii="Arial" w:hAnsi="Arial"/>
                          <w:lang w:val="en-AU"/>
                        </w:rPr>
                      </w:pPr>
                      <w:r>
                        <w:rPr>
                          <w:rFonts w:ascii="Arial" w:hAnsi="Arial"/>
                          <w:lang w:val="en-AU"/>
                        </w:rPr>
                        <w:t>Dale Furse</w:t>
                      </w:r>
                    </w:p>
                  </w:txbxContent>
                </v:textbox>
              </v:shape>
            </w:pict>
          </mc:Fallback>
        </mc:AlternateContent>
      </w:r>
      <w:r w:rsidRPr="003E76E7">
        <w:rPr>
          <w:noProof/>
          <w:lang w:val="en-AU"/>
        </w:rPr>
        <mc:AlternateContent>
          <mc:Choice Requires="wps">
            <w:drawing>
              <wp:anchor distT="0" distB="0" distL="114300" distR="114300" simplePos="0" relativeHeight="251804160" behindDoc="0" locked="0" layoutInCell="1" allowOverlap="1" wp14:anchorId="52FBCE41" wp14:editId="21248522">
                <wp:simplePos x="0" y="0"/>
                <wp:positionH relativeFrom="column">
                  <wp:posOffset>-123190</wp:posOffset>
                </wp:positionH>
                <wp:positionV relativeFrom="paragraph">
                  <wp:posOffset>249555</wp:posOffset>
                </wp:positionV>
                <wp:extent cx="1423670" cy="610235"/>
                <wp:effectExtent l="0" t="0" r="0" b="0"/>
                <wp:wrapNone/>
                <wp:docPr id="570"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670" cy="610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DDFB2F" w14:textId="77777777" w:rsidR="00CA309D" w:rsidRDefault="00CA309D" w:rsidP="00063F33">
                            <w:pPr>
                              <w:pStyle w:val="OrgChart"/>
                              <w:jc w:val="center"/>
                              <w:rPr>
                                <w:rFonts w:ascii="Arial" w:hAnsi="Arial"/>
                                <w:lang w:val="en-AU"/>
                              </w:rPr>
                            </w:pPr>
                            <w:r>
                              <w:rPr>
                                <w:rFonts w:ascii="Arial" w:hAnsi="Arial"/>
                                <w:lang w:val="en-AU"/>
                              </w:rPr>
                              <w:t>Head Australian</w:t>
                            </w:r>
                          </w:p>
                          <w:p w14:paraId="59FA1931" w14:textId="77777777" w:rsidR="00CA309D" w:rsidRDefault="00CA309D" w:rsidP="00063F33">
                            <w:pPr>
                              <w:pStyle w:val="OrgChart"/>
                              <w:jc w:val="center"/>
                              <w:rPr>
                                <w:rFonts w:ascii="Arial" w:hAnsi="Arial"/>
                                <w:lang w:val="en-AU"/>
                              </w:rPr>
                            </w:pPr>
                            <w:r>
                              <w:rPr>
                                <w:rFonts w:ascii="Arial" w:hAnsi="Arial"/>
                                <w:lang w:val="en-AU"/>
                              </w:rPr>
                              <w:t xml:space="preserve">Cyber Security </w:t>
                            </w:r>
                          </w:p>
                          <w:p w14:paraId="6AA54297" w14:textId="77777777" w:rsidR="00CA309D" w:rsidRDefault="00CA309D" w:rsidP="00063F33">
                            <w:pPr>
                              <w:pStyle w:val="OrgChart"/>
                              <w:jc w:val="center"/>
                              <w:rPr>
                                <w:rFonts w:ascii="Arial" w:hAnsi="Arial"/>
                                <w:lang w:val="en-AU"/>
                              </w:rPr>
                            </w:pPr>
                            <w:r>
                              <w:rPr>
                                <w:rFonts w:ascii="Arial" w:hAnsi="Arial"/>
                                <w:lang w:val="en-AU"/>
                              </w:rPr>
                              <w:t>Centre</w:t>
                            </w:r>
                          </w:p>
                          <w:p w14:paraId="60F89A3B" w14:textId="77777777" w:rsidR="00CA309D" w:rsidRPr="00A01209" w:rsidRDefault="00CA309D" w:rsidP="00063F33">
                            <w:pPr>
                              <w:pStyle w:val="OrgChart"/>
                              <w:jc w:val="center"/>
                              <w:rPr>
                                <w:rFonts w:ascii="Arial" w:hAnsi="Arial"/>
                                <w:lang w:val="en-AU"/>
                              </w:rPr>
                            </w:pPr>
                            <w:r>
                              <w:rPr>
                                <w:rFonts w:ascii="Arial" w:hAnsi="Arial"/>
                                <w:lang w:val="en-AU"/>
                              </w:rPr>
                              <w:t>Stephanie Crowe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BCE41" id="_x0000_s1093" type="#_x0000_t202" style="position:absolute;margin-left:-9.7pt;margin-top:19.65pt;width:112.1pt;height:48.0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" stroked="f">
                <v:textbox>
                  <w:txbxContent>
                    <w:p w14:paraId="37DDFB2F" w14:textId="77777777" w:rsidR="00CA309D" w:rsidRDefault="00CA309D" w:rsidP="00063F33">
                      <w:pPr>
                        <w:pStyle w:val="OrgChart"/>
                        <w:jc w:val="center"/>
                        <w:rPr>
                          <w:rFonts w:ascii="Arial" w:hAnsi="Arial"/>
                          <w:lang w:val="en-AU"/>
                        </w:rPr>
                      </w:pPr>
                      <w:r>
                        <w:rPr>
                          <w:rFonts w:ascii="Arial" w:hAnsi="Arial"/>
                          <w:lang w:val="en-AU"/>
                        </w:rPr>
                        <w:t>Head Australian</w:t>
                      </w:r>
                    </w:p>
                    <w:p w14:paraId="59FA1931" w14:textId="77777777" w:rsidR="00CA309D" w:rsidRDefault="00CA309D" w:rsidP="00063F33">
                      <w:pPr>
                        <w:pStyle w:val="OrgChart"/>
                        <w:jc w:val="center"/>
                        <w:rPr>
                          <w:rFonts w:ascii="Arial" w:hAnsi="Arial"/>
                          <w:lang w:val="en-AU"/>
                        </w:rPr>
                      </w:pPr>
                      <w:r>
                        <w:rPr>
                          <w:rFonts w:ascii="Arial" w:hAnsi="Arial"/>
                          <w:lang w:val="en-AU"/>
                        </w:rPr>
                        <w:t xml:space="preserve">Cyber Security </w:t>
                      </w:r>
                    </w:p>
                    <w:p w14:paraId="6AA54297" w14:textId="77777777" w:rsidR="00CA309D" w:rsidRDefault="00CA309D" w:rsidP="00063F33">
                      <w:pPr>
                        <w:pStyle w:val="OrgChart"/>
                        <w:jc w:val="center"/>
                        <w:rPr>
                          <w:rFonts w:ascii="Arial" w:hAnsi="Arial"/>
                          <w:lang w:val="en-AU"/>
                        </w:rPr>
                      </w:pPr>
                      <w:r>
                        <w:rPr>
                          <w:rFonts w:ascii="Arial" w:hAnsi="Arial"/>
                          <w:lang w:val="en-AU"/>
                        </w:rPr>
                        <w:t>Centre</w:t>
                      </w:r>
                    </w:p>
                    <w:p w14:paraId="60F89A3B" w14:textId="77777777" w:rsidR="00CA309D" w:rsidRPr="00A01209" w:rsidRDefault="00CA309D" w:rsidP="00063F33">
                      <w:pPr>
                        <w:pStyle w:val="OrgChart"/>
                        <w:jc w:val="center"/>
                        <w:rPr>
                          <w:rFonts w:ascii="Arial" w:hAnsi="Arial"/>
                          <w:lang w:val="en-AU"/>
                        </w:rPr>
                      </w:pPr>
                      <w:r>
                        <w:rPr>
                          <w:rFonts w:ascii="Arial" w:hAnsi="Arial"/>
                          <w:lang w:val="en-AU"/>
                        </w:rPr>
                        <w:t>Stephanie Crowe</w:t>
                      </w:r>
                    </w:p>
                  </w:txbxContent>
                </v:textbox>
              </v:shape>
            </w:pict>
          </mc:Fallback>
        </mc:AlternateContent>
      </w:r>
      <w:r w:rsidRPr="003E76E7">
        <w:rPr>
          <w:noProof/>
          <w:szCs w:val="20"/>
          <w:lang w:val="en-AU"/>
        </w:rPr>
        <mc:AlternateContent>
          <mc:Choice Requires="wps">
            <w:drawing>
              <wp:anchor distT="0" distB="0" distL="114300" distR="114300" simplePos="0" relativeHeight="251817472" behindDoc="0" locked="0" layoutInCell="1" allowOverlap="1" wp14:anchorId="111423F3" wp14:editId="4CB3D667">
                <wp:simplePos x="0" y="0"/>
                <wp:positionH relativeFrom="column">
                  <wp:posOffset>2448560</wp:posOffset>
                </wp:positionH>
                <wp:positionV relativeFrom="paragraph">
                  <wp:posOffset>249555</wp:posOffset>
                </wp:positionV>
                <wp:extent cx="1560195" cy="635000"/>
                <wp:effectExtent l="0" t="0" r="0" b="0"/>
                <wp:wrapNone/>
                <wp:docPr id="569"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195" cy="635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41C18B" w14:textId="77777777" w:rsidR="00CA309D" w:rsidRDefault="00CA309D" w:rsidP="00063F33">
                            <w:pPr>
                              <w:pStyle w:val="OrgChart"/>
                              <w:jc w:val="center"/>
                              <w:rPr>
                                <w:rFonts w:ascii="Arial" w:hAnsi="Arial"/>
                                <w:lang w:val="en-AU"/>
                              </w:rPr>
                            </w:pPr>
                            <w:r>
                              <w:rPr>
                                <w:rFonts w:ascii="Arial" w:hAnsi="Arial"/>
                                <w:lang w:val="en-AU"/>
                              </w:rPr>
                              <w:t>Deputy Director-</w:t>
                            </w:r>
                          </w:p>
                          <w:p w14:paraId="41AAD1DB" w14:textId="77777777" w:rsidR="00CA309D" w:rsidRDefault="00CA309D" w:rsidP="00063F33">
                            <w:pPr>
                              <w:pStyle w:val="OrgChart"/>
                              <w:jc w:val="center"/>
                              <w:rPr>
                                <w:rFonts w:ascii="Arial" w:hAnsi="Arial"/>
                                <w:lang w:val="en-AU"/>
                              </w:rPr>
                            </w:pPr>
                            <w:r>
                              <w:rPr>
                                <w:rFonts w:ascii="Arial" w:hAnsi="Arial"/>
                                <w:lang w:val="en-AU"/>
                              </w:rPr>
                              <w:t>General Capability &amp; Transformation</w:t>
                            </w:r>
                          </w:p>
                          <w:p w14:paraId="514188A9" w14:textId="77777777" w:rsidR="00CA309D" w:rsidRPr="00A01209" w:rsidRDefault="00CA309D" w:rsidP="00063F33">
                            <w:pPr>
                              <w:pStyle w:val="OrgChart"/>
                              <w:jc w:val="center"/>
                              <w:rPr>
                                <w:rFonts w:ascii="Arial" w:hAnsi="Arial"/>
                                <w:lang w:val="en-AU"/>
                              </w:rPr>
                            </w:pPr>
                            <w:r>
                              <w:rPr>
                                <w:rFonts w:ascii="Arial" w:hAnsi="Arial"/>
                                <w:lang w:val="en-AU"/>
                              </w:rPr>
                              <w:t>Sarah Collins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423F3" id="_x0000_s1094" type="#_x0000_t202" style="position:absolute;margin-left:192.8pt;margin-top:19.65pt;width:122.85pt;height:50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" stroked="f">
                <v:textbox>
                  <w:txbxContent>
                    <w:p w14:paraId="3C41C18B" w14:textId="77777777" w:rsidR="00CA309D" w:rsidRDefault="00CA309D" w:rsidP="00063F33">
                      <w:pPr>
                        <w:pStyle w:val="OrgChart"/>
                        <w:jc w:val="center"/>
                        <w:rPr>
                          <w:rFonts w:ascii="Arial" w:hAnsi="Arial"/>
                          <w:lang w:val="en-AU"/>
                        </w:rPr>
                      </w:pPr>
                      <w:r>
                        <w:rPr>
                          <w:rFonts w:ascii="Arial" w:hAnsi="Arial"/>
                          <w:lang w:val="en-AU"/>
                        </w:rPr>
                        <w:t>Deputy Director-</w:t>
                      </w:r>
                    </w:p>
                    <w:p w14:paraId="41AAD1DB" w14:textId="77777777" w:rsidR="00CA309D" w:rsidRDefault="00CA309D" w:rsidP="00063F33">
                      <w:pPr>
                        <w:pStyle w:val="OrgChart"/>
                        <w:jc w:val="center"/>
                        <w:rPr>
                          <w:rFonts w:ascii="Arial" w:hAnsi="Arial"/>
                          <w:lang w:val="en-AU"/>
                        </w:rPr>
                      </w:pPr>
                      <w:r>
                        <w:rPr>
                          <w:rFonts w:ascii="Arial" w:hAnsi="Arial"/>
                          <w:lang w:val="en-AU"/>
                        </w:rPr>
                        <w:t>General Capability &amp; Transformation</w:t>
                      </w:r>
                    </w:p>
                    <w:p w14:paraId="514188A9" w14:textId="77777777" w:rsidR="00CA309D" w:rsidRPr="00A01209" w:rsidRDefault="00CA309D" w:rsidP="00063F33">
                      <w:pPr>
                        <w:pStyle w:val="OrgChart"/>
                        <w:jc w:val="center"/>
                        <w:rPr>
                          <w:rFonts w:ascii="Arial" w:hAnsi="Arial"/>
                          <w:lang w:val="en-AU"/>
                        </w:rPr>
                      </w:pPr>
                      <w:r>
                        <w:rPr>
                          <w:rFonts w:ascii="Arial" w:hAnsi="Arial"/>
                          <w:lang w:val="en-AU"/>
                        </w:rPr>
                        <w:t>Sarah Collins</w:t>
                      </w:r>
                    </w:p>
                  </w:txbxContent>
                </v:textbox>
              </v:shape>
            </w:pict>
          </mc:Fallback>
        </mc:AlternateContent>
      </w:r>
    </w:p>
    <w:p w14:paraId="6FE9D78A" w14:textId="77777777" w:rsidR="00063F33" w:rsidRPr="003E76E7" w:rsidRDefault="00063F33" w:rsidP="00C4292D">
      <w:pPr>
        <w:pStyle w:val="BodyText"/>
        <w:rPr>
          <w:szCs w:val="20"/>
        </w:rPr>
      </w:pPr>
    </w:p>
    <w:p w14:paraId="78FEBA45" w14:textId="77777777" w:rsidR="00063F33" w:rsidRPr="003E76E7" w:rsidRDefault="00063F33" w:rsidP="00C4292D">
      <w:pPr>
        <w:pStyle w:val="BodyText"/>
        <w:rPr>
          <w:rFonts w:ascii="Arial" w:hAnsi="Arial"/>
          <w:lang w:val="en-AU"/>
        </w:rPr>
      </w:pPr>
    </w:p>
    <w:p w14:paraId="406BBB31" w14:textId="77777777" w:rsidR="00063F33" w:rsidRPr="003E76E7" w:rsidRDefault="00063F33" w:rsidP="00C4292D">
      <w:pPr>
        <w:pStyle w:val="BodyText"/>
        <w:rPr>
          <w:sz w:val="16"/>
          <w:szCs w:val="16"/>
          <w:lang w:val="en-AU"/>
        </w:rPr>
      </w:pPr>
    </w:p>
    <w:p w14:paraId="7E2EB088" w14:textId="77777777" w:rsidR="004B73E8" w:rsidRPr="003E76E7" w:rsidRDefault="004B73E8" w:rsidP="00C4292D">
      <w:pPr>
        <w:spacing w:before="60" w:after="60" w:line="256" w:lineRule="auto"/>
        <w:rPr>
          <w:szCs w:val="20"/>
          <w:lang w:val="en-AU"/>
        </w:rPr>
      </w:pPr>
      <w:r w:rsidRPr="003E76E7">
        <w:rPr>
          <w:szCs w:val="20"/>
          <w:lang w:val="en-AU"/>
        </w:rPr>
        <w:t>This ASD Organisational Chart is effective at the time of this publication release.</w:t>
      </w:r>
    </w:p>
    <w:p w14:paraId="6037423F" w14:textId="77777777" w:rsidR="004B73E8" w:rsidRPr="003E76E7" w:rsidRDefault="004B73E8" w:rsidP="00C4292D">
      <w:pPr>
        <w:pStyle w:val="BodyText"/>
        <w:spacing w:before="0" w:after="0"/>
      </w:pPr>
      <w:r w:rsidRPr="003E76E7">
        <w:br w:type="page"/>
      </w:r>
    </w:p>
    <w:p w14:paraId="3B084DDD" w14:textId="77777777" w:rsidR="004B73E8" w:rsidRPr="003E76E7" w:rsidRDefault="004B73E8" w:rsidP="00C4292D">
      <w:pPr>
        <w:pStyle w:val="Heading4level5"/>
        <w:spacing w:before="120" w:after="120"/>
      </w:pPr>
      <w:r w:rsidRPr="003E76E7">
        <w:lastRenderedPageBreak/>
        <w:t>Organisational Structure</w:t>
      </w:r>
    </w:p>
    <w:p w14:paraId="489FDCD2" w14:textId="77777777" w:rsidR="004B73E8" w:rsidRPr="003E76E7" w:rsidRDefault="004B73E8" w:rsidP="00C4292D">
      <w:pPr>
        <w:spacing w:before="60" w:after="60" w:line="256" w:lineRule="auto"/>
      </w:pPr>
      <w:r w:rsidRPr="003E76E7">
        <w:t xml:space="preserve">No changes have taken place </w:t>
      </w:r>
      <w:r w:rsidRPr="003E76E7">
        <w:rPr>
          <w:szCs w:val="20"/>
          <w:lang w:val="en-AU"/>
        </w:rPr>
        <w:t>since</w:t>
      </w:r>
      <w:r w:rsidRPr="003E76E7">
        <w:t xml:space="preserve"> the last Portfolio Statements.</w:t>
      </w:r>
    </w:p>
    <w:p w14:paraId="37E72D58" w14:textId="1D74C94B" w:rsidR="004B73E8" w:rsidRPr="003E76E7" w:rsidRDefault="004B73E8" w:rsidP="00C4292D">
      <w:pPr>
        <w:pStyle w:val="Heading4"/>
        <w:rPr>
          <w:sz w:val="26"/>
          <w:szCs w:val="26"/>
          <w:lang w:val="en-AU"/>
        </w:rPr>
      </w:pPr>
      <w:r w:rsidRPr="003E76E7">
        <w:rPr>
          <w:sz w:val="26"/>
          <w:szCs w:val="26"/>
          <w:lang w:val="en-AU"/>
        </w:rPr>
        <w:br w:type="page"/>
      </w:r>
      <w:bookmarkStart w:id="1467" w:name="_Toc159499701"/>
      <w:bookmarkStart w:id="1468" w:name="_Toc159859118"/>
      <w:bookmarkStart w:id="1469" w:name="_Toc159862480"/>
      <w:bookmarkStart w:id="1470" w:name="_Toc221786184"/>
      <w:bookmarkStart w:id="1471" w:name="_Toc222129941"/>
      <w:bookmarkStart w:id="1472" w:name="_Toc222148371"/>
      <w:bookmarkStart w:id="1473" w:name="_Toc225847999"/>
      <w:bookmarkStart w:id="1474" w:name="_Toc225848082"/>
      <w:bookmarkStart w:id="1475" w:name="_Toc225848165"/>
      <w:bookmarkStart w:id="1476" w:name="_Toc225848504"/>
      <w:bookmarkStart w:id="1477" w:name="_Toc225941571"/>
      <w:bookmarkStart w:id="1478" w:name="_Toc225942578"/>
      <w:bookmarkStart w:id="1479" w:name="_Toc227334388"/>
      <w:bookmarkStart w:id="1480" w:name="_Toc229072463"/>
      <w:bookmarkStart w:id="1481" w:name="_Toc229072635"/>
      <w:r w:rsidRPr="003E76E7">
        <w:rPr>
          <w:sz w:val="26"/>
          <w:szCs w:val="26"/>
          <w:lang w:val="en-AU"/>
        </w:rPr>
        <w:lastRenderedPageBreak/>
        <w:t>1.2 ASD Resource Statement</w:t>
      </w:r>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p>
    <w:p w14:paraId="75450A46" w14:textId="59DB0BAB" w:rsidR="004B73E8" w:rsidRPr="003E76E7" w:rsidRDefault="00196E21" w:rsidP="00C4292D">
      <w:pPr>
        <w:pStyle w:val="TableHeading"/>
        <w:numPr>
          <w:ilvl w:val="0"/>
          <w:numId w:val="62"/>
        </w:numPr>
        <w:spacing w:before="100"/>
        <w:ind w:left="0" w:firstLine="0"/>
        <w:outlineLvl w:val="4"/>
      </w:pPr>
      <w:r w:rsidRPr="003E76E7">
        <w:t xml:space="preserve">ASD Resource Statement </w:t>
      </w:r>
      <w:r w:rsidR="00AD14EC" w:rsidRPr="003E76E7">
        <w:t>-</w:t>
      </w:r>
      <w:r w:rsidRPr="003E76E7">
        <w:t xml:space="preserve"> Budget Estimates for 2026-27 as at May Budget 2026</w:t>
      </w:r>
    </w:p>
    <w:p w14:paraId="1F9D55AB" w14:textId="111D4653" w:rsidR="00117739" w:rsidRPr="003E76E7" w:rsidRDefault="00D92594" w:rsidP="00C4292D">
      <w:pPr>
        <w:pStyle w:val="BodyText"/>
        <w:rPr>
          <w:sz w:val="26"/>
          <w:szCs w:val="26"/>
          <w:lang w:val="en-AU"/>
        </w:rPr>
      </w:pPr>
      <w:r w:rsidRPr="00D92594">
        <w:rPr>
          <w:noProof/>
          <w:lang w:val="en-AU"/>
        </w:rPr>
        <w:drawing>
          <wp:inline distT="0" distB="0" distL="0" distR="0" wp14:anchorId="2B7D9F6C" wp14:editId="194505FF">
            <wp:extent cx="5472430" cy="20268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472430" cy="2026883"/>
                    </a:xfrm>
                    <a:prstGeom prst="rect">
                      <a:avLst/>
                    </a:prstGeom>
                    <a:noFill/>
                    <a:ln>
                      <a:noFill/>
                    </a:ln>
                  </pic:spPr>
                </pic:pic>
              </a:graphicData>
            </a:graphic>
          </wp:inline>
        </w:drawing>
      </w:r>
    </w:p>
    <w:p w14:paraId="2CA40ACC" w14:textId="77777777" w:rsidR="00117739" w:rsidRPr="003E76E7" w:rsidRDefault="00117739" w:rsidP="00C4292D">
      <w:pPr>
        <w:pStyle w:val="BodyText"/>
        <w:rPr>
          <w:lang w:val="en-AU"/>
        </w:rPr>
      </w:pPr>
    </w:p>
    <w:p w14:paraId="74A80CD2" w14:textId="23D0E2E6" w:rsidR="004B73E8" w:rsidRPr="003E76E7" w:rsidRDefault="004B73E8" w:rsidP="00C4292D">
      <w:pPr>
        <w:pStyle w:val="Heading4"/>
        <w:rPr>
          <w:lang w:val="en-AU"/>
        </w:rPr>
      </w:pPr>
      <w:r w:rsidRPr="003E76E7">
        <w:rPr>
          <w:lang w:val="en-AU"/>
        </w:rPr>
        <w:br w:type="page"/>
      </w:r>
      <w:bookmarkStart w:id="1482" w:name="_Toc159499702"/>
      <w:bookmarkStart w:id="1483" w:name="_Toc159859119"/>
      <w:bookmarkStart w:id="1484" w:name="_Toc159862481"/>
      <w:bookmarkStart w:id="1485" w:name="_Toc221786185"/>
      <w:bookmarkStart w:id="1486" w:name="_Toc222129943"/>
      <w:bookmarkStart w:id="1487" w:name="_Toc222148372"/>
      <w:bookmarkStart w:id="1488" w:name="_Toc225848000"/>
      <w:bookmarkStart w:id="1489" w:name="_Toc225848083"/>
      <w:bookmarkStart w:id="1490" w:name="_Toc225848166"/>
      <w:bookmarkStart w:id="1491" w:name="_Toc225848505"/>
      <w:bookmarkStart w:id="1492" w:name="_Toc225941572"/>
      <w:bookmarkStart w:id="1493" w:name="_Toc225942579"/>
      <w:bookmarkStart w:id="1494" w:name="_Toc227334389"/>
      <w:bookmarkStart w:id="1495" w:name="_Toc229072464"/>
      <w:bookmarkStart w:id="1496" w:name="_Toc229072636"/>
      <w:r w:rsidRPr="003E76E7">
        <w:rPr>
          <w:sz w:val="26"/>
          <w:szCs w:val="26"/>
          <w:lang w:val="en-AU"/>
        </w:rPr>
        <w:lastRenderedPageBreak/>
        <w:t>1.3 Budget Measures</w:t>
      </w:r>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p>
    <w:p w14:paraId="6E00DBFB" w14:textId="0DD9FEE2" w:rsidR="004B73E8" w:rsidRPr="003E76E7" w:rsidRDefault="00B672BF" w:rsidP="00C4292D">
      <w:pPr>
        <w:pStyle w:val="Heading4level5"/>
      </w:pPr>
      <w:r w:rsidRPr="003E76E7">
        <w:t>2026-27</w:t>
      </w:r>
      <w:r w:rsidR="004B73E8" w:rsidRPr="003E76E7">
        <w:t xml:space="preserve"> Budget Measures and Other Budget Adjustments</w:t>
      </w:r>
    </w:p>
    <w:p w14:paraId="32042A97" w14:textId="02FCA8A3" w:rsidR="004B73E8" w:rsidRPr="003E76E7" w:rsidRDefault="004B73E8" w:rsidP="00C4292D">
      <w:pPr>
        <w:pStyle w:val="TableHeading"/>
        <w:numPr>
          <w:ilvl w:val="0"/>
          <w:numId w:val="62"/>
        </w:numPr>
        <w:spacing w:before="100"/>
        <w:ind w:left="0" w:firstLine="0"/>
        <w:outlineLvl w:val="4"/>
      </w:pPr>
      <w:r w:rsidRPr="003E76E7">
        <w:t>ASD 202</w:t>
      </w:r>
      <w:r w:rsidR="00B672BF" w:rsidRPr="003E76E7">
        <w:t>6</w:t>
      </w:r>
      <w:r w:rsidRPr="003E76E7">
        <w:t>-2</w:t>
      </w:r>
      <w:r w:rsidR="00B672BF" w:rsidRPr="003E76E7">
        <w:t>7</w:t>
      </w:r>
      <w:r w:rsidRPr="003E76E7">
        <w:t xml:space="preserve"> Budget Measures</w:t>
      </w:r>
    </w:p>
    <w:p w14:paraId="64E2A6D0" w14:textId="10BDC8EC" w:rsidR="004B73E8" w:rsidRPr="003E76E7" w:rsidRDefault="00A516F7" w:rsidP="00C4292D">
      <w:r w:rsidRPr="00A516F7">
        <w:rPr>
          <w:noProof/>
          <w:lang w:val="en-AU"/>
        </w:rPr>
        <w:drawing>
          <wp:inline distT="0" distB="0" distL="0" distR="0" wp14:anchorId="6C12F84D" wp14:editId="4F2D245D">
            <wp:extent cx="5472430" cy="133408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472430" cy="1334082"/>
                    </a:xfrm>
                    <a:prstGeom prst="rect">
                      <a:avLst/>
                    </a:prstGeom>
                    <a:noFill/>
                    <a:ln>
                      <a:noFill/>
                    </a:ln>
                  </pic:spPr>
                </pic:pic>
              </a:graphicData>
            </a:graphic>
          </wp:inline>
        </w:drawing>
      </w:r>
    </w:p>
    <w:p w14:paraId="66267019" w14:textId="77777777" w:rsidR="004B73E8" w:rsidRPr="003E76E7" w:rsidRDefault="004B73E8" w:rsidP="00C4292D">
      <w:pPr>
        <w:pStyle w:val="Heading2level3"/>
        <w:spacing w:before="120" w:after="120"/>
        <w:rPr>
          <w:bCs w:val="0"/>
          <w:iCs w:val="0"/>
          <w:szCs w:val="30"/>
        </w:rPr>
      </w:pPr>
      <w:r w:rsidRPr="003E76E7">
        <w:rPr>
          <w:lang w:val="en-AU"/>
        </w:rPr>
        <w:br w:type="page"/>
      </w:r>
      <w:bookmarkStart w:id="1497" w:name="_Toc159499703"/>
      <w:bookmarkStart w:id="1498" w:name="_Toc159857679"/>
      <w:bookmarkStart w:id="1499" w:name="_Toc159857758"/>
      <w:bookmarkStart w:id="1500" w:name="_Toc159858154"/>
      <w:bookmarkStart w:id="1501" w:name="_Toc159858819"/>
      <w:bookmarkStart w:id="1502" w:name="_Toc159858889"/>
      <w:bookmarkStart w:id="1503" w:name="_Toc159859120"/>
      <w:bookmarkStart w:id="1504" w:name="_Toc159862482"/>
      <w:bookmarkStart w:id="1505" w:name="_Toc221786186"/>
      <w:bookmarkStart w:id="1506" w:name="_Toc222129944"/>
      <w:bookmarkStart w:id="1507" w:name="_Toc222148373"/>
      <w:bookmarkStart w:id="1508" w:name="_Toc225848001"/>
      <w:bookmarkStart w:id="1509" w:name="_Toc225848084"/>
      <w:bookmarkStart w:id="1510" w:name="_Toc225848167"/>
      <w:bookmarkStart w:id="1511" w:name="_Toc225848262"/>
      <w:bookmarkStart w:id="1512" w:name="_Toc225848506"/>
      <w:bookmarkStart w:id="1513" w:name="_Toc225941573"/>
      <w:bookmarkStart w:id="1514" w:name="_Toc225942580"/>
      <w:bookmarkStart w:id="1515" w:name="_Toc227334390"/>
      <w:bookmarkStart w:id="1516" w:name="_Toc229072465"/>
      <w:bookmarkStart w:id="1517" w:name="_Toc229072637"/>
      <w:r w:rsidRPr="003E76E7">
        <w:rPr>
          <w:rStyle w:val="Heading2Char"/>
          <w:bCs/>
          <w:iCs/>
          <w:sz w:val="26"/>
          <w:szCs w:val="26"/>
        </w:rPr>
        <w:lastRenderedPageBreak/>
        <w:t>Section 2: ASD Outcomes and Planned Performance</w:t>
      </w:r>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p>
    <w:p w14:paraId="6BA7568E" w14:textId="77777777" w:rsidR="004B73E8" w:rsidRPr="003E76E7" w:rsidRDefault="004B73E8" w:rsidP="00C4292D">
      <w:pPr>
        <w:spacing w:before="60" w:after="60" w:line="256" w:lineRule="auto"/>
      </w:pPr>
      <w:r w:rsidRPr="003E76E7">
        <w:t xml:space="preserve">Government outcomes are the intended results, impacts or consequences of actions by the Government on the </w:t>
      </w:r>
      <w:r w:rsidRPr="003E76E7">
        <w:rPr>
          <w:lang w:eastAsia="en-US"/>
        </w:rPr>
        <w:t>Australian</w:t>
      </w:r>
      <w:r w:rsidRPr="003E76E7">
        <w:t xml:space="preserve"> community. Commonwealth programs are the primary vehicle by which government entities achieve the intended results of </w:t>
      </w:r>
      <w:r w:rsidRPr="003E76E7">
        <w:rPr>
          <w:szCs w:val="20"/>
          <w:lang w:val="en-AU"/>
        </w:rPr>
        <w:t>their</w:t>
      </w:r>
      <w:r w:rsidRPr="003E76E7">
        <w:t xml:space="preserve"> outcome statements. Entities are required to identify the programs which contribute to government outcomes over the Budget and forward years.</w:t>
      </w:r>
    </w:p>
    <w:p w14:paraId="0DB07FDF" w14:textId="77777777" w:rsidR="004B73E8" w:rsidRPr="003E76E7" w:rsidRDefault="004B73E8" w:rsidP="00C4292D">
      <w:pPr>
        <w:spacing w:before="60" w:after="60" w:line="256" w:lineRule="auto"/>
      </w:pPr>
      <w:r w:rsidRPr="003E76E7">
        <w:t>Each outcome is described below together with its related programs. The following provides detailed information on expenses for each outcome and program, further broken down by funding source.</w:t>
      </w:r>
    </w:p>
    <w:p w14:paraId="47265245" w14:textId="77777777" w:rsidR="004B73E8" w:rsidRPr="003E76E7" w:rsidRDefault="004B73E8" w:rsidP="00C4292D">
      <w:pPr>
        <w:pBdr>
          <w:top w:val="single" w:sz="2" w:space="6" w:color="auto"/>
          <w:left w:val="single" w:sz="2" w:space="4" w:color="auto"/>
          <w:bottom w:val="single" w:sz="2" w:space="12" w:color="auto"/>
          <w:right w:val="single" w:sz="2" w:space="4" w:color="auto"/>
        </w:pBdr>
        <w:spacing w:before="120" w:after="120"/>
        <w:rPr>
          <w:b/>
        </w:rPr>
      </w:pPr>
      <w:r w:rsidRPr="003E76E7">
        <w:rPr>
          <w:b/>
        </w:rPr>
        <w:t>Note:</w:t>
      </w:r>
    </w:p>
    <w:p w14:paraId="242F0D1D" w14:textId="5F528913" w:rsidR="004B73E8" w:rsidRPr="003E76E7" w:rsidRDefault="004B73E8" w:rsidP="00C4292D">
      <w:pPr>
        <w:pBdr>
          <w:top w:val="single" w:sz="2" w:space="6" w:color="auto"/>
          <w:left w:val="single" w:sz="2" w:space="4" w:color="auto"/>
          <w:bottom w:val="single" w:sz="2" w:space="12" w:color="auto"/>
          <w:right w:val="single" w:sz="2" w:space="4" w:color="auto"/>
        </w:pBdr>
        <w:spacing w:before="120" w:after="120"/>
      </w:pPr>
      <w:r w:rsidRPr="003E76E7">
        <w:t xml:space="preserve">Performance reporting requirements in the Portfolio Budget Statements are part of the enhanced Commonwealth performance framework established by the </w:t>
      </w:r>
      <w:r w:rsidRPr="003E76E7">
        <w:rPr>
          <w:i/>
        </w:rPr>
        <w:t>Public Governance, Performance and Accountability Act 2013</w:t>
      </w:r>
      <w:r w:rsidRPr="003E76E7">
        <w:t xml:space="preserve">. It is anticipated that the performance measures described in Portfolio Budget Statements will be read with broader information provided in an entity’s corporate plans and annual performance statements </w:t>
      </w:r>
      <w:r w:rsidR="00722810" w:rsidRPr="003E76E7">
        <w:t>-</w:t>
      </w:r>
      <w:r w:rsidRPr="003E76E7">
        <w:t xml:space="preserve"> included in Annual Reports - to provide a complete picture of an entity’s planned and actual performance.</w:t>
      </w:r>
    </w:p>
    <w:p w14:paraId="3C16E887" w14:textId="77777777" w:rsidR="004B73E8" w:rsidRPr="003E76E7" w:rsidRDefault="004B73E8" w:rsidP="00C4292D">
      <w:pPr>
        <w:pBdr>
          <w:top w:val="single" w:sz="2" w:space="6" w:color="auto"/>
          <w:left w:val="single" w:sz="2" w:space="4" w:color="auto"/>
          <w:bottom w:val="single" w:sz="2" w:space="12" w:color="auto"/>
          <w:right w:val="single" w:sz="2" w:space="4" w:color="auto"/>
        </w:pBdr>
        <w:spacing w:before="120" w:after="120"/>
      </w:pPr>
      <w:r w:rsidRPr="003E76E7">
        <w:t xml:space="preserve">The most recent corporate plan and annual performance statement for ASD can be found at: </w:t>
      </w:r>
      <w:hyperlink r:id="rId152" w:history="1">
        <w:r w:rsidRPr="003E76E7">
          <w:rPr>
            <w:rStyle w:val="Hyperlink"/>
          </w:rPr>
          <w:t>https://www.asd.gov.au/publications</w:t>
        </w:r>
      </w:hyperlink>
      <w:r w:rsidRPr="003E76E7">
        <w:t>.</w:t>
      </w:r>
    </w:p>
    <w:p w14:paraId="55E35876" w14:textId="77777777" w:rsidR="004B73E8" w:rsidRPr="003E76E7" w:rsidRDefault="004B73E8" w:rsidP="00C4292D">
      <w:pPr>
        <w:pStyle w:val="Heading4"/>
        <w:rPr>
          <w:rFonts w:ascii="Arial Bold" w:hAnsi="Arial Bold"/>
          <w:sz w:val="24"/>
          <w:szCs w:val="24"/>
        </w:rPr>
      </w:pPr>
      <w:r w:rsidRPr="003E76E7">
        <w:rPr>
          <w:lang w:val="en-AU"/>
        </w:rPr>
        <w:br w:type="page"/>
      </w:r>
      <w:bookmarkStart w:id="1518" w:name="_Toc476581172"/>
      <w:bookmarkStart w:id="1519" w:name="_Toc507595439"/>
      <w:bookmarkStart w:id="1520" w:name="_Toc536089246"/>
      <w:bookmarkStart w:id="1521" w:name="_Toc536089612"/>
      <w:bookmarkStart w:id="1522" w:name="_Toc1561699"/>
      <w:bookmarkStart w:id="1523" w:name="_Toc51691695"/>
      <w:bookmarkStart w:id="1524" w:name="_Toc69729065"/>
      <w:bookmarkStart w:id="1525" w:name="_Toc69917860"/>
      <w:bookmarkStart w:id="1526" w:name="_Toc108088962"/>
      <w:bookmarkStart w:id="1527" w:name="_Toc108089041"/>
      <w:bookmarkStart w:id="1528" w:name="_Toc108089435"/>
      <w:bookmarkStart w:id="1529" w:name="_Toc109227757"/>
      <w:bookmarkStart w:id="1530" w:name="_Toc159499704"/>
      <w:bookmarkStart w:id="1531" w:name="_Toc159859121"/>
      <w:bookmarkStart w:id="1532" w:name="_Toc159862483"/>
      <w:bookmarkStart w:id="1533" w:name="_Toc221786187"/>
      <w:bookmarkStart w:id="1534" w:name="_Toc222129945"/>
      <w:bookmarkStart w:id="1535" w:name="_Toc222148374"/>
      <w:bookmarkStart w:id="1536" w:name="_Toc225848002"/>
      <w:bookmarkStart w:id="1537" w:name="_Toc225848085"/>
      <w:bookmarkStart w:id="1538" w:name="_Toc225848168"/>
      <w:bookmarkStart w:id="1539" w:name="_Toc225848507"/>
      <w:bookmarkStart w:id="1540" w:name="_Toc225941574"/>
      <w:bookmarkStart w:id="1541" w:name="_Toc225942581"/>
      <w:bookmarkStart w:id="1542" w:name="_Toc227334391"/>
      <w:bookmarkStart w:id="1543" w:name="_Toc229072466"/>
      <w:bookmarkStart w:id="1544" w:name="_Toc229072638"/>
      <w:r w:rsidRPr="003E76E7">
        <w:rPr>
          <w:sz w:val="26"/>
          <w:szCs w:val="26"/>
          <w:lang w:val="en-AU"/>
        </w:rPr>
        <w:lastRenderedPageBreak/>
        <w:t>2.1 Budgeted Expenses and Performance for Outcome 1</w:t>
      </w:r>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p>
    <w:tbl>
      <w:tblPr>
        <w:tblW w:w="485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8350"/>
      </w:tblGrid>
      <w:tr w:rsidR="004B73E8" w:rsidRPr="003E76E7" w14:paraId="6D4EECC4" w14:textId="77777777" w:rsidTr="00217AB4">
        <w:tc>
          <w:tcPr>
            <w:tcW w:w="8350" w:type="dxa"/>
            <w:shd w:val="clear" w:color="auto" w:fill="CCCCCC"/>
          </w:tcPr>
          <w:p w14:paraId="0DC58368" w14:textId="77777777" w:rsidR="004B73E8" w:rsidRPr="003E76E7" w:rsidRDefault="004B73E8" w:rsidP="00C4292D">
            <w:pPr>
              <w:pStyle w:val="Heading5"/>
              <w:rPr>
                <w:lang w:val="en-AU"/>
              </w:rPr>
            </w:pPr>
            <w:r w:rsidRPr="003E76E7">
              <w:rPr>
                <w:lang w:val="en-AU"/>
              </w:rPr>
              <w:t>Outcome 1: Defend Australia from global threats and advance our national interests through the provision of foreign signals intelligence, cyber security and offensive cyber operations, as directed by Government.</w:t>
            </w:r>
          </w:p>
        </w:tc>
      </w:tr>
    </w:tbl>
    <w:p w14:paraId="147280E4" w14:textId="46FA1C39" w:rsidR="00217AB4" w:rsidRPr="003E76E7" w:rsidRDefault="00217AB4" w:rsidP="00C4292D">
      <w:pPr>
        <w:pStyle w:val="BodyText"/>
        <w:rPr>
          <w:rFonts w:ascii="Arial" w:hAnsi="Arial"/>
          <w:b/>
          <w:sz w:val="22"/>
          <w:lang w:val="en-AU"/>
        </w:rPr>
      </w:pPr>
      <w:r w:rsidRPr="003E76E7">
        <w:rPr>
          <w:rFonts w:ascii="Arial" w:hAnsi="Arial"/>
          <w:b/>
          <w:sz w:val="22"/>
          <w:lang w:val="en-AU"/>
        </w:rPr>
        <w:t>Outcome 1 Strategy</w:t>
      </w:r>
    </w:p>
    <w:p w14:paraId="07DE200E" w14:textId="6F9DD147" w:rsidR="004B73E8" w:rsidRPr="003E76E7" w:rsidRDefault="004B73E8" w:rsidP="00C4292D">
      <w:pPr>
        <w:pStyle w:val="BodyText"/>
        <w:rPr>
          <w:rFonts w:ascii="Arial" w:hAnsi="Arial"/>
          <w:b/>
          <w:sz w:val="22"/>
          <w:lang w:val="en-AU"/>
        </w:rPr>
      </w:pPr>
      <w:r w:rsidRPr="003E76E7">
        <w:rPr>
          <w:rFonts w:ascii="Arial" w:hAnsi="Arial"/>
          <w:b/>
          <w:sz w:val="22"/>
          <w:lang w:val="en-AU"/>
        </w:rPr>
        <w:t>Linked Programs</w:t>
      </w:r>
    </w:p>
    <w:tbl>
      <w:tblPr>
        <w:tblW w:w="5000" w:type="pct"/>
        <w:tblInd w:w="113" w:type="dxa"/>
        <w:tblBorders>
          <w:top w:val="single" w:sz="8" w:space="0" w:color="auto"/>
          <w:left w:val="single" w:sz="8" w:space="0" w:color="auto"/>
          <w:bottom w:val="single" w:sz="8" w:space="0" w:color="auto"/>
          <w:right w:val="single" w:sz="8" w:space="0" w:color="auto"/>
          <w:insideH w:val="dotted" w:sz="8" w:space="0" w:color="auto"/>
          <w:insideV w:val="dotted" w:sz="8" w:space="0" w:color="auto"/>
        </w:tblBorders>
        <w:tblCellMar>
          <w:left w:w="0" w:type="dxa"/>
          <w:right w:w="0" w:type="dxa"/>
        </w:tblCellMar>
        <w:tblLook w:val="04A0" w:firstRow="1" w:lastRow="0" w:firstColumn="1" w:lastColumn="0" w:noHBand="0" w:noVBand="1"/>
      </w:tblPr>
      <w:tblGrid>
        <w:gridCol w:w="8608"/>
      </w:tblGrid>
      <w:tr w:rsidR="004B73E8" w:rsidRPr="003E76E7" w14:paraId="2D1C5EA0" w14:textId="77777777" w:rsidTr="00794709">
        <w:trPr>
          <w:trHeight w:val="113"/>
        </w:trPr>
        <w:tc>
          <w:tcPr>
            <w:tcW w:w="5000" w:type="pct"/>
            <w:tcBorders>
              <w:top w:val="single"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6F806E82" w14:textId="77777777" w:rsidR="004B73E8" w:rsidRPr="003E76E7" w:rsidRDefault="004B73E8" w:rsidP="00C4292D">
            <w:pPr>
              <w:spacing w:before="60" w:after="60"/>
              <w:rPr>
                <w:b/>
                <w:szCs w:val="20"/>
                <w:lang w:eastAsia="en-US"/>
              </w:rPr>
            </w:pPr>
            <w:r w:rsidRPr="003E76E7">
              <w:rPr>
                <w:b/>
                <w:szCs w:val="20"/>
                <w:lang w:eastAsia="en-US"/>
              </w:rPr>
              <w:t>Australian Federal Police</w:t>
            </w:r>
          </w:p>
        </w:tc>
      </w:tr>
      <w:tr w:rsidR="004B73E8" w:rsidRPr="003E76E7" w14:paraId="68EFFFAF" w14:textId="77777777" w:rsidTr="00794709">
        <w:trPr>
          <w:trHeight w:val="113"/>
        </w:trPr>
        <w:tc>
          <w:tcPr>
            <w:tcW w:w="5000" w:type="pct"/>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3466DB18" w14:textId="0343EC55" w:rsidR="004B73E8" w:rsidRPr="003E76E7" w:rsidRDefault="00AF53FA" w:rsidP="00C4292D">
            <w:pPr>
              <w:spacing w:before="60" w:after="60"/>
              <w:rPr>
                <w:szCs w:val="20"/>
                <w:lang w:eastAsia="en-US"/>
              </w:rPr>
            </w:pPr>
            <w:r w:rsidRPr="003E76E7">
              <w:rPr>
                <w:szCs w:val="20"/>
                <w:lang w:eastAsia="en-US"/>
              </w:rPr>
              <w:t xml:space="preserve">Program 1.1 - </w:t>
            </w:r>
            <w:r w:rsidR="00372595" w:rsidRPr="003E76E7">
              <w:rPr>
                <w:szCs w:val="20"/>
                <w:lang w:eastAsia="en-US"/>
              </w:rPr>
              <w:t>Federal Policing</w:t>
            </w:r>
            <w:r w:rsidR="004B73E8" w:rsidRPr="003E76E7">
              <w:rPr>
                <w:szCs w:val="20"/>
                <w:lang w:eastAsia="en-US"/>
              </w:rPr>
              <w:t>.</w:t>
            </w:r>
          </w:p>
        </w:tc>
      </w:tr>
      <w:tr w:rsidR="004B73E8" w:rsidRPr="003E76E7" w14:paraId="1B3D01E3" w14:textId="77777777" w:rsidTr="00794709">
        <w:trPr>
          <w:trHeight w:val="113"/>
        </w:trPr>
        <w:tc>
          <w:tcPr>
            <w:tcW w:w="5000" w:type="pct"/>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5A30BFDA" w14:textId="77777777" w:rsidR="004B73E8" w:rsidRPr="003E76E7" w:rsidRDefault="004B73E8" w:rsidP="00C4292D">
            <w:pPr>
              <w:spacing w:before="60" w:after="60"/>
              <w:rPr>
                <w:b/>
                <w:szCs w:val="20"/>
                <w:lang w:eastAsia="en-US"/>
              </w:rPr>
            </w:pPr>
            <w:r w:rsidRPr="003E76E7">
              <w:rPr>
                <w:b/>
                <w:szCs w:val="20"/>
                <w:lang w:eastAsia="en-US"/>
              </w:rPr>
              <w:t xml:space="preserve">Contribution to </w:t>
            </w:r>
            <w:r w:rsidRPr="003E76E7">
              <w:rPr>
                <w:b/>
                <w:szCs w:val="20"/>
                <w:lang w:val="en-AU"/>
              </w:rPr>
              <w:t>Outcome</w:t>
            </w:r>
            <w:r w:rsidRPr="003E76E7">
              <w:rPr>
                <w:b/>
                <w:szCs w:val="20"/>
                <w:lang w:eastAsia="en-US"/>
              </w:rPr>
              <w:t xml:space="preserve"> 1 by linked program</w:t>
            </w:r>
          </w:p>
        </w:tc>
      </w:tr>
      <w:tr w:rsidR="004B73E8" w:rsidRPr="003E76E7" w14:paraId="18911539" w14:textId="77777777" w:rsidTr="00794709">
        <w:trPr>
          <w:trHeight w:val="563"/>
        </w:trPr>
        <w:tc>
          <w:tcPr>
            <w:tcW w:w="5000" w:type="pct"/>
            <w:tcBorders>
              <w:top w:val="dott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7E2654" w14:textId="77777777" w:rsidR="004B73E8" w:rsidRPr="003E76E7" w:rsidRDefault="004B73E8" w:rsidP="00C4292D">
            <w:pPr>
              <w:spacing w:before="60" w:after="60"/>
              <w:rPr>
                <w:szCs w:val="20"/>
                <w:lang w:eastAsia="en-US"/>
              </w:rPr>
            </w:pPr>
            <w:r w:rsidRPr="003E76E7">
              <w:t xml:space="preserve">Consistent with the functions detailed in the </w:t>
            </w:r>
            <w:r w:rsidRPr="003E76E7">
              <w:rPr>
                <w:i/>
              </w:rPr>
              <w:t>Intelligence Services Act 2001</w:t>
            </w:r>
            <w:r w:rsidRPr="003E76E7">
              <w:t>, the Australian Signals Directorate relies on cooperation with the Australian Federal Police.</w:t>
            </w:r>
          </w:p>
        </w:tc>
      </w:tr>
    </w:tbl>
    <w:p w14:paraId="10E7E1BC" w14:textId="77777777" w:rsidR="004B73E8" w:rsidRPr="003E76E7" w:rsidRDefault="004B73E8" w:rsidP="00C4292D">
      <w:pPr>
        <w:spacing w:before="0" w:after="0"/>
      </w:pPr>
    </w:p>
    <w:tbl>
      <w:tblPr>
        <w:tblW w:w="5000" w:type="pct"/>
        <w:tblInd w:w="113" w:type="dxa"/>
        <w:tblBorders>
          <w:top w:val="single" w:sz="8" w:space="0" w:color="auto"/>
          <w:left w:val="single" w:sz="8" w:space="0" w:color="auto"/>
          <w:bottom w:val="single" w:sz="8" w:space="0" w:color="auto"/>
          <w:right w:val="single" w:sz="8" w:space="0" w:color="auto"/>
          <w:insideH w:val="dotted" w:sz="8" w:space="0" w:color="auto"/>
          <w:insideV w:val="dotted" w:sz="8" w:space="0" w:color="auto"/>
        </w:tblBorders>
        <w:tblCellMar>
          <w:left w:w="0" w:type="dxa"/>
          <w:right w:w="0" w:type="dxa"/>
        </w:tblCellMar>
        <w:tblLook w:val="04A0" w:firstRow="1" w:lastRow="0" w:firstColumn="1" w:lastColumn="0" w:noHBand="0" w:noVBand="1"/>
      </w:tblPr>
      <w:tblGrid>
        <w:gridCol w:w="8608"/>
      </w:tblGrid>
      <w:tr w:rsidR="004B73E8" w:rsidRPr="003E76E7" w14:paraId="60138C0F" w14:textId="77777777" w:rsidTr="00794709">
        <w:trPr>
          <w:trHeight w:val="113"/>
        </w:trPr>
        <w:tc>
          <w:tcPr>
            <w:tcW w:w="5000" w:type="pct"/>
            <w:tcBorders>
              <w:top w:val="single"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2ACB9B5A" w14:textId="77777777" w:rsidR="004B73E8" w:rsidRPr="003E76E7" w:rsidRDefault="004B73E8" w:rsidP="00C4292D">
            <w:pPr>
              <w:spacing w:before="60" w:after="60"/>
              <w:rPr>
                <w:b/>
                <w:szCs w:val="20"/>
                <w:lang w:eastAsia="en-US"/>
              </w:rPr>
            </w:pPr>
            <w:r w:rsidRPr="003E76E7">
              <w:rPr>
                <w:b/>
                <w:szCs w:val="20"/>
                <w:lang w:eastAsia="en-US"/>
              </w:rPr>
              <w:t>Department of Defence</w:t>
            </w:r>
          </w:p>
        </w:tc>
      </w:tr>
      <w:tr w:rsidR="004B73E8" w:rsidRPr="003E76E7" w14:paraId="0A72FA57" w14:textId="77777777" w:rsidTr="00794709">
        <w:trPr>
          <w:trHeight w:val="113"/>
        </w:trPr>
        <w:tc>
          <w:tcPr>
            <w:tcW w:w="5000" w:type="pct"/>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68F0F669" w14:textId="7ECDD0BC" w:rsidR="004B73E8" w:rsidRPr="003E76E7" w:rsidRDefault="00AF53FA" w:rsidP="00C4292D">
            <w:pPr>
              <w:spacing w:before="60" w:after="60"/>
              <w:rPr>
                <w:szCs w:val="20"/>
                <w:lang w:eastAsia="en-US"/>
              </w:rPr>
            </w:pPr>
            <w:r w:rsidRPr="003E76E7">
              <w:rPr>
                <w:szCs w:val="20"/>
                <w:lang w:eastAsia="en-US"/>
              </w:rPr>
              <w:t xml:space="preserve">Program 1.1 - </w:t>
            </w:r>
            <w:r w:rsidR="004B73E8" w:rsidRPr="003E76E7">
              <w:rPr>
                <w:szCs w:val="20"/>
                <w:lang w:eastAsia="en-US"/>
              </w:rPr>
              <w:t>Operations Contributing to the Safety of the Immediate Neighbourhood.</w:t>
            </w:r>
          </w:p>
          <w:p w14:paraId="7F2A079C" w14:textId="3F188567" w:rsidR="004B73E8" w:rsidRPr="003E76E7" w:rsidRDefault="00AF53FA" w:rsidP="00C4292D">
            <w:pPr>
              <w:spacing w:before="60" w:after="60"/>
              <w:rPr>
                <w:szCs w:val="20"/>
                <w:lang w:eastAsia="en-US"/>
              </w:rPr>
            </w:pPr>
            <w:r w:rsidRPr="003E76E7">
              <w:rPr>
                <w:szCs w:val="20"/>
                <w:lang w:eastAsia="en-US"/>
              </w:rPr>
              <w:t xml:space="preserve">Program 1.2 - </w:t>
            </w:r>
            <w:r w:rsidR="004B73E8" w:rsidRPr="003E76E7">
              <w:rPr>
                <w:szCs w:val="20"/>
                <w:lang w:eastAsia="en-US"/>
              </w:rPr>
              <w:t>Operations Supporting Wider Interests.</w:t>
            </w:r>
          </w:p>
        </w:tc>
      </w:tr>
      <w:tr w:rsidR="004B73E8" w:rsidRPr="003E76E7" w14:paraId="6169F4A5" w14:textId="77777777" w:rsidTr="00794709">
        <w:trPr>
          <w:trHeight w:val="113"/>
        </w:trPr>
        <w:tc>
          <w:tcPr>
            <w:tcW w:w="5000" w:type="pct"/>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77FA8915" w14:textId="77777777" w:rsidR="004B73E8" w:rsidRPr="003E76E7" w:rsidRDefault="004B73E8" w:rsidP="00C4292D">
            <w:pPr>
              <w:spacing w:before="60" w:after="60"/>
              <w:rPr>
                <w:b/>
                <w:szCs w:val="20"/>
                <w:lang w:eastAsia="en-US"/>
              </w:rPr>
            </w:pPr>
            <w:r w:rsidRPr="003E76E7">
              <w:rPr>
                <w:b/>
                <w:szCs w:val="20"/>
                <w:lang w:eastAsia="en-US"/>
              </w:rPr>
              <w:t xml:space="preserve">Contribution to </w:t>
            </w:r>
            <w:r w:rsidRPr="003E76E7">
              <w:rPr>
                <w:b/>
                <w:szCs w:val="20"/>
                <w:lang w:val="en-AU"/>
              </w:rPr>
              <w:t>Outcome</w:t>
            </w:r>
            <w:r w:rsidRPr="003E76E7">
              <w:rPr>
                <w:b/>
                <w:szCs w:val="20"/>
                <w:lang w:eastAsia="en-US"/>
              </w:rPr>
              <w:t xml:space="preserve"> 1 by linked programs</w:t>
            </w:r>
          </w:p>
        </w:tc>
      </w:tr>
      <w:tr w:rsidR="004B73E8" w:rsidRPr="003E76E7" w14:paraId="50561E88" w14:textId="77777777" w:rsidTr="00794709">
        <w:trPr>
          <w:trHeight w:val="563"/>
        </w:trPr>
        <w:tc>
          <w:tcPr>
            <w:tcW w:w="5000" w:type="pct"/>
            <w:tcBorders>
              <w:top w:val="dott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DB4E42" w14:textId="77777777" w:rsidR="004B73E8" w:rsidRPr="003E76E7" w:rsidRDefault="004B73E8" w:rsidP="00C4292D">
            <w:pPr>
              <w:spacing w:before="60" w:after="60"/>
              <w:rPr>
                <w:szCs w:val="20"/>
                <w:lang w:eastAsia="en-US"/>
              </w:rPr>
            </w:pPr>
            <w:r w:rsidRPr="003E76E7">
              <w:t xml:space="preserve">Consistent with the functions detailed in the </w:t>
            </w:r>
            <w:r w:rsidRPr="003E76E7">
              <w:rPr>
                <w:i/>
              </w:rPr>
              <w:t>Intelligence Services Act 2001</w:t>
            </w:r>
            <w:r w:rsidRPr="003E76E7">
              <w:t>, the Australian Signals Directorate provides foreign signals intelligence, cyber security advice, and offensive cyber operations to meet the operational needs of the Australian Defence Force and the requirements of the Department of Defence.</w:t>
            </w:r>
          </w:p>
        </w:tc>
      </w:tr>
    </w:tbl>
    <w:p w14:paraId="12DE181B" w14:textId="77777777" w:rsidR="004B73E8" w:rsidRPr="003E76E7" w:rsidRDefault="004B73E8" w:rsidP="00C4292D">
      <w:pPr>
        <w:spacing w:before="0" w:after="0"/>
      </w:pPr>
    </w:p>
    <w:tbl>
      <w:tblPr>
        <w:tblW w:w="5000" w:type="pct"/>
        <w:tblInd w:w="113" w:type="dxa"/>
        <w:tblBorders>
          <w:top w:val="single" w:sz="8" w:space="0" w:color="auto"/>
          <w:left w:val="single" w:sz="8" w:space="0" w:color="auto"/>
          <w:bottom w:val="single" w:sz="8" w:space="0" w:color="auto"/>
          <w:right w:val="single" w:sz="8" w:space="0" w:color="auto"/>
          <w:insideH w:val="dotted" w:sz="8" w:space="0" w:color="auto"/>
          <w:insideV w:val="dotted" w:sz="8" w:space="0" w:color="auto"/>
        </w:tblBorders>
        <w:tblCellMar>
          <w:left w:w="0" w:type="dxa"/>
          <w:right w:w="0" w:type="dxa"/>
        </w:tblCellMar>
        <w:tblLook w:val="04A0" w:firstRow="1" w:lastRow="0" w:firstColumn="1" w:lastColumn="0" w:noHBand="0" w:noVBand="1"/>
      </w:tblPr>
      <w:tblGrid>
        <w:gridCol w:w="8608"/>
      </w:tblGrid>
      <w:tr w:rsidR="004B73E8" w:rsidRPr="003E76E7" w14:paraId="203AB3AE" w14:textId="77777777" w:rsidTr="00794709">
        <w:trPr>
          <w:trHeight w:val="113"/>
        </w:trPr>
        <w:tc>
          <w:tcPr>
            <w:tcW w:w="5000" w:type="pct"/>
            <w:tcBorders>
              <w:top w:val="single"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6D4F8F55" w14:textId="77777777" w:rsidR="004B73E8" w:rsidRPr="003E76E7" w:rsidRDefault="004B73E8" w:rsidP="00C4292D">
            <w:pPr>
              <w:spacing w:before="60" w:after="60"/>
              <w:rPr>
                <w:b/>
                <w:szCs w:val="20"/>
                <w:lang w:eastAsia="en-US"/>
              </w:rPr>
            </w:pPr>
            <w:r w:rsidRPr="003E76E7">
              <w:rPr>
                <w:b/>
                <w:szCs w:val="20"/>
                <w:lang w:eastAsia="en-US"/>
              </w:rPr>
              <w:t>Office of National Intelligence</w:t>
            </w:r>
          </w:p>
        </w:tc>
      </w:tr>
      <w:tr w:rsidR="004B73E8" w:rsidRPr="003E76E7" w14:paraId="6DCA08FB" w14:textId="77777777" w:rsidTr="00794709">
        <w:trPr>
          <w:trHeight w:val="113"/>
        </w:trPr>
        <w:tc>
          <w:tcPr>
            <w:tcW w:w="5000" w:type="pct"/>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070BE12C" w14:textId="769AA399" w:rsidR="004B73E8" w:rsidRPr="003E76E7" w:rsidRDefault="00AF53FA" w:rsidP="00C4292D">
            <w:pPr>
              <w:spacing w:before="60" w:after="60"/>
              <w:rPr>
                <w:szCs w:val="20"/>
                <w:lang w:eastAsia="en-US"/>
              </w:rPr>
            </w:pPr>
            <w:r w:rsidRPr="003E76E7">
              <w:rPr>
                <w:szCs w:val="20"/>
                <w:lang w:eastAsia="en-US"/>
              </w:rPr>
              <w:t xml:space="preserve">Outcome 1 - </w:t>
            </w:r>
            <w:r w:rsidR="004B73E8" w:rsidRPr="003E76E7">
              <w:rPr>
                <w:szCs w:val="20"/>
                <w:lang w:eastAsia="en-US"/>
              </w:rPr>
              <w:t>Advancement of Australia's national interests through increased government awareness of international developments affecting Australia and integration, coordination and evaluation of Australia's national intelligence capabilities.</w:t>
            </w:r>
          </w:p>
        </w:tc>
      </w:tr>
      <w:tr w:rsidR="004B73E8" w:rsidRPr="003E76E7" w14:paraId="53AB34D5" w14:textId="77777777" w:rsidTr="00794709">
        <w:trPr>
          <w:trHeight w:val="113"/>
        </w:trPr>
        <w:tc>
          <w:tcPr>
            <w:tcW w:w="5000" w:type="pct"/>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7AC787A1" w14:textId="77777777" w:rsidR="004B73E8" w:rsidRPr="003E76E7" w:rsidRDefault="004B73E8" w:rsidP="00C4292D">
            <w:pPr>
              <w:spacing w:before="60" w:after="60"/>
              <w:rPr>
                <w:b/>
                <w:szCs w:val="20"/>
                <w:lang w:eastAsia="en-US"/>
              </w:rPr>
            </w:pPr>
            <w:r w:rsidRPr="003E76E7">
              <w:rPr>
                <w:b/>
                <w:szCs w:val="20"/>
                <w:lang w:eastAsia="en-US"/>
              </w:rPr>
              <w:t xml:space="preserve">Contribution to </w:t>
            </w:r>
            <w:r w:rsidRPr="003E76E7">
              <w:rPr>
                <w:b/>
                <w:szCs w:val="20"/>
                <w:lang w:val="en-AU"/>
              </w:rPr>
              <w:t>Outcome</w:t>
            </w:r>
            <w:r w:rsidRPr="003E76E7">
              <w:rPr>
                <w:b/>
                <w:szCs w:val="20"/>
                <w:lang w:eastAsia="en-US"/>
              </w:rPr>
              <w:t xml:space="preserve"> 1 by linked program</w:t>
            </w:r>
          </w:p>
        </w:tc>
      </w:tr>
      <w:tr w:rsidR="004B73E8" w:rsidRPr="003E76E7" w14:paraId="021BDE62" w14:textId="77777777" w:rsidTr="00794709">
        <w:trPr>
          <w:trHeight w:val="563"/>
        </w:trPr>
        <w:tc>
          <w:tcPr>
            <w:tcW w:w="5000" w:type="pct"/>
            <w:tcBorders>
              <w:top w:val="dott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16A744" w14:textId="77777777" w:rsidR="004B73E8" w:rsidRPr="003E76E7" w:rsidRDefault="004B73E8" w:rsidP="00C4292D">
            <w:pPr>
              <w:spacing w:before="60" w:after="60"/>
              <w:rPr>
                <w:szCs w:val="20"/>
                <w:lang w:eastAsia="en-US"/>
              </w:rPr>
            </w:pPr>
            <w:r w:rsidRPr="003E76E7">
              <w:rPr>
                <w:szCs w:val="20"/>
                <w:lang w:eastAsia="en-US"/>
              </w:rPr>
              <w:t>The Office of National Intelligence leads efforts to integrate and coordinate the activities of the national intelligence agencies to meet the operational requirements of the Australian Defence Force and the Department of Defence, as well as other priorities as set by Government.</w:t>
            </w:r>
          </w:p>
        </w:tc>
      </w:tr>
    </w:tbl>
    <w:p w14:paraId="208A029F" w14:textId="77777777" w:rsidR="002B42B9" w:rsidRPr="003E76E7" w:rsidRDefault="002B42B9" w:rsidP="00C4292D">
      <w:pPr>
        <w:pStyle w:val="BodyText"/>
      </w:pPr>
    </w:p>
    <w:p w14:paraId="022F00B0" w14:textId="138CEDC3" w:rsidR="004B73E8" w:rsidRPr="003E76E7" w:rsidRDefault="004B73E8" w:rsidP="00C4292D">
      <w:pPr>
        <w:pStyle w:val="Heading4level5"/>
        <w:spacing w:before="0" w:after="0"/>
        <w:rPr>
          <w:sz w:val="16"/>
          <w:szCs w:val="16"/>
        </w:rPr>
      </w:pPr>
      <w:r w:rsidRPr="003E76E7">
        <w:br w:type="page"/>
      </w:r>
    </w:p>
    <w:p w14:paraId="603A246C" w14:textId="77777777" w:rsidR="004B73E8" w:rsidRPr="003E76E7" w:rsidRDefault="004B73E8" w:rsidP="00C4292D">
      <w:pPr>
        <w:pStyle w:val="Heading4level5"/>
      </w:pPr>
      <w:r w:rsidRPr="003E76E7">
        <w:lastRenderedPageBreak/>
        <w:t>Budgeted Expenses for Outcome 1</w:t>
      </w:r>
    </w:p>
    <w:p w14:paraId="319434D2" w14:textId="77777777" w:rsidR="004B73E8" w:rsidRPr="003E76E7" w:rsidRDefault="004B73E8" w:rsidP="00C4292D">
      <w:pPr>
        <w:pStyle w:val="TableHeading"/>
        <w:numPr>
          <w:ilvl w:val="0"/>
          <w:numId w:val="62"/>
        </w:numPr>
        <w:spacing w:before="100"/>
        <w:ind w:left="0" w:firstLine="0"/>
        <w:outlineLvl w:val="4"/>
      </w:pPr>
      <w:r w:rsidRPr="003E76E7">
        <w:t>Budgeted Expenses for Outcome 1</w:t>
      </w:r>
    </w:p>
    <w:p w14:paraId="1DBB3C93" w14:textId="70552191" w:rsidR="004B73E8" w:rsidRPr="003E76E7" w:rsidRDefault="00BE06B6" w:rsidP="00C4292D">
      <w:pPr>
        <w:spacing w:after="0"/>
      </w:pPr>
      <w:r w:rsidRPr="003E76E7">
        <w:rPr>
          <w:noProof/>
          <w:lang w:val="en-AU"/>
        </w:rPr>
        <w:drawing>
          <wp:inline distT="0" distB="0" distL="0" distR="0" wp14:anchorId="7643D729" wp14:editId="3230BF4A">
            <wp:extent cx="5472430" cy="412987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472430" cy="4129875"/>
                    </a:xfrm>
                    <a:prstGeom prst="rect">
                      <a:avLst/>
                    </a:prstGeom>
                    <a:noFill/>
                    <a:ln>
                      <a:noFill/>
                    </a:ln>
                  </pic:spPr>
                </pic:pic>
              </a:graphicData>
            </a:graphic>
          </wp:inline>
        </w:drawing>
      </w:r>
    </w:p>
    <w:p w14:paraId="330F968A" w14:textId="77777777" w:rsidR="00573367" w:rsidRPr="003E76E7" w:rsidRDefault="00573367" w:rsidP="00C4292D">
      <w:pPr>
        <w:spacing w:before="0" w:after="0"/>
        <w:rPr>
          <w:rFonts w:ascii="Arial" w:hAnsi="Arial"/>
          <w:sz w:val="14"/>
          <w:szCs w:val="14"/>
        </w:rPr>
      </w:pPr>
    </w:p>
    <w:p w14:paraId="780EFC61" w14:textId="77777777" w:rsidR="00573367" w:rsidRPr="003E76E7" w:rsidRDefault="00573367" w:rsidP="00C4292D">
      <w:pPr>
        <w:spacing w:before="0" w:after="0"/>
        <w:rPr>
          <w:rFonts w:ascii="Arial" w:hAnsi="Arial"/>
          <w:b/>
          <w:sz w:val="14"/>
          <w:szCs w:val="14"/>
        </w:rPr>
      </w:pPr>
      <w:r w:rsidRPr="003E76E7">
        <w:rPr>
          <w:rFonts w:ascii="Arial" w:hAnsi="Arial"/>
          <w:b/>
          <w:sz w:val="14"/>
          <w:szCs w:val="14"/>
        </w:rPr>
        <w:t>Notes</w:t>
      </w:r>
    </w:p>
    <w:p w14:paraId="1FB2E3FE" w14:textId="4177B13D" w:rsidR="009825F0" w:rsidRPr="003E76E7" w:rsidRDefault="00573367" w:rsidP="00C4292D">
      <w:pPr>
        <w:spacing w:before="0" w:after="0"/>
        <w:ind w:left="284" w:hanging="284"/>
        <w:rPr>
          <w:rFonts w:ascii="Arial" w:hAnsi="Arial"/>
          <w:sz w:val="14"/>
          <w:szCs w:val="14"/>
        </w:rPr>
      </w:pPr>
      <w:r w:rsidRPr="003E76E7">
        <w:rPr>
          <w:rFonts w:ascii="Arial" w:hAnsi="Arial"/>
          <w:sz w:val="14"/>
          <w:szCs w:val="14"/>
        </w:rPr>
        <w:t>a.</w:t>
      </w:r>
      <w:r w:rsidRPr="003E76E7">
        <w:rPr>
          <w:rFonts w:ascii="Arial" w:hAnsi="Arial"/>
          <w:sz w:val="14"/>
          <w:szCs w:val="14"/>
        </w:rPr>
        <w:tab/>
      </w:r>
      <w:r w:rsidR="009825F0" w:rsidRPr="003E76E7">
        <w:rPr>
          <w:rFonts w:ascii="Arial" w:hAnsi="Arial"/>
          <w:sz w:val="14"/>
          <w:szCs w:val="14"/>
        </w:rPr>
        <w:t>Section 74 external revenues contribution to expenditure.</w:t>
      </w:r>
      <w:r w:rsidR="009825F0" w:rsidRPr="003E76E7">
        <w:rPr>
          <w:rFonts w:ascii="Arial" w:hAnsi="Arial"/>
          <w:sz w:val="14"/>
          <w:szCs w:val="14"/>
        </w:rPr>
        <w:tab/>
      </w:r>
      <w:r w:rsidR="009825F0" w:rsidRPr="003E76E7">
        <w:rPr>
          <w:rFonts w:ascii="Arial" w:hAnsi="Arial"/>
          <w:sz w:val="14"/>
          <w:szCs w:val="14"/>
        </w:rPr>
        <w:tab/>
      </w:r>
      <w:r w:rsidR="009825F0" w:rsidRPr="003E76E7">
        <w:rPr>
          <w:rFonts w:ascii="Arial" w:hAnsi="Arial"/>
          <w:sz w:val="14"/>
          <w:szCs w:val="14"/>
        </w:rPr>
        <w:tab/>
      </w:r>
      <w:r w:rsidR="009825F0" w:rsidRPr="003E76E7">
        <w:rPr>
          <w:rFonts w:ascii="Arial" w:hAnsi="Arial"/>
          <w:sz w:val="14"/>
          <w:szCs w:val="14"/>
        </w:rPr>
        <w:tab/>
      </w:r>
      <w:r w:rsidR="009825F0" w:rsidRPr="003E76E7">
        <w:rPr>
          <w:rFonts w:ascii="Arial" w:hAnsi="Arial"/>
          <w:sz w:val="14"/>
          <w:szCs w:val="14"/>
        </w:rPr>
        <w:tab/>
      </w:r>
    </w:p>
    <w:p w14:paraId="2CE15799" w14:textId="5140B56F" w:rsidR="009825F0" w:rsidRPr="003E76E7" w:rsidRDefault="009825F0" w:rsidP="00C4292D">
      <w:pPr>
        <w:spacing w:before="0" w:after="0"/>
        <w:ind w:left="284" w:hanging="284"/>
        <w:rPr>
          <w:rFonts w:ascii="Arial" w:hAnsi="Arial"/>
          <w:sz w:val="14"/>
          <w:szCs w:val="14"/>
        </w:rPr>
      </w:pPr>
      <w:r w:rsidRPr="003E76E7">
        <w:rPr>
          <w:rFonts w:ascii="Arial" w:hAnsi="Arial"/>
          <w:sz w:val="14"/>
          <w:szCs w:val="14"/>
        </w:rPr>
        <w:t>b.</w:t>
      </w:r>
      <w:r w:rsidRPr="003E76E7">
        <w:rPr>
          <w:rFonts w:ascii="Arial" w:hAnsi="Arial"/>
          <w:sz w:val="14"/>
          <w:szCs w:val="14"/>
        </w:rPr>
        <w:tab/>
        <w:t xml:space="preserve">Expenses not requiring appropriation include depreciation, write down and impairment of assets, other resources received </w:t>
      </w:r>
      <w:r w:rsidR="00402108" w:rsidRPr="003E76E7">
        <w:rPr>
          <w:rFonts w:ascii="Arial" w:hAnsi="Arial"/>
          <w:sz w:val="14"/>
          <w:szCs w:val="14"/>
        </w:rPr>
        <w:br/>
      </w:r>
      <w:r w:rsidRPr="003E76E7">
        <w:rPr>
          <w:rFonts w:ascii="Arial" w:hAnsi="Arial"/>
          <w:sz w:val="14"/>
          <w:szCs w:val="14"/>
        </w:rPr>
        <w:t>free of charge, and auditor fees.</w:t>
      </w:r>
      <w:r w:rsidRPr="003E76E7">
        <w:rPr>
          <w:rFonts w:ascii="Arial" w:hAnsi="Arial"/>
          <w:sz w:val="14"/>
          <w:szCs w:val="14"/>
        </w:rPr>
        <w:tab/>
      </w:r>
      <w:r w:rsidRPr="003E76E7">
        <w:rPr>
          <w:rFonts w:ascii="Arial" w:hAnsi="Arial"/>
          <w:sz w:val="14"/>
          <w:szCs w:val="14"/>
        </w:rPr>
        <w:tab/>
      </w:r>
      <w:r w:rsidRPr="003E76E7">
        <w:rPr>
          <w:rFonts w:ascii="Arial" w:hAnsi="Arial"/>
          <w:sz w:val="14"/>
          <w:szCs w:val="14"/>
        </w:rPr>
        <w:tab/>
      </w:r>
      <w:r w:rsidRPr="003E76E7">
        <w:rPr>
          <w:rFonts w:ascii="Arial" w:hAnsi="Arial"/>
          <w:sz w:val="14"/>
          <w:szCs w:val="14"/>
        </w:rPr>
        <w:tab/>
      </w:r>
      <w:r w:rsidRPr="003E76E7">
        <w:rPr>
          <w:rFonts w:ascii="Arial" w:hAnsi="Arial"/>
          <w:sz w:val="14"/>
          <w:szCs w:val="14"/>
        </w:rPr>
        <w:tab/>
      </w:r>
    </w:p>
    <w:p w14:paraId="71F503AE" w14:textId="315F5968" w:rsidR="00194C8A" w:rsidRPr="003E76E7" w:rsidRDefault="009825F0" w:rsidP="00C4292D">
      <w:pPr>
        <w:spacing w:before="0" w:after="0"/>
        <w:ind w:left="284" w:hanging="284"/>
        <w:rPr>
          <w:rFonts w:ascii="Arial" w:hAnsi="Arial"/>
          <w:sz w:val="14"/>
          <w:szCs w:val="14"/>
        </w:rPr>
      </w:pPr>
      <w:r w:rsidRPr="003E76E7">
        <w:rPr>
          <w:rFonts w:ascii="Arial" w:hAnsi="Arial"/>
          <w:sz w:val="14"/>
          <w:szCs w:val="14"/>
        </w:rPr>
        <w:t>c.</w:t>
      </w:r>
      <w:r w:rsidRPr="003E76E7">
        <w:rPr>
          <w:rFonts w:ascii="Arial" w:hAnsi="Arial"/>
          <w:sz w:val="14"/>
          <w:szCs w:val="14"/>
        </w:rPr>
        <w:tab/>
      </w:r>
      <w:r w:rsidR="00A37A36" w:rsidRPr="003E76E7">
        <w:rPr>
          <w:rFonts w:ascii="Arial" w:hAnsi="Arial"/>
          <w:sz w:val="14"/>
          <w:szCs w:val="14"/>
        </w:rPr>
        <w:t>Total program funded</w:t>
      </w:r>
      <w:r w:rsidRPr="003E76E7">
        <w:rPr>
          <w:rFonts w:ascii="Arial" w:hAnsi="Arial"/>
          <w:sz w:val="14"/>
          <w:szCs w:val="14"/>
        </w:rPr>
        <w:t xml:space="preserve"> expenditure includes operating expenses and</w:t>
      </w:r>
      <w:r w:rsidR="004853DD">
        <w:rPr>
          <w:rFonts w:ascii="Arial" w:hAnsi="Arial"/>
          <w:sz w:val="14"/>
          <w:szCs w:val="14"/>
        </w:rPr>
        <w:t xml:space="preserve"> capital expenditure funded by a</w:t>
      </w:r>
      <w:r w:rsidRPr="003E76E7">
        <w:rPr>
          <w:rFonts w:ascii="Arial" w:hAnsi="Arial"/>
          <w:sz w:val="14"/>
          <w:szCs w:val="14"/>
        </w:rPr>
        <w:t xml:space="preserve">ppropriation and </w:t>
      </w:r>
      <w:r w:rsidR="00402108" w:rsidRPr="003E76E7">
        <w:rPr>
          <w:rFonts w:ascii="Arial" w:hAnsi="Arial"/>
          <w:sz w:val="14"/>
          <w:szCs w:val="14"/>
        </w:rPr>
        <w:br/>
      </w:r>
      <w:r w:rsidRPr="003E76E7">
        <w:rPr>
          <w:rFonts w:ascii="Arial" w:hAnsi="Arial"/>
          <w:sz w:val="14"/>
          <w:szCs w:val="14"/>
        </w:rPr>
        <w:t>own source revenue. This excludes expenses not requiring appropriation.</w:t>
      </w:r>
      <w:r w:rsidRPr="003E76E7">
        <w:rPr>
          <w:rFonts w:ascii="Arial" w:hAnsi="Arial"/>
          <w:sz w:val="14"/>
          <w:szCs w:val="14"/>
        </w:rPr>
        <w:tab/>
      </w:r>
      <w:r w:rsidRPr="003E76E7">
        <w:rPr>
          <w:rFonts w:ascii="Arial" w:hAnsi="Arial"/>
          <w:sz w:val="14"/>
          <w:szCs w:val="14"/>
        </w:rPr>
        <w:tab/>
      </w:r>
      <w:r w:rsidRPr="003E76E7">
        <w:rPr>
          <w:rFonts w:ascii="Arial" w:hAnsi="Arial"/>
          <w:sz w:val="14"/>
          <w:szCs w:val="14"/>
        </w:rPr>
        <w:tab/>
      </w:r>
      <w:r w:rsidRPr="003E76E7">
        <w:rPr>
          <w:rFonts w:ascii="Arial" w:hAnsi="Arial"/>
          <w:sz w:val="14"/>
          <w:szCs w:val="14"/>
        </w:rPr>
        <w:tab/>
      </w:r>
      <w:r w:rsidRPr="003E76E7">
        <w:rPr>
          <w:rFonts w:ascii="Arial" w:hAnsi="Arial"/>
          <w:sz w:val="14"/>
          <w:szCs w:val="14"/>
        </w:rPr>
        <w:tab/>
      </w:r>
    </w:p>
    <w:p w14:paraId="5F9B2085" w14:textId="77777777" w:rsidR="00573367" w:rsidRPr="003E76E7" w:rsidRDefault="00573367" w:rsidP="00C4292D">
      <w:pPr>
        <w:spacing w:before="0" w:after="0"/>
        <w:ind w:left="284" w:hanging="284"/>
        <w:rPr>
          <w:rFonts w:ascii="Arial" w:hAnsi="Arial"/>
          <w:sz w:val="14"/>
          <w:szCs w:val="14"/>
        </w:rPr>
      </w:pPr>
    </w:p>
    <w:p w14:paraId="5D3B8753" w14:textId="77777777" w:rsidR="00573367" w:rsidRPr="003E76E7" w:rsidRDefault="00573367" w:rsidP="00C4292D">
      <w:pPr>
        <w:spacing w:before="0" w:after="0"/>
        <w:ind w:left="284" w:hanging="284"/>
        <w:rPr>
          <w:rFonts w:ascii="Arial" w:hAnsi="Arial"/>
          <w:sz w:val="14"/>
          <w:szCs w:val="14"/>
        </w:rPr>
      </w:pPr>
    </w:p>
    <w:p w14:paraId="4FC36267" w14:textId="77777777" w:rsidR="004B73E8" w:rsidRPr="003E76E7" w:rsidRDefault="004B73E8" w:rsidP="00C4292D">
      <w:pPr>
        <w:pStyle w:val="TableHeading"/>
        <w:numPr>
          <w:ilvl w:val="0"/>
          <w:numId w:val="62"/>
        </w:numPr>
        <w:spacing w:before="100"/>
        <w:ind w:left="0" w:firstLine="0"/>
        <w:outlineLvl w:val="4"/>
      </w:pPr>
      <w:r w:rsidRPr="003E76E7">
        <w:rPr>
          <w:lang w:val="en-AU"/>
        </w:rPr>
        <w:br w:type="page"/>
      </w:r>
      <w:r w:rsidRPr="003E76E7">
        <w:lastRenderedPageBreak/>
        <w:t>Performance Measures for Outcome 1</w:t>
      </w:r>
    </w:p>
    <w:p w14:paraId="15A2EECD" w14:textId="290818DD" w:rsidR="004B73E8" w:rsidRPr="003E76E7" w:rsidRDefault="004B73E8" w:rsidP="00C4292D">
      <w:pPr>
        <w:spacing w:before="0" w:after="140"/>
      </w:pPr>
      <w:r w:rsidRPr="003E76E7">
        <w:t>Table 4 details the performance</w:t>
      </w:r>
      <w:r w:rsidR="00D23F3B" w:rsidRPr="003E76E7">
        <w:t xml:space="preserve"> objectives and</w:t>
      </w:r>
      <w:r w:rsidRPr="003E76E7">
        <w:t xml:space="preserve"> measures for each program associated with Outcome 1. It also provides the related key activities as expressed in the current corporate plan where further detail is provided about the delivery of the activities related to the program, the context in which these activities are delivered and how the performance of these activities will be measured.</w:t>
      </w:r>
      <w:r w:rsidR="00A92402" w:rsidRPr="003E76E7">
        <w:t xml:space="preserve"> Where relevant, details of </w:t>
      </w:r>
      <w:r w:rsidR="00E42592" w:rsidRPr="003E76E7">
        <w:t>2026</w:t>
      </w:r>
      <w:r w:rsidRPr="003E76E7">
        <w:t>-2</w:t>
      </w:r>
      <w:r w:rsidR="00E42592" w:rsidRPr="003E76E7">
        <w:t>7</w:t>
      </w:r>
      <w:r w:rsidRPr="003E76E7">
        <w:t xml:space="preserve"> Budget Measures that have created new programs or materially changed existing programs are provided.</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207"/>
        <w:gridCol w:w="3653"/>
      </w:tblGrid>
      <w:tr w:rsidR="004B73E8" w:rsidRPr="003E76E7" w14:paraId="431A68DB" w14:textId="77777777" w:rsidTr="000E1A17">
        <w:trPr>
          <w:trHeight w:val="569"/>
        </w:trPr>
        <w:tc>
          <w:tcPr>
            <w:tcW w:w="8608" w:type="dxa"/>
            <w:gridSpan w:val="3"/>
            <w:shd w:val="clear" w:color="auto" w:fill="CCCCCC"/>
            <w:vAlign w:val="center"/>
          </w:tcPr>
          <w:p w14:paraId="26AFD8BC" w14:textId="4249E50D" w:rsidR="004B73E8" w:rsidRPr="003E76E7" w:rsidRDefault="004B73E8" w:rsidP="00C4292D">
            <w:pPr>
              <w:spacing w:before="60" w:after="60"/>
              <w:rPr>
                <w:rFonts w:ascii="Arial" w:hAnsi="Arial"/>
                <w:b/>
                <w:sz w:val="16"/>
                <w:szCs w:val="16"/>
              </w:rPr>
            </w:pPr>
            <w:r w:rsidRPr="003E76E7">
              <w:rPr>
                <w:rFonts w:ascii="Arial" w:hAnsi="Arial"/>
                <w:b/>
                <w:sz w:val="16"/>
                <w:szCs w:val="16"/>
              </w:rPr>
              <w:t xml:space="preserve">Outcome 1 </w:t>
            </w:r>
            <w:r w:rsidR="00722810" w:rsidRPr="003E76E7">
              <w:rPr>
                <w:rFonts w:ascii="Arial" w:hAnsi="Arial"/>
                <w:b/>
                <w:sz w:val="16"/>
                <w:szCs w:val="16"/>
              </w:rPr>
              <w:t>-</w:t>
            </w:r>
            <w:r w:rsidRPr="003E76E7">
              <w:rPr>
                <w:rFonts w:ascii="Arial" w:hAnsi="Arial"/>
                <w:b/>
                <w:sz w:val="16"/>
                <w:szCs w:val="16"/>
              </w:rPr>
              <w:t xml:space="preserve"> Defend Australia from global threats and advance our national interests through the provision of foreign signals intelligence, cyber security and offensive cyber operations, as directed by Government.</w:t>
            </w:r>
          </w:p>
        </w:tc>
      </w:tr>
      <w:tr w:rsidR="004B73E8" w:rsidRPr="003E76E7" w14:paraId="4A6D10B3" w14:textId="77777777" w:rsidTr="000E1A17">
        <w:trPr>
          <w:trHeight w:val="522"/>
        </w:trPr>
        <w:tc>
          <w:tcPr>
            <w:tcW w:w="8608" w:type="dxa"/>
            <w:gridSpan w:val="3"/>
            <w:shd w:val="clear" w:color="auto" w:fill="E6E6E6"/>
            <w:vAlign w:val="center"/>
          </w:tcPr>
          <w:p w14:paraId="67357B1D" w14:textId="68F63B4F" w:rsidR="004B73E8" w:rsidRPr="003E76E7" w:rsidRDefault="004B73E8" w:rsidP="00C4292D">
            <w:pPr>
              <w:tabs>
                <w:tab w:val="left" w:pos="709"/>
              </w:tabs>
              <w:spacing w:before="60" w:after="0"/>
              <w:rPr>
                <w:rFonts w:ascii="Arial" w:hAnsi="Arial"/>
                <w:sz w:val="16"/>
                <w:szCs w:val="16"/>
              </w:rPr>
            </w:pPr>
            <w:r w:rsidRPr="003E76E7">
              <w:rPr>
                <w:rFonts w:ascii="Arial" w:hAnsi="Arial"/>
                <w:b/>
                <w:sz w:val="16"/>
                <w:szCs w:val="16"/>
              </w:rPr>
              <w:t>Program 1.1</w:t>
            </w:r>
            <w:r w:rsidR="00DE0E57" w:rsidRPr="003E76E7">
              <w:rPr>
                <w:rFonts w:ascii="Arial" w:hAnsi="Arial"/>
                <w:sz w:val="16"/>
                <w:szCs w:val="16"/>
              </w:rPr>
              <w:t xml:space="preserve"> </w:t>
            </w:r>
            <w:r w:rsidRPr="003E76E7">
              <w:rPr>
                <w:rFonts w:ascii="Arial" w:hAnsi="Arial"/>
                <w:b/>
                <w:sz w:val="16"/>
                <w:szCs w:val="16"/>
              </w:rPr>
              <w:t>-</w:t>
            </w:r>
            <w:r w:rsidRPr="003E76E7">
              <w:rPr>
                <w:rFonts w:ascii="Arial" w:hAnsi="Arial"/>
                <w:sz w:val="16"/>
                <w:szCs w:val="16"/>
              </w:rPr>
              <w:t xml:space="preserve"> </w:t>
            </w:r>
            <w:r w:rsidRPr="003E76E7">
              <w:rPr>
                <w:rFonts w:ascii="Arial" w:eastAsia="Arial" w:hAnsi="Arial"/>
                <w:b/>
                <w:sz w:val="16"/>
                <w:szCs w:val="16"/>
              </w:rPr>
              <w:t>Foreign Signals Intelligence, Cyber Security and Offensive Cyber Operations</w:t>
            </w:r>
          </w:p>
          <w:p w14:paraId="09C0F469" w14:textId="77777777" w:rsidR="004B73E8" w:rsidRPr="003E76E7" w:rsidRDefault="004B73E8" w:rsidP="00C4292D">
            <w:pPr>
              <w:tabs>
                <w:tab w:val="left" w:pos="709"/>
              </w:tabs>
              <w:spacing w:before="60" w:after="60"/>
              <w:rPr>
                <w:rFonts w:ascii="Arial" w:hAnsi="Arial"/>
                <w:sz w:val="16"/>
                <w:szCs w:val="16"/>
              </w:rPr>
            </w:pPr>
            <w:r w:rsidRPr="003E76E7">
              <w:rPr>
                <w:rFonts w:ascii="Arial" w:hAnsi="Arial"/>
                <w:sz w:val="16"/>
                <w:szCs w:val="16"/>
              </w:rPr>
              <w:t>To defend Australia from global threats and advance our national interests through the provision of foreign signals intelligence, cyber security and offensive cyber operations, as directed by Government.</w:t>
            </w:r>
          </w:p>
        </w:tc>
      </w:tr>
      <w:tr w:rsidR="004B73E8" w:rsidRPr="003E76E7" w14:paraId="0C3DB1DB" w14:textId="77777777" w:rsidTr="000E1A17">
        <w:trPr>
          <w:trHeight w:val="694"/>
        </w:trPr>
        <w:tc>
          <w:tcPr>
            <w:tcW w:w="1748" w:type="dxa"/>
            <w:tcBorders>
              <w:bottom w:val="single" w:sz="4" w:space="0" w:color="auto"/>
            </w:tcBorders>
          </w:tcPr>
          <w:p w14:paraId="5526717A" w14:textId="77777777" w:rsidR="004B73E8" w:rsidRPr="003E76E7" w:rsidRDefault="004B73E8" w:rsidP="00C4292D">
            <w:pPr>
              <w:tabs>
                <w:tab w:val="left" w:pos="709"/>
              </w:tabs>
              <w:spacing w:before="60" w:after="60"/>
              <w:rPr>
                <w:rFonts w:ascii="Arial" w:hAnsi="Arial"/>
                <w:b/>
                <w:sz w:val="16"/>
                <w:szCs w:val="16"/>
              </w:rPr>
            </w:pPr>
            <w:r w:rsidRPr="003E76E7">
              <w:rPr>
                <w:rFonts w:ascii="Arial" w:hAnsi="Arial"/>
                <w:b/>
                <w:sz w:val="16"/>
                <w:szCs w:val="16"/>
              </w:rPr>
              <w:t>Key Activities</w:t>
            </w:r>
          </w:p>
        </w:tc>
        <w:tc>
          <w:tcPr>
            <w:tcW w:w="6860" w:type="dxa"/>
            <w:gridSpan w:val="2"/>
            <w:tcBorders>
              <w:bottom w:val="single" w:sz="4" w:space="0" w:color="auto"/>
            </w:tcBorders>
            <w:vAlign w:val="center"/>
          </w:tcPr>
          <w:p w14:paraId="3EDC35FA" w14:textId="77777777" w:rsidR="004B73E8" w:rsidRPr="003E76E7" w:rsidRDefault="004B73E8" w:rsidP="00C4292D">
            <w:pPr>
              <w:numPr>
                <w:ilvl w:val="0"/>
                <w:numId w:val="28"/>
              </w:numPr>
              <w:spacing w:before="60" w:after="60"/>
              <w:ind w:left="447"/>
              <w:contextualSpacing/>
              <w:rPr>
                <w:rFonts w:ascii="Arial" w:hAnsi="Arial"/>
                <w:sz w:val="16"/>
                <w:szCs w:val="15"/>
              </w:rPr>
            </w:pPr>
            <w:r w:rsidRPr="003E76E7">
              <w:rPr>
                <w:rFonts w:ascii="Arial" w:hAnsi="Arial"/>
                <w:sz w:val="16"/>
                <w:szCs w:val="15"/>
              </w:rPr>
              <w:t>Provide foreign signals intelligence.</w:t>
            </w:r>
          </w:p>
          <w:p w14:paraId="210F9DCD" w14:textId="62B27525" w:rsidR="004B73E8" w:rsidRPr="003E76E7" w:rsidRDefault="004B73E8" w:rsidP="00C4292D">
            <w:pPr>
              <w:numPr>
                <w:ilvl w:val="0"/>
                <w:numId w:val="28"/>
              </w:numPr>
              <w:spacing w:before="60" w:after="60"/>
              <w:ind w:left="434" w:hanging="347"/>
              <w:contextualSpacing/>
              <w:rPr>
                <w:rFonts w:ascii="Arial" w:hAnsi="Arial"/>
                <w:sz w:val="16"/>
                <w:szCs w:val="15"/>
              </w:rPr>
            </w:pPr>
            <w:r w:rsidRPr="003E76E7">
              <w:rPr>
                <w:rFonts w:ascii="Arial" w:hAnsi="Arial"/>
                <w:sz w:val="16"/>
                <w:szCs w:val="15"/>
              </w:rPr>
              <w:t>Provide cyber security services.</w:t>
            </w:r>
          </w:p>
          <w:p w14:paraId="6F257D1D" w14:textId="77777777" w:rsidR="004B73E8" w:rsidRPr="003E76E7" w:rsidRDefault="004B73E8" w:rsidP="00C4292D">
            <w:pPr>
              <w:numPr>
                <w:ilvl w:val="0"/>
                <w:numId w:val="28"/>
              </w:numPr>
              <w:spacing w:before="60" w:after="60"/>
              <w:ind w:left="447"/>
              <w:contextualSpacing/>
              <w:rPr>
                <w:rFonts w:ascii="Arial" w:hAnsi="Arial"/>
                <w:bCs/>
                <w:i/>
                <w:sz w:val="16"/>
                <w:szCs w:val="16"/>
              </w:rPr>
            </w:pPr>
            <w:r w:rsidRPr="003E76E7">
              <w:rPr>
                <w:rFonts w:ascii="Arial" w:hAnsi="Arial"/>
                <w:sz w:val="16"/>
                <w:szCs w:val="15"/>
              </w:rPr>
              <w:t>Conduct offensive cyber operations.</w:t>
            </w:r>
          </w:p>
        </w:tc>
      </w:tr>
      <w:tr w:rsidR="004B73E8" w:rsidRPr="003E76E7" w14:paraId="4BEC7B0C" w14:textId="77777777" w:rsidTr="000E1A17">
        <w:trPr>
          <w:trHeight w:val="100"/>
        </w:trPr>
        <w:tc>
          <w:tcPr>
            <w:tcW w:w="1748" w:type="dxa"/>
            <w:tcBorders>
              <w:top w:val="single" w:sz="4" w:space="0" w:color="auto"/>
              <w:left w:val="single" w:sz="4" w:space="0" w:color="auto"/>
              <w:bottom w:val="single" w:sz="4" w:space="0" w:color="auto"/>
              <w:right w:val="single" w:sz="4" w:space="0" w:color="auto"/>
            </w:tcBorders>
          </w:tcPr>
          <w:p w14:paraId="35DCDCD3" w14:textId="77777777" w:rsidR="004B73E8" w:rsidRPr="003E76E7" w:rsidRDefault="004B73E8" w:rsidP="00C4292D">
            <w:pPr>
              <w:tabs>
                <w:tab w:val="left" w:pos="709"/>
              </w:tabs>
              <w:spacing w:before="60" w:after="60"/>
              <w:rPr>
                <w:rFonts w:ascii="Arial" w:hAnsi="Arial"/>
                <w:sz w:val="16"/>
                <w:szCs w:val="16"/>
              </w:rPr>
            </w:pPr>
            <w:r w:rsidRPr="003E76E7">
              <w:rPr>
                <w:rFonts w:ascii="Arial" w:hAnsi="Arial"/>
                <w:b/>
                <w:sz w:val="16"/>
                <w:szCs w:val="16"/>
              </w:rPr>
              <w:t>Year</w:t>
            </w:r>
          </w:p>
        </w:tc>
        <w:tc>
          <w:tcPr>
            <w:tcW w:w="3207" w:type="dxa"/>
            <w:tcBorders>
              <w:top w:val="single" w:sz="4" w:space="0" w:color="auto"/>
              <w:left w:val="single" w:sz="4" w:space="0" w:color="auto"/>
              <w:bottom w:val="single" w:sz="4" w:space="0" w:color="auto"/>
              <w:right w:val="single" w:sz="4" w:space="0" w:color="auto"/>
            </w:tcBorders>
          </w:tcPr>
          <w:p w14:paraId="75106251" w14:textId="76E32211" w:rsidR="004B73E8" w:rsidRPr="003E76E7" w:rsidRDefault="004B73E8" w:rsidP="00C4292D">
            <w:pPr>
              <w:tabs>
                <w:tab w:val="left" w:pos="709"/>
              </w:tabs>
              <w:spacing w:before="60" w:after="60"/>
              <w:rPr>
                <w:rFonts w:ascii="Arial" w:hAnsi="Arial"/>
                <w:sz w:val="16"/>
                <w:szCs w:val="16"/>
              </w:rPr>
            </w:pPr>
            <w:r w:rsidRPr="003E76E7">
              <w:rPr>
                <w:rFonts w:ascii="Arial" w:hAnsi="Arial"/>
                <w:b/>
                <w:sz w:val="16"/>
                <w:szCs w:val="16"/>
              </w:rPr>
              <w:t xml:space="preserve">Performance </w:t>
            </w:r>
            <w:r w:rsidR="009B3FA5" w:rsidRPr="003E76E7">
              <w:rPr>
                <w:rFonts w:ascii="Arial" w:hAnsi="Arial"/>
                <w:b/>
                <w:sz w:val="16"/>
                <w:szCs w:val="16"/>
              </w:rPr>
              <w:t>Objectives</w:t>
            </w:r>
          </w:p>
        </w:tc>
        <w:tc>
          <w:tcPr>
            <w:tcW w:w="3653" w:type="dxa"/>
            <w:tcBorders>
              <w:top w:val="single" w:sz="4" w:space="0" w:color="auto"/>
              <w:left w:val="single" w:sz="4" w:space="0" w:color="auto"/>
              <w:bottom w:val="single" w:sz="4" w:space="0" w:color="auto"/>
              <w:right w:val="single" w:sz="4" w:space="0" w:color="auto"/>
            </w:tcBorders>
          </w:tcPr>
          <w:p w14:paraId="1098AB33" w14:textId="77777777" w:rsidR="004B73E8" w:rsidRPr="003E76E7" w:rsidRDefault="004B73E8" w:rsidP="00C4292D">
            <w:pPr>
              <w:tabs>
                <w:tab w:val="left" w:pos="709"/>
              </w:tabs>
              <w:spacing w:before="60" w:after="60"/>
              <w:rPr>
                <w:rFonts w:ascii="Arial" w:hAnsi="Arial"/>
                <w:sz w:val="16"/>
                <w:szCs w:val="16"/>
              </w:rPr>
            </w:pPr>
            <w:r w:rsidRPr="003E76E7">
              <w:rPr>
                <w:rFonts w:ascii="Arial" w:hAnsi="Arial"/>
                <w:b/>
                <w:sz w:val="16"/>
                <w:szCs w:val="16"/>
              </w:rPr>
              <w:t>Expected Performance Results</w:t>
            </w:r>
          </w:p>
        </w:tc>
      </w:tr>
      <w:tr w:rsidR="00A92402" w:rsidRPr="003E76E7" w14:paraId="4C80FFAF" w14:textId="77777777" w:rsidTr="000E1A17">
        <w:trPr>
          <w:trHeight w:val="576"/>
        </w:trPr>
        <w:tc>
          <w:tcPr>
            <w:tcW w:w="1748" w:type="dxa"/>
            <w:vMerge w:val="restart"/>
            <w:tcBorders>
              <w:top w:val="single" w:sz="4" w:space="0" w:color="auto"/>
              <w:right w:val="single" w:sz="4" w:space="0" w:color="auto"/>
            </w:tcBorders>
          </w:tcPr>
          <w:p w14:paraId="4A396C0D" w14:textId="77777777" w:rsidR="00A92402" w:rsidRPr="003E76E7" w:rsidRDefault="00A92402" w:rsidP="00C4292D">
            <w:pPr>
              <w:tabs>
                <w:tab w:val="left" w:pos="709"/>
              </w:tabs>
              <w:spacing w:before="0" w:after="0"/>
              <w:rPr>
                <w:rFonts w:ascii="Arial" w:hAnsi="Arial"/>
                <w:sz w:val="16"/>
                <w:szCs w:val="16"/>
              </w:rPr>
            </w:pPr>
            <w:r w:rsidRPr="003E76E7">
              <w:rPr>
                <w:rFonts w:ascii="Arial" w:hAnsi="Arial"/>
                <w:sz w:val="16"/>
                <w:szCs w:val="16"/>
              </w:rPr>
              <w:t>Current Year</w:t>
            </w:r>
          </w:p>
          <w:p w14:paraId="17F30FC2" w14:textId="615DAA35" w:rsidR="00A92402" w:rsidRPr="003E76E7" w:rsidRDefault="00A92402" w:rsidP="00C4292D">
            <w:pPr>
              <w:tabs>
                <w:tab w:val="left" w:pos="709"/>
              </w:tabs>
              <w:spacing w:before="0" w:after="0"/>
              <w:rPr>
                <w:rFonts w:ascii="Arial" w:hAnsi="Arial"/>
                <w:sz w:val="16"/>
                <w:szCs w:val="16"/>
              </w:rPr>
            </w:pPr>
            <w:r w:rsidRPr="003E76E7">
              <w:rPr>
                <w:rFonts w:ascii="Arial" w:hAnsi="Arial"/>
                <w:sz w:val="16"/>
                <w:szCs w:val="16"/>
              </w:rPr>
              <w:t>202</w:t>
            </w:r>
            <w:r w:rsidR="00E42592" w:rsidRPr="003E76E7">
              <w:rPr>
                <w:rFonts w:ascii="Arial" w:hAnsi="Arial"/>
                <w:sz w:val="16"/>
                <w:szCs w:val="16"/>
              </w:rPr>
              <w:t>5</w:t>
            </w:r>
            <w:r w:rsidRPr="003E76E7">
              <w:rPr>
                <w:rFonts w:ascii="Arial" w:hAnsi="Arial"/>
                <w:sz w:val="16"/>
                <w:szCs w:val="16"/>
              </w:rPr>
              <w:noBreakHyphen/>
              <w:t>2</w:t>
            </w:r>
            <w:r w:rsidR="00E42592" w:rsidRPr="003E76E7">
              <w:rPr>
                <w:rFonts w:ascii="Arial" w:hAnsi="Arial"/>
                <w:sz w:val="16"/>
                <w:szCs w:val="16"/>
              </w:rPr>
              <w:t>6</w:t>
            </w:r>
          </w:p>
        </w:tc>
        <w:tc>
          <w:tcPr>
            <w:tcW w:w="3207" w:type="dxa"/>
            <w:vMerge w:val="restart"/>
            <w:tcBorders>
              <w:top w:val="single" w:sz="4" w:space="0" w:color="auto"/>
              <w:left w:val="single" w:sz="4" w:space="0" w:color="auto"/>
              <w:right w:val="single" w:sz="4" w:space="0" w:color="auto"/>
            </w:tcBorders>
          </w:tcPr>
          <w:p w14:paraId="62B04191" w14:textId="7A281CB8" w:rsidR="00A92402" w:rsidRPr="003E76E7" w:rsidRDefault="00A92402" w:rsidP="00C4292D">
            <w:pPr>
              <w:tabs>
                <w:tab w:val="left" w:pos="709"/>
              </w:tabs>
              <w:spacing w:before="60" w:after="60"/>
              <w:rPr>
                <w:rFonts w:ascii="Arial" w:hAnsi="Arial"/>
                <w:sz w:val="16"/>
                <w:szCs w:val="16"/>
              </w:rPr>
            </w:pPr>
            <w:r w:rsidRPr="003E76E7">
              <w:rPr>
                <w:rFonts w:ascii="Arial" w:hAnsi="Arial"/>
                <w:sz w:val="16"/>
                <w:szCs w:val="16"/>
              </w:rPr>
              <w:t>ASD’s foreign signals intelligence</w:t>
            </w:r>
            <w:r w:rsidR="00E42592" w:rsidRPr="003E76E7">
              <w:rPr>
                <w:rFonts w:ascii="Arial" w:hAnsi="Arial"/>
                <w:sz w:val="16"/>
                <w:szCs w:val="16"/>
              </w:rPr>
              <w:t xml:space="preserve"> products and enabling capabilities</w:t>
            </w:r>
            <w:r w:rsidRPr="003E76E7">
              <w:rPr>
                <w:rFonts w:ascii="Arial" w:hAnsi="Arial"/>
                <w:sz w:val="16"/>
                <w:szCs w:val="16"/>
              </w:rPr>
              <w:t xml:space="preserve"> meet Government</w:t>
            </w:r>
            <w:r w:rsidR="00EB25F9" w:rsidRPr="003E76E7">
              <w:rPr>
                <w:rFonts w:ascii="Arial" w:hAnsi="Arial"/>
                <w:sz w:val="16"/>
                <w:szCs w:val="16"/>
              </w:rPr>
              <w:t>’s</w:t>
            </w:r>
            <w:r w:rsidRPr="003E76E7">
              <w:rPr>
                <w:rFonts w:ascii="Arial" w:hAnsi="Arial"/>
                <w:sz w:val="16"/>
                <w:szCs w:val="16"/>
              </w:rPr>
              <w:t xml:space="preserve"> expectations to deliver strategic advantage and </w:t>
            </w:r>
            <w:r w:rsidR="00E42592" w:rsidRPr="003E76E7">
              <w:rPr>
                <w:rFonts w:ascii="Arial" w:hAnsi="Arial"/>
                <w:sz w:val="16"/>
                <w:szCs w:val="16"/>
              </w:rPr>
              <w:t xml:space="preserve">support </w:t>
            </w:r>
            <w:r w:rsidRPr="003E76E7">
              <w:rPr>
                <w:rFonts w:ascii="Arial" w:hAnsi="Arial"/>
                <w:sz w:val="16"/>
                <w:szCs w:val="16"/>
              </w:rPr>
              <w:t>National Intelligence Community operations.</w:t>
            </w:r>
          </w:p>
        </w:tc>
        <w:tc>
          <w:tcPr>
            <w:tcW w:w="3653" w:type="dxa"/>
            <w:tcBorders>
              <w:top w:val="single" w:sz="4" w:space="0" w:color="auto"/>
              <w:left w:val="single" w:sz="4" w:space="0" w:color="auto"/>
              <w:bottom w:val="single" w:sz="4" w:space="0" w:color="auto"/>
            </w:tcBorders>
          </w:tcPr>
          <w:p w14:paraId="0E33011E" w14:textId="77777777" w:rsidR="00A92402" w:rsidRPr="003E76E7" w:rsidRDefault="00A92402" w:rsidP="00C4292D">
            <w:pPr>
              <w:tabs>
                <w:tab w:val="left" w:pos="709"/>
              </w:tabs>
              <w:spacing w:before="0" w:after="0"/>
              <w:rPr>
                <w:rFonts w:ascii="Arial" w:eastAsia="Arial" w:hAnsi="Arial"/>
                <w:sz w:val="16"/>
                <w:szCs w:val="16"/>
              </w:rPr>
            </w:pPr>
            <w:r w:rsidRPr="003E76E7">
              <w:rPr>
                <w:rFonts w:ascii="Arial" w:eastAsia="Arial" w:hAnsi="Arial"/>
                <w:sz w:val="16"/>
                <w:szCs w:val="16"/>
              </w:rPr>
              <w:t>Government expectations to deliver strategic advantage are met.</w:t>
            </w:r>
          </w:p>
          <w:p w14:paraId="37EAF9E1" w14:textId="55BE99CA" w:rsidR="00A92402" w:rsidRPr="003E76E7" w:rsidRDefault="00A92402" w:rsidP="00C4292D">
            <w:pPr>
              <w:tabs>
                <w:tab w:val="left" w:pos="709"/>
              </w:tabs>
              <w:spacing w:before="60" w:after="60"/>
              <w:jc w:val="right"/>
              <w:rPr>
                <w:rFonts w:ascii="Arial" w:hAnsi="Arial"/>
                <w:sz w:val="16"/>
                <w:szCs w:val="16"/>
              </w:rPr>
            </w:pPr>
            <w:r w:rsidRPr="003E76E7">
              <w:rPr>
                <w:rFonts w:ascii="Arial" w:eastAsia="Arial" w:hAnsi="Arial"/>
                <w:i/>
                <w:sz w:val="16"/>
                <w:szCs w:val="16"/>
              </w:rPr>
              <w:t>Expected to be met.</w:t>
            </w:r>
          </w:p>
        </w:tc>
      </w:tr>
      <w:tr w:rsidR="00A92402" w:rsidRPr="003E76E7" w14:paraId="797BB0A0" w14:textId="77777777" w:rsidTr="00A92402">
        <w:trPr>
          <w:trHeight w:val="421"/>
        </w:trPr>
        <w:tc>
          <w:tcPr>
            <w:tcW w:w="1748" w:type="dxa"/>
            <w:vMerge/>
            <w:tcBorders>
              <w:right w:val="single" w:sz="4" w:space="0" w:color="auto"/>
            </w:tcBorders>
          </w:tcPr>
          <w:p w14:paraId="0BDDB957" w14:textId="77777777" w:rsidR="00A92402" w:rsidRPr="003E76E7" w:rsidRDefault="00A92402" w:rsidP="00C4292D">
            <w:pPr>
              <w:tabs>
                <w:tab w:val="left" w:pos="709"/>
              </w:tabs>
              <w:spacing w:before="60" w:after="60"/>
              <w:rPr>
                <w:rFonts w:ascii="Arial" w:hAnsi="Arial"/>
                <w:sz w:val="16"/>
                <w:szCs w:val="16"/>
              </w:rPr>
            </w:pPr>
          </w:p>
        </w:tc>
        <w:tc>
          <w:tcPr>
            <w:tcW w:w="3207" w:type="dxa"/>
            <w:vMerge/>
            <w:tcBorders>
              <w:left w:val="single" w:sz="4" w:space="0" w:color="auto"/>
              <w:bottom w:val="single" w:sz="4" w:space="0" w:color="auto"/>
              <w:right w:val="single" w:sz="4" w:space="0" w:color="auto"/>
            </w:tcBorders>
          </w:tcPr>
          <w:p w14:paraId="541BED23" w14:textId="77777777" w:rsidR="00A92402" w:rsidRPr="003E76E7" w:rsidRDefault="00A92402" w:rsidP="00C4292D">
            <w:pPr>
              <w:tabs>
                <w:tab w:val="left" w:pos="709"/>
              </w:tabs>
              <w:spacing w:before="60" w:after="60"/>
              <w:rPr>
                <w:rFonts w:ascii="Arial" w:hAnsi="Arial"/>
                <w:sz w:val="16"/>
                <w:szCs w:val="16"/>
              </w:rPr>
            </w:pPr>
          </w:p>
        </w:tc>
        <w:tc>
          <w:tcPr>
            <w:tcW w:w="3653" w:type="dxa"/>
            <w:tcBorders>
              <w:top w:val="single" w:sz="4" w:space="0" w:color="auto"/>
              <w:left w:val="single" w:sz="4" w:space="0" w:color="auto"/>
              <w:bottom w:val="single" w:sz="4" w:space="0" w:color="auto"/>
            </w:tcBorders>
          </w:tcPr>
          <w:p w14:paraId="11287E0E" w14:textId="77777777" w:rsidR="00A92402" w:rsidRPr="003E76E7" w:rsidRDefault="00A92402" w:rsidP="00C4292D">
            <w:pPr>
              <w:tabs>
                <w:tab w:val="left" w:pos="709"/>
              </w:tabs>
              <w:spacing w:before="0" w:after="0"/>
              <w:rPr>
                <w:rFonts w:ascii="Arial" w:eastAsia="Arial" w:hAnsi="Arial"/>
                <w:sz w:val="16"/>
                <w:szCs w:val="16"/>
              </w:rPr>
            </w:pPr>
            <w:r w:rsidRPr="003E76E7">
              <w:rPr>
                <w:rFonts w:ascii="Arial" w:eastAsia="Arial" w:hAnsi="Arial"/>
                <w:sz w:val="16"/>
                <w:szCs w:val="16"/>
              </w:rPr>
              <w:t>National Intelligence Community operational requirements are met.</w:t>
            </w:r>
          </w:p>
          <w:p w14:paraId="1A02D395" w14:textId="597894A9" w:rsidR="00A92402" w:rsidRPr="003E76E7" w:rsidDel="006704D8" w:rsidRDefault="00A92402" w:rsidP="00C4292D">
            <w:pPr>
              <w:tabs>
                <w:tab w:val="left" w:pos="709"/>
              </w:tabs>
              <w:spacing w:before="60" w:after="60"/>
              <w:jc w:val="right"/>
              <w:rPr>
                <w:rFonts w:ascii="Arial" w:hAnsi="Arial"/>
                <w:sz w:val="16"/>
                <w:szCs w:val="16"/>
              </w:rPr>
            </w:pPr>
            <w:r w:rsidRPr="003E76E7">
              <w:rPr>
                <w:rFonts w:ascii="Arial" w:eastAsia="Arial" w:hAnsi="Arial"/>
                <w:i/>
                <w:sz w:val="16"/>
                <w:szCs w:val="16"/>
              </w:rPr>
              <w:t>Expected to be met.</w:t>
            </w:r>
          </w:p>
        </w:tc>
      </w:tr>
      <w:tr w:rsidR="00A92402" w:rsidRPr="003E76E7" w14:paraId="5785CD2D" w14:textId="77777777" w:rsidTr="00A92402">
        <w:trPr>
          <w:trHeight w:val="871"/>
        </w:trPr>
        <w:tc>
          <w:tcPr>
            <w:tcW w:w="1748" w:type="dxa"/>
            <w:vMerge/>
            <w:tcBorders>
              <w:right w:val="single" w:sz="4" w:space="0" w:color="auto"/>
            </w:tcBorders>
          </w:tcPr>
          <w:p w14:paraId="1933DE7E" w14:textId="77777777" w:rsidR="00A92402" w:rsidRPr="003E76E7" w:rsidRDefault="00A92402" w:rsidP="00C4292D">
            <w:pPr>
              <w:tabs>
                <w:tab w:val="left" w:pos="709"/>
              </w:tabs>
              <w:spacing w:before="60" w:after="60"/>
              <w:rPr>
                <w:rFonts w:ascii="Arial" w:hAnsi="Arial"/>
                <w:sz w:val="16"/>
                <w:szCs w:val="16"/>
              </w:rPr>
            </w:pPr>
          </w:p>
        </w:tc>
        <w:tc>
          <w:tcPr>
            <w:tcW w:w="3207" w:type="dxa"/>
            <w:tcBorders>
              <w:top w:val="single" w:sz="4" w:space="0" w:color="auto"/>
              <w:left w:val="single" w:sz="4" w:space="0" w:color="auto"/>
              <w:bottom w:val="single" w:sz="4" w:space="0" w:color="auto"/>
              <w:right w:val="single" w:sz="4" w:space="0" w:color="auto"/>
            </w:tcBorders>
          </w:tcPr>
          <w:p w14:paraId="75EB3EB1" w14:textId="30ABA650" w:rsidR="00A92402" w:rsidRPr="003E76E7" w:rsidRDefault="00A92402" w:rsidP="00C4292D">
            <w:pPr>
              <w:tabs>
                <w:tab w:val="left" w:pos="709"/>
              </w:tabs>
              <w:spacing w:before="60" w:after="60"/>
              <w:rPr>
                <w:rFonts w:ascii="Arial" w:hAnsi="Arial"/>
                <w:sz w:val="16"/>
                <w:szCs w:val="16"/>
              </w:rPr>
            </w:pPr>
            <w:r w:rsidRPr="003E76E7">
              <w:rPr>
                <w:rFonts w:ascii="Arial" w:hAnsi="Arial"/>
                <w:sz w:val="16"/>
                <w:szCs w:val="16"/>
              </w:rPr>
              <w:t>ASD's foreign signals intelligence products and technical expertise provide effective support for military operations and activities.</w:t>
            </w:r>
          </w:p>
        </w:tc>
        <w:tc>
          <w:tcPr>
            <w:tcW w:w="3653" w:type="dxa"/>
            <w:tcBorders>
              <w:top w:val="single" w:sz="4" w:space="0" w:color="auto"/>
              <w:left w:val="single" w:sz="4" w:space="0" w:color="auto"/>
              <w:bottom w:val="single" w:sz="4" w:space="0" w:color="auto"/>
            </w:tcBorders>
          </w:tcPr>
          <w:p w14:paraId="52D784E0" w14:textId="6FE2BA06" w:rsidR="00A92402" w:rsidRPr="003E76E7" w:rsidRDefault="00A92402" w:rsidP="00C4292D">
            <w:pPr>
              <w:tabs>
                <w:tab w:val="left" w:pos="709"/>
              </w:tabs>
              <w:spacing w:before="0" w:after="0"/>
              <w:rPr>
                <w:rFonts w:ascii="Arial" w:eastAsia="Arial" w:hAnsi="Arial"/>
                <w:sz w:val="16"/>
                <w:szCs w:val="16"/>
              </w:rPr>
            </w:pPr>
            <w:r w:rsidRPr="003E76E7">
              <w:rPr>
                <w:rFonts w:ascii="Arial" w:eastAsia="Arial" w:hAnsi="Arial"/>
                <w:sz w:val="16"/>
                <w:szCs w:val="16"/>
              </w:rPr>
              <w:t>ASD’s foreign signals intelligence</w:t>
            </w:r>
            <w:r w:rsidR="00E42592" w:rsidRPr="003E76E7">
              <w:rPr>
                <w:rFonts w:ascii="Arial" w:eastAsia="Arial" w:hAnsi="Arial"/>
                <w:sz w:val="16"/>
                <w:szCs w:val="16"/>
              </w:rPr>
              <w:t xml:space="preserve"> and enabling capabilities</w:t>
            </w:r>
            <w:r w:rsidRPr="003E76E7">
              <w:rPr>
                <w:rFonts w:ascii="Arial" w:eastAsia="Arial" w:hAnsi="Arial"/>
                <w:sz w:val="16"/>
                <w:szCs w:val="16"/>
              </w:rPr>
              <w:t xml:space="preserve"> support the ADF’s military operations and activities, technological advantage and capabilit</w:t>
            </w:r>
            <w:r w:rsidR="00E42592" w:rsidRPr="003E76E7">
              <w:rPr>
                <w:rFonts w:ascii="Arial" w:eastAsia="Arial" w:hAnsi="Arial"/>
                <w:sz w:val="16"/>
                <w:szCs w:val="16"/>
              </w:rPr>
              <w:t>ies</w:t>
            </w:r>
            <w:r w:rsidRPr="003E76E7">
              <w:rPr>
                <w:rFonts w:ascii="Arial" w:eastAsia="Arial" w:hAnsi="Arial"/>
                <w:sz w:val="16"/>
                <w:szCs w:val="16"/>
              </w:rPr>
              <w:t>.</w:t>
            </w:r>
          </w:p>
          <w:p w14:paraId="5BAB5918" w14:textId="31115E18" w:rsidR="00A92402" w:rsidRPr="003E76E7" w:rsidRDefault="00A92402" w:rsidP="00C4292D">
            <w:pPr>
              <w:tabs>
                <w:tab w:val="left" w:pos="709"/>
              </w:tabs>
              <w:spacing w:before="60" w:after="60"/>
              <w:jc w:val="right"/>
              <w:rPr>
                <w:rFonts w:ascii="Arial" w:hAnsi="Arial"/>
                <w:sz w:val="16"/>
                <w:szCs w:val="16"/>
              </w:rPr>
            </w:pPr>
            <w:r w:rsidRPr="003E76E7">
              <w:rPr>
                <w:rFonts w:ascii="Arial" w:eastAsia="Arial" w:hAnsi="Arial"/>
                <w:i/>
                <w:sz w:val="16"/>
                <w:szCs w:val="16"/>
              </w:rPr>
              <w:t>Expected to be met.</w:t>
            </w:r>
          </w:p>
        </w:tc>
      </w:tr>
      <w:tr w:rsidR="00A92402" w:rsidRPr="003E76E7" w14:paraId="4AEA5260" w14:textId="77777777" w:rsidTr="00A92402">
        <w:trPr>
          <w:trHeight w:val="319"/>
        </w:trPr>
        <w:tc>
          <w:tcPr>
            <w:tcW w:w="1748" w:type="dxa"/>
            <w:vMerge/>
            <w:tcBorders>
              <w:right w:val="single" w:sz="4" w:space="0" w:color="auto"/>
            </w:tcBorders>
          </w:tcPr>
          <w:p w14:paraId="431D20EC" w14:textId="77777777" w:rsidR="00A92402" w:rsidRPr="003E76E7" w:rsidRDefault="00A92402" w:rsidP="00C4292D">
            <w:pPr>
              <w:tabs>
                <w:tab w:val="left" w:pos="709"/>
              </w:tabs>
              <w:spacing w:before="60" w:after="60"/>
              <w:jc w:val="both"/>
              <w:rPr>
                <w:rFonts w:ascii="Arial" w:hAnsi="Arial"/>
                <w:sz w:val="16"/>
                <w:szCs w:val="16"/>
              </w:rPr>
            </w:pPr>
          </w:p>
        </w:tc>
        <w:tc>
          <w:tcPr>
            <w:tcW w:w="3207" w:type="dxa"/>
            <w:vMerge w:val="restart"/>
            <w:tcBorders>
              <w:top w:val="single" w:sz="4" w:space="0" w:color="auto"/>
              <w:left w:val="single" w:sz="4" w:space="0" w:color="auto"/>
              <w:right w:val="single" w:sz="4" w:space="0" w:color="auto"/>
            </w:tcBorders>
          </w:tcPr>
          <w:p w14:paraId="4F84D4F3" w14:textId="6AE55F43" w:rsidR="00A92402" w:rsidRPr="003E76E7" w:rsidRDefault="00A92402" w:rsidP="00C4292D">
            <w:pPr>
              <w:tabs>
                <w:tab w:val="left" w:pos="709"/>
              </w:tabs>
              <w:spacing w:before="60" w:after="60"/>
              <w:rPr>
                <w:rFonts w:ascii="Arial" w:hAnsi="Arial"/>
                <w:sz w:val="16"/>
                <w:szCs w:val="16"/>
              </w:rPr>
            </w:pPr>
            <w:r w:rsidRPr="003E76E7">
              <w:rPr>
                <w:rFonts w:ascii="Arial" w:hAnsi="Arial"/>
                <w:sz w:val="16"/>
                <w:szCs w:val="16"/>
              </w:rPr>
              <w:t>ASD provides high-quality, impactful cyber security services to Government, critical infrastructure and services, business, families and individuals.</w:t>
            </w:r>
          </w:p>
        </w:tc>
        <w:tc>
          <w:tcPr>
            <w:tcW w:w="3653" w:type="dxa"/>
            <w:tcBorders>
              <w:top w:val="single" w:sz="4" w:space="0" w:color="auto"/>
              <w:left w:val="single" w:sz="4" w:space="0" w:color="auto"/>
              <w:bottom w:val="single" w:sz="4" w:space="0" w:color="auto"/>
            </w:tcBorders>
          </w:tcPr>
          <w:p w14:paraId="5A1F2DFE" w14:textId="77777777" w:rsidR="00A92402" w:rsidRPr="003E76E7" w:rsidRDefault="00A92402" w:rsidP="00C4292D">
            <w:pPr>
              <w:tabs>
                <w:tab w:val="left" w:pos="709"/>
              </w:tabs>
              <w:spacing w:before="0" w:after="0"/>
              <w:rPr>
                <w:rFonts w:ascii="Arial" w:eastAsia="Arial" w:hAnsi="Arial"/>
                <w:sz w:val="16"/>
                <w:szCs w:val="16"/>
              </w:rPr>
            </w:pPr>
            <w:r w:rsidRPr="003E76E7">
              <w:rPr>
                <w:rFonts w:ascii="Arial" w:eastAsia="Arial" w:hAnsi="Arial"/>
                <w:sz w:val="16"/>
                <w:szCs w:val="16"/>
              </w:rPr>
              <w:t>ASD’s cyber security advice and assistance supports stakeholders to improve or maintain their cyber security posture.</w:t>
            </w:r>
          </w:p>
          <w:p w14:paraId="7A55DC1E" w14:textId="79345911" w:rsidR="00A92402" w:rsidRPr="003E76E7" w:rsidRDefault="00A92402" w:rsidP="00C4292D">
            <w:pPr>
              <w:tabs>
                <w:tab w:val="left" w:pos="709"/>
              </w:tabs>
              <w:spacing w:before="60" w:after="60"/>
              <w:jc w:val="right"/>
              <w:rPr>
                <w:rFonts w:ascii="Arial" w:hAnsi="Arial"/>
                <w:sz w:val="16"/>
                <w:szCs w:val="16"/>
              </w:rPr>
            </w:pPr>
            <w:r w:rsidRPr="003E76E7">
              <w:rPr>
                <w:rFonts w:ascii="Arial" w:eastAsia="Arial" w:hAnsi="Arial"/>
                <w:i/>
                <w:sz w:val="16"/>
                <w:szCs w:val="16"/>
              </w:rPr>
              <w:t>Expected to be met.</w:t>
            </w:r>
          </w:p>
        </w:tc>
      </w:tr>
      <w:tr w:rsidR="00A92402" w:rsidRPr="003E76E7" w14:paraId="7785AC30" w14:textId="77777777" w:rsidTr="00A92402">
        <w:trPr>
          <w:trHeight w:val="317"/>
        </w:trPr>
        <w:tc>
          <w:tcPr>
            <w:tcW w:w="1748" w:type="dxa"/>
            <w:vMerge/>
            <w:tcBorders>
              <w:right w:val="single" w:sz="4" w:space="0" w:color="auto"/>
            </w:tcBorders>
          </w:tcPr>
          <w:p w14:paraId="1A6700DF" w14:textId="77777777" w:rsidR="00A92402" w:rsidRPr="003E76E7" w:rsidRDefault="00A92402" w:rsidP="00C4292D">
            <w:pPr>
              <w:tabs>
                <w:tab w:val="left" w:pos="709"/>
              </w:tabs>
              <w:spacing w:before="60" w:after="60"/>
              <w:jc w:val="both"/>
              <w:rPr>
                <w:rFonts w:ascii="Arial" w:hAnsi="Arial"/>
                <w:sz w:val="16"/>
                <w:szCs w:val="16"/>
              </w:rPr>
            </w:pPr>
          </w:p>
        </w:tc>
        <w:tc>
          <w:tcPr>
            <w:tcW w:w="3207" w:type="dxa"/>
            <w:vMerge/>
            <w:tcBorders>
              <w:left w:val="single" w:sz="4" w:space="0" w:color="auto"/>
              <w:right w:val="single" w:sz="4" w:space="0" w:color="auto"/>
            </w:tcBorders>
          </w:tcPr>
          <w:p w14:paraId="7C99363D" w14:textId="77777777" w:rsidR="00A92402" w:rsidRPr="003E76E7" w:rsidRDefault="00A92402" w:rsidP="00C4292D">
            <w:pPr>
              <w:tabs>
                <w:tab w:val="left" w:pos="709"/>
              </w:tabs>
              <w:spacing w:before="60" w:after="60"/>
              <w:rPr>
                <w:rFonts w:ascii="Arial" w:hAnsi="Arial"/>
                <w:sz w:val="16"/>
                <w:szCs w:val="16"/>
              </w:rPr>
            </w:pPr>
          </w:p>
        </w:tc>
        <w:tc>
          <w:tcPr>
            <w:tcW w:w="3653" w:type="dxa"/>
            <w:tcBorders>
              <w:top w:val="single" w:sz="4" w:space="0" w:color="auto"/>
              <w:left w:val="single" w:sz="4" w:space="0" w:color="auto"/>
              <w:bottom w:val="single" w:sz="4" w:space="0" w:color="auto"/>
            </w:tcBorders>
          </w:tcPr>
          <w:p w14:paraId="7316520D" w14:textId="77777777" w:rsidR="00A92402" w:rsidRPr="003E76E7" w:rsidRDefault="00A92402" w:rsidP="00C4292D">
            <w:pPr>
              <w:tabs>
                <w:tab w:val="left" w:pos="709"/>
              </w:tabs>
              <w:spacing w:before="0" w:after="0"/>
              <w:rPr>
                <w:rFonts w:ascii="Arial" w:eastAsia="Arial" w:hAnsi="Arial"/>
                <w:sz w:val="16"/>
                <w:szCs w:val="16"/>
              </w:rPr>
            </w:pPr>
            <w:r w:rsidRPr="003E76E7">
              <w:rPr>
                <w:rFonts w:ascii="Arial" w:eastAsia="Arial" w:hAnsi="Arial"/>
                <w:sz w:val="16"/>
                <w:szCs w:val="16"/>
              </w:rPr>
              <w:t>Systems to support assistance and technical advice are available for use by ASD and relevant stakeholders.</w:t>
            </w:r>
          </w:p>
          <w:p w14:paraId="7303E56E" w14:textId="3A56BAC1" w:rsidR="00A92402" w:rsidRPr="003E76E7" w:rsidRDefault="00A92402" w:rsidP="00C4292D">
            <w:pPr>
              <w:tabs>
                <w:tab w:val="left" w:pos="709"/>
              </w:tabs>
              <w:spacing w:before="60" w:after="60"/>
              <w:jc w:val="right"/>
              <w:rPr>
                <w:rFonts w:ascii="Arial" w:hAnsi="Arial"/>
                <w:sz w:val="16"/>
                <w:szCs w:val="16"/>
              </w:rPr>
            </w:pPr>
            <w:r w:rsidRPr="003E76E7">
              <w:rPr>
                <w:rFonts w:ascii="Arial" w:eastAsia="Arial" w:hAnsi="Arial"/>
                <w:i/>
                <w:sz w:val="16"/>
                <w:szCs w:val="16"/>
              </w:rPr>
              <w:t>Expected to be met.</w:t>
            </w:r>
          </w:p>
        </w:tc>
      </w:tr>
      <w:tr w:rsidR="00A92402" w:rsidRPr="003E76E7" w14:paraId="6F30B61E" w14:textId="77777777" w:rsidTr="00A92402">
        <w:trPr>
          <w:trHeight w:val="317"/>
        </w:trPr>
        <w:tc>
          <w:tcPr>
            <w:tcW w:w="1748" w:type="dxa"/>
            <w:vMerge/>
            <w:tcBorders>
              <w:right w:val="single" w:sz="4" w:space="0" w:color="auto"/>
            </w:tcBorders>
          </w:tcPr>
          <w:p w14:paraId="5E2B97C2" w14:textId="77777777" w:rsidR="00A92402" w:rsidRPr="003E76E7" w:rsidRDefault="00A92402" w:rsidP="00C4292D">
            <w:pPr>
              <w:tabs>
                <w:tab w:val="left" w:pos="709"/>
              </w:tabs>
              <w:spacing w:before="60" w:after="60"/>
              <w:jc w:val="both"/>
              <w:rPr>
                <w:rFonts w:ascii="Arial" w:hAnsi="Arial"/>
                <w:sz w:val="16"/>
                <w:szCs w:val="16"/>
              </w:rPr>
            </w:pPr>
          </w:p>
        </w:tc>
        <w:tc>
          <w:tcPr>
            <w:tcW w:w="3207" w:type="dxa"/>
            <w:vMerge/>
            <w:tcBorders>
              <w:left w:val="single" w:sz="4" w:space="0" w:color="auto"/>
              <w:bottom w:val="single" w:sz="4" w:space="0" w:color="auto"/>
              <w:right w:val="single" w:sz="4" w:space="0" w:color="auto"/>
            </w:tcBorders>
          </w:tcPr>
          <w:p w14:paraId="4969E416" w14:textId="77777777" w:rsidR="00A92402" w:rsidRPr="003E76E7" w:rsidRDefault="00A92402" w:rsidP="00C4292D">
            <w:pPr>
              <w:tabs>
                <w:tab w:val="left" w:pos="709"/>
              </w:tabs>
              <w:spacing w:before="60" w:after="60"/>
              <w:rPr>
                <w:rFonts w:ascii="Arial" w:hAnsi="Arial"/>
                <w:sz w:val="16"/>
                <w:szCs w:val="16"/>
              </w:rPr>
            </w:pPr>
          </w:p>
        </w:tc>
        <w:tc>
          <w:tcPr>
            <w:tcW w:w="3653" w:type="dxa"/>
            <w:tcBorders>
              <w:top w:val="single" w:sz="4" w:space="0" w:color="auto"/>
              <w:left w:val="single" w:sz="4" w:space="0" w:color="auto"/>
              <w:bottom w:val="single" w:sz="4" w:space="0" w:color="auto"/>
            </w:tcBorders>
          </w:tcPr>
          <w:p w14:paraId="45489CDE" w14:textId="77777777" w:rsidR="00A92402" w:rsidRPr="003E76E7" w:rsidRDefault="00A92402" w:rsidP="00C4292D">
            <w:pPr>
              <w:tabs>
                <w:tab w:val="left" w:pos="709"/>
              </w:tabs>
              <w:spacing w:before="60" w:after="60"/>
              <w:rPr>
                <w:rFonts w:ascii="Arial" w:eastAsia="Arial" w:hAnsi="Arial"/>
                <w:sz w:val="16"/>
                <w:szCs w:val="16"/>
              </w:rPr>
            </w:pPr>
            <w:r w:rsidRPr="003E76E7">
              <w:rPr>
                <w:rFonts w:ascii="Arial" w:eastAsia="Arial" w:hAnsi="Arial"/>
                <w:sz w:val="16"/>
                <w:szCs w:val="16"/>
              </w:rPr>
              <w:t>ASD’s Top Secret network assessment and authorisation activities and key management services support stakeholders’ requirements.</w:t>
            </w:r>
          </w:p>
          <w:p w14:paraId="4616AE7C" w14:textId="0DB6D222" w:rsidR="00A92402" w:rsidRPr="003E76E7" w:rsidRDefault="00A92402" w:rsidP="00C4292D">
            <w:pPr>
              <w:tabs>
                <w:tab w:val="left" w:pos="709"/>
              </w:tabs>
              <w:spacing w:before="60" w:after="60"/>
              <w:jc w:val="right"/>
              <w:rPr>
                <w:rFonts w:ascii="Arial" w:hAnsi="Arial"/>
                <w:sz w:val="16"/>
                <w:szCs w:val="16"/>
              </w:rPr>
            </w:pPr>
            <w:r w:rsidRPr="003E76E7">
              <w:rPr>
                <w:rFonts w:ascii="Arial" w:eastAsia="Arial" w:hAnsi="Arial"/>
                <w:i/>
                <w:sz w:val="16"/>
                <w:szCs w:val="16"/>
              </w:rPr>
              <w:t>Expected to be met.</w:t>
            </w:r>
          </w:p>
        </w:tc>
      </w:tr>
      <w:tr w:rsidR="00E067F2" w:rsidRPr="003E76E7" w14:paraId="47A56BA3" w14:textId="77777777" w:rsidTr="00A92402">
        <w:trPr>
          <w:trHeight w:val="371"/>
        </w:trPr>
        <w:tc>
          <w:tcPr>
            <w:tcW w:w="1748" w:type="dxa"/>
            <w:vMerge/>
            <w:tcBorders>
              <w:right w:val="single" w:sz="4" w:space="0" w:color="auto"/>
            </w:tcBorders>
          </w:tcPr>
          <w:p w14:paraId="3AC78C64" w14:textId="77777777" w:rsidR="00E067F2" w:rsidRPr="003E76E7" w:rsidRDefault="00E067F2" w:rsidP="00C4292D">
            <w:pPr>
              <w:tabs>
                <w:tab w:val="left" w:pos="709"/>
              </w:tabs>
              <w:spacing w:before="60" w:after="60"/>
              <w:jc w:val="both"/>
              <w:rPr>
                <w:rFonts w:ascii="Arial" w:hAnsi="Arial"/>
                <w:sz w:val="16"/>
                <w:szCs w:val="16"/>
              </w:rPr>
            </w:pPr>
          </w:p>
        </w:tc>
        <w:tc>
          <w:tcPr>
            <w:tcW w:w="3207" w:type="dxa"/>
            <w:vMerge w:val="restart"/>
            <w:tcBorders>
              <w:top w:val="single" w:sz="4" w:space="0" w:color="auto"/>
              <w:left w:val="single" w:sz="4" w:space="0" w:color="auto"/>
              <w:right w:val="single" w:sz="4" w:space="0" w:color="auto"/>
            </w:tcBorders>
          </w:tcPr>
          <w:p w14:paraId="1461BCF6" w14:textId="77777777" w:rsidR="00E067F2" w:rsidRPr="003E76E7" w:rsidRDefault="00E067F2" w:rsidP="00C4292D">
            <w:pPr>
              <w:tabs>
                <w:tab w:val="left" w:pos="709"/>
              </w:tabs>
              <w:spacing w:before="60" w:after="60"/>
              <w:rPr>
                <w:rFonts w:ascii="Arial" w:hAnsi="Arial"/>
                <w:sz w:val="16"/>
                <w:szCs w:val="16"/>
              </w:rPr>
            </w:pPr>
            <w:r w:rsidRPr="003E76E7">
              <w:rPr>
                <w:rFonts w:ascii="Arial" w:hAnsi="Arial"/>
                <w:sz w:val="16"/>
                <w:szCs w:val="16"/>
              </w:rPr>
              <w:t xml:space="preserve">ASD delivers partnerships, programs and technical capability that strengthen national cyber security </w:t>
            </w:r>
            <w:r w:rsidR="00372595" w:rsidRPr="003E76E7">
              <w:rPr>
                <w:rFonts w:ascii="Arial" w:hAnsi="Arial"/>
                <w:sz w:val="16"/>
                <w:szCs w:val="16"/>
              </w:rPr>
              <w:t>or</w:t>
            </w:r>
            <w:r w:rsidRPr="003E76E7">
              <w:rPr>
                <w:rFonts w:ascii="Arial" w:hAnsi="Arial"/>
                <w:sz w:val="16"/>
                <w:szCs w:val="16"/>
              </w:rPr>
              <w:t xml:space="preserve"> resilience.</w:t>
            </w:r>
          </w:p>
        </w:tc>
        <w:tc>
          <w:tcPr>
            <w:tcW w:w="3653" w:type="dxa"/>
            <w:tcBorders>
              <w:top w:val="single" w:sz="4" w:space="0" w:color="auto"/>
              <w:left w:val="single" w:sz="4" w:space="0" w:color="auto"/>
              <w:bottom w:val="single" w:sz="4" w:space="0" w:color="auto"/>
            </w:tcBorders>
          </w:tcPr>
          <w:p w14:paraId="049ADAAD" w14:textId="77777777" w:rsidR="00E067F2" w:rsidRPr="003E76E7" w:rsidRDefault="00E067F2" w:rsidP="00C4292D">
            <w:pPr>
              <w:tabs>
                <w:tab w:val="left" w:pos="709"/>
              </w:tabs>
              <w:spacing w:before="60" w:after="60"/>
              <w:rPr>
                <w:rFonts w:ascii="Arial" w:eastAsia="Arial" w:hAnsi="Arial"/>
                <w:sz w:val="16"/>
                <w:szCs w:val="16"/>
              </w:rPr>
            </w:pPr>
            <w:r w:rsidRPr="003E76E7">
              <w:rPr>
                <w:rFonts w:ascii="Arial" w:eastAsia="Arial" w:hAnsi="Arial"/>
                <w:sz w:val="16"/>
                <w:szCs w:val="16"/>
              </w:rPr>
              <w:t>Cyber security information and expertise exchanges with partners help prevent, detect or remediate cyber threats to Australia</w:t>
            </w:r>
            <w:r w:rsidR="0060326A" w:rsidRPr="003E76E7">
              <w:rPr>
                <w:rFonts w:ascii="Arial" w:eastAsia="Arial" w:hAnsi="Arial"/>
                <w:sz w:val="16"/>
                <w:szCs w:val="16"/>
              </w:rPr>
              <w:t>.</w:t>
            </w:r>
          </w:p>
          <w:p w14:paraId="43C3BFE4" w14:textId="77777777" w:rsidR="00372595" w:rsidRPr="003E76E7" w:rsidRDefault="00372595" w:rsidP="00C4292D">
            <w:pPr>
              <w:tabs>
                <w:tab w:val="left" w:pos="709"/>
              </w:tabs>
              <w:spacing w:before="60" w:after="60"/>
              <w:jc w:val="right"/>
              <w:rPr>
                <w:rFonts w:ascii="Arial" w:hAnsi="Arial"/>
                <w:sz w:val="16"/>
                <w:szCs w:val="16"/>
              </w:rPr>
            </w:pPr>
            <w:r w:rsidRPr="003E76E7">
              <w:rPr>
                <w:rFonts w:ascii="Arial" w:eastAsia="Arial" w:hAnsi="Arial"/>
                <w:i/>
                <w:sz w:val="16"/>
                <w:szCs w:val="16"/>
              </w:rPr>
              <w:t>Expected to be met</w:t>
            </w:r>
            <w:r w:rsidR="0060326A" w:rsidRPr="003E76E7">
              <w:rPr>
                <w:rFonts w:ascii="Arial" w:eastAsia="Arial" w:hAnsi="Arial"/>
                <w:i/>
                <w:sz w:val="16"/>
                <w:szCs w:val="16"/>
              </w:rPr>
              <w:t>.</w:t>
            </w:r>
          </w:p>
        </w:tc>
      </w:tr>
      <w:tr w:rsidR="00E067F2" w:rsidRPr="003E76E7" w14:paraId="08045C5C" w14:textId="77777777" w:rsidTr="00A92402">
        <w:trPr>
          <w:trHeight w:val="371"/>
        </w:trPr>
        <w:tc>
          <w:tcPr>
            <w:tcW w:w="1748" w:type="dxa"/>
            <w:vMerge/>
            <w:tcBorders>
              <w:right w:val="single" w:sz="4" w:space="0" w:color="auto"/>
            </w:tcBorders>
          </w:tcPr>
          <w:p w14:paraId="301F35F1" w14:textId="77777777" w:rsidR="00E067F2" w:rsidRPr="003E76E7" w:rsidRDefault="00E067F2" w:rsidP="00C4292D">
            <w:pPr>
              <w:tabs>
                <w:tab w:val="left" w:pos="709"/>
              </w:tabs>
              <w:spacing w:before="60" w:after="60"/>
              <w:jc w:val="both"/>
              <w:rPr>
                <w:rFonts w:ascii="Arial" w:hAnsi="Arial"/>
                <w:sz w:val="16"/>
                <w:szCs w:val="16"/>
              </w:rPr>
            </w:pPr>
          </w:p>
        </w:tc>
        <w:tc>
          <w:tcPr>
            <w:tcW w:w="3207" w:type="dxa"/>
            <w:vMerge/>
            <w:tcBorders>
              <w:left w:val="single" w:sz="4" w:space="0" w:color="auto"/>
              <w:bottom w:val="single" w:sz="4" w:space="0" w:color="auto"/>
              <w:right w:val="single" w:sz="4" w:space="0" w:color="auto"/>
            </w:tcBorders>
          </w:tcPr>
          <w:p w14:paraId="38651D57" w14:textId="77777777" w:rsidR="00E067F2" w:rsidRPr="003E76E7" w:rsidRDefault="00E067F2" w:rsidP="00C4292D">
            <w:pPr>
              <w:tabs>
                <w:tab w:val="left" w:pos="709"/>
              </w:tabs>
              <w:spacing w:before="60" w:after="60"/>
              <w:rPr>
                <w:rFonts w:ascii="Arial" w:hAnsi="Arial"/>
                <w:sz w:val="16"/>
                <w:szCs w:val="16"/>
              </w:rPr>
            </w:pPr>
          </w:p>
        </w:tc>
        <w:tc>
          <w:tcPr>
            <w:tcW w:w="3653" w:type="dxa"/>
            <w:tcBorders>
              <w:top w:val="single" w:sz="4" w:space="0" w:color="auto"/>
              <w:left w:val="single" w:sz="4" w:space="0" w:color="auto"/>
              <w:bottom w:val="single" w:sz="4" w:space="0" w:color="auto"/>
            </w:tcBorders>
          </w:tcPr>
          <w:p w14:paraId="1A2374B0" w14:textId="77777777" w:rsidR="00E067F2" w:rsidRPr="003E76E7" w:rsidRDefault="00E067F2" w:rsidP="00C4292D">
            <w:pPr>
              <w:tabs>
                <w:tab w:val="left" w:pos="709"/>
              </w:tabs>
              <w:spacing w:before="60" w:after="60"/>
              <w:rPr>
                <w:rFonts w:ascii="Arial" w:eastAsia="Arial" w:hAnsi="Arial"/>
                <w:sz w:val="16"/>
                <w:szCs w:val="16"/>
              </w:rPr>
            </w:pPr>
            <w:r w:rsidRPr="003E76E7">
              <w:rPr>
                <w:rFonts w:ascii="Arial" w:eastAsia="Arial" w:hAnsi="Arial"/>
                <w:sz w:val="16"/>
                <w:szCs w:val="16"/>
              </w:rPr>
              <w:t>ASD supports emerging cyber security research that may help prevent, detect or remediate cyber threats to Australia.</w:t>
            </w:r>
          </w:p>
          <w:p w14:paraId="5D4054DC" w14:textId="77777777" w:rsidR="00372595" w:rsidRPr="003E76E7" w:rsidRDefault="00372595" w:rsidP="00C4292D">
            <w:pPr>
              <w:tabs>
                <w:tab w:val="left" w:pos="709"/>
              </w:tabs>
              <w:spacing w:before="60" w:after="60"/>
              <w:jc w:val="right"/>
              <w:rPr>
                <w:rFonts w:ascii="Arial" w:hAnsi="Arial"/>
                <w:sz w:val="16"/>
                <w:szCs w:val="16"/>
              </w:rPr>
            </w:pPr>
            <w:r w:rsidRPr="003E76E7">
              <w:rPr>
                <w:rFonts w:ascii="Arial" w:eastAsia="Arial" w:hAnsi="Arial"/>
                <w:i/>
                <w:sz w:val="16"/>
                <w:szCs w:val="16"/>
              </w:rPr>
              <w:t>Expected to be met</w:t>
            </w:r>
            <w:r w:rsidR="0060326A" w:rsidRPr="003E76E7">
              <w:rPr>
                <w:rFonts w:ascii="Arial" w:eastAsia="Arial" w:hAnsi="Arial"/>
                <w:i/>
                <w:sz w:val="16"/>
                <w:szCs w:val="16"/>
              </w:rPr>
              <w:t>.</w:t>
            </w:r>
          </w:p>
        </w:tc>
      </w:tr>
    </w:tbl>
    <w:p w14:paraId="2A57E022" w14:textId="77777777" w:rsidR="003D731C" w:rsidRPr="003E76E7" w:rsidRDefault="003D731C" w:rsidP="00C4292D">
      <w:r w:rsidRPr="003E76E7">
        <w:br w:type="page"/>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7"/>
        <w:gridCol w:w="3208"/>
        <w:gridCol w:w="3653"/>
      </w:tblGrid>
      <w:tr w:rsidR="00AB414B" w:rsidRPr="003E76E7" w14:paraId="290B8E4D" w14:textId="77777777" w:rsidTr="000E1A17">
        <w:trPr>
          <w:trHeight w:val="258"/>
        </w:trPr>
        <w:tc>
          <w:tcPr>
            <w:tcW w:w="1747" w:type="dxa"/>
            <w:tcBorders>
              <w:top w:val="single" w:sz="4" w:space="0" w:color="auto"/>
              <w:bottom w:val="single" w:sz="4" w:space="0" w:color="auto"/>
              <w:right w:val="single" w:sz="4" w:space="0" w:color="auto"/>
            </w:tcBorders>
          </w:tcPr>
          <w:p w14:paraId="083E405D" w14:textId="77777777" w:rsidR="00AB414B" w:rsidRPr="003E76E7" w:rsidRDefault="00AB414B" w:rsidP="00C4292D">
            <w:pPr>
              <w:tabs>
                <w:tab w:val="left" w:pos="709"/>
              </w:tabs>
              <w:spacing w:before="60" w:after="60"/>
              <w:rPr>
                <w:rFonts w:ascii="Arial" w:hAnsi="Arial"/>
                <w:b/>
                <w:sz w:val="16"/>
                <w:szCs w:val="16"/>
              </w:rPr>
            </w:pPr>
            <w:r w:rsidRPr="003E76E7">
              <w:rPr>
                <w:rFonts w:ascii="Arial" w:hAnsi="Arial"/>
                <w:b/>
                <w:sz w:val="16"/>
                <w:szCs w:val="16"/>
              </w:rPr>
              <w:lastRenderedPageBreak/>
              <w:t>Year</w:t>
            </w:r>
          </w:p>
        </w:tc>
        <w:tc>
          <w:tcPr>
            <w:tcW w:w="3208" w:type="dxa"/>
            <w:tcBorders>
              <w:top w:val="single" w:sz="4" w:space="0" w:color="auto"/>
              <w:left w:val="single" w:sz="4" w:space="0" w:color="auto"/>
              <w:bottom w:val="single" w:sz="4" w:space="0" w:color="auto"/>
              <w:right w:val="single" w:sz="4" w:space="0" w:color="auto"/>
            </w:tcBorders>
          </w:tcPr>
          <w:p w14:paraId="5737D240" w14:textId="029EDFDE" w:rsidR="00AB414B" w:rsidRPr="003E76E7" w:rsidRDefault="00AB414B" w:rsidP="00C4292D">
            <w:pPr>
              <w:tabs>
                <w:tab w:val="left" w:pos="709"/>
                <w:tab w:val="center" w:pos="1818"/>
              </w:tabs>
              <w:spacing w:before="60" w:after="60"/>
              <w:rPr>
                <w:rFonts w:ascii="Arial" w:hAnsi="Arial"/>
                <w:b/>
                <w:sz w:val="16"/>
                <w:szCs w:val="16"/>
              </w:rPr>
            </w:pPr>
            <w:r w:rsidRPr="003E76E7">
              <w:rPr>
                <w:rFonts w:ascii="Arial" w:hAnsi="Arial"/>
                <w:b/>
                <w:sz w:val="16"/>
                <w:szCs w:val="16"/>
              </w:rPr>
              <w:t xml:space="preserve">Performance </w:t>
            </w:r>
            <w:r w:rsidR="009B3FA5" w:rsidRPr="003E76E7">
              <w:rPr>
                <w:rFonts w:ascii="Arial" w:hAnsi="Arial"/>
                <w:b/>
                <w:sz w:val="16"/>
                <w:szCs w:val="16"/>
              </w:rPr>
              <w:t>Objectives</w:t>
            </w:r>
          </w:p>
        </w:tc>
        <w:tc>
          <w:tcPr>
            <w:tcW w:w="3653" w:type="dxa"/>
            <w:tcBorders>
              <w:top w:val="single" w:sz="4" w:space="0" w:color="auto"/>
              <w:left w:val="single" w:sz="4" w:space="0" w:color="auto"/>
              <w:bottom w:val="single" w:sz="4" w:space="0" w:color="auto"/>
            </w:tcBorders>
          </w:tcPr>
          <w:p w14:paraId="1389D05F" w14:textId="32FAACF1" w:rsidR="00AB414B" w:rsidRPr="003E76E7" w:rsidRDefault="000F08AB" w:rsidP="00C4292D">
            <w:pPr>
              <w:tabs>
                <w:tab w:val="left" w:pos="709"/>
              </w:tabs>
              <w:spacing w:before="60" w:after="60"/>
              <w:rPr>
                <w:rFonts w:ascii="Arial" w:hAnsi="Arial"/>
                <w:b/>
                <w:sz w:val="16"/>
                <w:szCs w:val="16"/>
              </w:rPr>
            </w:pPr>
            <w:r w:rsidRPr="003E76E7">
              <w:rPr>
                <w:rFonts w:ascii="Arial" w:hAnsi="Arial"/>
                <w:b/>
                <w:sz w:val="16"/>
                <w:szCs w:val="16"/>
              </w:rPr>
              <w:t>Expected Performance Results</w:t>
            </w:r>
          </w:p>
        </w:tc>
      </w:tr>
      <w:tr w:rsidR="00AB414B" w:rsidRPr="003E76E7" w14:paraId="74E23544" w14:textId="77777777" w:rsidTr="00D23F3B">
        <w:trPr>
          <w:trHeight w:val="258"/>
        </w:trPr>
        <w:tc>
          <w:tcPr>
            <w:tcW w:w="1747" w:type="dxa"/>
            <w:vMerge w:val="restart"/>
            <w:tcBorders>
              <w:top w:val="single" w:sz="4" w:space="0" w:color="auto"/>
              <w:right w:val="single" w:sz="4" w:space="0" w:color="auto"/>
            </w:tcBorders>
          </w:tcPr>
          <w:p w14:paraId="3B5EE5E2" w14:textId="77777777" w:rsidR="00E56D2A" w:rsidRPr="003E76E7" w:rsidRDefault="00E56D2A" w:rsidP="00C4292D">
            <w:pPr>
              <w:tabs>
                <w:tab w:val="left" w:pos="709"/>
              </w:tabs>
              <w:spacing w:before="0" w:after="0"/>
              <w:rPr>
                <w:rFonts w:ascii="Arial" w:hAnsi="Arial"/>
                <w:sz w:val="16"/>
                <w:szCs w:val="16"/>
              </w:rPr>
            </w:pPr>
            <w:r w:rsidRPr="003E76E7">
              <w:rPr>
                <w:rFonts w:ascii="Arial" w:hAnsi="Arial"/>
                <w:sz w:val="16"/>
                <w:szCs w:val="16"/>
              </w:rPr>
              <w:t>Current Year</w:t>
            </w:r>
          </w:p>
          <w:p w14:paraId="42A5D4A3" w14:textId="7F6EB2B1" w:rsidR="00AB414B" w:rsidRPr="003E76E7" w:rsidRDefault="00E56D2A" w:rsidP="00C4292D">
            <w:pPr>
              <w:tabs>
                <w:tab w:val="left" w:pos="709"/>
              </w:tabs>
              <w:spacing w:before="0" w:after="0"/>
              <w:rPr>
                <w:rFonts w:ascii="Arial" w:hAnsi="Arial"/>
                <w:b/>
                <w:sz w:val="16"/>
                <w:szCs w:val="16"/>
              </w:rPr>
            </w:pPr>
            <w:r w:rsidRPr="003E76E7">
              <w:rPr>
                <w:rFonts w:ascii="Arial" w:hAnsi="Arial"/>
                <w:sz w:val="16"/>
                <w:szCs w:val="16"/>
              </w:rPr>
              <w:t>202</w:t>
            </w:r>
            <w:r w:rsidR="00E42592" w:rsidRPr="003E76E7">
              <w:rPr>
                <w:rFonts w:ascii="Arial" w:hAnsi="Arial"/>
                <w:sz w:val="16"/>
                <w:szCs w:val="16"/>
              </w:rPr>
              <w:t>5</w:t>
            </w:r>
            <w:r w:rsidRPr="003E76E7">
              <w:rPr>
                <w:rFonts w:ascii="Arial" w:hAnsi="Arial"/>
                <w:sz w:val="16"/>
                <w:szCs w:val="16"/>
              </w:rPr>
              <w:noBreakHyphen/>
              <w:t>2</w:t>
            </w:r>
            <w:r w:rsidR="00E42592" w:rsidRPr="003E76E7">
              <w:rPr>
                <w:rFonts w:ascii="Arial" w:hAnsi="Arial"/>
                <w:sz w:val="16"/>
                <w:szCs w:val="16"/>
              </w:rPr>
              <w:t>6</w:t>
            </w:r>
          </w:p>
        </w:tc>
        <w:tc>
          <w:tcPr>
            <w:tcW w:w="3208" w:type="dxa"/>
            <w:vMerge w:val="restart"/>
            <w:tcBorders>
              <w:top w:val="single" w:sz="4" w:space="0" w:color="auto"/>
              <w:left w:val="single" w:sz="4" w:space="0" w:color="auto"/>
              <w:right w:val="single" w:sz="4" w:space="0" w:color="auto"/>
            </w:tcBorders>
          </w:tcPr>
          <w:p w14:paraId="6EDB3A44" w14:textId="77777777" w:rsidR="00AB414B" w:rsidRPr="003E76E7" w:rsidRDefault="00AB414B" w:rsidP="00C4292D">
            <w:pPr>
              <w:tabs>
                <w:tab w:val="left" w:pos="709"/>
              </w:tabs>
              <w:spacing w:before="60" w:after="60"/>
              <w:rPr>
                <w:rFonts w:ascii="Arial" w:hAnsi="Arial"/>
                <w:sz w:val="16"/>
                <w:szCs w:val="16"/>
              </w:rPr>
            </w:pPr>
            <w:r w:rsidRPr="003E76E7">
              <w:rPr>
                <w:rFonts w:ascii="Arial" w:hAnsi="Arial"/>
                <w:sz w:val="16"/>
                <w:szCs w:val="16"/>
              </w:rPr>
              <w:t xml:space="preserve">ASD’s offensive cyber operations provide effective and timely support for military operations and activities, and meet </w:t>
            </w:r>
            <w:r w:rsidR="000244AA" w:rsidRPr="003E76E7">
              <w:rPr>
                <w:rFonts w:ascii="Arial" w:hAnsi="Arial"/>
                <w:sz w:val="16"/>
                <w:szCs w:val="16"/>
              </w:rPr>
              <w:t>whole</w:t>
            </w:r>
            <w:r w:rsidR="000244AA" w:rsidRPr="003E76E7">
              <w:rPr>
                <w:rFonts w:ascii="Arial" w:hAnsi="Arial"/>
                <w:sz w:val="16"/>
                <w:szCs w:val="16"/>
              </w:rPr>
              <w:noBreakHyphen/>
              <w:t>of-g</w:t>
            </w:r>
            <w:r w:rsidRPr="003E76E7">
              <w:rPr>
                <w:rFonts w:ascii="Arial" w:hAnsi="Arial"/>
                <w:sz w:val="16"/>
                <w:szCs w:val="16"/>
              </w:rPr>
              <w:t>overnment requirements for countering offshore cyber threats.</w:t>
            </w:r>
          </w:p>
        </w:tc>
        <w:tc>
          <w:tcPr>
            <w:tcW w:w="3653" w:type="dxa"/>
            <w:tcBorders>
              <w:top w:val="single" w:sz="4" w:space="0" w:color="auto"/>
              <w:left w:val="single" w:sz="4" w:space="0" w:color="auto"/>
              <w:bottom w:val="single" w:sz="4" w:space="0" w:color="auto"/>
            </w:tcBorders>
          </w:tcPr>
          <w:p w14:paraId="6B5746B9" w14:textId="77777777" w:rsidR="00AB414B" w:rsidRPr="003E76E7" w:rsidRDefault="00AB414B" w:rsidP="00C4292D">
            <w:pPr>
              <w:tabs>
                <w:tab w:val="left" w:pos="709"/>
              </w:tabs>
              <w:spacing w:before="60" w:after="60"/>
              <w:rPr>
                <w:rFonts w:ascii="Arial" w:eastAsia="Arial" w:hAnsi="Arial"/>
                <w:sz w:val="16"/>
                <w:szCs w:val="16"/>
              </w:rPr>
            </w:pPr>
            <w:r w:rsidRPr="003E76E7">
              <w:rPr>
                <w:rFonts w:ascii="Arial" w:eastAsia="Arial" w:hAnsi="Arial"/>
                <w:sz w:val="16"/>
                <w:szCs w:val="16"/>
              </w:rPr>
              <w:t>Offensive cyber capabilities provide effective and timely support for ADF military operations and activities.</w:t>
            </w:r>
          </w:p>
          <w:p w14:paraId="0E412983" w14:textId="77777777" w:rsidR="00AB414B" w:rsidRPr="003E76E7" w:rsidRDefault="00AB414B" w:rsidP="00C4292D">
            <w:pPr>
              <w:tabs>
                <w:tab w:val="left" w:pos="709"/>
              </w:tabs>
              <w:spacing w:before="60" w:after="60"/>
              <w:jc w:val="right"/>
              <w:rPr>
                <w:rFonts w:ascii="Arial" w:hAnsi="Arial"/>
                <w:sz w:val="16"/>
                <w:szCs w:val="16"/>
              </w:rPr>
            </w:pPr>
            <w:r w:rsidRPr="003E76E7">
              <w:rPr>
                <w:rFonts w:ascii="Arial" w:eastAsia="Arial" w:hAnsi="Arial"/>
                <w:i/>
                <w:sz w:val="16"/>
                <w:szCs w:val="16"/>
              </w:rPr>
              <w:t>Expected to be met</w:t>
            </w:r>
            <w:r w:rsidR="0060326A" w:rsidRPr="003E76E7">
              <w:rPr>
                <w:rFonts w:ascii="Arial" w:eastAsia="Arial" w:hAnsi="Arial"/>
                <w:i/>
                <w:sz w:val="16"/>
                <w:szCs w:val="16"/>
              </w:rPr>
              <w:t>.</w:t>
            </w:r>
          </w:p>
        </w:tc>
      </w:tr>
      <w:tr w:rsidR="00AB414B" w:rsidRPr="003E76E7" w14:paraId="6B061922" w14:textId="77777777" w:rsidTr="000E1A17">
        <w:trPr>
          <w:trHeight w:val="258"/>
        </w:trPr>
        <w:tc>
          <w:tcPr>
            <w:tcW w:w="1747" w:type="dxa"/>
            <w:vMerge/>
            <w:tcBorders>
              <w:bottom w:val="single" w:sz="4" w:space="0" w:color="auto"/>
              <w:right w:val="single" w:sz="4" w:space="0" w:color="auto"/>
            </w:tcBorders>
          </w:tcPr>
          <w:p w14:paraId="25227820" w14:textId="77777777" w:rsidR="00AB414B" w:rsidRPr="003E76E7" w:rsidRDefault="00AB414B" w:rsidP="00C4292D">
            <w:pPr>
              <w:tabs>
                <w:tab w:val="left" w:pos="709"/>
              </w:tabs>
              <w:spacing w:before="0" w:after="0"/>
              <w:rPr>
                <w:rFonts w:ascii="Arial" w:hAnsi="Arial"/>
                <w:b/>
                <w:sz w:val="16"/>
                <w:szCs w:val="16"/>
              </w:rPr>
            </w:pPr>
          </w:p>
        </w:tc>
        <w:tc>
          <w:tcPr>
            <w:tcW w:w="3208" w:type="dxa"/>
            <w:vMerge/>
            <w:tcBorders>
              <w:left w:val="single" w:sz="4" w:space="0" w:color="auto"/>
              <w:bottom w:val="single" w:sz="4" w:space="0" w:color="auto"/>
              <w:right w:val="single" w:sz="4" w:space="0" w:color="auto"/>
            </w:tcBorders>
          </w:tcPr>
          <w:p w14:paraId="3667385F" w14:textId="77777777" w:rsidR="00AB414B" w:rsidRPr="003E76E7" w:rsidRDefault="00AB414B" w:rsidP="00C4292D">
            <w:pPr>
              <w:tabs>
                <w:tab w:val="left" w:pos="709"/>
                <w:tab w:val="center" w:pos="1818"/>
              </w:tabs>
              <w:spacing w:before="60" w:after="60"/>
              <w:rPr>
                <w:rFonts w:ascii="Arial" w:hAnsi="Arial"/>
                <w:b/>
                <w:sz w:val="16"/>
                <w:szCs w:val="16"/>
              </w:rPr>
            </w:pPr>
          </w:p>
        </w:tc>
        <w:tc>
          <w:tcPr>
            <w:tcW w:w="3653" w:type="dxa"/>
            <w:tcBorders>
              <w:top w:val="single" w:sz="4" w:space="0" w:color="auto"/>
              <w:left w:val="single" w:sz="4" w:space="0" w:color="auto"/>
              <w:bottom w:val="single" w:sz="4" w:space="0" w:color="auto"/>
            </w:tcBorders>
          </w:tcPr>
          <w:p w14:paraId="30EA58B3" w14:textId="77777777" w:rsidR="00AB414B" w:rsidRPr="003E76E7" w:rsidRDefault="00AB414B" w:rsidP="00C4292D">
            <w:pPr>
              <w:tabs>
                <w:tab w:val="left" w:pos="709"/>
              </w:tabs>
              <w:spacing w:before="60" w:after="60"/>
              <w:rPr>
                <w:rFonts w:ascii="Arial" w:eastAsia="Arial" w:hAnsi="Arial"/>
                <w:sz w:val="16"/>
                <w:szCs w:val="16"/>
              </w:rPr>
            </w:pPr>
            <w:r w:rsidRPr="003E76E7">
              <w:rPr>
                <w:rFonts w:ascii="Arial" w:eastAsia="Arial" w:hAnsi="Arial"/>
                <w:sz w:val="16"/>
                <w:szCs w:val="16"/>
              </w:rPr>
              <w:t>Offensive cyber operations that count</w:t>
            </w:r>
            <w:r w:rsidR="000244AA" w:rsidRPr="003E76E7">
              <w:rPr>
                <w:rFonts w:ascii="Arial" w:eastAsia="Arial" w:hAnsi="Arial"/>
                <w:sz w:val="16"/>
                <w:szCs w:val="16"/>
              </w:rPr>
              <w:t>er offshore cyber threats meet whole-of-g</w:t>
            </w:r>
            <w:r w:rsidRPr="003E76E7">
              <w:rPr>
                <w:rFonts w:ascii="Arial" w:eastAsia="Arial" w:hAnsi="Arial"/>
                <w:sz w:val="16"/>
                <w:szCs w:val="16"/>
              </w:rPr>
              <w:t>overnment requirements.</w:t>
            </w:r>
          </w:p>
          <w:p w14:paraId="295989BE" w14:textId="77777777" w:rsidR="00AB414B" w:rsidRPr="003E76E7" w:rsidRDefault="00AB414B" w:rsidP="00C4292D">
            <w:pPr>
              <w:tabs>
                <w:tab w:val="left" w:pos="709"/>
              </w:tabs>
              <w:spacing w:before="60" w:after="60"/>
              <w:jc w:val="right"/>
              <w:rPr>
                <w:rFonts w:ascii="Arial" w:hAnsi="Arial"/>
                <w:b/>
                <w:sz w:val="16"/>
                <w:szCs w:val="16"/>
              </w:rPr>
            </w:pPr>
            <w:r w:rsidRPr="003E76E7">
              <w:rPr>
                <w:rFonts w:ascii="Arial" w:eastAsia="Arial" w:hAnsi="Arial"/>
                <w:i/>
                <w:sz w:val="16"/>
                <w:szCs w:val="16"/>
              </w:rPr>
              <w:t>Expected to be met</w:t>
            </w:r>
            <w:r w:rsidR="0060326A" w:rsidRPr="003E76E7">
              <w:rPr>
                <w:rFonts w:ascii="Arial" w:eastAsia="Arial" w:hAnsi="Arial"/>
                <w:i/>
                <w:sz w:val="16"/>
                <w:szCs w:val="16"/>
              </w:rPr>
              <w:t>.</w:t>
            </w:r>
          </w:p>
        </w:tc>
      </w:tr>
      <w:tr w:rsidR="00D23F3B" w:rsidRPr="003E76E7" w14:paraId="42F43E23" w14:textId="77777777" w:rsidTr="000E1A17">
        <w:trPr>
          <w:trHeight w:val="258"/>
        </w:trPr>
        <w:tc>
          <w:tcPr>
            <w:tcW w:w="1747" w:type="dxa"/>
            <w:tcBorders>
              <w:top w:val="single" w:sz="4" w:space="0" w:color="auto"/>
              <w:bottom w:val="single" w:sz="4" w:space="0" w:color="auto"/>
              <w:right w:val="single" w:sz="4" w:space="0" w:color="auto"/>
            </w:tcBorders>
            <w:vAlign w:val="center"/>
          </w:tcPr>
          <w:p w14:paraId="6F913D55" w14:textId="7CAC222A" w:rsidR="00D23F3B" w:rsidRPr="003E76E7" w:rsidRDefault="00D23F3B" w:rsidP="00C4292D">
            <w:pPr>
              <w:tabs>
                <w:tab w:val="left" w:pos="709"/>
              </w:tabs>
              <w:spacing w:before="0" w:after="0"/>
              <w:rPr>
                <w:rFonts w:ascii="Arial" w:hAnsi="Arial"/>
                <w:b/>
                <w:sz w:val="16"/>
                <w:szCs w:val="16"/>
              </w:rPr>
            </w:pPr>
            <w:r w:rsidRPr="003E76E7">
              <w:rPr>
                <w:rFonts w:ascii="Arial" w:hAnsi="Arial"/>
                <w:b/>
                <w:sz w:val="16"/>
                <w:szCs w:val="16"/>
              </w:rPr>
              <w:t>Year</w:t>
            </w:r>
          </w:p>
        </w:tc>
        <w:tc>
          <w:tcPr>
            <w:tcW w:w="3208" w:type="dxa"/>
            <w:tcBorders>
              <w:top w:val="single" w:sz="4" w:space="0" w:color="auto"/>
              <w:left w:val="single" w:sz="4" w:space="0" w:color="auto"/>
              <w:bottom w:val="single" w:sz="4" w:space="0" w:color="auto"/>
              <w:right w:val="single" w:sz="4" w:space="0" w:color="auto"/>
            </w:tcBorders>
            <w:vAlign w:val="center"/>
          </w:tcPr>
          <w:p w14:paraId="31EAE209" w14:textId="23FEEB3E" w:rsidR="00D23F3B" w:rsidRPr="003E76E7" w:rsidRDefault="00D23F3B" w:rsidP="00C4292D">
            <w:pPr>
              <w:tabs>
                <w:tab w:val="left" w:pos="709"/>
                <w:tab w:val="center" w:pos="1818"/>
              </w:tabs>
              <w:spacing w:before="60" w:after="60"/>
              <w:rPr>
                <w:rFonts w:ascii="Arial" w:hAnsi="Arial"/>
                <w:b/>
                <w:sz w:val="16"/>
                <w:szCs w:val="16"/>
              </w:rPr>
            </w:pPr>
            <w:r w:rsidRPr="003E76E7">
              <w:rPr>
                <w:rFonts w:ascii="Arial" w:hAnsi="Arial"/>
                <w:b/>
                <w:sz w:val="16"/>
                <w:szCs w:val="16"/>
              </w:rPr>
              <w:t xml:space="preserve">Performance </w:t>
            </w:r>
            <w:r w:rsidR="009B3FA5" w:rsidRPr="003E76E7">
              <w:rPr>
                <w:rFonts w:ascii="Arial" w:hAnsi="Arial"/>
                <w:b/>
                <w:sz w:val="16"/>
                <w:szCs w:val="16"/>
              </w:rPr>
              <w:t>Objectives</w:t>
            </w:r>
          </w:p>
        </w:tc>
        <w:tc>
          <w:tcPr>
            <w:tcW w:w="3653" w:type="dxa"/>
            <w:tcBorders>
              <w:top w:val="single" w:sz="4" w:space="0" w:color="auto"/>
              <w:left w:val="single" w:sz="4" w:space="0" w:color="auto"/>
              <w:bottom w:val="single" w:sz="4" w:space="0" w:color="auto"/>
            </w:tcBorders>
            <w:vAlign w:val="center"/>
          </w:tcPr>
          <w:p w14:paraId="1AEE4C5D" w14:textId="733D6C79" w:rsidR="00D23F3B" w:rsidRPr="003E76E7" w:rsidRDefault="000F08AB" w:rsidP="00C4292D">
            <w:pPr>
              <w:tabs>
                <w:tab w:val="left" w:pos="709"/>
              </w:tabs>
              <w:spacing w:before="60" w:after="60"/>
              <w:rPr>
                <w:rFonts w:ascii="Arial" w:eastAsia="Arial" w:hAnsi="Arial"/>
                <w:sz w:val="16"/>
                <w:szCs w:val="16"/>
              </w:rPr>
            </w:pPr>
            <w:r w:rsidRPr="003E76E7">
              <w:rPr>
                <w:rFonts w:ascii="Arial" w:hAnsi="Arial"/>
                <w:b/>
                <w:sz w:val="16"/>
                <w:szCs w:val="16"/>
              </w:rPr>
              <w:t xml:space="preserve">Planned </w:t>
            </w:r>
            <w:r w:rsidR="00D23F3B" w:rsidRPr="003E76E7">
              <w:rPr>
                <w:rFonts w:ascii="Arial" w:hAnsi="Arial"/>
                <w:b/>
                <w:sz w:val="16"/>
                <w:szCs w:val="16"/>
              </w:rPr>
              <w:t xml:space="preserve">Performance Results </w:t>
            </w:r>
          </w:p>
        </w:tc>
      </w:tr>
      <w:tr w:rsidR="00D23F3B" w:rsidRPr="003E76E7" w14:paraId="12D31A4B" w14:textId="77777777" w:rsidTr="00D23F3B">
        <w:trPr>
          <w:trHeight w:val="368"/>
        </w:trPr>
        <w:tc>
          <w:tcPr>
            <w:tcW w:w="1747" w:type="dxa"/>
            <w:vMerge w:val="restart"/>
            <w:tcBorders>
              <w:top w:val="single" w:sz="4" w:space="0" w:color="auto"/>
              <w:right w:val="single" w:sz="4" w:space="0" w:color="auto"/>
            </w:tcBorders>
          </w:tcPr>
          <w:p w14:paraId="63FF28C2" w14:textId="77777777" w:rsidR="00D23F3B" w:rsidRPr="003E76E7" w:rsidRDefault="00D23F3B" w:rsidP="00C4292D">
            <w:pPr>
              <w:tabs>
                <w:tab w:val="left" w:pos="709"/>
              </w:tabs>
              <w:spacing w:before="0" w:after="0"/>
              <w:rPr>
                <w:rFonts w:ascii="Arial" w:hAnsi="Arial"/>
                <w:sz w:val="16"/>
                <w:szCs w:val="16"/>
              </w:rPr>
            </w:pPr>
            <w:r w:rsidRPr="003E76E7">
              <w:rPr>
                <w:rFonts w:ascii="Arial" w:hAnsi="Arial"/>
                <w:sz w:val="16"/>
                <w:szCs w:val="16"/>
              </w:rPr>
              <w:t>Budget Year</w:t>
            </w:r>
          </w:p>
          <w:p w14:paraId="4ECB7A9C" w14:textId="6CFE27CF" w:rsidR="00D23F3B" w:rsidRPr="003E76E7" w:rsidRDefault="00D23F3B" w:rsidP="00C4292D">
            <w:pPr>
              <w:tabs>
                <w:tab w:val="left" w:pos="709"/>
              </w:tabs>
              <w:spacing w:before="0" w:after="0"/>
              <w:rPr>
                <w:rFonts w:ascii="Arial" w:hAnsi="Arial"/>
                <w:sz w:val="16"/>
                <w:szCs w:val="16"/>
              </w:rPr>
            </w:pPr>
            <w:r w:rsidRPr="003E76E7">
              <w:rPr>
                <w:rFonts w:ascii="Arial" w:hAnsi="Arial"/>
                <w:sz w:val="16"/>
                <w:szCs w:val="16"/>
              </w:rPr>
              <w:t>202</w:t>
            </w:r>
            <w:r w:rsidR="00E42592" w:rsidRPr="003E76E7">
              <w:rPr>
                <w:rFonts w:ascii="Arial" w:hAnsi="Arial"/>
                <w:sz w:val="16"/>
                <w:szCs w:val="16"/>
              </w:rPr>
              <w:t>6</w:t>
            </w:r>
            <w:r w:rsidRPr="003E76E7">
              <w:rPr>
                <w:rFonts w:ascii="Arial" w:hAnsi="Arial"/>
                <w:sz w:val="16"/>
                <w:szCs w:val="16"/>
              </w:rPr>
              <w:t>-2</w:t>
            </w:r>
            <w:r w:rsidR="00E42592" w:rsidRPr="003E76E7">
              <w:rPr>
                <w:rFonts w:ascii="Arial" w:hAnsi="Arial"/>
                <w:sz w:val="16"/>
                <w:szCs w:val="16"/>
              </w:rPr>
              <w:t>7</w:t>
            </w:r>
          </w:p>
        </w:tc>
        <w:tc>
          <w:tcPr>
            <w:tcW w:w="3208" w:type="dxa"/>
            <w:vMerge w:val="restart"/>
            <w:tcBorders>
              <w:top w:val="single" w:sz="4" w:space="0" w:color="auto"/>
              <w:left w:val="single" w:sz="4" w:space="0" w:color="auto"/>
              <w:right w:val="single" w:sz="4" w:space="0" w:color="auto"/>
            </w:tcBorders>
          </w:tcPr>
          <w:p w14:paraId="6F2B8E3B" w14:textId="1C68EEAC" w:rsidR="00D23F3B" w:rsidRPr="003E76E7" w:rsidRDefault="00D23F3B" w:rsidP="00C4292D">
            <w:pPr>
              <w:tabs>
                <w:tab w:val="left" w:pos="709"/>
              </w:tabs>
              <w:spacing w:before="60" w:after="60"/>
              <w:rPr>
                <w:rFonts w:ascii="Arial" w:hAnsi="Arial"/>
                <w:sz w:val="16"/>
                <w:szCs w:val="16"/>
              </w:rPr>
            </w:pPr>
            <w:r w:rsidRPr="003E76E7">
              <w:rPr>
                <w:rFonts w:ascii="Arial" w:hAnsi="Arial"/>
                <w:sz w:val="16"/>
                <w:szCs w:val="16"/>
              </w:rPr>
              <w:t>ASD’s foreign signals intelligence</w:t>
            </w:r>
            <w:r w:rsidR="00E42592" w:rsidRPr="003E76E7">
              <w:rPr>
                <w:rFonts w:ascii="Arial" w:hAnsi="Arial"/>
                <w:sz w:val="16"/>
                <w:szCs w:val="16"/>
              </w:rPr>
              <w:t xml:space="preserve"> products and enabling capabilities</w:t>
            </w:r>
            <w:r w:rsidRPr="003E76E7">
              <w:rPr>
                <w:rFonts w:ascii="Arial" w:hAnsi="Arial"/>
                <w:sz w:val="16"/>
                <w:szCs w:val="16"/>
              </w:rPr>
              <w:t xml:space="preserve"> meets Government’s expectations to deliver strategic advantage and </w:t>
            </w:r>
            <w:r w:rsidR="00E42592" w:rsidRPr="003E76E7">
              <w:rPr>
                <w:rFonts w:ascii="Arial" w:hAnsi="Arial"/>
                <w:sz w:val="16"/>
                <w:szCs w:val="16"/>
              </w:rPr>
              <w:t>support</w:t>
            </w:r>
            <w:r w:rsidR="00EE1A63" w:rsidRPr="003E76E7">
              <w:rPr>
                <w:rFonts w:ascii="Arial" w:hAnsi="Arial"/>
                <w:sz w:val="16"/>
                <w:szCs w:val="16"/>
              </w:rPr>
              <w:t xml:space="preserve"> </w:t>
            </w:r>
            <w:r w:rsidRPr="003E76E7">
              <w:rPr>
                <w:rFonts w:ascii="Arial" w:hAnsi="Arial"/>
                <w:sz w:val="16"/>
                <w:szCs w:val="16"/>
              </w:rPr>
              <w:t>National Intelligence Community operations.</w:t>
            </w:r>
          </w:p>
        </w:tc>
        <w:tc>
          <w:tcPr>
            <w:tcW w:w="3653" w:type="dxa"/>
            <w:tcBorders>
              <w:top w:val="single" w:sz="4" w:space="0" w:color="auto"/>
              <w:left w:val="single" w:sz="4" w:space="0" w:color="auto"/>
            </w:tcBorders>
          </w:tcPr>
          <w:p w14:paraId="74FC6C49" w14:textId="77777777" w:rsidR="00D23F3B" w:rsidRPr="003E76E7" w:rsidRDefault="00D23F3B" w:rsidP="00C4292D">
            <w:pPr>
              <w:tabs>
                <w:tab w:val="left" w:pos="709"/>
              </w:tabs>
              <w:spacing w:before="60" w:after="60"/>
              <w:rPr>
                <w:rFonts w:ascii="Arial" w:hAnsi="Arial"/>
                <w:sz w:val="16"/>
                <w:szCs w:val="16"/>
              </w:rPr>
            </w:pPr>
            <w:r w:rsidRPr="003E76E7">
              <w:rPr>
                <w:rFonts w:ascii="Arial" w:eastAsia="Arial" w:hAnsi="Arial"/>
                <w:sz w:val="16"/>
                <w:szCs w:val="16"/>
              </w:rPr>
              <w:t>Government expectations to deliver strategic advantage are met.</w:t>
            </w:r>
          </w:p>
        </w:tc>
      </w:tr>
      <w:tr w:rsidR="00D23F3B" w:rsidRPr="003E76E7" w14:paraId="66179C29" w14:textId="77777777" w:rsidTr="00D23F3B">
        <w:trPr>
          <w:trHeight w:val="445"/>
        </w:trPr>
        <w:tc>
          <w:tcPr>
            <w:tcW w:w="1747" w:type="dxa"/>
            <w:vMerge/>
            <w:tcBorders>
              <w:right w:val="single" w:sz="4" w:space="0" w:color="auto"/>
            </w:tcBorders>
          </w:tcPr>
          <w:p w14:paraId="47A466C5" w14:textId="77777777" w:rsidR="00D23F3B" w:rsidRPr="003E76E7" w:rsidRDefault="00D23F3B" w:rsidP="00C4292D">
            <w:pPr>
              <w:tabs>
                <w:tab w:val="left" w:pos="709"/>
              </w:tabs>
              <w:spacing w:before="0" w:after="0"/>
              <w:rPr>
                <w:rFonts w:ascii="Arial" w:hAnsi="Arial"/>
                <w:sz w:val="16"/>
                <w:szCs w:val="16"/>
              </w:rPr>
            </w:pPr>
          </w:p>
        </w:tc>
        <w:tc>
          <w:tcPr>
            <w:tcW w:w="3208" w:type="dxa"/>
            <w:vMerge/>
            <w:tcBorders>
              <w:left w:val="single" w:sz="4" w:space="0" w:color="auto"/>
              <w:right w:val="single" w:sz="4" w:space="0" w:color="auto"/>
            </w:tcBorders>
          </w:tcPr>
          <w:p w14:paraId="09075DE6" w14:textId="77777777" w:rsidR="00D23F3B" w:rsidRPr="003E76E7" w:rsidRDefault="00D23F3B" w:rsidP="00C4292D">
            <w:pPr>
              <w:tabs>
                <w:tab w:val="left" w:pos="709"/>
              </w:tabs>
              <w:spacing w:before="60" w:after="60"/>
              <w:rPr>
                <w:rFonts w:ascii="Arial" w:hAnsi="Arial"/>
                <w:sz w:val="16"/>
                <w:szCs w:val="16"/>
              </w:rPr>
            </w:pPr>
          </w:p>
        </w:tc>
        <w:tc>
          <w:tcPr>
            <w:tcW w:w="3653" w:type="dxa"/>
            <w:tcBorders>
              <w:top w:val="single" w:sz="4" w:space="0" w:color="auto"/>
              <w:left w:val="single" w:sz="4" w:space="0" w:color="auto"/>
            </w:tcBorders>
          </w:tcPr>
          <w:p w14:paraId="7AA9FB38" w14:textId="77777777" w:rsidR="00D23F3B" w:rsidRPr="003E76E7" w:rsidRDefault="00D23F3B" w:rsidP="00C4292D">
            <w:pPr>
              <w:tabs>
                <w:tab w:val="left" w:pos="709"/>
              </w:tabs>
              <w:spacing w:before="60" w:after="60"/>
              <w:rPr>
                <w:rFonts w:ascii="Arial" w:hAnsi="Arial"/>
                <w:sz w:val="16"/>
                <w:szCs w:val="16"/>
              </w:rPr>
            </w:pPr>
            <w:r w:rsidRPr="003E76E7">
              <w:rPr>
                <w:rFonts w:ascii="Arial" w:eastAsia="Arial" w:hAnsi="Arial"/>
                <w:sz w:val="16"/>
                <w:szCs w:val="16"/>
              </w:rPr>
              <w:t>National Intelligence Community operational requirements are met.</w:t>
            </w:r>
          </w:p>
        </w:tc>
      </w:tr>
      <w:tr w:rsidR="00D23F3B" w:rsidRPr="003E76E7" w14:paraId="4E4A77D6" w14:textId="77777777" w:rsidTr="00D23F3B">
        <w:trPr>
          <w:trHeight w:val="200"/>
        </w:trPr>
        <w:tc>
          <w:tcPr>
            <w:tcW w:w="1747" w:type="dxa"/>
            <w:vMerge/>
            <w:tcBorders>
              <w:right w:val="single" w:sz="4" w:space="0" w:color="auto"/>
            </w:tcBorders>
          </w:tcPr>
          <w:p w14:paraId="32CEC4CF" w14:textId="77777777" w:rsidR="00D23F3B" w:rsidRPr="003E76E7" w:rsidRDefault="00D23F3B" w:rsidP="00C4292D">
            <w:pPr>
              <w:tabs>
                <w:tab w:val="left" w:pos="709"/>
              </w:tabs>
              <w:spacing w:before="0" w:after="0"/>
              <w:rPr>
                <w:rFonts w:ascii="Arial" w:hAnsi="Arial"/>
                <w:sz w:val="16"/>
                <w:szCs w:val="16"/>
              </w:rPr>
            </w:pPr>
          </w:p>
        </w:tc>
        <w:tc>
          <w:tcPr>
            <w:tcW w:w="3208" w:type="dxa"/>
            <w:tcBorders>
              <w:left w:val="single" w:sz="4" w:space="0" w:color="auto"/>
              <w:bottom w:val="single" w:sz="4" w:space="0" w:color="auto"/>
              <w:right w:val="single" w:sz="4" w:space="0" w:color="auto"/>
            </w:tcBorders>
          </w:tcPr>
          <w:p w14:paraId="416112F7" w14:textId="77777777" w:rsidR="00D23F3B" w:rsidRPr="003E76E7" w:rsidRDefault="00D23F3B" w:rsidP="00C4292D">
            <w:pPr>
              <w:tabs>
                <w:tab w:val="left" w:pos="709"/>
              </w:tabs>
              <w:spacing w:before="60" w:after="60"/>
              <w:rPr>
                <w:rFonts w:ascii="Arial" w:hAnsi="Arial"/>
                <w:sz w:val="16"/>
                <w:szCs w:val="16"/>
              </w:rPr>
            </w:pPr>
            <w:r w:rsidRPr="003E76E7">
              <w:rPr>
                <w:rFonts w:ascii="Arial" w:hAnsi="Arial"/>
                <w:sz w:val="16"/>
                <w:szCs w:val="16"/>
              </w:rPr>
              <w:t>ASD's foreign signals intelligence products and technical expertise provide effective support for military operations and activities.</w:t>
            </w:r>
          </w:p>
        </w:tc>
        <w:tc>
          <w:tcPr>
            <w:tcW w:w="3653" w:type="dxa"/>
            <w:tcBorders>
              <w:top w:val="single" w:sz="4" w:space="0" w:color="auto"/>
              <w:left w:val="single" w:sz="4" w:space="0" w:color="auto"/>
            </w:tcBorders>
          </w:tcPr>
          <w:p w14:paraId="4421586F" w14:textId="00990911" w:rsidR="00D23F3B" w:rsidRPr="003E76E7" w:rsidRDefault="00D23F3B" w:rsidP="00C4292D">
            <w:pPr>
              <w:tabs>
                <w:tab w:val="left" w:pos="709"/>
              </w:tabs>
              <w:spacing w:before="60" w:after="60"/>
              <w:rPr>
                <w:rFonts w:ascii="Arial" w:hAnsi="Arial"/>
                <w:sz w:val="16"/>
                <w:szCs w:val="16"/>
              </w:rPr>
            </w:pPr>
            <w:r w:rsidRPr="003E76E7">
              <w:rPr>
                <w:rFonts w:ascii="Arial" w:eastAsia="Arial" w:hAnsi="Arial"/>
                <w:sz w:val="16"/>
                <w:szCs w:val="16"/>
              </w:rPr>
              <w:t>ASD’s foreign signals intelligence</w:t>
            </w:r>
            <w:r w:rsidR="00E42592" w:rsidRPr="003E76E7">
              <w:rPr>
                <w:rFonts w:ascii="Arial" w:eastAsia="Arial" w:hAnsi="Arial"/>
                <w:sz w:val="16"/>
                <w:szCs w:val="16"/>
              </w:rPr>
              <w:t xml:space="preserve"> and enabling capabilities</w:t>
            </w:r>
            <w:r w:rsidRPr="003E76E7">
              <w:rPr>
                <w:rFonts w:ascii="Arial" w:eastAsia="Arial" w:hAnsi="Arial"/>
                <w:sz w:val="16"/>
                <w:szCs w:val="16"/>
              </w:rPr>
              <w:t xml:space="preserve"> support the ADF’s military operations and activities, technological advantage and capabilit</w:t>
            </w:r>
            <w:r w:rsidR="00E42592" w:rsidRPr="003E76E7">
              <w:rPr>
                <w:rFonts w:ascii="Arial" w:eastAsia="Arial" w:hAnsi="Arial"/>
                <w:sz w:val="16"/>
                <w:szCs w:val="16"/>
              </w:rPr>
              <w:t>ies</w:t>
            </w:r>
            <w:r w:rsidRPr="003E76E7">
              <w:rPr>
                <w:rFonts w:ascii="Arial" w:eastAsia="Arial" w:hAnsi="Arial"/>
                <w:sz w:val="16"/>
                <w:szCs w:val="16"/>
              </w:rPr>
              <w:t>.</w:t>
            </w:r>
          </w:p>
        </w:tc>
      </w:tr>
      <w:tr w:rsidR="00D23F3B" w:rsidRPr="003E76E7" w14:paraId="4EE34411" w14:textId="77777777" w:rsidTr="00D23F3B">
        <w:trPr>
          <w:trHeight w:val="491"/>
        </w:trPr>
        <w:tc>
          <w:tcPr>
            <w:tcW w:w="1747" w:type="dxa"/>
            <w:vMerge/>
            <w:tcBorders>
              <w:right w:val="single" w:sz="4" w:space="0" w:color="auto"/>
            </w:tcBorders>
          </w:tcPr>
          <w:p w14:paraId="19E41A98" w14:textId="77777777" w:rsidR="00D23F3B" w:rsidRPr="003E76E7" w:rsidRDefault="00D23F3B" w:rsidP="00C4292D">
            <w:pPr>
              <w:tabs>
                <w:tab w:val="left" w:pos="709"/>
              </w:tabs>
              <w:spacing w:before="0" w:after="0"/>
              <w:jc w:val="both"/>
              <w:rPr>
                <w:rFonts w:ascii="Arial" w:hAnsi="Arial"/>
                <w:sz w:val="16"/>
                <w:szCs w:val="16"/>
              </w:rPr>
            </w:pPr>
          </w:p>
        </w:tc>
        <w:tc>
          <w:tcPr>
            <w:tcW w:w="3208" w:type="dxa"/>
            <w:vMerge w:val="restart"/>
            <w:tcBorders>
              <w:top w:val="single" w:sz="4" w:space="0" w:color="auto"/>
              <w:left w:val="single" w:sz="4" w:space="0" w:color="auto"/>
              <w:right w:val="single" w:sz="4" w:space="0" w:color="auto"/>
            </w:tcBorders>
          </w:tcPr>
          <w:p w14:paraId="5EDD087E" w14:textId="09FD76B8" w:rsidR="00D23F3B" w:rsidRPr="003E76E7" w:rsidRDefault="00D23F3B" w:rsidP="00C4292D">
            <w:pPr>
              <w:tabs>
                <w:tab w:val="left" w:pos="709"/>
              </w:tabs>
              <w:spacing w:before="60" w:after="60"/>
              <w:rPr>
                <w:rFonts w:ascii="Arial" w:hAnsi="Arial"/>
                <w:sz w:val="16"/>
                <w:szCs w:val="16"/>
              </w:rPr>
            </w:pPr>
            <w:r w:rsidRPr="003E76E7">
              <w:rPr>
                <w:rFonts w:ascii="Arial" w:hAnsi="Arial"/>
                <w:sz w:val="16"/>
                <w:szCs w:val="16"/>
              </w:rPr>
              <w:t xml:space="preserve">ASD provides high-quality, impactful cyber security services to </w:t>
            </w:r>
            <w:r w:rsidR="00E42592" w:rsidRPr="003E76E7">
              <w:rPr>
                <w:rFonts w:ascii="Arial" w:hAnsi="Arial"/>
                <w:sz w:val="16"/>
                <w:szCs w:val="16"/>
              </w:rPr>
              <w:t>G</w:t>
            </w:r>
            <w:r w:rsidRPr="003E76E7">
              <w:rPr>
                <w:rFonts w:ascii="Arial" w:hAnsi="Arial"/>
                <w:sz w:val="16"/>
                <w:szCs w:val="16"/>
              </w:rPr>
              <w:t>overnment, critical infrastructure and services, business, families and individuals.</w:t>
            </w:r>
          </w:p>
        </w:tc>
        <w:tc>
          <w:tcPr>
            <w:tcW w:w="3653" w:type="dxa"/>
            <w:tcBorders>
              <w:top w:val="single" w:sz="4" w:space="0" w:color="auto"/>
              <w:left w:val="single" w:sz="4" w:space="0" w:color="auto"/>
              <w:bottom w:val="single" w:sz="4" w:space="0" w:color="auto"/>
            </w:tcBorders>
          </w:tcPr>
          <w:p w14:paraId="609BAA5B" w14:textId="77777777" w:rsidR="00D23F3B" w:rsidRPr="003E76E7" w:rsidRDefault="00D23F3B" w:rsidP="00C4292D">
            <w:pPr>
              <w:tabs>
                <w:tab w:val="left" w:pos="709"/>
              </w:tabs>
              <w:spacing w:before="60" w:after="60"/>
              <w:rPr>
                <w:rFonts w:ascii="Arial" w:hAnsi="Arial"/>
                <w:sz w:val="16"/>
                <w:szCs w:val="16"/>
              </w:rPr>
            </w:pPr>
            <w:r w:rsidRPr="003E76E7">
              <w:rPr>
                <w:rFonts w:ascii="Arial" w:eastAsia="Arial" w:hAnsi="Arial"/>
                <w:sz w:val="16"/>
                <w:szCs w:val="16"/>
              </w:rPr>
              <w:t>ASD’s cyber security advice and assistance supports stakeholders to improve or maintain their cyber security posture.</w:t>
            </w:r>
          </w:p>
        </w:tc>
      </w:tr>
      <w:tr w:rsidR="00D23F3B" w:rsidRPr="003E76E7" w14:paraId="1F48FEAD" w14:textId="77777777" w:rsidTr="00D23F3B">
        <w:trPr>
          <w:trHeight w:val="491"/>
        </w:trPr>
        <w:tc>
          <w:tcPr>
            <w:tcW w:w="1747" w:type="dxa"/>
            <w:vMerge/>
            <w:tcBorders>
              <w:right w:val="single" w:sz="4" w:space="0" w:color="auto"/>
            </w:tcBorders>
          </w:tcPr>
          <w:p w14:paraId="7FB7264D" w14:textId="77777777" w:rsidR="00D23F3B" w:rsidRPr="003E76E7" w:rsidRDefault="00D23F3B" w:rsidP="00C4292D">
            <w:pPr>
              <w:tabs>
                <w:tab w:val="left" w:pos="709"/>
              </w:tabs>
              <w:spacing w:before="0" w:after="0"/>
              <w:jc w:val="both"/>
              <w:rPr>
                <w:rFonts w:ascii="Arial" w:hAnsi="Arial"/>
                <w:sz w:val="16"/>
                <w:szCs w:val="16"/>
              </w:rPr>
            </w:pPr>
          </w:p>
        </w:tc>
        <w:tc>
          <w:tcPr>
            <w:tcW w:w="3208" w:type="dxa"/>
            <w:vMerge/>
            <w:tcBorders>
              <w:left w:val="single" w:sz="4" w:space="0" w:color="auto"/>
              <w:right w:val="single" w:sz="4" w:space="0" w:color="auto"/>
            </w:tcBorders>
          </w:tcPr>
          <w:p w14:paraId="304547EB" w14:textId="77777777" w:rsidR="00D23F3B" w:rsidRPr="003E76E7" w:rsidRDefault="00D23F3B" w:rsidP="00C4292D">
            <w:pPr>
              <w:tabs>
                <w:tab w:val="left" w:pos="709"/>
              </w:tabs>
              <w:spacing w:before="60" w:after="60"/>
              <w:rPr>
                <w:rFonts w:ascii="Arial" w:hAnsi="Arial"/>
                <w:sz w:val="16"/>
                <w:szCs w:val="16"/>
              </w:rPr>
            </w:pPr>
          </w:p>
        </w:tc>
        <w:tc>
          <w:tcPr>
            <w:tcW w:w="3653" w:type="dxa"/>
            <w:tcBorders>
              <w:top w:val="single" w:sz="4" w:space="0" w:color="auto"/>
              <w:left w:val="single" w:sz="4" w:space="0" w:color="auto"/>
              <w:bottom w:val="single" w:sz="4" w:space="0" w:color="auto"/>
            </w:tcBorders>
          </w:tcPr>
          <w:p w14:paraId="6CE4C43B" w14:textId="77777777" w:rsidR="00D23F3B" w:rsidRPr="003E76E7" w:rsidRDefault="00D23F3B" w:rsidP="00C4292D">
            <w:pPr>
              <w:tabs>
                <w:tab w:val="left" w:pos="709"/>
              </w:tabs>
              <w:spacing w:before="60" w:after="60"/>
              <w:rPr>
                <w:rFonts w:ascii="Arial" w:hAnsi="Arial"/>
                <w:sz w:val="16"/>
                <w:szCs w:val="16"/>
              </w:rPr>
            </w:pPr>
            <w:r w:rsidRPr="003E76E7">
              <w:rPr>
                <w:rFonts w:ascii="Arial" w:eastAsia="Arial" w:hAnsi="Arial"/>
                <w:sz w:val="16"/>
                <w:szCs w:val="16"/>
              </w:rPr>
              <w:t>Systems to support assistance and technical advice are available for use by ASD and relevant stakeholders.</w:t>
            </w:r>
          </w:p>
        </w:tc>
      </w:tr>
      <w:tr w:rsidR="00D23F3B" w:rsidRPr="003E76E7" w14:paraId="286C7958" w14:textId="77777777" w:rsidTr="00D23F3B">
        <w:trPr>
          <w:trHeight w:val="491"/>
        </w:trPr>
        <w:tc>
          <w:tcPr>
            <w:tcW w:w="1747" w:type="dxa"/>
            <w:vMerge/>
            <w:tcBorders>
              <w:right w:val="single" w:sz="4" w:space="0" w:color="auto"/>
            </w:tcBorders>
          </w:tcPr>
          <w:p w14:paraId="4E5EF469" w14:textId="77777777" w:rsidR="00D23F3B" w:rsidRPr="003E76E7" w:rsidRDefault="00D23F3B" w:rsidP="00C4292D">
            <w:pPr>
              <w:tabs>
                <w:tab w:val="left" w:pos="709"/>
              </w:tabs>
              <w:spacing w:before="0" w:after="0"/>
              <w:jc w:val="both"/>
              <w:rPr>
                <w:rFonts w:ascii="Arial" w:hAnsi="Arial"/>
                <w:sz w:val="16"/>
                <w:szCs w:val="16"/>
              </w:rPr>
            </w:pPr>
          </w:p>
        </w:tc>
        <w:tc>
          <w:tcPr>
            <w:tcW w:w="3208" w:type="dxa"/>
            <w:vMerge/>
            <w:tcBorders>
              <w:left w:val="single" w:sz="4" w:space="0" w:color="auto"/>
              <w:right w:val="single" w:sz="4" w:space="0" w:color="auto"/>
            </w:tcBorders>
          </w:tcPr>
          <w:p w14:paraId="2BD33783" w14:textId="77777777" w:rsidR="00D23F3B" w:rsidRPr="003E76E7" w:rsidRDefault="00D23F3B" w:rsidP="00C4292D">
            <w:pPr>
              <w:tabs>
                <w:tab w:val="left" w:pos="709"/>
              </w:tabs>
              <w:spacing w:before="60" w:after="60"/>
              <w:rPr>
                <w:rFonts w:ascii="Arial" w:hAnsi="Arial"/>
                <w:sz w:val="16"/>
                <w:szCs w:val="16"/>
              </w:rPr>
            </w:pPr>
          </w:p>
        </w:tc>
        <w:tc>
          <w:tcPr>
            <w:tcW w:w="3653" w:type="dxa"/>
            <w:tcBorders>
              <w:top w:val="single" w:sz="4" w:space="0" w:color="auto"/>
              <w:left w:val="single" w:sz="4" w:space="0" w:color="auto"/>
              <w:bottom w:val="single" w:sz="4" w:space="0" w:color="auto"/>
            </w:tcBorders>
          </w:tcPr>
          <w:p w14:paraId="61056E7C" w14:textId="77777777" w:rsidR="00D23F3B" w:rsidRPr="003E76E7" w:rsidRDefault="00D23F3B" w:rsidP="00C4292D">
            <w:pPr>
              <w:tabs>
                <w:tab w:val="left" w:pos="709"/>
              </w:tabs>
              <w:spacing w:before="60" w:after="60"/>
              <w:rPr>
                <w:rFonts w:ascii="Arial" w:hAnsi="Arial"/>
                <w:sz w:val="16"/>
                <w:szCs w:val="16"/>
              </w:rPr>
            </w:pPr>
            <w:r w:rsidRPr="003E76E7">
              <w:rPr>
                <w:rFonts w:ascii="Arial" w:eastAsia="Arial" w:hAnsi="Arial"/>
                <w:sz w:val="16"/>
                <w:szCs w:val="16"/>
              </w:rPr>
              <w:t>ASD’s Top Secret network assessment and authorisation activities and key management services support stakeholders’ requirements.</w:t>
            </w:r>
          </w:p>
        </w:tc>
      </w:tr>
      <w:tr w:rsidR="00D23F3B" w:rsidRPr="003E76E7" w14:paraId="24CFACC3" w14:textId="77777777" w:rsidTr="00D23F3B">
        <w:trPr>
          <w:trHeight w:val="491"/>
        </w:trPr>
        <w:tc>
          <w:tcPr>
            <w:tcW w:w="1747" w:type="dxa"/>
            <w:vMerge/>
            <w:tcBorders>
              <w:right w:val="single" w:sz="4" w:space="0" w:color="auto"/>
            </w:tcBorders>
          </w:tcPr>
          <w:p w14:paraId="6477E6D4" w14:textId="77777777" w:rsidR="00D23F3B" w:rsidRPr="003E76E7" w:rsidRDefault="00D23F3B" w:rsidP="00C4292D">
            <w:pPr>
              <w:tabs>
                <w:tab w:val="left" w:pos="709"/>
              </w:tabs>
              <w:spacing w:before="0" w:after="0"/>
              <w:jc w:val="both"/>
              <w:rPr>
                <w:rFonts w:ascii="Arial" w:hAnsi="Arial"/>
                <w:sz w:val="16"/>
                <w:szCs w:val="16"/>
              </w:rPr>
            </w:pPr>
          </w:p>
        </w:tc>
        <w:tc>
          <w:tcPr>
            <w:tcW w:w="3208" w:type="dxa"/>
            <w:vMerge w:val="restart"/>
            <w:tcBorders>
              <w:top w:val="single" w:sz="4" w:space="0" w:color="auto"/>
              <w:left w:val="single" w:sz="4" w:space="0" w:color="auto"/>
              <w:right w:val="single" w:sz="4" w:space="0" w:color="auto"/>
            </w:tcBorders>
          </w:tcPr>
          <w:p w14:paraId="66DF4641" w14:textId="77777777" w:rsidR="00D23F3B" w:rsidRPr="003E76E7" w:rsidRDefault="00D23F3B" w:rsidP="00C4292D">
            <w:pPr>
              <w:tabs>
                <w:tab w:val="left" w:pos="709"/>
              </w:tabs>
              <w:spacing w:before="60" w:after="60"/>
              <w:rPr>
                <w:rFonts w:ascii="Arial" w:hAnsi="Arial"/>
                <w:sz w:val="16"/>
                <w:szCs w:val="16"/>
              </w:rPr>
            </w:pPr>
            <w:r w:rsidRPr="003E76E7">
              <w:rPr>
                <w:rFonts w:ascii="Arial" w:hAnsi="Arial"/>
                <w:sz w:val="16"/>
                <w:szCs w:val="16"/>
              </w:rPr>
              <w:t>ASD delivers partnerships, programs and technical capability that strengthen national cyber security or resilience.</w:t>
            </w:r>
          </w:p>
        </w:tc>
        <w:tc>
          <w:tcPr>
            <w:tcW w:w="3653" w:type="dxa"/>
            <w:tcBorders>
              <w:top w:val="single" w:sz="4" w:space="0" w:color="auto"/>
              <w:left w:val="single" w:sz="4" w:space="0" w:color="auto"/>
              <w:bottom w:val="single" w:sz="4" w:space="0" w:color="auto"/>
            </w:tcBorders>
          </w:tcPr>
          <w:p w14:paraId="1E971364" w14:textId="77777777" w:rsidR="00D23F3B" w:rsidRPr="003E76E7" w:rsidRDefault="00D23F3B" w:rsidP="00C4292D">
            <w:pPr>
              <w:tabs>
                <w:tab w:val="left" w:pos="709"/>
              </w:tabs>
              <w:spacing w:before="60" w:after="60"/>
              <w:rPr>
                <w:rFonts w:ascii="Arial" w:hAnsi="Arial"/>
                <w:sz w:val="16"/>
                <w:szCs w:val="16"/>
              </w:rPr>
            </w:pPr>
            <w:r w:rsidRPr="003E76E7">
              <w:rPr>
                <w:rFonts w:ascii="Arial" w:eastAsia="Arial" w:hAnsi="Arial"/>
                <w:sz w:val="16"/>
                <w:szCs w:val="16"/>
              </w:rPr>
              <w:t>Cyber security information and expertise exchanges with partners help prevent, detect or remediate cyber threats to Australia.</w:t>
            </w:r>
          </w:p>
        </w:tc>
      </w:tr>
      <w:tr w:rsidR="00D23F3B" w:rsidRPr="003E76E7" w14:paraId="5A51CDFE" w14:textId="77777777" w:rsidTr="00D23F3B">
        <w:trPr>
          <w:trHeight w:val="491"/>
        </w:trPr>
        <w:tc>
          <w:tcPr>
            <w:tcW w:w="1747" w:type="dxa"/>
            <w:vMerge/>
            <w:tcBorders>
              <w:right w:val="single" w:sz="4" w:space="0" w:color="auto"/>
            </w:tcBorders>
          </w:tcPr>
          <w:p w14:paraId="4E23689D" w14:textId="77777777" w:rsidR="00D23F3B" w:rsidRPr="003E76E7" w:rsidRDefault="00D23F3B" w:rsidP="00C4292D">
            <w:pPr>
              <w:tabs>
                <w:tab w:val="left" w:pos="709"/>
              </w:tabs>
              <w:spacing w:before="0" w:after="0"/>
              <w:jc w:val="both"/>
              <w:rPr>
                <w:rFonts w:ascii="Arial" w:hAnsi="Arial"/>
                <w:sz w:val="16"/>
                <w:szCs w:val="16"/>
              </w:rPr>
            </w:pPr>
          </w:p>
        </w:tc>
        <w:tc>
          <w:tcPr>
            <w:tcW w:w="3208" w:type="dxa"/>
            <w:vMerge/>
            <w:tcBorders>
              <w:left w:val="single" w:sz="4" w:space="0" w:color="auto"/>
              <w:right w:val="single" w:sz="4" w:space="0" w:color="auto"/>
            </w:tcBorders>
          </w:tcPr>
          <w:p w14:paraId="3F713C95" w14:textId="77777777" w:rsidR="00D23F3B" w:rsidRPr="003E76E7" w:rsidRDefault="00D23F3B" w:rsidP="00C4292D">
            <w:pPr>
              <w:tabs>
                <w:tab w:val="left" w:pos="709"/>
              </w:tabs>
              <w:spacing w:before="60" w:after="60"/>
              <w:rPr>
                <w:rFonts w:ascii="Arial" w:hAnsi="Arial"/>
                <w:sz w:val="16"/>
                <w:szCs w:val="16"/>
              </w:rPr>
            </w:pPr>
          </w:p>
        </w:tc>
        <w:tc>
          <w:tcPr>
            <w:tcW w:w="3653" w:type="dxa"/>
            <w:tcBorders>
              <w:top w:val="single" w:sz="4" w:space="0" w:color="auto"/>
              <w:left w:val="single" w:sz="4" w:space="0" w:color="auto"/>
              <w:bottom w:val="single" w:sz="4" w:space="0" w:color="auto"/>
            </w:tcBorders>
          </w:tcPr>
          <w:p w14:paraId="762DE908" w14:textId="77777777" w:rsidR="00D23F3B" w:rsidRPr="003E76E7" w:rsidRDefault="00D23F3B" w:rsidP="00C4292D">
            <w:pPr>
              <w:tabs>
                <w:tab w:val="left" w:pos="709"/>
              </w:tabs>
              <w:spacing w:before="60" w:after="60"/>
              <w:rPr>
                <w:rFonts w:ascii="Arial" w:hAnsi="Arial"/>
                <w:sz w:val="16"/>
                <w:szCs w:val="16"/>
              </w:rPr>
            </w:pPr>
            <w:r w:rsidRPr="003E76E7">
              <w:rPr>
                <w:rFonts w:ascii="Arial" w:eastAsia="Arial" w:hAnsi="Arial"/>
                <w:sz w:val="16"/>
                <w:szCs w:val="16"/>
              </w:rPr>
              <w:t>ASD supports emerging cyber security research that may help prevent, detect or remediate cyber threats to Australia.</w:t>
            </w:r>
          </w:p>
        </w:tc>
      </w:tr>
      <w:tr w:rsidR="00D23F3B" w:rsidRPr="003E76E7" w14:paraId="7DC76EBD" w14:textId="77777777" w:rsidTr="00D23F3B">
        <w:trPr>
          <w:trHeight w:val="491"/>
        </w:trPr>
        <w:tc>
          <w:tcPr>
            <w:tcW w:w="1747" w:type="dxa"/>
            <w:vMerge/>
            <w:tcBorders>
              <w:right w:val="single" w:sz="4" w:space="0" w:color="auto"/>
            </w:tcBorders>
          </w:tcPr>
          <w:p w14:paraId="0F586D4E" w14:textId="77777777" w:rsidR="00D23F3B" w:rsidRPr="003E76E7" w:rsidRDefault="00D23F3B" w:rsidP="00C4292D">
            <w:pPr>
              <w:tabs>
                <w:tab w:val="left" w:pos="709"/>
              </w:tabs>
              <w:spacing w:before="0" w:after="0"/>
              <w:jc w:val="both"/>
              <w:rPr>
                <w:rFonts w:ascii="Arial" w:hAnsi="Arial"/>
                <w:sz w:val="16"/>
                <w:szCs w:val="16"/>
              </w:rPr>
            </w:pPr>
          </w:p>
        </w:tc>
        <w:tc>
          <w:tcPr>
            <w:tcW w:w="3208" w:type="dxa"/>
            <w:vMerge w:val="restart"/>
            <w:tcBorders>
              <w:top w:val="single" w:sz="4" w:space="0" w:color="auto"/>
              <w:left w:val="single" w:sz="4" w:space="0" w:color="auto"/>
              <w:right w:val="single" w:sz="4" w:space="0" w:color="auto"/>
            </w:tcBorders>
          </w:tcPr>
          <w:p w14:paraId="4E660F9E" w14:textId="77777777" w:rsidR="00D23F3B" w:rsidRPr="003E76E7" w:rsidRDefault="00D23F3B" w:rsidP="00C4292D">
            <w:pPr>
              <w:tabs>
                <w:tab w:val="left" w:pos="709"/>
              </w:tabs>
              <w:spacing w:before="60" w:after="60"/>
              <w:rPr>
                <w:rFonts w:ascii="Arial" w:hAnsi="Arial"/>
                <w:sz w:val="16"/>
                <w:szCs w:val="16"/>
              </w:rPr>
            </w:pPr>
            <w:r w:rsidRPr="003E76E7">
              <w:rPr>
                <w:rFonts w:ascii="Arial" w:hAnsi="Arial"/>
                <w:sz w:val="16"/>
                <w:szCs w:val="16"/>
              </w:rPr>
              <w:t>ASD’s offensive cyber operations provide effective and timely support for military operations and activities, and meet whole</w:t>
            </w:r>
            <w:r w:rsidRPr="003E76E7">
              <w:rPr>
                <w:rFonts w:ascii="Arial" w:hAnsi="Arial"/>
                <w:sz w:val="16"/>
                <w:szCs w:val="16"/>
              </w:rPr>
              <w:noBreakHyphen/>
              <w:t>of-government requirements for countering offshore cyber threats.</w:t>
            </w:r>
          </w:p>
        </w:tc>
        <w:tc>
          <w:tcPr>
            <w:tcW w:w="3653" w:type="dxa"/>
            <w:tcBorders>
              <w:top w:val="single" w:sz="4" w:space="0" w:color="auto"/>
              <w:left w:val="single" w:sz="4" w:space="0" w:color="auto"/>
              <w:bottom w:val="single" w:sz="4" w:space="0" w:color="auto"/>
            </w:tcBorders>
          </w:tcPr>
          <w:p w14:paraId="3C7208C6" w14:textId="77777777" w:rsidR="00D23F3B" w:rsidRPr="003E76E7" w:rsidRDefault="00D23F3B" w:rsidP="00C4292D">
            <w:pPr>
              <w:tabs>
                <w:tab w:val="left" w:pos="709"/>
              </w:tabs>
              <w:spacing w:before="60" w:after="60"/>
              <w:rPr>
                <w:rFonts w:ascii="Arial" w:hAnsi="Arial"/>
                <w:sz w:val="16"/>
                <w:szCs w:val="16"/>
              </w:rPr>
            </w:pPr>
            <w:r w:rsidRPr="003E76E7">
              <w:rPr>
                <w:rFonts w:ascii="Arial" w:eastAsia="Arial" w:hAnsi="Arial"/>
                <w:sz w:val="16"/>
                <w:szCs w:val="16"/>
              </w:rPr>
              <w:t>Offensive cyber capabilities provide effective and timely support for ADF military operations and activities.</w:t>
            </w:r>
          </w:p>
        </w:tc>
      </w:tr>
      <w:tr w:rsidR="00D23F3B" w:rsidRPr="003E76E7" w14:paraId="64E08937" w14:textId="77777777" w:rsidTr="00D23F3B">
        <w:trPr>
          <w:trHeight w:val="491"/>
        </w:trPr>
        <w:tc>
          <w:tcPr>
            <w:tcW w:w="1747" w:type="dxa"/>
            <w:vMerge/>
            <w:tcBorders>
              <w:bottom w:val="single" w:sz="4" w:space="0" w:color="auto"/>
              <w:right w:val="single" w:sz="4" w:space="0" w:color="auto"/>
            </w:tcBorders>
          </w:tcPr>
          <w:p w14:paraId="66F04E8E" w14:textId="77777777" w:rsidR="00D23F3B" w:rsidRPr="003E76E7" w:rsidRDefault="00D23F3B" w:rsidP="00C4292D">
            <w:pPr>
              <w:tabs>
                <w:tab w:val="left" w:pos="709"/>
              </w:tabs>
              <w:spacing w:before="0" w:after="0"/>
              <w:jc w:val="both"/>
              <w:rPr>
                <w:rFonts w:ascii="Arial" w:hAnsi="Arial"/>
                <w:sz w:val="16"/>
                <w:szCs w:val="16"/>
              </w:rPr>
            </w:pPr>
          </w:p>
        </w:tc>
        <w:tc>
          <w:tcPr>
            <w:tcW w:w="3208" w:type="dxa"/>
            <w:vMerge/>
            <w:tcBorders>
              <w:left w:val="single" w:sz="4" w:space="0" w:color="auto"/>
              <w:right w:val="single" w:sz="4" w:space="0" w:color="auto"/>
            </w:tcBorders>
          </w:tcPr>
          <w:p w14:paraId="2C028E34" w14:textId="77777777" w:rsidR="00D23F3B" w:rsidRPr="003E76E7" w:rsidRDefault="00D23F3B" w:rsidP="00C4292D">
            <w:pPr>
              <w:tabs>
                <w:tab w:val="left" w:pos="709"/>
              </w:tabs>
              <w:spacing w:before="60" w:after="60"/>
              <w:rPr>
                <w:rFonts w:ascii="Arial" w:hAnsi="Arial"/>
                <w:sz w:val="16"/>
                <w:szCs w:val="16"/>
              </w:rPr>
            </w:pPr>
          </w:p>
        </w:tc>
        <w:tc>
          <w:tcPr>
            <w:tcW w:w="3653" w:type="dxa"/>
            <w:tcBorders>
              <w:top w:val="single" w:sz="4" w:space="0" w:color="auto"/>
              <w:left w:val="single" w:sz="4" w:space="0" w:color="auto"/>
              <w:bottom w:val="single" w:sz="4" w:space="0" w:color="auto"/>
            </w:tcBorders>
          </w:tcPr>
          <w:p w14:paraId="79163AF4" w14:textId="77777777" w:rsidR="00D23F3B" w:rsidRPr="003E76E7" w:rsidRDefault="00D23F3B" w:rsidP="00C4292D">
            <w:pPr>
              <w:tabs>
                <w:tab w:val="left" w:pos="709"/>
              </w:tabs>
              <w:spacing w:before="60" w:after="60"/>
              <w:rPr>
                <w:rFonts w:ascii="Arial" w:hAnsi="Arial"/>
                <w:sz w:val="16"/>
                <w:szCs w:val="16"/>
              </w:rPr>
            </w:pPr>
            <w:r w:rsidRPr="003E76E7">
              <w:rPr>
                <w:rFonts w:ascii="Arial" w:eastAsia="Arial" w:hAnsi="Arial"/>
                <w:sz w:val="16"/>
                <w:szCs w:val="16"/>
              </w:rPr>
              <w:t>Offensive cyber operations that counter offshore cyber threats meet whole-of-government requirements.</w:t>
            </w:r>
          </w:p>
        </w:tc>
      </w:tr>
      <w:tr w:rsidR="000F08AB" w:rsidRPr="003E76E7" w14:paraId="5856FF59" w14:textId="77777777" w:rsidTr="000E1A17">
        <w:trPr>
          <w:trHeight w:val="258"/>
        </w:trPr>
        <w:tc>
          <w:tcPr>
            <w:tcW w:w="1747" w:type="dxa"/>
            <w:tcBorders>
              <w:top w:val="single" w:sz="4" w:space="0" w:color="auto"/>
              <w:bottom w:val="single" w:sz="4" w:space="0" w:color="auto"/>
              <w:right w:val="single" w:sz="4" w:space="0" w:color="auto"/>
            </w:tcBorders>
            <w:vAlign w:val="center"/>
          </w:tcPr>
          <w:p w14:paraId="4BFCE507" w14:textId="77777777" w:rsidR="000F08AB" w:rsidRPr="003E76E7" w:rsidRDefault="000F08AB" w:rsidP="00C4292D">
            <w:pPr>
              <w:tabs>
                <w:tab w:val="left" w:pos="709"/>
              </w:tabs>
              <w:spacing w:before="0" w:after="0"/>
              <w:rPr>
                <w:rFonts w:ascii="Arial" w:hAnsi="Arial"/>
                <w:b/>
                <w:sz w:val="16"/>
                <w:szCs w:val="16"/>
              </w:rPr>
            </w:pPr>
            <w:r w:rsidRPr="003E76E7">
              <w:rPr>
                <w:rFonts w:ascii="Arial" w:hAnsi="Arial"/>
                <w:b/>
                <w:sz w:val="16"/>
                <w:szCs w:val="16"/>
              </w:rPr>
              <w:t>Year</w:t>
            </w:r>
          </w:p>
        </w:tc>
        <w:tc>
          <w:tcPr>
            <w:tcW w:w="3208" w:type="dxa"/>
            <w:tcBorders>
              <w:top w:val="single" w:sz="4" w:space="0" w:color="auto"/>
              <w:left w:val="single" w:sz="4" w:space="0" w:color="auto"/>
              <w:bottom w:val="single" w:sz="4" w:space="0" w:color="auto"/>
              <w:right w:val="single" w:sz="4" w:space="0" w:color="auto"/>
            </w:tcBorders>
            <w:vAlign w:val="center"/>
          </w:tcPr>
          <w:p w14:paraId="3FEB118A" w14:textId="059367B8" w:rsidR="000F08AB" w:rsidRPr="003E76E7" w:rsidRDefault="000F08AB" w:rsidP="00C4292D">
            <w:pPr>
              <w:tabs>
                <w:tab w:val="left" w:pos="709"/>
                <w:tab w:val="center" w:pos="1818"/>
              </w:tabs>
              <w:spacing w:before="60" w:after="60"/>
              <w:rPr>
                <w:rFonts w:ascii="Arial" w:hAnsi="Arial"/>
                <w:b/>
                <w:sz w:val="16"/>
                <w:szCs w:val="16"/>
              </w:rPr>
            </w:pPr>
            <w:r w:rsidRPr="003E76E7">
              <w:rPr>
                <w:rFonts w:ascii="Arial" w:hAnsi="Arial"/>
                <w:b/>
                <w:sz w:val="16"/>
                <w:szCs w:val="16"/>
              </w:rPr>
              <w:t xml:space="preserve">Performance </w:t>
            </w:r>
            <w:r w:rsidR="009B3FA5" w:rsidRPr="003E76E7">
              <w:rPr>
                <w:rFonts w:ascii="Arial" w:hAnsi="Arial"/>
                <w:b/>
                <w:sz w:val="16"/>
                <w:szCs w:val="16"/>
              </w:rPr>
              <w:t>Objectives</w:t>
            </w:r>
          </w:p>
        </w:tc>
        <w:tc>
          <w:tcPr>
            <w:tcW w:w="3653" w:type="dxa"/>
            <w:tcBorders>
              <w:top w:val="single" w:sz="4" w:space="0" w:color="auto"/>
              <w:left w:val="single" w:sz="4" w:space="0" w:color="auto"/>
              <w:bottom w:val="single" w:sz="4" w:space="0" w:color="auto"/>
            </w:tcBorders>
            <w:vAlign w:val="center"/>
          </w:tcPr>
          <w:p w14:paraId="380CA65D" w14:textId="62C30D22" w:rsidR="000F08AB" w:rsidRPr="003E76E7" w:rsidRDefault="000F08AB" w:rsidP="00C4292D">
            <w:pPr>
              <w:tabs>
                <w:tab w:val="left" w:pos="709"/>
              </w:tabs>
              <w:spacing w:before="60" w:after="60"/>
              <w:rPr>
                <w:rFonts w:ascii="Arial" w:eastAsia="Arial" w:hAnsi="Arial"/>
                <w:sz w:val="16"/>
                <w:szCs w:val="16"/>
              </w:rPr>
            </w:pPr>
            <w:r w:rsidRPr="003E76E7">
              <w:rPr>
                <w:rFonts w:ascii="Arial" w:hAnsi="Arial"/>
                <w:b/>
                <w:sz w:val="16"/>
                <w:szCs w:val="16"/>
              </w:rPr>
              <w:t>Planned Performance Results</w:t>
            </w:r>
          </w:p>
        </w:tc>
      </w:tr>
      <w:tr w:rsidR="00D23F3B" w:rsidRPr="003E76E7" w14:paraId="0DBCCC58" w14:textId="77777777" w:rsidTr="000E1A17">
        <w:trPr>
          <w:trHeight w:val="491"/>
        </w:trPr>
        <w:tc>
          <w:tcPr>
            <w:tcW w:w="1747" w:type="dxa"/>
            <w:tcBorders>
              <w:top w:val="single" w:sz="4" w:space="0" w:color="auto"/>
              <w:bottom w:val="single" w:sz="4" w:space="0" w:color="auto"/>
              <w:right w:val="single" w:sz="4" w:space="0" w:color="auto"/>
            </w:tcBorders>
            <w:vAlign w:val="center"/>
          </w:tcPr>
          <w:p w14:paraId="14FCF673" w14:textId="77777777" w:rsidR="00D23F3B" w:rsidRPr="003E76E7" w:rsidRDefault="00D23F3B" w:rsidP="00C4292D">
            <w:pPr>
              <w:tabs>
                <w:tab w:val="left" w:pos="709"/>
              </w:tabs>
              <w:spacing w:before="0" w:after="0"/>
              <w:rPr>
                <w:rFonts w:ascii="Arial" w:hAnsi="Arial"/>
                <w:sz w:val="16"/>
                <w:szCs w:val="16"/>
              </w:rPr>
            </w:pPr>
            <w:r w:rsidRPr="003E76E7">
              <w:rPr>
                <w:rFonts w:ascii="Arial" w:hAnsi="Arial"/>
                <w:sz w:val="16"/>
                <w:szCs w:val="16"/>
              </w:rPr>
              <w:t>Forward Estimates</w:t>
            </w:r>
          </w:p>
          <w:p w14:paraId="478749BB" w14:textId="75411AD5" w:rsidR="00D23F3B" w:rsidRPr="003E76E7" w:rsidRDefault="00D23F3B" w:rsidP="00C4292D">
            <w:pPr>
              <w:tabs>
                <w:tab w:val="left" w:pos="709"/>
              </w:tabs>
              <w:spacing w:before="0" w:after="0"/>
              <w:rPr>
                <w:rFonts w:ascii="Arial" w:hAnsi="Arial"/>
                <w:b/>
                <w:sz w:val="16"/>
                <w:szCs w:val="16"/>
              </w:rPr>
            </w:pPr>
            <w:r w:rsidRPr="003E76E7">
              <w:rPr>
                <w:rFonts w:ascii="Arial" w:hAnsi="Arial"/>
                <w:sz w:val="16"/>
                <w:szCs w:val="16"/>
              </w:rPr>
              <w:t>202</w:t>
            </w:r>
            <w:r w:rsidR="00E42592" w:rsidRPr="003E76E7">
              <w:rPr>
                <w:rFonts w:ascii="Arial" w:hAnsi="Arial"/>
                <w:sz w:val="16"/>
                <w:szCs w:val="16"/>
              </w:rPr>
              <w:t>7</w:t>
            </w:r>
            <w:r w:rsidRPr="003E76E7">
              <w:rPr>
                <w:rFonts w:ascii="Arial" w:hAnsi="Arial"/>
                <w:sz w:val="16"/>
                <w:szCs w:val="16"/>
              </w:rPr>
              <w:noBreakHyphen/>
            </w:r>
            <w:r w:rsidR="00E42592" w:rsidRPr="003E76E7">
              <w:rPr>
                <w:rFonts w:ascii="Arial" w:hAnsi="Arial"/>
                <w:sz w:val="16"/>
                <w:szCs w:val="16"/>
              </w:rPr>
              <w:t>30</w:t>
            </w:r>
          </w:p>
        </w:tc>
        <w:tc>
          <w:tcPr>
            <w:tcW w:w="3208" w:type="dxa"/>
            <w:tcBorders>
              <w:top w:val="single" w:sz="4" w:space="0" w:color="auto"/>
              <w:left w:val="single" w:sz="4" w:space="0" w:color="auto"/>
              <w:right w:val="single" w:sz="4" w:space="0" w:color="auto"/>
            </w:tcBorders>
            <w:vAlign w:val="center"/>
          </w:tcPr>
          <w:p w14:paraId="2C246E5D" w14:textId="276A3FB5" w:rsidR="00D23F3B" w:rsidRPr="003E76E7" w:rsidRDefault="00D23F3B" w:rsidP="00C4292D">
            <w:pPr>
              <w:tabs>
                <w:tab w:val="left" w:pos="709"/>
              </w:tabs>
              <w:spacing w:before="60" w:after="60"/>
              <w:rPr>
                <w:rFonts w:ascii="Arial" w:hAnsi="Arial"/>
                <w:sz w:val="16"/>
                <w:szCs w:val="16"/>
              </w:rPr>
            </w:pPr>
            <w:r w:rsidRPr="003E76E7">
              <w:rPr>
                <w:rFonts w:ascii="Arial" w:hAnsi="Arial"/>
                <w:sz w:val="16"/>
                <w:szCs w:val="16"/>
              </w:rPr>
              <w:t>As per 202</w:t>
            </w:r>
            <w:r w:rsidR="00E42592" w:rsidRPr="003E76E7">
              <w:rPr>
                <w:rFonts w:ascii="Arial" w:hAnsi="Arial"/>
                <w:sz w:val="16"/>
                <w:szCs w:val="16"/>
              </w:rPr>
              <w:t>6</w:t>
            </w:r>
            <w:r w:rsidRPr="003E76E7">
              <w:rPr>
                <w:rFonts w:ascii="Arial" w:hAnsi="Arial"/>
                <w:sz w:val="16"/>
                <w:szCs w:val="16"/>
              </w:rPr>
              <w:t>-2</w:t>
            </w:r>
            <w:r w:rsidR="00E42592" w:rsidRPr="003E76E7">
              <w:rPr>
                <w:rFonts w:ascii="Arial" w:hAnsi="Arial"/>
                <w:sz w:val="16"/>
                <w:szCs w:val="16"/>
              </w:rPr>
              <w:t>7</w:t>
            </w:r>
            <w:r w:rsidRPr="003E76E7">
              <w:rPr>
                <w:rFonts w:ascii="Arial" w:hAnsi="Arial"/>
                <w:sz w:val="16"/>
                <w:szCs w:val="16"/>
              </w:rPr>
              <w:t>.</w:t>
            </w:r>
          </w:p>
        </w:tc>
        <w:tc>
          <w:tcPr>
            <w:tcW w:w="3653" w:type="dxa"/>
            <w:tcBorders>
              <w:top w:val="single" w:sz="4" w:space="0" w:color="auto"/>
              <w:left w:val="single" w:sz="4" w:space="0" w:color="auto"/>
              <w:bottom w:val="single" w:sz="4" w:space="0" w:color="auto"/>
            </w:tcBorders>
            <w:vAlign w:val="center"/>
          </w:tcPr>
          <w:p w14:paraId="0CAAC10D" w14:textId="4AB02ED9" w:rsidR="00D23F3B" w:rsidRPr="003E76E7" w:rsidRDefault="00D23F3B" w:rsidP="00C4292D">
            <w:pPr>
              <w:tabs>
                <w:tab w:val="left" w:pos="709"/>
              </w:tabs>
              <w:spacing w:before="60" w:after="60"/>
              <w:rPr>
                <w:rFonts w:ascii="Arial" w:hAnsi="Arial"/>
                <w:b/>
                <w:sz w:val="16"/>
                <w:szCs w:val="16"/>
              </w:rPr>
            </w:pPr>
            <w:r w:rsidRPr="003E76E7">
              <w:rPr>
                <w:rFonts w:ascii="Arial" w:hAnsi="Arial"/>
                <w:sz w:val="16"/>
                <w:szCs w:val="16"/>
              </w:rPr>
              <w:t>As per 202</w:t>
            </w:r>
            <w:r w:rsidR="00E42592" w:rsidRPr="003E76E7">
              <w:rPr>
                <w:rFonts w:ascii="Arial" w:hAnsi="Arial"/>
                <w:sz w:val="16"/>
                <w:szCs w:val="16"/>
              </w:rPr>
              <w:t>6</w:t>
            </w:r>
            <w:r w:rsidRPr="003E76E7">
              <w:rPr>
                <w:rFonts w:ascii="Arial" w:hAnsi="Arial"/>
                <w:sz w:val="16"/>
                <w:szCs w:val="16"/>
              </w:rPr>
              <w:t>-2</w:t>
            </w:r>
            <w:r w:rsidR="00E42592" w:rsidRPr="003E76E7">
              <w:rPr>
                <w:rFonts w:ascii="Arial" w:hAnsi="Arial"/>
                <w:sz w:val="16"/>
                <w:szCs w:val="16"/>
              </w:rPr>
              <w:t>7</w:t>
            </w:r>
            <w:r w:rsidRPr="003E76E7">
              <w:rPr>
                <w:rFonts w:ascii="Arial" w:hAnsi="Arial"/>
                <w:sz w:val="16"/>
                <w:szCs w:val="16"/>
              </w:rPr>
              <w:t>.</w:t>
            </w:r>
          </w:p>
        </w:tc>
      </w:tr>
      <w:tr w:rsidR="00D23F3B" w:rsidRPr="003E76E7" w14:paraId="2AC1ED94" w14:textId="77777777" w:rsidTr="000E1A17">
        <w:trPr>
          <w:trHeight w:val="379"/>
        </w:trPr>
        <w:tc>
          <w:tcPr>
            <w:tcW w:w="8608" w:type="dxa"/>
            <w:gridSpan w:val="3"/>
            <w:tcBorders>
              <w:top w:val="single" w:sz="4" w:space="0" w:color="auto"/>
            </w:tcBorders>
            <w:vAlign w:val="center"/>
          </w:tcPr>
          <w:p w14:paraId="1EF7FD6C" w14:textId="405E2AF5" w:rsidR="00D23F3B" w:rsidRPr="003E76E7" w:rsidRDefault="00D23F3B" w:rsidP="00C4292D">
            <w:pPr>
              <w:spacing w:before="0" w:after="60" w:line="260" w:lineRule="exact"/>
              <w:rPr>
                <w:rFonts w:ascii="Arial" w:eastAsia="Cambria" w:hAnsi="Arial"/>
                <w:bCs/>
                <w:iCs/>
                <w:spacing w:val="-6"/>
                <w:sz w:val="16"/>
                <w:szCs w:val="16"/>
              </w:rPr>
            </w:pPr>
            <w:r w:rsidRPr="003E76E7">
              <w:rPr>
                <w:rFonts w:ascii="Arial" w:eastAsia="Cambria" w:hAnsi="Arial"/>
                <w:bCs/>
                <w:iCs/>
                <w:spacing w:val="-6"/>
                <w:sz w:val="16"/>
                <w:szCs w:val="16"/>
                <w:lang w:val="x-none"/>
              </w:rPr>
              <w:t xml:space="preserve">Material changes to Program </w:t>
            </w:r>
            <w:r w:rsidRPr="003E76E7">
              <w:rPr>
                <w:rFonts w:ascii="Arial" w:eastAsia="Cambria" w:hAnsi="Arial"/>
                <w:bCs/>
                <w:iCs/>
                <w:spacing w:val="-6"/>
                <w:sz w:val="16"/>
                <w:szCs w:val="16"/>
              </w:rPr>
              <w:t>1</w:t>
            </w:r>
            <w:r w:rsidRPr="003E76E7">
              <w:rPr>
                <w:rFonts w:ascii="Arial" w:eastAsia="Cambria" w:hAnsi="Arial"/>
                <w:bCs/>
                <w:iCs/>
                <w:spacing w:val="-6"/>
                <w:sz w:val="16"/>
                <w:szCs w:val="16"/>
                <w:lang w:val="x-none"/>
              </w:rPr>
              <w:t>.</w:t>
            </w:r>
            <w:r w:rsidRPr="003E76E7">
              <w:rPr>
                <w:rFonts w:ascii="Arial" w:eastAsia="Cambria" w:hAnsi="Arial"/>
                <w:bCs/>
                <w:iCs/>
                <w:spacing w:val="-6"/>
                <w:sz w:val="16"/>
                <w:szCs w:val="16"/>
              </w:rPr>
              <w:t>1</w:t>
            </w:r>
            <w:r w:rsidRPr="003E76E7">
              <w:rPr>
                <w:rFonts w:ascii="Arial" w:eastAsia="Cambria" w:hAnsi="Arial"/>
                <w:bCs/>
                <w:iCs/>
                <w:spacing w:val="-6"/>
                <w:sz w:val="16"/>
                <w:szCs w:val="16"/>
                <w:lang w:val="x-none"/>
              </w:rPr>
              <w:t xml:space="preserve"> resulting from 202</w:t>
            </w:r>
            <w:r w:rsidR="00E42592" w:rsidRPr="003E76E7">
              <w:rPr>
                <w:rFonts w:ascii="Arial" w:eastAsia="Cambria" w:hAnsi="Arial"/>
                <w:bCs/>
                <w:iCs/>
                <w:spacing w:val="-6"/>
                <w:sz w:val="16"/>
                <w:szCs w:val="16"/>
                <w:lang w:val="en-AU"/>
              </w:rPr>
              <w:t>6</w:t>
            </w:r>
            <w:r w:rsidRPr="003E76E7">
              <w:rPr>
                <w:rFonts w:ascii="Arial" w:eastAsia="Cambria" w:hAnsi="Arial"/>
                <w:bCs/>
                <w:iCs/>
                <w:spacing w:val="-6"/>
                <w:sz w:val="16"/>
                <w:szCs w:val="16"/>
                <w:lang w:val="x-none"/>
              </w:rPr>
              <w:t>-</w:t>
            </w:r>
            <w:r w:rsidRPr="003E76E7">
              <w:rPr>
                <w:rFonts w:ascii="Arial" w:eastAsia="Cambria" w:hAnsi="Arial"/>
                <w:bCs/>
                <w:iCs/>
                <w:spacing w:val="-6"/>
                <w:sz w:val="16"/>
                <w:szCs w:val="16"/>
              </w:rPr>
              <w:t>2</w:t>
            </w:r>
            <w:r w:rsidR="00E42592" w:rsidRPr="003E76E7">
              <w:rPr>
                <w:rFonts w:ascii="Arial" w:eastAsia="Cambria" w:hAnsi="Arial"/>
                <w:bCs/>
                <w:iCs/>
                <w:spacing w:val="-6"/>
                <w:sz w:val="16"/>
                <w:szCs w:val="16"/>
              </w:rPr>
              <w:t>7</w:t>
            </w:r>
            <w:r w:rsidRPr="003E76E7">
              <w:rPr>
                <w:rFonts w:ascii="Arial" w:eastAsia="Cambria" w:hAnsi="Arial"/>
                <w:bCs/>
                <w:iCs/>
                <w:spacing w:val="-6"/>
                <w:sz w:val="16"/>
                <w:szCs w:val="16"/>
                <w:lang w:val="x-none"/>
              </w:rPr>
              <w:t xml:space="preserve"> Budget Measures: </w:t>
            </w:r>
            <w:r w:rsidRPr="003E76E7">
              <w:rPr>
                <w:rFonts w:ascii="Arial" w:eastAsia="Cambria" w:hAnsi="Arial"/>
                <w:bCs/>
                <w:iCs/>
                <w:spacing w:val="-6"/>
                <w:sz w:val="16"/>
                <w:szCs w:val="16"/>
              </w:rPr>
              <w:t>Nil.</w:t>
            </w:r>
          </w:p>
        </w:tc>
      </w:tr>
    </w:tbl>
    <w:p w14:paraId="6CC41C55" w14:textId="77777777" w:rsidR="004B73E8" w:rsidRPr="003E76E7" w:rsidRDefault="004B73E8" w:rsidP="00C4292D">
      <w:pPr>
        <w:pStyle w:val="Heading2level3"/>
        <w:spacing w:before="120" w:after="120"/>
        <w:rPr>
          <w:bCs w:val="0"/>
          <w:iCs w:val="0"/>
          <w:szCs w:val="30"/>
        </w:rPr>
      </w:pPr>
      <w:r w:rsidRPr="003E76E7">
        <w:rPr>
          <w:lang w:val="en-AU"/>
        </w:rPr>
        <w:br w:type="page"/>
      </w:r>
      <w:bookmarkStart w:id="1545" w:name="_Toc108088963"/>
      <w:bookmarkStart w:id="1546" w:name="_Toc108089042"/>
      <w:bookmarkStart w:id="1547" w:name="_Toc108089436"/>
      <w:bookmarkStart w:id="1548" w:name="_Toc109227299"/>
      <w:bookmarkStart w:id="1549" w:name="_Toc109227758"/>
      <w:bookmarkStart w:id="1550" w:name="_Toc159499705"/>
      <w:bookmarkStart w:id="1551" w:name="_Toc159857680"/>
      <w:bookmarkStart w:id="1552" w:name="_Toc159857759"/>
      <w:bookmarkStart w:id="1553" w:name="_Toc159858155"/>
      <w:bookmarkStart w:id="1554" w:name="_Toc159858820"/>
      <w:bookmarkStart w:id="1555" w:name="_Toc159858890"/>
      <w:bookmarkStart w:id="1556" w:name="_Toc159859122"/>
      <w:bookmarkStart w:id="1557" w:name="_Toc159862484"/>
      <w:bookmarkStart w:id="1558" w:name="_Toc221786188"/>
      <w:bookmarkStart w:id="1559" w:name="_Toc222129946"/>
      <w:bookmarkStart w:id="1560" w:name="_Toc222148375"/>
      <w:bookmarkStart w:id="1561" w:name="_Toc225848003"/>
      <w:bookmarkStart w:id="1562" w:name="_Toc225848086"/>
      <w:bookmarkStart w:id="1563" w:name="_Toc225848169"/>
      <w:bookmarkStart w:id="1564" w:name="_Toc225848263"/>
      <w:bookmarkStart w:id="1565" w:name="_Toc225848508"/>
      <w:bookmarkStart w:id="1566" w:name="_Toc225941575"/>
      <w:bookmarkStart w:id="1567" w:name="_Toc225942582"/>
      <w:bookmarkStart w:id="1568" w:name="_Toc227334392"/>
      <w:bookmarkStart w:id="1569" w:name="_Toc229072467"/>
      <w:bookmarkStart w:id="1570" w:name="_Toc229072639"/>
      <w:r w:rsidRPr="003E76E7">
        <w:rPr>
          <w:rStyle w:val="Heading2Char"/>
          <w:sz w:val="26"/>
          <w:szCs w:val="26"/>
        </w:rPr>
        <w:lastRenderedPageBreak/>
        <w:t>Section 3: ASD Explanatory Tables and Budgeted Financial Statements</w:t>
      </w:r>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p>
    <w:p w14:paraId="3A7FD35A" w14:textId="7ACECEF3" w:rsidR="004B73E8" w:rsidRPr="003E76E7" w:rsidRDefault="004B73E8" w:rsidP="00C4292D">
      <w:pPr>
        <w:spacing w:before="60" w:after="60" w:line="256" w:lineRule="auto"/>
        <w:rPr>
          <w:lang w:eastAsia="en-US"/>
        </w:rPr>
      </w:pPr>
      <w:r w:rsidRPr="003E76E7">
        <w:rPr>
          <w:lang w:eastAsia="en-US"/>
        </w:rPr>
        <w:t>Section 3 presents budgeted financial statements which provide a comprehensive snapshot of entity finances for the 202</w:t>
      </w:r>
      <w:r w:rsidR="00722810" w:rsidRPr="003E76E7">
        <w:rPr>
          <w:lang w:eastAsia="en-US"/>
        </w:rPr>
        <w:t>6</w:t>
      </w:r>
      <w:r w:rsidRPr="003E76E7">
        <w:rPr>
          <w:lang w:eastAsia="en-US"/>
        </w:rPr>
        <w:t>-2</w:t>
      </w:r>
      <w:r w:rsidR="00722810" w:rsidRPr="003E76E7">
        <w:rPr>
          <w:lang w:eastAsia="en-US"/>
        </w:rPr>
        <w:t>7</w:t>
      </w:r>
      <w:r w:rsidRPr="003E76E7">
        <w:rPr>
          <w:lang w:eastAsia="en-US"/>
        </w:rPr>
        <w:t xml:space="preserve"> </w:t>
      </w:r>
      <w:r w:rsidR="00DE0E57" w:rsidRPr="003E76E7">
        <w:rPr>
          <w:lang w:eastAsia="en-US"/>
        </w:rPr>
        <w:t>B</w:t>
      </w:r>
      <w:r w:rsidRPr="003E76E7">
        <w:rPr>
          <w:lang w:eastAsia="en-US"/>
        </w:rPr>
        <w:t xml:space="preserve">udget </w:t>
      </w:r>
      <w:r w:rsidR="00BB46AC" w:rsidRPr="003E76E7">
        <w:rPr>
          <w:lang w:eastAsia="en-US"/>
        </w:rPr>
        <w:t>y</w:t>
      </w:r>
      <w:r w:rsidRPr="003E76E7">
        <w:rPr>
          <w:lang w:eastAsia="en-US"/>
        </w:rPr>
        <w:t>ear, including the impact of Budget Measures and resourcing on financial statements.</w:t>
      </w:r>
    </w:p>
    <w:p w14:paraId="54DC01E1" w14:textId="40A15513" w:rsidR="004B73E8" w:rsidRPr="003E76E7" w:rsidRDefault="004B73E8" w:rsidP="00C4292D">
      <w:pPr>
        <w:pStyle w:val="Heading4"/>
        <w:rPr>
          <w:sz w:val="26"/>
          <w:szCs w:val="26"/>
          <w:lang w:val="en-AU"/>
        </w:rPr>
      </w:pPr>
      <w:bookmarkStart w:id="1571" w:name="_Toc159499706"/>
      <w:bookmarkStart w:id="1572" w:name="_Toc159859123"/>
      <w:bookmarkStart w:id="1573" w:name="_Toc159862485"/>
      <w:bookmarkStart w:id="1574" w:name="_Toc221786189"/>
      <w:bookmarkStart w:id="1575" w:name="_Toc222129947"/>
      <w:bookmarkStart w:id="1576" w:name="_Toc222148376"/>
      <w:bookmarkStart w:id="1577" w:name="_Toc225848004"/>
      <w:bookmarkStart w:id="1578" w:name="_Toc225848087"/>
      <w:bookmarkStart w:id="1579" w:name="_Toc225848170"/>
      <w:bookmarkStart w:id="1580" w:name="_Toc225848509"/>
      <w:bookmarkStart w:id="1581" w:name="_Toc225941576"/>
      <w:bookmarkStart w:id="1582" w:name="_Toc225942583"/>
      <w:bookmarkStart w:id="1583" w:name="_Toc227334393"/>
      <w:bookmarkStart w:id="1584" w:name="_Toc229072468"/>
      <w:bookmarkStart w:id="1585" w:name="_Toc229072640"/>
      <w:r w:rsidRPr="003E76E7">
        <w:rPr>
          <w:sz w:val="26"/>
          <w:szCs w:val="26"/>
          <w:lang w:val="en-AU"/>
        </w:rPr>
        <w:t>3.1 Explanatory Tables</w:t>
      </w:r>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p>
    <w:p w14:paraId="1740FAF1" w14:textId="77777777" w:rsidR="004B73E8" w:rsidRPr="003E76E7" w:rsidRDefault="004B73E8" w:rsidP="00C4292D">
      <w:pPr>
        <w:pStyle w:val="TableHeading"/>
        <w:numPr>
          <w:ilvl w:val="0"/>
          <w:numId w:val="62"/>
        </w:numPr>
        <w:spacing w:before="100"/>
        <w:ind w:left="0" w:firstLine="0"/>
        <w:outlineLvl w:val="4"/>
      </w:pPr>
      <w:r w:rsidRPr="003E76E7">
        <w:t xml:space="preserve">Third Party Payments to and from Other Agencies </w:t>
      </w:r>
      <w:r w:rsidRPr="003E76E7">
        <w:rPr>
          <w:vertAlign w:val="superscript"/>
        </w:rPr>
        <w:t>[a]</w:t>
      </w:r>
    </w:p>
    <w:p w14:paraId="32E7C01A" w14:textId="59EE2E2E" w:rsidR="004B73E8" w:rsidRPr="003E76E7" w:rsidRDefault="00BE06B6" w:rsidP="00C4292D">
      <w:pPr>
        <w:spacing w:after="0"/>
        <w:rPr>
          <w:lang w:val="en-AU"/>
        </w:rPr>
      </w:pPr>
      <w:r w:rsidRPr="003E76E7">
        <w:rPr>
          <w:noProof/>
          <w:lang w:val="en-AU"/>
        </w:rPr>
        <w:drawing>
          <wp:inline distT="0" distB="0" distL="0" distR="0" wp14:anchorId="7FC25FC9" wp14:editId="4F17DB08">
            <wp:extent cx="5472430" cy="105975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472430" cy="1059750"/>
                    </a:xfrm>
                    <a:prstGeom prst="rect">
                      <a:avLst/>
                    </a:prstGeom>
                    <a:noFill/>
                    <a:ln>
                      <a:noFill/>
                    </a:ln>
                  </pic:spPr>
                </pic:pic>
              </a:graphicData>
            </a:graphic>
          </wp:inline>
        </w:drawing>
      </w:r>
    </w:p>
    <w:p w14:paraId="7FC16308" w14:textId="77777777" w:rsidR="004B73E8" w:rsidRPr="003E76E7" w:rsidRDefault="004B73E8" w:rsidP="00C4292D">
      <w:pPr>
        <w:spacing w:before="0" w:after="0"/>
        <w:rPr>
          <w:rFonts w:ascii="Arial" w:hAnsi="Arial"/>
          <w:sz w:val="14"/>
          <w:szCs w:val="14"/>
          <w:lang w:val="en-AU"/>
        </w:rPr>
      </w:pPr>
    </w:p>
    <w:p w14:paraId="390135F3" w14:textId="77777777" w:rsidR="00511083" w:rsidRPr="003E76E7" w:rsidRDefault="00511083" w:rsidP="00C4292D">
      <w:pPr>
        <w:spacing w:before="0" w:after="0"/>
        <w:rPr>
          <w:rFonts w:ascii="Arial" w:hAnsi="Arial"/>
          <w:b/>
          <w:sz w:val="14"/>
          <w:szCs w:val="14"/>
          <w:lang w:val="en-AU"/>
        </w:rPr>
      </w:pPr>
      <w:r w:rsidRPr="003E76E7">
        <w:rPr>
          <w:rFonts w:ascii="Arial" w:hAnsi="Arial"/>
          <w:b/>
          <w:sz w:val="14"/>
          <w:szCs w:val="14"/>
          <w:lang w:val="en-AU"/>
        </w:rPr>
        <w:t>Note</w:t>
      </w:r>
    </w:p>
    <w:p w14:paraId="23B4A0A2" w14:textId="36A53A6B" w:rsidR="009825F0" w:rsidRPr="003E76E7" w:rsidRDefault="00511083" w:rsidP="00C4292D">
      <w:pPr>
        <w:spacing w:before="0" w:after="0"/>
        <w:ind w:left="284" w:hanging="284"/>
        <w:rPr>
          <w:rFonts w:ascii="Arial" w:hAnsi="Arial"/>
          <w:sz w:val="14"/>
          <w:szCs w:val="14"/>
          <w:lang w:val="en-AU"/>
        </w:rPr>
      </w:pPr>
      <w:r w:rsidRPr="003E76E7">
        <w:rPr>
          <w:rFonts w:ascii="Arial" w:hAnsi="Arial"/>
          <w:sz w:val="14"/>
          <w:szCs w:val="14"/>
          <w:lang w:val="en-AU"/>
        </w:rPr>
        <w:t>a.</w:t>
      </w:r>
      <w:r w:rsidR="009825F0" w:rsidRPr="003E76E7">
        <w:rPr>
          <w:rFonts w:ascii="Arial" w:hAnsi="Arial"/>
          <w:sz w:val="14"/>
          <w:szCs w:val="14"/>
          <w:lang w:val="en-AU"/>
        </w:rPr>
        <w:tab/>
        <w:t xml:space="preserve">Third party payments to and from other Agencies include: </w:t>
      </w:r>
      <w:r w:rsidR="009825F0" w:rsidRPr="003E76E7">
        <w:rPr>
          <w:rFonts w:ascii="Arial" w:hAnsi="Arial"/>
          <w:sz w:val="14"/>
          <w:szCs w:val="14"/>
          <w:lang w:val="en-AU"/>
        </w:rPr>
        <w:tab/>
      </w:r>
      <w:r w:rsidR="009825F0" w:rsidRPr="003E76E7">
        <w:rPr>
          <w:rFonts w:ascii="Arial" w:hAnsi="Arial"/>
          <w:sz w:val="14"/>
          <w:szCs w:val="14"/>
          <w:lang w:val="en-AU"/>
        </w:rPr>
        <w:tab/>
      </w:r>
    </w:p>
    <w:p w14:paraId="63832869" w14:textId="77777777" w:rsidR="009825F0" w:rsidRPr="003E76E7" w:rsidRDefault="009825F0" w:rsidP="00C4292D">
      <w:pPr>
        <w:spacing w:before="0" w:after="0"/>
        <w:ind w:left="284" w:hanging="284"/>
        <w:rPr>
          <w:rFonts w:ascii="Arial" w:hAnsi="Arial"/>
          <w:sz w:val="14"/>
          <w:szCs w:val="14"/>
          <w:lang w:val="en-AU"/>
        </w:rPr>
      </w:pPr>
      <w:r w:rsidRPr="003E76E7">
        <w:rPr>
          <w:rFonts w:ascii="Arial" w:hAnsi="Arial"/>
          <w:sz w:val="14"/>
          <w:szCs w:val="14"/>
          <w:lang w:val="en-AU"/>
        </w:rPr>
        <w:t xml:space="preserve">      - Inter-agency transactions in excess of $20 million per annum; </w:t>
      </w:r>
      <w:r w:rsidRPr="003E76E7">
        <w:rPr>
          <w:rFonts w:ascii="Arial" w:hAnsi="Arial"/>
          <w:sz w:val="14"/>
          <w:szCs w:val="14"/>
          <w:lang w:val="en-AU"/>
        </w:rPr>
        <w:tab/>
      </w:r>
      <w:r w:rsidRPr="003E76E7">
        <w:rPr>
          <w:rFonts w:ascii="Arial" w:hAnsi="Arial"/>
          <w:sz w:val="14"/>
          <w:szCs w:val="14"/>
          <w:lang w:val="en-AU"/>
        </w:rPr>
        <w:tab/>
      </w:r>
    </w:p>
    <w:p w14:paraId="39B241E0" w14:textId="77777777" w:rsidR="009825F0" w:rsidRPr="003E76E7" w:rsidRDefault="009825F0" w:rsidP="00C4292D">
      <w:pPr>
        <w:spacing w:before="0" w:after="0"/>
        <w:ind w:left="284" w:hanging="284"/>
        <w:rPr>
          <w:rFonts w:ascii="Arial" w:hAnsi="Arial"/>
          <w:sz w:val="14"/>
          <w:szCs w:val="14"/>
          <w:lang w:val="en-AU"/>
        </w:rPr>
      </w:pPr>
      <w:r w:rsidRPr="003E76E7">
        <w:rPr>
          <w:rFonts w:ascii="Arial" w:hAnsi="Arial"/>
          <w:sz w:val="14"/>
          <w:szCs w:val="14"/>
          <w:lang w:val="en-AU"/>
        </w:rPr>
        <w:t xml:space="preserve">      - Inter-agency transactions that were in excess of $20 million in the previous year's annual statements; and </w:t>
      </w:r>
      <w:r w:rsidRPr="003E76E7">
        <w:rPr>
          <w:rFonts w:ascii="Arial" w:hAnsi="Arial"/>
          <w:sz w:val="14"/>
          <w:szCs w:val="14"/>
          <w:lang w:val="en-AU"/>
        </w:rPr>
        <w:tab/>
      </w:r>
      <w:r w:rsidRPr="003E76E7">
        <w:rPr>
          <w:rFonts w:ascii="Arial" w:hAnsi="Arial"/>
          <w:sz w:val="14"/>
          <w:szCs w:val="14"/>
          <w:lang w:val="en-AU"/>
        </w:rPr>
        <w:tab/>
      </w:r>
    </w:p>
    <w:p w14:paraId="7E7F717B" w14:textId="06960047" w:rsidR="00194C8A" w:rsidRPr="003E76E7" w:rsidRDefault="009825F0" w:rsidP="00C4292D">
      <w:pPr>
        <w:spacing w:before="0" w:after="0"/>
        <w:ind w:left="284" w:hanging="284"/>
        <w:rPr>
          <w:rFonts w:ascii="Arial" w:hAnsi="Arial"/>
          <w:sz w:val="14"/>
          <w:szCs w:val="14"/>
          <w:lang w:val="en-AU"/>
        </w:rPr>
      </w:pPr>
      <w:r w:rsidRPr="003E76E7">
        <w:rPr>
          <w:rFonts w:ascii="Arial" w:hAnsi="Arial"/>
          <w:sz w:val="14"/>
          <w:szCs w:val="14"/>
          <w:lang w:val="en-AU"/>
        </w:rPr>
        <w:t xml:space="preserve">      - Inter-agency transactions relating to Budget Measures as disclosed in Defence Budget Measures. </w:t>
      </w:r>
      <w:r w:rsidRPr="003E76E7">
        <w:rPr>
          <w:rFonts w:ascii="Arial" w:hAnsi="Arial"/>
          <w:sz w:val="14"/>
          <w:szCs w:val="14"/>
          <w:lang w:val="en-AU"/>
        </w:rPr>
        <w:tab/>
      </w:r>
      <w:r w:rsidRPr="003E76E7">
        <w:rPr>
          <w:rFonts w:ascii="Arial" w:hAnsi="Arial"/>
          <w:sz w:val="14"/>
          <w:szCs w:val="14"/>
          <w:lang w:val="en-AU"/>
        </w:rPr>
        <w:tab/>
      </w:r>
      <w:r w:rsidR="00511083" w:rsidRPr="003E76E7">
        <w:rPr>
          <w:rFonts w:ascii="Arial" w:hAnsi="Arial"/>
          <w:sz w:val="14"/>
          <w:szCs w:val="14"/>
          <w:lang w:val="en-AU"/>
        </w:rPr>
        <w:tab/>
      </w:r>
    </w:p>
    <w:p w14:paraId="7A318373" w14:textId="77777777" w:rsidR="00511083" w:rsidRPr="003E76E7" w:rsidRDefault="00511083" w:rsidP="00C4292D">
      <w:pPr>
        <w:spacing w:before="0" w:after="0"/>
        <w:rPr>
          <w:rFonts w:ascii="Arial" w:hAnsi="Arial"/>
          <w:sz w:val="14"/>
          <w:szCs w:val="14"/>
          <w:lang w:val="en-AU"/>
        </w:rPr>
      </w:pPr>
      <w:r w:rsidRPr="003E76E7">
        <w:rPr>
          <w:rFonts w:ascii="Arial" w:hAnsi="Arial"/>
          <w:sz w:val="14"/>
          <w:szCs w:val="14"/>
          <w:lang w:val="en-AU"/>
        </w:rPr>
        <w:t xml:space="preserve"> </w:t>
      </w:r>
      <w:r w:rsidRPr="003E76E7">
        <w:rPr>
          <w:rFonts w:ascii="Arial" w:hAnsi="Arial"/>
          <w:sz w:val="14"/>
          <w:szCs w:val="14"/>
          <w:lang w:val="en-AU"/>
        </w:rPr>
        <w:tab/>
      </w:r>
      <w:r w:rsidRPr="003E76E7">
        <w:rPr>
          <w:rFonts w:ascii="Arial" w:hAnsi="Arial"/>
          <w:sz w:val="14"/>
          <w:szCs w:val="14"/>
          <w:lang w:val="en-AU"/>
        </w:rPr>
        <w:tab/>
      </w:r>
    </w:p>
    <w:p w14:paraId="588CD813" w14:textId="77777777" w:rsidR="004B73E8" w:rsidRPr="003E76E7" w:rsidRDefault="004B73E8" w:rsidP="00C4292D">
      <w:pPr>
        <w:pStyle w:val="Heading4"/>
        <w:rPr>
          <w:b w:val="0"/>
          <w:bCs w:val="0"/>
          <w:iCs/>
          <w:szCs w:val="22"/>
        </w:rPr>
      </w:pPr>
      <w:r w:rsidRPr="003E76E7">
        <w:rPr>
          <w:lang w:val="en-AU"/>
        </w:rPr>
        <w:br w:type="page"/>
      </w:r>
      <w:bookmarkStart w:id="1586" w:name="_Toc159499707"/>
      <w:bookmarkStart w:id="1587" w:name="_Toc159859124"/>
      <w:bookmarkStart w:id="1588" w:name="_Toc159862486"/>
      <w:bookmarkStart w:id="1589" w:name="_Toc221786190"/>
      <w:bookmarkStart w:id="1590" w:name="_Toc222129948"/>
      <w:bookmarkStart w:id="1591" w:name="_Toc222148377"/>
      <w:bookmarkStart w:id="1592" w:name="_Toc225848005"/>
      <w:bookmarkStart w:id="1593" w:name="_Toc225848088"/>
      <w:bookmarkStart w:id="1594" w:name="_Toc225848171"/>
      <w:bookmarkStart w:id="1595" w:name="_Toc225848510"/>
      <w:bookmarkStart w:id="1596" w:name="_Toc225941577"/>
      <w:bookmarkStart w:id="1597" w:name="_Toc225942584"/>
      <w:bookmarkStart w:id="1598" w:name="_Toc227334394"/>
      <w:bookmarkStart w:id="1599" w:name="_Toc229072469"/>
      <w:bookmarkStart w:id="1600" w:name="_Toc229072641"/>
      <w:r w:rsidRPr="003E76E7">
        <w:rPr>
          <w:sz w:val="26"/>
          <w:szCs w:val="26"/>
          <w:lang w:val="en-AU"/>
        </w:rPr>
        <w:lastRenderedPageBreak/>
        <w:t>3.2 Budgeted Financial Statements</w:t>
      </w:r>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p>
    <w:p w14:paraId="2E4A3023" w14:textId="77777777" w:rsidR="004B73E8" w:rsidRPr="003E76E7" w:rsidRDefault="004B73E8" w:rsidP="00C4292D">
      <w:pPr>
        <w:pStyle w:val="Heading4level5"/>
        <w:spacing w:before="200"/>
      </w:pPr>
      <w:r w:rsidRPr="003E76E7">
        <w:t>3.2.1 Budgeted Financial Statements</w:t>
      </w:r>
    </w:p>
    <w:p w14:paraId="6F258362" w14:textId="3DFE8253" w:rsidR="004B73E8" w:rsidRPr="003E76E7" w:rsidRDefault="004B73E8" w:rsidP="00C4292D">
      <w:pPr>
        <w:pStyle w:val="TableHeading"/>
        <w:numPr>
          <w:ilvl w:val="0"/>
          <w:numId w:val="62"/>
        </w:numPr>
        <w:spacing w:before="100"/>
        <w:ind w:left="0" w:firstLine="0"/>
        <w:outlineLvl w:val="4"/>
      </w:pPr>
      <w:r w:rsidRPr="003E76E7">
        <w:t xml:space="preserve">Budgeted Departmental Comprehensive Income Statement </w:t>
      </w:r>
      <w:r w:rsidR="00BE06B6" w:rsidRPr="003E76E7">
        <w:br/>
      </w:r>
      <w:r w:rsidRPr="003E76E7">
        <w:t>(Showing Net Cost of Services) (for the period ended 30 June)</w:t>
      </w:r>
    </w:p>
    <w:p w14:paraId="0D2E2A2F" w14:textId="7DF05551" w:rsidR="004B73E8" w:rsidRPr="003E76E7" w:rsidRDefault="0011369A" w:rsidP="00C4292D">
      <w:pPr>
        <w:rPr>
          <w:lang w:val="en-AU"/>
        </w:rPr>
      </w:pPr>
      <w:r w:rsidRPr="0011369A">
        <w:rPr>
          <w:noProof/>
          <w:lang w:val="en-AU"/>
        </w:rPr>
        <w:drawing>
          <wp:inline distT="0" distB="0" distL="0" distR="0" wp14:anchorId="75F28C26" wp14:editId="303BDF8D">
            <wp:extent cx="5472430" cy="5978566"/>
            <wp:effectExtent l="0" t="0" r="0"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472430" cy="5978566"/>
                    </a:xfrm>
                    <a:prstGeom prst="rect">
                      <a:avLst/>
                    </a:prstGeom>
                    <a:noFill/>
                    <a:ln>
                      <a:noFill/>
                    </a:ln>
                  </pic:spPr>
                </pic:pic>
              </a:graphicData>
            </a:graphic>
          </wp:inline>
        </w:drawing>
      </w:r>
    </w:p>
    <w:p w14:paraId="3F150FFC" w14:textId="77777777" w:rsidR="004B73E8" w:rsidRPr="003E76E7" w:rsidRDefault="004B73E8" w:rsidP="00C4292D">
      <w:pPr>
        <w:pStyle w:val="TableHeading"/>
        <w:numPr>
          <w:ilvl w:val="0"/>
          <w:numId w:val="62"/>
        </w:numPr>
        <w:spacing w:before="100"/>
        <w:ind w:left="0" w:firstLine="0"/>
        <w:outlineLvl w:val="4"/>
      </w:pPr>
      <w:r w:rsidRPr="003E76E7">
        <w:br w:type="page"/>
      </w:r>
      <w:r w:rsidRPr="003E76E7">
        <w:lastRenderedPageBreak/>
        <w:t>Budgeted Departmental Balance Sheet (as at 30 June)</w:t>
      </w:r>
    </w:p>
    <w:p w14:paraId="26131841" w14:textId="7EF74F47" w:rsidR="004B73E8" w:rsidRPr="003E76E7" w:rsidRDefault="007703A6" w:rsidP="00C4292D">
      <w:r w:rsidRPr="007703A6">
        <w:rPr>
          <w:noProof/>
          <w:lang w:val="en-AU"/>
        </w:rPr>
        <w:drawing>
          <wp:inline distT="0" distB="0" distL="0" distR="0" wp14:anchorId="501C53B1" wp14:editId="2D38DA65">
            <wp:extent cx="5472430" cy="623089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472430" cy="6230890"/>
                    </a:xfrm>
                    <a:prstGeom prst="rect">
                      <a:avLst/>
                    </a:prstGeom>
                    <a:noFill/>
                    <a:ln>
                      <a:noFill/>
                    </a:ln>
                  </pic:spPr>
                </pic:pic>
              </a:graphicData>
            </a:graphic>
          </wp:inline>
        </w:drawing>
      </w:r>
    </w:p>
    <w:p w14:paraId="45964A0F" w14:textId="77777777" w:rsidR="004B73E8" w:rsidRPr="003E76E7" w:rsidRDefault="004B73E8" w:rsidP="00C4292D">
      <w:pPr>
        <w:pStyle w:val="TableHeading"/>
        <w:numPr>
          <w:ilvl w:val="0"/>
          <w:numId w:val="62"/>
        </w:numPr>
        <w:spacing w:before="100"/>
        <w:ind w:left="0" w:firstLine="0"/>
        <w:outlineLvl w:val="4"/>
      </w:pPr>
      <w:r w:rsidRPr="003E76E7">
        <w:br w:type="page"/>
      </w:r>
      <w:r w:rsidRPr="003E76E7">
        <w:lastRenderedPageBreak/>
        <w:t>Budgeted Departmental Statement of Cash Flows (for the period ended 30 June)</w:t>
      </w:r>
    </w:p>
    <w:p w14:paraId="31A3F020" w14:textId="3F7A382D" w:rsidR="004B73E8" w:rsidRPr="003E76E7" w:rsidRDefault="007703A6" w:rsidP="00C4292D">
      <w:r w:rsidRPr="007703A6">
        <w:rPr>
          <w:noProof/>
          <w:lang w:val="en-AU"/>
        </w:rPr>
        <w:drawing>
          <wp:inline distT="0" distB="0" distL="0" distR="0" wp14:anchorId="067F9448" wp14:editId="58081C55">
            <wp:extent cx="5472430" cy="5866247"/>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472430" cy="5866247"/>
                    </a:xfrm>
                    <a:prstGeom prst="rect">
                      <a:avLst/>
                    </a:prstGeom>
                    <a:noFill/>
                    <a:ln>
                      <a:noFill/>
                    </a:ln>
                  </pic:spPr>
                </pic:pic>
              </a:graphicData>
            </a:graphic>
          </wp:inline>
        </w:drawing>
      </w:r>
    </w:p>
    <w:p w14:paraId="793FCAD2" w14:textId="59E70873" w:rsidR="004B73E8" w:rsidRPr="003E76E7" w:rsidRDefault="004B73E8" w:rsidP="00C4292D">
      <w:pPr>
        <w:pStyle w:val="TableHeading"/>
        <w:numPr>
          <w:ilvl w:val="0"/>
          <w:numId w:val="62"/>
        </w:numPr>
        <w:spacing w:before="100"/>
        <w:ind w:left="0" w:firstLine="0"/>
        <w:outlineLvl w:val="4"/>
      </w:pPr>
      <w:r w:rsidRPr="003E76E7">
        <w:br w:type="page"/>
      </w:r>
      <w:r w:rsidRPr="003E76E7">
        <w:lastRenderedPageBreak/>
        <w:t xml:space="preserve">Departmental Statement of Changes in Equity </w:t>
      </w:r>
      <w:r w:rsidR="00722810" w:rsidRPr="003E76E7">
        <w:t>-</w:t>
      </w:r>
      <w:r w:rsidRPr="003E76E7">
        <w:t xml:space="preserve"> Summary of Movement </w:t>
      </w:r>
      <w:r w:rsidR="003746BF" w:rsidRPr="003E76E7">
        <w:br/>
      </w:r>
      <w:r w:rsidRPr="003E76E7">
        <w:t>(Budget Year 202</w:t>
      </w:r>
      <w:r w:rsidR="00722810" w:rsidRPr="003E76E7">
        <w:t>6</w:t>
      </w:r>
      <w:r w:rsidRPr="003E76E7">
        <w:t>-2</w:t>
      </w:r>
      <w:r w:rsidR="00722810" w:rsidRPr="003E76E7">
        <w:t>7</w:t>
      </w:r>
      <w:r w:rsidRPr="003E76E7">
        <w:t>)</w:t>
      </w:r>
    </w:p>
    <w:p w14:paraId="1F54DA45" w14:textId="5FD3E6B5" w:rsidR="004B73E8" w:rsidRPr="003E76E7" w:rsidRDefault="00733DB1" w:rsidP="00C4292D">
      <w:pPr>
        <w:rPr>
          <w:lang w:val="en-AU"/>
        </w:rPr>
      </w:pPr>
      <w:r w:rsidRPr="00733DB1">
        <w:rPr>
          <w:noProof/>
          <w:lang w:val="en-AU"/>
        </w:rPr>
        <w:drawing>
          <wp:inline distT="0" distB="0" distL="0" distR="0" wp14:anchorId="70A24F9F" wp14:editId="5F9D1CB3">
            <wp:extent cx="5472430" cy="4629067"/>
            <wp:effectExtent l="0" t="0" r="0"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472430" cy="4629067"/>
                    </a:xfrm>
                    <a:prstGeom prst="rect">
                      <a:avLst/>
                    </a:prstGeom>
                    <a:noFill/>
                    <a:ln>
                      <a:noFill/>
                    </a:ln>
                  </pic:spPr>
                </pic:pic>
              </a:graphicData>
            </a:graphic>
          </wp:inline>
        </w:drawing>
      </w:r>
    </w:p>
    <w:p w14:paraId="154645D6" w14:textId="093EEB90" w:rsidR="004B73E8" w:rsidRPr="003E76E7" w:rsidRDefault="004B73E8" w:rsidP="00C4292D">
      <w:pPr>
        <w:pStyle w:val="TableHeading"/>
        <w:numPr>
          <w:ilvl w:val="0"/>
          <w:numId w:val="62"/>
        </w:numPr>
        <w:spacing w:before="100"/>
        <w:ind w:left="0" w:firstLine="0"/>
        <w:outlineLvl w:val="4"/>
      </w:pPr>
      <w:r w:rsidRPr="003E76E7">
        <w:br w:type="page"/>
      </w:r>
      <w:r w:rsidRPr="003E76E7">
        <w:lastRenderedPageBreak/>
        <w:t>Statement of Depart</w:t>
      </w:r>
      <w:r w:rsidR="00FE5A03">
        <w:t>mental Asset Movements (Budget Y</w:t>
      </w:r>
      <w:r w:rsidRPr="003E76E7">
        <w:t>ear 202</w:t>
      </w:r>
      <w:r w:rsidR="00722810" w:rsidRPr="003E76E7">
        <w:t>6</w:t>
      </w:r>
      <w:r w:rsidRPr="003E76E7">
        <w:t>-2</w:t>
      </w:r>
      <w:r w:rsidR="00722810" w:rsidRPr="003E76E7">
        <w:t>7</w:t>
      </w:r>
      <w:r w:rsidRPr="003E76E7">
        <w:t>)</w:t>
      </w:r>
    </w:p>
    <w:p w14:paraId="43F1E222" w14:textId="2B525003" w:rsidR="004B73E8" w:rsidRPr="003E76E7" w:rsidRDefault="007703A6" w:rsidP="00C4292D">
      <w:pPr>
        <w:spacing w:after="0"/>
        <w:rPr>
          <w:sz w:val="14"/>
          <w:szCs w:val="14"/>
        </w:rPr>
      </w:pPr>
      <w:r w:rsidRPr="007703A6">
        <w:rPr>
          <w:noProof/>
          <w:lang w:val="en-AU"/>
        </w:rPr>
        <w:drawing>
          <wp:inline distT="0" distB="0" distL="0" distR="0" wp14:anchorId="4FEC1B3A" wp14:editId="68047EA0">
            <wp:extent cx="5472430" cy="4745766"/>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472430" cy="4745766"/>
                    </a:xfrm>
                    <a:prstGeom prst="rect">
                      <a:avLst/>
                    </a:prstGeom>
                    <a:noFill/>
                    <a:ln>
                      <a:noFill/>
                    </a:ln>
                  </pic:spPr>
                </pic:pic>
              </a:graphicData>
            </a:graphic>
          </wp:inline>
        </w:drawing>
      </w:r>
    </w:p>
    <w:p w14:paraId="317CFF74" w14:textId="77777777" w:rsidR="009A4812" w:rsidRPr="003E76E7" w:rsidRDefault="009A4812" w:rsidP="00C4292D">
      <w:pPr>
        <w:tabs>
          <w:tab w:val="left" w:pos="284"/>
          <w:tab w:val="left" w:pos="567"/>
        </w:tabs>
        <w:spacing w:before="0" w:after="0"/>
        <w:ind w:left="284" w:hanging="284"/>
        <w:rPr>
          <w:rFonts w:ascii="Arial" w:hAnsi="Arial"/>
          <w:sz w:val="14"/>
          <w:szCs w:val="14"/>
        </w:rPr>
      </w:pPr>
    </w:p>
    <w:p w14:paraId="2360DB76" w14:textId="77777777" w:rsidR="004B73E8" w:rsidRPr="003E76E7" w:rsidRDefault="00237005" w:rsidP="00C4292D">
      <w:pPr>
        <w:tabs>
          <w:tab w:val="left" w:pos="284"/>
          <w:tab w:val="left" w:pos="567"/>
        </w:tabs>
        <w:spacing w:before="0" w:after="0"/>
        <w:ind w:left="284" w:hanging="284"/>
        <w:rPr>
          <w:rFonts w:ascii="Arial" w:hAnsi="Arial"/>
          <w:b/>
          <w:sz w:val="14"/>
          <w:szCs w:val="14"/>
        </w:rPr>
      </w:pPr>
      <w:r w:rsidRPr="003E76E7">
        <w:rPr>
          <w:rFonts w:ascii="Arial" w:hAnsi="Arial"/>
          <w:b/>
          <w:sz w:val="14"/>
          <w:szCs w:val="14"/>
        </w:rPr>
        <w:t>Note</w:t>
      </w:r>
      <w:r w:rsidR="009A4812" w:rsidRPr="003E76E7">
        <w:rPr>
          <w:rFonts w:ascii="Arial" w:hAnsi="Arial"/>
          <w:b/>
          <w:sz w:val="14"/>
          <w:szCs w:val="14"/>
        </w:rPr>
        <w:t>s</w:t>
      </w:r>
    </w:p>
    <w:p w14:paraId="3734C37C" w14:textId="7AE8DAE7" w:rsidR="003E75D6" w:rsidRPr="003E76E7" w:rsidRDefault="00302B73" w:rsidP="00C4292D">
      <w:pPr>
        <w:tabs>
          <w:tab w:val="left" w:pos="284"/>
          <w:tab w:val="left" w:pos="567"/>
        </w:tabs>
        <w:spacing w:before="0" w:after="0"/>
        <w:ind w:left="284" w:hanging="284"/>
        <w:rPr>
          <w:rFonts w:ascii="Arial" w:hAnsi="Arial"/>
          <w:sz w:val="14"/>
          <w:szCs w:val="14"/>
        </w:rPr>
      </w:pPr>
      <w:r w:rsidRPr="003E76E7">
        <w:rPr>
          <w:rFonts w:ascii="Arial" w:hAnsi="Arial"/>
          <w:sz w:val="14"/>
          <w:szCs w:val="14"/>
        </w:rPr>
        <w:t>a.</w:t>
      </w:r>
      <w:r w:rsidRPr="003E76E7">
        <w:rPr>
          <w:rFonts w:ascii="Arial" w:hAnsi="Arial"/>
          <w:sz w:val="14"/>
          <w:szCs w:val="14"/>
        </w:rPr>
        <w:tab/>
      </w:r>
      <w:r w:rsidR="003E75D6" w:rsidRPr="003E76E7">
        <w:rPr>
          <w:rFonts w:ascii="Arial" w:hAnsi="Arial"/>
          <w:sz w:val="14"/>
          <w:szCs w:val="14"/>
        </w:rPr>
        <w:t xml:space="preserve">"Appropriation equity" refers to equity injections appropriations provided through </w:t>
      </w:r>
      <w:r w:rsidR="003E75D6" w:rsidRPr="003E76E7">
        <w:rPr>
          <w:rFonts w:ascii="Arial" w:hAnsi="Arial"/>
          <w:i/>
          <w:sz w:val="14"/>
          <w:szCs w:val="14"/>
        </w:rPr>
        <w:t>Appropriation Bill (No. 2) 2025-26</w:t>
      </w:r>
      <w:r w:rsidR="003E75D6" w:rsidRPr="003E76E7">
        <w:rPr>
          <w:rFonts w:ascii="Arial" w:hAnsi="Arial"/>
          <w:sz w:val="14"/>
          <w:szCs w:val="14"/>
        </w:rPr>
        <w:t>, including Collection Development Acquisition Budget.</w:t>
      </w:r>
      <w:r w:rsidR="003E75D6" w:rsidRPr="003E76E7">
        <w:rPr>
          <w:rFonts w:ascii="Arial" w:hAnsi="Arial"/>
          <w:sz w:val="14"/>
          <w:szCs w:val="14"/>
        </w:rPr>
        <w:tab/>
      </w:r>
      <w:r w:rsidR="003E75D6" w:rsidRPr="003E76E7">
        <w:rPr>
          <w:rFonts w:ascii="Arial" w:hAnsi="Arial"/>
          <w:sz w:val="14"/>
          <w:szCs w:val="14"/>
        </w:rPr>
        <w:tab/>
      </w:r>
      <w:r w:rsidR="003E75D6" w:rsidRPr="003E76E7">
        <w:rPr>
          <w:rFonts w:ascii="Arial" w:hAnsi="Arial"/>
          <w:sz w:val="14"/>
          <w:szCs w:val="14"/>
        </w:rPr>
        <w:tab/>
      </w:r>
      <w:r w:rsidR="003E75D6" w:rsidRPr="003E76E7">
        <w:rPr>
          <w:rFonts w:ascii="Arial" w:hAnsi="Arial"/>
          <w:sz w:val="14"/>
          <w:szCs w:val="14"/>
        </w:rPr>
        <w:tab/>
      </w:r>
      <w:r w:rsidR="003E75D6" w:rsidRPr="003E76E7">
        <w:rPr>
          <w:rFonts w:ascii="Arial" w:hAnsi="Arial"/>
          <w:sz w:val="14"/>
          <w:szCs w:val="14"/>
        </w:rPr>
        <w:tab/>
      </w:r>
    </w:p>
    <w:p w14:paraId="7E3C2E6E" w14:textId="2F2628A4" w:rsidR="003E75D6" w:rsidRPr="003E76E7" w:rsidRDefault="003E75D6" w:rsidP="00C4292D">
      <w:pPr>
        <w:tabs>
          <w:tab w:val="left" w:pos="284"/>
          <w:tab w:val="left" w:pos="567"/>
        </w:tabs>
        <w:spacing w:before="0" w:after="0"/>
        <w:ind w:left="284" w:hanging="284"/>
        <w:rPr>
          <w:rFonts w:ascii="Arial" w:hAnsi="Arial"/>
          <w:sz w:val="14"/>
          <w:szCs w:val="14"/>
        </w:rPr>
      </w:pPr>
      <w:r w:rsidRPr="003E76E7">
        <w:rPr>
          <w:rFonts w:ascii="Arial" w:hAnsi="Arial"/>
          <w:sz w:val="14"/>
          <w:szCs w:val="14"/>
        </w:rPr>
        <w:t xml:space="preserve">b. </w:t>
      </w:r>
      <w:r w:rsidR="003D5F1A" w:rsidRPr="003E76E7">
        <w:rPr>
          <w:rFonts w:ascii="Arial" w:hAnsi="Arial"/>
          <w:sz w:val="14"/>
          <w:szCs w:val="14"/>
        </w:rPr>
        <w:tab/>
      </w:r>
      <w:r w:rsidR="008D2B49" w:rsidRPr="003E76E7">
        <w:rPr>
          <w:rFonts w:ascii="Arial" w:hAnsi="Arial"/>
          <w:sz w:val="14"/>
          <w:szCs w:val="14"/>
        </w:rPr>
        <w:t>"Appropriation ordinary annual services" refers to funding provided through Appropriation Act (No. 1) 2026-2027 for depreciation/amortisation expenses, Departmental Capital Budget or other operational expenses.</w:t>
      </w:r>
    </w:p>
    <w:p w14:paraId="26DA7E17" w14:textId="791D42DF" w:rsidR="009A4812" w:rsidRPr="003E76E7" w:rsidRDefault="009A4812" w:rsidP="00C4292D">
      <w:pPr>
        <w:tabs>
          <w:tab w:val="left" w:pos="284"/>
          <w:tab w:val="left" w:pos="567"/>
        </w:tabs>
        <w:spacing w:before="0" w:after="0"/>
        <w:rPr>
          <w:rFonts w:ascii="Arial" w:hAnsi="Arial"/>
          <w:sz w:val="14"/>
          <w:szCs w:val="14"/>
        </w:rPr>
      </w:pPr>
    </w:p>
    <w:p w14:paraId="2723F4F9" w14:textId="77777777" w:rsidR="004B73E8" w:rsidRPr="003E76E7" w:rsidRDefault="004B73E8" w:rsidP="00C4292D">
      <w:pPr>
        <w:tabs>
          <w:tab w:val="left" w:pos="284"/>
          <w:tab w:val="left" w:pos="567"/>
        </w:tabs>
        <w:spacing w:before="0" w:after="0"/>
        <w:ind w:left="284" w:hanging="284"/>
      </w:pPr>
      <w:r w:rsidRPr="003E76E7">
        <w:br w:type="page"/>
      </w:r>
    </w:p>
    <w:p w14:paraId="2979CC46" w14:textId="77777777" w:rsidR="004B73E8" w:rsidRPr="003E76E7" w:rsidRDefault="004B73E8" w:rsidP="00C4292D">
      <w:pPr>
        <w:pStyle w:val="TableHeading"/>
        <w:numPr>
          <w:ilvl w:val="0"/>
          <w:numId w:val="62"/>
        </w:numPr>
        <w:spacing w:before="100"/>
        <w:ind w:left="0" w:firstLine="0"/>
        <w:outlineLvl w:val="4"/>
      </w:pPr>
      <w:r w:rsidRPr="003E76E7">
        <w:lastRenderedPageBreak/>
        <w:t>Departmental Capital Budget Statement (for the period ended 30 June)</w:t>
      </w:r>
    </w:p>
    <w:p w14:paraId="409E6EC6" w14:textId="7E1F4D42" w:rsidR="004B73E8" w:rsidRPr="003E76E7" w:rsidRDefault="00733DB1" w:rsidP="00C4292D">
      <w:r w:rsidRPr="00733DB1">
        <w:rPr>
          <w:noProof/>
          <w:lang w:val="en-AU"/>
        </w:rPr>
        <w:drawing>
          <wp:inline distT="0" distB="0" distL="0" distR="0" wp14:anchorId="50A15273" wp14:editId="1ADE68EE">
            <wp:extent cx="5472430" cy="5601901"/>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472430" cy="5601901"/>
                    </a:xfrm>
                    <a:prstGeom prst="rect">
                      <a:avLst/>
                    </a:prstGeom>
                    <a:noFill/>
                    <a:ln>
                      <a:noFill/>
                    </a:ln>
                  </pic:spPr>
                </pic:pic>
              </a:graphicData>
            </a:graphic>
          </wp:inline>
        </w:drawing>
      </w:r>
      <w:r w:rsidR="00B743AB" w:rsidRPr="003E76E7" w:rsidDel="00B743AB">
        <w:t xml:space="preserve"> </w:t>
      </w:r>
    </w:p>
    <w:p w14:paraId="190C7780" w14:textId="77777777" w:rsidR="004B73E8" w:rsidRPr="003E76E7" w:rsidRDefault="004B73E8" w:rsidP="00C4292D">
      <w:pPr>
        <w:pStyle w:val="Heading4level5"/>
        <w:spacing w:before="120" w:after="120"/>
      </w:pPr>
      <w:r w:rsidRPr="003E76E7">
        <w:br w:type="page"/>
      </w:r>
      <w:r w:rsidRPr="003E76E7">
        <w:lastRenderedPageBreak/>
        <w:t>3.2.2 Notes to the Budgeted Financial Statements</w:t>
      </w:r>
    </w:p>
    <w:p w14:paraId="0E512D9D" w14:textId="2927FC06" w:rsidR="004B73E8" w:rsidRPr="003E76E7" w:rsidRDefault="004B73E8" w:rsidP="00C4292D">
      <w:pPr>
        <w:spacing w:before="120" w:after="120"/>
      </w:pPr>
      <w:r w:rsidRPr="003E76E7">
        <w:t xml:space="preserve">The budgeted financial statements have been prepared in accordance with the Australian Accounting Standards and the </w:t>
      </w:r>
      <w:r w:rsidRPr="003E76E7">
        <w:rPr>
          <w:i/>
        </w:rPr>
        <w:t>Public Governance, Performance and Accountability (Financial Reporting) Rule 2015 (FRR)</w:t>
      </w:r>
      <w:r w:rsidRPr="003E76E7">
        <w:t>.</w:t>
      </w:r>
    </w:p>
    <w:p w14:paraId="7DFC3CCE" w14:textId="45BF5472" w:rsidR="000512AB" w:rsidRPr="003E76E7" w:rsidRDefault="000512AB" w:rsidP="00C4292D">
      <w:pPr>
        <w:spacing w:before="0" w:after="0"/>
      </w:pPr>
      <w:r w:rsidRPr="003E76E7">
        <w:br w:type="page"/>
      </w:r>
    </w:p>
    <w:p w14:paraId="705B28CC" w14:textId="77777777" w:rsidR="000512AB" w:rsidRPr="003E76E7" w:rsidRDefault="000512AB" w:rsidP="00C4292D">
      <w:pPr>
        <w:ind w:left="2" w:firstLine="1"/>
        <w:jc w:val="center"/>
        <w:rPr>
          <w:lang w:val="en-AU"/>
        </w:rPr>
      </w:pPr>
    </w:p>
    <w:p w14:paraId="74390C39" w14:textId="77777777" w:rsidR="000512AB" w:rsidRPr="003E76E7" w:rsidRDefault="000512AB" w:rsidP="00C4292D">
      <w:pPr>
        <w:ind w:left="2" w:firstLine="1"/>
        <w:jc w:val="center"/>
        <w:rPr>
          <w:lang w:val="en-AU"/>
        </w:rPr>
      </w:pPr>
    </w:p>
    <w:p w14:paraId="4B96D91F" w14:textId="77777777" w:rsidR="000512AB" w:rsidRPr="003E76E7" w:rsidRDefault="000512AB" w:rsidP="00C4292D">
      <w:pPr>
        <w:ind w:left="2" w:firstLine="1"/>
        <w:jc w:val="center"/>
        <w:rPr>
          <w:lang w:val="en-AU"/>
        </w:rPr>
      </w:pPr>
    </w:p>
    <w:p w14:paraId="7514622F" w14:textId="77777777" w:rsidR="000512AB" w:rsidRPr="003E76E7" w:rsidRDefault="000512AB" w:rsidP="00C4292D">
      <w:pPr>
        <w:ind w:left="2" w:firstLine="1"/>
        <w:jc w:val="center"/>
        <w:rPr>
          <w:lang w:val="en-AU"/>
        </w:rPr>
      </w:pPr>
    </w:p>
    <w:p w14:paraId="2A07A2CE" w14:textId="77777777" w:rsidR="000512AB" w:rsidRPr="003E76E7" w:rsidRDefault="000512AB" w:rsidP="00C4292D">
      <w:pPr>
        <w:ind w:left="2" w:firstLine="1"/>
        <w:jc w:val="center"/>
        <w:rPr>
          <w:lang w:val="en-AU"/>
        </w:rPr>
      </w:pPr>
    </w:p>
    <w:p w14:paraId="01FD8AE3" w14:textId="77777777" w:rsidR="000512AB" w:rsidRPr="003E76E7" w:rsidRDefault="000512AB" w:rsidP="00C4292D">
      <w:pPr>
        <w:ind w:left="2" w:firstLine="1"/>
        <w:jc w:val="center"/>
        <w:rPr>
          <w:lang w:val="en-AU"/>
        </w:rPr>
      </w:pPr>
    </w:p>
    <w:p w14:paraId="76C5D5F7" w14:textId="77777777" w:rsidR="000512AB" w:rsidRPr="003E76E7" w:rsidRDefault="000512AB" w:rsidP="00C4292D">
      <w:pPr>
        <w:ind w:left="2" w:firstLine="1"/>
        <w:jc w:val="center"/>
        <w:rPr>
          <w:lang w:val="en-AU"/>
        </w:rPr>
      </w:pPr>
    </w:p>
    <w:p w14:paraId="1EAE6B15" w14:textId="77777777" w:rsidR="000512AB" w:rsidRPr="003E76E7" w:rsidRDefault="000512AB" w:rsidP="00C4292D">
      <w:pPr>
        <w:ind w:left="2" w:firstLine="1"/>
        <w:jc w:val="center"/>
        <w:rPr>
          <w:lang w:val="en-AU"/>
        </w:rPr>
      </w:pPr>
    </w:p>
    <w:p w14:paraId="244EC2E5" w14:textId="77777777" w:rsidR="000512AB" w:rsidRPr="003E76E7" w:rsidRDefault="000512AB" w:rsidP="00C4292D">
      <w:pPr>
        <w:ind w:left="2" w:firstLine="1"/>
        <w:jc w:val="center"/>
        <w:rPr>
          <w:lang w:val="en-AU"/>
        </w:rPr>
      </w:pPr>
    </w:p>
    <w:p w14:paraId="7C97A2DB" w14:textId="77777777" w:rsidR="000512AB" w:rsidRPr="003E76E7" w:rsidRDefault="000512AB" w:rsidP="00C4292D">
      <w:pPr>
        <w:ind w:left="2" w:firstLine="1"/>
        <w:jc w:val="center"/>
        <w:rPr>
          <w:lang w:val="en-AU"/>
        </w:rPr>
      </w:pPr>
    </w:p>
    <w:p w14:paraId="604F9954" w14:textId="77777777" w:rsidR="000512AB" w:rsidRPr="003E76E7" w:rsidRDefault="000512AB" w:rsidP="00C4292D">
      <w:pPr>
        <w:ind w:left="2" w:firstLine="1"/>
        <w:jc w:val="center"/>
        <w:rPr>
          <w:lang w:val="en-AU"/>
        </w:rPr>
      </w:pPr>
    </w:p>
    <w:p w14:paraId="68BA0966" w14:textId="77777777" w:rsidR="000512AB" w:rsidRPr="003E76E7" w:rsidRDefault="000512AB" w:rsidP="00C4292D">
      <w:pPr>
        <w:ind w:left="2" w:firstLine="1"/>
        <w:jc w:val="center"/>
        <w:rPr>
          <w:lang w:val="en-AU"/>
        </w:rPr>
      </w:pPr>
    </w:p>
    <w:p w14:paraId="44077EBF" w14:textId="77777777" w:rsidR="000512AB" w:rsidRPr="003E76E7" w:rsidRDefault="000512AB" w:rsidP="00C4292D">
      <w:pPr>
        <w:ind w:left="2" w:firstLine="1"/>
        <w:jc w:val="center"/>
        <w:rPr>
          <w:lang w:val="en-AU"/>
        </w:rPr>
      </w:pPr>
    </w:p>
    <w:p w14:paraId="6E96466B" w14:textId="77777777" w:rsidR="000512AB" w:rsidRPr="003E76E7" w:rsidRDefault="000512AB" w:rsidP="00C4292D">
      <w:pPr>
        <w:ind w:left="2" w:firstLine="1"/>
        <w:jc w:val="center"/>
        <w:rPr>
          <w:lang w:val="en-AU"/>
        </w:rPr>
      </w:pPr>
    </w:p>
    <w:p w14:paraId="16185954" w14:textId="77777777" w:rsidR="000512AB" w:rsidRPr="003E76E7" w:rsidRDefault="000512AB" w:rsidP="00C4292D">
      <w:pPr>
        <w:ind w:left="2" w:firstLine="1"/>
        <w:jc w:val="center"/>
        <w:rPr>
          <w:lang w:val="en-AU"/>
        </w:rPr>
      </w:pPr>
      <w:r w:rsidRPr="003E76E7">
        <w:rPr>
          <w:lang w:val="en-AU"/>
        </w:rPr>
        <w:t>This page intentionally left blank.</w:t>
      </w:r>
    </w:p>
    <w:p w14:paraId="581783F6" w14:textId="77777777" w:rsidR="000512AB" w:rsidRPr="003E76E7" w:rsidRDefault="000512AB" w:rsidP="00C4292D">
      <w:pPr>
        <w:spacing w:before="120" w:after="120"/>
      </w:pPr>
    </w:p>
    <w:p w14:paraId="6626386F" w14:textId="77777777" w:rsidR="00740878" w:rsidRPr="003E76E7" w:rsidRDefault="00740878" w:rsidP="00C4292D">
      <w:pPr>
        <w:pStyle w:val="BodyText"/>
        <w:jc w:val="center"/>
        <w:rPr>
          <w:lang w:val="en-AU"/>
        </w:rPr>
        <w:sectPr w:rsidR="00740878" w:rsidRPr="003E76E7" w:rsidSect="00FF46AE">
          <w:footerReference w:type="even" r:id="rId161"/>
          <w:footerReference w:type="default" r:id="rId162"/>
          <w:pgSz w:w="11907" w:h="16840" w:code="9"/>
          <w:pgMar w:top="1701" w:right="1361" w:bottom="1701" w:left="1928" w:header="720" w:footer="720" w:gutter="0"/>
          <w:cols w:space="720"/>
          <w:noEndnote/>
          <w:docGrid w:linePitch="272"/>
        </w:sectPr>
      </w:pPr>
    </w:p>
    <w:p w14:paraId="02AA104F" w14:textId="2CCEEB9A" w:rsidR="00ED4EF4" w:rsidRPr="003E76E7" w:rsidRDefault="00ED4EF4" w:rsidP="00C4292D">
      <w:pPr>
        <w:pStyle w:val="BodyText"/>
      </w:pPr>
      <w:bookmarkStart w:id="1601" w:name="_Toc149060138"/>
      <w:bookmarkStart w:id="1602" w:name="_Toc149116022"/>
      <w:bookmarkStart w:id="1603" w:name="_Toc149119345"/>
      <w:bookmarkStart w:id="1604" w:name="_Toc149233135"/>
      <w:bookmarkStart w:id="1605" w:name="_Toc155955151"/>
      <w:bookmarkStart w:id="1606" w:name="_Toc158896307"/>
      <w:bookmarkStart w:id="1607" w:name="_Toc159499708"/>
      <w:bookmarkStart w:id="1608" w:name="_Toc159858821"/>
      <w:bookmarkStart w:id="1609" w:name="_Toc159858891"/>
      <w:bookmarkStart w:id="1610" w:name="_Toc159859125"/>
      <w:bookmarkStart w:id="1611" w:name="_Toc159862297"/>
      <w:bookmarkStart w:id="1612" w:name="_Toc159862487"/>
    </w:p>
    <w:p w14:paraId="19312F44" w14:textId="11467EA3" w:rsidR="00063F33" w:rsidRPr="003E76E7" w:rsidRDefault="00063F33" w:rsidP="00C4292D">
      <w:pPr>
        <w:pStyle w:val="BodyText"/>
      </w:pPr>
    </w:p>
    <w:p w14:paraId="5874E9C3" w14:textId="134E183F" w:rsidR="00063F33" w:rsidRPr="003E76E7" w:rsidRDefault="00063F33" w:rsidP="00C4292D">
      <w:pPr>
        <w:pStyle w:val="BodyText"/>
      </w:pPr>
    </w:p>
    <w:p w14:paraId="3604DFF6" w14:textId="7DFA451D" w:rsidR="00063F33" w:rsidRPr="003E76E7" w:rsidRDefault="00063F33" w:rsidP="00C4292D">
      <w:pPr>
        <w:pStyle w:val="BodyText"/>
      </w:pPr>
    </w:p>
    <w:p w14:paraId="5B0CAB14" w14:textId="77777777" w:rsidR="00ED4EF4" w:rsidRPr="003E76E7" w:rsidRDefault="00ED4EF4" w:rsidP="00C4292D">
      <w:pPr>
        <w:pStyle w:val="BodyText"/>
      </w:pPr>
    </w:p>
    <w:p w14:paraId="72A1A97F" w14:textId="4ED4F6CB" w:rsidR="0004311C" w:rsidRPr="003E76E7" w:rsidRDefault="0004311C" w:rsidP="00C4292D">
      <w:pPr>
        <w:pStyle w:val="Heading2"/>
        <w:spacing w:before="0" w:after="360"/>
        <w:jc w:val="center"/>
        <w:rPr>
          <w:rFonts w:ascii="Arial Bold" w:hAnsi="Arial Bold"/>
          <w:b/>
          <w:sz w:val="52"/>
          <w:szCs w:val="52"/>
        </w:rPr>
      </w:pPr>
      <w:bookmarkStart w:id="1613" w:name="_Toc221786191"/>
      <w:bookmarkStart w:id="1614" w:name="_Toc222129949"/>
      <w:bookmarkStart w:id="1615" w:name="_Toc222148378"/>
      <w:bookmarkStart w:id="1616" w:name="_Toc225848006"/>
      <w:bookmarkStart w:id="1617" w:name="_Toc225848089"/>
      <w:bookmarkStart w:id="1618" w:name="_Toc225848172"/>
      <w:bookmarkStart w:id="1619" w:name="_Toc225848264"/>
      <w:bookmarkStart w:id="1620" w:name="_Toc225848511"/>
      <w:bookmarkStart w:id="1621" w:name="_Toc225941578"/>
      <w:bookmarkStart w:id="1622" w:name="_Toc225942585"/>
      <w:bookmarkStart w:id="1623" w:name="_Toc227334395"/>
      <w:bookmarkStart w:id="1624" w:name="_Toc229072470"/>
      <w:bookmarkStart w:id="1625" w:name="_Toc229072642"/>
      <w:r w:rsidRPr="003E76E7">
        <w:rPr>
          <w:rFonts w:ascii="Arial Bold" w:hAnsi="Arial Bold"/>
          <w:b/>
          <w:sz w:val="52"/>
          <w:szCs w:val="52"/>
        </w:rPr>
        <w:t>Australian Submarine Agency</w:t>
      </w:r>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p>
    <w:p w14:paraId="3EF050B8" w14:textId="77777777" w:rsidR="00926887" w:rsidRPr="003E76E7" w:rsidRDefault="00926887" w:rsidP="00C4292D">
      <w:pPr>
        <w:rPr>
          <w:lang w:val="en-AU"/>
        </w:rPr>
      </w:pPr>
    </w:p>
    <w:p w14:paraId="1B6712BC" w14:textId="5E62CFD6" w:rsidR="00926887" w:rsidRPr="003E76E7" w:rsidRDefault="00926887" w:rsidP="00C4292D">
      <w:pPr>
        <w:rPr>
          <w:lang w:val="en-AU"/>
        </w:rPr>
      </w:pPr>
    </w:p>
    <w:p w14:paraId="5C46850C" w14:textId="77777777" w:rsidR="00926887" w:rsidRPr="003E76E7" w:rsidRDefault="00926887" w:rsidP="00C4292D">
      <w:pPr>
        <w:rPr>
          <w:lang w:val="en-AU"/>
        </w:rPr>
      </w:pPr>
    </w:p>
    <w:p w14:paraId="186AF388" w14:textId="77A2C760" w:rsidR="00926887" w:rsidRPr="003E76E7" w:rsidRDefault="00CF10DD" w:rsidP="00C4292D">
      <w:pPr>
        <w:pStyle w:val="DepartmentalSubtitle"/>
        <w:rPr>
          <w:lang w:val="en-AU"/>
        </w:rPr>
      </w:pPr>
      <w:r w:rsidRPr="003E76E7">
        <w:rPr>
          <w:lang w:val="en-AU"/>
        </w:rPr>
        <w:t xml:space="preserve">Entity </w:t>
      </w:r>
      <w:r w:rsidR="00926887" w:rsidRPr="003E76E7">
        <w:rPr>
          <w:lang w:val="en-AU"/>
        </w:rPr>
        <w:t>Resources and Planned Performance</w:t>
      </w:r>
    </w:p>
    <w:p w14:paraId="740E0CA9" w14:textId="48DF5163" w:rsidR="00DE0E57" w:rsidRPr="003E76E7" w:rsidRDefault="00CF10DD" w:rsidP="00C4292D">
      <w:pPr>
        <w:pStyle w:val="TOC2"/>
        <w:rPr>
          <w:rFonts w:asciiTheme="minorHAnsi" w:eastAsiaTheme="minorEastAsia" w:hAnsiTheme="minorHAnsi" w:cstheme="minorBidi"/>
          <w:b w:val="0"/>
          <w:caps w:val="0"/>
          <w:sz w:val="22"/>
          <w:szCs w:val="22"/>
          <w:lang w:val="en-AU"/>
        </w:rPr>
      </w:pPr>
      <w:r w:rsidRPr="003E76E7">
        <w:rPr>
          <w:rFonts w:ascii="Arial" w:hAnsi="Arial"/>
          <w:bCs/>
          <w:smallCaps/>
          <w:noProof w:val="0"/>
          <w:kern w:val="32"/>
          <w:sz w:val="34"/>
          <w:szCs w:val="32"/>
        </w:rPr>
        <w:fldChar w:fldCharType="begin"/>
      </w:r>
      <w:r w:rsidRPr="003E76E7">
        <w:rPr>
          <w:rFonts w:ascii="Arial" w:hAnsi="Arial"/>
        </w:rPr>
        <w:instrText xml:space="preserve"> TOC \o "1-4" \h \z \u </w:instrText>
      </w:r>
      <w:r w:rsidRPr="003E76E7">
        <w:rPr>
          <w:rFonts w:ascii="Arial" w:hAnsi="Arial"/>
          <w:bCs/>
          <w:smallCaps/>
          <w:noProof w:val="0"/>
          <w:kern w:val="32"/>
          <w:sz w:val="34"/>
          <w:szCs w:val="32"/>
        </w:rPr>
        <w:fldChar w:fldCharType="separate"/>
      </w:r>
    </w:p>
    <w:p w14:paraId="5A0896CB" w14:textId="7A98C839" w:rsidR="00DE0E57" w:rsidRPr="003E76E7" w:rsidRDefault="00AD70C0" w:rsidP="00C4292D">
      <w:pPr>
        <w:pStyle w:val="TOC3"/>
        <w:rPr>
          <w:rFonts w:asciiTheme="minorHAnsi" w:eastAsiaTheme="minorEastAsia" w:hAnsiTheme="minorHAnsi" w:cstheme="minorBidi"/>
          <w:sz w:val="22"/>
          <w:szCs w:val="22"/>
          <w:lang w:val="en-AU"/>
        </w:rPr>
      </w:pPr>
      <w:hyperlink w:anchor="_Toc225941579" w:history="1">
        <w:r w:rsidR="00DE0E57" w:rsidRPr="003E76E7">
          <w:rPr>
            <w:rStyle w:val="Hyperlink"/>
          </w:rPr>
          <w:t>Section 1: ASA Overview and Resources</w:t>
        </w:r>
        <w:r w:rsidR="00DE0E57" w:rsidRPr="003E76E7">
          <w:rPr>
            <w:webHidden/>
          </w:rPr>
          <w:tab/>
        </w:r>
        <w:r w:rsidR="00DE0E57" w:rsidRPr="003E76E7">
          <w:rPr>
            <w:webHidden/>
          </w:rPr>
          <w:fldChar w:fldCharType="begin"/>
        </w:r>
        <w:r w:rsidR="00DE0E57" w:rsidRPr="003E76E7">
          <w:rPr>
            <w:webHidden/>
          </w:rPr>
          <w:instrText xml:space="preserve"> PAGEREF _Toc225941579 \h </w:instrText>
        </w:r>
        <w:r w:rsidR="00DE0E57" w:rsidRPr="003E76E7">
          <w:rPr>
            <w:webHidden/>
          </w:rPr>
        </w:r>
        <w:r w:rsidR="00DE0E57" w:rsidRPr="003E76E7">
          <w:rPr>
            <w:webHidden/>
          </w:rPr>
          <w:fldChar w:fldCharType="separate"/>
        </w:r>
        <w:r w:rsidR="00E00C37">
          <w:rPr>
            <w:webHidden/>
          </w:rPr>
          <w:t>187</w:t>
        </w:r>
        <w:r w:rsidR="00DE0E57" w:rsidRPr="003E76E7">
          <w:rPr>
            <w:webHidden/>
          </w:rPr>
          <w:fldChar w:fldCharType="end"/>
        </w:r>
      </w:hyperlink>
    </w:p>
    <w:p w14:paraId="168DDD10" w14:textId="6AB43F76" w:rsidR="00DE0E57" w:rsidRPr="003E76E7" w:rsidRDefault="00AD70C0" w:rsidP="00C4292D">
      <w:pPr>
        <w:pStyle w:val="TOC4"/>
        <w:rPr>
          <w:rFonts w:asciiTheme="minorHAnsi" w:eastAsiaTheme="minorEastAsia" w:hAnsiTheme="minorHAnsi" w:cstheme="minorBidi"/>
          <w:sz w:val="22"/>
          <w:szCs w:val="22"/>
          <w:lang w:val="en-AU"/>
        </w:rPr>
      </w:pPr>
      <w:hyperlink w:anchor="_Toc225941580" w:history="1">
        <w:r w:rsidR="00DE0E57" w:rsidRPr="003E76E7">
          <w:rPr>
            <w:rStyle w:val="Hyperlink"/>
          </w:rPr>
          <w:t>1.1 Strategic Direction Statement</w:t>
        </w:r>
        <w:r w:rsidR="00DE0E57" w:rsidRPr="003E76E7">
          <w:rPr>
            <w:webHidden/>
          </w:rPr>
          <w:tab/>
        </w:r>
        <w:r w:rsidR="00DE0E57" w:rsidRPr="003E76E7">
          <w:rPr>
            <w:webHidden/>
          </w:rPr>
          <w:fldChar w:fldCharType="begin"/>
        </w:r>
        <w:r w:rsidR="00DE0E57" w:rsidRPr="003E76E7">
          <w:rPr>
            <w:webHidden/>
          </w:rPr>
          <w:instrText xml:space="preserve"> PAGEREF _Toc225941580 \h </w:instrText>
        </w:r>
        <w:r w:rsidR="00DE0E57" w:rsidRPr="003E76E7">
          <w:rPr>
            <w:webHidden/>
          </w:rPr>
        </w:r>
        <w:r w:rsidR="00DE0E57" w:rsidRPr="003E76E7">
          <w:rPr>
            <w:webHidden/>
          </w:rPr>
          <w:fldChar w:fldCharType="separate"/>
        </w:r>
        <w:r w:rsidR="00E00C37">
          <w:rPr>
            <w:webHidden/>
          </w:rPr>
          <w:t>187</w:t>
        </w:r>
        <w:r w:rsidR="00DE0E57" w:rsidRPr="003E76E7">
          <w:rPr>
            <w:webHidden/>
          </w:rPr>
          <w:fldChar w:fldCharType="end"/>
        </w:r>
      </w:hyperlink>
    </w:p>
    <w:p w14:paraId="5B667731" w14:textId="5A29DCE5" w:rsidR="00DE0E57" w:rsidRPr="003E76E7" w:rsidRDefault="00AD70C0" w:rsidP="00C4292D">
      <w:pPr>
        <w:pStyle w:val="TOC4"/>
        <w:rPr>
          <w:rFonts w:asciiTheme="minorHAnsi" w:eastAsiaTheme="minorEastAsia" w:hAnsiTheme="minorHAnsi" w:cstheme="minorBidi"/>
          <w:sz w:val="22"/>
          <w:szCs w:val="22"/>
          <w:lang w:val="en-AU"/>
        </w:rPr>
      </w:pPr>
      <w:hyperlink w:anchor="_Toc225941581" w:history="1">
        <w:r w:rsidR="00DE0E57" w:rsidRPr="003E76E7">
          <w:rPr>
            <w:rStyle w:val="Hyperlink"/>
            <w:lang w:val="en-AU"/>
          </w:rPr>
          <w:t>1.2 ASA Resource Statement</w:t>
        </w:r>
        <w:r w:rsidR="00DE0E57" w:rsidRPr="003E76E7">
          <w:rPr>
            <w:webHidden/>
          </w:rPr>
          <w:tab/>
        </w:r>
        <w:r w:rsidR="00DE0E57" w:rsidRPr="003E76E7">
          <w:rPr>
            <w:webHidden/>
          </w:rPr>
          <w:fldChar w:fldCharType="begin"/>
        </w:r>
        <w:r w:rsidR="00DE0E57" w:rsidRPr="003E76E7">
          <w:rPr>
            <w:webHidden/>
          </w:rPr>
          <w:instrText xml:space="preserve"> PAGEREF _Toc225941581 \h </w:instrText>
        </w:r>
        <w:r w:rsidR="00DE0E57" w:rsidRPr="003E76E7">
          <w:rPr>
            <w:webHidden/>
          </w:rPr>
        </w:r>
        <w:r w:rsidR="00DE0E57" w:rsidRPr="003E76E7">
          <w:rPr>
            <w:webHidden/>
          </w:rPr>
          <w:fldChar w:fldCharType="separate"/>
        </w:r>
        <w:r w:rsidR="00E00C37">
          <w:rPr>
            <w:webHidden/>
          </w:rPr>
          <w:t>190</w:t>
        </w:r>
        <w:r w:rsidR="00DE0E57" w:rsidRPr="003E76E7">
          <w:rPr>
            <w:webHidden/>
          </w:rPr>
          <w:fldChar w:fldCharType="end"/>
        </w:r>
      </w:hyperlink>
    </w:p>
    <w:p w14:paraId="04F77E7A" w14:textId="56460CC1" w:rsidR="00DE0E57" w:rsidRPr="003E76E7" w:rsidRDefault="00AD70C0" w:rsidP="00C4292D">
      <w:pPr>
        <w:pStyle w:val="TOC4"/>
        <w:rPr>
          <w:rFonts w:asciiTheme="minorHAnsi" w:eastAsiaTheme="minorEastAsia" w:hAnsiTheme="minorHAnsi" w:cstheme="minorBidi"/>
          <w:sz w:val="22"/>
          <w:szCs w:val="22"/>
          <w:lang w:val="en-AU"/>
        </w:rPr>
      </w:pPr>
      <w:hyperlink w:anchor="_Toc225941582" w:history="1">
        <w:r w:rsidR="00DE0E57" w:rsidRPr="003E76E7">
          <w:rPr>
            <w:rStyle w:val="Hyperlink"/>
          </w:rPr>
          <w:t>1.3 Budget Measures</w:t>
        </w:r>
        <w:r w:rsidR="00DE0E57" w:rsidRPr="003E76E7">
          <w:rPr>
            <w:webHidden/>
          </w:rPr>
          <w:tab/>
        </w:r>
        <w:r w:rsidR="00DE0E57" w:rsidRPr="003E76E7">
          <w:rPr>
            <w:webHidden/>
          </w:rPr>
          <w:fldChar w:fldCharType="begin"/>
        </w:r>
        <w:r w:rsidR="00DE0E57" w:rsidRPr="003E76E7">
          <w:rPr>
            <w:webHidden/>
          </w:rPr>
          <w:instrText xml:space="preserve"> PAGEREF _Toc225941582 \h </w:instrText>
        </w:r>
        <w:r w:rsidR="00DE0E57" w:rsidRPr="003E76E7">
          <w:rPr>
            <w:webHidden/>
          </w:rPr>
        </w:r>
        <w:r w:rsidR="00DE0E57" w:rsidRPr="003E76E7">
          <w:rPr>
            <w:webHidden/>
          </w:rPr>
          <w:fldChar w:fldCharType="separate"/>
        </w:r>
        <w:r w:rsidR="00E00C37">
          <w:rPr>
            <w:webHidden/>
          </w:rPr>
          <w:t>191</w:t>
        </w:r>
        <w:r w:rsidR="00DE0E57" w:rsidRPr="003E76E7">
          <w:rPr>
            <w:webHidden/>
          </w:rPr>
          <w:fldChar w:fldCharType="end"/>
        </w:r>
      </w:hyperlink>
    </w:p>
    <w:p w14:paraId="25BBC279" w14:textId="13270E72" w:rsidR="00DE0E57" w:rsidRPr="003E76E7" w:rsidRDefault="00AD70C0" w:rsidP="00C4292D">
      <w:pPr>
        <w:pStyle w:val="TOC3"/>
        <w:rPr>
          <w:rFonts w:asciiTheme="minorHAnsi" w:eastAsiaTheme="minorEastAsia" w:hAnsiTheme="minorHAnsi" w:cstheme="minorBidi"/>
          <w:sz w:val="22"/>
          <w:szCs w:val="22"/>
          <w:lang w:val="en-AU"/>
        </w:rPr>
      </w:pPr>
      <w:hyperlink w:anchor="_Toc225941583" w:history="1">
        <w:r w:rsidR="00DE0E57" w:rsidRPr="003E76E7">
          <w:rPr>
            <w:rStyle w:val="Hyperlink"/>
          </w:rPr>
          <w:t>Section 2: ASA Outcomes and Planned Performance</w:t>
        </w:r>
        <w:r w:rsidR="00DE0E57" w:rsidRPr="003E76E7">
          <w:rPr>
            <w:webHidden/>
          </w:rPr>
          <w:tab/>
        </w:r>
        <w:r w:rsidR="00DE0E57" w:rsidRPr="003E76E7">
          <w:rPr>
            <w:webHidden/>
          </w:rPr>
          <w:fldChar w:fldCharType="begin"/>
        </w:r>
        <w:r w:rsidR="00DE0E57" w:rsidRPr="003E76E7">
          <w:rPr>
            <w:webHidden/>
          </w:rPr>
          <w:instrText xml:space="preserve"> PAGEREF _Toc225941583 \h </w:instrText>
        </w:r>
        <w:r w:rsidR="00DE0E57" w:rsidRPr="003E76E7">
          <w:rPr>
            <w:webHidden/>
          </w:rPr>
        </w:r>
        <w:r w:rsidR="00DE0E57" w:rsidRPr="003E76E7">
          <w:rPr>
            <w:webHidden/>
          </w:rPr>
          <w:fldChar w:fldCharType="separate"/>
        </w:r>
        <w:r w:rsidR="00E00C37">
          <w:rPr>
            <w:webHidden/>
          </w:rPr>
          <w:t>192</w:t>
        </w:r>
        <w:r w:rsidR="00DE0E57" w:rsidRPr="003E76E7">
          <w:rPr>
            <w:webHidden/>
          </w:rPr>
          <w:fldChar w:fldCharType="end"/>
        </w:r>
      </w:hyperlink>
    </w:p>
    <w:p w14:paraId="2F205F9E" w14:textId="34E3DDA5" w:rsidR="00DE0E57" w:rsidRPr="003E76E7" w:rsidRDefault="00AD70C0" w:rsidP="00C4292D">
      <w:pPr>
        <w:pStyle w:val="TOC4"/>
        <w:rPr>
          <w:rFonts w:asciiTheme="minorHAnsi" w:eastAsiaTheme="minorEastAsia" w:hAnsiTheme="minorHAnsi" w:cstheme="minorBidi"/>
          <w:sz w:val="22"/>
          <w:szCs w:val="22"/>
          <w:lang w:val="en-AU"/>
        </w:rPr>
      </w:pPr>
      <w:hyperlink w:anchor="_Toc225941584" w:history="1">
        <w:r w:rsidR="00DE0E57" w:rsidRPr="003E76E7">
          <w:rPr>
            <w:rStyle w:val="Hyperlink"/>
          </w:rPr>
          <w:t>2.1 Budgeted Expenses and Performance for Outcome 1</w:t>
        </w:r>
        <w:r w:rsidR="00DE0E57" w:rsidRPr="003E76E7">
          <w:rPr>
            <w:webHidden/>
          </w:rPr>
          <w:tab/>
        </w:r>
        <w:r w:rsidR="00DE0E57" w:rsidRPr="003E76E7">
          <w:rPr>
            <w:webHidden/>
          </w:rPr>
          <w:fldChar w:fldCharType="begin"/>
        </w:r>
        <w:r w:rsidR="00DE0E57" w:rsidRPr="003E76E7">
          <w:rPr>
            <w:webHidden/>
          </w:rPr>
          <w:instrText xml:space="preserve"> PAGEREF _Toc225941584 \h </w:instrText>
        </w:r>
        <w:r w:rsidR="00DE0E57" w:rsidRPr="003E76E7">
          <w:rPr>
            <w:webHidden/>
          </w:rPr>
        </w:r>
        <w:r w:rsidR="00DE0E57" w:rsidRPr="003E76E7">
          <w:rPr>
            <w:webHidden/>
          </w:rPr>
          <w:fldChar w:fldCharType="separate"/>
        </w:r>
        <w:r w:rsidR="00E00C37">
          <w:rPr>
            <w:webHidden/>
          </w:rPr>
          <w:t>193</w:t>
        </w:r>
        <w:r w:rsidR="00DE0E57" w:rsidRPr="003E76E7">
          <w:rPr>
            <w:webHidden/>
          </w:rPr>
          <w:fldChar w:fldCharType="end"/>
        </w:r>
      </w:hyperlink>
    </w:p>
    <w:p w14:paraId="08010B11" w14:textId="2C19FFD8" w:rsidR="00DE0E57" w:rsidRPr="003E76E7" w:rsidRDefault="00AD70C0" w:rsidP="00C4292D">
      <w:pPr>
        <w:pStyle w:val="TOC3"/>
        <w:rPr>
          <w:rFonts w:asciiTheme="minorHAnsi" w:eastAsiaTheme="minorEastAsia" w:hAnsiTheme="minorHAnsi" w:cstheme="minorBidi"/>
          <w:sz w:val="22"/>
          <w:szCs w:val="22"/>
          <w:lang w:val="en-AU"/>
        </w:rPr>
      </w:pPr>
      <w:hyperlink w:anchor="_Toc225941585" w:history="1">
        <w:r w:rsidR="00DE0E57" w:rsidRPr="003E76E7">
          <w:rPr>
            <w:rStyle w:val="Hyperlink"/>
          </w:rPr>
          <w:t>Section 3: ASA Explanatory Tables and Budgeted Financial Statements</w:t>
        </w:r>
        <w:r w:rsidR="00DE0E57" w:rsidRPr="003E76E7">
          <w:rPr>
            <w:webHidden/>
          </w:rPr>
          <w:tab/>
        </w:r>
        <w:r w:rsidR="00DE0E57" w:rsidRPr="003E76E7">
          <w:rPr>
            <w:webHidden/>
          </w:rPr>
          <w:fldChar w:fldCharType="begin"/>
        </w:r>
        <w:r w:rsidR="00DE0E57" w:rsidRPr="003E76E7">
          <w:rPr>
            <w:webHidden/>
          </w:rPr>
          <w:instrText xml:space="preserve"> PAGEREF _Toc225941585 \h </w:instrText>
        </w:r>
        <w:r w:rsidR="00DE0E57" w:rsidRPr="003E76E7">
          <w:rPr>
            <w:webHidden/>
          </w:rPr>
        </w:r>
        <w:r w:rsidR="00DE0E57" w:rsidRPr="003E76E7">
          <w:rPr>
            <w:webHidden/>
          </w:rPr>
          <w:fldChar w:fldCharType="separate"/>
        </w:r>
        <w:r w:rsidR="00E00C37">
          <w:rPr>
            <w:webHidden/>
          </w:rPr>
          <w:t>198</w:t>
        </w:r>
        <w:r w:rsidR="00DE0E57" w:rsidRPr="003E76E7">
          <w:rPr>
            <w:webHidden/>
          </w:rPr>
          <w:fldChar w:fldCharType="end"/>
        </w:r>
      </w:hyperlink>
    </w:p>
    <w:p w14:paraId="2B123669" w14:textId="40773A6B" w:rsidR="00DE0E57" w:rsidRPr="003E76E7" w:rsidRDefault="00AD70C0" w:rsidP="00C4292D">
      <w:pPr>
        <w:pStyle w:val="TOC4"/>
        <w:rPr>
          <w:rFonts w:asciiTheme="minorHAnsi" w:eastAsiaTheme="minorEastAsia" w:hAnsiTheme="minorHAnsi" w:cstheme="minorBidi"/>
          <w:sz w:val="22"/>
          <w:szCs w:val="22"/>
          <w:lang w:val="en-AU"/>
        </w:rPr>
      </w:pPr>
      <w:hyperlink w:anchor="_Toc225941586" w:history="1">
        <w:r w:rsidR="00DE0E57" w:rsidRPr="003E76E7">
          <w:rPr>
            <w:rStyle w:val="Hyperlink"/>
          </w:rPr>
          <w:t>3.1 Explanatory Tables</w:t>
        </w:r>
        <w:r w:rsidR="00DE0E57" w:rsidRPr="003E76E7">
          <w:rPr>
            <w:webHidden/>
          </w:rPr>
          <w:tab/>
        </w:r>
        <w:r w:rsidR="00DE0E57" w:rsidRPr="003E76E7">
          <w:rPr>
            <w:webHidden/>
          </w:rPr>
          <w:fldChar w:fldCharType="begin"/>
        </w:r>
        <w:r w:rsidR="00DE0E57" w:rsidRPr="003E76E7">
          <w:rPr>
            <w:webHidden/>
          </w:rPr>
          <w:instrText xml:space="preserve"> PAGEREF _Toc225941586 \h </w:instrText>
        </w:r>
        <w:r w:rsidR="00DE0E57" w:rsidRPr="003E76E7">
          <w:rPr>
            <w:webHidden/>
          </w:rPr>
        </w:r>
        <w:r w:rsidR="00DE0E57" w:rsidRPr="003E76E7">
          <w:rPr>
            <w:webHidden/>
          </w:rPr>
          <w:fldChar w:fldCharType="separate"/>
        </w:r>
        <w:r w:rsidR="00E00C37">
          <w:rPr>
            <w:webHidden/>
          </w:rPr>
          <w:t>198</w:t>
        </w:r>
        <w:r w:rsidR="00DE0E57" w:rsidRPr="003E76E7">
          <w:rPr>
            <w:webHidden/>
          </w:rPr>
          <w:fldChar w:fldCharType="end"/>
        </w:r>
      </w:hyperlink>
    </w:p>
    <w:p w14:paraId="74BE2C90" w14:textId="28363511" w:rsidR="00DE0E57" w:rsidRPr="003E76E7" w:rsidRDefault="00AD70C0" w:rsidP="00C4292D">
      <w:pPr>
        <w:pStyle w:val="TOC4"/>
        <w:rPr>
          <w:rFonts w:asciiTheme="minorHAnsi" w:eastAsiaTheme="minorEastAsia" w:hAnsiTheme="minorHAnsi" w:cstheme="minorBidi"/>
          <w:sz w:val="22"/>
          <w:szCs w:val="22"/>
          <w:lang w:val="en-AU"/>
        </w:rPr>
      </w:pPr>
      <w:hyperlink w:anchor="_Toc225941587" w:history="1">
        <w:r w:rsidR="00DE0E57" w:rsidRPr="003E76E7">
          <w:rPr>
            <w:rStyle w:val="Hyperlink"/>
          </w:rPr>
          <w:t>3.2 Budgeted Financial Statements</w:t>
        </w:r>
        <w:r w:rsidR="00DE0E57" w:rsidRPr="003E76E7">
          <w:rPr>
            <w:webHidden/>
          </w:rPr>
          <w:tab/>
        </w:r>
        <w:r w:rsidR="00DE0E57" w:rsidRPr="003E76E7">
          <w:rPr>
            <w:webHidden/>
          </w:rPr>
          <w:fldChar w:fldCharType="begin"/>
        </w:r>
        <w:r w:rsidR="00DE0E57" w:rsidRPr="003E76E7">
          <w:rPr>
            <w:webHidden/>
          </w:rPr>
          <w:instrText xml:space="preserve"> PAGEREF _Toc225941587 \h </w:instrText>
        </w:r>
        <w:r w:rsidR="00DE0E57" w:rsidRPr="003E76E7">
          <w:rPr>
            <w:webHidden/>
          </w:rPr>
        </w:r>
        <w:r w:rsidR="00DE0E57" w:rsidRPr="003E76E7">
          <w:rPr>
            <w:webHidden/>
          </w:rPr>
          <w:fldChar w:fldCharType="separate"/>
        </w:r>
        <w:r w:rsidR="00E00C37">
          <w:rPr>
            <w:webHidden/>
          </w:rPr>
          <w:t>199</w:t>
        </w:r>
        <w:r w:rsidR="00DE0E57" w:rsidRPr="003E76E7">
          <w:rPr>
            <w:webHidden/>
          </w:rPr>
          <w:fldChar w:fldCharType="end"/>
        </w:r>
      </w:hyperlink>
    </w:p>
    <w:p w14:paraId="2D861A86" w14:textId="77777777" w:rsidR="000512AB" w:rsidRPr="003E76E7" w:rsidRDefault="00CF10DD" w:rsidP="00C4292D">
      <w:pPr>
        <w:ind w:left="2" w:firstLine="1"/>
        <w:jc w:val="center"/>
        <w:rPr>
          <w:lang w:val="en-AU"/>
        </w:rPr>
      </w:pPr>
      <w:r w:rsidRPr="003E76E7">
        <w:rPr>
          <w:rFonts w:ascii="Arial" w:hAnsi="Arial"/>
          <w:b/>
          <w:noProof/>
          <w:szCs w:val="20"/>
        </w:rPr>
        <w:fldChar w:fldCharType="end"/>
      </w:r>
      <w:r w:rsidR="00003B8B" w:rsidRPr="003E76E7">
        <w:rPr>
          <w:lang w:val="en-AU"/>
        </w:rPr>
        <w:br w:type="page"/>
      </w:r>
      <w:bookmarkStart w:id="1626" w:name="_Toc476581167"/>
      <w:bookmarkStart w:id="1627" w:name="_Toc507595434"/>
      <w:bookmarkStart w:id="1628" w:name="_Toc536089241"/>
      <w:bookmarkStart w:id="1629" w:name="_Toc536089607"/>
      <w:bookmarkStart w:id="1630" w:name="_Toc1561694"/>
      <w:bookmarkStart w:id="1631" w:name="_Toc51691690"/>
      <w:bookmarkStart w:id="1632" w:name="_Toc69729060"/>
      <w:bookmarkStart w:id="1633" w:name="_Toc69917855"/>
      <w:bookmarkStart w:id="1634" w:name="_Toc108088957"/>
      <w:bookmarkStart w:id="1635" w:name="_Toc108089036"/>
      <w:bookmarkStart w:id="1636" w:name="_Toc108089430"/>
      <w:bookmarkStart w:id="1637" w:name="_Toc109227297"/>
      <w:bookmarkStart w:id="1638" w:name="_Toc109227752"/>
    </w:p>
    <w:p w14:paraId="0CB4409A" w14:textId="77777777" w:rsidR="000512AB" w:rsidRPr="003E76E7" w:rsidRDefault="000512AB" w:rsidP="00C4292D">
      <w:pPr>
        <w:ind w:left="2" w:firstLine="1"/>
        <w:jc w:val="center"/>
        <w:rPr>
          <w:lang w:val="en-AU"/>
        </w:rPr>
      </w:pPr>
    </w:p>
    <w:p w14:paraId="7A1F1714" w14:textId="77777777" w:rsidR="000512AB" w:rsidRPr="003E76E7" w:rsidRDefault="000512AB" w:rsidP="00C4292D">
      <w:pPr>
        <w:ind w:left="2" w:firstLine="1"/>
        <w:jc w:val="center"/>
        <w:rPr>
          <w:lang w:val="en-AU"/>
        </w:rPr>
      </w:pPr>
    </w:p>
    <w:p w14:paraId="15C550E1" w14:textId="77777777" w:rsidR="000512AB" w:rsidRPr="003E76E7" w:rsidRDefault="000512AB" w:rsidP="00C4292D">
      <w:pPr>
        <w:ind w:left="2" w:firstLine="1"/>
        <w:jc w:val="center"/>
        <w:rPr>
          <w:lang w:val="en-AU"/>
        </w:rPr>
      </w:pPr>
    </w:p>
    <w:p w14:paraId="4DBC8FE5" w14:textId="77777777" w:rsidR="000512AB" w:rsidRPr="003E76E7" w:rsidRDefault="000512AB" w:rsidP="00C4292D">
      <w:pPr>
        <w:ind w:left="2" w:firstLine="1"/>
        <w:jc w:val="center"/>
        <w:rPr>
          <w:lang w:val="en-AU"/>
        </w:rPr>
      </w:pPr>
    </w:p>
    <w:p w14:paraId="55E91AF5" w14:textId="77777777" w:rsidR="000512AB" w:rsidRPr="003E76E7" w:rsidRDefault="000512AB" w:rsidP="00C4292D">
      <w:pPr>
        <w:ind w:left="2" w:firstLine="1"/>
        <w:jc w:val="center"/>
        <w:rPr>
          <w:lang w:val="en-AU"/>
        </w:rPr>
      </w:pPr>
    </w:p>
    <w:p w14:paraId="6ABC0FE1" w14:textId="77777777" w:rsidR="000512AB" w:rsidRPr="003E76E7" w:rsidRDefault="000512AB" w:rsidP="00C4292D">
      <w:pPr>
        <w:ind w:left="2" w:firstLine="1"/>
        <w:jc w:val="center"/>
        <w:rPr>
          <w:lang w:val="en-AU"/>
        </w:rPr>
      </w:pPr>
    </w:p>
    <w:p w14:paraId="4BBA13A3" w14:textId="77777777" w:rsidR="000512AB" w:rsidRPr="003E76E7" w:rsidRDefault="000512AB" w:rsidP="00C4292D">
      <w:pPr>
        <w:ind w:left="2" w:firstLine="1"/>
        <w:jc w:val="center"/>
        <w:rPr>
          <w:lang w:val="en-AU"/>
        </w:rPr>
      </w:pPr>
    </w:p>
    <w:p w14:paraId="3C903972" w14:textId="77777777" w:rsidR="000512AB" w:rsidRPr="003E76E7" w:rsidRDefault="000512AB" w:rsidP="00C4292D">
      <w:pPr>
        <w:ind w:left="2" w:firstLine="1"/>
        <w:jc w:val="center"/>
        <w:rPr>
          <w:lang w:val="en-AU"/>
        </w:rPr>
      </w:pPr>
    </w:p>
    <w:p w14:paraId="03F88D1B" w14:textId="77777777" w:rsidR="000512AB" w:rsidRPr="003E76E7" w:rsidRDefault="000512AB" w:rsidP="00C4292D">
      <w:pPr>
        <w:ind w:left="2" w:firstLine="1"/>
        <w:jc w:val="center"/>
        <w:rPr>
          <w:lang w:val="en-AU"/>
        </w:rPr>
      </w:pPr>
    </w:p>
    <w:p w14:paraId="7149EB3E" w14:textId="77777777" w:rsidR="000512AB" w:rsidRPr="003E76E7" w:rsidRDefault="000512AB" w:rsidP="00C4292D">
      <w:pPr>
        <w:ind w:left="2" w:firstLine="1"/>
        <w:jc w:val="center"/>
        <w:rPr>
          <w:lang w:val="en-AU"/>
        </w:rPr>
      </w:pPr>
    </w:p>
    <w:p w14:paraId="3BD2B0B2" w14:textId="77777777" w:rsidR="000512AB" w:rsidRPr="003E76E7" w:rsidRDefault="000512AB" w:rsidP="00C4292D">
      <w:pPr>
        <w:ind w:left="2" w:firstLine="1"/>
        <w:jc w:val="center"/>
        <w:rPr>
          <w:lang w:val="en-AU"/>
        </w:rPr>
      </w:pPr>
    </w:p>
    <w:p w14:paraId="1CD16A38" w14:textId="77777777" w:rsidR="000512AB" w:rsidRPr="003E76E7" w:rsidRDefault="000512AB" w:rsidP="00C4292D">
      <w:pPr>
        <w:ind w:left="2" w:firstLine="1"/>
        <w:jc w:val="center"/>
        <w:rPr>
          <w:lang w:val="en-AU"/>
        </w:rPr>
      </w:pPr>
    </w:p>
    <w:p w14:paraId="28E499BF" w14:textId="77777777" w:rsidR="000512AB" w:rsidRPr="003E76E7" w:rsidRDefault="000512AB" w:rsidP="00C4292D">
      <w:pPr>
        <w:ind w:left="2" w:firstLine="1"/>
        <w:jc w:val="center"/>
        <w:rPr>
          <w:lang w:val="en-AU"/>
        </w:rPr>
      </w:pPr>
    </w:p>
    <w:p w14:paraId="685D56DE" w14:textId="77777777" w:rsidR="00FF46AE" w:rsidRPr="003E76E7" w:rsidRDefault="000512AB" w:rsidP="00C4292D">
      <w:pPr>
        <w:ind w:left="2" w:firstLine="1"/>
        <w:jc w:val="center"/>
        <w:rPr>
          <w:lang w:val="en-AU"/>
        </w:rPr>
      </w:pPr>
      <w:r w:rsidRPr="003E76E7">
        <w:rPr>
          <w:lang w:val="en-AU"/>
        </w:rPr>
        <w:t>This</w:t>
      </w:r>
      <w:r w:rsidR="00FF46AE" w:rsidRPr="003E76E7">
        <w:rPr>
          <w:lang w:val="en-AU"/>
        </w:rPr>
        <w:t xml:space="preserve"> page intentionally left blank.</w:t>
      </w:r>
    </w:p>
    <w:p w14:paraId="225BC0FF" w14:textId="165C2753" w:rsidR="000512AB" w:rsidRPr="003E76E7" w:rsidRDefault="000512AB" w:rsidP="00C4292D">
      <w:pPr>
        <w:ind w:left="2" w:firstLine="1"/>
        <w:jc w:val="center"/>
        <w:rPr>
          <w:lang w:val="en-AU"/>
        </w:rPr>
      </w:pPr>
      <w:r w:rsidRPr="003E76E7">
        <w:rPr>
          <w:lang w:val="en-AU"/>
        </w:rPr>
        <w:br w:type="page"/>
      </w:r>
    </w:p>
    <w:p w14:paraId="377EC828" w14:textId="77777777" w:rsidR="000512AB" w:rsidRPr="003E76E7" w:rsidRDefault="000512AB" w:rsidP="00C4292D">
      <w:pPr>
        <w:ind w:left="2" w:firstLine="1"/>
        <w:jc w:val="center"/>
        <w:rPr>
          <w:lang w:val="en-AU"/>
        </w:rPr>
      </w:pPr>
    </w:p>
    <w:p w14:paraId="739B7FC3" w14:textId="635F95A9" w:rsidR="0004311C" w:rsidRPr="003E76E7" w:rsidRDefault="0004311C" w:rsidP="00C4292D">
      <w:pPr>
        <w:pStyle w:val="heading1level2"/>
        <w:spacing w:before="100" w:after="100"/>
        <w:jc w:val="left"/>
        <w:outlineLvl w:val="9"/>
        <w:rPr>
          <w:smallCaps w:val="0"/>
          <w:sz w:val="36"/>
          <w:szCs w:val="36"/>
        </w:rPr>
      </w:pPr>
      <w:r w:rsidRPr="003E76E7">
        <w:rPr>
          <w:smallCaps w:val="0"/>
          <w:sz w:val="36"/>
          <w:szCs w:val="36"/>
        </w:rPr>
        <w:t>Australian Submarine Agency</w:t>
      </w:r>
    </w:p>
    <w:p w14:paraId="2F814723" w14:textId="77777777" w:rsidR="0004311C" w:rsidRPr="003E76E7" w:rsidRDefault="0004311C" w:rsidP="00C4292D">
      <w:pPr>
        <w:pStyle w:val="Heading2level3"/>
        <w:spacing w:before="120" w:after="120"/>
        <w:rPr>
          <w:rStyle w:val="Heading2Char"/>
          <w:sz w:val="26"/>
          <w:szCs w:val="26"/>
        </w:rPr>
      </w:pPr>
      <w:bookmarkStart w:id="1639" w:name="_Toc149060139"/>
      <w:bookmarkStart w:id="1640" w:name="_Toc149116023"/>
      <w:bookmarkStart w:id="1641" w:name="_Toc149119346"/>
      <w:bookmarkStart w:id="1642" w:name="_Toc149233136"/>
      <w:bookmarkStart w:id="1643" w:name="_Toc155955152"/>
      <w:bookmarkStart w:id="1644" w:name="_Toc158896308"/>
      <w:bookmarkStart w:id="1645" w:name="_Toc159499709"/>
      <w:bookmarkStart w:id="1646" w:name="_Toc159858822"/>
      <w:bookmarkStart w:id="1647" w:name="_Toc159858892"/>
      <w:bookmarkStart w:id="1648" w:name="_Toc159859126"/>
      <w:bookmarkStart w:id="1649" w:name="_Toc159862298"/>
      <w:bookmarkStart w:id="1650" w:name="_Toc159862488"/>
      <w:bookmarkStart w:id="1651" w:name="_Toc221786192"/>
      <w:bookmarkStart w:id="1652" w:name="_Toc222129950"/>
      <w:bookmarkStart w:id="1653" w:name="_Toc222148379"/>
      <w:bookmarkStart w:id="1654" w:name="_Toc225848090"/>
      <w:bookmarkStart w:id="1655" w:name="_Toc225848173"/>
      <w:bookmarkStart w:id="1656" w:name="_Toc225848265"/>
      <w:bookmarkStart w:id="1657" w:name="_Toc225848512"/>
      <w:bookmarkStart w:id="1658" w:name="_Toc225941579"/>
      <w:bookmarkStart w:id="1659" w:name="_Toc225942586"/>
      <w:bookmarkStart w:id="1660" w:name="_Toc227334396"/>
      <w:bookmarkStart w:id="1661" w:name="_Toc229072471"/>
      <w:bookmarkStart w:id="1662" w:name="_Toc229072643"/>
      <w:bookmarkStart w:id="1663" w:name="_Toc476581168"/>
      <w:bookmarkStart w:id="1664" w:name="_Toc507595435"/>
      <w:bookmarkStart w:id="1665" w:name="_Toc536089242"/>
      <w:bookmarkStart w:id="1666" w:name="_Toc536089608"/>
      <w:bookmarkStart w:id="1667" w:name="_Toc1561695"/>
      <w:bookmarkStart w:id="1668" w:name="_Toc51691691"/>
      <w:bookmarkStart w:id="1669" w:name="_Toc69729061"/>
      <w:bookmarkStart w:id="1670" w:name="_Toc69917856"/>
      <w:bookmarkStart w:id="1671" w:name="_Toc108088958"/>
      <w:bookmarkStart w:id="1672" w:name="_Toc108089037"/>
      <w:bookmarkStart w:id="1673" w:name="_Toc108089431"/>
      <w:bookmarkStart w:id="1674" w:name="_Toc109227753"/>
      <w:bookmarkEnd w:id="1626"/>
      <w:bookmarkEnd w:id="1627"/>
      <w:bookmarkEnd w:id="1628"/>
      <w:bookmarkEnd w:id="1629"/>
      <w:bookmarkEnd w:id="1630"/>
      <w:bookmarkEnd w:id="1631"/>
      <w:bookmarkEnd w:id="1632"/>
      <w:bookmarkEnd w:id="1633"/>
      <w:bookmarkEnd w:id="1634"/>
      <w:bookmarkEnd w:id="1635"/>
      <w:bookmarkEnd w:id="1636"/>
      <w:bookmarkEnd w:id="1637"/>
      <w:bookmarkEnd w:id="1638"/>
      <w:r w:rsidRPr="003E76E7">
        <w:rPr>
          <w:rStyle w:val="Heading2Char"/>
          <w:sz w:val="26"/>
          <w:szCs w:val="26"/>
        </w:rPr>
        <w:t>Section 1: ASA Overview and Resources</w:t>
      </w:r>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p>
    <w:p w14:paraId="0D92E7C1" w14:textId="77777777" w:rsidR="00926887" w:rsidRPr="003E76E7" w:rsidRDefault="00926887" w:rsidP="00C4292D">
      <w:pPr>
        <w:pStyle w:val="Heading4"/>
      </w:pPr>
      <w:bookmarkStart w:id="1675" w:name="_Toc159499710"/>
      <w:bookmarkStart w:id="1676" w:name="_Toc159858823"/>
      <w:bookmarkStart w:id="1677" w:name="_Toc159858893"/>
      <w:bookmarkStart w:id="1678" w:name="_Toc159859127"/>
      <w:bookmarkStart w:id="1679" w:name="_Toc159862299"/>
      <w:bookmarkStart w:id="1680" w:name="_Toc159862489"/>
      <w:bookmarkStart w:id="1681" w:name="_Toc221786193"/>
      <w:bookmarkStart w:id="1682" w:name="_Toc222129951"/>
      <w:bookmarkStart w:id="1683" w:name="_Toc222148380"/>
      <w:bookmarkStart w:id="1684" w:name="_Toc225848091"/>
      <w:bookmarkStart w:id="1685" w:name="_Toc225848174"/>
      <w:bookmarkStart w:id="1686" w:name="_Toc225848513"/>
      <w:bookmarkStart w:id="1687" w:name="_Toc225941580"/>
      <w:bookmarkStart w:id="1688" w:name="_Toc225942587"/>
      <w:bookmarkStart w:id="1689" w:name="_Toc227334397"/>
      <w:bookmarkStart w:id="1690" w:name="_Toc229072472"/>
      <w:bookmarkStart w:id="1691" w:name="_Toc229072644"/>
      <w:r w:rsidRPr="003E76E7">
        <w:t>1.1 Strategic Direction Statement</w:t>
      </w:r>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p>
    <w:p w14:paraId="159433CD" w14:textId="5BDB1A86" w:rsidR="00A97A1F" w:rsidRPr="003E76E7" w:rsidRDefault="00A97A1F" w:rsidP="00C4292D">
      <w:pPr>
        <w:spacing w:before="60" w:after="60" w:line="256" w:lineRule="auto"/>
      </w:pPr>
      <w:r w:rsidRPr="003E76E7">
        <w:t xml:space="preserve">The </w:t>
      </w:r>
      <w:r w:rsidRPr="003E76E7">
        <w:rPr>
          <w:i/>
        </w:rPr>
        <w:t>2026 National Defence Strategy</w:t>
      </w:r>
      <w:r w:rsidRPr="003E76E7">
        <w:t xml:space="preserve"> reaffirms the acquisition of conventionally-armed, </w:t>
      </w:r>
      <w:r w:rsidRPr="003E76E7">
        <w:br/>
        <w:t xml:space="preserve">nuclear-powered submarines through </w:t>
      </w:r>
      <w:r w:rsidRPr="003E76E7">
        <w:rPr>
          <w:lang w:eastAsia="en-US"/>
        </w:rPr>
        <w:t>Australia, the United Kingdom and the United States (AUKUS)</w:t>
      </w:r>
      <w:r w:rsidRPr="003E76E7">
        <w:t xml:space="preserve">, to enhance our ability to deter aggression and contribute to stability in the </w:t>
      </w:r>
      <w:r w:rsidRPr="003E76E7">
        <w:br/>
        <w:t>Indo-Pacific.</w:t>
      </w:r>
    </w:p>
    <w:p w14:paraId="2BEFB5D4" w14:textId="70431475" w:rsidR="00806AC6" w:rsidRPr="003E76E7" w:rsidRDefault="00DE0E57" w:rsidP="00C4292D">
      <w:pPr>
        <w:spacing w:before="60" w:after="60" w:line="256" w:lineRule="auto"/>
        <w:rPr>
          <w:lang w:eastAsia="en-US"/>
        </w:rPr>
      </w:pPr>
      <w:r w:rsidRPr="003E76E7">
        <w:rPr>
          <w:lang w:eastAsia="en-US"/>
        </w:rPr>
        <w:t>AUKUS</w:t>
      </w:r>
      <w:r w:rsidR="00A97A1F" w:rsidRPr="003E76E7">
        <w:rPr>
          <w:lang w:eastAsia="en-US"/>
        </w:rPr>
        <w:t xml:space="preserve"> </w:t>
      </w:r>
      <w:r w:rsidR="00806AC6" w:rsidRPr="003E76E7">
        <w:rPr>
          <w:lang w:eastAsia="en-US"/>
        </w:rPr>
        <w:t xml:space="preserve">is a prudent response to deteriorating strategic circumstances. AUKUS </w:t>
      </w:r>
      <w:r w:rsidR="00806AC6" w:rsidRPr="003E76E7">
        <w:rPr>
          <w:lang w:val="en-AU" w:eastAsia="en-US"/>
        </w:rPr>
        <w:t>partners</w:t>
      </w:r>
      <w:r w:rsidR="00806AC6" w:rsidRPr="003E76E7">
        <w:rPr>
          <w:lang w:eastAsia="en-US"/>
        </w:rPr>
        <w:t xml:space="preserve"> have a shared commitment to the partnership and its importance in promoting a free and open </w:t>
      </w:r>
      <w:r w:rsidR="00A97A1F" w:rsidRPr="003E76E7">
        <w:rPr>
          <w:lang w:eastAsia="en-US"/>
        </w:rPr>
        <w:br/>
      </w:r>
      <w:r w:rsidR="00806AC6" w:rsidRPr="003E76E7">
        <w:rPr>
          <w:lang w:eastAsia="en-US"/>
        </w:rPr>
        <w:t xml:space="preserve">Indo-Pacific through an enhanced collective capacity to deter aggression and contribute to stability, peace, and prosperity in the region.  </w:t>
      </w:r>
    </w:p>
    <w:p w14:paraId="261F5C7C" w14:textId="70F9883A" w:rsidR="00806AC6" w:rsidRPr="003E76E7" w:rsidRDefault="00806AC6" w:rsidP="00C4292D">
      <w:pPr>
        <w:spacing w:before="60" w:after="60" w:line="256" w:lineRule="auto"/>
        <w:rPr>
          <w:lang w:eastAsia="en-US"/>
        </w:rPr>
      </w:pPr>
      <w:r w:rsidRPr="003E76E7">
        <w:rPr>
          <w:lang w:eastAsia="en-US"/>
        </w:rPr>
        <w:tab/>
        <w:t xml:space="preserve">For a maritime nation like Australia, maintaining a submarine capability advantage is critical for defending ourselves and </w:t>
      </w:r>
      <w:r w:rsidRPr="00A5119F">
        <w:rPr>
          <w:lang w:eastAsia="en-US"/>
        </w:rPr>
        <w:t>working</w:t>
      </w:r>
      <w:r w:rsidRPr="003E76E7">
        <w:rPr>
          <w:lang w:eastAsia="en-US"/>
        </w:rPr>
        <w:t xml:space="preserve"> with our partners. That is why, through AUKUS, Australia is acquiring a sovereign nuclear</w:t>
      </w:r>
      <w:r w:rsidR="00846A3A" w:rsidRPr="003E76E7">
        <w:rPr>
          <w:lang w:eastAsia="en-US"/>
        </w:rPr>
        <w:t>-</w:t>
      </w:r>
      <w:r w:rsidRPr="003E76E7">
        <w:rPr>
          <w:lang w:eastAsia="en-US"/>
        </w:rPr>
        <w:t xml:space="preserve">powered submarine capability, to meet our needs in the coming decades. </w:t>
      </w:r>
    </w:p>
    <w:p w14:paraId="545D2FAE" w14:textId="56482025" w:rsidR="00806AC6" w:rsidRPr="003E76E7" w:rsidRDefault="00806AC6" w:rsidP="00C4292D">
      <w:pPr>
        <w:spacing w:before="60" w:after="60" w:line="256" w:lineRule="auto"/>
        <w:rPr>
          <w:lang w:eastAsia="en-US"/>
        </w:rPr>
      </w:pPr>
      <w:r w:rsidRPr="003E76E7">
        <w:rPr>
          <w:lang w:eastAsia="en-US"/>
        </w:rPr>
        <w:tab/>
        <w:t xml:space="preserve">The stealth, range, speed and endurance of </w:t>
      </w:r>
      <w:r w:rsidRPr="003E76E7">
        <w:rPr>
          <w:lang w:val="en-AU" w:eastAsia="en-US"/>
        </w:rPr>
        <w:t>these</w:t>
      </w:r>
      <w:r w:rsidRPr="003E76E7">
        <w:rPr>
          <w:lang w:eastAsia="en-US"/>
        </w:rPr>
        <w:t xml:space="preserve"> submarines is unmatched, and will ensure we have a potent submarine capability for decades to come. </w:t>
      </w:r>
    </w:p>
    <w:p w14:paraId="25EAB64D" w14:textId="5E7C09E6" w:rsidR="001C7E22" w:rsidRPr="003E76E7" w:rsidRDefault="001C7E22" w:rsidP="00C4292D">
      <w:pPr>
        <w:spacing w:before="60" w:after="60" w:line="256" w:lineRule="auto"/>
        <w:rPr>
          <w:lang w:eastAsia="en-US"/>
        </w:rPr>
      </w:pPr>
      <w:r w:rsidRPr="003E76E7">
        <w:rPr>
          <w:lang w:eastAsia="en-US"/>
        </w:rPr>
        <w:t>The ASA coordinates work across Defence, industry, and international partners</w:t>
      </w:r>
      <w:r w:rsidR="00DE0E57" w:rsidRPr="003E76E7">
        <w:rPr>
          <w:lang w:eastAsia="en-US"/>
        </w:rPr>
        <w:t xml:space="preserve"> - </w:t>
      </w:r>
      <w:r w:rsidRPr="003E76E7">
        <w:rPr>
          <w:lang w:eastAsia="en-US"/>
        </w:rPr>
        <w:t xml:space="preserve">particularly the United States and the United </w:t>
      </w:r>
      <w:r w:rsidRPr="003E76E7">
        <w:rPr>
          <w:lang w:val="en-AU" w:eastAsia="en-US"/>
        </w:rPr>
        <w:t>Kingdom</w:t>
      </w:r>
      <w:r w:rsidR="00F54A75" w:rsidRPr="003E76E7">
        <w:rPr>
          <w:lang w:eastAsia="en-US"/>
        </w:rPr>
        <w:t xml:space="preserve"> - </w:t>
      </w:r>
      <w:r w:rsidRPr="003E76E7">
        <w:rPr>
          <w:lang w:eastAsia="en-US"/>
        </w:rPr>
        <w:t>to manage the complex technology, workforce development, training, safety, and regulatory requirements involved in operating advanced submarines. Its mission is to ensure Australia maintains a safe, sovereign, and sustainable submarine capability for the long term.</w:t>
      </w:r>
    </w:p>
    <w:p w14:paraId="3DA19B5D" w14:textId="33B6F343" w:rsidR="003E174E" w:rsidRPr="003E76E7" w:rsidRDefault="001C7E22" w:rsidP="00A5119F">
      <w:pPr>
        <w:spacing w:before="60" w:after="60" w:line="256" w:lineRule="auto"/>
        <w:rPr>
          <w:lang w:eastAsia="en-US"/>
        </w:rPr>
      </w:pPr>
      <w:r w:rsidRPr="003E76E7">
        <w:rPr>
          <w:lang w:eastAsia="en-US"/>
        </w:rPr>
        <w:t>Signifi</w:t>
      </w:r>
      <w:r w:rsidR="00A5119F">
        <w:rPr>
          <w:lang w:eastAsia="en-US"/>
        </w:rPr>
        <w:t>cant milestones achieved</w:t>
      </w:r>
      <w:r w:rsidRPr="003E76E7">
        <w:rPr>
          <w:lang w:eastAsia="en-US"/>
        </w:rPr>
        <w:t xml:space="preserve"> recently include the completion of Submarine Maintenance Periods in November 2025 with the United States Navy, and in February-March 2026 with the Royal Navy; and the entry into force of the Australia United Kingdom Nuclear</w:t>
      </w:r>
      <w:r w:rsidR="00846A3A" w:rsidRPr="003E76E7">
        <w:rPr>
          <w:lang w:eastAsia="en-US"/>
        </w:rPr>
        <w:t>-</w:t>
      </w:r>
      <w:r w:rsidRPr="003E76E7">
        <w:rPr>
          <w:lang w:eastAsia="en-US"/>
        </w:rPr>
        <w:t xml:space="preserve">Powered Submarine partnership and Collaboration Treaty (The Geelong Treaty) to facilitate cooperation between </w:t>
      </w:r>
      <w:r w:rsidRPr="003E76E7">
        <w:rPr>
          <w:lang w:val="en-AU" w:eastAsia="en-US"/>
        </w:rPr>
        <w:t>Australia</w:t>
      </w:r>
      <w:r w:rsidRPr="003E76E7">
        <w:rPr>
          <w:lang w:eastAsia="en-US"/>
        </w:rPr>
        <w:t xml:space="preserve"> and the United Kingdom on the design, build, operation, sustainment, and di</w:t>
      </w:r>
      <w:r w:rsidR="00A5119F">
        <w:rPr>
          <w:lang w:eastAsia="en-US"/>
        </w:rPr>
        <w:t>sposal of SSN-AUKUS submarines.</w:t>
      </w:r>
    </w:p>
    <w:p w14:paraId="333B9117" w14:textId="3AB32322" w:rsidR="00F53076" w:rsidRPr="003E76E7" w:rsidRDefault="00F53076" w:rsidP="00C4292D">
      <w:pPr>
        <w:spacing w:before="60" w:after="60" w:line="256" w:lineRule="auto"/>
        <w:rPr>
          <w:lang w:eastAsia="en-US"/>
        </w:rPr>
      </w:pPr>
      <w:r w:rsidRPr="003E76E7">
        <w:rPr>
          <w:lang w:eastAsia="en-US"/>
        </w:rPr>
        <w:t xml:space="preserve">These milestones build on the recent achievements, including the acquisition of long-lead items from the United Kingdom to support Australia’s future submarine capability; the selection of the inaugural cohort for the </w:t>
      </w:r>
      <w:r w:rsidRPr="00A5119F">
        <w:rPr>
          <w:i/>
          <w:lang w:eastAsia="en-US"/>
        </w:rPr>
        <w:t>Propel: Au</w:t>
      </w:r>
      <w:r w:rsidR="00A5119F">
        <w:rPr>
          <w:i/>
          <w:lang w:eastAsia="en-US"/>
        </w:rPr>
        <w:t>stralian Submarine Scholarship P</w:t>
      </w:r>
      <w:r w:rsidRPr="00A5119F">
        <w:rPr>
          <w:i/>
          <w:lang w:eastAsia="en-US"/>
        </w:rPr>
        <w:t>rogram</w:t>
      </w:r>
      <w:r w:rsidR="002F62D4">
        <w:rPr>
          <w:lang w:eastAsia="en-US"/>
        </w:rPr>
        <w:t xml:space="preserve">; the continuation of </w:t>
      </w:r>
      <w:r w:rsidRPr="003E76E7">
        <w:rPr>
          <w:lang w:eastAsia="en-US"/>
        </w:rPr>
        <w:t xml:space="preserve">infrastructure works, acquisition of logistical equipment, and port vessels at HMAS </w:t>
      </w:r>
      <w:r w:rsidRPr="005D1A00">
        <w:rPr>
          <w:lang w:eastAsia="en-US"/>
        </w:rPr>
        <w:t>Stirling</w:t>
      </w:r>
      <w:r w:rsidRPr="003E76E7">
        <w:rPr>
          <w:lang w:eastAsia="en-US"/>
        </w:rPr>
        <w:t>; and major infrastructure activities under way in Osborne, South Australia to establish a state</w:t>
      </w:r>
      <w:r w:rsidR="00846A3A" w:rsidRPr="003E76E7">
        <w:rPr>
          <w:lang w:eastAsia="en-US"/>
        </w:rPr>
        <w:t xml:space="preserve"> </w:t>
      </w:r>
      <w:r w:rsidRPr="003E76E7">
        <w:rPr>
          <w:lang w:eastAsia="en-US"/>
        </w:rPr>
        <w:t>of</w:t>
      </w:r>
      <w:r w:rsidR="00846A3A" w:rsidRPr="003E76E7">
        <w:rPr>
          <w:lang w:eastAsia="en-US"/>
        </w:rPr>
        <w:t xml:space="preserve"> </w:t>
      </w:r>
      <w:r w:rsidRPr="003E76E7">
        <w:rPr>
          <w:lang w:eastAsia="en-US"/>
        </w:rPr>
        <w:t>the</w:t>
      </w:r>
      <w:r w:rsidR="00846A3A" w:rsidRPr="003E76E7">
        <w:rPr>
          <w:lang w:eastAsia="en-US"/>
        </w:rPr>
        <w:t xml:space="preserve"> </w:t>
      </w:r>
      <w:r w:rsidRPr="003E76E7">
        <w:rPr>
          <w:lang w:eastAsia="en-US"/>
        </w:rPr>
        <w:t>art naval nuclear shipyard.</w:t>
      </w:r>
    </w:p>
    <w:p w14:paraId="18B97176" w14:textId="1BD09982" w:rsidR="00F53076" w:rsidRPr="003E76E7" w:rsidRDefault="00F53076" w:rsidP="00A5119F">
      <w:pPr>
        <w:spacing w:before="60" w:after="60" w:line="256" w:lineRule="auto"/>
        <w:rPr>
          <w:lang w:eastAsia="en-US"/>
        </w:rPr>
      </w:pPr>
      <w:r w:rsidRPr="003E76E7">
        <w:rPr>
          <w:lang w:eastAsia="en-US"/>
        </w:rPr>
        <w:t>Key priorities for the ASA in 2026-27 include increasing opportunities for Australian businesses to supply their products and services into the AUKUS trilateral submarine industrial base, overseeing the delivery of the Nuclear</w:t>
      </w:r>
      <w:r w:rsidR="00880175" w:rsidRPr="003E76E7">
        <w:rPr>
          <w:lang w:eastAsia="en-US"/>
        </w:rPr>
        <w:t>-</w:t>
      </w:r>
      <w:r w:rsidRPr="003E76E7">
        <w:rPr>
          <w:lang w:eastAsia="en-US"/>
        </w:rPr>
        <w:t>Powered Submarine Construction Yard in Osborne,</w:t>
      </w:r>
      <w:r w:rsidR="00F12B62" w:rsidRPr="003E76E7">
        <w:rPr>
          <w:lang w:eastAsia="en-US"/>
        </w:rPr>
        <w:br/>
      </w:r>
      <w:r w:rsidRPr="003E76E7">
        <w:rPr>
          <w:lang w:eastAsia="en-US"/>
        </w:rPr>
        <w:t>South</w:t>
      </w:r>
      <w:r w:rsidR="007C3E02" w:rsidRPr="003E76E7">
        <w:rPr>
          <w:lang w:eastAsia="en-US"/>
        </w:rPr>
        <w:t xml:space="preserve"> </w:t>
      </w:r>
      <w:r w:rsidRPr="003E76E7">
        <w:rPr>
          <w:lang w:eastAsia="en-US"/>
        </w:rPr>
        <w:t xml:space="preserve">Australia by Australian Naval Infrastructure, and supporting infrastructure upgrades at HMAS </w:t>
      </w:r>
      <w:r w:rsidRPr="005D1A00">
        <w:rPr>
          <w:lang w:eastAsia="en-US"/>
        </w:rPr>
        <w:t>Stirling</w:t>
      </w:r>
      <w:r w:rsidRPr="003E76E7">
        <w:rPr>
          <w:lang w:eastAsia="en-US"/>
        </w:rPr>
        <w:t xml:space="preserve"> by Defence Security and Estate Group. </w:t>
      </w:r>
    </w:p>
    <w:p w14:paraId="1D426D19" w14:textId="2E6527B4" w:rsidR="00F53076" w:rsidRPr="003E76E7" w:rsidRDefault="00F53076" w:rsidP="00C4292D">
      <w:pPr>
        <w:spacing w:before="60" w:after="60" w:line="256" w:lineRule="auto"/>
        <w:rPr>
          <w:lang w:eastAsia="en-US"/>
        </w:rPr>
      </w:pPr>
      <w:r w:rsidRPr="003E76E7">
        <w:rPr>
          <w:lang w:eastAsia="en-US"/>
        </w:rPr>
        <w:t>Enterprise workforce development continues to be a priority for the ASA. The ASA is working closely with sovereign submarine build and sustainment partners A</w:t>
      </w:r>
      <w:r w:rsidR="006621CE" w:rsidRPr="003E76E7">
        <w:rPr>
          <w:lang w:eastAsia="en-US"/>
        </w:rPr>
        <w:t xml:space="preserve">ustralian </w:t>
      </w:r>
      <w:r w:rsidRPr="003E76E7">
        <w:rPr>
          <w:lang w:eastAsia="en-US"/>
        </w:rPr>
        <w:t>S</w:t>
      </w:r>
      <w:r w:rsidR="006621CE" w:rsidRPr="003E76E7">
        <w:rPr>
          <w:lang w:eastAsia="en-US"/>
        </w:rPr>
        <w:t xml:space="preserve">ubmarine </w:t>
      </w:r>
      <w:r w:rsidRPr="003E76E7">
        <w:rPr>
          <w:lang w:eastAsia="en-US"/>
        </w:rPr>
        <w:lastRenderedPageBreak/>
        <w:t>C</w:t>
      </w:r>
      <w:r w:rsidR="006621CE" w:rsidRPr="003E76E7">
        <w:rPr>
          <w:lang w:eastAsia="en-US"/>
        </w:rPr>
        <w:t>orporation (ASC)</w:t>
      </w:r>
      <w:r w:rsidRPr="003E76E7">
        <w:rPr>
          <w:lang w:eastAsia="en-US"/>
        </w:rPr>
        <w:t xml:space="preserve"> and BAE</w:t>
      </w:r>
      <w:r w:rsidR="006621CE" w:rsidRPr="003E76E7">
        <w:rPr>
          <w:lang w:eastAsia="en-US"/>
        </w:rPr>
        <w:t xml:space="preserve"> Systems</w:t>
      </w:r>
      <w:r w:rsidRPr="003E76E7">
        <w:rPr>
          <w:lang w:eastAsia="en-US"/>
        </w:rPr>
        <w:t>, the education sector, and other key stakeholders to take a whole-of-nation approach to education and workforce development. Significant training opportunities are also being provided to Royal Australian Navy personnel at United Kingdom and United States nav</w:t>
      </w:r>
      <w:r w:rsidR="005D1A00">
        <w:rPr>
          <w:lang w:eastAsia="en-US"/>
        </w:rPr>
        <w:t>al nuclear schools.</w:t>
      </w:r>
      <w:r w:rsidRPr="003E76E7">
        <w:rPr>
          <w:lang w:eastAsia="en-US"/>
        </w:rPr>
        <w:t xml:space="preserve"> South Australia’s Skills and Training Academy continues to be developed.</w:t>
      </w:r>
    </w:p>
    <w:p w14:paraId="0372C0D0" w14:textId="77777777" w:rsidR="005D1A00" w:rsidRPr="003E76E7" w:rsidRDefault="005D1A00" w:rsidP="005D1A00">
      <w:pPr>
        <w:spacing w:before="60" w:after="60" w:line="256" w:lineRule="auto"/>
        <w:rPr>
          <w:lang w:eastAsia="en-US"/>
        </w:rPr>
      </w:pPr>
      <w:r w:rsidRPr="003E76E7">
        <w:rPr>
          <w:lang w:eastAsia="en-US"/>
        </w:rPr>
        <w:t xml:space="preserve">In 2026-27, a priority for the </w:t>
      </w:r>
      <w:r>
        <w:rPr>
          <w:lang w:eastAsia="en-US"/>
        </w:rPr>
        <w:t>ASA</w:t>
      </w:r>
      <w:r w:rsidRPr="003E76E7">
        <w:rPr>
          <w:lang w:eastAsia="en-US"/>
        </w:rPr>
        <w:t xml:space="preserve"> is to continue building social licence for the Nuclear</w:t>
      </w:r>
      <w:r w:rsidRPr="003E76E7">
        <w:rPr>
          <w:lang w:eastAsia="en-US"/>
        </w:rPr>
        <w:noBreakHyphen/>
        <w:t>Powered Submarine Program by strengthening public understanding of how the program contributes to Australia’s security, workforce and Australian industry opportunities and long</w:t>
      </w:r>
      <w:r w:rsidRPr="003E76E7">
        <w:rPr>
          <w:lang w:eastAsia="en-US"/>
        </w:rPr>
        <w:noBreakHyphen/>
        <w:t>term national interests, and the program’s adoption of, implementation of and commitment to the highest standards of safety and security.</w:t>
      </w:r>
    </w:p>
    <w:p w14:paraId="645B9226" w14:textId="77777777" w:rsidR="005D1A00" w:rsidRPr="003E76E7" w:rsidRDefault="005D1A00" w:rsidP="005D1A00">
      <w:pPr>
        <w:spacing w:before="60" w:after="60" w:line="256" w:lineRule="auto"/>
        <w:rPr>
          <w:lang w:eastAsia="en-US"/>
        </w:rPr>
      </w:pPr>
      <w:r w:rsidRPr="003E76E7">
        <w:rPr>
          <w:lang w:eastAsia="en-US"/>
        </w:rPr>
        <w:t>Through 2026-27, the ASA will continue to build Australian capability in the lead up to Submarine Rotational Force-West, which will further accelerate efforts to develop Australia’s capability to safely operate and sustain conventionally-armed</w:t>
      </w:r>
      <w:r>
        <w:rPr>
          <w:lang w:eastAsia="en-US"/>
        </w:rPr>
        <w:t>,</w:t>
      </w:r>
      <w:r w:rsidRPr="003E76E7">
        <w:rPr>
          <w:lang w:eastAsia="en-US"/>
        </w:rPr>
        <w:t xml:space="preserve"> nuclear-powered submarines, while also contributing to security and stability in the region.</w:t>
      </w:r>
    </w:p>
    <w:p w14:paraId="4B942AB7" w14:textId="14B1C640" w:rsidR="00C12F95" w:rsidRPr="003E76E7" w:rsidRDefault="00C12F95" w:rsidP="00C4292D">
      <w:pPr>
        <w:pStyle w:val="BodyText"/>
        <w:rPr>
          <w:rFonts w:ascii="Arial" w:hAnsi="Arial"/>
          <w:b/>
          <w:lang w:val="en-AU"/>
        </w:rPr>
      </w:pPr>
      <w:r w:rsidRPr="003E76E7">
        <w:br w:type="page"/>
      </w:r>
      <w:bookmarkStart w:id="1692" w:name="_Toc222129952"/>
      <w:r w:rsidRPr="003E76E7">
        <w:rPr>
          <w:rFonts w:ascii="Arial" w:hAnsi="Arial"/>
          <w:b/>
          <w:sz w:val="22"/>
          <w:lang w:val="en-AU"/>
        </w:rPr>
        <w:lastRenderedPageBreak/>
        <w:t>ASA Organisational Structure</w:t>
      </w:r>
      <w:bookmarkEnd w:id="1692"/>
    </w:p>
    <w:p w14:paraId="0E379463" w14:textId="77777777" w:rsidR="00C12F95" w:rsidRPr="003E76E7" w:rsidRDefault="00C12F95" w:rsidP="00C4292D">
      <w:pPr>
        <w:pStyle w:val="FigureHeading"/>
        <w:numPr>
          <w:ilvl w:val="0"/>
          <w:numId w:val="45"/>
        </w:numPr>
        <w:tabs>
          <w:tab w:val="num" w:pos="142"/>
          <w:tab w:val="num" w:pos="426"/>
        </w:tabs>
        <w:ind w:hanging="644"/>
        <w:outlineLvl w:val="4"/>
        <w:rPr>
          <w:lang w:val="en-AU"/>
        </w:rPr>
      </w:pPr>
      <w:r w:rsidRPr="003E76E7">
        <w:rPr>
          <w:lang w:val="en-AU"/>
        </w:rPr>
        <w:t>ASA Organisational Chart</w:t>
      </w:r>
    </w:p>
    <w:p w14:paraId="35178F9C" w14:textId="37010BEC" w:rsidR="00063F33" w:rsidRPr="003E76E7" w:rsidRDefault="00063F33" w:rsidP="00C4292D">
      <w:pPr>
        <w:pStyle w:val="FigureHeading"/>
        <w:numPr>
          <w:ilvl w:val="0"/>
          <w:numId w:val="0"/>
        </w:numPr>
        <w:ind w:left="640"/>
        <w:rPr>
          <w:lang w:val="en-AU"/>
        </w:rPr>
      </w:pPr>
    </w:p>
    <w:p w14:paraId="63ED183B" w14:textId="77777777" w:rsidR="00063F33" w:rsidRPr="003E76E7" w:rsidRDefault="00063F33" w:rsidP="00C4292D">
      <w:pPr>
        <w:pStyle w:val="FigureHeading"/>
        <w:numPr>
          <w:ilvl w:val="0"/>
          <w:numId w:val="0"/>
        </w:numPr>
        <w:ind w:left="640"/>
        <w:rPr>
          <w:lang w:val="en-AU"/>
        </w:rPr>
      </w:pPr>
      <w:r w:rsidRPr="003E76E7">
        <w:rPr>
          <w:noProof/>
          <w:lang w:val="en-AU"/>
        </w:rPr>
        <mc:AlternateContent>
          <mc:Choice Requires="wps">
            <w:drawing>
              <wp:anchor distT="45720" distB="45720" distL="114300" distR="114300" simplePos="0" relativeHeight="251820544" behindDoc="0" locked="0" layoutInCell="1" allowOverlap="1" wp14:anchorId="6DF311DA" wp14:editId="2100BE2D">
                <wp:simplePos x="0" y="0"/>
                <wp:positionH relativeFrom="column">
                  <wp:posOffset>1816100</wp:posOffset>
                </wp:positionH>
                <wp:positionV relativeFrom="paragraph">
                  <wp:posOffset>91440</wp:posOffset>
                </wp:positionV>
                <wp:extent cx="1990090" cy="477520"/>
                <wp:effectExtent l="0" t="0" r="0" b="0"/>
                <wp:wrapSquare wrapText="bothSides"/>
                <wp:docPr id="5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090" cy="477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F8BD3F" w14:textId="77777777" w:rsidR="00CA309D" w:rsidRPr="00815155" w:rsidRDefault="00CA309D" w:rsidP="00063F33">
                            <w:pPr>
                              <w:spacing w:before="0" w:after="0"/>
                              <w:jc w:val="center"/>
                              <w:rPr>
                                <w:rFonts w:ascii="Arial" w:hAnsi="Arial"/>
                                <w:color w:val="000000"/>
                                <w:sz w:val="16"/>
                                <w:szCs w:val="16"/>
                              </w:rPr>
                            </w:pPr>
                            <w:r w:rsidRPr="00815155">
                              <w:rPr>
                                <w:rFonts w:ascii="Arial" w:hAnsi="Arial"/>
                                <w:color w:val="000000"/>
                                <w:sz w:val="16"/>
                                <w:szCs w:val="16"/>
                              </w:rPr>
                              <w:t>Deputy Prime Minister</w:t>
                            </w:r>
                            <w:r w:rsidRPr="00815155">
                              <w:rPr>
                                <w:rFonts w:ascii="Arial" w:hAnsi="Arial"/>
                                <w:color w:val="000000"/>
                                <w:sz w:val="16"/>
                                <w:szCs w:val="16"/>
                              </w:rPr>
                              <w:br/>
                              <w:t>Minister for Defence</w:t>
                            </w:r>
                          </w:p>
                          <w:p w14:paraId="2E80D5FB" w14:textId="77777777" w:rsidR="00CA309D" w:rsidRPr="00A01209" w:rsidRDefault="00CA309D" w:rsidP="00063F33">
                            <w:pPr>
                              <w:spacing w:before="0" w:after="0"/>
                              <w:jc w:val="center"/>
                              <w:rPr>
                                <w:rFonts w:ascii="Arial" w:hAnsi="Arial"/>
                                <w:color w:val="000000"/>
                                <w:sz w:val="16"/>
                                <w:szCs w:val="16"/>
                              </w:rPr>
                            </w:pPr>
                            <w:r w:rsidRPr="00A01209">
                              <w:rPr>
                                <w:rFonts w:ascii="Arial" w:hAnsi="Arial"/>
                                <w:color w:val="000000"/>
                                <w:sz w:val="16"/>
                                <w:szCs w:val="16"/>
                              </w:rPr>
                              <w:t>Hon Richard Marles MP</w:t>
                            </w:r>
                          </w:p>
                          <w:p w14:paraId="1F9DCB96" w14:textId="77777777" w:rsidR="00CA309D" w:rsidRDefault="00CA309D" w:rsidP="00063F3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F311DA" id="Text Box 2" o:spid="_x0000_s1095" type="#_x0000_t202" style="position:absolute;left:0;text-align:left;margin-left:143pt;margin-top:7.2pt;width:156.7pt;height:37.6pt;z-index:251820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" stroked="f">
                <v:textbox>
                  <w:txbxContent>
                    <w:p w14:paraId="31F8BD3F" w14:textId="77777777" w:rsidR="00CA309D" w:rsidRPr="00815155" w:rsidRDefault="00CA309D" w:rsidP="00063F33">
                      <w:pPr>
                        <w:spacing w:before="0" w:after="0"/>
                        <w:jc w:val="center"/>
                        <w:rPr>
                          <w:rFonts w:ascii="Arial" w:hAnsi="Arial"/>
                          <w:color w:val="000000"/>
                          <w:sz w:val="16"/>
                          <w:szCs w:val="16"/>
                        </w:rPr>
                      </w:pPr>
                      <w:r w:rsidRPr="00815155">
                        <w:rPr>
                          <w:rFonts w:ascii="Arial" w:hAnsi="Arial"/>
                          <w:color w:val="000000"/>
                          <w:sz w:val="16"/>
                          <w:szCs w:val="16"/>
                        </w:rPr>
                        <w:t>Deputy Prime Minister</w:t>
                      </w:r>
                      <w:r w:rsidRPr="00815155">
                        <w:rPr>
                          <w:rFonts w:ascii="Arial" w:hAnsi="Arial"/>
                          <w:color w:val="000000"/>
                          <w:sz w:val="16"/>
                          <w:szCs w:val="16"/>
                        </w:rPr>
                        <w:br/>
                        <w:t>Minister for Defence</w:t>
                      </w:r>
                    </w:p>
                    <w:p w14:paraId="2E80D5FB" w14:textId="77777777" w:rsidR="00CA309D" w:rsidRPr="00A01209" w:rsidRDefault="00CA309D" w:rsidP="00063F33">
                      <w:pPr>
                        <w:spacing w:before="0" w:after="0"/>
                        <w:jc w:val="center"/>
                        <w:rPr>
                          <w:rFonts w:ascii="Arial" w:hAnsi="Arial"/>
                          <w:color w:val="000000"/>
                          <w:sz w:val="16"/>
                          <w:szCs w:val="16"/>
                        </w:rPr>
                      </w:pPr>
                      <w:r w:rsidRPr="00A01209">
                        <w:rPr>
                          <w:rFonts w:ascii="Arial" w:hAnsi="Arial"/>
                          <w:color w:val="000000"/>
                          <w:sz w:val="16"/>
                          <w:szCs w:val="16"/>
                        </w:rPr>
                        <w:t>Hon Richard Marles MP</w:t>
                      </w:r>
                    </w:p>
                    <w:p w14:paraId="1F9DCB96" w14:textId="77777777" w:rsidR="00CA309D" w:rsidRDefault="00CA309D" w:rsidP="00063F33"/>
                  </w:txbxContent>
                </v:textbox>
                <w10:wrap type="square"/>
              </v:shape>
            </w:pict>
          </mc:Fallback>
        </mc:AlternateContent>
      </w:r>
    </w:p>
    <w:p w14:paraId="19C770FE" w14:textId="77777777" w:rsidR="00063F33" w:rsidRPr="003E76E7" w:rsidRDefault="00063F33" w:rsidP="00C4292D">
      <w:pPr>
        <w:pStyle w:val="FigureHeading"/>
        <w:numPr>
          <w:ilvl w:val="0"/>
          <w:numId w:val="0"/>
        </w:numPr>
        <w:ind w:left="640"/>
        <w:rPr>
          <w:lang w:val="en-AU"/>
        </w:rPr>
      </w:pPr>
      <w:r w:rsidRPr="003E76E7">
        <w:rPr>
          <w:noProof/>
          <w:lang w:val="en-AU"/>
        </w:rPr>
        <mc:AlternateContent>
          <mc:Choice Requires="wps">
            <w:drawing>
              <wp:anchor distT="0" distB="0" distL="114299" distR="114299" simplePos="0" relativeHeight="251826688" behindDoc="0" locked="0" layoutInCell="1" allowOverlap="1" wp14:anchorId="348C96FF" wp14:editId="10897587">
                <wp:simplePos x="0" y="0"/>
                <wp:positionH relativeFrom="column">
                  <wp:posOffset>2807970</wp:posOffset>
                </wp:positionH>
                <wp:positionV relativeFrom="paragraph">
                  <wp:posOffset>271145</wp:posOffset>
                </wp:positionV>
                <wp:extent cx="0" cy="140970"/>
                <wp:effectExtent l="5080" t="8255" r="13970" b="12700"/>
                <wp:wrapNone/>
                <wp:docPr id="139" name="Straight Connector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0" cy="140970"/>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0137502A" id="Straight Connector 575" o:spid="_x0000_s1026" style="position:absolute;flip:x y;z-index:2518266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21.1pt,21.35pt" to="221.1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">
                <v:stroke joinstyle="miter"/>
                <o:lock v:ext="edit" shapetype="f"/>
              </v:line>
            </w:pict>
          </mc:Fallback>
        </mc:AlternateContent>
      </w:r>
    </w:p>
    <w:p w14:paraId="134686C9" w14:textId="77777777" w:rsidR="00063F33" w:rsidRPr="003E76E7" w:rsidRDefault="00063F33" w:rsidP="00C4292D">
      <w:pPr>
        <w:pStyle w:val="FigureHeading"/>
        <w:numPr>
          <w:ilvl w:val="0"/>
          <w:numId w:val="0"/>
        </w:numPr>
        <w:ind w:left="640"/>
        <w:rPr>
          <w:lang w:val="en-AU"/>
        </w:rPr>
      </w:pPr>
      <w:r w:rsidRPr="003E76E7">
        <w:rPr>
          <w:noProof/>
          <w:lang w:val="en-AU"/>
        </w:rPr>
        <mc:AlternateContent>
          <mc:Choice Requires="wps">
            <w:drawing>
              <wp:anchor distT="45720" distB="45720" distL="114300" distR="114300" simplePos="0" relativeHeight="251821568" behindDoc="0" locked="0" layoutInCell="1" allowOverlap="1" wp14:anchorId="046E7B10" wp14:editId="1D73BF13">
                <wp:simplePos x="0" y="0"/>
                <wp:positionH relativeFrom="column">
                  <wp:posOffset>1823720</wp:posOffset>
                </wp:positionH>
                <wp:positionV relativeFrom="paragraph">
                  <wp:posOffset>184150</wp:posOffset>
                </wp:positionV>
                <wp:extent cx="2004695" cy="401320"/>
                <wp:effectExtent l="0" t="0" r="0" b="0"/>
                <wp:wrapSquare wrapText="bothSides"/>
                <wp:docPr id="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695" cy="401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980553" w14:textId="77777777" w:rsidR="00CA309D" w:rsidRPr="00120AEF" w:rsidRDefault="00CA309D" w:rsidP="00063F33">
                            <w:pPr>
                              <w:spacing w:before="0" w:after="0"/>
                              <w:jc w:val="center"/>
                              <w:rPr>
                                <w:rFonts w:ascii="Arial" w:hAnsi="Arial"/>
                                <w:color w:val="000000"/>
                                <w:sz w:val="16"/>
                                <w:szCs w:val="16"/>
                              </w:rPr>
                            </w:pPr>
                            <w:r w:rsidRPr="00120AEF">
                              <w:rPr>
                                <w:rFonts w:ascii="Arial" w:hAnsi="Arial"/>
                                <w:color w:val="000000"/>
                                <w:sz w:val="16"/>
                                <w:szCs w:val="16"/>
                              </w:rPr>
                              <w:t>Director-General</w:t>
                            </w:r>
                          </w:p>
                          <w:p w14:paraId="7A10EDBB" w14:textId="77777777" w:rsidR="00CA309D" w:rsidRDefault="00CA309D" w:rsidP="00063F33">
                            <w:pPr>
                              <w:spacing w:before="0" w:after="0"/>
                              <w:jc w:val="center"/>
                            </w:pPr>
                            <w:r>
                              <w:rPr>
                                <w:rFonts w:ascii="Arial" w:hAnsi="Arial"/>
                                <w:color w:val="000000"/>
                                <w:sz w:val="16"/>
                                <w:szCs w:val="16"/>
                              </w:rPr>
                              <w:t>Vice Admiral Jonathan Mead, AO, RAN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6E7B10" id="_x0000_s1096" type="#_x0000_t202" style="position:absolute;left:0;text-align:left;margin-left:143.6pt;margin-top:14.5pt;width:157.85pt;height:31.6pt;z-index:251821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JYyhwIAABk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" stroked="f">
                <v:textbox>
                  <w:txbxContent>
                    <w:p w14:paraId="03980553" w14:textId="77777777" w:rsidR="00CA309D" w:rsidRPr="00120AEF" w:rsidRDefault="00CA309D" w:rsidP="00063F33">
                      <w:pPr>
                        <w:spacing w:before="0" w:after="0"/>
                        <w:jc w:val="center"/>
                        <w:rPr>
                          <w:rFonts w:ascii="Arial" w:hAnsi="Arial"/>
                          <w:color w:val="000000"/>
                          <w:sz w:val="16"/>
                          <w:szCs w:val="16"/>
                        </w:rPr>
                      </w:pPr>
                      <w:r w:rsidRPr="00120AEF">
                        <w:rPr>
                          <w:rFonts w:ascii="Arial" w:hAnsi="Arial"/>
                          <w:color w:val="000000"/>
                          <w:sz w:val="16"/>
                          <w:szCs w:val="16"/>
                        </w:rPr>
                        <w:t>Director-General</w:t>
                      </w:r>
                    </w:p>
                    <w:p w14:paraId="7A10EDBB" w14:textId="77777777" w:rsidR="00CA309D" w:rsidRDefault="00CA309D" w:rsidP="00063F33">
                      <w:pPr>
                        <w:spacing w:before="0" w:after="0"/>
                        <w:jc w:val="center"/>
                      </w:pPr>
                      <w:r>
                        <w:rPr>
                          <w:rFonts w:ascii="Arial" w:hAnsi="Arial"/>
                          <w:color w:val="000000"/>
                          <w:sz w:val="16"/>
                          <w:szCs w:val="16"/>
                        </w:rPr>
                        <w:t>Vice Admiral Jonathan Mead, AO, RAN</w:t>
                      </w:r>
                    </w:p>
                  </w:txbxContent>
                </v:textbox>
                <w10:wrap type="square"/>
              </v:shape>
            </w:pict>
          </mc:Fallback>
        </mc:AlternateContent>
      </w:r>
    </w:p>
    <w:p w14:paraId="13AD7D93" w14:textId="21A72ED4" w:rsidR="00063F33" w:rsidRPr="003E76E7" w:rsidRDefault="00063F33" w:rsidP="00C4292D">
      <w:pPr>
        <w:pStyle w:val="FigureHeading"/>
        <w:numPr>
          <w:ilvl w:val="0"/>
          <w:numId w:val="0"/>
        </w:numPr>
        <w:ind w:left="640"/>
        <w:rPr>
          <w:lang w:val="en-AU"/>
        </w:rPr>
      </w:pPr>
      <w:r w:rsidRPr="003E76E7">
        <w:rPr>
          <w:noProof/>
          <w:lang w:val="en-AU"/>
        </w:rPr>
        <mc:AlternateContent>
          <mc:Choice Requires="wps">
            <w:drawing>
              <wp:anchor distT="4294967295" distB="4294967295" distL="114300" distR="114300" simplePos="0" relativeHeight="251825664" behindDoc="0" locked="0" layoutInCell="1" allowOverlap="1" wp14:anchorId="553D6C41" wp14:editId="206946A1">
                <wp:simplePos x="0" y="0"/>
                <wp:positionH relativeFrom="column">
                  <wp:posOffset>725805</wp:posOffset>
                </wp:positionH>
                <wp:positionV relativeFrom="paragraph">
                  <wp:posOffset>369570</wp:posOffset>
                </wp:positionV>
                <wp:extent cx="3675380" cy="0"/>
                <wp:effectExtent l="0" t="0" r="1270" b="0"/>
                <wp:wrapNone/>
                <wp:docPr id="131"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75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5427A7" id="Line 47" o:spid="_x0000_s1026" style="position:absolute;z-index:251825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15pt,29.1pt" to="346.55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Nw8FAIAACs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"/>
            </w:pict>
          </mc:Fallback>
        </mc:AlternateContent>
      </w:r>
      <w:r w:rsidRPr="003E76E7">
        <w:rPr>
          <w:noProof/>
          <w:lang w:val="en-AU"/>
        </w:rPr>
        <mc:AlternateContent>
          <mc:Choice Requires="wps">
            <w:drawing>
              <wp:anchor distT="0" distB="0" distL="114299" distR="114299" simplePos="0" relativeHeight="251830784" behindDoc="0" locked="0" layoutInCell="1" allowOverlap="1" wp14:anchorId="56CF52CA" wp14:editId="409C6A82">
                <wp:simplePos x="0" y="0"/>
                <wp:positionH relativeFrom="column">
                  <wp:posOffset>2807970</wp:posOffset>
                </wp:positionH>
                <wp:positionV relativeFrom="paragraph">
                  <wp:posOffset>370205</wp:posOffset>
                </wp:positionV>
                <wp:extent cx="0" cy="99060"/>
                <wp:effectExtent l="5080" t="10160" r="13970" b="5080"/>
                <wp:wrapNone/>
                <wp:docPr id="136" name="Straight Connector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0" cy="99060"/>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0BE2D0A7" id="Straight Connector 575" o:spid="_x0000_s1026" style="position:absolute;flip:x y;z-index:251830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21.1pt,29.15pt" to="221.1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">
                <v:stroke joinstyle="miter"/>
                <o:lock v:ext="edit" shapetype="f"/>
              </v:line>
            </w:pict>
          </mc:Fallback>
        </mc:AlternateContent>
      </w:r>
      <w:r w:rsidRPr="003E76E7">
        <w:rPr>
          <w:noProof/>
          <w:lang w:val="en-AU"/>
        </w:rPr>
        <mc:AlternateContent>
          <mc:Choice Requires="wps">
            <w:drawing>
              <wp:anchor distT="0" distB="0" distL="114299" distR="114299" simplePos="0" relativeHeight="251827712" behindDoc="0" locked="0" layoutInCell="1" allowOverlap="1" wp14:anchorId="4AD57166" wp14:editId="796C3510">
                <wp:simplePos x="0" y="0"/>
                <wp:positionH relativeFrom="column">
                  <wp:posOffset>2807970</wp:posOffset>
                </wp:positionH>
                <wp:positionV relativeFrom="paragraph">
                  <wp:posOffset>224155</wp:posOffset>
                </wp:positionV>
                <wp:extent cx="0" cy="140970"/>
                <wp:effectExtent l="5080" t="6985" r="13970" b="13970"/>
                <wp:wrapNone/>
                <wp:docPr id="135" name="Straight Connector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0" cy="140970"/>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3F583497" id="Straight Connector 575" o:spid="_x0000_s1026" style="position:absolute;flip:x y;z-index:2518277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21.1pt,17.65pt" to="221.1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">
                <v:stroke joinstyle="miter"/>
                <o:lock v:ext="edit" shapetype="f"/>
              </v:line>
            </w:pict>
          </mc:Fallback>
        </mc:AlternateContent>
      </w:r>
    </w:p>
    <w:p w14:paraId="01B73EDB" w14:textId="30D61855" w:rsidR="00063F33" w:rsidRPr="003E76E7" w:rsidRDefault="00F12B62" w:rsidP="00C4292D">
      <w:pPr>
        <w:pStyle w:val="FigureHeading"/>
        <w:numPr>
          <w:ilvl w:val="0"/>
          <w:numId w:val="0"/>
        </w:numPr>
        <w:ind w:left="640"/>
        <w:rPr>
          <w:lang w:val="en-AU"/>
        </w:rPr>
      </w:pPr>
      <w:r w:rsidRPr="003E76E7">
        <w:rPr>
          <w:noProof/>
          <w:lang w:val="en-AU"/>
        </w:rPr>
        <mc:AlternateContent>
          <mc:Choice Requires="wps">
            <w:drawing>
              <wp:anchor distT="45720" distB="45720" distL="114300" distR="114300" simplePos="0" relativeHeight="251824640" behindDoc="0" locked="0" layoutInCell="1" allowOverlap="1" wp14:anchorId="7AF80AAB" wp14:editId="0BCEE735">
                <wp:simplePos x="0" y="0"/>
                <wp:positionH relativeFrom="column">
                  <wp:posOffset>3641725</wp:posOffset>
                </wp:positionH>
                <wp:positionV relativeFrom="paragraph">
                  <wp:posOffset>248920</wp:posOffset>
                </wp:positionV>
                <wp:extent cx="1499870" cy="508635"/>
                <wp:effectExtent l="0" t="0" r="5080" b="5715"/>
                <wp:wrapSquare wrapText="bothSides"/>
                <wp:docPr id="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870" cy="508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906E7E" w14:textId="77777777" w:rsidR="00CA309D" w:rsidRDefault="00CA309D" w:rsidP="00063F33">
                            <w:pPr>
                              <w:spacing w:before="0" w:after="0"/>
                              <w:jc w:val="center"/>
                              <w:rPr>
                                <w:rFonts w:ascii="Arial" w:hAnsi="Arial"/>
                                <w:color w:val="000000"/>
                                <w:sz w:val="16"/>
                                <w:szCs w:val="16"/>
                              </w:rPr>
                            </w:pPr>
                            <w:r w:rsidRPr="00A2277E">
                              <w:rPr>
                                <w:rFonts w:ascii="Arial" w:hAnsi="Arial"/>
                                <w:color w:val="000000"/>
                                <w:sz w:val="16"/>
                                <w:szCs w:val="16"/>
                              </w:rPr>
                              <w:t>Deputy Director-General</w:t>
                            </w:r>
                          </w:p>
                          <w:p w14:paraId="74EBB7E7" w14:textId="77777777" w:rsidR="00CA309D" w:rsidRDefault="00CA309D" w:rsidP="00063F33">
                            <w:pPr>
                              <w:spacing w:before="0" w:after="0"/>
                              <w:jc w:val="center"/>
                              <w:rPr>
                                <w:rFonts w:ascii="Arial" w:hAnsi="Arial"/>
                                <w:color w:val="000000"/>
                                <w:sz w:val="16"/>
                                <w:szCs w:val="16"/>
                              </w:rPr>
                            </w:pPr>
                            <w:r>
                              <w:rPr>
                                <w:rFonts w:ascii="Arial" w:hAnsi="Arial"/>
                                <w:color w:val="000000"/>
                                <w:sz w:val="16"/>
                                <w:szCs w:val="16"/>
                              </w:rPr>
                              <w:t>Technical</w:t>
                            </w:r>
                          </w:p>
                          <w:p w14:paraId="17016C71" w14:textId="79B99DA9" w:rsidR="00CA309D" w:rsidRDefault="00CA309D" w:rsidP="00F12B62">
                            <w:pPr>
                              <w:spacing w:before="0" w:after="0"/>
                              <w:jc w:val="center"/>
                            </w:pPr>
                            <w:r w:rsidRPr="0033565D">
                              <w:rPr>
                                <w:rFonts w:ascii="Arial" w:hAnsi="Arial"/>
                                <w:color w:val="000000"/>
                                <w:sz w:val="16"/>
                                <w:szCs w:val="16"/>
                              </w:rPr>
                              <w:t>M</w:t>
                            </w:r>
                            <w:r>
                              <w:rPr>
                                <w:rFonts w:ascii="Arial" w:hAnsi="Arial"/>
                                <w:color w:val="000000"/>
                                <w:sz w:val="16"/>
                                <w:szCs w:val="16"/>
                              </w:rPr>
                              <w:t>r Timothy Hodgson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F80AAB" id="_x0000_s1097" type="#_x0000_t202" style="position:absolute;left:0;text-align:left;margin-left:286.75pt;margin-top:19.6pt;width:118.1pt;height:40.05pt;z-index:251824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MdEhQ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" stroked="f">
                <v:textbox>
                  <w:txbxContent>
                    <w:p w14:paraId="39906E7E" w14:textId="77777777" w:rsidR="00CA309D" w:rsidRDefault="00CA309D" w:rsidP="00063F33">
                      <w:pPr>
                        <w:spacing w:before="0" w:after="0"/>
                        <w:jc w:val="center"/>
                        <w:rPr>
                          <w:rFonts w:ascii="Arial" w:hAnsi="Arial"/>
                          <w:color w:val="000000"/>
                          <w:sz w:val="16"/>
                          <w:szCs w:val="16"/>
                        </w:rPr>
                      </w:pPr>
                      <w:r w:rsidRPr="00A2277E">
                        <w:rPr>
                          <w:rFonts w:ascii="Arial" w:hAnsi="Arial"/>
                          <w:color w:val="000000"/>
                          <w:sz w:val="16"/>
                          <w:szCs w:val="16"/>
                        </w:rPr>
                        <w:t>Deputy Director-General</w:t>
                      </w:r>
                    </w:p>
                    <w:p w14:paraId="74EBB7E7" w14:textId="77777777" w:rsidR="00CA309D" w:rsidRDefault="00CA309D" w:rsidP="00063F33">
                      <w:pPr>
                        <w:spacing w:before="0" w:after="0"/>
                        <w:jc w:val="center"/>
                        <w:rPr>
                          <w:rFonts w:ascii="Arial" w:hAnsi="Arial"/>
                          <w:color w:val="000000"/>
                          <w:sz w:val="16"/>
                          <w:szCs w:val="16"/>
                        </w:rPr>
                      </w:pPr>
                      <w:r>
                        <w:rPr>
                          <w:rFonts w:ascii="Arial" w:hAnsi="Arial"/>
                          <w:color w:val="000000"/>
                          <w:sz w:val="16"/>
                          <w:szCs w:val="16"/>
                        </w:rPr>
                        <w:t>Technical</w:t>
                      </w:r>
                    </w:p>
                    <w:p w14:paraId="17016C71" w14:textId="79B99DA9" w:rsidR="00CA309D" w:rsidRDefault="00CA309D" w:rsidP="00F12B62">
                      <w:pPr>
                        <w:spacing w:before="0" w:after="0"/>
                        <w:jc w:val="center"/>
                      </w:pPr>
                      <w:r w:rsidRPr="0033565D">
                        <w:rPr>
                          <w:rFonts w:ascii="Arial" w:hAnsi="Arial"/>
                          <w:color w:val="000000"/>
                          <w:sz w:val="16"/>
                          <w:szCs w:val="16"/>
                        </w:rPr>
                        <w:t>M</w:t>
                      </w:r>
                      <w:r>
                        <w:rPr>
                          <w:rFonts w:ascii="Arial" w:hAnsi="Arial"/>
                          <w:color w:val="000000"/>
                          <w:sz w:val="16"/>
                          <w:szCs w:val="16"/>
                        </w:rPr>
                        <w:t>r Timothy Hodgson</w:t>
                      </w:r>
                    </w:p>
                  </w:txbxContent>
                </v:textbox>
                <w10:wrap type="square"/>
              </v:shape>
            </w:pict>
          </mc:Fallback>
        </mc:AlternateContent>
      </w:r>
      <w:r w:rsidR="003E174E" w:rsidRPr="003E76E7">
        <w:rPr>
          <w:noProof/>
          <w:lang w:val="en-AU"/>
        </w:rPr>
        <mc:AlternateContent>
          <mc:Choice Requires="wps">
            <w:drawing>
              <wp:anchor distT="0" distB="0" distL="114299" distR="114299" simplePos="0" relativeHeight="251829760" behindDoc="0" locked="0" layoutInCell="1" allowOverlap="1" wp14:anchorId="285967CE" wp14:editId="527C539A">
                <wp:simplePos x="0" y="0"/>
                <wp:positionH relativeFrom="column">
                  <wp:posOffset>4396105</wp:posOffset>
                </wp:positionH>
                <wp:positionV relativeFrom="paragraph">
                  <wp:posOffset>99632</wp:posOffset>
                </wp:positionV>
                <wp:extent cx="0" cy="99060"/>
                <wp:effectExtent l="0" t="0" r="19050" b="15240"/>
                <wp:wrapNone/>
                <wp:docPr id="132" name="Straight Connector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0" cy="99060"/>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6F748D86" id="Straight Connector 575" o:spid="_x0000_s1026" style="position:absolute;flip:x y;z-index:251829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46.15pt,7.85pt" to="346.1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">
                <v:stroke joinstyle="miter"/>
                <o:lock v:ext="edit" shapetype="f"/>
              </v:line>
            </w:pict>
          </mc:Fallback>
        </mc:AlternateContent>
      </w:r>
      <w:r w:rsidR="003E174E" w:rsidRPr="003E76E7">
        <w:rPr>
          <w:noProof/>
          <w:lang w:val="en-AU"/>
        </w:rPr>
        <mc:AlternateContent>
          <mc:Choice Requires="wps">
            <w:drawing>
              <wp:anchor distT="45720" distB="45720" distL="114300" distR="114300" simplePos="0" relativeHeight="251823616" behindDoc="0" locked="0" layoutInCell="1" allowOverlap="1" wp14:anchorId="473C8CF1" wp14:editId="1914CF2D">
                <wp:simplePos x="0" y="0"/>
                <wp:positionH relativeFrom="column">
                  <wp:posOffset>1994535</wp:posOffset>
                </wp:positionH>
                <wp:positionV relativeFrom="paragraph">
                  <wp:posOffset>156908</wp:posOffset>
                </wp:positionV>
                <wp:extent cx="1625600" cy="732790"/>
                <wp:effectExtent l="0" t="0" r="0" b="0"/>
                <wp:wrapSquare wrapText="bothSides"/>
                <wp:docPr id="1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732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DB43E7" w14:textId="77777777" w:rsidR="00CA309D" w:rsidRPr="004E1251" w:rsidRDefault="00CA309D" w:rsidP="00063F33">
                            <w:pPr>
                              <w:spacing w:after="0"/>
                              <w:jc w:val="center"/>
                              <w:rPr>
                                <w:rFonts w:ascii="Arial" w:hAnsi="Arial"/>
                                <w:color w:val="000000"/>
                                <w:sz w:val="16"/>
                                <w:szCs w:val="16"/>
                              </w:rPr>
                            </w:pPr>
                            <w:r w:rsidRPr="004E1251">
                              <w:rPr>
                                <w:rFonts w:ascii="Arial" w:hAnsi="Arial"/>
                                <w:color w:val="000000"/>
                                <w:sz w:val="16"/>
                                <w:szCs w:val="16"/>
                              </w:rPr>
                              <w:t xml:space="preserve">Deputy Director-General </w:t>
                            </w:r>
                          </w:p>
                          <w:p w14:paraId="69C8AC4A" w14:textId="12337C41" w:rsidR="00CA309D" w:rsidRPr="00120AEF" w:rsidRDefault="00CA309D" w:rsidP="00063F33">
                            <w:pPr>
                              <w:spacing w:before="0" w:after="0"/>
                              <w:jc w:val="center"/>
                              <w:rPr>
                                <w:rFonts w:ascii="Arial" w:hAnsi="Arial"/>
                                <w:color w:val="000000"/>
                                <w:sz w:val="16"/>
                                <w:szCs w:val="16"/>
                              </w:rPr>
                            </w:pPr>
                            <w:r w:rsidRPr="004E1251">
                              <w:rPr>
                                <w:rFonts w:ascii="Arial" w:hAnsi="Arial"/>
                                <w:color w:val="000000"/>
                                <w:sz w:val="16"/>
                                <w:szCs w:val="16"/>
                              </w:rPr>
                              <w:t>Nuclear Submarines</w:t>
                            </w:r>
                            <w:r>
                              <w:rPr>
                                <w:rFonts w:ascii="Arial" w:hAnsi="Arial"/>
                                <w:color w:val="000000"/>
                                <w:sz w:val="16"/>
                                <w:szCs w:val="16"/>
                              </w:rPr>
                              <w:t xml:space="preserve"> Acquisition and Sustainment</w:t>
                            </w:r>
                          </w:p>
                          <w:p w14:paraId="528675A3" w14:textId="77777777" w:rsidR="00CA309D" w:rsidRPr="00A01209" w:rsidRDefault="00CA309D" w:rsidP="00063F33">
                            <w:pPr>
                              <w:spacing w:before="0" w:after="0"/>
                              <w:jc w:val="center"/>
                              <w:rPr>
                                <w:rFonts w:ascii="Arial" w:hAnsi="Arial"/>
                                <w:color w:val="000000"/>
                                <w:sz w:val="16"/>
                                <w:szCs w:val="16"/>
                              </w:rPr>
                            </w:pPr>
                            <w:r>
                              <w:rPr>
                                <w:rFonts w:ascii="Arial" w:hAnsi="Arial"/>
                                <w:color w:val="000000"/>
                                <w:sz w:val="16"/>
                                <w:szCs w:val="16"/>
                              </w:rPr>
                              <w:t>Mr Dave Johnson</w:t>
                            </w:r>
                          </w:p>
                          <w:p w14:paraId="0B5BD77E" w14:textId="77777777" w:rsidR="00CA309D" w:rsidRPr="00A01209" w:rsidRDefault="00CA309D" w:rsidP="00063F33">
                            <w:pPr>
                              <w:spacing w:before="0" w:after="0"/>
                              <w:jc w:val="center"/>
                              <w:rPr>
                                <w:rFonts w:ascii="Arial" w:hAnsi="Arial"/>
                                <w:color w:val="000000"/>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3C8CF1" id="_x0000_s1098" type="#_x0000_t202" style="position:absolute;left:0;text-align:left;margin-left:157.05pt;margin-top:12.35pt;width:128pt;height:57.7pt;z-index:251823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UKchg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" stroked="f">
                <v:textbox>
                  <w:txbxContent>
                    <w:p w14:paraId="0FDB43E7" w14:textId="77777777" w:rsidR="00CA309D" w:rsidRPr="004E1251" w:rsidRDefault="00CA309D" w:rsidP="00063F33">
                      <w:pPr>
                        <w:spacing w:after="0"/>
                        <w:jc w:val="center"/>
                        <w:rPr>
                          <w:rFonts w:ascii="Arial" w:hAnsi="Arial"/>
                          <w:color w:val="000000"/>
                          <w:sz w:val="16"/>
                          <w:szCs w:val="16"/>
                        </w:rPr>
                      </w:pPr>
                      <w:r w:rsidRPr="004E1251">
                        <w:rPr>
                          <w:rFonts w:ascii="Arial" w:hAnsi="Arial"/>
                          <w:color w:val="000000"/>
                          <w:sz w:val="16"/>
                          <w:szCs w:val="16"/>
                        </w:rPr>
                        <w:t xml:space="preserve">Deputy Director-General </w:t>
                      </w:r>
                    </w:p>
                    <w:p w14:paraId="69C8AC4A" w14:textId="12337C41" w:rsidR="00CA309D" w:rsidRPr="00120AEF" w:rsidRDefault="00CA309D" w:rsidP="00063F33">
                      <w:pPr>
                        <w:spacing w:before="0" w:after="0"/>
                        <w:jc w:val="center"/>
                        <w:rPr>
                          <w:rFonts w:ascii="Arial" w:hAnsi="Arial"/>
                          <w:color w:val="000000"/>
                          <w:sz w:val="16"/>
                          <w:szCs w:val="16"/>
                        </w:rPr>
                      </w:pPr>
                      <w:r w:rsidRPr="004E1251">
                        <w:rPr>
                          <w:rFonts w:ascii="Arial" w:hAnsi="Arial"/>
                          <w:color w:val="000000"/>
                          <w:sz w:val="16"/>
                          <w:szCs w:val="16"/>
                        </w:rPr>
                        <w:t>Nuclear Submarines</w:t>
                      </w:r>
                      <w:r>
                        <w:rPr>
                          <w:rFonts w:ascii="Arial" w:hAnsi="Arial"/>
                          <w:color w:val="000000"/>
                          <w:sz w:val="16"/>
                          <w:szCs w:val="16"/>
                        </w:rPr>
                        <w:t xml:space="preserve"> Acquisition and Sustainment</w:t>
                      </w:r>
                    </w:p>
                    <w:p w14:paraId="528675A3" w14:textId="77777777" w:rsidR="00CA309D" w:rsidRPr="00A01209" w:rsidRDefault="00CA309D" w:rsidP="00063F33">
                      <w:pPr>
                        <w:spacing w:before="0" w:after="0"/>
                        <w:jc w:val="center"/>
                        <w:rPr>
                          <w:rFonts w:ascii="Arial" w:hAnsi="Arial"/>
                          <w:color w:val="000000"/>
                          <w:sz w:val="16"/>
                          <w:szCs w:val="16"/>
                        </w:rPr>
                      </w:pPr>
                      <w:r>
                        <w:rPr>
                          <w:rFonts w:ascii="Arial" w:hAnsi="Arial"/>
                          <w:color w:val="000000"/>
                          <w:sz w:val="16"/>
                          <w:szCs w:val="16"/>
                        </w:rPr>
                        <w:t>Mr Dave Johnson</w:t>
                      </w:r>
                    </w:p>
                    <w:p w14:paraId="0B5BD77E" w14:textId="77777777" w:rsidR="00CA309D" w:rsidRPr="00A01209" w:rsidRDefault="00CA309D" w:rsidP="00063F33">
                      <w:pPr>
                        <w:spacing w:before="0" w:after="0"/>
                        <w:jc w:val="center"/>
                        <w:rPr>
                          <w:rFonts w:ascii="Arial" w:hAnsi="Arial"/>
                          <w:color w:val="000000"/>
                          <w:sz w:val="16"/>
                          <w:szCs w:val="16"/>
                        </w:rPr>
                      </w:pPr>
                    </w:p>
                  </w:txbxContent>
                </v:textbox>
                <w10:wrap type="square"/>
              </v:shape>
            </w:pict>
          </mc:Fallback>
        </mc:AlternateContent>
      </w:r>
      <w:r w:rsidR="00BB46AC" w:rsidRPr="003E76E7">
        <w:rPr>
          <w:noProof/>
          <w:lang w:val="en-AU"/>
        </w:rPr>
        <mc:AlternateContent>
          <mc:Choice Requires="wps">
            <w:drawing>
              <wp:anchor distT="0" distB="0" distL="114299" distR="114299" simplePos="0" relativeHeight="251828736" behindDoc="0" locked="0" layoutInCell="1" allowOverlap="1" wp14:anchorId="7C760075" wp14:editId="6DE11CA7">
                <wp:simplePos x="0" y="0"/>
                <wp:positionH relativeFrom="column">
                  <wp:posOffset>730885</wp:posOffset>
                </wp:positionH>
                <wp:positionV relativeFrom="paragraph">
                  <wp:posOffset>98425</wp:posOffset>
                </wp:positionV>
                <wp:extent cx="0" cy="99060"/>
                <wp:effectExtent l="0" t="0" r="19050" b="15240"/>
                <wp:wrapNone/>
                <wp:docPr id="133" name="Straight Connector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0" cy="99060"/>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1EC3408E" id="Straight Connector 575" o:spid="_x0000_s1026" style="position:absolute;flip:x y;z-index:251828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57.55pt,7.75pt" to="57.5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">
                <v:stroke joinstyle="miter"/>
                <o:lock v:ext="edit" shapetype="f"/>
              </v:line>
            </w:pict>
          </mc:Fallback>
        </mc:AlternateContent>
      </w:r>
      <w:r w:rsidR="00063F33" w:rsidRPr="003E76E7">
        <w:rPr>
          <w:noProof/>
          <w:lang w:val="en-AU"/>
        </w:rPr>
        <mc:AlternateContent>
          <mc:Choice Requires="wps">
            <w:drawing>
              <wp:anchor distT="45720" distB="45720" distL="114300" distR="114300" simplePos="0" relativeHeight="251822592" behindDoc="0" locked="0" layoutInCell="1" allowOverlap="1" wp14:anchorId="540890EF" wp14:editId="67AD0227">
                <wp:simplePos x="0" y="0"/>
                <wp:positionH relativeFrom="column">
                  <wp:posOffset>135890</wp:posOffset>
                </wp:positionH>
                <wp:positionV relativeFrom="paragraph">
                  <wp:posOffset>232410</wp:posOffset>
                </wp:positionV>
                <wp:extent cx="1379220" cy="477520"/>
                <wp:effectExtent l="0" t="0" r="0" b="0"/>
                <wp:wrapSquare wrapText="bothSides"/>
                <wp:docPr id="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477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B22B58" w14:textId="77777777" w:rsidR="00CA309D" w:rsidRPr="00120AEF" w:rsidRDefault="00CA309D" w:rsidP="00063F33">
                            <w:pPr>
                              <w:spacing w:before="0" w:after="0"/>
                              <w:jc w:val="center"/>
                              <w:rPr>
                                <w:rFonts w:ascii="Arial" w:hAnsi="Arial"/>
                                <w:color w:val="000000"/>
                                <w:sz w:val="16"/>
                                <w:szCs w:val="16"/>
                              </w:rPr>
                            </w:pPr>
                            <w:r w:rsidRPr="00120AEF">
                              <w:rPr>
                                <w:rFonts w:ascii="Arial" w:hAnsi="Arial"/>
                                <w:color w:val="000000"/>
                                <w:sz w:val="16"/>
                                <w:szCs w:val="16"/>
                              </w:rPr>
                              <w:t>Deputy Director-General</w:t>
                            </w:r>
                          </w:p>
                          <w:p w14:paraId="76359DA4" w14:textId="77777777" w:rsidR="00CA309D" w:rsidRDefault="00CA309D" w:rsidP="00063F33">
                            <w:pPr>
                              <w:spacing w:before="0" w:after="0"/>
                              <w:jc w:val="center"/>
                              <w:rPr>
                                <w:rFonts w:ascii="Arial" w:hAnsi="Arial"/>
                                <w:color w:val="000000"/>
                                <w:sz w:val="16"/>
                                <w:szCs w:val="16"/>
                              </w:rPr>
                            </w:pPr>
                            <w:r>
                              <w:rPr>
                                <w:rFonts w:ascii="Arial" w:hAnsi="Arial"/>
                                <w:color w:val="000000"/>
                                <w:sz w:val="16"/>
                                <w:szCs w:val="16"/>
                              </w:rPr>
                              <w:t>Strategy</w:t>
                            </w:r>
                          </w:p>
                          <w:p w14:paraId="01ED9225" w14:textId="77777777" w:rsidR="00CA309D" w:rsidRPr="00A01209" w:rsidRDefault="00CA309D" w:rsidP="00063F33">
                            <w:pPr>
                              <w:spacing w:before="0" w:after="0"/>
                              <w:jc w:val="center"/>
                              <w:rPr>
                                <w:rFonts w:ascii="Arial" w:hAnsi="Arial"/>
                                <w:color w:val="000000"/>
                                <w:sz w:val="16"/>
                                <w:szCs w:val="16"/>
                              </w:rPr>
                            </w:pPr>
                            <w:r>
                              <w:rPr>
                                <w:rFonts w:ascii="Arial" w:hAnsi="Arial"/>
                                <w:color w:val="000000"/>
                                <w:sz w:val="16"/>
                                <w:szCs w:val="16"/>
                              </w:rPr>
                              <w:t>Ms Alexandra Kelton</w:t>
                            </w:r>
                          </w:p>
                          <w:p w14:paraId="120C48C5" w14:textId="77777777" w:rsidR="00CA309D" w:rsidRDefault="00CA309D" w:rsidP="00063F3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0890EF" id="_x0000_s1099" type="#_x0000_t202" style="position:absolute;left:0;text-align:left;margin-left:10.7pt;margin-top:18.3pt;width:108.6pt;height:37.6pt;z-index:251822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N30hA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" stroked="f">
                <v:textbox>
                  <w:txbxContent>
                    <w:p w14:paraId="48B22B58" w14:textId="77777777" w:rsidR="00CA309D" w:rsidRPr="00120AEF" w:rsidRDefault="00CA309D" w:rsidP="00063F33">
                      <w:pPr>
                        <w:spacing w:before="0" w:after="0"/>
                        <w:jc w:val="center"/>
                        <w:rPr>
                          <w:rFonts w:ascii="Arial" w:hAnsi="Arial"/>
                          <w:color w:val="000000"/>
                          <w:sz w:val="16"/>
                          <w:szCs w:val="16"/>
                        </w:rPr>
                      </w:pPr>
                      <w:r w:rsidRPr="00120AEF">
                        <w:rPr>
                          <w:rFonts w:ascii="Arial" w:hAnsi="Arial"/>
                          <w:color w:val="000000"/>
                          <w:sz w:val="16"/>
                          <w:szCs w:val="16"/>
                        </w:rPr>
                        <w:t>Deputy Director-General</w:t>
                      </w:r>
                    </w:p>
                    <w:p w14:paraId="76359DA4" w14:textId="77777777" w:rsidR="00CA309D" w:rsidRDefault="00CA309D" w:rsidP="00063F33">
                      <w:pPr>
                        <w:spacing w:before="0" w:after="0"/>
                        <w:jc w:val="center"/>
                        <w:rPr>
                          <w:rFonts w:ascii="Arial" w:hAnsi="Arial"/>
                          <w:color w:val="000000"/>
                          <w:sz w:val="16"/>
                          <w:szCs w:val="16"/>
                        </w:rPr>
                      </w:pPr>
                      <w:r>
                        <w:rPr>
                          <w:rFonts w:ascii="Arial" w:hAnsi="Arial"/>
                          <w:color w:val="000000"/>
                          <w:sz w:val="16"/>
                          <w:szCs w:val="16"/>
                        </w:rPr>
                        <w:t>Strategy</w:t>
                      </w:r>
                    </w:p>
                    <w:p w14:paraId="01ED9225" w14:textId="77777777" w:rsidR="00CA309D" w:rsidRPr="00A01209" w:rsidRDefault="00CA309D" w:rsidP="00063F33">
                      <w:pPr>
                        <w:spacing w:before="0" w:after="0"/>
                        <w:jc w:val="center"/>
                        <w:rPr>
                          <w:rFonts w:ascii="Arial" w:hAnsi="Arial"/>
                          <w:color w:val="000000"/>
                          <w:sz w:val="16"/>
                          <w:szCs w:val="16"/>
                        </w:rPr>
                      </w:pPr>
                      <w:r>
                        <w:rPr>
                          <w:rFonts w:ascii="Arial" w:hAnsi="Arial"/>
                          <w:color w:val="000000"/>
                          <w:sz w:val="16"/>
                          <w:szCs w:val="16"/>
                        </w:rPr>
                        <w:t>Ms Alexandra Kelton</w:t>
                      </w:r>
                    </w:p>
                    <w:p w14:paraId="120C48C5" w14:textId="77777777" w:rsidR="00CA309D" w:rsidRDefault="00CA309D" w:rsidP="00063F33"/>
                  </w:txbxContent>
                </v:textbox>
                <w10:wrap type="square"/>
              </v:shape>
            </w:pict>
          </mc:Fallback>
        </mc:AlternateContent>
      </w:r>
    </w:p>
    <w:p w14:paraId="05444EA5" w14:textId="2051BED5" w:rsidR="00C12F95" w:rsidRPr="003E76E7" w:rsidRDefault="00C12F95" w:rsidP="00C4292D">
      <w:pPr>
        <w:pStyle w:val="FigureHeading"/>
        <w:numPr>
          <w:ilvl w:val="0"/>
          <w:numId w:val="0"/>
        </w:numPr>
        <w:ind w:left="644" w:hanging="360"/>
        <w:rPr>
          <w:lang w:val="en-AU"/>
        </w:rPr>
      </w:pPr>
    </w:p>
    <w:p w14:paraId="2889B7A8" w14:textId="77777777" w:rsidR="00C12F95" w:rsidRPr="003E76E7" w:rsidRDefault="00C12F95" w:rsidP="00C4292D">
      <w:pPr>
        <w:pStyle w:val="FigureHeading"/>
        <w:numPr>
          <w:ilvl w:val="0"/>
          <w:numId w:val="0"/>
        </w:numPr>
        <w:ind w:left="284"/>
        <w:rPr>
          <w:lang w:val="en-AU"/>
        </w:rPr>
      </w:pPr>
    </w:p>
    <w:p w14:paraId="34A94117" w14:textId="77777777" w:rsidR="007C3E02" w:rsidRPr="003E76E7" w:rsidRDefault="007C3E02" w:rsidP="00C4292D">
      <w:pPr>
        <w:spacing w:before="0" w:after="0"/>
        <w:rPr>
          <w:lang w:eastAsia="en-US"/>
        </w:rPr>
      </w:pPr>
    </w:p>
    <w:p w14:paraId="0994E0FB" w14:textId="77210AAD" w:rsidR="00063F33" w:rsidRPr="003E76E7" w:rsidRDefault="00063F33" w:rsidP="00C4292D">
      <w:pPr>
        <w:rPr>
          <w:lang w:eastAsia="en-US"/>
        </w:rPr>
      </w:pPr>
      <w:r w:rsidRPr="003E76E7">
        <w:rPr>
          <w:lang w:eastAsia="en-US"/>
        </w:rPr>
        <w:t>This Organisational Chart is effective</w:t>
      </w:r>
      <w:r w:rsidR="00F53076" w:rsidRPr="003E76E7">
        <w:rPr>
          <w:lang w:eastAsia="en-US"/>
        </w:rPr>
        <w:t xml:space="preserve"> at the time of this publication release</w:t>
      </w:r>
      <w:r w:rsidRPr="003E76E7">
        <w:rPr>
          <w:lang w:eastAsia="en-US"/>
        </w:rPr>
        <w:t xml:space="preserve">. </w:t>
      </w:r>
      <w:r w:rsidR="007C3E02" w:rsidRPr="003E76E7">
        <w:rPr>
          <w:lang w:eastAsia="en-US"/>
        </w:rPr>
        <w:t xml:space="preserve">No changes have taken place since the </w:t>
      </w:r>
      <w:r w:rsidR="007C3E02" w:rsidRPr="003E76E7">
        <w:rPr>
          <w:i/>
          <w:lang w:eastAsia="en-US"/>
        </w:rPr>
        <w:t>Portfolio Additional Estimates Statements 2025-26.</w:t>
      </w:r>
      <w:r w:rsidRPr="003E76E7">
        <w:rPr>
          <w:lang w:eastAsia="en-US"/>
        </w:rPr>
        <w:t xml:space="preserve"> </w:t>
      </w:r>
    </w:p>
    <w:p w14:paraId="276B6AC1" w14:textId="77777777" w:rsidR="0004311C" w:rsidRPr="003E76E7" w:rsidRDefault="0004311C" w:rsidP="00C4292D">
      <w:pPr>
        <w:rPr>
          <w:rFonts w:ascii="Arial Bold" w:hAnsi="Arial Bold" w:cs="Times New Roman"/>
          <w:b/>
          <w:bCs/>
        </w:rPr>
      </w:pPr>
      <w:r w:rsidRPr="003E76E7">
        <w:rPr>
          <w:rFonts w:ascii="Arial Bold" w:hAnsi="Arial Bold" w:cs="Times New Roman"/>
          <w:b/>
          <w:bCs/>
        </w:rPr>
        <w:t>Senior Executive Changes</w:t>
      </w:r>
    </w:p>
    <w:p w14:paraId="7C4F62F9" w14:textId="49A3915F" w:rsidR="00063F33" w:rsidRPr="003E76E7" w:rsidRDefault="00F53076" w:rsidP="00C4292D">
      <w:r w:rsidRPr="003E76E7">
        <w:rPr>
          <w:lang w:eastAsia="en-US"/>
        </w:rPr>
        <w:t xml:space="preserve">No changes have taken place since the </w:t>
      </w:r>
      <w:r w:rsidRPr="003E76E7">
        <w:rPr>
          <w:i/>
          <w:lang w:eastAsia="en-US"/>
        </w:rPr>
        <w:t>Portfolio Additional Estimates Statements 2025-26.</w:t>
      </w:r>
    </w:p>
    <w:p w14:paraId="5DF0A6DB" w14:textId="77777777" w:rsidR="00063F33" w:rsidRPr="003E76E7" w:rsidRDefault="00063F33" w:rsidP="00C4292D">
      <w:r w:rsidRPr="003E76E7">
        <w:rPr>
          <w:rFonts w:ascii="Arial Bold" w:hAnsi="Arial Bold" w:cs="Times New Roman"/>
          <w:b/>
          <w:bCs/>
        </w:rPr>
        <w:t>Organisational Structure</w:t>
      </w:r>
    </w:p>
    <w:p w14:paraId="740D55F6" w14:textId="230CD38A" w:rsidR="00F53076" w:rsidRPr="003E76E7" w:rsidRDefault="00F53076" w:rsidP="00C4292D">
      <w:pPr>
        <w:rPr>
          <w:color w:val="000000"/>
        </w:rPr>
      </w:pPr>
      <w:r w:rsidRPr="003E76E7">
        <w:rPr>
          <w:color w:val="000000"/>
        </w:rPr>
        <w:t>The following organi</w:t>
      </w:r>
      <w:r w:rsidR="007C3E02" w:rsidRPr="003E76E7">
        <w:rPr>
          <w:color w:val="000000"/>
        </w:rPr>
        <w:t>s</w:t>
      </w:r>
      <w:r w:rsidRPr="003E76E7">
        <w:rPr>
          <w:color w:val="000000"/>
        </w:rPr>
        <w:t xml:space="preserve">ational structure changes have taken place since the </w:t>
      </w:r>
      <w:r w:rsidRPr="003E76E7">
        <w:rPr>
          <w:i/>
          <w:color w:val="000000"/>
        </w:rPr>
        <w:t>Portfolio Additional Estimates Statements 2025-26</w:t>
      </w:r>
      <w:r w:rsidRPr="003E76E7">
        <w:rPr>
          <w:color w:val="000000"/>
        </w:rPr>
        <w:t>.</w:t>
      </w:r>
    </w:p>
    <w:p w14:paraId="6D9C275A" w14:textId="0A578DD0" w:rsidR="003E174E" w:rsidRPr="003E76E7" w:rsidRDefault="003E174E" w:rsidP="00411058">
      <w:pPr>
        <w:numPr>
          <w:ilvl w:val="0"/>
          <w:numId w:val="69"/>
        </w:numPr>
        <w:spacing w:before="60" w:after="60"/>
        <w:ind w:left="357" w:hanging="357"/>
        <w:rPr>
          <w:rFonts w:cstheme="minorHAnsi"/>
          <w:szCs w:val="20"/>
        </w:rPr>
      </w:pPr>
      <w:r w:rsidRPr="003E76E7">
        <w:rPr>
          <w:rFonts w:cstheme="minorHAnsi"/>
          <w:szCs w:val="20"/>
        </w:rPr>
        <w:t xml:space="preserve">The Chief Operating Officer (COO), will report to DDG Strategy, transitioning the </w:t>
      </w:r>
      <w:r w:rsidRPr="003E76E7">
        <w:rPr>
          <w:rFonts w:cstheme="minorHAnsi"/>
          <w:szCs w:val="20"/>
        </w:rPr>
        <w:br/>
        <w:t xml:space="preserve">COO Division (previously named Government and Executive Division) into the </w:t>
      </w:r>
      <w:r w:rsidR="00F12B62" w:rsidRPr="003E76E7">
        <w:rPr>
          <w:rFonts w:cstheme="minorHAnsi"/>
          <w:szCs w:val="20"/>
        </w:rPr>
        <w:br/>
      </w:r>
      <w:r w:rsidRPr="003E76E7">
        <w:rPr>
          <w:rFonts w:cstheme="minorHAnsi"/>
          <w:szCs w:val="20"/>
        </w:rPr>
        <w:t>Strategy Group.</w:t>
      </w:r>
    </w:p>
    <w:p w14:paraId="1A9EA5BA" w14:textId="77777777" w:rsidR="003E174E" w:rsidRPr="003E76E7" w:rsidRDefault="003E174E" w:rsidP="00411058">
      <w:pPr>
        <w:numPr>
          <w:ilvl w:val="0"/>
          <w:numId w:val="69"/>
        </w:numPr>
        <w:spacing w:before="60" w:after="60"/>
        <w:ind w:left="357" w:hanging="357"/>
        <w:rPr>
          <w:rFonts w:cstheme="minorHAnsi"/>
          <w:bCs/>
          <w:szCs w:val="20"/>
        </w:rPr>
      </w:pPr>
      <w:r w:rsidRPr="003E76E7">
        <w:rPr>
          <w:rFonts w:cstheme="minorHAnsi"/>
          <w:bCs/>
          <w:szCs w:val="20"/>
        </w:rPr>
        <w:t>Head Virginia and Head SSN AUKUS will report to the DDG Nuclear Submarines Acquisition and Sustainment.</w:t>
      </w:r>
    </w:p>
    <w:p w14:paraId="5EEB3572" w14:textId="7E8B7CCB" w:rsidR="00761824" w:rsidRPr="003E76E7" w:rsidRDefault="006F3442" w:rsidP="00C4292D">
      <w:pPr>
        <w:pStyle w:val="Heading4"/>
        <w:spacing w:after="100"/>
        <w:rPr>
          <w:rFonts w:ascii="Arial Bold" w:hAnsi="Arial Bold"/>
          <w:sz w:val="24"/>
        </w:rPr>
      </w:pPr>
      <w:r w:rsidRPr="003E76E7">
        <w:br w:type="page"/>
      </w:r>
    </w:p>
    <w:p w14:paraId="6FE3F8A1" w14:textId="7B564382" w:rsidR="00616F2B" w:rsidRPr="003E76E7" w:rsidRDefault="00616F2B" w:rsidP="00C4292D">
      <w:pPr>
        <w:pStyle w:val="Heading4"/>
        <w:rPr>
          <w:sz w:val="26"/>
          <w:szCs w:val="26"/>
          <w:lang w:val="en-AU"/>
        </w:rPr>
      </w:pPr>
      <w:bookmarkStart w:id="1693" w:name="_Toc225941581"/>
      <w:bookmarkStart w:id="1694" w:name="_Toc225942588"/>
      <w:bookmarkStart w:id="1695" w:name="_Toc227334398"/>
      <w:bookmarkStart w:id="1696" w:name="_Toc229072473"/>
      <w:bookmarkStart w:id="1697" w:name="_Toc229072645"/>
      <w:r w:rsidRPr="003E76E7">
        <w:rPr>
          <w:sz w:val="26"/>
          <w:szCs w:val="26"/>
          <w:lang w:val="en-AU"/>
        </w:rPr>
        <w:lastRenderedPageBreak/>
        <w:t>1.2 ASA Resource Statement</w:t>
      </w:r>
      <w:bookmarkEnd w:id="1693"/>
      <w:bookmarkEnd w:id="1694"/>
      <w:bookmarkEnd w:id="1695"/>
      <w:bookmarkEnd w:id="1696"/>
      <w:bookmarkEnd w:id="1697"/>
    </w:p>
    <w:p w14:paraId="1076E149" w14:textId="44AE3149" w:rsidR="00363FFB" w:rsidRPr="003E76E7" w:rsidRDefault="00761824" w:rsidP="00C4292D">
      <w:pPr>
        <w:pStyle w:val="TableHeading"/>
        <w:numPr>
          <w:ilvl w:val="0"/>
          <w:numId w:val="63"/>
        </w:numPr>
        <w:spacing w:before="100"/>
        <w:ind w:left="0" w:firstLine="0"/>
        <w:outlineLvl w:val="4"/>
      </w:pPr>
      <w:r w:rsidRPr="003E76E7">
        <w:t>AS</w:t>
      </w:r>
      <w:r w:rsidR="0004311C" w:rsidRPr="003E76E7">
        <w:t>A</w:t>
      </w:r>
      <w:r w:rsidRPr="003E76E7">
        <w:t xml:space="preserve"> Resource Statement </w:t>
      </w:r>
      <w:r w:rsidR="00722810" w:rsidRPr="003E76E7">
        <w:t>-</w:t>
      </w:r>
      <w:r w:rsidRPr="003E76E7">
        <w:t xml:space="preserve"> Budget Estimates for </w:t>
      </w:r>
      <w:r w:rsidR="00DC5FFC" w:rsidRPr="003E76E7">
        <w:t>202</w:t>
      </w:r>
      <w:r w:rsidR="00722810" w:rsidRPr="003E76E7">
        <w:t>6</w:t>
      </w:r>
      <w:r w:rsidR="00DC5FFC" w:rsidRPr="003E76E7">
        <w:t>-2</w:t>
      </w:r>
      <w:r w:rsidR="00722810" w:rsidRPr="003E76E7">
        <w:t>7</w:t>
      </w:r>
      <w:r w:rsidR="005D72E5" w:rsidRPr="003E76E7">
        <w:t xml:space="preserve"> as at </w:t>
      </w:r>
      <w:r w:rsidR="00AE7ABB" w:rsidRPr="003E76E7">
        <w:t>May Budget 2026</w:t>
      </w:r>
    </w:p>
    <w:p w14:paraId="75E0EC3F" w14:textId="405C2A63" w:rsidR="00616F2B" w:rsidRPr="003E76E7" w:rsidRDefault="007703A6" w:rsidP="00C4292D">
      <w:pPr>
        <w:pStyle w:val="BodyText"/>
        <w:rPr>
          <w:lang w:val="en-AU"/>
        </w:rPr>
      </w:pPr>
      <w:r w:rsidRPr="007703A6">
        <w:rPr>
          <w:noProof/>
          <w:lang w:val="en-AU"/>
        </w:rPr>
        <w:drawing>
          <wp:inline distT="0" distB="0" distL="0" distR="0" wp14:anchorId="6F11F1DD" wp14:editId="655A63D4">
            <wp:extent cx="5472430" cy="1690561"/>
            <wp:effectExtent l="0" t="0" r="0" b="508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472430" cy="1690561"/>
                    </a:xfrm>
                    <a:prstGeom prst="rect">
                      <a:avLst/>
                    </a:prstGeom>
                    <a:noFill/>
                    <a:ln>
                      <a:noFill/>
                    </a:ln>
                  </pic:spPr>
                </pic:pic>
              </a:graphicData>
            </a:graphic>
          </wp:inline>
        </w:drawing>
      </w:r>
    </w:p>
    <w:p w14:paraId="3BAD7843" w14:textId="03F9CA83" w:rsidR="00761824" w:rsidRPr="003E76E7" w:rsidRDefault="00003B8B" w:rsidP="00C4292D">
      <w:pPr>
        <w:pStyle w:val="Heading4"/>
        <w:rPr>
          <w:sz w:val="24"/>
          <w:szCs w:val="24"/>
        </w:rPr>
      </w:pPr>
      <w:r w:rsidRPr="003E76E7">
        <w:rPr>
          <w:lang w:val="en-AU"/>
        </w:rPr>
        <w:br w:type="page"/>
      </w:r>
      <w:bookmarkStart w:id="1698" w:name="_Toc476581170"/>
      <w:bookmarkStart w:id="1699" w:name="_Toc507595437"/>
      <w:bookmarkStart w:id="1700" w:name="_Toc536089244"/>
      <w:bookmarkStart w:id="1701" w:name="_Toc536089610"/>
      <w:bookmarkStart w:id="1702" w:name="_Toc1561697"/>
      <w:bookmarkStart w:id="1703" w:name="_Toc51691693"/>
      <w:bookmarkStart w:id="1704" w:name="_Toc69729063"/>
      <w:bookmarkStart w:id="1705" w:name="_Toc69917858"/>
      <w:bookmarkStart w:id="1706" w:name="_Toc108088960"/>
      <w:bookmarkStart w:id="1707" w:name="_Toc108089039"/>
      <w:bookmarkStart w:id="1708" w:name="_Toc108089433"/>
      <w:bookmarkStart w:id="1709" w:name="_Toc109227755"/>
      <w:bookmarkStart w:id="1710" w:name="_Toc159499712"/>
      <w:bookmarkStart w:id="1711" w:name="_Toc159858825"/>
      <w:bookmarkStart w:id="1712" w:name="_Toc159858895"/>
      <w:bookmarkStart w:id="1713" w:name="_Toc159859130"/>
      <w:bookmarkStart w:id="1714" w:name="_Toc159862301"/>
      <w:bookmarkStart w:id="1715" w:name="_Toc159862491"/>
      <w:bookmarkStart w:id="1716" w:name="_Toc222129953"/>
      <w:bookmarkStart w:id="1717" w:name="_Toc222148382"/>
      <w:bookmarkStart w:id="1718" w:name="_Toc225848092"/>
      <w:bookmarkStart w:id="1719" w:name="_Toc225848175"/>
      <w:bookmarkStart w:id="1720" w:name="_Toc225848514"/>
      <w:bookmarkStart w:id="1721" w:name="_Toc225941582"/>
      <w:bookmarkStart w:id="1722" w:name="_Toc225942589"/>
      <w:bookmarkStart w:id="1723" w:name="_Toc227334399"/>
      <w:bookmarkStart w:id="1724" w:name="_Toc229072474"/>
      <w:bookmarkStart w:id="1725" w:name="_Toc229072646"/>
      <w:r w:rsidR="00953BBA" w:rsidRPr="003E76E7">
        <w:rPr>
          <w:sz w:val="24"/>
          <w:szCs w:val="24"/>
        </w:rPr>
        <w:lastRenderedPageBreak/>
        <w:t xml:space="preserve">1.3 </w:t>
      </w:r>
      <w:r w:rsidR="00761824" w:rsidRPr="003E76E7">
        <w:rPr>
          <w:sz w:val="24"/>
          <w:szCs w:val="24"/>
        </w:rPr>
        <w:t>B</w:t>
      </w:r>
      <w:r w:rsidR="0091125B" w:rsidRPr="003E76E7">
        <w:rPr>
          <w:sz w:val="24"/>
          <w:szCs w:val="24"/>
        </w:rPr>
        <w:t>udget</w:t>
      </w:r>
      <w:r w:rsidR="00761824" w:rsidRPr="003E76E7">
        <w:rPr>
          <w:sz w:val="24"/>
          <w:szCs w:val="24"/>
        </w:rPr>
        <w:t xml:space="preserve"> Measures</w:t>
      </w:r>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p>
    <w:p w14:paraId="08EB7028" w14:textId="68D26128" w:rsidR="00157311" w:rsidRPr="003E76E7" w:rsidRDefault="00BD523A" w:rsidP="00C4292D">
      <w:pPr>
        <w:pStyle w:val="Heading4level5"/>
        <w:spacing w:before="100" w:after="100"/>
      </w:pPr>
      <w:r w:rsidRPr="003E76E7">
        <w:t>202</w:t>
      </w:r>
      <w:r w:rsidR="00722810" w:rsidRPr="003E76E7">
        <w:t>6</w:t>
      </w:r>
      <w:r w:rsidRPr="003E76E7">
        <w:t>-</w:t>
      </w:r>
      <w:r w:rsidR="00F207AA" w:rsidRPr="003E76E7">
        <w:t>2</w:t>
      </w:r>
      <w:r w:rsidR="00722810" w:rsidRPr="003E76E7">
        <w:t>7</w:t>
      </w:r>
      <w:r w:rsidR="00157311" w:rsidRPr="003E76E7">
        <w:t xml:space="preserve"> Budget Measur</w:t>
      </w:r>
      <w:r w:rsidR="002062AF" w:rsidRPr="003E76E7">
        <w:t>es and Other Budget Adjustments</w:t>
      </w:r>
    </w:p>
    <w:p w14:paraId="1A950F7A" w14:textId="26586068" w:rsidR="007E16DF" w:rsidRPr="003E76E7" w:rsidRDefault="00157311" w:rsidP="00C4292D">
      <w:pPr>
        <w:pStyle w:val="TableHeading"/>
        <w:numPr>
          <w:ilvl w:val="0"/>
          <w:numId w:val="63"/>
        </w:numPr>
        <w:spacing w:before="100"/>
        <w:ind w:left="0" w:firstLine="0"/>
        <w:outlineLvl w:val="4"/>
      </w:pPr>
      <w:r w:rsidRPr="003E76E7">
        <w:t>AS</w:t>
      </w:r>
      <w:r w:rsidR="00F11E01" w:rsidRPr="003E76E7">
        <w:t>A</w:t>
      </w:r>
      <w:r w:rsidRPr="003E76E7">
        <w:t xml:space="preserve"> </w:t>
      </w:r>
      <w:r w:rsidR="00BD523A" w:rsidRPr="003E76E7">
        <w:t>202</w:t>
      </w:r>
      <w:r w:rsidR="00722810" w:rsidRPr="003E76E7">
        <w:t>6</w:t>
      </w:r>
      <w:r w:rsidR="00BD523A" w:rsidRPr="003E76E7">
        <w:t>-2</w:t>
      </w:r>
      <w:r w:rsidR="00722810" w:rsidRPr="003E76E7">
        <w:t>7</w:t>
      </w:r>
      <w:r w:rsidRPr="003E76E7">
        <w:t xml:space="preserve"> Budget Measures</w:t>
      </w:r>
    </w:p>
    <w:p w14:paraId="2AECCC35" w14:textId="1F054E99" w:rsidR="00616F2B" w:rsidRPr="003E76E7" w:rsidRDefault="00A516F7" w:rsidP="00C4292D">
      <w:pPr>
        <w:spacing w:after="0"/>
        <w:rPr>
          <w:rFonts w:ascii="Arial" w:hAnsi="Arial"/>
          <w:sz w:val="16"/>
          <w:szCs w:val="16"/>
        </w:rPr>
      </w:pPr>
      <w:r w:rsidRPr="00A516F7">
        <w:rPr>
          <w:noProof/>
          <w:lang w:val="en-AU"/>
        </w:rPr>
        <w:drawing>
          <wp:inline distT="0" distB="0" distL="0" distR="0" wp14:anchorId="5C7652CA" wp14:editId="2349CAF8">
            <wp:extent cx="5472430" cy="145335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472430" cy="1453353"/>
                    </a:xfrm>
                    <a:prstGeom prst="rect">
                      <a:avLst/>
                    </a:prstGeom>
                    <a:noFill/>
                    <a:ln>
                      <a:noFill/>
                    </a:ln>
                  </pic:spPr>
                </pic:pic>
              </a:graphicData>
            </a:graphic>
          </wp:inline>
        </w:drawing>
      </w:r>
    </w:p>
    <w:p w14:paraId="5962D99B" w14:textId="77777777" w:rsidR="00616F2B" w:rsidRPr="003E76E7" w:rsidRDefault="00616F2B" w:rsidP="00C4292D">
      <w:pPr>
        <w:spacing w:before="0" w:after="0"/>
        <w:rPr>
          <w:rFonts w:ascii="Arial" w:hAnsi="Arial"/>
          <w:b/>
          <w:sz w:val="14"/>
          <w:szCs w:val="14"/>
        </w:rPr>
      </w:pPr>
    </w:p>
    <w:p w14:paraId="4042ECAB" w14:textId="375E036E" w:rsidR="00616F2B" w:rsidRPr="003E76E7" w:rsidRDefault="00616F2B" w:rsidP="00C4292D">
      <w:pPr>
        <w:spacing w:before="0" w:after="0"/>
        <w:rPr>
          <w:rFonts w:ascii="Arial" w:hAnsi="Arial"/>
          <w:b/>
          <w:sz w:val="14"/>
          <w:szCs w:val="14"/>
        </w:rPr>
      </w:pPr>
      <w:r w:rsidRPr="003E76E7">
        <w:rPr>
          <w:rFonts w:ascii="Arial" w:hAnsi="Arial"/>
          <w:b/>
          <w:sz w:val="14"/>
          <w:szCs w:val="14"/>
        </w:rPr>
        <w:t>Note</w:t>
      </w:r>
    </w:p>
    <w:p w14:paraId="7CA29DAA" w14:textId="77777777" w:rsidR="00F57909" w:rsidRPr="003E76E7" w:rsidRDefault="00F57909" w:rsidP="00C4292D">
      <w:pPr>
        <w:pStyle w:val="ListParagraph"/>
        <w:numPr>
          <w:ilvl w:val="0"/>
          <w:numId w:val="55"/>
        </w:numPr>
        <w:spacing w:before="0" w:after="0"/>
        <w:ind w:left="284" w:hanging="284"/>
        <w:rPr>
          <w:rFonts w:ascii="Arial" w:hAnsi="Arial"/>
          <w:sz w:val="14"/>
          <w:szCs w:val="14"/>
        </w:rPr>
      </w:pPr>
      <w:r w:rsidRPr="003E76E7">
        <w:rPr>
          <w:rFonts w:ascii="Arial" w:hAnsi="Arial"/>
          <w:sz w:val="14"/>
          <w:szCs w:val="14"/>
        </w:rPr>
        <w:t>Relates to indexation adjustments based on economic parameters provided by Treasury.</w:t>
      </w:r>
    </w:p>
    <w:p w14:paraId="2E1A53A2" w14:textId="6B93E4BA" w:rsidR="00761824" w:rsidRPr="003E76E7" w:rsidRDefault="00761824" w:rsidP="00C4292D">
      <w:pPr>
        <w:pStyle w:val="Heading2level3"/>
        <w:spacing w:before="120" w:after="120"/>
      </w:pPr>
      <w:r w:rsidRPr="003E76E7">
        <w:rPr>
          <w:lang w:val="en-AU"/>
        </w:rPr>
        <w:br w:type="page"/>
      </w:r>
      <w:bookmarkStart w:id="1726" w:name="_Toc476581171"/>
      <w:bookmarkStart w:id="1727" w:name="_Toc507595438"/>
      <w:bookmarkStart w:id="1728" w:name="_Toc536089245"/>
      <w:bookmarkStart w:id="1729" w:name="_Toc536089611"/>
      <w:bookmarkStart w:id="1730" w:name="_Toc1561698"/>
      <w:bookmarkStart w:id="1731" w:name="_Toc51691694"/>
      <w:bookmarkStart w:id="1732" w:name="_Toc69729064"/>
      <w:bookmarkStart w:id="1733" w:name="_Toc69917859"/>
      <w:bookmarkStart w:id="1734" w:name="_Toc108088961"/>
      <w:bookmarkStart w:id="1735" w:name="_Toc108089040"/>
      <w:bookmarkStart w:id="1736" w:name="_Toc108089434"/>
      <w:bookmarkStart w:id="1737" w:name="_Toc109227298"/>
      <w:bookmarkStart w:id="1738" w:name="_Toc109227756"/>
      <w:bookmarkStart w:id="1739" w:name="_Toc158896309"/>
      <w:bookmarkStart w:id="1740" w:name="_Toc159499713"/>
      <w:bookmarkStart w:id="1741" w:name="_Toc159858826"/>
      <w:bookmarkStart w:id="1742" w:name="_Toc159858896"/>
      <w:bookmarkStart w:id="1743" w:name="_Toc159859131"/>
      <w:bookmarkStart w:id="1744" w:name="_Toc159862302"/>
      <w:bookmarkStart w:id="1745" w:name="_Toc159862492"/>
      <w:bookmarkStart w:id="1746" w:name="_Toc221786194"/>
      <w:bookmarkStart w:id="1747" w:name="_Toc222129954"/>
      <w:bookmarkStart w:id="1748" w:name="_Toc222148383"/>
      <w:bookmarkStart w:id="1749" w:name="_Toc225848093"/>
      <w:bookmarkStart w:id="1750" w:name="_Toc225848176"/>
      <w:bookmarkStart w:id="1751" w:name="_Toc225848266"/>
      <w:bookmarkStart w:id="1752" w:name="_Toc225848515"/>
      <w:bookmarkStart w:id="1753" w:name="_Toc225941583"/>
      <w:bookmarkStart w:id="1754" w:name="_Toc225942590"/>
      <w:bookmarkStart w:id="1755" w:name="_Toc227334400"/>
      <w:bookmarkStart w:id="1756" w:name="_Toc229072475"/>
      <w:bookmarkStart w:id="1757" w:name="_Toc229072647"/>
      <w:r w:rsidRPr="003E76E7">
        <w:rPr>
          <w:rStyle w:val="Heading2Char"/>
          <w:sz w:val="26"/>
          <w:szCs w:val="26"/>
        </w:rPr>
        <w:lastRenderedPageBreak/>
        <w:t>Section 2: AS</w:t>
      </w:r>
      <w:r w:rsidR="00F11E01" w:rsidRPr="003E76E7">
        <w:rPr>
          <w:rStyle w:val="Heading2Char"/>
          <w:sz w:val="26"/>
          <w:szCs w:val="26"/>
        </w:rPr>
        <w:t>A</w:t>
      </w:r>
      <w:r w:rsidRPr="003E76E7">
        <w:rPr>
          <w:rStyle w:val="Heading2Char"/>
          <w:sz w:val="26"/>
          <w:szCs w:val="26"/>
        </w:rPr>
        <w:t xml:space="preserve"> Outcomes and Planned Performance</w:t>
      </w:r>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p>
    <w:p w14:paraId="26057B49" w14:textId="77777777" w:rsidR="00680B8D" w:rsidRPr="003E76E7" w:rsidRDefault="00680B8D" w:rsidP="00C4292D">
      <w:pPr>
        <w:spacing w:before="60" w:after="60" w:line="256" w:lineRule="auto"/>
        <w:rPr>
          <w:lang w:val="en-AU"/>
        </w:rPr>
      </w:pPr>
      <w:r w:rsidRPr="003E76E7">
        <w:rPr>
          <w:lang w:val="en-AU"/>
        </w:rPr>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3B57777C" w14:textId="77777777" w:rsidR="00680B8D" w:rsidRPr="003E76E7" w:rsidRDefault="00680B8D" w:rsidP="00C4292D">
      <w:pPr>
        <w:spacing w:before="60" w:after="60" w:line="256" w:lineRule="auto"/>
        <w:rPr>
          <w:lang w:val="en-AU"/>
        </w:rPr>
      </w:pPr>
      <w:r w:rsidRPr="003E76E7">
        <w:rPr>
          <w:lang w:val="en-AU"/>
        </w:rPr>
        <w:t>ASA’s outcome is described below together with its related programs. The following provides detailed information on expenses for the outcome and program, further broken down by funding source.</w:t>
      </w:r>
    </w:p>
    <w:p w14:paraId="258FB354" w14:textId="77777777" w:rsidR="00680B8D" w:rsidRPr="003E76E7" w:rsidRDefault="00680B8D" w:rsidP="00C4292D">
      <w:pPr>
        <w:pBdr>
          <w:top w:val="single" w:sz="4" w:space="1" w:color="auto"/>
          <w:left w:val="single" w:sz="4" w:space="4" w:color="auto"/>
          <w:bottom w:val="single" w:sz="4" w:space="7" w:color="auto"/>
          <w:right w:val="single" w:sz="4" w:space="4" w:color="auto"/>
        </w:pBdr>
        <w:rPr>
          <w:b/>
          <w:lang w:val="en-AU"/>
        </w:rPr>
      </w:pPr>
      <w:r w:rsidRPr="003E76E7">
        <w:rPr>
          <w:b/>
          <w:lang w:val="en-AU"/>
        </w:rPr>
        <w:t>Note:</w:t>
      </w:r>
    </w:p>
    <w:p w14:paraId="14DF6AD8" w14:textId="43155453" w:rsidR="00680B8D" w:rsidRPr="003E76E7" w:rsidRDefault="00680B8D" w:rsidP="00C4292D">
      <w:pPr>
        <w:pBdr>
          <w:top w:val="single" w:sz="4" w:space="1" w:color="auto"/>
          <w:left w:val="single" w:sz="4" w:space="4" w:color="auto"/>
          <w:bottom w:val="single" w:sz="4" w:space="7" w:color="auto"/>
          <w:right w:val="single" w:sz="4" w:space="4" w:color="auto"/>
        </w:pBdr>
        <w:rPr>
          <w:lang w:val="en-AU"/>
        </w:rPr>
      </w:pPr>
      <w:r w:rsidRPr="003E76E7">
        <w:rPr>
          <w:lang w:val="en-AU"/>
        </w:rPr>
        <w:t xml:space="preserve">Performance reporting requirements in the Portfolio Budget Statements are part of the enhanced Commonwealth performance framework established by the </w:t>
      </w:r>
      <w:r w:rsidRPr="003E76E7">
        <w:rPr>
          <w:i/>
          <w:lang w:val="en-AU"/>
        </w:rPr>
        <w:t>Public Governance, Performance and Accountability Act 2013</w:t>
      </w:r>
      <w:r w:rsidRPr="003E76E7">
        <w:rPr>
          <w:lang w:val="en-AU"/>
        </w:rPr>
        <w:t xml:space="preserve">. It is anticipated that the performance measures described in Portfolio Budget Statements will be read with broader information provided in an entity’s corporate plans and annual performance statements </w:t>
      </w:r>
      <w:r w:rsidR="00722810" w:rsidRPr="003E76E7">
        <w:rPr>
          <w:lang w:val="en-AU"/>
        </w:rPr>
        <w:t>-</w:t>
      </w:r>
      <w:r w:rsidRPr="003E76E7">
        <w:rPr>
          <w:lang w:val="en-AU"/>
        </w:rPr>
        <w:t xml:space="preserve"> included in Annual Reports </w:t>
      </w:r>
      <w:r w:rsidR="00722810" w:rsidRPr="003E76E7">
        <w:rPr>
          <w:lang w:val="en-AU"/>
        </w:rPr>
        <w:t>-</w:t>
      </w:r>
      <w:r w:rsidRPr="003E76E7">
        <w:rPr>
          <w:lang w:val="en-AU"/>
        </w:rPr>
        <w:t xml:space="preserve"> to provide a complete picture of an entity’s planned and actual performance.</w:t>
      </w:r>
    </w:p>
    <w:p w14:paraId="5A12A554" w14:textId="77777777" w:rsidR="00680B8D" w:rsidRPr="003E76E7" w:rsidRDefault="00680B8D" w:rsidP="00C4292D">
      <w:pPr>
        <w:pBdr>
          <w:top w:val="single" w:sz="4" w:space="1" w:color="auto"/>
          <w:left w:val="single" w:sz="4" w:space="4" w:color="auto"/>
          <w:bottom w:val="single" w:sz="4" w:space="7" w:color="auto"/>
          <w:right w:val="single" w:sz="4" w:space="4" w:color="auto"/>
        </w:pBdr>
        <w:rPr>
          <w:lang w:val="en-AU"/>
        </w:rPr>
      </w:pPr>
      <w:r w:rsidRPr="003E76E7">
        <w:rPr>
          <w:lang w:val="en-AU"/>
        </w:rPr>
        <w:t xml:space="preserve">The most recent corporate plan and annual performance statement for ASA can be found at: </w:t>
      </w:r>
      <w:hyperlink r:id="rId165" w:history="1">
        <w:r w:rsidRPr="003E76E7">
          <w:rPr>
            <w:rStyle w:val="Hyperlink"/>
            <w:lang w:val="en-AU"/>
          </w:rPr>
          <w:t>https://www.asa.gov.au/about/planning-reporting</w:t>
        </w:r>
      </w:hyperlink>
      <w:r w:rsidRPr="003E76E7">
        <w:rPr>
          <w:lang w:val="en-AU"/>
        </w:rPr>
        <w:t>.</w:t>
      </w:r>
    </w:p>
    <w:p w14:paraId="3F124224" w14:textId="635D3938" w:rsidR="00680B8D" w:rsidRPr="003E76E7" w:rsidRDefault="00680B8D" w:rsidP="00C4292D">
      <w:pPr>
        <w:spacing w:before="0" w:after="0"/>
      </w:pPr>
      <w:r w:rsidRPr="003E76E7">
        <w:br w:type="page"/>
      </w:r>
    </w:p>
    <w:p w14:paraId="43072CCB" w14:textId="77777777" w:rsidR="00F11E01" w:rsidRPr="003E76E7" w:rsidRDefault="00F11E01" w:rsidP="00C4292D">
      <w:pPr>
        <w:pStyle w:val="Heading4"/>
        <w:rPr>
          <w:sz w:val="24"/>
          <w:szCs w:val="24"/>
        </w:rPr>
      </w:pPr>
      <w:bookmarkStart w:id="1758" w:name="_Toc149060144"/>
      <w:bookmarkStart w:id="1759" w:name="_Toc149116028"/>
      <w:bookmarkStart w:id="1760" w:name="_Toc149119351"/>
      <w:bookmarkStart w:id="1761" w:name="_Toc149233141"/>
      <w:bookmarkStart w:id="1762" w:name="_Toc155955157"/>
      <w:bookmarkStart w:id="1763" w:name="_Toc158896310"/>
      <w:bookmarkStart w:id="1764" w:name="_Toc159499714"/>
      <w:bookmarkStart w:id="1765" w:name="_Toc159858827"/>
      <w:bookmarkStart w:id="1766" w:name="_Toc159858897"/>
      <w:bookmarkStart w:id="1767" w:name="_Toc159859132"/>
      <w:bookmarkStart w:id="1768" w:name="_Toc159862303"/>
      <w:bookmarkStart w:id="1769" w:name="_Toc159862493"/>
      <w:bookmarkStart w:id="1770" w:name="_Toc221786195"/>
      <w:bookmarkStart w:id="1771" w:name="_Toc222129955"/>
      <w:bookmarkStart w:id="1772" w:name="_Toc222148384"/>
      <w:bookmarkStart w:id="1773" w:name="_Toc225848094"/>
      <w:bookmarkStart w:id="1774" w:name="_Toc225848177"/>
      <w:bookmarkStart w:id="1775" w:name="_Toc225848516"/>
      <w:bookmarkStart w:id="1776" w:name="_Toc225941584"/>
      <w:bookmarkStart w:id="1777" w:name="_Toc225942591"/>
      <w:bookmarkStart w:id="1778" w:name="_Toc227334401"/>
      <w:bookmarkStart w:id="1779" w:name="_Toc229072476"/>
      <w:bookmarkStart w:id="1780" w:name="_Toc229072648"/>
      <w:r w:rsidRPr="003E76E7">
        <w:rPr>
          <w:sz w:val="24"/>
          <w:szCs w:val="24"/>
        </w:rPr>
        <w:lastRenderedPageBreak/>
        <w:t>2.1 Budgeted Expenses and Performance for Outcome 1</w:t>
      </w:r>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p>
    <w:tbl>
      <w:tblPr>
        <w:tblW w:w="86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8647"/>
      </w:tblGrid>
      <w:tr w:rsidR="00F11E01" w:rsidRPr="003E76E7" w14:paraId="23CA051A" w14:textId="77777777" w:rsidTr="00EF25E8">
        <w:tc>
          <w:tcPr>
            <w:tcW w:w="8647" w:type="dxa"/>
            <w:shd w:val="clear" w:color="auto" w:fill="CCCCCC"/>
          </w:tcPr>
          <w:p w14:paraId="054E3168" w14:textId="77777777" w:rsidR="00F11E01" w:rsidRPr="003E76E7" w:rsidRDefault="00F11E01" w:rsidP="00C4292D">
            <w:pPr>
              <w:rPr>
                <w:rFonts w:ascii="Arial" w:hAnsi="Arial"/>
                <w:b/>
                <w:lang w:val="en-AU"/>
              </w:rPr>
            </w:pPr>
            <w:r w:rsidRPr="003E76E7">
              <w:rPr>
                <w:rFonts w:ascii="Arial" w:hAnsi="Arial"/>
                <w:b/>
                <w:lang w:val="en-AU"/>
              </w:rPr>
              <w:t>Outcome 1: Safely and securely acquire, construct, deliver, technically govern, sustain and dispose of Australia’s conventionally-armed nuclear-powered submarine capability, via the AUKUS partnership.</w:t>
            </w:r>
          </w:p>
        </w:tc>
      </w:tr>
    </w:tbl>
    <w:p w14:paraId="3F228FBF" w14:textId="3E9D2829" w:rsidR="00217AB4" w:rsidRPr="003E76E7" w:rsidRDefault="00217AB4" w:rsidP="00C4292D">
      <w:pPr>
        <w:pStyle w:val="BodyText"/>
        <w:rPr>
          <w:rFonts w:ascii="Arial" w:hAnsi="Arial"/>
          <w:b/>
          <w:sz w:val="22"/>
          <w:szCs w:val="22"/>
          <w:lang w:val="en-AU"/>
        </w:rPr>
      </w:pPr>
      <w:bookmarkStart w:id="1781" w:name="_Toc159499716"/>
      <w:bookmarkStart w:id="1782" w:name="_Toc159859134"/>
      <w:bookmarkStart w:id="1783" w:name="_Toc159859286"/>
      <w:bookmarkStart w:id="1784" w:name="_Toc222129957"/>
      <w:r w:rsidRPr="003E76E7">
        <w:rPr>
          <w:rFonts w:ascii="Arial" w:hAnsi="Arial"/>
          <w:b/>
          <w:sz w:val="22"/>
          <w:szCs w:val="22"/>
          <w:lang w:val="en-AU"/>
        </w:rPr>
        <w:t>Outcome 1 Strategy</w:t>
      </w:r>
    </w:p>
    <w:p w14:paraId="345CAF6E" w14:textId="7A06D07B" w:rsidR="00F11E01" w:rsidRPr="003E76E7" w:rsidRDefault="00F11E01" w:rsidP="00C4292D">
      <w:pPr>
        <w:pStyle w:val="BodyText"/>
        <w:spacing w:after="100"/>
        <w:rPr>
          <w:rFonts w:ascii="Arial" w:hAnsi="Arial"/>
          <w:b/>
          <w:bCs/>
          <w:sz w:val="22"/>
          <w:szCs w:val="22"/>
          <w:lang w:val="en-AU"/>
        </w:rPr>
      </w:pPr>
      <w:r w:rsidRPr="003E76E7">
        <w:rPr>
          <w:rFonts w:ascii="Arial" w:hAnsi="Arial"/>
          <w:b/>
          <w:bCs/>
          <w:sz w:val="22"/>
          <w:szCs w:val="22"/>
          <w:lang w:val="en-AU"/>
        </w:rPr>
        <w:t>Linked Programs</w:t>
      </w:r>
      <w:bookmarkEnd w:id="1781"/>
      <w:bookmarkEnd w:id="1782"/>
      <w:bookmarkEnd w:id="1783"/>
      <w:bookmarkEnd w:id="1784"/>
      <w:r w:rsidR="00236321" w:rsidRPr="003E76E7">
        <w:rPr>
          <w:rFonts w:ascii="Arial" w:hAnsi="Arial"/>
          <w:b/>
          <w:bCs/>
          <w:sz w:val="22"/>
          <w:szCs w:val="22"/>
          <w:lang w:val="en-AU"/>
        </w:rPr>
        <w:t xml:space="preserve"> </w:t>
      </w:r>
    </w:p>
    <w:p w14:paraId="0B8B497C" w14:textId="4C4FA06A" w:rsidR="00F11E01" w:rsidRPr="003E76E7" w:rsidRDefault="00F11E01" w:rsidP="00C4292D">
      <w:pPr>
        <w:keepNext/>
        <w:spacing w:before="0" w:after="0"/>
        <w:rPr>
          <w:caps/>
          <w:szCs w:val="20"/>
          <w:lang w:val="en-AU" w:eastAsia="en-US"/>
        </w:rPr>
      </w:pPr>
    </w:p>
    <w:tbl>
      <w:tblPr>
        <w:tblW w:w="5000" w:type="pct"/>
        <w:tblInd w:w="113"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4A0" w:firstRow="1" w:lastRow="0" w:firstColumn="1" w:lastColumn="0" w:noHBand="0" w:noVBand="1"/>
      </w:tblPr>
      <w:tblGrid>
        <w:gridCol w:w="8608"/>
      </w:tblGrid>
      <w:tr w:rsidR="00722810" w:rsidRPr="003E76E7" w14:paraId="0857265F" w14:textId="77777777" w:rsidTr="003746BF">
        <w:trPr>
          <w:trHeight w:val="113"/>
        </w:trPr>
        <w:tc>
          <w:tcPr>
            <w:tcW w:w="5000" w:type="pct"/>
            <w:tcBorders>
              <w:top w:val="single" w:sz="4" w:space="0" w:color="auto"/>
              <w:left w:val="single" w:sz="4" w:space="0" w:color="auto"/>
              <w:bottom w:val="dotted" w:sz="4" w:space="0" w:color="auto"/>
              <w:right w:val="single" w:sz="4" w:space="0" w:color="auto"/>
            </w:tcBorders>
            <w:hideMark/>
          </w:tcPr>
          <w:p w14:paraId="6400A8C3" w14:textId="77777777" w:rsidR="00722810" w:rsidRPr="003E76E7" w:rsidRDefault="00722810" w:rsidP="00C4292D">
            <w:pPr>
              <w:rPr>
                <w:b/>
                <w:szCs w:val="20"/>
              </w:rPr>
            </w:pPr>
            <w:r w:rsidRPr="003E76E7">
              <w:rPr>
                <w:b/>
                <w:szCs w:val="20"/>
              </w:rPr>
              <w:t>Australian Federal Police</w:t>
            </w:r>
          </w:p>
        </w:tc>
      </w:tr>
      <w:tr w:rsidR="00722810" w:rsidRPr="003E76E7" w14:paraId="31A57C70" w14:textId="77777777" w:rsidTr="003746BF">
        <w:trPr>
          <w:trHeight w:val="113"/>
        </w:trPr>
        <w:tc>
          <w:tcPr>
            <w:tcW w:w="5000" w:type="pct"/>
            <w:tcBorders>
              <w:top w:val="dotted" w:sz="4" w:space="0" w:color="auto"/>
              <w:left w:val="single" w:sz="4" w:space="0" w:color="auto"/>
              <w:bottom w:val="dotted" w:sz="4" w:space="0" w:color="auto"/>
              <w:right w:val="single" w:sz="4" w:space="0" w:color="auto"/>
            </w:tcBorders>
            <w:hideMark/>
          </w:tcPr>
          <w:p w14:paraId="1267C2B6" w14:textId="600D265B" w:rsidR="00722810" w:rsidRPr="003E76E7" w:rsidRDefault="00722810" w:rsidP="00C4292D">
            <w:pPr>
              <w:rPr>
                <w:szCs w:val="20"/>
              </w:rPr>
            </w:pPr>
            <w:r w:rsidRPr="003E76E7">
              <w:rPr>
                <w:szCs w:val="20"/>
              </w:rPr>
              <w:t xml:space="preserve">Program 3.3 </w:t>
            </w:r>
            <w:r w:rsidR="00AD14EC" w:rsidRPr="003E76E7">
              <w:rPr>
                <w:szCs w:val="20"/>
              </w:rPr>
              <w:t>-</w:t>
            </w:r>
            <w:r w:rsidRPr="003E76E7">
              <w:rPr>
                <w:szCs w:val="20"/>
              </w:rPr>
              <w:t xml:space="preserve"> Nuclear-Powered Submarine Program.</w:t>
            </w:r>
          </w:p>
        </w:tc>
      </w:tr>
      <w:tr w:rsidR="00722810" w:rsidRPr="003E76E7" w14:paraId="01F05652" w14:textId="77777777" w:rsidTr="003746BF">
        <w:trPr>
          <w:trHeight w:val="113"/>
        </w:trPr>
        <w:tc>
          <w:tcPr>
            <w:tcW w:w="5000" w:type="pct"/>
            <w:tcBorders>
              <w:top w:val="dotted" w:sz="4" w:space="0" w:color="auto"/>
              <w:left w:val="single" w:sz="4" w:space="0" w:color="auto"/>
              <w:bottom w:val="dotted" w:sz="4" w:space="0" w:color="auto"/>
              <w:right w:val="single" w:sz="4" w:space="0" w:color="auto"/>
            </w:tcBorders>
            <w:hideMark/>
          </w:tcPr>
          <w:p w14:paraId="34A390A2" w14:textId="77777777" w:rsidR="00722810" w:rsidRPr="003E76E7" w:rsidRDefault="00722810" w:rsidP="00C4292D">
            <w:pPr>
              <w:rPr>
                <w:b/>
                <w:szCs w:val="20"/>
              </w:rPr>
            </w:pPr>
            <w:r w:rsidRPr="003E76E7">
              <w:rPr>
                <w:b/>
                <w:szCs w:val="20"/>
              </w:rPr>
              <w:t>Contribution to Outcome 1 by linked program</w:t>
            </w:r>
          </w:p>
        </w:tc>
      </w:tr>
      <w:tr w:rsidR="00722810" w:rsidRPr="003E76E7" w14:paraId="470D1B56" w14:textId="77777777" w:rsidTr="003746BF">
        <w:trPr>
          <w:trHeight w:val="113"/>
        </w:trPr>
        <w:tc>
          <w:tcPr>
            <w:tcW w:w="5000" w:type="pct"/>
            <w:tcBorders>
              <w:top w:val="dotted" w:sz="4" w:space="0" w:color="auto"/>
              <w:left w:val="single" w:sz="4" w:space="0" w:color="auto"/>
              <w:bottom w:val="single" w:sz="4" w:space="0" w:color="auto"/>
              <w:right w:val="single" w:sz="4" w:space="0" w:color="auto"/>
            </w:tcBorders>
            <w:hideMark/>
          </w:tcPr>
          <w:p w14:paraId="7C2C357E" w14:textId="4BF5A4C7" w:rsidR="00722810" w:rsidRPr="003E76E7" w:rsidRDefault="00722810" w:rsidP="00C4292D">
            <w:pPr>
              <w:autoSpaceDE w:val="0"/>
              <w:autoSpaceDN w:val="0"/>
              <w:rPr>
                <w:b/>
                <w:szCs w:val="20"/>
              </w:rPr>
            </w:pPr>
            <w:r w:rsidRPr="003E76E7">
              <w:rPr>
                <w:szCs w:val="20"/>
              </w:rPr>
              <w:t>The Australian Federal Police works with the Australian Submarine Agency to build and integrate the interim protective security overlay</w:t>
            </w:r>
            <w:r w:rsidR="00733DB1">
              <w:rPr>
                <w:szCs w:val="20"/>
              </w:rPr>
              <w:t xml:space="preserve"> for Submarine Rotational Force-</w:t>
            </w:r>
            <w:r w:rsidRPr="003E76E7">
              <w:rPr>
                <w:szCs w:val="20"/>
              </w:rPr>
              <w:t xml:space="preserve">West at HMAS </w:t>
            </w:r>
            <w:r w:rsidRPr="00C210BD">
              <w:rPr>
                <w:szCs w:val="20"/>
              </w:rPr>
              <w:t>Stirling</w:t>
            </w:r>
            <w:r w:rsidRPr="003E76E7">
              <w:rPr>
                <w:szCs w:val="20"/>
              </w:rPr>
              <w:t xml:space="preserve"> under the AUKUS initiative.</w:t>
            </w:r>
          </w:p>
        </w:tc>
      </w:tr>
    </w:tbl>
    <w:p w14:paraId="5CF6B717" w14:textId="77777777" w:rsidR="00722810" w:rsidRPr="003E76E7" w:rsidRDefault="00722810" w:rsidP="00C4292D">
      <w:pPr>
        <w:keepNext/>
        <w:spacing w:before="0" w:after="0"/>
        <w:rPr>
          <w:caps/>
          <w:szCs w:val="20"/>
          <w:lang w:val="en-AU" w:eastAsia="en-US"/>
        </w:rPr>
      </w:pPr>
    </w:p>
    <w:tbl>
      <w:tblPr>
        <w:tblW w:w="5000" w:type="pct"/>
        <w:tblInd w:w="113"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8608"/>
      </w:tblGrid>
      <w:tr w:rsidR="00F11E01" w:rsidRPr="003E76E7" w14:paraId="763E818C" w14:textId="77777777" w:rsidTr="00812D82">
        <w:trPr>
          <w:trHeight w:val="113"/>
        </w:trPr>
        <w:tc>
          <w:tcPr>
            <w:tcW w:w="5000" w:type="pct"/>
            <w:tcBorders>
              <w:top w:val="single" w:sz="4" w:space="0" w:color="auto"/>
              <w:left w:val="single" w:sz="4" w:space="0" w:color="auto"/>
              <w:bottom w:val="dotted" w:sz="4" w:space="0" w:color="auto"/>
              <w:right w:val="single" w:sz="4" w:space="0" w:color="auto"/>
            </w:tcBorders>
            <w:tcMar>
              <w:top w:w="0" w:type="dxa"/>
              <w:left w:w="108" w:type="dxa"/>
              <w:bottom w:w="0" w:type="dxa"/>
              <w:right w:w="108" w:type="dxa"/>
            </w:tcMar>
            <w:hideMark/>
          </w:tcPr>
          <w:p w14:paraId="798ECC3F" w14:textId="77777777" w:rsidR="00F11E01" w:rsidRPr="003E76E7" w:rsidRDefault="00F11E01" w:rsidP="00C4292D">
            <w:pPr>
              <w:rPr>
                <w:szCs w:val="20"/>
              </w:rPr>
            </w:pPr>
            <w:r w:rsidRPr="003E76E7">
              <w:rPr>
                <w:b/>
                <w:szCs w:val="20"/>
              </w:rPr>
              <w:t>Australian Nuclear Science and Technology Organisation</w:t>
            </w:r>
          </w:p>
        </w:tc>
      </w:tr>
      <w:tr w:rsidR="00F11E01" w:rsidRPr="003E76E7" w14:paraId="3BEB7BB7" w14:textId="77777777" w:rsidTr="00812D82">
        <w:trPr>
          <w:trHeight w:val="113"/>
        </w:trPr>
        <w:tc>
          <w:tcPr>
            <w:tcW w:w="5000" w:type="pct"/>
            <w:tcBorders>
              <w:top w:val="dotted" w:sz="4" w:space="0" w:color="auto"/>
              <w:left w:val="single" w:sz="4" w:space="0" w:color="auto"/>
              <w:bottom w:val="dotted" w:sz="4" w:space="0" w:color="auto"/>
              <w:right w:val="single" w:sz="4" w:space="0" w:color="auto"/>
            </w:tcBorders>
            <w:tcMar>
              <w:top w:w="0" w:type="dxa"/>
              <w:left w:w="108" w:type="dxa"/>
              <w:bottom w:w="0" w:type="dxa"/>
              <w:right w:w="108" w:type="dxa"/>
            </w:tcMar>
            <w:hideMark/>
          </w:tcPr>
          <w:p w14:paraId="56FCD104" w14:textId="10630C54" w:rsidR="00F11E01" w:rsidRPr="003E76E7" w:rsidRDefault="00F11E01" w:rsidP="00C4292D">
            <w:pPr>
              <w:rPr>
                <w:szCs w:val="20"/>
              </w:rPr>
            </w:pPr>
            <w:r w:rsidRPr="003E76E7">
              <w:rPr>
                <w:szCs w:val="20"/>
              </w:rPr>
              <w:t xml:space="preserve">Program 2 </w:t>
            </w:r>
            <w:r w:rsidR="00722810" w:rsidRPr="003E76E7">
              <w:rPr>
                <w:szCs w:val="20"/>
              </w:rPr>
              <w:t>-</w:t>
            </w:r>
            <w:r w:rsidRPr="003E76E7">
              <w:rPr>
                <w:szCs w:val="20"/>
              </w:rPr>
              <w:t xml:space="preserve"> Nuclear-Powered Submarines.</w:t>
            </w:r>
          </w:p>
        </w:tc>
      </w:tr>
      <w:tr w:rsidR="00F11E01" w:rsidRPr="003E76E7" w14:paraId="1F5AEABF" w14:textId="77777777" w:rsidTr="00812D82">
        <w:trPr>
          <w:trHeight w:val="113"/>
        </w:trPr>
        <w:tc>
          <w:tcPr>
            <w:tcW w:w="5000" w:type="pct"/>
            <w:tcBorders>
              <w:top w:val="dotted" w:sz="4" w:space="0" w:color="auto"/>
              <w:left w:val="single" w:sz="4" w:space="0" w:color="auto"/>
              <w:bottom w:val="dotted" w:sz="4" w:space="0" w:color="auto"/>
              <w:right w:val="single" w:sz="4" w:space="0" w:color="auto"/>
            </w:tcBorders>
            <w:tcMar>
              <w:top w:w="0" w:type="dxa"/>
              <w:left w:w="108" w:type="dxa"/>
              <w:bottom w:w="0" w:type="dxa"/>
              <w:right w:w="108" w:type="dxa"/>
            </w:tcMar>
            <w:hideMark/>
          </w:tcPr>
          <w:p w14:paraId="53F5FF95" w14:textId="77777777" w:rsidR="00F11E01" w:rsidRPr="003E76E7" w:rsidRDefault="00F11E01" w:rsidP="00C4292D">
            <w:pPr>
              <w:rPr>
                <w:szCs w:val="20"/>
              </w:rPr>
            </w:pPr>
            <w:r w:rsidRPr="003E76E7">
              <w:rPr>
                <w:b/>
                <w:bCs/>
                <w:szCs w:val="20"/>
              </w:rPr>
              <w:t>Contribution to Outcome 1 by linked program</w:t>
            </w:r>
          </w:p>
        </w:tc>
      </w:tr>
      <w:tr w:rsidR="00F11E01" w:rsidRPr="003E76E7" w14:paraId="701001FA" w14:textId="77777777" w:rsidTr="00812D82">
        <w:trPr>
          <w:trHeight w:val="113"/>
        </w:trPr>
        <w:tc>
          <w:tcPr>
            <w:tcW w:w="5000" w:type="pct"/>
            <w:tcBorders>
              <w:top w:val="dotted"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EC5F46" w14:textId="3F4001B3" w:rsidR="00F11E01" w:rsidRPr="003E76E7" w:rsidRDefault="00FC023D" w:rsidP="00C4292D">
            <w:pPr>
              <w:rPr>
                <w:szCs w:val="20"/>
              </w:rPr>
            </w:pPr>
            <w:r w:rsidRPr="003E76E7">
              <w:rPr>
                <w:szCs w:val="20"/>
              </w:rPr>
              <w:t xml:space="preserve">The Australian Nuclear Science and Technology Organisation (ANSTO) contributes to Outcome 1 through the provision of expertise and advice in the support of the </w:t>
            </w:r>
            <w:r w:rsidR="00880175" w:rsidRPr="003E76E7">
              <w:rPr>
                <w:szCs w:val="20"/>
              </w:rPr>
              <w:br/>
            </w:r>
            <w:r w:rsidR="003D1053">
              <w:rPr>
                <w:szCs w:val="20"/>
              </w:rPr>
              <w:t>N</w:t>
            </w:r>
            <w:r w:rsidRPr="003E76E7">
              <w:rPr>
                <w:szCs w:val="20"/>
              </w:rPr>
              <w:t>uclear-</w:t>
            </w:r>
            <w:r w:rsidR="003D1053">
              <w:rPr>
                <w:szCs w:val="20"/>
              </w:rPr>
              <w:t>P</w:t>
            </w:r>
            <w:r w:rsidRPr="003E76E7">
              <w:rPr>
                <w:szCs w:val="20"/>
              </w:rPr>
              <w:t xml:space="preserve">owered </w:t>
            </w:r>
            <w:r w:rsidR="003D1053">
              <w:rPr>
                <w:szCs w:val="20"/>
              </w:rPr>
              <w:t>S</w:t>
            </w:r>
            <w:r w:rsidRPr="003E76E7">
              <w:rPr>
                <w:szCs w:val="20"/>
              </w:rPr>
              <w:t xml:space="preserve">ubmarine </w:t>
            </w:r>
            <w:r w:rsidR="003D1053">
              <w:rPr>
                <w:szCs w:val="20"/>
              </w:rPr>
              <w:t>P</w:t>
            </w:r>
            <w:r w:rsidRPr="003E76E7">
              <w:rPr>
                <w:szCs w:val="20"/>
              </w:rPr>
              <w:t>rogram, with a focus on baselining and augmenting Australia's nuclear stewardship capabilities and credentials.</w:t>
            </w:r>
          </w:p>
        </w:tc>
      </w:tr>
    </w:tbl>
    <w:p w14:paraId="3128D646" w14:textId="77777777" w:rsidR="00577CCA" w:rsidRPr="003E76E7" w:rsidRDefault="00577CCA" w:rsidP="00C4292D">
      <w:pPr>
        <w:spacing w:before="0" w:after="0"/>
        <w:rPr>
          <w:szCs w:val="20"/>
          <w:lang w:eastAsia="en-US"/>
        </w:rPr>
      </w:pPr>
    </w:p>
    <w:tbl>
      <w:tblPr>
        <w:tblW w:w="5000" w:type="pct"/>
        <w:tblInd w:w="113"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4A0" w:firstRow="1" w:lastRow="0" w:firstColumn="1" w:lastColumn="0" w:noHBand="0" w:noVBand="1"/>
      </w:tblPr>
      <w:tblGrid>
        <w:gridCol w:w="8608"/>
      </w:tblGrid>
      <w:tr w:rsidR="00577CCA" w:rsidRPr="003E76E7" w14:paraId="0BC7DFB2" w14:textId="77777777" w:rsidTr="00C429E9">
        <w:trPr>
          <w:trHeight w:val="113"/>
        </w:trPr>
        <w:tc>
          <w:tcPr>
            <w:tcW w:w="5000" w:type="pct"/>
            <w:tcBorders>
              <w:top w:val="single" w:sz="4" w:space="0" w:color="auto"/>
              <w:left w:val="single" w:sz="4" w:space="0" w:color="auto"/>
              <w:bottom w:val="dotted" w:sz="4" w:space="0" w:color="auto"/>
              <w:right w:val="single" w:sz="4" w:space="0" w:color="auto"/>
            </w:tcBorders>
            <w:hideMark/>
          </w:tcPr>
          <w:p w14:paraId="4E28BC2D" w14:textId="77777777" w:rsidR="00577CCA" w:rsidRPr="003E76E7" w:rsidRDefault="00577CCA" w:rsidP="00C4292D">
            <w:pPr>
              <w:rPr>
                <w:b/>
                <w:szCs w:val="20"/>
              </w:rPr>
            </w:pPr>
            <w:r w:rsidRPr="003E76E7">
              <w:rPr>
                <w:b/>
                <w:szCs w:val="20"/>
              </w:rPr>
              <w:t>Australian Radiation Protection and Nuclear Safety Agency</w:t>
            </w:r>
          </w:p>
        </w:tc>
      </w:tr>
      <w:tr w:rsidR="00577CCA" w:rsidRPr="003E76E7" w14:paraId="008D5520" w14:textId="77777777" w:rsidTr="00C429E9">
        <w:trPr>
          <w:trHeight w:val="113"/>
        </w:trPr>
        <w:tc>
          <w:tcPr>
            <w:tcW w:w="5000" w:type="pct"/>
            <w:tcBorders>
              <w:top w:val="dotted" w:sz="4" w:space="0" w:color="auto"/>
              <w:left w:val="single" w:sz="4" w:space="0" w:color="auto"/>
              <w:bottom w:val="dotted" w:sz="4" w:space="0" w:color="auto"/>
              <w:right w:val="single" w:sz="4" w:space="0" w:color="auto"/>
            </w:tcBorders>
            <w:hideMark/>
          </w:tcPr>
          <w:p w14:paraId="0DDD5EDF" w14:textId="28CFB0CE" w:rsidR="00577CCA" w:rsidRPr="003E76E7" w:rsidRDefault="00577CCA" w:rsidP="00C4292D">
            <w:pPr>
              <w:rPr>
                <w:szCs w:val="20"/>
              </w:rPr>
            </w:pPr>
            <w:r w:rsidRPr="003E76E7">
              <w:rPr>
                <w:szCs w:val="20"/>
              </w:rPr>
              <w:t xml:space="preserve">Program 1.2 </w:t>
            </w:r>
            <w:r w:rsidR="00722810" w:rsidRPr="003E76E7">
              <w:rPr>
                <w:szCs w:val="20"/>
              </w:rPr>
              <w:t>-</w:t>
            </w:r>
            <w:r w:rsidRPr="003E76E7">
              <w:rPr>
                <w:szCs w:val="20"/>
              </w:rPr>
              <w:t xml:space="preserve"> Nuclear-Powered Submarines.</w:t>
            </w:r>
          </w:p>
        </w:tc>
      </w:tr>
      <w:tr w:rsidR="00577CCA" w:rsidRPr="003E76E7" w14:paraId="3BA26FBF" w14:textId="77777777" w:rsidTr="00C429E9">
        <w:trPr>
          <w:trHeight w:val="113"/>
        </w:trPr>
        <w:tc>
          <w:tcPr>
            <w:tcW w:w="5000" w:type="pct"/>
            <w:tcBorders>
              <w:top w:val="dotted" w:sz="4" w:space="0" w:color="auto"/>
              <w:left w:val="single" w:sz="4" w:space="0" w:color="auto"/>
              <w:bottom w:val="dotted" w:sz="4" w:space="0" w:color="auto"/>
              <w:right w:val="single" w:sz="4" w:space="0" w:color="auto"/>
            </w:tcBorders>
            <w:hideMark/>
          </w:tcPr>
          <w:p w14:paraId="4907645F" w14:textId="77777777" w:rsidR="00577CCA" w:rsidRPr="003E76E7" w:rsidRDefault="00577CCA" w:rsidP="00C4292D">
            <w:pPr>
              <w:rPr>
                <w:b/>
                <w:szCs w:val="20"/>
              </w:rPr>
            </w:pPr>
            <w:r w:rsidRPr="003E76E7">
              <w:rPr>
                <w:b/>
                <w:szCs w:val="20"/>
              </w:rPr>
              <w:t>Contribution to Outcome 1 by linked program</w:t>
            </w:r>
          </w:p>
        </w:tc>
      </w:tr>
      <w:tr w:rsidR="00577CCA" w:rsidRPr="003E76E7" w14:paraId="318A13E1" w14:textId="77777777" w:rsidTr="00C429E9">
        <w:trPr>
          <w:trHeight w:val="113"/>
        </w:trPr>
        <w:tc>
          <w:tcPr>
            <w:tcW w:w="5000" w:type="pct"/>
            <w:tcBorders>
              <w:top w:val="dotted" w:sz="4" w:space="0" w:color="auto"/>
              <w:left w:val="single" w:sz="4" w:space="0" w:color="auto"/>
              <w:bottom w:val="single" w:sz="4" w:space="0" w:color="auto"/>
              <w:right w:val="single" w:sz="4" w:space="0" w:color="auto"/>
            </w:tcBorders>
            <w:hideMark/>
          </w:tcPr>
          <w:p w14:paraId="61A5D285" w14:textId="7AE9D23A" w:rsidR="00577CCA" w:rsidRPr="003E76E7" w:rsidRDefault="00577CCA" w:rsidP="00C4292D">
            <w:pPr>
              <w:autoSpaceDE w:val="0"/>
              <w:autoSpaceDN w:val="0"/>
              <w:rPr>
                <w:b/>
                <w:szCs w:val="20"/>
              </w:rPr>
            </w:pPr>
            <w:r w:rsidRPr="003E76E7">
              <w:rPr>
                <w:szCs w:val="20"/>
              </w:rPr>
              <w:t>Support delivery of nuclear-powered submarines capabilities through radiation protection and nuclear safety research, policy, advice, codes, standards,</w:t>
            </w:r>
            <w:r w:rsidR="00773585" w:rsidRPr="003E76E7">
              <w:rPr>
                <w:szCs w:val="20"/>
              </w:rPr>
              <w:t xml:space="preserve"> and</w:t>
            </w:r>
            <w:r w:rsidRPr="003E76E7">
              <w:rPr>
                <w:szCs w:val="20"/>
              </w:rPr>
              <w:t xml:space="preserve"> services.</w:t>
            </w:r>
          </w:p>
        </w:tc>
      </w:tr>
    </w:tbl>
    <w:p w14:paraId="1929773B" w14:textId="77777777" w:rsidR="00F11E01" w:rsidRPr="003E76E7" w:rsidRDefault="00F11E01" w:rsidP="00C4292D">
      <w:pPr>
        <w:spacing w:before="0" w:after="0"/>
        <w:rPr>
          <w:szCs w:val="20"/>
          <w:lang w:eastAsia="en-US"/>
        </w:rPr>
      </w:pPr>
    </w:p>
    <w:tbl>
      <w:tblPr>
        <w:tblW w:w="5000" w:type="pct"/>
        <w:tblInd w:w="113"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4A0" w:firstRow="1" w:lastRow="0" w:firstColumn="1" w:lastColumn="0" w:noHBand="0" w:noVBand="1"/>
      </w:tblPr>
      <w:tblGrid>
        <w:gridCol w:w="8608"/>
      </w:tblGrid>
      <w:tr w:rsidR="00577CCA" w:rsidRPr="003E76E7" w14:paraId="4EE20B0B" w14:textId="77777777" w:rsidTr="00C429E9">
        <w:trPr>
          <w:trHeight w:val="113"/>
        </w:trPr>
        <w:tc>
          <w:tcPr>
            <w:tcW w:w="5000" w:type="pct"/>
            <w:tcBorders>
              <w:top w:val="single" w:sz="4" w:space="0" w:color="auto"/>
              <w:left w:val="single" w:sz="4" w:space="0" w:color="auto"/>
              <w:bottom w:val="dotted" w:sz="4" w:space="0" w:color="auto"/>
              <w:right w:val="single" w:sz="4" w:space="0" w:color="auto"/>
            </w:tcBorders>
            <w:hideMark/>
          </w:tcPr>
          <w:p w14:paraId="66CFD9C3" w14:textId="77777777" w:rsidR="00577CCA" w:rsidRPr="003E76E7" w:rsidRDefault="00577CCA" w:rsidP="00C4292D">
            <w:pPr>
              <w:rPr>
                <w:b/>
                <w:szCs w:val="20"/>
              </w:rPr>
            </w:pPr>
            <w:r w:rsidRPr="003E76E7">
              <w:rPr>
                <w:b/>
                <w:szCs w:val="20"/>
              </w:rPr>
              <w:t>Attorney-General’s Department</w:t>
            </w:r>
          </w:p>
        </w:tc>
      </w:tr>
      <w:tr w:rsidR="00616F2B" w:rsidRPr="003E76E7" w14:paraId="1FE426E3" w14:textId="77777777" w:rsidTr="00C429E9">
        <w:trPr>
          <w:trHeight w:val="113"/>
        </w:trPr>
        <w:tc>
          <w:tcPr>
            <w:tcW w:w="5000" w:type="pct"/>
            <w:tcBorders>
              <w:top w:val="dotted" w:sz="4" w:space="0" w:color="auto"/>
              <w:left w:val="single" w:sz="4" w:space="0" w:color="auto"/>
              <w:bottom w:val="dotted" w:sz="4" w:space="0" w:color="auto"/>
              <w:right w:val="single" w:sz="4" w:space="0" w:color="auto"/>
            </w:tcBorders>
            <w:hideMark/>
          </w:tcPr>
          <w:p w14:paraId="50CE92D7" w14:textId="6BC3E798" w:rsidR="00616F2B" w:rsidRPr="003E76E7" w:rsidRDefault="00616F2B" w:rsidP="00C4292D">
            <w:pPr>
              <w:rPr>
                <w:szCs w:val="20"/>
              </w:rPr>
            </w:pPr>
            <w:r w:rsidRPr="003E76E7">
              <w:rPr>
                <w:szCs w:val="20"/>
              </w:rPr>
              <w:t xml:space="preserve">Program 1.2 </w:t>
            </w:r>
            <w:r w:rsidR="004D14C8" w:rsidRPr="003E76E7">
              <w:rPr>
                <w:szCs w:val="20"/>
              </w:rPr>
              <w:t>-</w:t>
            </w:r>
            <w:r w:rsidRPr="003E76E7">
              <w:rPr>
                <w:szCs w:val="20"/>
              </w:rPr>
              <w:t xml:space="preserve"> Nuclear</w:t>
            </w:r>
            <w:r w:rsidR="00880175" w:rsidRPr="003E76E7">
              <w:rPr>
                <w:szCs w:val="20"/>
              </w:rPr>
              <w:t>-</w:t>
            </w:r>
            <w:r w:rsidRPr="003E76E7">
              <w:rPr>
                <w:szCs w:val="20"/>
              </w:rPr>
              <w:t>Powered Submarine Program.</w:t>
            </w:r>
          </w:p>
        </w:tc>
      </w:tr>
      <w:tr w:rsidR="00616F2B" w:rsidRPr="003E76E7" w14:paraId="40468BEB" w14:textId="77777777" w:rsidTr="00C429E9">
        <w:trPr>
          <w:trHeight w:val="113"/>
        </w:trPr>
        <w:tc>
          <w:tcPr>
            <w:tcW w:w="5000" w:type="pct"/>
            <w:tcBorders>
              <w:top w:val="dotted" w:sz="4" w:space="0" w:color="auto"/>
              <w:left w:val="single" w:sz="4" w:space="0" w:color="auto"/>
              <w:bottom w:val="dotted" w:sz="4" w:space="0" w:color="auto"/>
              <w:right w:val="single" w:sz="4" w:space="0" w:color="auto"/>
            </w:tcBorders>
            <w:hideMark/>
          </w:tcPr>
          <w:p w14:paraId="0EB491B5" w14:textId="7751FB75" w:rsidR="00616F2B" w:rsidRPr="003E76E7" w:rsidRDefault="00616F2B" w:rsidP="00C4292D">
            <w:pPr>
              <w:rPr>
                <w:b/>
                <w:szCs w:val="20"/>
              </w:rPr>
            </w:pPr>
            <w:r w:rsidRPr="003E76E7">
              <w:rPr>
                <w:b/>
                <w:szCs w:val="20"/>
              </w:rPr>
              <w:t>Contribution to Outcome 1 by linked programs</w:t>
            </w:r>
          </w:p>
        </w:tc>
      </w:tr>
      <w:tr w:rsidR="00616F2B" w:rsidRPr="003E76E7" w14:paraId="5FC85124" w14:textId="77777777" w:rsidTr="00C429E9">
        <w:trPr>
          <w:trHeight w:val="113"/>
        </w:trPr>
        <w:tc>
          <w:tcPr>
            <w:tcW w:w="5000" w:type="pct"/>
            <w:tcBorders>
              <w:top w:val="dotted" w:sz="4" w:space="0" w:color="auto"/>
              <w:left w:val="single" w:sz="4" w:space="0" w:color="auto"/>
              <w:bottom w:val="single" w:sz="4" w:space="0" w:color="auto"/>
              <w:right w:val="single" w:sz="4" w:space="0" w:color="auto"/>
            </w:tcBorders>
            <w:hideMark/>
          </w:tcPr>
          <w:p w14:paraId="6D7294EE" w14:textId="07300323" w:rsidR="00616F2B" w:rsidRPr="003E76E7" w:rsidRDefault="00616F2B" w:rsidP="00C4292D">
            <w:pPr>
              <w:rPr>
                <w:szCs w:val="20"/>
              </w:rPr>
            </w:pPr>
            <w:bookmarkStart w:id="1785" w:name="OLE_LINK5"/>
            <w:r w:rsidRPr="003E76E7">
              <w:rPr>
                <w:szCs w:val="20"/>
              </w:rPr>
              <w:t>The Attorney-General’s Department (AGD) supports the Australian Submarine Agency in the delivery of the Nuclear-Powered Submarine Program. AGD provides tied international legal services to ensure the Optimal Pathway is delivered in a manner consistent with Australia’s international obligations, including in relation to nuclear non-proliferation and nuclear safety.</w:t>
            </w:r>
            <w:bookmarkEnd w:id="1785"/>
          </w:p>
        </w:tc>
      </w:tr>
    </w:tbl>
    <w:p w14:paraId="74F77381" w14:textId="77777777" w:rsidR="00DE0E57" w:rsidRPr="003E76E7" w:rsidRDefault="00DE0E57" w:rsidP="00C4292D">
      <w:r w:rsidRPr="003E76E7">
        <w:br w:type="page"/>
      </w:r>
    </w:p>
    <w:tbl>
      <w:tblPr>
        <w:tblW w:w="5000" w:type="pct"/>
        <w:tblInd w:w="113"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4A0" w:firstRow="1" w:lastRow="0" w:firstColumn="1" w:lastColumn="0" w:noHBand="0" w:noVBand="1"/>
      </w:tblPr>
      <w:tblGrid>
        <w:gridCol w:w="8608"/>
      </w:tblGrid>
      <w:tr w:rsidR="00F11E01" w:rsidRPr="003E76E7" w14:paraId="547D2EEC" w14:textId="77777777" w:rsidTr="00812D82">
        <w:trPr>
          <w:trHeight w:val="113"/>
        </w:trPr>
        <w:tc>
          <w:tcPr>
            <w:tcW w:w="5000" w:type="pct"/>
            <w:tcBorders>
              <w:top w:val="single" w:sz="4" w:space="0" w:color="auto"/>
              <w:left w:val="single" w:sz="4" w:space="0" w:color="auto"/>
              <w:bottom w:val="dotted" w:sz="4" w:space="0" w:color="auto"/>
              <w:right w:val="single" w:sz="4" w:space="0" w:color="auto"/>
            </w:tcBorders>
            <w:hideMark/>
          </w:tcPr>
          <w:p w14:paraId="2E60D94D" w14:textId="37A7F6BA" w:rsidR="00F11E01" w:rsidRPr="003E76E7" w:rsidRDefault="007A1307" w:rsidP="00C4292D">
            <w:pPr>
              <w:rPr>
                <w:b/>
                <w:szCs w:val="20"/>
              </w:rPr>
            </w:pPr>
            <w:r>
              <w:rPr>
                <w:b/>
                <w:szCs w:val="20"/>
              </w:rPr>
              <w:lastRenderedPageBreak/>
              <w:t>National</w:t>
            </w:r>
            <w:r w:rsidR="00773585" w:rsidRPr="003E76E7">
              <w:rPr>
                <w:b/>
                <w:szCs w:val="20"/>
              </w:rPr>
              <w:t xml:space="preserve"> Environment</w:t>
            </w:r>
            <w:r w:rsidR="007F79A6" w:rsidRPr="003E76E7">
              <w:rPr>
                <w:b/>
                <w:szCs w:val="20"/>
              </w:rPr>
              <w:t>al</w:t>
            </w:r>
            <w:r w:rsidR="00773585" w:rsidRPr="003E76E7">
              <w:rPr>
                <w:b/>
                <w:szCs w:val="20"/>
              </w:rPr>
              <w:t xml:space="preserve"> Protection Agency</w:t>
            </w:r>
          </w:p>
        </w:tc>
      </w:tr>
      <w:tr w:rsidR="00F11E01" w:rsidRPr="003E76E7" w14:paraId="35F91E9F" w14:textId="77777777" w:rsidTr="00812D82">
        <w:trPr>
          <w:trHeight w:val="113"/>
        </w:trPr>
        <w:tc>
          <w:tcPr>
            <w:tcW w:w="5000" w:type="pct"/>
            <w:tcBorders>
              <w:top w:val="dotted" w:sz="4" w:space="0" w:color="auto"/>
              <w:left w:val="single" w:sz="4" w:space="0" w:color="auto"/>
              <w:bottom w:val="dotted" w:sz="4" w:space="0" w:color="auto"/>
              <w:right w:val="single" w:sz="4" w:space="0" w:color="auto"/>
            </w:tcBorders>
            <w:hideMark/>
          </w:tcPr>
          <w:p w14:paraId="617DE64E" w14:textId="414860A6" w:rsidR="00F11E01" w:rsidRPr="003E76E7" w:rsidRDefault="00773585" w:rsidP="00C4292D">
            <w:pPr>
              <w:rPr>
                <w:szCs w:val="20"/>
              </w:rPr>
            </w:pPr>
            <w:r w:rsidRPr="003E76E7">
              <w:rPr>
                <w:szCs w:val="20"/>
              </w:rPr>
              <w:t xml:space="preserve">Program 1.1 </w:t>
            </w:r>
            <w:r w:rsidR="00AD14EC" w:rsidRPr="003E76E7">
              <w:rPr>
                <w:szCs w:val="20"/>
              </w:rPr>
              <w:t>-</w:t>
            </w:r>
            <w:r w:rsidRPr="003E76E7">
              <w:rPr>
                <w:szCs w:val="20"/>
              </w:rPr>
              <w:t xml:space="preserve"> National </w:t>
            </w:r>
            <w:r w:rsidR="007F79A6" w:rsidRPr="003E76E7">
              <w:rPr>
                <w:szCs w:val="20"/>
              </w:rPr>
              <w:t xml:space="preserve">Environmental </w:t>
            </w:r>
            <w:r w:rsidRPr="003E76E7">
              <w:rPr>
                <w:szCs w:val="20"/>
              </w:rPr>
              <w:t>Protection Agency</w:t>
            </w:r>
            <w:r w:rsidR="00A30B2C" w:rsidRPr="003E76E7">
              <w:rPr>
                <w:szCs w:val="20"/>
              </w:rPr>
              <w:t>.</w:t>
            </w:r>
          </w:p>
        </w:tc>
      </w:tr>
      <w:tr w:rsidR="00F11E01" w:rsidRPr="003E76E7" w14:paraId="137C53CE" w14:textId="77777777" w:rsidTr="00812D82">
        <w:trPr>
          <w:trHeight w:val="113"/>
        </w:trPr>
        <w:tc>
          <w:tcPr>
            <w:tcW w:w="5000" w:type="pct"/>
            <w:tcBorders>
              <w:top w:val="dotted" w:sz="4" w:space="0" w:color="auto"/>
              <w:left w:val="single" w:sz="4" w:space="0" w:color="auto"/>
              <w:bottom w:val="dotted" w:sz="4" w:space="0" w:color="auto"/>
              <w:right w:val="single" w:sz="4" w:space="0" w:color="auto"/>
            </w:tcBorders>
            <w:hideMark/>
          </w:tcPr>
          <w:p w14:paraId="31187CE6" w14:textId="77777777" w:rsidR="00F11E01" w:rsidRPr="003E76E7" w:rsidRDefault="00F11E01" w:rsidP="00C4292D">
            <w:pPr>
              <w:rPr>
                <w:b/>
                <w:szCs w:val="20"/>
              </w:rPr>
            </w:pPr>
            <w:r w:rsidRPr="003E76E7">
              <w:rPr>
                <w:b/>
                <w:szCs w:val="20"/>
              </w:rPr>
              <w:t>Contribution to Outcome 1 by linked programs</w:t>
            </w:r>
          </w:p>
        </w:tc>
      </w:tr>
      <w:tr w:rsidR="00F11E01" w:rsidRPr="003E76E7" w14:paraId="7793802B" w14:textId="77777777" w:rsidTr="00812D82">
        <w:trPr>
          <w:trHeight w:val="113"/>
        </w:trPr>
        <w:tc>
          <w:tcPr>
            <w:tcW w:w="5000" w:type="pct"/>
            <w:tcBorders>
              <w:top w:val="dotted" w:sz="4" w:space="0" w:color="auto"/>
              <w:left w:val="single" w:sz="4" w:space="0" w:color="auto"/>
              <w:bottom w:val="single" w:sz="4" w:space="0" w:color="auto"/>
              <w:right w:val="single" w:sz="4" w:space="0" w:color="auto"/>
            </w:tcBorders>
            <w:hideMark/>
          </w:tcPr>
          <w:p w14:paraId="23A7CDEB" w14:textId="77777777" w:rsidR="00F11E01" w:rsidRPr="003E76E7" w:rsidRDefault="00F11E01" w:rsidP="00C4292D">
            <w:pPr>
              <w:rPr>
                <w:szCs w:val="20"/>
              </w:rPr>
            </w:pPr>
            <w:r w:rsidRPr="003E76E7">
              <w:rPr>
                <w:szCs w:val="20"/>
              </w:rPr>
              <w:t>Conduct the environmental regulation and assessments required under relevant environmental legislation.</w:t>
            </w:r>
          </w:p>
        </w:tc>
      </w:tr>
    </w:tbl>
    <w:p w14:paraId="70A8DC9E" w14:textId="77777777" w:rsidR="00F11E01" w:rsidRPr="003E76E7" w:rsidRDefault="00F11E01" w:rsidP="00C4292D">
      <w:pPr>
        <w:spacing w:before="0" w:after="0"/>
        <w:rPr>
          <w:szCs w:val="20"/>
          <w:lang w:eastAsia="en-US"/>
        </w:rPr>
      </w:pPr>
    </w:p>
    <w:tbl>
      <w:tblPr>
        <w:tblW w:w="5000" w:type="pct"/>
        <w:tblInd w:w="113"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4A0" w:firstRow="1" w:lastRow="0" w:firstColumn="1" w:lastColumn="0" w:noHBand="0" w:noVBand="1"/>
      </w:tblPr>
      <w:tblGrid>
        <w:gridCol w:w="8608"/>
      </w:tblGrid>
      <w:tr w:rsidR="00F11E01" w:rsidRPr="003E76E7" w14:paraId="28992390" w14:textId="77777777" w:rsidTr="00812D82">
        <w:trPr>
          <w:trHeight w:val="113"/>
        </w:trPr>
        <w:tc>
          <w:tcPr>
            <w:tcW w:w="5000" w:type="pct"/>
            <w:tcBorders>
              <w:top w:val="single" w:sz="4" w:space="0" w:color="auto"/>
              <w:left w:val="single" w:sz="4" w:space="0" w:color="auto"/>
              <w:bottom w:val="dotted" w:sz="4" w:space="0" w:color="auto"/>
              <w:right w:val="single" w:sz="4" w:space="0" w:color="auto"/>
            </w:tcBorders>
            <w:hideMark/>
          </w:tcPr>
          <w:p w14:paraId="192481ED" w14:textId="77777777" w:rsidR="00F11E01" w:rsidRPr="003E76E7" w:rsidRDefault="00F11E01" w:rsidP="00C4292D">
            <w:pPr>
              <w:rPr>
                <w:b/>
                <w:szCs w:val="20"/>
              </w:rPr>
            </w:pPr>
            <w:r w:rsidRPr="003E76E7">
              <w:rPr>
                <w:b/>
                <w:szCs w:val="20"/>
              </w:rPr>
              <w:t>Department of Defence</w:t>
            </w:r>
          </w:p>
        </w:tc>
      </w:tr>
      <w:tr w:rsidR="00F11E01" w:rsidRPr="003E76E7" w14:paraId="19E5F56D" w14:textId="77777777" w:rsidTr="00812D82">
        <w:trPr>
          <w:trHeight w:val="113"/>
        </w:trPr>
        <w:tc>
          <w:tcPr>
            <w:tcW w:w="5000" w:type="pct"/>
            <w:tcBorders>
              <w:top w:val="dotted" w:sz="4" w:space="0" w:color="auto"/>
              <w:left w:val="single" w:sz="4" w:space="0" w:color="auto"/>
              <w:bottom w:val="dotted" w:sz="4" w:space="0" w:color="auto"/>
              <w:right w:val="single" w:sz="4" w:space="0" w:color="auto"/>
            </w:tcBorders>
            <w:hideMark/>
          </w:tcPr>
          <w:p w14:paraId="15F60336" w14:textId="026D80F2" w:rsidR="00F11E01" w:rsidRPr="003E76E7" w:rsidRDefault="00F11E01" w:rsidP="00C4292D">
            <w:pPr>
              <w:rPr>
                <w:szCs w:val="20"/>
              </w:rPr>
            </w:pPr>
            <w:r w:rsidRPr="003E76E7">
              <w:rPr>
                <w:szCs w:val="20"/>
              </w:rPr>
              <w:t xml:space="preserve">Program 2.16 </w:t>
            </w:r>
            <w:r w:rsidR="00722810" w:rsidRPr="003E76E7">
              <w:rPr>
                <w:szCs w:val="20"/>
              </w:rPr>
              <w:t>-</w:t>
            </w:r>
            <w:r w:rsidRPr="003E76E7">
              <w:rPr>
                <w:szCs w:val="20"/>
              </w:rPr>
              <w:t xml:space="preserve"> Nuclear-Powered Submarines.</w:t>
            </w:r>
          </w:p>
        </w:tc>
      </w:tr>
      <w:tr w:rsidR="00F11E01" w:rsidRPr="003E76E7" w14:paraId="2E1D8183" w14:textId="77777777" w:rsidTr="00812D82">
        <w:trPr>
          <w:trHeight w:val="113"/>
        </w:trPr>
        <w:tc>
          <w:tcPr>
            <w:tcW w:w="5000" w:type="pct"/>
            <w:tcBorders>
              <w:top w:val="dotted" w:sz="4" w:space="0" w:color="auto"/>
              <w:left w:val="single" w:sz="4" w:space="0" w:color="auto"/>
              <w:bottom w:val="dotted" w:sz="4" w:space="0" w:color="auto"/>
              <w:right w:val="single" w:sz="4" w:space="0" w:color="auto"/>
            </w:tcBorders>
            <w:hideMark/>
          </w:tcPr>
          <w:p w14:paraId="26052307" w14:textId="77777777" w:rsidR="00F11E01" w:rsidRPr="003E76E7" w:rsidRDefault="00F11E01" w:rsidP="00C4292D">
            <w:pPr>
              <w:rPr>
                <w:b/>
                <w:szCs w:val="20"/>
              </w:rPr>
            </w:pPr>
            <w:r w:rsidRPr="003E76E7">
              <w:rPr>
                <w:b/>
                <w:szCs w:val="20"/>
              </w:rPr>
              <w:t>Contribution to Outcome 1 by linked programs</w:t>
            </w:r>
          </w:p>
        </w:tc>
      </w:tr>
      <w:tr w:rsidR="00F11E01" w:rsidRPr="003E76E7" w14:paraId="0012997F" w14:textId="77777777" w:rsidTr="00812D82">
        <w:trPr>
          <w:trHeight w:val="113"/>
        </w:trPr>
        <w:tc>
          <w:tcPr>
            <w:tcW w:w="5000" w:type="pct"/>
            <w:tcBorders>
              <w:top w:val="dotted" w:sz="4" w:space="0" w:color="auto"/>
              <w:left w:val="single" w:sz="4" w:space="0" w:color="auto"/>
              <w:bottom w:val="single" w:sz="4" w:space="0" w:color="auto"/>
              <w:right w:val="single" w:sz="4" w:space="0" w:color="auto"/>
            </w:tcBorders>
            <w:hideMark/>
          </w:tcPr>
          <w:p w14:paraId="3CFE3A62" w14:textId="77777777" w:rsidR="00F11E01" w:rsidRPr="003E76E7" w:rsidRDefault="00FC023D" w:rsidP="00C4292D">
            <w:pPr>
              <w:rPr>
                <w:szCs w:val="20"/>
              </w:rPr>
            </w:pPr>
            <w:r w:rsidRPr="003E76E7">
              <w:rPr>
                <w:szCs w:val="20"/>
              </w:rPr>
              <w:t>The linked program contributes to Outcome 1 through the provision of expertise, advice and support in the delivery of nuclear-powered submarines capabilities.</w:t>
            </w:r>
          </w:p>
        </w:tc>
      </w:tr>
    </w:tbl>
    <w:p w14:paraId="64975315" w14:textId="77777777" w:rsidR="00F11E01" w:rsidRPr="003E76E7" w:rsidRDefault="00F11E01" w:rsidP="00C4292D">
      <w:pPr>
        <w:spacing w:before="0" w:after="0"/>
        <w:rPr>
          <w:szCs w:val="20"/>
          <w:lang w:eastAsia="en-US"/>
        </w:rPr>
      </w:pPr>
    </w:p>
    <w:tbl>
      <w:tblPr>
        <w:tblW w:w="5000" w:type="pct"/>
        <w:tblInd w:w="113"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4A0" w:firstRow="1" w:lastRow="0" w:firstColumn="1" w:lastColumn="0" w:noHBand="0" w:noVBand="1"/>
      </w:tblPr>
      <w:tblGrid>
        <w:gridCol w:w="8608"/>
      </w:tblGrid>
      <w:tr w:rsidR="00F11E01" w:rsidRPr="003E76E7" w14:paraId="745D752B" w14:textId="77777777" w:rsidTr="00812D82">
        <w:trPr>
          <w:trHeight w:val="113"/>
        </w:trPr>
        <w:tc>
          <w:tcPr>
            <w:tcW w:w="5000" w:type="pct"/>
            <w:tcBorders>
              <w:top w:val="single" w:sz="4" w:space="0" w:color="auto"/>
              <w:left w:val="single" w:sz="4" w:space="0" w:color="auto"/>
              <w:bottom w:val="dotted" w:sz="4" w:space="0" w:color="auto"/>
              <w:right w:val="single" w:sz="4" w:space="0" w:color="auto"/>
            </w:tcBorders>
            <w:hideMark/>
          </w:tcPr>
          <w:p w14:paraId="1C5B4471" w14:textId="77777777" w:rsidR="00F11E01" w:rsidRPr="003E76E7" w:rsidRDefault="00F11E01" w:rsidP="00C4292D">
            <w:pPr>
              <w:rPr>
                <w:b/>
                <w:szCs w:val="20"/>
              </w:rPr>
            </w:pPr>
            <w:r w:rsidRPr="003E76E7">
              <w:rPr>
                <w:b/>
                <w:szCs w:val="20"/>
              </w:rPr>
              <w:t>Department of Education</w:t>
            </w:r>
          </w:p>
        </w:tc>
      </w:tr>
      <w:tr w:rsidR="00F11E01" w:rsidRPr="003E76E7" w14:paraId="7C375539" w14:textId="77777777" w:rsidTr="00812D82">
        <w:trPr>
          <w:trHeight w:val="113"/>
        </w:trPr>
        <w:tc>
          <w:tcPr>
            <w:tcW w:w="5000" w:type="pct"/>
            <w:tcBorders>
              <w:top w:val="dotted" w:sz="4" w:space="0" w:color="auto"/>
              <w:left w:val="single" w:sz="4" w:space="0" w:color="auto"/>
              <w:bottom w:val="dotted" w:sz="4" w:space="0" w:color="auto"/>
              <w:right w:val="single" w:sz="4" w:space="0" w:color="auto"/>
            </w:tcBorders>
            <w:hideMark/>
          </w:tcPr>
          <w:p w14:paraId="4064F5D2" w14:textId="7F7F0F35" w:rsidR="00F11E01" w:rsidRPr="003E76E7" w:rsidRDefault="00F11E01" w:rsidP="00C4292D">
            <w:pPr>
              <w:rPr>
                <w:b/>
                <w:szCs w:val="20"/>
              </w:rPr>
            </w:pPr>
            <w:r w:rsidRPr="003E76E7">
              <w:rPr>
                <w:szCs w:val="20"/>
              </w:rPr>
              <w:t xml:space="preserve">Program 2.8 </w:t>
            </w:r>
            <w:r w:rsidR="00722810" w:rsidRPr="003E76E7">
              <w:rPr>
                <w:szCs w:val="20"/>
              </w:rPr>
              <w:t>-</w:t>
            </w:r>
            <w:r w:rsidRPr="003E76E7">
              <w:rPr>
                <w:szCs w:val="20"/>
              </w:rPr>
              <w:t xml:space="preserve"> Nuclear-Powered Submarines</w:t>
            </w:r>
            <w:r w:rsidR="004D1816" w:rsidRPr="003E76E7">
              <w:rPr>
                <w:szCs w:val="20"/>
              </w:rPr>
              <w:t xml:space="preserve"> Program</w:t>
            </w:r>
            <w:r w:rsidRPr="003E76E7">
              <w:rPr>
                <w:szCs w:val="20"/>
              </w:rPr>
              <w:t>.</w:t>
            </w:r>
          </w:p>
        </w:tc>
      </w:tr>
      <w:tr w:rsidR="00F11E01" w:rsidRPr="003E76E7" w14:paraId="6FF6C3DF" w14:textId="77777777" w:rsidTr="00812D82">
        <w:trPr>
          <w:trHeight w:val="113"/>
        </w:trPr>
        <w:tc>
          <w:tcPr>
            <w:tcW w:w="5000" w:type="pct"/>
            <w:tcBorders>
              <w:top w:val="dotted" w:sz="4" w:space="0" w:color="auto"/>
              <w:left w:val="single" w:sz="4" w:space="0" w:color="auto"/>
              <w:bottom w:val="dotted" w:sz="4" w:space="0" w:color="auto"/>
              <w:right w:val="single" w:sz="4" w:space="0" w:color="auto"/>
            </w:tcBorders>
            <w:hideMark/>
          </w:tcPr>
          <w:p w14:paraId="71CD6709" w14:textId="77777777" w:rsidR="00F11E01" w:rsidRPr="003E76E7" w:rsidRDefault="00F11E01" w:rsidP="00C4292D">
            <w:pPr>
              <w:rPr>
                <w:b/>
                <w:szCs w:val="20"/>
              </w:rPr>
            </w:pPr>
            <w:r w:rsidRPr="003E76E7">
              <w:rPr>
                <w:b/>
                <w:szCs w:val="20"/>
              </w:rPr>
              <w:t>Contribution to Outcome 1 by linked program</w:t>
            </w:r>
          </w:p>
        </w:tc>
      </w:tr>
      <w:tr w:rsidR="00F11E01" w:rsidRPr="003E76E7" w14:paraId="6EB8B5B2" w14:textId="77777777" w:rsidTr="00812D82">
        <w:trPr>
          <w:trHeight w:val="319"/>
        </w:trPr>
        <w:tc>
          <w:tcPr>
            <w:tcW w:w="5000" w:type="pct"/>
            <w:tcBorders>
              <w:top w:val="dotted" w:sz="4" w:space="0" w:color="auto"/>
              <w:left w:val="single" w:sz="4" w:space="0" w:color="auto"/>
              <w:bottom w:val="single" w:sz="4" w:space="0" w:color="auto"/>
              <w:right w:val="single" w:sz="4" w:space="0" w:color="auto"/>
            </w:tcBorders>
            <w:hideMark/>
          </w:tcPr>
          <w:p w14:paraId="68C528BC" w14:textId="77777777" w:rsidR="00F11E01" w:rsidRPr="003E76E7" w:rsidRDefault="00FC023D" w:rsidP="00C4292D">
            <w:pPr>
              <w:rPr>
                <w:szCs w:val="20"/>
              </w:rPr>
            </w:pPr>
            <w:r w:rsidRPr="003E76E7">
              <w:rPr>
                <w:szCs w:val="20"/>
              </w:rPr>
              <w:t>The linked program contributes to Outcome 1 through the provision of expertise, advice and support in the delivery of nuclear-powered submarines capabilities.</w:t>
            </w:r>
          </w:p>
        </w:tc>
      </w:tr>
    </w:tbl>
    <w:p w14:paraId="3F1F621A" w14:textId="77777777" w:rsidR="0095071F" w:rsidRPr="003E76E7" w:rsidRDefault="0095071F" w:rsidP="00C4292D">
      <w:pPr>
        <w:spacing w:before="0" w:after="0"/>
        <w:rPr>
          <w:szCs w:val="20"/>
          <w:lang w:eastAsia="en-US"/>
        </w:rPr>
      </w:pPr>
    </w:p>
    <w:tbl>
      <w:tblPr>
        <w:tblW w:w="5000" w:type="pct"/>
        <w:tblInd w:w="113"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4A0" w:firstRow="1" w:lastRow="0" w:firstColumn="1" w:lastColumn="0" w:noHBand="0" w:noVBand="1"/>
      </w:tblPr>
      <w:tblGrid>
        <w:gridCol w:w="8608"/>
      </w:tblGrid>
      <w:tr w:rsidR="00F11E01" w:rsidRPr="003E76E7" w14:paraId="6C5974E1" w14:textId="77777777" w:rsidTr="00812D82">
        <w:trPr>
          <w:trHeight w:val="113"/>
        </w:trPr>
        <w:tc>
          <w:tcPr>
            <w:tcW w:w="5000" w:type="pct"/>
            <w:hideMark/>
          </w:tcPr>
          <w:p w14:paraId="47178516" w14:textId="77777777" w:rsidR="00F11E01" w:rsidRPr="003E76E7" w:rsidRDefault="00F11E01" w:rsidP="00C4292D">
            <w:pPr>
              <w:rPr>
                <w:b/>
                <w:szCs w:val="20"/>
              </w:rPr>
            </w:pPr>
            <w:r w:rsidRPr="003E76E7">
              <w:rPr>
                <w:b/>
                <w:szCs w:val="20"/>
              </w:rPr>
              <w:t>Department of Employment and Workplace Relations</w:t>
            </w:r>
          </w:p>
        </w:tc>
      </w:tr>
      <w:tr w:rsidR="00F11E01" w:rsidRPr="003E76E7" w14:paraId="139259F5" w14:textId="77777777" w:rsidTr="00812D82">
        <w:trPr>
          <w:trHeight w:val="113"/>
        </w:trPr>
        <w:tc>
          <w:tcPr>
            <w:tcW w:w="5000" w:type="pct"/>
            <w:hideMark/>
          </w:tcPr>
          <w:p w14:paraId="3EE5DE6A" w14:textId="1F5F8F53" w:rsidR="00F11E01" w:rsidRPr="003E76E7" w:rsidRDefault="00F11E01" w:rsidP="00C4292D">
            <w:pPr>
              <w:rPr>
                <w:b/>
                <w:szCs w:val="20"/>
              </w:rPr>
            </w:pPr>
            <w:r w:rsidRPr="003E76E7">
              <w:rPr>
                <w:szCs w:val="20"/>
              </w:rPr>
              <w:t xml:space="preserve">Program 2.3 </w:t>
            </w:r>
            <w:r w:rsidR="00722810" w:rsidRPr="003E76E7">
              <w:rPr>
                <w:szCs w:val="20"/>
              </w:rPr>
              <w:t>-</w:t>
            </w:r>
            <w:r w:rsidRPr="003E76E7">
              <w:rPr>
                <w:szCs w:val="20"/>
              </w:rPr>
              <w:t xml:space="preserve"> DEWR </w:t>
            </w:r>
            <w:r w:rsidR="00722810" w:rsidRPr="003E76E7">
              <w:rPr>
                <w:szCs w:val="20"/>
              </w:rPr>
              <w:t>-</w:t>
            </w:r>
            <w:r w:rsidRPr="003E76E7">
              <w:rPr>
                <w:szCs w:val="20"/>
              </w:rPr>
              <w:t xml:space="preserve"> Nuclear-Powered Submarine Program.</w:t>
            </w:r>
          </w:p>
        </w:tc>
      </w:tr>
      <w:tr w:rsidR="00F11E01" w:rsidRPr="003E76E7" w14:paraId="24F82600" w14:textId="77777777" w:rsidTr="00812D82">
        <w:trPr>
          <w:trHeight w:val="113"/>
        </w:trPr>
        <w:tc>
          <w:tcPr>
            <w:tcW w:w="5000" w:type="pct"/>
            <w:hideMark/>
          </w:tcPr>
          <w:p w14:paraId="7091D07C" w14:textId="77777777" w:rsidR="00F11E01" w:rsidRPr="003E76E7" w:rsidRDefault="00F11E01" w:rsidP="00C4292D">
            <w:pPr>
              <w:rPr>
                <w:b/>
                <w:szCs w:val="20"/>
              </w:rPr>
            </w:pPr>
            <w:r w:rsidRPr="003E76E7">
              <w:rPr>
                <w:b/>
                <w:szCs w:val="20"/>
              </w:rPr>
              <w:t>Contribution to Outcome 1 by linked program</w:t>
            </w:r>
          </w:p>
        </w:tc>
      </w:tr>
      <w:tr w:rsidR="00F11E01" w:rsidRPr="003E76E7" w14:paraId="69AD0EE6" w14:textId="77777777" w:rsidTr="00812D82">
        <w:trPr>
          <w:trHeight w:val="113"/>
        </w:trPr>
        <w:tc>
          <w:tcPr>
            <w:tcW w:w="5000" w:type="pct"/>
            <w:hideMark/>
          </w:tcPr>
          <w:p w14:paraId="5ED698B4" w14:textId="15BECC7D" w:rsidR="00F11E01" w:rsidRPr="003E76E7" w:rsidRDefault="00773585" w:rsidP="00C4292D">
            <w:pPr>
              <w:rPr>
                <w:b/>
                <w:szCs w:val="20"/>
              </w:rPr>
            </w:pPr>
            <w:r w:rsidRPr="003E76E7">
              <w:rPr>
                <w:rFonts w:eastAsia="Calibri"/>
                <w:szCs w:val="20"/>
                <w:lang w:val="en-AU"/>
              </w:rPr>
              <w:t xml:space="preserve">The linked program contributes to Outcome 1 through the provision of strategic advice on how to leverage the vocational education and training system to support the training and workforce goals for the </w:t>
            </w:r>
            <w:r w:rsidR="003D1053">
              <w:rPr>
                <w:rFonts w:eastAsia="Calibri"/>
                <w:szCs w:val="20"/>
                <w:lang w:val="en-AU"/>
              </w:rPr>
              <w:t>N</w:t>
            </w:r>
            <w:r w:rsidRPr="003E76E7">
              <w:rPr>
                <w:rFonts w:eastAsia="Calibri"/>
                <w:szCs w:val="20"/>
                <w:lang w:val="en-AU"/>
              </w:rPr>
              <w:t>uclear-</w:t>
            </w:r>
            <w:r w:rsidR="003D1053">
              <w:rPr>
                <w:rFonts w:eastAsia="Calibri"/>
                <w:szCs w:val="20"/>
                <w:lang w:val="en-AU"/>
              </w:rPr>
              <w:t>P</w:t>
            </w:r>
            <w:r w:rsidRPr="003E76E7">
              <w:rPr>
                <w:rFonts w:eastAsia="Calibri"/>
                <w:szCs w:val="20"/>
                <w:lang w:val="en-AU"/>
              </w:rPr>
              <w:t xml:space="preserve">owered </w:t>
            </w:r>
            <w:r w:rsidR="003D1053">
              <w:rPr>
                <w:rFonts w:eastAsia="Calibri"/>
                <w:szCs w:val="20"/>
                <w:lang w:val="en-AU"/>
              </w:rPr>
              <w:t>S</w:t>
            </w:r>
            <w:r w:rsidRPr="003E76E7">
              <w:rPr>
                <w:rFonts w:eastAsia="Calibri"/>
                <w:szCs w:val="20"/>
                <w:lang w:val="en-AU"/>
              </w:rPr>
              <w:t xml:space="preserve">ubmarine </w:t>
            </w:r>
            <w:r w:rsidR="003D1053">
              <w:rPr>
                <w:rFonts w:eastAsia="Calibri"/>
                <w:szCs w:val="20"/>
                <w:lang w:val="en-AU"/>
              </w:rPr>
              <w:t>P</w:t>
            </w:r>
            <w:r w:rsidRPr="003E76E7">
              <w:rPr>
                <w:rFonts w:eastAsia="Calibri"/>
                <w:szCs w:val="20"/>
                <w:lang w:val="en-AU"/>
              </w:rPr>
              <w:t>rogram.</w:t>
            </w:r>
          </w:p>
        </w:tc>
      </w:tr>
    </w:tbl>
    <w:p w14:paraId="2F2181C5" w14:textId="77777777" w:rsidR="00F11E01" w:rsidRPr="003E76E7" w:rsidRDefault="00F11E01" w:rsidP="00C4292D">
      <w:pPr>
        <w:pStyle w:val="TPHeading2"/>
        <w:jc w:val="left"/>
        <w:rPr>
          <w:rFonts w:ascii="Book Antiqua" w:hAnsi="Book Antiqua"/>
          <w:sz w:val="20"/>
          <w:lang w:eastAsia="en-US"/>
        </w:rPr>
      </w:pPr>
    </w:p>
    <w:tbl>
      <w:tblPr>
        <w:tblW w:w="5000" w:type="pct"/>
        <w:tblInd w:w="113"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4A0" w:firstRow="1" w:lastRow="0" w:firstColumn="1" w:lastColumn="0" w:noHBand="0" w:noVBand="1"/>
      </w:tblPr>
      <w:tblGrid>
        <w:gridCol w:w="8608"/>
      </w:tblGrid>
      <w:tr w:rsidR="00F11E01" w:rsidRPr="003E76E7" w14:paraId="3E90E5B0" w14:textId="77777777" w:rsidTr="00812D82">
        <w:trPr>
          <w:trHeight w:val="113"/>
        </w:trPr>
        <w:tc>
          <w:tcPr>
            <w:tcW w:w="5000" w:type="pct"/>
            <w:tcBorders>
              <w:top w:val="single" w:sz="4" w:space="0" w:color="auto"/>
              <w:left w:val="single" w:sz="4" w:space="0" w:color="auto"/>
              <w:bottom w:val="dotted" w:sz="4" w:space="0" w:color="auto"/>
              <w:right w:val="single" w:sz="4" w:space="0" w:color="auto"/>
            </w:tcBorders>
            <w:hideMark/>
          </w:tcPr>
          <w:p w14:paraId="337C31D7" w14:textId="77777777" w:rsidR="00F11E01" w:rsidRPr="003E76E7" w:rsidRDefault="00F11E01" w:rsidP="00C4292D">
            <w:pPr>
              <w:rPr>
                <w:b/>
                <w:szCs w:val="20"/>
              </w:rPr>
            </w:pPr>
            <w:r w:rsidRPr="003E76E7">
              <w:rPr>
                <w:b/>
                <w:szCs w:val="20"/>
              </w:rPr>
              <w:t>Department of Finance</w:t>
            </w:r>
          </w:p>
        </w:tc>
      </w:tr>
      <w:tr w:rsidR="00F11E01" w:rsidRPr="003E76E7" w14:paraId="3F7B7D0B" w14:textId="77777777" w:rsidTr="00812D82">
        <w:trPr>
          <w:trHeight w:val="113"/>
        </w:trPr>
        <w:tc>
          <w:tcPr>
            <w:tcW w:w="5000" w:type="pct"/>
            <w:tcBorders>
              <w:top w:val="dotted" w:sz="4" w:space="0" w:color="auto"/>
              <w:left w:val="single" w:sz="4" w:space="0" w:color="auto"/>
              <w:bottom w:val="dotted" w:sz="4" w:space="0" w:color="auto"/>
              <w:right w:val="single" w:sz="4" w:space="0" w:color="auto"/>
            </w:tcBorders>
            <w:hideMark/>
          </w:tcPr>
          <w:p w14:paraId="57C86FF2" w14:textId="77777777" w:rsidR="00F11E01" w:rsidRPr="003E76E7" w:rsidRDefault="00F11E01" w:rsidP="00C4292D">
            <w:pPr>
              <w:rPr>
                <w:b/>
                <w:szCs w:val="20"/>
              </w:rPr>
            </w:pPr>
            <w:r w:rsidRPr="003E76E7">
              <w:rPr>
                <w:szCs w:val="20"/>
              </w:rPr>
              <w:t>Program 2.10 - Nuclear-Powered Submarine Program Advice.</w:t>
            </w:r>
          </w:p>
        </w:tc>
      </w:tr>
      <w:tr w:rsidR="00F11E01" w:rsidRPr="003E76E7" w14:paraId="5A19677A" w14:textId="77777777" w:rsidTr="00812D82">
        <w:trPr>
          <w:trHeight w:val="113"/>
        </w:trPr>
        <w:tc>
          <w:tcPr>
            <w:tcW w:w="5000" w:type="pct"/>
            <w:tcBorders>
              <w:top w:val="dotted" w:sz="4" w:space="0" w:color="auto"/>
              <w:left w:val="single" w:sz="4" w:space="0" w:color="auto"/>
              <w:bottom w:val="dotted" w:sz="4" w:space="0" w:color="auto"/>
              <w:right w:val="single" w:sz="4" w:space="0" w:color="auto"/>
            </w:tcBorders>
            <w:hideMark/>
          </w:tcPr>
          <w:p w14:paraId="7F78D892" w14:textId="77777777" w:rsidR="00F11E01" w:rsidRPr="003E76E7" w:rsidRDefault="00F11E01" w:rsidP="00C4292D">
            <w:pPr>
              <w:rPr>
                <w:b/>
                <w:szCs w:val="20"/>
              </w:rPr>
            </w:pPr>
            <w:r w:rsidRPr="003E76E7">
              <w:rPr>
                <w:b/>
                <w:szCs w:val="20"/>
              </w:rPr>
              <w:t>Contribution to Outcome 1 by linked program</w:t>
            </w:r>
          </w:p>
        </w:tc>
      </w:tr>
      <w:tr w:rsidR="00F11E01" w:rsidRPr="003E76E7" w14:paraId="6E25DBA6" w14:textId="77777777" w:rsidTr="00812D82">
        <w:trPr>
          <w:trHeight w:val="703"/>
        </w:trPr>
        <w:tc>
          <w:tcPr>
            <w:tcW w:w="5000" w:type="pct"/>
            <w:tcBorders>
              <w:top w:val="dotted" w:sz="4" w:space="0" w:color="auto"/>
              <w:left w:val="single" w:sz="4" w:space="0" w:color="auto"/>
              <w:bottom w:val="single" w:sz="4" w:space="0" w:color="auto"/>
              <w:right w:val="single" w:sz="4" w:space="0" w:color="auto"/>
            </w:tcBorders>
            <w:hideMark/>
          </w:tcPr>
          <w:p w14:paraId="1BA398B3" w14:textId="77777777" w:rsidR="00F11E01" w:rsidRPr="003E76E7" w:rsidRDefault="00F11E01" w:rsidP="00C4292D">
            <w:pPr>
              <w:spacing w:line="252" w:lineRule="auto"/>
              <w:rPr>
                <w:rFonts w:eastAsia="Calibri"/>
                <w:szCs w:val="20"/>
                <w:lang w:val="en-AU" w:eastAsia="en-US"/>
              </w:rPr>
            </w:pPr>
            <w:r w:rsidRPr="003E76E7">
              <w:rPr>
                <w:rFonts w:eastAsia="Calibri"/>
                <w:szCs w:val="20"/>
                <w:lang w:val="en-AU" w:eastAsia="en-US"/>
              </w:rPr>
              <w:t>Contributes to Outcome 1 through the provision of budget and commercial advice for the delivery of nuclear-powered submarine capabilities.</w:t>
            </w:r>
          </w:p>
        </w:tc>
      </w:tr>
    </w:tbl>
    <w:p w14:paraId="422B9210" w14:textId="77777777" w:rsidR="00F11E01" w:rsidRPr="003E76E7" w:rsidRDefault="00F11E01" w:rsidP="00C4292D">
      <w:pPr>
        <w:keepNext/>
        <w:spacing w:before="0" w:after="0"/>
        <w:rPr>
          <w:rFonts w:cs="Times New Roman"/>
          <w:caps/>
          <w:szCs w:val="20"/>
          <w:lang w:val="en-AU" w:eastAsia="en-US"/>
        </w:rPr>
      </w:pPr>
    </w:p>
    <w:p w14:paraId="0979C4E2" w14:textId="77777777" w:rsidR="00616F2B" w:rsidRPr="003E76E7" w:rsidRDefault="00616F2B" w:rsidP="00C4292D">
      <w:r w:rsidRPr="003E76E7">
        <w:br w:type="page"/>
      </w:r>
    </w:p>
    <w:tbl>
      <w:tblPr>
        <w:tblW w:w="5000" w:type="pct"/>
        <w:tblInd w:w="113"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4A0" w:firstRow="1" w:lastRow="0" w:firstColumn="1" w:lastColumn="0" w:noHBand="0" w:noVBand="1"/>
      </w:tblPr>
      <w:tblGrid>
        <w:gridCol w:w="8608"/>
      </w:tblGrid>
      <w:tr w:rsidR="00F11E01" w:rsidRPr="003E76E7" w14:paraId="0D0A7ADF" w14:textId="77777777" w:rsidTr="00812D82">
        <w:trPr>
          <w:cantSplit/>
          <w:trHeight w:val="113"/>
        </w:trPr>
        <w:tc>
          <w:tcPr>
            <w:tcW w:w="5000" w:type="pct"/>
            <w:tcBorders>
              <w:top w:val="single" w:sz="4" w:space="0" w:color="auto"/>
              <w:left w:val="single" w:sz="4" w:space="0" w:color="auto"/>
              <w:bottom w:val="dotted" w:sz="4" w:space="0" w:color="auto"/>
              <w:right w:val="single" w:sz="4" w:space="0" w:color="auto"/>
            </w:tcBorders>
            <w:hideMark/>
          </w:tcPr>
          <w:p w14:paraId="675A44B3" w14:textId="588F3890" w:rsidR="00F11E01" w:rsidRPr="003E76E7" w:rsidRDefault="00F11E01" w:rsidP="00C4292D">
            <w:pPr>
              <w:rPr>
                <w:b/>
                <w:szCs w:val="20"/>
              </w:rPr>
            </w:pPr>
            <w:r w:rsidRPr="003E76E7">
              <w:rPr>
                <w:b/>
                <w:szCs w:val="20"/>
              </w:rPr>
              <w:lastRenderedPageBreak/>
              <w:t>Department of Foreign Affairs and Trade</w:t>
            </w:r>
          </w:p>
        </w:tc>
      </w:tr>
      <w:tr w:rsidR="00F11E01" w:rsidRPr="003E76E7" w14:paraId="5192093D" w14:textId="77777777" w:rsidTr="00812D82">
        <w:trPr>
          <w:cantSplit/>
          <w:trHeight w:val="113"/>
        </w:trPr>
        <w:tc>
          <w:tcPr>
            <w:tcW w:w="5000" w:type="pct"/>
            <w:tcBorders>
              <w:top w:val="dotted" w:sz="4" w:space="0" w:color="auto"/>
              <w:left w:val="single" w:sz="4" w:space="0" w:color="auto"/>
              <w:bottom w:val="dotted" w:sz="4" w:space="0" w:color="auto"/>
              <w:right w:val="single" w:sz="4" w:space="0" w:color="auto"/>
            </w:tcBorders>
            <w:hideMark/>
          </w:tcPr>
          <w:p w14:paraId="66186971" w14:textId="11DBA495" w:rsidR="00F11E01" w:rsidRPr="003E76E7" w:rsidRDefault="00F11E01" w:rsidP="00C4292D">
            <w:pPr>
              <w:rPr>
                <w:szCs w:val="20"/>
              </w:rPr>
            </w:pPr>
            <w:r w:rsidRPr="003E76E7">
              <w:rPr>
                <w:szCs w:val="20"/>
              </w:rPr>
              <w:t xml:space="preserve">Program 1.8 </w:t>
            </w:r>
            <w:r w:rsidR="00722810" w:rsidRPr="003E76E7">
              <w:rPr>
                <w:szCs w:val="20"/>
              </w:rPr>
              <w:t>-</w:t>
            </w:r>
            <w:r w:rsidRPr="003E76E7">
              <w:rPr>
                <w:szCs w:val="20"/>
              </w:rPr>
              <w:t xml:space="preserve"> Nuclear-Powered Submarine Program.</w:t>
            </w:r>
          </w:p>
        </w:tc>
      </w:tr>
      <w:tr w:rsidR="00F11E01" w:rsidRPr="003E76E7" w14:paraId="498AA2FB" w14:textId="77777777" w:rsidTr="00812D82">
        <w:trPr>
          <w:cantSplit/>
          <w:trHeight w:val="113"/>
        </w:trPr>
        <w:tc>
          <w:tcPr>
            <w:tcW w:w="5000" w:type="pct"/>
            <w:tcBorders>
              <w:top w:val="dotted" w:sz="4" w:space="0" w:color="auto"/>
              <w:left w:val="single" w:sz="4" w:space="0" w:color="auto"/>
              <w:bottom w:val="dotted" w:sz="4" w:space="0" w:color="auto"/>
              <w:right w:val="single" w:sz="4" w:space="0" w:color="auto"/>
            </w:tcBorders>
            <w:hideMark/>
          </w:tcPr>
          <w:p w14:paraId="6A79464B" w14:textId="77777777" w:rsidR="00F11E01" w:rsidRPr="003E76E7" w:rsidRDefault="00F11E01" w:rsidP="00C4292D">
            <w:pPr>
              <w:rPr>
                <w:b/>
                <w:szCs w:val="20"/>
              </w:rPr>
            </w:pPr>
            <w:r w:rsidRPr="003E76E7">
              <w:rPr>
                <w:b/>
                <w:szCs w:val="20"/>
              </w:rPr>
              <w:t>Contribution to Outcome 1 by linked programs</w:t>
            </w:r>
          </w:p>
        </w:tc>
      </w:tr>
      <w:tr w:rsidR="00F11E01" w:rsidRPr="003E76E7" w14:paraId="71015385" w14:textId="77777777" w:rsidTr="00812D82">
        <w:trPr>
          <w:cantSplit/>
          <w:trHeight w:val="113"/>
        </w:trPr>
        <w:tc>
          <w:tcPr>
            <w:tcW w:w="5000" w:type="pct"/>
            <w:tcBorders>
              <w:top w:val="dotted" w:sz="4" w:space="0" w:color="auto"/>
              <w:left w:val="single" w:sz="4" w:space="0" w:color="auto"/>
              <w:bottom w:val="single" w:sz="4" w:space="0" w:color="auto"/>
              <w:right w:val="single" w:sz="4" w:space="0" w:color="auto"/>
            </w:tcBorders>
            <w:hideMark/>
          </w:tcPr>
          <w:p w14:paraId="669B5B10" w14:textId="46AEC997" w:rsidR="00F11E01" w:rsidRPr="003E76E7" w:rsidRDefault="0095071F" w:rsidP="00C4292D">
            <w:pPr>
              <w:rPr>
                <w:szCs w:val="20"/>
              </w:rPr>
            </w:pPr>
            <w:r w:rsidRPr="003E76E7">
              <w:rPr>
                <w:szCs w:val="20"/>
              </w:rPr>
              <w:t>The Department of Foreign Affairs and Trade including the</w:t>
            </w:r>
            <w:r w:rsidR="00733DB1">
              <w:rPr>
                <w:szCs w:val="20"/>
              </w:rPr>
              <w:t xml:space="preserve"> Australian Safeguards and Non</w:t>
            </w:r>
            <w:r w:rsidR="00733DB1">
              <w:rPr>
                <w:szCs w:val="20"/>
              </w:rPr>
              <w:noBreakHyphen/>
              <w:t>P</w:t>
            </w:r>
            <w:r w:rsidRPr="003E76E7">
              <w:rPr>
                <w:szCs w:val="20"/>
              </w:rPr>
              <w:t xml:space="preserve">roliferation Office provides the legal, policy and diplomatic capability, and </w:t>
            </w:r>
            <w:r w:rsidR="00DD77F2" w:rsidRPr="003E76E7">
              <w:rPr>
                <w:szCs w:val="20"/>
              </w:rPr>
              <w:br/>
            </w:r>
            <w:r w:rsidRPr="003E76E7">
              <w:rPr>
                <w:szCs w:val="20"/>
              </w:rPr>
              <w:t>regulatory oversight for nuclear safeguards and security, necessary to support Australia’s acquisition of conventionally-armed</w:t>
            </w:r>
            <w:r w:rsidR="00582495" w:rsidRPr="003E76E7">
              <w:rPr>
                <w:szCs w:val="20"/>
              </w:rPr>
              <w:t>,</w:t>
            </w:r>
            <w:r w:rsidRPr="003E76E7">
              <w:rPr>
                <w:szCs w:val="20"/>
              </w:rPr>
              <w:t xml:space="preserve"> nuclear-powered submarines, while setting the highest non-proliferation standards.</w:t>
            </w:r>
          </w:p>
        </w:tc>
      </w:tr>
    </w:tbl>
    <w:p w14:paraId="0A8FF1B6" w14:textId="46A2CBE2" w:rsidR="00722810" w:rsidRPr="003E76E7" w:rsidRDefault="00722810" w:rsidP="00C4292D">
      <w:pPr>
        <w:spacing w:before="0" w:after="0"/>
        <w:rPr>
          <w:lang w:val="en-AU"/>
        </w:rPr>
      </w:pPr>
    </w:p>
    <w:tbl>
      <w:tblPr>
        <w:tblW w:w="5000" w:type="pct"/>
        <w:tblInd w:w="113"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4A0" w:firstRow="1" w:lastRow="0" w:firstColumn="1" w:lastColumn="0" w:noHBand="0" w:noVBand="1"/>
      </w:tblPr>
      <w:tblGrid>
        <w:gridCol w:w="8608"/>
      </w:tblGrid>
      <w:tr w:rsidR="00722810" w:rsidRPr="003E76E7" w14:paraId="607876B9" w14:textId="77777777" w:rsidTr="003746BF">
        <w:trPr>
          <w:trHeight w:val="113"/>
        </w:trPr>
        <w:tc>
          <w:tcPr>
            <w:tcW w:w="5000" w:type="pct"/>
            <w:tcBorders>
              <w:top w:val="single" w:sz="4" w:space="0" w:color="auto"/>
              <w:left w:val="single" w:sz="4" w:space="0" w:color="auto"/>
              <w:bottom w:val="dotted" w:sz="4" w:space="0" w:color="auto"/>
              <w:right w:val="single" w:sz="4" w:space="0" w:color="auto"/>
            </w:tcBorders>
            <w:hideMark/>
          </w:tcPr>
          <w:p w14:paraId="35A6F101" w14:textId="77777777" w:rsidR="00722810" w:rsidRPr="003E76E7" w:rsidRDefault="00722810" w:rsidP="00C4292D">
            <w:pPr>
              <w:rPr>
                <w:b/>
                <w:i/>
                <w:szCs w:val="20"/>
              </w:rPr>
            </w:pPr>
            <w:r w:rsidRPr="003E76E7">
              <w:rPr>
                <w:szCs w:val="20"/>
              </w:rPr>
              <w:br w:type="page"/>
            </w:r>
            <w:r w:rsidRPr="003E76E7">
              <w:rPr>
                <w:rFonts w:eastAsia="Calibri"/>
                <w:b/>
                <w:szCs w:val="20"/>
                <w:lang w:val="en-AU"/>
              </w:rPr>
              <w:t>Department of Industry, Science and Resources</w:t>
            </w:r>
          </w:p>
        </w:tc>
      </w:tr>
      <w:tr w:rsidR="00722810" w:rsidRPr="003E76E7" w14:paraId="3802B781" w14:textId="77777777" w:rsidTr="003746BF">
        <w:trPr>
          <w:trHeight w:val="113"/>
        </w:trPr>
        <w:tc>
          <w:tcPr>
            <w:tcW w:w="5000" w:type="pct"/>
            <w:tcBorders>
              <w:top w:val="dotted" w:sz="4" w:space="0" w:color="auto"/>
              <w:left w:val="single" w:sz="4" w:space="0" w:color="auto"/>
              <w:bottom w:val="dotted" w:sz="4" w:space="0" w:color="auto"/>
              <w:right w:val="single" w:sz="4" w:space="0" w:color="auto"/>
            </w:tcBorders>
            <w:hideMark/>
          </w:tcPr>
          <w:p w14:paraId="086F7C5D" w14:textId="77777777" w:rsidR="00722810" w:rsidRPr="003E76E7" w:rsidRDefault="00722810" w:rsidP="00C4292D">
            <w:pPr>
              <w:rPr>
                <w:szCs w:val="20"/>
              </w:rPr>
            </w:pPr>
            <w:r w:rsidRPr="003E76E7">
              <w:rPr>
                <w:szCs w:val="20"/>
              </w:rPr>
              <w:t>Program 1.4 - Nuclear-Powered Submarines.</w:t>
            </w:r>
          </w:p>
        </w:tc>
      </w:tr>
      <w:tr w:rsidR="00722810" w:rsidRPr="003E76E7" w14:paraId="3F931F74" w14:textId="77777777" w:rsidTr="003746BF">
        <w:trPr>
          <w:trHeight w:val="113"/>
        </w:trPr>
        <w:tc>
          <w:tcPr>
            <w:tcW w:w="5000" w:type="pct"/>
            <w:tcBorders>
              <w:top w:val="dotted" w:sz="4" w:space="0" w:color="auto"/>
              <w:left w:val="single" w:sz="4" w:space="0" w:color="auto"/>
              <w:bottom w:val="dotted" w:sz="4" w:space="0" w:color="auto"/>
              <w:right w:val="single" w:sz="4" w:space="0" w:color="auto"/>
            </w:tcBorders>
            <w:hideMark/>
          </w:tcPr>
          <w:p w14:paraId="5B46A0C9" w14:textId="77777777" w:rsidR="00722810" w:rsidRPr="003E76E7" w:rsidRDefault="00722810" w:rsidP="00C4292D">
            <w:pPr>
              <w:rPr>
                <w:b/>
                <w:szCs w:val="20"/>
              </w:rPr>
            </w:pPr>
            <w:r w:rsidRPr="003E76E7">
              <w:rPr>
                <w:b/>
                <w:szCs w:val="20"/>
              </w:rPr>
              <w:t>Contribution to Outcome 1 by linked program</w:t>
            </w:r>
          </w:p>
        </w:tc>
      </w:tr>
      <w:tr w:rsidR="00722810" w:rsidRPr="003E76E7" w14:paraId="1A05E3FD" w14:textId="77777777" w:rsidTr="003746BF">
        <w:trPr>
          <w:trHeight w:val="113"/>
        </w:trPr>
        <w:tc>
          <w:tcPr>
            <w:tcW w:w="5000" w:type="pct"/>
            <w:tcBorders>
              <w:top w:val="dotted" w:sz="4" w:space="0" w:color="auto"/>
              <w:left w:val="single" w:sz="4" w:space="0" w:color="auto"/>
              <w:bottom w:val="single" w:sz="4" w:space="0" w:color="auto"/>
              <w:right w:val="single" w:sz="4" w:space="0" w:color="auto"/>
            </w:tcBorders>
            <w:hideMark/>
          </w:tcPr>
          <w:p w14:paraId="0A2A7637" w14:textId="61AF1F99" w:rsidR="00722810" w:rsidRPr="003E76E7" w:rsidRDefault="00722810" w:rsidP="00C4292D">
            <w:pPr>
              <w:rPr>
                <w:rFonts w:ascii="Calibri" w:hAnsi="Calibri" w:cs="Calibri"/>
                <w:color w:val="1F497D"/>
                <w:szCs w:val="22"/>
                <w:lang w:val="en-AU"/>
              </w:rPr>
            </w:pPr>
            <w:r w:rsidRPr="003E76E7">
              <w:rPr>
                <w:szCs w:val="20"/>
                <w:bdr w:val="none" w:sz="0" w:space="0" w:color="auto" w:frame="1"/>
              </w:rPr>
              <w:t xml:space="preserve">The Department of Industry, Science and Resources, through the Australian Radioactive Waste Agency and the Australian Nuclear Science and Technology Organisation, provides expert advice to support Agency’s conventionally-armed, </w:t>
            </w:r>
            <w:r w:rsidR="001B32CE">
              <w:rPr>
                <w:szCs w:val="20"/>
                <w:bdr w:val="none" w:sz="0" w:space="0" w:color="auto" w:frame="1"/>
              </w:rPr>
              <w:t>N</w:t>
            </w:r>
            <w:r w:rsidRPr="003E76E7">
              <w:rPr>
                <w:szCs w:val="20"/>
                <w:bdr w:val="none" w:sz="0" w:space="0" w:color="auto" w:frame="1"/>
              </w:rPr>
              <w:t>uclear</w:t>
            </w:r>
            <w:r w:rsidR="001B32CE">
              <w:rPr>
                <w:szCs w:val="20"/>
                <w:bdr w:val="none" w:sz="0" w:space="0" w:color="auto" w:frame="1"/>
              </w:rPr>
              <w:t>-Powered</w:t>
            </w:r>
            <w:r w:rsidRPr="003E76E7">
              <w:rPr>
                <w:szCs w:val="20"/>
                <w:bdr w:val="none" w:sz="0" w:space="0" w:color="auto" w:frame="1"/>
              </w:rPr>
              <w:t xml:space="preserve"> </w:t>
            </w:r>
            <w:r w:rsidR="001B32CE">
              <w:rPr>
                <w:szCs w:val="20"/>
                <w:bdr w:val="none" w:sz="0" w:space="0" w:color="auto" w:frame="1"/>
              </w:rPr>
              <w:t>S</w:t>
            </w:r>
            <w:r w:rsidRPr="003E76E7">
              <w:rPr>
                <w:szCs w:val="20"/>
                <w:bdr w:val="none" w:sz="0" w:space="0" w:color="auto" w:frame="1"/>
              </w:rPr>
              <w:t>ubmarine</w:t>
            </w:r>
            <w:r w:rsidR="001B32CE">
              <w:rPr>
                <w:szCs w:val="20"/>
                <w:bdr w:val="none" w:sz="0" w:space="0" w:color="auto" w:frame="1"/>
              </w:rPr>
              <w:t xml:space="preserve"> P</w:t>
            </w:r>
            <w:r w:rsidRPr="003E76E7">
              <w:rPr>
                <w:szCs w:val="20"/>
                <w:bdr w:val="none" w:sz="0" w:space="0" w:color="auto" w:frame="1"/>
              </w:rPr>
              <w:t>rogram.</w:t>
            </w:r>
          </w:p>
        </w:tc>
      </w:tr>
    </w:tbl>
    <w:p w14:paraId="6E748660" w14:textId="4098BE2C" w:rsidR="00722810" w:rsidRPr="003E76E7" w:rsidRDefault="00722810" w:rsidP="00C4292D">
      <w:pPr>
        <w:pStyle w:val="BodyText"/>
        <w:rPr>
          <w:lang w:val="en-AU"/>
        </w:rPr>
      </w:pPr>
    </w:p>
    <w:p w14:paraId="3EC46E62" w14:textId="77777777" w:rsidR="00761824" w:rsidRPr="003E76E7" w:rsidRDefault="00761824" w:rsidP="00C4292D">
      <w:pPr>
        <w:pStyle w:val="BodyText"/>
        <w:rPr>
          <w:rFonts w:ascii="Arial" w:hAnsi="Arial"/>
          <w:b/>
        </w:rPr>
      </w:pPr>
      <w:r w:rsidRPr="003E76E7">
        <w:rPr>
          <w:lang w:val="en-AU"/>
        </w:rPr>
        <w:br w:type="page"/>
      </w:r>
      <w:bookmarkStart w:id="1786" w:name="_Toc159499717"/>
      <w:bookmarkStart w:id="1787" w:name="_Toc159859135"/>
      <w:bookmarkStart w:id="1788" w:name="_Toc159859287"/>
      <w:bookmarkStart w:id="1789" w:name="_Toc222129958"/>
      <w:r w:rsidR="00F93920" w:rsidRPr="003E76E7">
        <w:rPr>
          <w:rFonts w:ascii="Arial" w:hAnsi="Arial"/>
          <w:b/>
          <w:sz w:val="22"/>
        </w:rPr>
        <w:lastRenderedPageBreak/>
        <w:t xml:space="preserve">Budgeted </w:t>
      </w:r>
      <w:r w:rsidRPr="003E76E7">
        <w:rPr>
          <w:rFonts w:ascii="Arial" w:hAnsi="Arial"/>
          <w:b/>
          <w:sz w:val="22"/>
        </w:rPr>
        <w:t>Expense</w:t>
      </w:r>
      <w:r w:rsidR="00F93920" w:rsidRPr="003E76E7">
        <w:rPr>
          <w:rFonts w:ascii="Arial" w:hAnsi="Arial"/>
          <w:b/>
          <w:sz w:val="22"/>
        </w:rPr>
        <w:t>s</w:t>
      </w:r>
      <w:r w:rsidRPr="003E76E7">
        <w:rPr>
          <w:rFonts w:ascii="Arial" w:hAnsi="Arial"/>
          <w:b/>
          <w:sz w:val="22"/>
        </w:rPr>
        <w:t xml:space="preserve"> </w:t>
      </w:r>
      <w:r w:rsidR="00F93920" w:rsidRPr="003E76E7">
        <w:rPr>
          <w:rFonts w:ascii="Arial" w:hAnsi="Arial"/>
          <w:b/>
          <w:sz w:val="22"/>
        </w:rPr>
        <w:t>for Outcome 1</w:t>
      </w:r>
      <w:bookmarkEnd w:id="1786"/>
      <w:bookmarkEnd w:id="1787"/>
      <w:bookmarkEnd w:id="1788"/>
      <w:bookmarkEnd w:id="1789"/>
    </w:p>
    <w:p w14:paraId="4F389C52" w14:textId="77777777" w:rsidR="00761824" w:rsidRPr="003E76E7" w:rsidRDefault="00761824" w:rsidP="00C4292D">
      <w:pPr>
        <w:pStyle w:val="TableHeading"/>
        <w:numPr>
          <w:ilvl w:val="0"/>
          <w:numId w:val="63"/>
        </w:numPr>
        <w:spacing w:before="100"/>
        <w:ind w:left="0" w:firstLine="0"/>
        <w:outlineLvl w:val="4"/>
      </w:pPr>
      <w:r w:rsidRPr="003E76E7">
        <w:t>Budgeted Expenses for Outcome 1</w:t>
      </w:r>
    </w:p>
    <w:p w14:paraId="57A22D2E" w14:textId="2F74A891" w:rsidR="00616F2B" w:rsidRPr="003E76E7" w:rsidRDefault="00AF53FA" w:rsidP="00C4292D">
      <w:pPr>
        <w:tabs>
          <w:tab w:val="left" w:pos="284"/>
        </w:tabs>
        <w:spacing w:after="0"/>
        <w:rPr>
          <w:rFonts w:ascii="Arial" w:hAnsi="Arial"/>
          <w:b/>
          <w:sz w:val="14"/>
          <w:szCs w:val="14"/>
        </w:rPr>
      </w:pPr>
      <w:r w:rsidRPr="003E76E7">
        <w:rPr>
          <w:noProof/>
          <w:lang w:val="en-AU"/>
        </w:rPr>
        <w:drawing>
          <wp:inline distT="0" distB="0" distL="0" distR="0" wp14:anchorId="42D655B5" wp14:editId="28826A2E">
            <wp:extent cx="5472430" cy="3495838"/>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472430" cy="3495838"/>
                    </a:xfrm>
                    <a:prstGeom prst="rect">
                      <a:avLst/>
                    </a:prstGeom>
                    <a:noFill/>
                    <a:ln>
                      <a:noFill/>
                    </a:ln>
                  </pic:spPr>
                </pic:pic>
              </a:graphicData>
            </a:graphic>
          </wp:inline>
        </w:drawing>
      </w:r>
    </w:p>
    <w:p w14:paraId="28C7E418" w14:textId="77777777" w:rsidR="00863B4D" w:rsidRPr="003E76E7" w:rsidRDefault="00863B4D" w:rsidP="00C4292D">
      <w:pPr>
        <w:tabs>
          <w:tab w:val="left" w:pos="284"/>
        </w:tabs>
        <w:spacing w:before="0" w:after="0"/>
        <w:rPr>
          <w:rFonts w:ascii="Arial" w:hAnsi="Arial"/>
          <w:b/>
          <w:sz w:val="14"/>
          <w:szCs w:val="14"/>
        </w:rPr>
      </w:pPr>
    </w:p>
    <w:p w14:paraId="03AC1801" w14:textId="77777777" w:rsidR="00616F2B" w:rsidRPr="003E76E7" w:rsidRDefault="00616F2B" w:rsidP="00C4292D">
      <w:pPr>
        <w:spacing w:before="0" w:after="0"/>
        <w:rPr>
          <w:rFonts w:ascii="Arial" w:hAnsi="Arial"/>
          <w:b/>
          <w:sz w:val="14"/>
          <w:szCs w:val="14"/>
        </w:rPr>
      </w:pPr>
      <w:r w:rsidRPr="003E76E7">
        <w:rPr>
          <w:rFonts w:ascii="Arial" w:hAnsi="Arial"/>
          <w:b/>
          <w:sz w:val="14"/>
          <w:szCs w:val="14"/>
        </w:rPr>
        <w:t>Notes</w:t>
      </w:r>
    </w:p>
    <w:p w14:paraId="7C218D1D" w14:textId="77777777" w:rsidR="00616F2B" w:rsidRPr="003E76E7" w:rsidRDefault="00616F2B" w:rsidP="00C4292D">
      <w:pPr>
        <w:tabs>
          <w:tab w:val="left" w:pos="284"/>
        </w:tabs>
        <w:spacing w:before="0" w:after="0"/>
        <w:ind w:left="284" w:hanging="284"/>
        <w:rPr>
          <w:rFonts w:ascii="Arial" w:hAnsi="Arial"/>
          <w:sz w:val="14"/>
          <w:szCs w:val="14"/>
        </w:rPr>
      </w:pPr>
      <w:r w:rsidRPr="003E76E7">
        <w:rPr>
          <w:rFonts w:ascii="Arial" w:hAnsi="Arial"/>
          <w:sz w:val="14"/>
          <w:szCs w:val="14"/>
        </w:rPr>
        <w:t>a.</w:t>
      </w:r>
      <w:r w:rsidRPr="003E76E7">
        <w:rPr>
          <w:rFonts w:ascii="Arial" w:hAnsi="Arial"/>
          <w:sz w:val="14"/>
          <w:szCs w:val="14"/>
        </w:rPr>
        <w:tab/>
      </w:r>
      <w:r w:rsidRPr="003E76E7">
        <w:rPr>
          <w:rFonts w:ascii="Arial" w:hAnsi="Arial"/>
          <w:sz w:val="14"/>
          <w:szCs w:val="14"/>
        </w:rPr>
        <w:tab/>
        <w:t>Section 74 external revenues contribution to expenditure.</w:t>
      </w:r>
      <w:r w:rsidRPr="003E76E7">
        <w:rPr>
          <w:rFonts w:ascii="Arial" w:hAnsi="Arial"/>
          <w:sz w:val="14"/>
          <w:szCs w:val="14"/>
        </w:rPr>
        <w:tab/>
      </w:r>
      <w:r w:rsidRPr="003E76E7">
        <w:rPr>
          <w:rFonts w:ascii="Arial" w:hAnsi="Arial"/>
          <w:sz w:val="14"/>
          <w:szCs w:val="14"/>
        </w:rPr>
        <w:tab/>
      </w:r>
      <w:r w:rsidRPr="003E76E7">
        <w:rPr>
          <w:rFonts w:ascii="Arial" w:hAnsi="Arial"/>
          <w:sz w:val="14"/>
          <w:szCs w:val="14"/>
        </w:rPr>
        <w:tab/>
      </w:r>
      <w:r w:rsidRPr="003E76E7">
        <w:rPr>
          <w:rFonts w:ascii="Arial" w:hAnsi="Arial"/>
          <w:sz w:val="14"/>
          <w:szCs w:val="14"/>
        </w:rPr>
        <w:tab/>
      </w:r>
      <w:r w:rsidRPr="003E76E7">
        <w:rPr>
          <w:rFonts w:ascii="Arial" w:hAnsi="Arial"/>
          <w:sz w:val="14"/>
          <w:szCs w:val="14"/>
        </w:rPr>
        <w:tab/>
      </w:r>
    </w:p>
    <w:p w14:paraId="2E2F9EED" w14:textId="77777777" w:rsidR="00616F2B" w:rsidRPr="003E76E7" w:rsidRDefault="00616F2B" w:rsidP="00C4292D">
      <w:pPr>
        <w:tabs>
          <w:tab w:val="left" w:pos="284"/>
        </w:tabs>
        <w:spacing w:before="0" w:after="0"/>
        <w:ind w:left="284" w:hanging="284"/>
        <w:rPr>
          <w:rFonts w:ascii="Arial" w:hAnsi="Arial"/>
          <w:sz w:val="14"/>
          <w:szCs w:val="14"/>
        </w:rPr>
      </w:pPr>
      <w:r w:rsidRPr="003E76E7">
        <w:rPr>
          <w:rFonts w:ascii="Arial" w:hAnsi="Arial"/>
          <w:sz w:val="14"/>
          <w:szCs w:val="14"/>
        </w:rPr>
        <w:t>b.</w:t>
      </w:r>
      <w:r w:rsidRPr="003E76E7">
        <w:rPr>
          <w:rFonts w:ascii="Arial" w:hAnsi="Arial"/>
          <w:sz w:val="14"/>
          <w:szCs w:val="14"/>
        </w:rPr>
        <w:tab/>
        <w:t>Expenses not requiring appropriation include depreciation, write-down and impairment of assets, other resources received free of charge, and auditor fees.</w:t>
      </w:r>
      <w:r w:rsidRPr="003E76E7">
        <w:rPr>
          <w:rFonts w:ascii="Arial" w:hAnsi="Arial"/>
          <w:sz w:val="14"/>
          <w:szCs w:val="14"/>
        </w:rPr>
        <w:tab/>
      </w:r>
      <w:r w:rsidRPr="003E76E7">
        <w:rPr>
          <w:rFonts w:ascii="Arial" w:hAnsi="Arial"/>
          <w:sz w:val="14"/>
          <w:szCs w:val="14"/>
        </w:rPr>
        <w:tab/>
      </w:r>
      <w:r w:rsidRPr="003E76E7">
        <w:rPr>
          <w:rFonts w:ascii="Arial" w:hAnsi="Arial"/>
          <w:sz w:val="14"/>
          <w:szCs w:val="14"/>
        </w:rPr>
        <w:tab/>
      </w:r>
      <w:r w:rsidRPr="003E76E7">
        <w:rPr>
          <w:rFonts w:ascii="Arial" w:hAnsi="Arial"/>
          <w:sz w:val="14"/>
          <w:szCs w:val="14"/>
        </w:rPr>
        <w:tab/>
      </w:r>
      <w:r w:rsidRPr="003E76E7">
        <w:rPr>
          <w:rFonts w:ascii="Arial" w:hAnsi="Arial"/>
          <w:sz w:val="14"/>
          <w:szCs w:val="14"/>
        </w:rPr>
        <w:tab/>
      </w:r>
    </w:p>
    <w:p w14:paraId="73F0BAA5" w14:textId="4878A0DF" w:rsidR="00616F2B" w:rsidRPr="003E76E7" w:rsidRDefault="00616F2B" w:rsidP="00C4292D">
      <w:pPr>
        <w:tabs>
          <w:tab w:val="left" w:pos="284"/>
        </w:tabs>
        <w:spacing w:before="0" w:after="0"/>
        <w:ind w:left="284" w:hanging="284"/>
        <w:rPr>
          <w:rFonts w:ascii="Arial" w:hAnsi="Arial"/>
          <w:sz w:val="14"/>
          <w:szCs w:val="14"/>
        </w:rPr>
      </w:pPr>
      <w:r w:rsidRPr="003E76E7">
        <w:rPr>
          <w:rFonts w:ascii="Arial" w:hAnsi="Arial"/>
          <w:sz w:val="14"/>
          <w:szCs w:val="14"/>
        </w:rPr>
        <w:t>c.</w:t>
      </w:r>
      <w:r w:rsidRPr="003E76E7">
        <w:rPr>
          <w:rFonts w:ascii="Arial" w:hAnsi="Arial"/>
          <w:sz w:val="14"/>
          <w:szCs w:val="14"/>
        </w:rPr>
        <w:tab/>
        <w:t xml:space="preserve">Total </w:t>
      </w:r>
      <w:r w:rsidR="00031B14" w:rsidRPr="003E76E7">
        <w:rPr>
          <w:rFonts w:ascii="Arial" w:hAnsi="Arial"/>
          <w:sz w:val="14"/>
          <w:szCs w:val="14"/>
        </w:rPr>
        <w:t xml:space="preserve">program </w:t>
      </w:r>
      <w:r w:rsidRPr="003E76E7">
        <w:rPr>
          <w:rFonts w:ascii="Arial" w:hAnsi="Arial"/>
          <w:sz w:val="14"/>
          <w:szCs w:val="14"/>
        </w:rPr>
        <w:t>funded expenditure includes operating expenses and capital expenditure funded by appropriation and own source revenue. This excludes expenses not requiring appropriation.</w:t>
      </w:r>
      <w:r w:rsidRPr="003E76E7">
        <w:rPr>
          <w:rFonts w:ascii="Arial" w:hAnsi="Arial"/>
          <w:sz w:val="14"/>
          <w:szCs w:val="14"/>
        </w:rPr>
        <w:tab/>
      </w:r>
      <w:r w:rsidRPr="003E76E7">
        <w:rPr>
          <w:rFonts w:ascii="Arial" w:hAnsi="Arial"/>
          <w:sz w:val="14"/>
          <w:szCs w:val="14"/>
        </w:rPr>
        <w:tab/>
      </w:r>
      <w:r w:rsidRPr="003E76E7">
        <w:rPr>
          <w:rFonts w:ascii="Arial" w:hAnsi="Arial"/>
          <w:sz w:val="14"/>
          <w:szCs w:val="14"/>
        </w:rPr>
        <w:tab/>
      </w:r>
      <w:r w:rsidRPr="003E76E7">
        <w:rPr>
          <w:rFonts w:ascii="Arial" w:hAnsi="Arial"/>
          <w:sz w:val="14"/>
          <w:szCs w:val="14"/>
        </w:rPr>
        <w:tab/>
      </w:r>
      <w:r w:rsidRPr="003E76E7">
        <w:rPr>
          <w:rFonts w:ascii="Arial" w:hAnsi="Arial"/>
          <w:sz w:val="14"/>
          <w:szCs w:val="14"/>
        </w:rPr>
        <w:tab/>
      </w:r>
    </w:p>
    <w:p w14:paraId="0317B4B7" w14:textId="3F5ADCC5" w:rsidR="00863B4D" w:rsidRPr="003E76E7" w:rsidRDefault="00863B4D" w:rsidP="00C4292D">
      <w:pPr>
        <w:tabs>
          <w:tab w:val="left" w:pos="284"/>
        </w:tabs>
        <w:spacing w:before="0" w:after="0"/>
        <w:ind w:left="284" w:hanging="284"/>
        <w:rPr>
          <w:rFonts w:ascii="Arial" w:hAnsi="Arial"/>
          <w:sz w:val="14"/>
          <w:szCs w:val="14"/>
        </w:rPr>
      </w:pPr>
    </w:p>
    <w:p w14:paraId="1BD43FDE" w14:textId="77777777" w:rsidR="00863B4D" w:rsidRPr="003E76E7" w:rsidRDefault="00863B4D" w:rsidP="00C4292D">
      <w:pPr>
        <w:tabs>
          <w:tab w:val="left" w:pos="284"/>
        </w:tabs>
        <w:spacing w:before="0" w:after="0"/>
        <w:rPr>
          <w:rFonts w:ascii="Arial" w:hAnsi="Arial"/>
          <w:sz w:val="14"/>
          <w:szCs w:val="14"/>
        </w:rPr>
      </w:pPr>
    </w:p>
    <w:p w14:paraId="76DE0392" w14:textId="77777777" w:rsidR="0095071F" w:rsidRPr="003E76E7" w:rsidRDefault="0095071F" w:rsidP="00C4292D">
      <w:pPr>
        <w:tabs>
          <w:tab w:val="left" w:pos="284"/>
        </w:tabs>
        <w:spacing w:before="0" w:after="0"/>
        <w:rPr>
          <w:rFonts w:ascii="Arial" w:hAnsi="Arial"/>
          <w:sz w:val="14"/>
          <w:szCs w:val="14"/>
        </w:rPr>
      </w:pPr>
    </w:p>
    <w:p w14:paraId="3E3BFB64" w14:textId="77777777" w:rsidR="00F93920" w:rsidRPr="003E76E7" w:rsidRDefault="00761824" w:rsidP="00C4292D">
      <w:pPr>
        <w:pStyle w:val="TableHeading"/>
        <w:numPr>
          <w:ilvl w:val="0"/>
          <w:numId w:val="63"/>
        </w:numPr>
        <w:spacing w:before="100"/>
        <w:ind w:left="0" w:firstLine="0"/>
        <w:outlineLvl w:val="4"/>
      </w:pPr>
      <w:r w:rsidRPr="003E76E7">
        <w:rPr>
          <w:lang w:val="en-AU"/>
        </w:rPr>
        <w:br w:type="page"/>
      </w:r>
      <w:r w:rsidR="00F93920" w:rsidRPr="003E76E7">
        <w:lastRenderedPageBreak/>
        <w:t>Performance Measures for Outcome 1</w:t>
      </w:r>
    </w:p>
    <w:p w14:paraId="1E27EED7" w14:textId="08FFE645" w:rsidR="002A2A6C" w:rsidRPr="003E76E7" w:rsidRDefault="00773585" w:rsidP="00C4292D">
      <w:pPr>
        <w:spacing w:before="60" w:after="60" w:line="256" w:lineRule="auto"/>
      </w:pPr>
      <w:r w:rsidRPr="003E76E7">
        <w:t xml:space="preserve">Table 4 details the performance measures for each program associated with Outcome 1. It also provides the related key activities </w:t>
      </w:r>
      <w:r w:rsidRPr="003E76E7">
        <w:rPr>
          <w:lang w:val="en-AU"/>
        </w:rPr>
        <w:t>as</w:t>
      </w:r>
      <w:r w:rsidRPr="003E76E7">
        <w:t xml:space="preserve"> expressed in the current corporate plan where further detail is provided about the delivery of the activities related to the program, the context in which these activities are delivered and how the performance of these activities will be measured. Where relevant, details of 2026-27 Budget </w:t>
      </w:r>
      <w:r w:rsidR="00DE0E57" w:rsidRPr="003E76E7">
        <w:t>M</w:t>
      </w:r>
      <w:r w:rsidRPr="003E76E7">
        <w:t>easures that have created new programs or materially changed existing programs are provided.</w:t>
      </w:r>
    </w:p>
    <w:p w14:paraId="5C31A6A1" w14:textId="77777777" w:rsidR="003655F9" w:rsidRPr="003E76E7" w:rsidRDefault="003655F9" w:rsidP="00C4292D">
      <w:pPr>
        <w:spacing w:before="0" w:after="0" w:line="256" w:lineRule="auto"/>
        <w:rPr>
          <w:sz w:val="4"/>
        </w:rPr>
      </w:pPr>
    </w:p>
    <w:tbl>
      <w:tblPr>
        <w:tblW w:w="8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1883"/>
        <w:gridCol w:w="3340"/>
        <w:gridCol w:w="3565"/>
      </w:tblGrid>
      <w:tr w:rsidR="004D1816" w:rsidRPr="003E76E7" w14:paraId="3920E90B" w14:textId="77777777" w:rsidTr="002150C3">
        <w:tc>
          <w:tcPr>
            <w:tcW w:w="8788" w:type="dxa"/>
            <w:gridSpan w:val="3"/>
            <w:shd w:val="clear" w:color="auto" w:fill="CCCCCC"/>
          </w:tcPr>
          <w:p w14:paraId="434B419C" w14:textId="77777777" w:rsidR="004D1816" w:rsidRPr="003E76E7" w:rsidRDefault="004D1816" w:rsidP="00C4292D">
            <w:pPr>
              <w:pStyle w:val="BodyText"/>
              <w:rPr>
                <w:rFonts w:ascii="Arial" w:hAnsi="Arial"/>
                <w:b/>
                <w:bCs/>
                <w:i/>
                <w:iCs/>
              </w:rPr>
            </w:pPr>
            <w:bookmarkStart w:id="1790" w:name="_Toc222129959"/>
            <w:r w:rsidRPr="003E76E7">
              <w:rPr>
                <w:rFonts w:ascii="Arial" w:hAnsi="Arial"/>
                <w:b/>
              </w:rPr>
              <w:t>Program 1.1: Nuclear-Powered Submarines</w:t>
            </w:r>
            <w:bookmarkEnd w:id="1790"/>
          </w:p>
        </w:tc>
      </w:tr>
      <w:tr w:rsidR="004D1816" w:rsidRPr="003E76E7" w14:paraId="64EA189B" w14:textId="77777777" w:rsidTr="000E1A17">
        <w:trPr>
          <w:cantSplit/>
        </w:trPr>
        <w:tc>
          <w:tcPr>
            <w:tcW w:w="8788" w:type="dxa"/>
            <w:gridSpan w:val="3"/>
            <w:tcBorders>
              <w:bottom w:val="single" w:sz="4" w:space="0" w:color="auto"/>
            </w:tcBorders>
            <w:shd w:val="clear" w:color="auto" w:fill="E6E6E6"/>
          </w:tcPr>
          <w:p w14:paraId="3E993000" w14:textId="77777777" w:rsidR="004D1816" w:rsidRPr="003E76E7" w:rsidRDefault="004D1816" w:rsidP="00C4292D">
            <w:pPr>
              <w:spacing w:before="80" w:after="80"/>
              <w:rPr>
                <w:rFonts w:ascii="Arial" w:hAnsi="Arial"/>
                <w:b/>
                <w:sz w:val="15"/>
                <w:szCs w:val="15"/>
              </w:rPr>
            </w:pPr>
            <w:r w:rsidRPr="003E76E7">
              <w:rPr>
                <w:rFonts w:ascii="Arial" w:hAnsi="Arial"/>
                <w:b/>
                <w:sz w:val="15"/>
                <w:szCs w:val="15"/>
              </w:rPr>
              <w:t>Program 1.1 Objective</w:t>
            </w:r>
          </w:p>
          <w:p w14:paraId="15D34426" w14:textId="1E4B3D02" w:rsidR="004D1816" w:rsidRPr="003E76E7" w:rsidRDefault="00773585" w:rsidP="00C4292D">
            <w:pPr>
              <w:spacing w:before="0" w:after="80"/>
              <w:rPr>
                <w:rFonts w:ascii="Arial" w:hAnsi="Arial"/>
                <w:sz w:val="15"/>
                <w:szCs w:val="15"/>
              </w:rPr>
            </w:pPr>
            <w:r w:rsidRPr="003E76E7">
              <w:rPr>
                <w:rFonts w:ascii="Arial" w:hAnsi="Arial"/>
                <w:iCs/>
                <w:sz w:val="15"/>
                <w:szCs w:val="15"/>
              </w:rPr>
              <w:t>Safely and securely acquire, construct, deliver, technically govern, sustain and dispose of Australia’s conventionally armed nuclear-powered submarine capability, via the AUKUS partnership.</w:t>
            </w:r>
          </w:p>
        </w:tc>
      </w:tr>
      <w:tr w:rsidR="004D1816" w:rsidRPr="003E76E7" w14:paraId="1FFDE281" w14:textId="77777777" w:rsidTr="000E1A17">
        <w:trPr>
          <w:cantSplit/>
          <w:trHeight w:val="312"/>
        </w:trPr>
        <w:tc>
          <w:tcPr>
            <w:tcW w:w="1883" w:type="dxa"/>
            <w:tcBorders>
              <w:bottom w:val="single" w:sz="4" w:space="0" w:color="auto"/>
            </w:tcBorders>
          </w:tcPr>
          <w:p w14:paraId="03BED1FF" w14:textId="6A24C5C3" w:rsidR="004D1816" w:rsidRPr="003E76E7" w:rsidRDefault="004D1816" w:rsidP="00C4292D">
            <w:pPr>
              <w:rPr>
                <w:rFonts w:ascii="Arial" w:hAnsi="Arial"/>
                <w:b/>
                <w:color w:val="000000"/>
                <w:sz w:val="15"/>
                <w:szCs w:val="15"/>
              </w:rPr>
            </w:pPr>
            <w:r w:rsidRPr="003E76E7">
              <w:rPr>
                <w:rFonts w:ascii="Arial" w:hAnsi="Arial"/>
                <w:b/>
                <w:color w:val="000000"/>
                <w:sz w:val="15"/>
                <w:szCs w:val="15"/>
              </w:rPr>
              <w:t>Key Activities</w:t>
            </w:r>
            <w:r w:rsidR="003E174E" w:rsidRPr="003E76E7">
              <w:rPr>
                <w:rFonts w:ascii="Arial" w:hAnsi="Arial"/>
                <w:b/>
                <w:color w:val="000000"/>
                <w:sz w:val="15"/>
                <w:szCs w:val="15"/>
                <w:vertAlign w:val="superscript"/>
              </w:rPr>
              <w:t xml:space="preserve"> [a]</w:t>
            </w:r>
          </w:p>
        </w:tc>
        <w:tc>
          <w:tcPr>
            <w:tcW w:w="6905" w:type="dxa"/>
            <w:gridSpan w:val="2"/>
            <w:tcBorders>
              <w:bottom w:val="single" w:sz="4" w:space="0" w:color="auto"/>
            </w:tcBorders>
          </w:tcPr>
          <w:p w14:paraId="37F9090A" w14:textId="77777777" w:rsidR="00BE1014" w:rsidRPr="003E76E7" w:rsidRDefault="00BE1014" w:rsidP="00C4292D">
            <w:pPr>
              <w:tabs>
                <w:tab w:val="left" w:pos="275"/>
              </w:tabs>
              <w:spacing w:before="80" w:after="80"/>
              <w:rPr>
                <w:b/>
                <w:bCs/>
                <w:sz w:val="15"/>
                <w:szCs w:val="15"/>
              </w:rPr>
            </w:pPr>
            <w:r w:rsidRPr="003E76E7">
              <w:rPr>
                <w:rFonts w:ascii="Arial" w:hAnsi="Arial"/>
                <w:b/>
                <w:color w:val="000000"/>
                <w:sz w:val="15"/>
                <w:szCs w:val="15"/>
              </w:rPr>
              <w:t>This program is achieved through the following activities:</w:t>
            </w:r>
          </w:p>
          <w:p w14:paraId="67DC8CB7" w14:textId="2BCA1D6E" w:rsidR="00BE1014" w:rsidRPr="003E76E7" w:rsidRDefault="003E174E" w:rsidP="00C4292D">
            <w:pPr>
              <w:pStyle w:val="ListParagraph"/>
              <w:numPr>
                <w:ilvl w:val="0"/>
                <w:numId w:val="42"/>
              </w:numPr>
              <w:tabs>
                <w:tab w:val="left" w:pos="275"/>
              </w:tabs>
              <w:spacing w:before="60" w:after="60"/>
              <w:ind w:left="272" w:hanging="283"/>
              <w:rPr>
                <w:rFonts w:ascii="Arial" w:hAnsi="Arial"/>
                <w:color w:val="000000"/>
                <w:sz w:val="15"/>
                <w:szCs w:val="15"/>
              </w:rPr>
            </w:pPr>
            <w:r w:rsidRPr="003E76E7">
              <w:rPr>
                <w:rFonts w:ascii="Arial" w:hAnsi="Arial"/>
                <w:color w:val="000000"/>
                <w:sz w:val="15"/>
                <w:szCs w:val="15"/>
              </w:rPr>
              <w:t>Acquire</w:t>
            </w:r>
            <w:r w:rsidR="007F79A6" w:rsidRPr="003E76E7">
              <w:rPr>
                <w:rFonts w:ascii="Arial" w:hAnsi="Arial"/>
                <w:color w:val="000000"/>
                <w:sz w:val="15"/>
                <w:szCs w:val="15"/>
              </w:rPr>
              <w:t>, construct, sustain and dispose of</w:t>
            </w:r>
            <w:r w:rsidRPr="003E76E7">
              <w:rPr>
                <w:rFonts w:ascii="Arial" w:hAnsi="Arial"/>
                <w:color w:val="000000"/>
                <w:sz w:val="15"/>
                <w:szCs w:val="15"/>
              </w:rPr>
              <w:t xml:space="preserve"> </w:t>
            </w:r>
            <w:r w:rsidR="00BE1014" w:rsidRPr="003E76E7">
              <w:rPr>
                <w:rFonts w:ascii="Arial" w:hAnsi="Arial"/>
                <w:color w:val="000000"/>
                <w:sz w:val="15"/>
                <w:szCs w:val="15"/>
              </w:rPr>
              <w:t>nuclear-powered submarines in accordance with the Optimal Pathway and within government-approved costs in collaboration with AUKUS partners.</w:t>
            </w:r>
          </w:p>
          <w:p w14:paraId="04F75829" w14:textId="368BC06B" w:rsidR="004D1816" w:rsidRPr="003E76E7" w:rsidRDefault="00BE1014" w:rsidP="00C4292D">
            <w:pPr>
              <w:numPr>
                <w:ilvl w:val="0"/>
                <w:numId w:val="42"/>
              </w:numPr>
              <w:tabs>
                <w:tab w:val="left" w:pos="271"/>
              </w:tabs>
              <w:spacing w:before="60" w:after="60" w:line="259" w:lineRule="auto"/>
              <w:ind w:left="272" w:hanging="275"/>
              <w:rPr>
                <w:rFonts w:ascii="Arial" w:hAnsi="Arial"/>
                <w:sz w:val="15"/>
                <w:szCs w:val="15"/>
              </w:rPr>
            </w:pPr>
            <w:r w:rsidRPr="003E76E7">
              <w:rPr>
                <w:rFonts w:ascii="Arial" w:hAnsi="Arial"/>
                <w:color w:val="000000"/>
                <w:sz w:val="15"/>
                <w:szCs w:val="15"/>
              </w:rPr>
              <w:t>Exemplify best practice nuclear stewardship to build and maintain naval nuclear propulsion technology, in compliance with Australian and international obligations.</w:t>
            </w:r>
          </w:p>
        </w:tc>
      </w:tr>
      <w:tr w:rsidR="004D1816" w:rsidRPr="003E76E7" w14:paraId="44CD3C8E" w14:textId="77777777" w:rsidTr="000E1A17">
        <w:trPr>
          <w:cantSplit/>
          <w:trHeight w:val="258"/>
        </w:trPr>
        <w:tc>
          <w:tcPr>
            <w:tcW w:w="1883" w:type="dxa"/>
            <w:tcBorders>
              <w:top w:val="single" w:sz="4" w:space="0" w:color="auto"/>
              <w:bottom w:val="single" w:sz="4" w:space="0" w:color="auto"/>
              <w:right w:val="single" w:sz="4" w:space="0" w:color="auto"/>
            </w:tcBorders>
          </w:tcPr>
          <w:p w14:paraId="69E73EE2" w14:textId="77777777" w:rsidR="004D1816" w:rsidRPr="003E76E7" w:rsidRDefault="004D1816" w:rsidP="00C4292D">
            <w:pPr>
              <w:rPr>
                <w:rFonts w:ascii="Arial" w:hAnsi="Arial"/>
                <w:b/>
                <w:color w:val="000000"/>
                <w:sz w:val="15"/>
                <w:szCs w:val="15"/>
              </w:rPr>
            </w:pPr>
            <w:r w:rsidRPr="003E76E7">
              <w:rPr>
                <w:rFonts w:ascii="Arial" w:hAnsi="Arial"/>
                <w:b/>
                <w:color w:val="000000"/>
                <w:sz w:val="15"/>
                <w:szCs w:val="15"/>
              </w:rPr>
              <w:t>Year</w:t>
            </w:r>
          </w:p>
        </w:tc>
        <w:tc>
          <w:tcPr>
            <w:tcW w:w="3340" w:type="dxa"/>
            <w:tcBorders>
              <w:top w:val="single" w:sz="4" w:space="0" w:color="auto"/>
              <w:left w:val="single" w:sz="4" w:space="0" w:color="auto"/>
              <w:bottom w:val="single" w:sz="4" w:space="0" w:color="auto"/>
              <w:right w:val="single" w:sz="4" w:space="0" w:color="auto"/>
            </w:tcBorders>
          </w:tcPr>
          <w:p w14:paraId="67646401" w14:textId="7BDACCA7" w:rsidR="004D1816" w:rsidRPr="003E76E7" w:rsidRDefault="004D1816" w:rsidP="00C4292D">
            <w:pPr>
              <w:rPr>
                <w:rFonts w:ascii="Arial" w:hAnsi="Arial"/>
                <w:b/>
                <w:color w:val="000000"/>
                <w:sz w:val="15"/>
                <w:szCs w:val="15"/>
              </w:rPr>
            </w:pPr>
            <w:r w:rsidRPr="003E76E7">
              <w:rPr>
                <w:rFonts w:ascii="Arial" w:hAnsi="Arial"/>
                <w:b/>
                <w:color w:val="000000"/>
                <w:sz w:val="15"/>
                <w:szCs w:val="15"/>
              </w:rPr>
              <w:t xml:space="preserve">Performance </w:t>
            </w:r>
            <w:r w:rsidR="000F08AB" w:rsidRPr="003E76E7">
              <w:rPr>
                <w:rFonts w:ascii="Arial" w:hAnsi="Arial"/>
                <w:b/>
                <w:color w:val="000000"/>
                <w:sz w:val="15"/>
                <w:szCs w:val="15"/>
              </w:rPr>
              <w:t>M</w:t>
            </w:r>
            <w:r w:rsidRPr="003E76E7">
              <w:rPr>
                <w:rFonts w:ascii="Arial" w:hAnsi="Arial"/>
                <w:b/>
                <w:color w:val="000000"/>
                <w:sz w:val="15"/>
                <w:szCs w:val="15"/>
              </w:rPr>
              <w:t>easures</w:t>
            </w:r>
          </w:p>
        </w:tc>
        <w:tc>
          <w:tcPr>
            <w:tcW w:w="3565" w:type="dxa"/>
            <w:tcBorders>
              <w:top w:val="single" w:sz="4" w:space="0" w:color="auto"/>
              <w:left w:val="single" w:sz="4" w:space="0" w:color="auto"/>
              <w:bottom w:val="single" w:sz="4" w:space="0" w:color="auto"/>
            </w:tcBorders>
          </w:tcPr>
          <w:p w14:paraId="115D5687" w14:textId="78716DC1" w:rsidR="004D1816" w:rsidRPr="003E76E7" w:rsidRDefault="00F57909" w:rsidP="00C4292D">
            <w:pPr>
              <w:rPr>
                <w:rFonts w:ascii="Arial" w:hAnsi="Arial"/>
                <w:b/>
                <w:color w:val="000000"/>
                <w:sz w:val="15"/>
                <w:szCs w:val="15"/>
              </w:rPr>
            </w:pPr>
            <w:r w:rsidRPr="003E76E7">
              <w:rPr>
                <w:rFonts w:ascii="Arial" w:hAnsi="Arial"/>
                <w:b/>
                <w:color w:val="000000"/>
                <w:sz w:val="15"/>
                <w:szCs w:val="15"/>
              </w:rPr>
              <w:t xml:space="preserve">Expected </w:t>
            </w:r>
            <w:r w:rsidR="007C75D0" w:rsidRPr="003E76E7">
              <w:rPr>
                <w:rFonts w:ascii="Arial" w:hAnsi="Arial"/>
                <w:b/>
                <w:color w:val="000000"/>
                <w:sz w:val="15"/>
                <w:szCs w:val="15"/>
              </w:rPr>
              <w:t>P</w:t>
            </w:r>
            <w:r w:rsidR="004D1816" w:rsidRPr="003E76E7">
              <w:rPr>
                <w:rFonts w:ascii="Arial" w:hAnsi="Arial"/>
                <w:b/>
                <w:color w:val="000000"/>
                <w:sz w:val="15"/>
                <w:szCs w:val="15"/>
              </w:rPr>
              <w:t xml:space="preserve">erformance </w:t>
            </w:r>
            <w:r w:rsidR="007C75D0" w:rsidRPr="003E76E7">
              <w:rPr>
                <w:rFonts w:ascii="Arial" w:hAnsi="Arial"/>
                <w:b/>
                <w:color w:val="000000"/>
                <w:sz w:val="15"/>
                <w:szCs w:val="15"/>
              </w:rPr>
              <w:t>R</w:t>
            </w:r>
            <w:r w:rsidR="004D1816" w:rsidRPr="003E76E7">
              <w:rPr>
                <w:rFonts w:ascii="Arial" w:hAnsi="Arial"/>
                <w:b/>
                <w:color w:val="000000"/>
                <w:sz w:val="15"/>
                <w:szCs w:val="15"/>
              </w:rPr>
              <w:t>esults</w:t>
            </w:r>
          </w:p>
        </w:tc>
      </w:tr>
      <w:tr w:rsidR="004D1816" w:rsidRPr="003E76E7" w14:paraId="187A124A" w14:textId="77777777" w:rsidTr="002150C3">
        <w:tblPrEx>
          <w:shd w:val="clear" w:color="auto" w:fill="auto"/>
          <w:tblLook w:val="04A0" w:firstRow="1" w:lastRow="0" w:firstColumn="1" w:lastColumn="0" w:noHBand="0" w:noVBand="1"/>
        </w:tblPrEx>
        <w:trPr>
          <w:cantSplit/>
          <w:trHeight w:val="642"/>
        </w:trPr>
        <w:tc>
          <w:tcPr>
            <w:tcW w:w="1883" w:type="dxa"/>
            <w:vMerge w:val="restart"/>
            <w:tcBorders>
              <w:right w:val="single" w:sz="4" w:space="0" w:color="auto"/>
            </w:tcBorders>
          </w:tcPr>
          <w:p w14:paraId="1098E051" w14:textId="2BF5E089" w:rsidR="004D1816" w:rsidRPr="003E76E7" w:rsidRDefault="004D1816" w:rsidP="00C4292D">
            <w:pPr>
              <w:spacing w:after="0"/>
              <w:rPr>
                <w:rFonts w:ascii="Arial" w:hAnsi="Arial"/>
                <w:color w:val="000000"/>
                <w:sz w:val="15"/>
                <w:szCs w:val="15"/>
              </w:rPr>
            </w:pPr>
            <w:r w:rsidRPr="003E76E7">
              <w:rPr>
                <w:rFonts w:ascii="Arial" w:hAnsi="Arial"/>
                <w:color w:val="000000"/>
                <w:sz w:val="15"/>
                <w:szCs w:val="15"/>
              </w:rPr>
              <w:t>Current</w:t>
            </w:r>
            <w:r w:rsidR="007C75D0" w:rsidRPr="003E76E7">
              <w:rPr>
                <w:rFonts w:ascii="Arial" w:hAnsi="Arial"/>
                <w:color w:val="000000"/>
                <w:sz w:val="15"/>
                <w:szCs w:val="15"/>
              </w:rPr>
              <w:t xml:space="preserve"> Year</w:t>
            </w:r>
          </w:p>
          <w:p w14:paraId="53E236E7" w14:textId="5AA8E624" w:rsidR="004D1816" w:rsidRPr="003E76E7" w:rsidRDefault="004D1816" w:rsidP="00C4292D">
            <w:pPr>
              <w:spacing w:before="0"/>
              <w:rPr>
                <w:rFonts w:ascii="Arial" w:hAnsi="Arial"/>
                <w:color w:val="000000"/>
                <w:sz w:val="15"/>
                <w:szCs w:val="15"/>
              </w:rPr>
            </w:pPr>
            <w:r w:rsidRPr="003E76E7">
              <w:rPr>
                <w:rFonts w:ascii="Arial" w:hAnsi="Arial"/>
                <w:color w:val="000000"/>
                <w:sz w:val="15"/>
                <w:szCs w:val="15"/>
              </w:rPr>
              <w:t>202</w:t>
            </w:r>
            <w:r w:rsidR="00773585" w:rsidRPr="003E76E7">
              <w:rPr>
                <w:rFonts w:ascii="Arial" w:hAnsi="Arial"/>
                <w:color w:val="000000"/>
                <w:sz w:val="15"/>
                <w:szCs w:val="15"/>
              </w:rPr>
              <w:t>5</w:t>
            </w:r>
            <w:r w:rsidRPr="003E76E7">
              <w:rPr>
                <w:rFonts w:ascii="Arial" w:hAnsi="Arial"/>
                <w:color w:val="000000"/>
                <w:sz w:val="15"/>
                <w:szCs w:val="15"/>
              </w:rPr>
              <w:t>-2</w:t>
            </w:r>
            <w:r w:rsidR="00773585" w:rsidRPr="003E76E7">
              <w:rPr>
                <w:rFonts w:ascii="Arial" w:hAnsi="Arial"/>
                <w:color w:val="000000"/>
                <w:sz w:val="15"/>
                <w:szCs w:val="15"/>
              </w:rPr>
              <w:t>6</w:t>
            </w:r>
          </w:p>
        </w:tc>
        <w:tc>
          <w:tcPr>
            <w:tcW w:w="3340" w:type="dxa"/>
            <w:tcBorders>
              <w:top w:val="single" w:sz="4" w:space="0" w:color="auto"/>
              <w:left w:val="single" w:sz="4" w:space="0" w:color="auto"/>
              <w:bottom w:val="single" w:sz="4" w:space="0" w:color="auto"/>
              <w:right w:val="single" w:sz="4" w:space="0" w:color="auto"/>
            </w:tcBorders>
          </w:tcPr>
          <w:p w14:paraId="28610D97" w14:textId="1C91D935" w:rsidR="004D1816" w:rsidRPr="003E76E7" w:rsidRDefault="004D1816" w:rsidP="00C4292D">
            <w:pPr>
              <w:spacing w:before="60" w:after="60"/>
              <w:rPr>
                <w:rFonts w:ascii="Arial" w:hAnsi="Arial"/>
                <w:color w:val="000000"/>
                <w:sz w:val="15"/>
                <w:szCs w:val="15"/>
                <w:u w:val="single"/>
                <w:vertAlign w:val="superscript"/>
              </w:rPr>
            </w:pPr>
            <w:r w:rsidRPr="003E76E7">
              <w:rPr>
                <w:rFonts w:ascii="Arial" w:hAnsi="Arial"/>
                <w:color w:val="000000"/>
                <w:sz w:val="15"/>
                <w:szCs w:val="15"/>
                <w:u w:val="single"/>
              </w:rPr>
              <w:t>Performance Measure 1</w:t>
            </w:r>
          </w:p>
          <w:p w14:paraId="2E53333F" w14:textId="77777777" w:rsidR="004D1816" w:rsidRPr="003E76E7" w:rsidRDefault="004D1816" w:rsidP="00C4292D">
            <w:pPr>
              <w:spacing w:before="60" w:after="60"/>
              <w:rPr>
                <w:rFonts w:ascii="Arial" w:hAnsi="Arial"/>
                <w:color w:val="000000"/>
                <w:sz w:val="15"/>
                <w:szCs w:val="15"/>
              </w:rPr>
            </w:pPr>
            <w:r w:rsidRPr="003E76E7">
              <w:rPr>
                <w:rFonts w:ascii="Arial" w:hAnsi="Arial"/>
                <w:color w:val="000000"/>
                <w:sz w:val="15"/>
                <w:szCs w:val="15"/>
              </w:rPr>
              <w:t>Phase 1: Establish infrastructure and capabilities to support increased visits of US and UK SSNs to Australia and a rotational presence of US and UK SSNs in Western Australia.</w:t>
            </w:r>
          </w:p>
        </w:tc>
        <w:tc>
          <w:tcPr>
            <w:tcW w:w="3565" w:type="dxa"/>
            <w:tcBorders>
              <w:top w:val="single" w:sz="4" w:space="0" w:color="auto"/>
              <w:left w:val="single" w:sz="4" w:space="0" w:color="auto"/>
              <w:bottom w:val="single" w:sz="4" w:space="0" w:color="auto"/>
            </w:tcBorders>
          </w:tcPr>
          <w:p w14:paraId="45B8C74B" w14:textId="6886DE6F" w:rsidR="00FF2042" w:rsidRPr="003E76E7" w:rsidRDefault="00FF2042" w:rsidP="00C4292D">
            <w:pPr>
              <w:tabs>
                <w:tab w:val="left" w:pos="265"/>
              </w:tabs>
              <w:spacing w:before="60" w:after="60"/>
              <w:rPr>
                <w:rFonts w:ascii="Arial" w:hAnsi="Arial"/>
                <w:color w:val="000000"/>
                <w:sz w:val="15"/>
                <w:szCs w:val="15"/>
              </w:rPr>
            </w:pPr>
            <w:r w:rsidRPr="003E76E7">
              <w:rPr>
                <w:rFonts w:ascii="Arial" w:hAnsi="Arial"/>
                <w:color w:val="000000"/>
                <w:sz w:val="15"/>
                <w:szCs w:val="15"/>
              </w:rPr>
              <w:t xml:space="preserve">Manage and oversee the commencement of construction of facilities and infrastructure to enable the US and UK to rotate through HMAS </w:t>
            </w:r>
            <w:r w:rsidRPr="00C210BD">
              <w:rPr>
                <w:rFonts w:ascii="Arial" w:hAnsi="Arial"/>
                <w:color w:val="000000"/>
                <w:sz w:val="15"/>
                <w:szCs w:val="15"/>
              </w:rPr>
              <w:t>Stirling.</w:t>
            </w:r>
          </w:p>
          <w:p w14:paraId="3C6E4CA8" w14:textId="77777777" w:rsidR="00E46DA2" w:rsidRPr="003E76E7" w:rsidRDefault="00E46DA2" w:rsidP="00C4292D">
            <w:pPr>
              <w:tabs>
                <w:tab w:val="left" w:pos="265"/>
              </w:tabs>
              <w:spacing w:before="60" w:after="0"/>
              <w:jc w:val="right"/>
              <w:rPr>
                <w:rFonts w:ascii="Arial" w:hAnsi="Arial"/>
                <w:i/>
                <w:color w:val="000000"/>
                <w:sz w:val="15"/>
                <w:szCs w:val="15"/>
              </w:rPr>
            </w:pPr>
          </w:p>
          <w:p w14:paraId="48E1C61D" w14:textId="47CF8939" w:rsidR="00FF2042" w:rsidRPr="003E76E7" w:rsidRDefault="00FF2042" w:rsidP="00C4292D">
            <w:pPr>
              <w:tabs>
                <w:tab w:val="left" w:pos="265"/>
              </w:tabs>
              <w:spacing w:before="0" w:after="60"/>
              <w:jc w:val="right"/>
              <w:rPr>
                <w:rFonts w:ascii="Arial" w:hAnsi="Arial"/>
                <w:i/>
                <w:color w:val="000000"/>
                <w:sz w:val="15"/>
                <w:szCs w:val="15"/>
              </w:rPr>
            </w:pPr>
            <w:r w:rsidRPr="003E76E7">
              <w:rPr>
                <w:rFonts w:ascii="Arial" w:hAnsi="Arial"/>
                <w:i/>
                <w:color w:val="000000"/>
                <w:sz w:val="15"/>
                <w:szCs w:val="15"/>
              </w:rPr>
              <w:t>Expected to be achieved</w:t>
            </w:r>
            <w:r w:rsidR="00FE5A03">
              <w:rPr>
                <w:rFonts w:ascii="Arial" w:hAnsi="Arial"/>
                <w:i/>
                <w:color w:val="000000"/>
                <w:sz w:val="15"/>
                <w:szCs w:val="15"/>
              </w:rPr>
              <w:t>.</w:t>
            </w:r>
          </w:p>
        </w:tc>
      </w:tr>
      <w:tr w:rsidR="004D1816" w:rsidRPr="003E76E7" w14:paraId="6C594B8B" w14:textId="77777777" w:rsidTr="000E1A17">
        <w:trPr>
          <w:cantSplit/>
          <w:trHeight w:val="971"/>
        </w:trPr>
        <w:tc>
          <w:tcPr>
            <w:tcW w:w="1883" w:type="dxa"/>
            <w:vMerge/>
            <w:tcBorders>
              <w:right w:val="single" w:sz="4" w:space="0" w:color="auto"/>
            </w:tcBorders>
          </w:tcPr>
          <w:p w14:paraId="1E1C6CDD" w14:textId="77777777" w:rsidR="004D1816" w:rsidRPr="003E76E7" w:rsidRDefault="004D1816" w:rsidP="00C4292D">
            <w:pPr>
              <w:rPr>
                <w:rFonts w:ascii="Arial" w:hAnsi="Arial"/>
                <w:b/>
                <w:bCs/>
                <w:color w:val="0070C0"/>
                <w:sz w:val="15"/>
                <w:szCs w:val="15"/>
              </w:rPr>
            </w:pPr>
          </w:p>
        </w:tc>
        <w:tc>
          <w:tcPr>
            <w:tcW w:w="3340" w:type="dxa"/>
            <w:tcBorders>
              <w:top w:val="single" w:sz="4" w:space="0" w:color="auto"/>
              <w:left w:val="single" w:sz="4" w:space="0" w:color="auto"/>
              <w:bottom w:val="single" w:sz="4" w:space="0" w:color="auto"/>
              <w:right w:val="single" w:sz="4" w:space="0" w:color="auto"/>
            </w:tcBorders>
          </w:tcPr>
          <w:p w14:paraId="438914CE" w14:textId="77777777" w:rsidR="004D1816" w:rsidRPr="003E76E7" w:rsidRDefault="004D1816" w:rsidP="00C4292D">
            <w:pPr>
              <w:spacing w:before="60" w:after="60"/>
              <w:rPr>
                <w:rFonts w:ascii="Arial" w:hAnsi="Arial"/>
                <w:color w:val="000000"/>
                <w:sz w:val="15"/>
                <w:szCs w:val="15"/>
                <w:u w:val="single"/>
              </w:rPr>
            </w:pPr>
            <w:r w:rsidRPr="003E76E7">
              <w:rPr>
                <w:rFonts w:ascii="Arial" w:hAnsi="Arial"/>
                <w:color w:val="000000"/>
                <w:sz w:val="15"/>
                <w:szCs w:val="15"/>
                <w:u w:val="single"/>
              </w:rPr>
              <w:t>Performance Measure 2</w:t>
            </w:r>
          </w:p>
          <w:p w14:paraId="7CEFF75A" w14:textId="2998E580" w:rsidR="004D1816" w:rsidRPr="003E76E7" w:rsidRDefault="004D1816" w:rsidP="00C4292D">
            <w:pPr>
              <w:spacing w:before="60" w:after="60"/>
              <w:rPr>
                <w:rFonts w:ascii="Arial" w:hAnsi="Arial"/>
                <w:color w:val="000000"/>
                <w:sz w:val="15"/>
                <w:szCs w:val="15"/>
              </w:rPr>
            </w:pPr>
            <w:r w:rsidRPr="003E76E7">
              <w:rPr>
                <w:rFonts w:ascii="Arial" w:hAnsi="Arial"/>
                <w:color w:val="000000"/>
                <w:sz w:val="15"/>
                <w:szCs w:val="15"/>
              </w:rPr>
              <w:t xml:space="preserve">Phase 2: </w:t>
            </w:r>
            <w:r w:rsidR="003E174E" w:rsidRPr="003E76E7">
              <w:rPr>
                <w:rFonts w:ascii="Arial" w:hAnsi="Arial"/>
                <w:color w:val="000000"/>
                <w:sz w:val="15"/>
                <w:szCs w:val="15"/>
              </w:rPr>
              <w:t xml:space="preserve">Acquire </w:t>
            </w:r>
            <w:r w:rsidRPr="003E76E7">
              <w:rPr>
                <w:rFonts w:ascii="Arial" w:hAnsi="Arial"/>
                <w:color w:val="000000"/>
                <w:sz w:val="15"/>
                <w:szCs w:val="15"/>
              </w:rPr>
              <w:t>three Virginia Class submarines.</w:t>
            </w:r>
          </w:p>
        </w:tc>
        <w:tc>
          <w:tcPr>
            <w:tcW w:w="3565" w:type="dxa"/>
            <w:tcBorders>
              <w:top w:val="single" w:sz="4" w:space="0" w:color="auto"/>
              <w:left w:val="single" w:sz="4" w:space="0" w:color="auto"/>
              <w:bottom w:val="single" w:sz="4" w:space="0" w:color="auto"/>
            </w:tcBorders>
          </w:tcPr>
          <w:p w14:paraId="18D9EA3D" w14:textId="19103CC4" w:rsidR="00482CE1" w:rsidRPr="003E76E7" w:rsidRDefault="00FF2042" w:rsidP="00C4292D">
            <w:pPr>
              <w:tabs>
                <w:tab w:val="left" w:pos="265"/>
              </w:tabs>
              <w:spacing w:before="60" w:after="60"/>
              <w:rPr>
                <w:rFonts w:ascii="Arial" w:hAnsi="Arial"/>
                <w:color w:val="000000"/>
                <w:sz w:val="15"/>
                <w:szCs w:val="15"/>
              </w:rPr>
            </w:pPr>
            <w:r w:rsidRPr="003E76E7">
              <w:rPr>
                <w:rFonts w:ascii="Arial" w:hAnsi="Arial"/>
                <w:color w:val="000000"/>
                <w:sz w:val="15"/>
                <w:szCs w:val="15"/>
              </w:rPr>
              <w:t>Continue to manage and oversee the procurement of Virginia class specific training support systems.</w:t>
            </w:r>
          </w:p>
          <w:p w14:paraId="1CF133B4" w14:textId="3E8CCADB" w:rsidR="004D1816" w:rsidRPr="003E76E7" w:rsidRDefault="00482CE1" w:rsidP="00C4292D">
            <w:pPr>
              <w:tabs>
                <w:tab w:val="left" w:pos="265"/>
              </w:tabs>
              <w:spacing w:before="60" w:after="60"/>
              <w:jc w:val="right"/>
              <w:rPr>
                <w:rFonts w:ascii="Arial" w:hAnsi="Arial"/>
                <w:i/>
                <w:sz w:val="15"/>
                <w:szCs w:val="15"/>
              </w:rPr>
            </w:pPr>
            <w:r w:rsidRPr="003E76E7">
              <w:rPr>
                <w:rFonts w:ascii="Arial" w:hAnsi="Arial"/>
                <w:i/>
                <w:color w:val="000000"/>
                <w:sz w:val="15"/>
                <w:szCs w:val="15"/>
              </w:rPr>
              <w:t>Expected to be achieved</w:t>
            </w:r>
            <w:r w:rsidR="00FE5A03">
              <w:rPr>
                <w:rFonts w:ascii="Arial" w:hAnsi="Arial"/>
                <w:i/>
                <w:color w:val="000000"/>
                <w:sz w:val="15"/>
                <w:szCs w:val="15"/>
              </w:rPr>
              <w:t>.</w:t>
            </w:r>
            <w:r w:rsidRPr="003E76E7" w:rsidDel="00FF2042">
              <w:rPr>
                <w:rFonts w:ascii="Arial" w:hAnsi="Arial"/>
                <w:i/>
                <w:color w:val="000000"/>
                <w:sz w:val="15"/>
                <w:szCs w:val="15"/>
              </w:rPr>
              <w:t xml:space="preserve"> </w:t>
            </w:r>
          </w:p>
        </w:tc>
      </w:tr>
      <w:tr w:rsidR="004D1816" w:rsidRPr="003E76E7" w14:paraId="31BF385F" w14:textId="77777777" w:rsidTr="002150C3">
        <w:tblPrEx>
          <w:shd w:val="clear" w:color="auto" w:fill="auto"/>
          <w:tblLook w:val="04A0" w:firstRow="1" w:lastRow="0" w:firstColumn="1" w:lastColumn="0" w:noHBand="0" w:noVBand="1"/>
        </w:tblPrEx>
        <w:trPr>
          <w:cantSplit/>
          <w:trHeight w:val="642"/>
        </w:trPr>
        <w:tc>
          <w:tcPr>
            <w:tcW w:w="1883" w:type="dxa"/>
            <w:vMerge/>
            <w:tcBorders>
              <w:right w:val="single" w:sz="4" w:space="0" w:color="auto"/>
            </w:tcBorders>
          </w:tcPr>
          <w:p w14:paraId="38B3F474" w14:textId="77777777" w:rsidR="004D1816" w:rsidRPr="003E76E7" w:rsidRDefault="004D1816" w:rsidP="00C4292D">
            <w:pPr>
              <w:rPr>
                <w:rFonts w:ascii="Arial" w:hAnsi="Arial"/>
                <w:b/>
                <w:bCs/>
                <w:color w:val="0070C0"/>
                <w:sz w:val="15"/>
                <w:szCs w:val="15"/>
              </w:rPr>
            </w:pPr>
          </w:p>
        </w:tc>
        <w:tc>
          <w:tcPr>
            <w:tcW w:w="3340" w:type="dxa"/>
            <w:tcBorders>
              <w:top w:val="single" w:sz="4" w:space="0" w:color="auto"/>
              <w:left w:val="single" w:sz="4" w:space="0" w:color="auto"/>
              <w:bottom w:val="single" w:sz="4" w:space="0" w:color="auto"/>
              <w:right w:val="single" w:sz="4" w:space="0" w:color="auto"/>
            </w:tcBorders>
          </w:tcPr>
          <w:p w14:paraId="6AB5E1C7" w14:textId="0808C675" w:rsidR="004D1816" w:rsidRPr="003E76E7" w:rsidRDefault="004D1816" w:rsidP="00C4292D">
            <w:pPr>
              <w:spacing w:before="60" w:after="60"/>
              <w:rPr>
                <w:rFonts w:ascii="Arial" w:hAnsi="Arial"/>
                <w:color w:val="000000"/>
                <w:sz w:val="15"/>
                <w:szCs w:val="15"/>
                <w:u w:val="single"/>
              </w:rPr>
            </w:pPr>
            <w:r w:rsidRPr="003E76E7">
              <w:rPr>
                <w:rFonts w:ascii="Arial" w:hAnsi="Arial"/>
                <w:color w:val="000000"/>
                <w:sz w:val="15"/>
                <w:szCs w:val="15"/>
                <w:u w:val="single"/>
              </w:rPr>
              <w:t>Performance Measure 3</w:t>
            </w:r>
          </w:p>
          <w:p w14:paraId="5EA36EC0" w14:textId="209FDAF9" w:rsidR="004D1816" w:rsidRPr="003E76E7" w:rsidRDefault="004D1816" w:rsidP="00C4292D">
            <w:pPr>
              <w:keepNext/>
              <w:keepLines/>
              <w:spacing w:before="60" w:after="60"/>
              <w:rPr>
                <w:rFonts w:ascii="Arial" w:hAnsi="Arial"/>
                <w:color w:val="000000"/>
                <w:sz w:val="15"/>
                <w:szCs w:val="15"/>
              </w:rPr>
            </w:pPr>
            <w:r w:rsidRPr="003E76E7">
              <w:rPr>
                <w:rFonts w:ascii="Arial" w:hAnsi="Arial"/>
                <w:color w:val="000000"/>
                <w:sz w:val="15"/>
                <w:szCs w:val="15"/>
              </w:rPr>
              <w:t xml:space="preserve">Phase 3: </w:t>
            </w:r>
            <w:r w:rsidR="00811049" w:rsidRPr="003E76E7">
              <w:rPr>
                <w:rFonts w:ascii="Arial" w:hAnsi="Arial"/>
                <w:color w:val="000000"/>
                <w:sz w:val="15"/>
                <w:szCs w:val="15"/>
              </w:rPr>
              <w:t>Acquire</w:t>
            </w:r>
            <w:r w:rsidRPr="003E76E7">
              <w:rPr>
                <w:rFonts w:ascii="Arial" w:hAnsi="Arial"/>
                <w:color w:val="000000"/>
                <w:sz w:val="15"/>
                <w:szCs w:val="15"/>
              </w:rPr>
              <w:t xml:space="preserve"> Australian-built SSN AUKUS, including infrastructure development at Osborne </w:t>
            </w:r>
            <w:r w:rsidR="00FF2042" w:rsidRPr="003E76E7">
              <w:rPr>
                <w:rFonts w:ascii="Arial" w:hAnsi="Arial"/>
                <w:color w:val="000000"/>
                <w:sz w:val="15"/>
                <w:szCs w:val="15"/>
              </w:rPr>
              <w:t>Submarine Construction Y</w:t>
            </w:r>
            <w:r w:rsidRPr="003E76E7">
              <w:rPr>
                <w:rFonts w:ascii="Arial" w:hAnsi="Arial"/>
                <w:color w:val="000000"/>
                <w:sz w:val="15"/>
                <w:szCs w:val="15"/>
              </w:rPr>
              <w:t>ard.</w:t>
            </w:r>
          </w:p>
        </w:tc>
        <w:tc>
          <w:tcPr>
            <w:tcW w:w="3565" w:type="dxa"/>
            <w:tcBorders>
              <w:top w:val="single" w:sz="4" w:space="0" w:color="auto"/>
              <w:left w:val="single" w:sz="4" w:space="0" w:color="auto"/>
              <w:bottom w:val="single" w:sz="4" w:space="0" w:color="auto"/>
            </w:tcBorders>
          </w:tcPr>
          <w:p w14:paraId="56B0E862" w14:textId="733F7161" w:rsidR="00BE1014" w:rsidRPr="003E76E7" w:rsidRDefault="00FF2042" w:rsidP="00C4292D">
            <w:pPr>
              <w:tabs>
                <w:tab w:val="left" w:pos="265"/>
              </w:tabs>
              <w:spacing w:before="60" w:after="60"/>
              <w:rPr>
                <w:rFonts w:ascii="Arial" w:hAnsi="Arial"/>
                <w:color w:val="000000"/>
                <w:sz w:val="15"/>
                <w:szCs w:val="15"/>
              </w:rPr>
            </w:pPr>
            <w:r w:rsidRPr="003E76E7">
              <w:rPr>
                <w:rFonts w:ascii="Arial" w:hAnsi="Arial"/>
                <w:color w:val="000000"/>
                <w:sz w:val="15"/>
                <w:szCs w:val="15"/>
              </w:rPr>
              <w:t>Manage and oversee the mobilisation of the SSN</w:t>
            </w:r>
            <w:r w:rsidRPr="003E76E7">
              <w:rPr>
                <w:rFonts w:ascii="Arial" w:hAnsi="Arial"/>
                <w:color w:val="000000"/>
                <w:sz w:val="15"/>
                <w:szCs w:val="15"/>
              </w:rPr>
              <w:noBreakHyphen/>
              <w:t>AUKUS program.</w:t>
            </w:r>
          </w:p>
          <w:p w14:paraId="63ED8415" w14:textId="77777777" w:rsidR="000F08AB" w:rsidRPr="003E76E7" w:rsidRDefault="000F08AB" w:rsidP="00C4292D">
            <w:pPr>
              <w:tabs>
                <w:tab w:val="left" w:pos="265"/>
              </w:tabs>
              <w:spacing w:before="60" w:after="60"/>
              <w:rPr>
                <w:rFonts w:ascii="Arial" w:hAnsi="Arial"/>
                <w:color w:val="000000"/>
                <w:sz w:val="15"/>
                <w:szCs w:val="15"/>
              </w:rPr>
            </w:pPr>
          </w:p>
          <w:p w14:paraId="3EDCA553" w14:textId="3E774A83" w:rsidR="004D1816" w:rsidRPr="003E76E7" w:rsidRDefault="00BE1014" w:rsidP="00C4292D">
            <w:pPr>
              <w:tabs>
                <w:tab w:val="left" w:pos="265"/>
              </w:tabs>
              <w:spacing w:before="60" w:after="60"/>
              <w:jc w:val="right"/>
              <w:rPr>
                <w:rFonts w:ascii="Arial" w:hAnsi="Arial"/>
                <w:i/>
                <w:sz w:val="15"/>
                <w:szCs w:val="15"/>
              </w:rPr>
            </w:pPr>
            <w:r w:rsidRPr="003E76E7">
              <w:rPr>
                <w:rFonts w:ascii="Arial" w:hAnsi="Arial"/>
                <w:i/>
                <w:color w:val="000000"/>
                <w:sz w:val="15"/>
                <w:szCs w:val="15"/>
              </w:rPr>
              <w:t>Expected to be achieved</w:t>
            </w:r>
            <w:r w:rsidR="00FE5A03">
              <w:rPr>
                <w:rFonts w:ascii="Arial" w:hAnsi="Arial"/>
                <w:i/>
                <w:color w:val="000000"/>
                <w:sz w:val="15"/>
                <w:szCs w:val="15"/>
              </w:rPr>
              <w:t>.</w:t>
            </w:r>
          </w:p>
        </w:tc>
      </w:tr>
      <w:tr w:rsidR="000F08AB" w:rsidRPr="003E76E7" w14:paraId="1F07E993" w14:textId="77777777" w:rsidTr="000E1A17">
        <w:trPr>
          <w:cantSplit/>
          <w:trHeight w:val="324"/>
        </w:trPr>
        <w:tc>
          <w:tcPr>
            <w:tcW w:w="1883" w:type="dxa"/>
            <w:tcBorders>
              <w:right w:val="single" w:sz="4" w:space="0" w:color="auto"/>
            </w:tcBorders>
            <w:vAlign w:val="center"/>
          </w:tcPr>
          <w:p w14:paraId="2E031DA7" w14:textId="76F9A685" w:rsidR="000F08AB" w:rsidRPr="003E76E7" w:rsidRDefault="000F08AB" w:rsidP="00C4292D">
            <w:pPr>
              <w:spacing w:before="0" w:after="0"/>
              <w:rPr>
                <w:rFonts w:ascii="Arial" w:hAnsi="Arial"/>
                <w:color w:val="000000"/>
                <w:sz w:val="15"/>
                <w:szCs w:val="15"/>
              </w:rPr>
            </w:pPr>
            <w:r w:rsidRPr="003E76E7">
              <w:rPr>
                <w:rFonts w:ascii="Arial" w:hAnsi="Arial"/>
                <w:b/>
                <w:color w:val="000000"/>
                <w:sz w:val="15"/>
                <w:szCs w:val="15"/>
              </w:rPr>
              <w:t>Year</w:t>
            </w:r>
          </w:p>
        </w:tc>
        <w:tc>
          <w:tcPr>
            <w:tcW w:w="3340" w:type="dxa"/>
            <w:tcBorders>
              <w:top w:val="single" w:sz="4" w:space="0" w:color="auto"/>
              <w:left w:val="single" w:sz="4" w:space="0" w:color="auto"/>
              <w:bottom w:val="single" w:sz="4" w:space="0" w:color="auto"/>
              <w:right w:val="single" w:sz="4" w:space="0" w:color="auto"/>
            </w:tcBorders>
            <w:vAlign w:val="center"/>
          </w:tcPr>
          <w:p w14:paraId="48956C81" w14:textId="6276382C" w:rsidR="000F08AB" w:rsidRPr="003E76E7" w:rsidRDefault="000F08AB" w:rsidP="00C4292D">
            <w:pPr>
              <w:spacing w:before="0" w:after="40"/>
              <w:rPr>
                <w:rFonts w:ascii="Arial" w:hAnsi="Arial"/>
                <w:color w:val="000000"/>
                <w:sz w:val="15"/>
                <w:szCs w:val="15"/>
                <w:u w:val="single"/>
              </w:rPr>
            </w:pPr>
            <w:r w:rsidRPr="003E76E7">
              <w:rPr>
                <w:rFonts w:ascii="Arial" w:hAnsi="Arial"/>
                <w:b/>
                <w:color w:val="000000"/>
                <w:sz w:val="15"/>
                <w:szCs w:val="15"/>
              </w:rPr>
              <w:t>Performance Measures</w:t>
            </w:r>
          </w:p>
        </w:tc>
        <w:tc>
          <w:tcPr>
            <w:tcW w:w="3565" w:type="dxa"/>
            <w:tcBorders>
              <w:top w:val="single" w:sz="4" w:space="0" w:color="auto"/>
              <w:left w:val="single" w:sz="4" w:space="0" w:color="auto"/>
              <w:bottom w:val="single" w:sz="4" w:space="0" w:color="auto"/>
            </w:tcBorders>
            <w:vAlign w:val="center"/>
          </w:tcPr>
          <w:p w14:paraId="27706CBA" w14:textId="3900D97E" w:rsidR="000F08AB" w:rsidRPr="003E76E7" w:rsidRDefault="000F08AB" w:rsidP="00C4292D">
            <w:pPr>
              <w:tabs>
                <w:tab w:val="left" w:pos="265"/>
              </w:tabs>
              <w:spacing w:before="0" w:after="0"/>
              <w:rPr>
                <w:rFonts w:ascii="Arial" w:hAnsi="Arial"/>
                <w:color w:val="000000"/>
                <w:sz w:val="15"/>
                <w:szCs w:val="15"/>
              </w:rPr>
            </w:pPr>
            <w:r w:rsidRPr="003E76E7">
              <w:rPr>
                <w:rFonts w:ascii="Arial" w:hAnsi="Arial"/>
                <w:b/>
                <w:color w:val="000000"/>
                <w:sz w:val="15"/>
                <w:szCs w:val="15"/>
              </w:rPr>
              <w:t>Planned Performance Results</w:t>
            </w:r>
          </w:p>
        </w:tc>
      </w:tr>
      <w:tr w:rsidR="000F08AB" w:rsidRPr="003E76E7" w14:paraId="0FD44F8A" w14:textId="77777777" w:rsidTr="002150C3">
        <w:tblPrEx>
          <w:shd w:val="clear" w:color="auto" w:fill="auto"/>
          <w:tblLook w:val="04A0" w:firstRow="1" w:lastRow="0" w:firstColumn="1" w:lastColumn="0" w:noHBand="0" w:noVBand="1"/>
        </w:tblPrEx>
        <w:trPr>
          <w:cantSplit/>
          <w:trHeight w:val="642"/>
        </w:trPr>
        <w:tc>
          <w:tcPr>
            <w:tcW w:w="1883" w:type="dxa"/>
            <w:vMerge w:val="restart"/>
            <w:tcBorders>
              <w:right w:val="single" w:sz="4" w:space="0" w:color="auto"/>
            </w:tcBorders>
          </w:tcPr>
          <w:p w14:paraId="0FE2587A" w14:textId="77777777" w:rsidR="000F08AB" w:rsidRPr="003E76E7" w:rsidRDefault="000F08AB" w:rsidP="00C4292D">
            <w:pPr>
              <w:spacing w:after="0"/>
              <w:rPr>
                <w:rFonts w:ascii="Arial" w:hAnsi="Arial"/>
                <w:color w:val="000000"/>
                <w:sz w:val="15"/>
                <w:szCs w:val="15"/>
              </w:rPr>
            </w:pPr>
            <w:r w:rsidRPr="003E76E7">
              <w:rPr>
                <w:rFonts w:ascii="Arial" w:hAnsi="Arial"/>
                <w:color w:val="000000"/>
                <w:sz w:val="15"/>
                <w:szCs w:val="15"/>
              </w:rPr>
              <w:t>Budget Year</w:t>
            </w:r>
          </w:p>
          <w:p w14:paraId="7968EA21" w14:textId="2700B475" w:rsidR="000F08AB" w:rsidRPr="003E76E7" w:rsidRDefault="000F08AB" w:rsidP="00C4292D">
            <w:pPr>
              <w:spacing w:before="0" w:after="0"/>
              <w:rPr>
                <w:rFonts w:ascii="Arial" w:hAnsi="Arial"/>
                <w:color w:val="000000"/>
                <w:sz w:val="15"/>
                <w:szCs w:val="15"/>
              </w:rPr>
            </w:pPr>
            <w:r w:rsidRPr="003E76E7">
              <w:rPr>
                <w:rFonts w:ascii="Arial" w:hAnsi="Arial"/>
                <w:color w:val="000000"/>
                <w:sz w:val="15"/>
                <w:szCs w:val="15"/>
              </w:rPr>
              <w:t>2026-27</w:t>
            </w:r>
            <w:r w:rsidR="003E174E" w:rsidRPr="003E76E7">
              <w:rPr>
                <w:rFonts w:ascii="Arial" w:hAnsi="Arial"/>
                <w:color w:val="000000"/>
                <w:sz w:val="15"/>
                <w:szCs w:val="15"/>
              </w:rPr>
              <w:t xml:space="preserve"> </w:t>
            </w:r>
            <w:r w:rsidR="003E174E" w:rsidRPr="003E76E7">
              <w:rPr>
                <w:rFonts w:ascii="Arial" w:hAnsi="Arial"/>
                <w:color w:val="000000"/>
                <w:sz w:val="15"/>
                <w:szCs w:val="15"/>
                <w:vertAlign w:val="superscript"/>
              </w:rPr>
              <w:t>[b]</w:t>
            </w:r>
          </w:p>
        </w:tc>
        <w:tc>
          <w:tcPr>
            <w:tcW w:w="3340" w:type="dxa"/>
            <w:tcBorders>
              <w:top w:val="single" w:sz="4" w:space="0" w:color="auto"/>
              <w:left w:val="single" w:sz="4" w:space="0" w:color="auto"/>
              <w:bottom w:val="single" w:sz="4" w:space="0" w:color="auto"/>
              <w:right w:val="single" w:sz="4" w:space="0" w:color="auto"/>
            </w:tcBorders>
          </w:tcPr>
          <w:p w14:paraId="48EADB77" w14:textId="19912CBB" w:rsidR="000F08AB" w:rsidRPr="003E76E7" w:rsidRDefault="000F08AB" w:rsidP="00C4292D">
            <w:pPr>
              <w:spacing w:before="40" w:after="40"/>
              <w:rPr>
                <w:rFonts w:ascii="Arial" w:hAnsi="Arial"/>
                <w:color w:val="000000"/>
                <w:sz w:val="15"/>
                <w:szCs w:val="15"/>
                <w:u w:val="single"/>
              </w:rPr>
            </w:pPr>
            <w:r w:rsidRPr="003E76E7">
              <w:rPr>
                <w:rFonts w:ascii="Arial" w:hAnsi="Arial"/>
                <w:color w:val="000000"/>
                <w:sz w:val="15"/>
                <w:szCs w:val="15"/>
                <w:u w:val="single"/>
              </w:rPr>
              <w:t>Performance Measure 1</w:t>
            </w:r>
          </w:p>
          <w:p w14:paraId="74F23839" w14:textId="19566249" w:rsidR="000F08AB" w:rsidRPr="003E76E7" w:rsidRDefault="000F08AB" w:rsidP="00C4292D">
            <w:pPr>
              <w:keepNext/>
              <w:keepLines/>
              <w:rPr>
                <w:rFonts w:ascii="Arial" w:hAnsi="Arial"/>
                <w:color w:val="000000"/>
                <w:sz w:val="15"/>
                <w:szCs w:val="15"/>
              </w:rPr>
            </w:pPr>
            <w:r w:rsidRPr="003E76E7">
              <w:rPr>
                <w:rFonts w:ascii="Arial" w:hAnsi="Arial"/>
                <w:color w:val="000000"/>
                <w:sz w:val="15"/>
                <w:szCs w:val="15"/>
              </w:rPr>
              <w:t>Phase 1: Support increased visits of US and UK SSN to Australia in preparation for the rotational presence of US and UK SSN in Western Australia from Q4 2027.</w:t>
            </w:r>
          </w:p>
        </w:tc>
        <w:tc>
          <w:tcPr>
            <w:tcW w:w="3565" w:type="dxa"/>
            <w:tcBorders>
              <w:top w:val="single" w:sz="4" w:space="0" w:color="auto"/>
              <w:left w:val="single" w:sz="4" w:space="0" w:color="auto"/>
              <w:bottom w:val="single" w:sz="4" w:space="0" w:color="auto"/>
            </w:tcBorders>
          </w:tcPr>
          <w:p w14:paraId="0B63D44D" w14:textId="53DD866E" w:rsidR="000F08AB" w:rsidRPr="003E76E7" w:rsidRDefault="000F08AB" w:rsidP="00C4292D">
            <w:pPr>
              <w:tabs>
                <w:tab w:val="left" w:pos="265"/>
              </w:tabs>
              <w:rPr>
                <w:rFonts w:ascii="Arial" w:hAnsi="Arial"/>
                <w:sz w:val="15"/>
                <w:szCs w:val="15"/>
              </w:rPr>
            </w:pPr>
            <w:r w:rsidRPr="003E76E7">
              <w:rPr>
                <w:rFonts w:ascii="Arial" w:hAnsi="Arial"/>
                <w:color w:val="000000"/>
                <w:sz w:val="15"/>
                <w:szCs w:val="15"/>
              </w:rPr>
              <w:t xml:space="preserve">Continue to manage and oversee the construction of facilities and infrastructure to enable the US and UK to rotate through HMAS </w:t>
            </w:r>
            <w:r w:rsidRPr="00C210BD">
              <w:rPr>
                <w:rFonts w:ascii="Arial" w:hAnsi="Arial"/>
                <w:color w:val="000000"/>
                <w:sz w:val="15"/>
                <w:szCs w:val="15"/>
              </w:rPr>
              <w:t>Stirling.</w:t>
            </w:r>
          </w:p>
        </w:tc>
      </w:tr>
      <w:tr w:rsidR="000F08AB" w:rsidRPr="003E76E7" w14:paraId="3F3022E1" w14:textId="77777777" w:rsidTr="002150C3">
        <w:tblPrEx>
          <w:shd w:val="clear" w:color="auto" w:fill="auto"/>
          <w:tblLook w:val="04A0" w:firstRow="1" w:lastRow="0" w:firstColumn="1" w:lastColumn="0" w:noHBand="0" w:noVBand="1"/>
        </w:tblPrEx>
        <w:trPr>
          <w:cantSplit/>
          <w:trHeight w:val="642"/>
        </w:trPr>
        <w:tc>
          <w:tcPr>
            <w:tcW w:w="1883" w:type="dxa"/>
            <w:vMerge/>
            <w:tcBorders>
              <w:right w:val="single" w:sz="4" w:space="0" w:color="auto"/>
            </w:tcBorders>
          </w:tcPr>
          <w:p w14:paraId="5EFC1222" w14:textId="77777777" w:rsidR="000F08AB" w:rsidRPr="003E76E7" w:rsidRDefault="000F08AB" w:rsidP="00C4292D">
            <w:pPr>
              <w:rPr>
                <w:rFonts w:ascii="Arial" w:hAnsi="Arial"/>
                <w:b/>
                <w:bCs/>
                <w:color w:val="0070C0"/>
                <w:sz w:val="15"/>
                <w:szCs w:val="15"/>
              </w:rPr>
            </w:pPr>
          </w:p>
        </w:tc>
        <w:tc>
          <w:tcPr>
            <w:tcW w:w="3340" w:type="dxa"/>
            <w:tcBorders>
              <w:top w:val="single" w:sz="4" w:space="0" w:color="auto"/>
              <w:left w:val="single" w:sz="4" w:space="0" w:color="auto"/>
              <w:bottom w:val="single" w:sz="4" w:space="0" w:color="auto"/>
              <w:right w:val="single" w:sz="4" w:space="0" w:color="auto"/>
            </w:tcBorders>
          </w:tcPr>
          <w:p w14:paraId="07509A9E" w14:textId="77777777" w:rsidR="000F08AB" w:rsidRPr="003E76E7" w:rsidRDefault="000F08AB" w:rsidP="00C4292D">
            <w:pPr>
              <w:spacing w:before="40" w:after="40"/>
              <w:rPr>
                <w:rFonts w:ascii="Arial" w:hAnsi="Arial"/>
                <w:color w:val="000000"/>
                <w:sz w:val="15"/>
                <w:szCs w:val="15"/>
                <w:u w:val="single"/>
              </w:rPr>
            </w:pPr>
            <w:r w:rsidRPr="003E76E7">
              <w:rPr>
                <w:rFonts w:ascii="Arial" w:hAnsi="Arial"/>
                <w:color w:val="000000"/>
                <w:sz w:val="15"/>
                <w:szCs w:val="15"/>
                <w:u w:val="single"/>
              </w:rPr>
              <w:t>Performance Measure 2</w:t>
            </w:r>
          </w:p>
          <w:p w14:paraId="3A4840F8" w14:textId="716DCD3C" w:rsidR="000F08AB" w:rsidRPr="003E76E7" w:rsidRDefault="000F08AB" w:rsidP="00C4292D">
            <w:pPr>
              <w:keepNext/>
              <w:keepLines/>
              <w:rPr>
                <w:rFonts w:ascii="Arial" w:hAnsi="Arial"/>
                <w:color w:val="000000"/>
                <w:sz w:val="15"/>
                <w:szCs w:val="15"/>
              </w:rPr>
            </w:pPr>
            <w:r w:rsidRPr="003E76E7">
              <w:rPr>
                <w:rFonts w:ascii="Arial" w:hAnsi="Arial"/>
                <w:color w:val="000000"/>
                <w:sz w:val="15"/>
                <w:szCs w:val="15"/>
              </w:rPr>
              <w:t xml:space="preserve">Phase 2: </w:t>
            </w:r>
            <w:r w:rsidR="003E174E" w:rsidRPr="003E76E7">
              <w:rPr>
                <w:rFonts w:ascii="Arial" w:hAnsi="Arial"/>
                <w:color w:val="000000"/>
                <w:sz w:val="15"/>
                <w:szCs w:val="15"/>
              </w:rPr>
              <w:t xml:space="preserve">Acquire </w:t>
            </w:r>
            <w:r w:rsidRPr="003E76E7">
              <w:rPr>
                <w:rFonts w:ascii="Arial" w:hAnsi="Arial"/>
                <w:color w:val="000000"/>
                <w:sz w:val="15"/>
                <w:szCs w:val="15"/>
              </w:rPr>
              <w:t>three Virginia Class submarines.</w:t>
            </w:r>
          </w:p>
        </w:tc>
        <w:tc>
          <w:tcPr>
            <w:tcW w:w="3565" w:type="dxa"/>
            <w:tcBorders>
              <w:top w:val="single" w:sz="4" w:space="0" w:color="auto"/>
              <w:left w:val="single" w:sz="4" w:space="0" w:color="auto"/>
              <w:bottom w:val="single" w:sz="4" w:space="0" w:color="auto"/>
            </w:tcBorders>
          </w:tcPr>
          <w:p w14:paraId="00F12BF6" w14:textId="3083E7AB" w:rsidR="000F08AB" w:rsidRPr="003E76E7" w:rsidRDefault="000F08AB" w:rsidP="00C4292D">
            <w:pPr>
              <w:tabs>
                <w:tab w:val="left" w:pos="265"/>
              </w:tabs>
              <w:rPr>
                <w:rFonts w:ascii="Arial" w:hAnsi="Arial"/>
                <w:sz w:val="15"/>
                <w:szCs w:val="15"/>
              </w:rPr>
            </w:pPr>
            <w:r w:rsidRPr="003E76E7">
              <w:rPr>
                <w:rFonts w:ascii="Arial" w:hAnsi="Arial"/>
                <w:sz w:val="15"/>
                <w:szCs w:val="15"/>
              </w:rPr>
              <w:t>Continue to manage and oversee the procurement of Virginia class specific training support systems.</w:t>
            </w:r>
          </w:p>
        </w:tc>
      </w:tr>
      <w:tr w:rsidR="000F08AB" w:rsidRPr="003E76E7" w14:paraId="286B982F" w14:textId="77777777" w:rsidTr="002150C3">
        <w:tblPrEx>
          <w:shd w:val="clear" w:color="auto" w:fill="auto"/>
          <w:tblLook w:val="04A0" w:firstRow="1" w:lastRow="0" w:firstColumn="1" w:lastColumn="0" w:noHBand="0" w:noVBand="1"/>
        </w:tblPrEx>
        <w:trPr>
          <w:cantSplit/>
          <w:trHeight w:val="642"/>
        </w:trPr>
        <w:tc>
          <w:tcPr>
            <w:tcW w:w="1883" w:type="dxa"/>
            <w:vMerge/>
            <w:tcBorders>
              <w:right w:val="single" w:sz="4" w:space="0" w:color="auto"/>
            </w:tcBorders>
          </w:tcPr>
          <w:p w14:paraId="34B6F984" w14:textId="77777777" w:rsidR="000F08AB" w:rsidRPr="003E76E7" w:rsidRDefault="000F08AB" w:rsidP="00C4292D">
            <w:pPr>
              <w:rPr>
                <w:rFonts w:ascii="Arial" w:hAnsi="Arial"/>
                <w:b/>
                <w:bCs/>
                <w:color w:val="0070C0"/>
                <w:sz w:val="15"/>
                <w:szCs w:val="15"/>
              </w:rPr>
            </w:pPr>
          </w:p>
        </w:tc>
        <w:tc>
          <w:tcPr>
            <w:tcW w:w="3340" w:type="dxa"/>
            <w:tcBorders>
              <w:top w:val="single" w:sz="4" w:space="0" w:color="auto"/>
              <w:left w:val="single" w:sz="4" w:space="0" w:color="auto"/>
              <w:bottom w:val="single" w:sz="4" w:space="0" w:color="auto"/>
              <w:right w:val="single" w:sz="4" w:space="0" w:color="auto"/>
            </w:tcBorders>
          </w:tcPr>
          <w:p w14:paraId="6A8F11D8" w14:textId="76B92011" w:rsidR="000F08AB" w:rsidRPr="003E76E7" w:rsidRDefault="000F08AB" w:rsidP="00C4292D">
            <w:pPr>
              <w:spacing w:before="40" w:after="40"/>
              <w:rPr>
                <w:rFonts w:ascii="Arial" w:hAnsi="Arial"/>
                <w:color w:val="000000"/>
                <w:sz w:val="15"/>
                <w:szCs w:val="15"/>
                <w:u w:val="single"/>
              </w:rPr>
            </w:pPr>
            <w:r w:rsidRPr="003E76E7">
              <w:rPr>
                <w:rFonts w:ascii="Arial" w:hAnsi="Arial"/>
                <w:color w:val="000000"/>
                <w:sz w:val="15"/>
                <w:szCs w:val="15"/>
                <w:u w:val="single"/>
              </w:rPr>
              <w:t>Performance Measure 3</w:t>
            </w:r>
          </w:p>
          <w:p w14:paraId="0DAC83F5" w14:textId="6DD4712F" w:rsidR="000F08AB" w:rsidRPr="003E76E7" w:rsidRDefault="000F08AB" w:rsidP="00C4292D">
            <w:pPr>
              <w:keepNext/>
              <w:keepLines/>
              <w:rPr>
                <w:rFonts w:ascii="Arial" w:hAnsi="Arial"/>
                <w:color w:val="000000"/>
                <w:sz w:val="15"/>
                <w:szCs w:val="15"/>
              </w:rPr>
            </w:pPr>
            <w:r w:rsidRPr="003E76E7">
              <w:rPr>
                <w:rFonts w:ascii="Arial" w:hAnsi="Arial"/>
                <w:color w:val="000000"/>
                <w:sz w:val="15"/>
                <w:szCs w:val="15"/>
              </w:rPr>
              <w:t xml:space="preserve">Phase 3: Construction of the first </w:t>
            </w:r>
            <w:r w:rsidR="00EE37B5">
              <w:rPr>
                <w:rFonts w:ascii="Arial" w:hAnsi="Arial"/>
                <w:color w:val="000000"/>
                <w:sz w:val="15"/>
                <w:szCs w:val="15"/>
              </w:rPr>
              <w:br/>
            </w:r>
            <w:r w:rsidRPr="003E76E7">
              <w:rPr>
                <w:rFonts w:ascii="Arial" w:hAnsi="Arial"/>
                <w:color w:val="000000"/>
                <w:sz w:val="15"/>
                <w:szCs w:val="15"/>
              </w:rPr>
              <w:t>Australian-built SSN-AUKUS has commenced by the late 2020s.</w:t>
            </w:r>
          </w:p>
        </w:tc>
        <w:tc>
          <w:tcPr>
            <w:tcW w:w="3565" w:type="dxa"/>
            <w:tcBorders>
              <w:top w:val="single" w:sz="4" w:space="0" w:color="auto"/>
              <w:left w:val="single" w:sz="4" w:space="0" w:color="auto"/>
              <w:bottom w:val="single" w:sz="4" w:space="0" w:color="auto"/>
            </w:tcBorders>
          </w:tcPr>
          <w:p w14:paraId="2E4F047A" w14:textId="7F400E6B" w:rsidR="000F08AB" w:rsidRPr="003E76E7" w:rsidRDefault="000F08AB" w:rsidP="00C4292D">
            <w:pPr>
              <w:tabs>
                <w:tab w:val="left" w:pos="265"/>
              </w:tabs>
              <w:rPr>
                <w:rFonts w:ascii="Arial" w:hAnsi="Arial"/>
                <w:sz w:val="15"/>
                <w:szCs w:val="15"/>
              </w:rPr>
            </w:pPr>
            <w:r w:rsidRPr="003E76E7">
              <w:rPr>
                <w:rFonts w:ascii="Arial" w:hAnsi="Arial"/>
                <w:color w:val="000000"/>
                <w:sz w:val="15"/>
                <w:szCs w:val="15"/>
              </w:rPr>
              <w:t>Continue to manage and oversee the mobilisation of the SSN</w:t>
            </w:r>
            <w:r w:rsidRPr="003E76E7">
              <w:rPr>
                <w:rFonts w:ascii="Arial" w:hAnsi="Arial"/>
                <w:color w:val="000000"/>
                <w:sz w:val="15"/>
                <w:szCs w:val="15"/>
              </w:rPr>
              <w:noBreakHyphen/>
              <w:t>AUKUS program.</w:t>
            </w:r>
          </w:p>
        </w:tc>
      </w:tr>
      <w:tr w:rsidR="000F08AB" w:rsidRPr="003E76E7" w14:paraId="1F8C280B" w14:textId="77777777" w:rsidTr="00FE3471">
        <w:tblPrEx>
          <w:shd w:val="clear" w:color="auto" w:fill="auto"/>
          <w:tblLook w:val="04A0" w:firstRow="1" w:lastRow="0" w:firstColumn="1" w:lastColumn="0" w:noHBand="0" w:noVBand="1"/>
        </w:tblPrEx>
        <w:trPr>
          <w:cantSplit/>
          <w:trHeight w:val="324"/>
        </w:trPr>
        <w:tc>
          <w:tcPr>
            <w:tcW w:w="1883" w:type="dxa"/>
            <w:tcBorders>
              <w:right w:val="single" w:sz="4" w:space="0" w:color="auto"/>
            </w:tcBorders>
            <w:vAlign w:val="center"/>
          </w:tcPr>
          <w:p w14:paraId="04FD37C7" w14:textId="77777777" w:rsidR="000F08AB" w:rsidRPr="003E76E7" w:rsidRDefault="000F08AB" w:rsidP="00C4292D">
            <w:pPr>
              <w:spacing w:before="0" w:after="0"/>
              <w:rPr>
                <w:rFonts w:ascii="Arial" w:hAnsi="Arial"/>
                <w:color w:val="000000"/>
                <w:sz w:val="15"/>
                <w:szCs w:val="15"/>
              </w:rPr>
            </w:pPr>
            <w:r w:rsidRPr="003E76E7">
              <w:rPr>
                <w:rFonts w:ascii="Arial" w:hAnsi="Arial"/>
                <w:b/>
                <w:color w:val="000000"/>
                <w:sz w:val="15"/>
                <w:szCs w:val="15"/>
              </w:rPr>
              <w:t>Year</w:t>
            </w:r>
          </w:p>
        </w:tc>
        <w:tc>
          <w:tcPr>
            <w:tcW w:w="3340" w:type="dxa"/>
            <w:tcBorders>
              <w:top w:val="single" w:sz="4" w:space="0" w:color="auto"/>
              <w:left w:val="single" w:sz="4" w:space="0" w:color="auto"/>
              <w:bottom w:val="single" w:sz="4" w:space="0" w:color="auto"/>
              <w:right w:val="single" w:sz="4" w:space="0" w:color="auto"/>
            </w:tcBorders>
            <w:vAlign w:val="center"/>
          </w:tcPr>
          <w:p w14:paraId="01518831" w14:textId="77777777" w:rsidR="000F08AB" w:rsidRPr="003E76E7" w:rsidRDefault="000F08AB" w:rsidP="00C4292D">
            <w:pPr>
              <w:spacing w:before="0" w:after="40"/>
              <w:rPr>
                <w:rFonts w:ascii="Arial" w:hAnsi="Arial"/>
                <w:color w:val="000000"/>
                <w:sz w:val="15"/>
                <w:szCs w:val="15"/>
                <w:u w:val="single"/>
              </w:rPr>
            </w:pPr>
            <w:r w:rsidRPr="003E76E7">
              <w:rPr>
                <w:rFonts w:ascii="Arial" w:hAnsi="Arial"/>
                <w:b/>
                <w:color w:val="000000"/>
                <w:sz w:val="15"/>
                <w:szCs w:val="15"/>
              </w:rPr>
              <w:t>Performance Measures</w:t>
            </w:r>
          </w:p>
        </w:tc>
        <w:tc>
          <w:tcPr>
            <w:tcW w:w="3565" w:type="dxa"/>
            <w:tcBorders>
              <w:top w:val="single" w:sz="4" w:space="0" w:color="auto"/>
              <w:left w:val="single" w:sz="4" w:space="0" w:color="auto"/>
              <w:bottom w:val="single" w:sz="4" w:space="0" w:color="auto"/>
            </w:tcBorders>
            <w:vAlign w:val="center"/>
          </w:tcPr>
          <w:p w14:paraId="2FE2816E" w14:textId="77777777" w:rsidR="000F08AB" w:rsidRPr="003E76E7" w:rsidRDefault="000F08AB" w:rsidP="00C4292D">
            <w:pPr>
              <w:tabs>
                <w:tab w:val="left" w:pos="265"/>
              </w:tabs>
              <w:spacing w:before="0" w:after="0"/>
              <w:rPr>
                <w:rFonts w:ascii="Arial" w:hAnsi="Arial"/>
                <w:color w:val="000000"/>
                <w:sz w:val="15"/>
                <w:szCs w:val="15"/>
              </w:rPr>
            </w:pPr>
            <w:r w:rsidRPr="003E76E7">
              <w:rPr>
                <w:rFonts w:ascii="Arial" w:hAnsi="Arial"/>
                <w:b/>
                <w:color w:val="000000"/>
                <w:sz w:val="15"/>
                <w:szCs w:val="15"/>
              </w:rPr>
              <w:t>Planned Performance Results</w:t>
            </w:r>
          </w:p>
        </w:tc>
      </w:tr>
      <w:tr w:rsidR="000F08AB" w:rsidRPr="003E76E7" w14:paraId="66E6034E" w14:textId="77777777" w:rsidTr="000E1A17">
        <w:trPr>
          <w:cantSplit/>
          <w:trHeight w:val="425"/>
        </w:trPr>
        <w:tc>
          <w:tcPr>
            <w:tcW w:w="1883" w:type="dxa"/>
            <w:tcBorders>
              <w:right w:val="single" w:sz="4" w:space="0" w:color="auto"/>
            </w:tcBorders>
            <w:vAlign w:val="center"/>
          </w:tcPr>
          <w:p w14:paraId="4C5811AB" w14:textId="2B292248" w:rsidR="000F08AB" w:rsidRPr="003E76E7" w:rsidRDefault="000F08AB" w:rsidP="00C4292D">
            <w:pPr>
              <w:spacing w:before="0" w:after="0"/>
              <w:rPr>
                <w:rFonts w:ascii="Arial" w:hAnsi="Arial"/>
                <w:color w:val="000000"/>
                <w:sz w:val="15"/>
                <w:szCs w:val="15"/>
              </w:rPr>
            </w:pPr>
            <w:r w:rsidRPr="003E76E7">
              <w:rPr>
                <w:rFonts w:ascii="Arial" w:hAnsi="Arial"/>
                <w:color w:val="000000"/>
                <w:sz w:val="15"/>
                <w:szCs w:val="15"/>
              </w:rPr>
              <w:t>Forward Estimates</w:t>
            </w:r>
          </w:p>
          <w:p w14:paraId="772DE31C" w14:textId="12362A46" w:rsidR="000F08AB" w:rsidRPr="003E76E7" w:rsidRDefault="000F08AB" w:rsidP="00C4292D">
            <w:pPr>
              <w:spacing w:before="0" w:after="0"/>
              <w:rPr>
                <w:rFonts w:ascii="Arial" w:hAnsi="Arial"/>
                <w:color w:val="000000"/>
                <w:sz w:val="15"/>
                <w:szCs w:val="15"/>
              </w:rPr>
            </w:pPr>
            <w:r w:rsidRPr="003E76E7">
              <w:rPr>
                <w:rFonts w:ascii="Arial" w:hAnsi="Arial"/>
                <w:color w:val="000000"/>
                <w:sz w:val="15"/>
                <w:szCs w:val="15"/>
              </w:rPr>
              <w:t>2027-30</w:t>
            </w:r>
          </w:p>
        </w:tc>
        <w:tc>
          <w:tcPr>
            <w:tcW w:w="3340" w:type="dxa"/>
            <w:tcBorders>
              <w:top w:val="single" w:sz="4" w:space="0" w:color="auto"/>
              <w:left w:val="single" w:sz="4" w:space="0" w:color="auto"/>
              <w:bottom w:val="single" w:sz="4" w:space="0" w:color="auto"/>
              <w:right w:val="single" w:sz="4" w:space="0" w:color="auto"/>
            </w:tcBorders>
            <w:vAlign w:val="center"/>
          </w:tcPr>
          <w:p w14:paraId="366EA7E0" w14:textId="01A9F273" w:rsidR="000F08AB" w:rsidRPr="003E76E7" w:rsidRDefault="000F08AB" w:rsidP="00C4292D">
            <w:pPr>
              <w:keepNext/>
              <w:keepLines/>
              <w:rPr>
                <w:rFonts w:ascii="Arial" w:hAnsi="Arial"/>
                <w:color w:val="000000"/>
                <w:sz w:val="15"/>
                <w:szCs w:val="15"/>
              </w:rPr>
            </w:pPr>
            <w:r w:rsidRPr="003E76E7">
              <w:rPr>
                <w:rFonts w:ascii="Arial" w:hAnsi="Arial"/>
                <w:color w:val="000000"/>
                <w:sz w:val="15"/>
                <w:szCs w:val="15"/>
              </w:rPr>
              <w:t>As per 2026-27.</w:t>
            </w:r>
          </w:p>
        </w:tc>
        <w:tc>
          <w:tcPr>
            <w:tcW w:w="3565" w:type="dxa"/>
            <w:tcBorders>
              <w:top w:val="single" w:sz="4" w:space="0" w:color="auto"/>
              <w:left w:val="single" w:sz="4" w:space="0" w:color="auto"/>
              <w:bottom w:val="single" w:sz="4" w:space="0" w:color="auto"/>
            </w:tcBorders>
            <w:vAlign w:val="center"/>
          </w:tcPr>
          <w:p w14:paraId="4E2B1C35" w14:textId="3C8BED23" w:rsidR="000F08AB" w:rsidRPr="003E76E7" w:rsidRDefault="000F08AB" w:rsidP="00C4292D">
            <w:pPr>
              <w:keepNext/>
              <w:keepLines/>
              <w:rPr>
                <w:rFonts w:ascii="Arial" w:hAnsi="Arial"/>
                <w:color w:val="000000"/>
                <w:sz w:val="15"/>
                <w:szCs w:val="15"/>
              </w:rPr>
            </w:pPr>
            <w:r w:rsidRPr="003E76E7">
              <w:rPr>
                <w:rFonts w:ascii="Arial" w:hAnsi="Arial"/>
                <w:color w:val="000000"/>
                <w:sz w:val="15"/>
                <w:szCs w:val="15"/>
              </w:rPr>
              <w:t>As per 2026-27.</w:t>
            </w:r>
          </w:p>
        </w:tc>
      </w:tr>
    </w:tbl>
    <w:p w14:paraId="0F341FBB" w14:textId="77777777" w:rsidR="000F08AB" w:rsidRPr="003E76E7" w:rsidRDefault="000F08AB" w:rsidP="00C4292D">
      <w:pPr>
        <w:spacing w:before="0" w:after="0"/>
        <w:rPr>
          <w:rFonts w:ascii="Arial" w:hAnsi="Arial"/>
          <w:b/>
          <w:sz w:val="14"/>
          <w:szCs w:val="14"/>
        </w:rPr>
      </w:pPr>
    </w:p>
    <w:p w14:paraId="43E1C285" w14:textId="1C6765B1" w:rsidR="00F57909" w:rsidRPr="003E76E7" w:rsidRDefault="00F57909" w:rsidP="00C4292D">
      <w:pPr>
        <w:spacing w:before="0" w:after="0"/>
        <w:rPr>
          <w:rFonts w:ascii="Arial" w:hAnsi="Arial"/>
          <w:b/>
          <w:sz w:val="14"/>
          <w:szCs w:val="14"/>
        </w:rPr>
      </w:pPr>
      <w:r w:rsidRPr="003E76E7">
        <w:rPr>
          <w:rFonts w:ascii="Arial" w:hAnsi="Arial"/>
          <w:b/>
          <w:sz w:val="14"/>
          <w:szCs w:val="14"/>
        </w:rPr>
        <w:t>Note</w:t>
      </w:r>
      <w:r w:rsidR="003E174E" w:rsidRPr="003E76E7">
        <w:rPr>
          <w:rFonts w:ascii="Arial" w:hAnsi="Arial"/>
          <w:b/>
          <w:sz w:val="14"/>
          <w:szCs w:val="14"/>
        </w:rPr>
        <w:t>s</w:t>
      </w:r>
    </w:p>
    <w:p w14:paraId="19B0442C" w14:textId="2A8695E4" w:rsidR="003E174E" w:rsidRPr="003E76E7" w:rsidRDefault="003E174E" w:rsidP="00C4292D">
      <w:pPr>
        <w:pStyle w:val="ListParagraph"/>
        <w:numPr>
          <w:ilvl w:val="0"/>
          <w:numId w:val="125"/>
        </w:numPr>
        <w:spacing w:before="0" w:after="0"/>
        <w:ind w:left="284" w:hanging="284"/>
        <w:rPr>
          <w:rFonts w:ascii="Arial" w:hAnsi="Arial"/>
          <w:bCs/>
          <w:iCs/>
          <w:sz w:val="14"/>
          <w:szCs w:val="14"/>
        </w:rPr>
      </w:pPr>
      <w:r w:rsidRPr="003E76E7">
        <w:rPr>
          <w:rFonts w:ascii="Arial" w:hAnsi="Arial"/>
          <w:bCs/>
          <w:iCs/>
          <w:sz w:val="14"/>
          <w:szCs w:val="14"/>
        </w:rPr>
        <w:t>Key Activity 1 has been amended to more accurately represent the ASA's role under Program 1.1 of managing and overseeing the acquisition, construction, delivery, sustainment and disposal of nuclear-powered submarines.</w:t>
      </w:r>
    </w:p>
    <w:p w14:paraId="1A341AD0" w14:textId="1EE25CD9" w:rsidR="003E174E" w:rsidRPr="003E76E7" w:rsidRDefault="003E174E" w:rsidP="00C4292D">
      <w:pPr>
        <w:pStyle w:val="ListParagraph"/>
        <w:numPr>
          <w:ilvl w:val="0"/>
          <w:numId w:val="125"/>
        </w:numPr>
        <w:spacing w:before="0" w:after="0"/>
        <w:ind w:left="284" w:hanging="284"/>
        <w:rPr>
          <w:rFonts w:ascii="Arial" w:hAnsi="Arial"/>
          <w:bCs/>
          <w:iCs/>
          <w:sz w:val="14"/>
          <w:szCs w:val="14"/>
        </w:rPr>
      </w:pPr>
      <w:r w:rsidRPr="003E76E7">
        <w:rPr>
          <w:rFonts w:ascii="Arial" w:hAnsi="Arial"/>
          <w:bCs/>
          <w:iCs/>
          <w:sz w:val="14"/>
          <w:szCs w:val="14"/>
        </w:rPr>
        <w:t>Performance Measures 1, 2 and 3 (and corresponding planned performance results) have undergone amendments to reflect the progress of the ASA in implementing the Optimal Pathway, and will be reflected in the ASA's 2026-27 Corporate Plan.</w:t>
      </w:r>
    </w:p>
    <w:p w14:paraId="5407BBC2" w14:textId="1F4B303A" w:rsidR="005D10FA" w:rsidRPr="003E76E7" w:rsidRDefault="005D10FA" w:rsidP="00C4292D">
      <w:pPr>
        <w:pStyle w:val="Heading2level3"/>
        <w:spacing w:before="120" w:after="120"/>
        <w:rPr>
          <w:rStyle w:val="Heading2Char"/>
          <w:sz w:val="26"/>
          <w:szCs w:val="26"/>
        </w:rPr>
      </w:pPr>
      <w:bookmarkStart w:id="1791" w:name="_Toc149060145"/>
      <w:bookmarkStart w:id="1792" w:name="_Toc149116029"/>
      <w:bookmarkStart w:id="1793" w:name="_Toc149119352"/>
      <w:bookmarkStart w:id="1794" w:name="_Toc149233142"/>
      <w:bookmarkStart w:id="1795" w:name="_Toc155955158"/>
      <w:bookmarkStart w:id="1796" w:name="_Toc158896254"/>
      <w:bookmarkStart w:id="1797" w:name="_Toc158896311"/>
      <w:bookmarkStart w:id="1798" w:name="_Toc159499719"/>
      <w:bookmarkStart w:id="1799" w:name="_Toc159858828"/>
      <w:bookmarkStart w:id="1800" w:name="_Toc159858898"/>
      <w:bookmarkStart w:id="1801" w:name="_Toc159859137"/>
      <w:bookmarkStart w:id="1802" w:name="_Toc159862304"/>
      <w:bookmarkStart w:id="1803" w:name="_Toc159862494"/>
      <w:bookmarkStart w:id="1804" w:name="_Toc221786196"/>
      <w:bookmarkStart w:id="1805" w:name="_Toc222129960"/>
      <w:bookmarkStart w:id="1806" w:name="_Toc222148385"/>
      <w:bookmarkStart w:id="1807" w:name="_Toc225848095"/>
      <w:bookmarkStart w:id="1808" w:name="_Toc225848178"/>
      <w:bookmarkStart w:id="1809" w:name="_Toc225848267"/>
      <w:bookmarkStart w:id="1810" w:name="_Toc225848517"/>
      <w:bookmarkStart w:id="1811" w:name="_Toc225941585"/>
      <w:bookmarkStart w:id="1812" w:name="_Toc225942592"/>
      <w:bookmarkStart w:id="1813" w:name="_Toc227334402"/>
      <w:bookmarkStart w:id="1814" w:name="_Toc229072477"/>
      <w:bookmarkStart w:id="1815" w:name="_Toc229072649"/>
      <w:bookmarkStart w:id="1816" w:name="_Toc476581174"/>
      <w:bookmarkStart w:id="1817" w:name="_Toc507595441"/>
      <w:bookmarkStart w:id="1818" w:name="_Toc536089248"/>
      <w:bookmarkStart w:id="1819" w:name="_Toc536089614"/>
      <w:bookmarkStart w:id="1820" w:name="_Toc1561701"/>
      <w:bookmarkStart w:id="1821" w:name="_Toc51691697"/>
      <w:bookmarkStart w:id="1822" w:name="_Toc69729067"/>
      <w:bookmarkStart w:id="1823" w:name="_Toc69917862"/>
      <w:bookmarkStart w:id="1824" w:name="_Toc108088964"/>
      <w:bookmarkStart w:id="1825" w:name="_Toc108089043"/>
      <w:bookmarkStart w:id="1826" w:name="_Toc108089437"/>
      <w:bookmarkStart w:id="1827" w:name="_Toc109227759"/>
      <w:r w:rsidRPr="003E76E7">
        <w:rPr>
          <w:rStyle w:val="Heading2Char"/>
          <w:sz w:val="26"/>
          <w:szCs w:val="26"/>
        </w:rPr>
        <w:lastRenderedPageBreak/>
        <w:t>Section 3: ASA Explanatory Tables and Budgeted Financial Statements</w:t>
      </w:r>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p>
    <w:p w14:paraId="24959352" w14:textId="12098CF0" w:rsidR="00BE1014" w:rsidRPr="003E76E7" w:rsidRDefault="00BE1014" w:rsidP="00C4292D">
      <w:pPr>
        <w:spacing w:before="60" w:after="60" w:line="256" w:lineRule="auto"/>
        <w:rPr>
          <w:lang w:val="en-AU"/>
        </w:rPr>
      </w:pPr>
      <w:r w:rsidRPr="003E76E7">
        <w:rPr>
          <w:lang w:val="en-AU"/>
        </w:rPr>
        <w:t xml:space="preserve">Section 3 presents explanatory tables and budgeted financial statements, which provide a comprehensive snapshot of </w:t>
      </w:r>
      <w:r w:rsidRPr="003E76E7">
        <w:rPr>
          <w:lang w:val="en-AU" w:eastAsia="en-US"/>
        </w:rPr>
        <w:t>ASA’s</w:t>
      </w:r>
      <w:r w:rsidRPr="003E76E7">
        <w:rPr>
          <w:lang w:val="en-AU"/>
        </w:rPr>
        <w:t xml:space="preserve"> finances for the 2026-27 </w:t>
      </w:r>
      <w:r w:rsidR="00DE0E57" w:rsidRPr="003E76E7">
        <w:rPr>
          <w:lang w:val="en-AU"/>
        </w:rPr>
        <w:t>B</w:t>
      </w:r>
      <w:r w:rsidRPr="003E76E7">
        <w:rPr>
          <w:lang w:val="en-AU"/>
        </w:rPr>
        <w:t xml:space="preserve">udget </w:t>
      </w:r>
      <w:r w:rsidR="00DE0E57" w:rsidRPr="003E76E7">
        <w:rPr>
          <w:lang w:val="en-AU"/>
        </w:rPr>
        <w:t>y</w:t>
      </w:r>
      <w:r w:rsidRPr="003E76E7">
        <w:rPr>
          <w:lang w:val="en-AU"/>
        </w:rPr>
        <w:t xml:space="preserve">ear, including the impact of Budget Measures and </w:t>
      </w:r>
      <w:r w:rsidRPr="003E76E7">
        <w:t>resourcing</w:t>
      </w:r>
      <w:r w:rsidRPr="003E76E7">
        <w:rPr>
          <w:lang w:val="en-AU"/>
        </w:rPr>
        <w:t xml:space="preserve"> on financial statements.</w:t>
      </w:r>
    </w:p>
    <w:p w14:paraId="6A0E9AF8" w14:textId="77777777" w:rsidR="00761824" w:rsidRPr="003E76E7" w:rsidRDefault="00761824" w:rsidP="00C4292D">
      <w:pPr>
        <w:pStyle w:val="Heading4"/>
        <w:rPr>
          <w:sz w:val="24"/>
          <w:szCs w:val="24"/>
        </w:rPr>
      </w:pPr>
      <w:bookmarkStart w:id="1828" w:name="_Toc159858829"/>
      <w:bookmarkStart w:id="1829" w:name="_Toc159858899"/>
      <w:bookmarkStart w:id="1830" w:name="_Toc159859138"/>
      <w:bookmarkStart w:id="1831" w:name="_Toc159862305"/>
      <w:bookmarkStart w:id="1832" w:name="_Toc159862495"/>
      <w:bookmarkStart w:id="1833" w:name="_Toc222129961"/>
      <w:bookmarkStart w:id="1834" w:name="_Toc222148386"/>
      <w:bookmarkStart w:id="1835" w:name="_Toc225848096"/>
      <w:bookmarkStart w:id="1836" w:name="_Toc225848179"/>
      <w:bookmarkStart w:id="1837" w:name="_Toc225848518"/>
      <w:bookmarkStart w:id="1838" w:name="_Toc225941586"/>
      <w:bookmarkStart w:id="1839" w:name="_Toc225942593"/>
      <w:bookmarkStart w:id="1840" w:name="_Toc227334403"/>
      <w:bookmarkStart w:id="1841" w:name="_Toc229072478"/>
      <w:bookmarkStart w:id="1842" w:name="_Toc229072650"/>
      <w:r w:rsidRPr="003E76E7">
        <w:rPr>
          <w:sz w:val="24"/>
          <w:szCs w:val="24"/>
        </w:rPr>
        <w:t>3.1 Explanatory Tables</w:t>
      </w:r>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p>
    <w:p w14:paraId="4D5C15B4" w14:textId="77777777" w:rsidR="00F44961" w:rsidRPr="003E76E7" w:rsidRDefault="00F44961" w:rsidP="00C4292D">
      <w:pPr>
        <w:pStyle w:val="TableHeading"/>
        <w:numPr>
          <w:ilvl w:val="0"/>
          <w:numId w:val="63"/>
        </w:numPr>
        <w:spacing w:before="100"/>
        <w:ind w:left="0" w:firstLine="0"/>
        <w:outlineLvl w:val="4"/>
      </w:pPr>
      <w:r w:rsidRPr="003E76E7">
        <w:t>Third Party Payments to and from Other Agencies</w:t>
      </w:r>
      <w:r w:rsidR="00BF3DBD" w:rsidRPr="003E76E7">
        <w:t xml:space="preserve"> </w:t>
      </w:r>
      <w:r w:rsidR="00FC6E7B" w:rsidRPr="003E76E7">
        <w:rPr>
          <w:vertAlign w:val="superscript"/>
        </w:rPr>
        <w:t>[a]</w:t>
      </w:r>
    </w:p>
    <w:p w14:paraId="60B96CA9" w14:textId="769580D5" w:rsidR="009A7077" w:rsidRPr="003E76E7" w:rsidRDefault="00F913B5" w:rsidP="00C4292D">
      <w:pPr>
        <w:spacing w:after="0"/>
        <w:rPr>
          <w:lang w:val="en-AU"/>
        </w:rPr>
      </w:pPr>
      <w:r w:rsidRPr="003E76E7">
        <w:rPr>
          <w:noProof/>
          <w:lang w:val="en-AU"/>
        </w:rPr>
        <w:drawing>
          <wp:inline distT="0" distB="0" distL="0" distR="0" wp14:anchorId="08F9C8B2" wp14:editId="14B4C926">
            <wp:extent cx="5316855" cy="7639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316855" cy="763905"/>
                    </a:xfrm>
                    <a:prstGeom prst="rect">
                      <a:avLst/>
                    </a:prstGeom>
                    <a:noFill/>
                    <a:ln>
                      <a:noFill/>
                    </a:ln>
                  </pic:spPr>
                </pic:pic>
              </a:graphicData>
            </a:graphic>
          </wp:inline>
        </w:drawing>
      </w:r>
    </w:p>
    <w:p w14:paraId="448A7A2B" w14:textId="77777777" w:rsidR="00776A1B" w:rsidRPr="003E76E7" w:rsidRDefault="00776A1B" w:rsidP="00C4292D">
      <w:pPr>
        <w:spacing w:before="0" w:after="0"/>
        <w:rPr>
          <w:rFonts w:ascii="Arial" w:hAnsi="Arial"/>
          <w:sz w:val="14"/>
          <w:szCs w:val="14"/>
          <w:lang w:val="en-AU"/>
        </w:rPr>
      </w:pPr>
    </w:p>
    <w:p w14:paraId="0F7D973F" w14:textId="77777777" w:rsidR="00776A1B" w:rsidRPr="003E76E7" w:rsidRDefault="00776A1B" w:rsidP="00C4292D">
      <w:pPr>
        <w:spacing w:before="0" w:after="0"/>
        <w:rPr>
          <w:rFonts w:ascii="Arial" w:hAnsi="Arial"/>
          <w:b/>
          <w:sz w:val="14"/>
          <w:szCs w:val="14"/>
        </w:rPr>
      </w:pPr>
      <w:r w:rsidRPr="003E76E7">
        <w:rPr>
          <w:rFonts w:ascii="Arial" w:hAnsi="Arial"/>
          <w:b/>
          <w:sz w:val="14"/>
          <w:szCs w:val="14"/>
        </w:rPr>
        <w:t>Note</w:t>
      </w:r>
      <w:r w:rsidRPr="003E76E7">
        <w:rPr>
          <w:rFonts w:ascii="Arial" w:hAnsi="Arial"/>
          <w:b/>
          <w:sz w:val="14"/>
          <w:szCs w:val="14"/>
        </w:rPr>
        <w:tab/>
      </w:r>
      <w:r w:rsidRPr="003E76E7">
        <w:rPr>
          <w:rFonts w:ascii="Arial" w:hAnsi="Arial"/>
          <w:b/>
          <w:sz w:val="14"/>
          <w:szCs w:val="14"/>
        </w:rPr>
        <w:tab/>
      </w:r>
    </w:p>
    <w:p w14:paraId="601FF445" w14:textId="77777777" w:rsidR="00776A1B" w:rsidRPr="003E76E7" w:rsidRDefault="00776A1B" w:rsidP="00C4292D">
      <w:pPr>
        <w:spacing w:before="0" w:after="0"/>
        <w:ind w:left="284" w:hanging="284"/>
        <w:rPr>
          <w:rFonts w:ascii="Arial" w:hAnsi="Arial"/>
          <w:sz w:val="14"/>
          <w:szCs w:val="14"/>
        </w:rPr>
      </w:pPr>
      <w:r w:rsidRPr="003E76E7">
        <w:rPr>
          <w:rFonts w:ascii="Arial" w:hAnsi="Arial"/>
          <w:sz w:val="14"/>
          <w:szCs w:val="14"/>
        </w:rPr>
        <w:t>a.</w:t>
      </w:r>
      <w:r w:rsidRPr="003E76E7">
        <w:rPr>
          <w:rFonts w:ascii="Arial" w:hAnsi="Arial"/>
          <w:sz w:val="14"/>
          <w:szCs w:val="14"/>
        </w:rPr>
        <w:tab/>
      </w:r>
      <w:r w:rsidR="00A84CB5" w:rsidRPr="003E76E7">
        <w:rPr>
          <w:rFonts w:ascii="Arial" w:hAnsi="Arial"/>
          <w:sz w:val="14"/>
          <w:szCs w:val="14"/>
        </w:rPr>
        <w:tab/>
        <w:t xml:space="preserve"> </w:t>
      </w:r>
      <w:r w:rsidR="00A84CB5" w:rsidRPr="003E76E7">
        <w:rPr>
          <w:rFonts w:ascii="Arial" w:hAnsi="Arial"/>
          <w:sz w:val="14"/>
          <w:szCs w:val="14"/>
        </w:rPr>
        <w:tab/>
        <w:t xml:space="preserve"> </w:t>
      </w:r>
      <w:r w:rsidRPr="003E76E7">
        <w:rPr>
          <w:rFonts w:ascii="Arial" w:hAnsi="Arial"/>
          <w:sz w:val="14"/>
          <w:szCs w:val="14"/>
        </w:rPr>
        <w:t>Third party payments to and from other Agencies include:</w:t>
      </w:r>
      <w:r w:rsidRPr="003E76E7">
        <w:rPr>
          <w:rFonts w:ascii="Arial" w:hAnsi="Arial"/>
          <w:sz w:val="14"/>
          <w:szCs w:val="14"/>
        </w:rPr>
        <w:tab/>
      </w:r>
      <w:r w:rsidRPr="003E76E7">
        <w:rPr>
          <w:rFonts w:ascii="Arial" w:hAnsi="Arial"/>
          <w:sz w:val="14"/>
          <w:szCs w:val="14"/>
        </w:rPr>
        <w:tab/>
      </w:r>
    </w:p>
    <w:p w14:paraId="400310E2" w14:textId="7FC8B836" w:rsidR="00F57909" w:rsidRPr="003E76E7" w:rsidRDefault="00776A1B" w:rsidP="00C4292D">
      <w:pPr>
        <w:spacing w:before="0" w:after="0"/>
        <w:ind w:left="284" w:hanging="142"/>
        <w:rPr>
          <w:rFonts w:ascii="Arial" w:hAnsi="Arial"/>
          <w:sz w:val="14"/>
          <w:szCs w:val="14"/>
        </w:rPr>
      </w:pPr>
      <w:r w:rsidRPr="003E76E7">
        <w:rPr>
          <w:rFonts w:ascii="Arial" w:hAnsi="Arial"/>
          <w:sz w:val="14"/>
          <w:szCs w:val="14"/>
        </w:rPr>
        <w:tab/>
      </w:r>
      <w:r w:rsidR="00F57909" w:rsidRPr="003E76E7">
        <w:rPr>
          <w:rFonts w:ascii="Arial" w:hAnsi="Arial"/>
          <w:sz w:val="14"/>
          <w:szCs w:val="14"/>
        </w:rPr>
        <w:t xml:space="preserve">- </w:t>
      </w:r>
      <w:r w:rsidRPr="003E76E7">
        <w:rPr>
          <w:rFonts w:ascii="Arial" w:hAnsi="Arial"/>
          <w:sz w:val="14"/>
          <w:szCs w:val="14"/>
        </w:rPr>
        <w:t>Inter-agency transactions in excess of $20</w:t>
      </w:r>
      <w:r w:rsidR="001726F8" w:rsidRPr="003E76E7">
        <w:rPr>
          <w:rFonts w:ascii="Arial" w:hAnsi="Arial"/>
          <w:sz w:val="14"/>
          <w:szCs w:val="14"/>
        </w:rPr>
        <w:t xml:space="preserve"> </w:t>
      </w:r>
      <w:r w:rsidRPr="003E76E7">
        <w:rPr>
          <w:rFonts w:ascii="Arial" w:hAnsi="Arial"/>
          <w:sz w:val="14"/>
          <w:szCs w:val="14"/>
        </w:rPr>
        <w:t>m</w:t>
      </w:r>
      <w:r w:rsidR="001726F8" w:rsidRPr="003E76E7">
        <w:rPr>
          <w:rFonts w:ascii="Arial" w:hAnsi="Arial"/>
          <w:sz w:val="14"/>
          <w:szCs w:val="14"/>
        </w:rPr>
        <w:t>illion</w:t>
      </w:r>
      <w:r w:rsidRPr="003E76E7">
        <w:rPr>
          <w:rFonts w:ascii="Arial" w:hAnsi="Arial"/>
          <w:sz w:val="14"/>
          <w:szCs w:val="14"/>
        </w:rPr>
        <w:t xml:space="preserve"> per annum; and</w:t>
      </w:r>
      <w:r w:rsidRPr="003E76E7">
        <w:rPr>
          <w:rFonts w:ascii="Arial" w:hAnsi="Arial"/>
          <w:sz w:val="14"/>
          <w:szCs w:val="14"/>
        </w:rPr>
        <w:tab/>
      </w:r>
      <w:r w:rsidRPr="003E76E7">
        <w:rPr>
          <w:rFonts w:ascii="Arial" w:hAnsi="Arial"/>
          <w:sz w:val="14"/>
          <w:szCs w:val="14"/>
        </w:rPr>
        <w:tab/>
      </w:r>
      <w:r w:rsidRPr="003E76E7">
        <w:rPr>
          <w:rFonts w:ascii="Arial" w:hAnsi="Arial"/>
          <w:sz w:val="14"/>
          <w:szCs w:val="14"/>
        </w:rPr>
        <w:tab/>
      </w:r>
      <w:r w:rsidRPr="003E76E7">
        <w:rPr>
          <w:rFonts w:ascii="Arial" w:hAnsi="Arial"/>
          <w:sz w:val="14"/>
          <w:szCs w:val="14"/>
        </w:rPr>
        <w:tab/>
      </w:r>
    </w:p>
    <w:p w14:paraId="23D68269" w14:textId="5E824AB0" w:rsidR="00776A1B" w:rsidRPr="003E76E7" w:rsidRDefault="00F57909" w:rsidP="00C4292D">
      <w:pPr>
        <w:spacing w:before="0" w:after="0"/>
        <w:ind w:left="284" w:hanging="142"/>
        <w:rPr>
          <w:rFonts w:ascii="Arial" w:hAnsi="Arial"/>
          <w:sz w:val="14"/>
          <w:szCs w:val="14"/>
          <w:lang w:val="en-AU"/>
        </w:rPr>
      </w:pPr>
      <w:r w:rsidRPr="003E76E7">
        <w:rPr>
          <w:rFonts w:ascii="Arial" w:hAnsi="Arial"/>
          <w:sz w:val="14"/>
          <w:szCs w:val="14"/>
        </w:rPr>
        <w:tab/>
        <w:t xml:space="preserve">- </w:t>
      </w:r>
      <w:r w:rsidR="00776A1B" w:rsidRPr="003E76E7">
        <w:rPr>
          <w:rFonts w:ascii="Arial" w:hAnsi="Arial"/>
          <w:sz w:val="14"/>
          <w:szCs w:val="14"/>
        </w:rPr>
        <w:t>Inter-agency transactions relating to Budget Measures as disclosed in Defence Budget Measures</w:t>
      </w:r>
      <w:r w:rsidR="00776A1B" w:rsidRPr="003E76E7">
        <w:rPr>
          <w:rFonts w:ascii="Arial" w:hAnsi="Arial"/>
          <w:sz w:val="14"/>
          <w:szCs w:val="14"/>
          <w:lang w:val="en-AU"/>
        </w:rPr>
        <w:t>.</w:t>
      </w:r>
      <w:r w:rsidR="00776A1B" w:rsidRPr="003E76E7">
        <w:rPr>
          <w:rFonts w:ascii="Arial" w:hAnsi="Arial"/>
          <w:sz w:val="14"/>
          <w:szCs w:val="14"/>
          <w:lang w:val="en-AU"/>
        </w:rPr>
        <w:tab/>
      </w:r>
      <w:r w:rsidR="00776A1B" w:rsidRPr="003E76E7">
        <w:rPr>
          <w:rFonts w:ascii="Arial" w:hAnsi="Arial"/>
          <w:sz w:val="14"/>
          <w:szCs w:val="14"/>
          <w:lang w:val="en-AU"/>
        </w:rPr>
        <w:tab/>
      </w:r>
    </w:p>
    <w:p w14:paraId="7755B202" w14:textId="77777777" w:rsidR="00761824" w:rsidRPr="003E76E7" w:rsidRDefault="00761824" w:rsidP="00C4292D">
      <w:pPr>
        <w:pStyle w:val="Heading4"/>
      </w:pPr>
      <w:r w:rsidRPr="003E76E7">
        <w:rPr>
          <w:lang w:val="en-AU"/>
        </w:rPr>
        <w:br w:type="page"/>
      </w:r>
      <w:bookmarkStart w:id="1843" w:name="_Toc476581175"/>
      <w:bookmarkStart w:id="1844" w:name="_Toc507595442"/>
      <w:bookmarkStart w:id="1845" w:name="_Toc536089249"/>
      <w:bookmarkStart w:id="1846" w:name="_Toc536089615"/>
      <w:bookmarkStart w:id="1847" w:name="_Toc1561702"/>
      <w:bookmarkStart w:id="1848" w:name="_Toc51691698"/>
      <w:bookmarkStart w:id="1849" w:name="_Toc69729068"/>
      <w:bookmarkStart w:id="1850" w:name="_Toc69917863"/>
      <w:bookmarkStart w:id="1851" w:name="_Toc108088965"/>
      <w:bookmarkStart w:id="1852" w:name="_Toc108089044"/>
      <w:bookmarkStart w:id="1853" w:name="_Toc108089438"/>
      <w:bookmarkStart w:id="1854" w:name="_Toc109227760"/>
      <w:bookmarkStart w:id="1855" w:name="_Toc159499720"/>
      <w:bookmarkStart w:id="1856" w:name="_Toc159858830"/>
      <w:bookmarkStart w:id="1857" w:name="_Toc159858900"/>
      <w:bookmarkStart w:id="1858" w:name="_Toc159859139"/>
      <w:bookmarkStart w:id="1859" w:name="_Toc159862306"/>
      <w:bookmarkStart w:id="1860" w:name="_Toc159862496"/>
      <w:bookmarkStart w:id="1861" w:name="_Toc222129962"/>
      <w:bookmarkStart w:id="1862" w:name="_Toc222148387"/>
      <w:bookmarkStart w:id="1863" w:name="_Toc225848097"/>
      <w:bookmarkStart w:id="1864" w:name="_Toc225848180"/>
      <w:bookmarkStart w:id="1865" w:name="_Toc225848519"/>
      <w:bookmarkStart w:id="1866" w:name="_Toc225941587"/>
      <w:bookmarkStart w:id="1867" w:name="_Toc225942594"/>
      <w:bookmarkStart w:id="1868" w:name="_Toc227334404"/>
      <w:bookmarkStart w:id="1869" w:name="_Toc229072479"/>
      <w:bookmarkStart w:id="1870" w:name="_Toc229072651"/>
      <w:r w:rsidRPr="003E76E7">
        <w:rPr>
          <w:sz w:val="24"/>
          <w:szCs w:val="24"/>
        </w:rPr>
        <w:lastRenderedPageBreak/>
        <w:t>3.2 Budgeted Financial Statements</w:t>
      </w:r>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p>
    <w:p w14:paraId="2D9AFBF3" w14:textId="77777777" w:rsidR="00761824" w:rsidRPr="003E76E7" w:rsidRDefault="00761824" w:rsidP="00C4292D">
      <w:pPr>
        <w:pStyle w:val="Heading4level5"/>
        <w:spacing w:before="0" w:after="200"/>
      </w:pPr>
      <w:r w:rsidRPr="003E76E7">
        <w:t>3.2.1 Budgeted Financial Statements</w:t>
      </w:r>
    </w:p>
    <w:p w14:paraId="2DC0719F" w14:textId="55A5900E" w:rsidR="00173112" w:rsidRPr="003E76E7" w:rsidRDefault="00173112" w:rsidP="00C4292D">
      <w:pPr>
        <w:pStyle w:val="TableHeading"/>
        <w:numPr>
          <w:ilvl w:val="0"/>
          <w:numId w:val="63"/>
        </w:numPr>
        <w:spacing w:before="0"/>
        <w:ind w:left="0" w:firstLine="0"/>
        <w:outlineLvl w:val="4"/>
      </w:pPr>
      <w:r w:rsidRPr="003E76E7">
        <w:t xml:space="preserve">Budgeted Departmental Comprehensive Income Statement </w:t>
      </w:r>
      <w:r w:rsidR="002A44E9" w:rsidRPr="003E76E7">
        <w:br/>
      </w:r>
      <w:r w:rsidRPr="003E76E7">
        <w:t>(Showing Net Cost of Services) (for the period ended 30 June)</w:t>
      </w:r>
    </w:p>
    <w:p w14:paraId="4AD39A28" w14:textId="2195F191" w:rsidR="00E65A0A" w:rsidRPr="003E76E7" w:rsidRDefault="00F913B5" w:rsidP="00C4292D">
      <w:pPr>
        <w:spacing w:after="0"/>
      </w:pPr>
      <w:r w:rsidRPr="003E76E7">
        <w:rPr>
          <w:noProof/>
          <w:lang w:val="en-AU"/>
        </w:rPr>
        <w:drawing>
          <wp:inline distT="0" distB="0" distL="0" distR="0" wp14:anchorId="0979E152" wp14:editId="6C9774A7">
            <wp:extent cx="5472430" cy="5541649"/>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472430" cy="5541649"/>
                    </a:xfrm>
                    <a:prstGeom prst="rect">
                      <a:avLst/>
                    </a:prstGeom>
                    <a:noFill/>
                    <a:ln>
                      <a:noFill/>
                    </a:ln>
                  </pic:spPr>
                </pic:pic>
              </a:graphicData>
            </a:graphic>
          </wp:inline>
        </w:drawing>
      </w:r>
    </w:p>
    <w:p w14:paraId="05D7CF31" w14:textId="77777777" w:rsidR="004737F2" w:rsidRPr="003E76E7" w:rsidRDefault="004737F2" w:rsidP="00C4292D">
      <w:pPr>
        <w:spacing w:before="0" w:after="0"/>
        <w:rPr>
          <w:rFonts w:ascii="Arial" w:hAnsi="Arial"/>
          <w:b/>
          <w:sz w:val="14"/>
          <w:szCs w:val="14"/>
          <w:lang w:val="en-AU"/>
        </w:rPr>
      </w:pPr>
    </w:p>
    <w:p w14:paraId="32CDCF9E" w14:textId="014D197F" w:rsidR="00576988" w:rsidRPr="003E76E7" w:rsidRDefault="00576988" w:rsidP="00C4292D">
      <w:pPr>
        <w:spacing w:before="0" w:after="0"/>
        <w:rPr>
          <w:rFonts w:ascii="Arial" w:hAnsi="Arial"/>
          <w:b/>
          <w:sz w:val="14"/>
          <w:szCs w:val="14"/>
          <w:lang w:val="en-AU"/>
        </w:rPr>
      </w:pPr>
      <w:r w:rsidRPr="003E76E7">
        <w:rPr>
          <w:rFonts w:ascii="Arial" w:hAnsi="Arial"/>
          <w:b/>
          <w:sz w:val="14"/>
          <w:szCs w:val="14"/>
          <w:lang w:val="en-AU"/>
        </w:rPr>
        <w:t>Note</w:t>
      </w:r>
      <w:r w:rsidRPr="003E76E7">
        <w:rPr>
          <w:rFonts w:ascii="Arial" w:hAnsi="Arial"/>
          <w:b/>
          <w:sz w:val="14"/>
          <w:szCs w:val="14"/>
          <w:lang w:val="en-AU"/>
        </w:rPr>
        <w:tab/>
      </w:r>
      <w:r w:rsidRPr="003E76E7">
        <w:rPr>
          <w:rFonts w:ascii="Arial" w:hAnsi="Arial"/>
          <w:b/>
          <w:sz w:val="14"/>
          <w:szCs w:val="14"/>
          <w:lang w:val="en-AU"/>
        </w:rPr>
        <w:tab/>
      </w:r>
      <w:r w:rsidRPr="003E76E7">
        <w:rPr>
          <w:rFonts w:ascii="Arial" w:hAnsi="Arial"/>
          <w:b/>
          <w:sz w:val="14"/>
          <w:szCs w:val="14"/>
          <w:lang w:val="en-AU"/>
        </w:rPr>
        <w:tab/>
      </w:r>
      <w:r w:rsidRPr="003E76E7">
        <w:rPr>
          <w:rFonts w:ascii="Arial" w:hAnsi="Arial"/>
          <w:b/>
          <w:sz w:val="14"/>
          <w:szCs w:val="14"/>
          <w:lang w:val="en-AU"/>
        </w:rPr>
        <w:tab/>
      </w:r>
      <w:r w:rsidRPr="003E76E7">
        <w:rPr>
          <w:rFonts w:ascii="Arial" w:hAnsi="Arial"/>
          <w:b/>
          <w:sz w:val="14"/>
          <w:szCs w:val="14"/>
          <w:lang w:val="en-AU"/>
        </w:rPr>
        <w:tab/>
      </w:r>
      <w:r w:rsidRPr="003E76E7">
        <w:rPr>
          <w:rFonts w:ascii="Arial" w:hAnsi="Arial"/>
          <w:b/>
          <w:sz w:val="14"/>
          <w:szCs w:val="14"/>
          <w:lang w:val="en-AU"/>
        </w:rPr>
        <w:tab/>
      </w:r>
      <w:r w:rsidRPr="003E76E7">
        <w:rPr>
          <w:rFonts w:ascii="Arial" w:hAnsi="Arial"/>
          <w:b/>
          <w:sz w:val="14"/>
          <w:szCs w:val="14"/>
          <w:lang w:val="en-AU"/>
        </w:rPr>
        <w:tab/>
      </w:r>
      <w:r w:rsidR="00902478" w:rsidRPr="003E76E7">
        <w:rPr>
          <w:rFonts w:ascii="Arial" w:hAnsi="Arial"/>
          <w:b/>
          <w:sz w:val="14"/>
          <w:szCs w:val="14"/>
          <w:lang w:val="en-AU"/>
        </w:rPr>
        <w:t>s</w:t>
      </w:r>
    </w:p>
    <w:p w14:paraId="1F81D717" w14:textId="0952ACA2" w:rsidR="002A44E9" w:rsidRPr="003E76E7" w:rsidRDefault="002A44E9" w:rsidP="00C4292D">
      <w:pPr>
        <w:tabs>
          <w:tab w:val="left" w:pos="284"/>
        </w:tabs>
        <w:spacing w:before="0" w:after="0"/>
        <w:ind w:left="284" w:hanging="284"/>
        <w:rPr>
          <w:rFonts w:ascii="Arial" w:hAnsi="Arial"/>
          <w:sz w:val="14"/>
          <w:szCs w:val="14"/>
        </w:rPr>
      </w:pPr>
      <w:r w:rsidRPr="003E76E7">
        <w:rPr>
          <w:rFonts w:ascii="Arial" w:hAnsi="Arial"/>
          <w:sz w:val="14"/>
          <w:szCs w:val="14"/>
          <w:lang w:val="en-AU"/>
        </w:rPr>
        <w:t>a.</w:t>
      </w:r>
      <w:r w:rsidRPr="003E76E7">
        <w:rPr>
          <w:rFonts w:ascii="Arial" w:hAnsi="Arial"/>
          <w:sz w:val="14"/>
          <w:szCs w:val="14"/>
          <w:lang w:val="en-AU"/>
        </w:rPr>
        <w:tab/>
      </w:r>
      <w:r w:rsidR="00863B4D" w:rsidRPr="003E76E7">
        <w:rPr>
          <w:rFonts w:ascii="Arial" w:hAnsi="Arial"/>
          <w:sz w:val="14"/>
          <w:szCs w:val="14"/>
          <w:lang w:val="en-AU"/>
        </w:rPr>
        <w:t>From 2010-11, the Government introduced net cash appropriation arrangements where Appropriation Bill (No. 1)</w:t>
      </w:r>
      <w:r w:rsidR="00863B4D" w:rsidRPr="003E76E7">
        <w:rPr>
          <w:rFonts w:ascii="Arial" w:hAnsi="Arial"/>
          <w:i/>
          <w:sz w:val="14"/>
          <w:szCs w:val="14"/>
          <w:lang w:val="en-AU"/>
        </w:rPr>
        <w:t xml:space="preserve"> </w:t>
      </w:r>
      <w:r w:rsidR="00863B4D" w:rsidRPr="003E76E7">
        <w:rPr>
          <w:rFonts w:ascii="Arial" w:hAnsi="Arial"/>
          <w:sz w:val="14"/>
          <w:szCs w:val="14"/>
          <w:lang w:val="en-AU"/>
        </w:rPr>
        <w:t xml:space="preserve">revenue appropriations for the depreciation/amortisation expenses of non-corporate Commonwealth entities (and select Commonwealth entities) were replaced with </w:t>
      </w:r>
      <w:r w:rsidR="003655F9" w:rsidRPr="003E76E7">
        <w:rPr>
          <w:rFonts w:ascii="Arial" w:hAnsi="Arial"/>
          <w:sz w:val="14"/>
          <w:szCs w:val="14"/>
          <w:lang w:val="en-AU"/>
        </w:rPr>
        <w:t>a separate capital budget (the Departmental Capital B</w:t>
      </w:r>
      <w:r w:rsidR="00863B4D" w:rsidRPr="003E76E7">
        <w:rPr>
          <w:rFonts w:ascii="Arial" w:hAnsi="Arial"/>
          <w:sz w:val="14"/>
          <w:szCs w:val="14"/>
          <w:lang w:val="en-AU"/>
        </w:rPr>
        <w:t>udget or DCB) provided through</w:t>
      </w:r>
      <w:r w:rsidR="00863B4D" w:rsidRPr="003E76E7">
        <w:rPr>
          <w:rFonts w:ascii="Arial" w:hAnsi="Arial"/>
          <w:i/>
          <w:sz w:val="14"/>
          <w:szCs w:val="14"/>
          <w:lang w:val="en-AU"/>
        </w:rPr>
        <w:t xml:space="preserve"> </w:t>
      </w:r>
      <w:r w:rsidR="003655F9" w:rsidRPr="003E76E7">
        <w:rPr>
          <w:rFonts w:ascii="Arial" w:hAnsi="Arial"/>
          <w:i/>
          <w:sz w:val="14"/>
          <w:szCs w:val="14"/>
          <w:lang w:val="en-AU"/>
        </w:rPr>
        <w:br/>
      </w:r>
      <w:r w:rsidR="00863B4D" w:rsidRPr="003E76E7">
        <w:rPr>
          <w:rFonts w:ascii="Arial" w:hAnsi="Arial"/>
          <w:sz w:val="14"/>
          <w:szCs w:val="14"/>
          <w:lang w:val="en-AU"/>
        </w:rPr>
        <w:t>Appropriation Bill (No. 1) equity appropriations. For information regardin</w:t>
      </w:r>
      <w:r w:rsidR="00BE7057">
        <w:rPr>
          <w:rFonts w:ascii="Arial" w:hAnsi="Arial"/>
          <w:sz w:val="14"/>
          <w:szCs w:val="14"/>
          <w:lang w:val="en-AU"/>
        </w:rPr>
        <w:t>g DCBs, please refer to Table 11</w:t>
      </w:r>
      <w:r w:rsidR="00863B4D" w:rsidRPr="003E76E7">
        <w:rPr>
          <w:rFonts w:ascii="Arial" w:hAnsi="Arial"/>
          <w:sz w:val="14"/>
          <w:szCs w:val="14"/>
          <w:lang w:val="en-AU"/>
        </w:rPr>
        <w:t xml:space="preserve"> Departmental Capital </w:t>
      </w:r>
      <w:r w:rsidR="003655F9" w:rsidRPr="003E76E7">
        <w:rPr>
          <w:rFonts w:ascii="Arial" w:hAnsi="Arial"/>
          <w:sz w:val="14"/>
          <w:szCs w:val="14"/>
          <w:lang w:val="en-AU"/>
        </w:rPr>
        <w:br/>
      </w:r>
      <w:r w:rsidR="00863B4D" w:rsidRPr="003E76E7">
        <w:rPr>
          <w:rFonts w:ascii="Arial" w:hAnsi="Arial"/>
          <w:sz w:val="14"/>
          <w:szCs w:val="14"/>
          <w:lang w:val="en-AU"/>
        </w:rPr>
        <w:t>Budget Statement.</w:t>
      </w:r>
    </w:p>
    <w:p w14:paraId="532554E9" w14:textId="77777777" w:rsidR="002A44E9" w:rsidRPr="003E76E7" w:rsidRDefault="002A44E9" w:rsidP="00C4292D">
      <w:pPr>
        <w:tabs>
          <w:tab w:val="left" w:pos="284"/>
        </w:tabs>
        <w:spacing w:before="0" w:after="0"/>
        <w:rPr>
          <w:rFonts w:ascii="Arial" w:hAnsi="Arial"/>
          <w:sz w:val="14"/>
          <w:szCs w:val="14"/>
          <w:lang w:val="en-AU"/>
        </w:rPr>
      </w:pPr>
      <w:r w:rsidRPr="003E76E7">
        <w:rPr>
          <w:rFonts w:ascii="Arial" w:hAnsi="Arial"/>
          <w:sz w:val="14"/>
          <w:szCs w:val="14"/>
        </w:rPr>
        <w:t>b.</w:t>
      </w:r>
      <w:r w:rsidRPr="003E76E7">
        <w:rPr>
          <w:rFonts w:ascii="Arial" w:hAnsi="Arial"/>
          <w:sz w:val="14"/>
          <w:szCs w:val="14"/>
        </w:rPr>
        <w:tab/>
        <w:t>Applies leases under AASB 16 Leases</w:t>
      </w:r>
      <w:r w:rsidRPr="003E76E7">
        <w:rPr>
          <w:rFonts w:ascii="Arial" w:hAnsi="Arial"/>
          <w:sz w:val="14"/>
          <w:szCs w:val="14"/>
          <w:lang w:val="en-AU"/>
        </w:rPr>
        <w:tab/>
      </w:r>
      <w:r w:rsidRPr="003E76E7">
        <w:rPr>
          <w:rFonts w:ascii="Arial" w:hAnsi="Arial"/>
          <w:sz w:val="14"/>
          <w:szCs w:val="14"/>
          <w:lang w:val="en-AU"/>
        </w:rPr>
        <w:tab/>
      </w:r>
      <w:r w:rsidRPr="003E76E7">
        <w:rPr>
          <w:rFonts w:ascii="Arial" w:hAnsi="Arial"/>
          <w:sz w:val="14"/>
          <w:szCs w:val="14"/>
          <w:lang w:val="en-AU"/>
        </w:rPr>
        <w:tab/>
      </w:r>
      <w:r w:rsidRPr="003E76E7">
        <w:rPr>
          <w:rFonts w:ascii="Arial" w:hAnsi="Arial"/>
          <w:sz w:val="14"/>
          <w:szCs w:val="14"/>
          <w:lang w:val="en-AU"/>
        </w:rPr>
        <w:tab/>
        <w:t>.</w:t>
      </w:r>
    </w:p>
    <w:p w14:paraId="3261CC3C" w14:textId="77777777" w:rsidR="002A44E9" w:rsidRPr="003E76E7" w:rsidRDefault="002A44E9" w:rsidP="00C4292D">
      <w:pPr>
        <w:spacing w:before="0" w:after="0"/>
        <w:rPr>
          <w:rFonts w:ascii="Arial" w:hAnsi="Arial"/>
          <w:b/>
          <w:sz w:val="14"/>
          <w:szCs w:val="14"/>
          <w:lang w:val="en-AU"/>
        </w:rPr>
      </w:pPr>
      <w:r w:rsidRPr="003E76E7">
        <w:rPr>
          <w:sz w:val="14"/>
          <w:szCs w:val="14"/>
          <w:lang w:val="en-AU"/>
        </w:rPr>
        <w:br w:type="page"/>
      </w:r>
    </w:p>
    <w:p w14:paraId="417755A6" w14:textId="5A7FA71D" w:rsidR="000D5813" w:rsidRPr="003E76E7" w:rsidRDefault="00761824" w:rsidP="00C4292D">
      <w:pPr>
        <w:pStyle w:val="TableHeading"/>
        <w:numPr>
          <w:ilvl w:val="0"/>
          <w:numId w:val="63"/>
        </w:numPr>
        <w:spacing w:before="100"/>
        <w:ind w:left="0" w:firstLine="0"/>
        <w:outlineLvl w:val="4"/>
      </w:pPr>
      <w:r w:rsidRPr="003E76E7">
        <w:lastRenderedPageBreak/>
        <w:t>Budgeted Departmental Balance Sheet (as at 30 June)</w:t>
      </w:r>
    </w:p>
    <w:p w14:paraId="1A1DA317" w14:textId="5FA85CF1" w:rsidR="00761824" w:rsidRPr="003E76E7" w:rsidRDefault="00733DB1" w:rsidP="00C4292D">
      <w:pPr>
        <w:spacing w:after="0"/>
      </w:pPr>
      <w:r w:rsidRPr="00733DB1">
        <w:rPr>
          <w:noProof/>
          <w:lang w:val="en-AU"/>
        </w:rPr>
        <w:drawing>
          <wp:inline distT="0" distB="0" distL="0" distR="0" wp14:anchorId="1B04E772" wp14:editId="3587C6C8">
            <wp:extent cx="5472430" cy="5921212"/>
            <wp:effectExtent l="0" t="0" r="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472430" cy="5921212"/>
                    </a:xfrm>
                    <a:prstGeom prst="rect">
                      <a:avLst/>
                    </a:prstGeom>
                    <a:noFill/>
                    <a:ln>
                      <a:noFill/>
                    </a:ln>
                  </pic:spPr>
                </pic:pic>
              </a:graphicData>
            </a:graphic>
          </wp:inline>
        </w:drawing>
      </w:r>
    </w:p>
    <w:p w14:paraId="1CE341E0" w14:textId="77777777" w:rsidR="003655F9" w:rsidRPr="003E76E7" w:rsidRDefault="003655F9" w:rsidP="00C4292D">
      <w:pPr>
        <w:spacing w:before="0" w:after="0"/>
        <w:rPr>
          <w:rFonts w:ascii="Arial" w:hAnsi="Arial"/>
          <w:b/>
          <w:sz w:val="14"/>
          <w:szCs w:val="14"/>
          <w:lang w:val="en-AU"/>
        </w:rPr>
      </w:pPr>
    </w:p>
    <w:p w14:paraId="55608655" w14:textId="77777777" w:rsidR="00576988" w:rsidRPr="003E76E7" w:rsidRDefault="00576988" w:rsidP="00C4292D"/>
    <w:p w14:paraId="730E60E3" w14:textId="77777777" w:rsidR="00DD7B7C" w:rsidRPr="003E76E7" w:rsidRDefault="00761824" w:rsidP="00C4292D">
      <w:pPr>
        <w:pStyle w:val="TableHeading"/>
        <w:numPr>
          <w:ilvl w:val="0"/>
          <w:numId w:val="63"/>
        </w:numPr>
        <w:spacing w:before="100"/>
        <w:ind w:left="0" w:firstLine="0"/>
        <w:outlineLvl w:val="4"/>
      </w:pPr>
      <w:r w:rsidRPr="003E76E7">
        <w:br w:type="page"/>
      </w:r>
      <w:r w:rsidR="00173112" w:rsidRPr="003E76E7">
        <w:lastRenderedPageBreak/>
        <w:t>Budgeted Departmental Statement of Cash Flows (for the period ended 30 June)</w:t>
      </w:r>
    </w:p>
    <w:p w14:paraId="09A7E7E5" w14:textId="1655E135" w:rsidR="00DD7B7C" w:rsidRPr="003E76E7" w:rsidRDefault="00F913B5" w:rsidP="00C4292D">
      <w:pPr>
        <w:spacing w:after="0"/>
      </w:pPr>
      <w:r w:rsidRPr="003E76E7">
        <w:rPr>
          <w:noProof/>
          <w:lang w:val="en-AU"/>
        </w:rPr>
        <w:drawing>
          <wp:inline distT="0" distB="0" distL="0" distR="0" wp14:anchorId="2FD97A67" wp14:editId="7210FBFE">
            <wp:extent cx="5472430" cy="4354752"/>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472430" cy="4354752"/>
                    </a:xfrm>
                    <a:prstGeom prst="rect">
                      <a:avLst/>
                    </a:prstGeom>
                    <a:noFill/>
                    <a:ln>
                      <a:noFill/>
                    </a:ln>
                  </pic:spPr>
                </pic:pic>
              </a:graphicData>
            </a:graphic>
          </wp:inline>
        </w:drawing>
      </w:r>
    </w:p>
    <w:p w14:paraId="76544D86" w14:textId="77777777" w:rsidR="003655F9" w:rsidRPr="003E76E7" w:rsidRDefault="00594F2D" w:rsidP="00C4292D">
      <w:pPr>
        <w:spacing w:before="0" w:after="0"/>
        <w:rPr>
          <w:rFonts w:ascii="Arial" w:hAnsi="Arial"/>
          <w:b/>
          <w:sz w:val="14"/>
          <w:szCs w:val="14"/>
          <w:lang w:val="en-AU"/>
        </w:rPr>
      </w:pPr>
      <w:r w:rsidRPr="003E76E7">
        <w:rPr>
          <w:rFonts w:ascii="Arial" w:hAnsi="Arial"/>
          <w:b/>
          <w:sz w:val="14"/>
          <w:szCs w:val="14"/>
          <w:lang w:val="en-AU"/>
        </w:rPr>
        <w:tab/>
      </w:r>
      <w:r w:rsidR="00A65134" w:rsidRPr="003E76E7">
        <w:rPr>
          <w:rFonts w:ascii="Arial" w:hAnsi="Arial"/>
          <w:b/>
          <w:sz w:val="14"/>
          <w:szCs w:val="14"/>
          <w:lang w:val="en-AU"/>
        </w:rPr>
        <w:tab/>
      </w:r>
      <w:r w:rsidR="00A65134" w:rsidRPr="003E76E7">
        <w:rPr>
          <w:rFonts w:ascii="Arial" w:hAnsi="Arial"/>
          <w:b/>
          <w:sz w:val="14"/>
          <w:szCs w:val="14"/>
          <w:lang w:val="en-AU"/>
        </w:rPr>
        <w:tab/>
      </w:r>
      <w:r w:rsidR="00A65134" w:rsidRPr="003E76E7">
        <w:rPr>
          <w:rFonts w:ascii="Arial" w:hAnsi="Arial"/>
          <w:b/>
          <w:sz w:val="14"/>
          <w:szCs w:val="14"/>
          <w:lang w:val="en-AU"/>
        </w:rPr>
        <w:tab/>
      </w:r>
      <w:r w:rsidR="00A65134" w:rsidRPr="003E76E7">
        <w:rPr>
          <w:rFonts w:ascii="Arial" w:hAnsi="Arial"/>
          <w:b/>
          <w:sz w:val="14"/>
          <w:szCs w:val="14"/>
          <w:lang w:val="en-AU"/>
        </w:rPr>
        <w:tab/>
      </w:r>
    </w:p>
    <w:p w14:paraId="0977E063" w14:textId="77777777" w:rsidR="00A65134" w:rsidRPr="003E76E7" w:rsidRDefault="00A65134" w:rsidP="00C4292D">
      <w:pPr>
        <w:spacing w:before="0" w:after="0"/>
        <w:rPr>
          <w:rFonts w:ascii="Arial" w:hAnsi="Arial"/>
          <w:b/>
          <w:sz w:val="14"/>
          <w:szCs w:val="14"/>
          <w:lang w:val="en-AU"/>
        </w:rPr>
      </w:pPr>
    </w:p>
    <w:p w14:paraId="56E7DF2D" w14:textId="4478BDE5" w:rsidR="00761824" w:rsidRPr="003E76E7" w:rsidRDefault="00022F6E" w:rsidP="00C4292D">
      <w:pPr>
        <w:pStyle w:val="TableHeading"/>
        <w:numPr>
          <w:ilvl w:val="0"/>
          <w:numId w:val="63"/>
        </w:numPr>
        <w:spacing w:before="100"/>
        <w:ind w:left="0" w:firstLine="0"/>
        <w:outlineLvl w:val="4"/>
      </w:pPr>
      <w:r w:rsidRPr="003E76E7">
        <w:rPr>
          <w:sz w:val="14"/>
          <w:szCs w:val="14"/>
          <w:lang w:val="en-AU"/>
        </w:rPr>
        <w:br w:type="page"/>
      </w:r>
      <w:r w:rsidR="00761824" w:rsidRPr="003E76E7">
        <w:lastRenderedPageBreak/>
        <w:t xml:space="preserve">Departmental Statement of Changes in Equity </w:t>
      </w:r>
      <w:r w:rsidR="00722810" w:rsidRPr="003E76E7">
        <w:t>-</w:t>
      </w:r>
      <w:r w:rsidR="00173112" w:rsidRPr="003E76E7">
        <w:t xml:space="preserve"> </w:t>
      </w:r>
      <w:r w:rsidR="00761824" w:rsidRPr="003E76E7">
        <w:t xml:space="preserve">Summary of Movement </w:t>
      </w:r>
      <w:r w:rsidR="003746BF" w:rsidRPr="003E76E7">
        <w:br/>
      </w:r>
      <w:r w:rsidR="00761824" w:rsidRPr="003E76E7">
        <w:t xml:space="preserve">(Budget Year </w:t>
      </w:r>
      <w:r w:rsidR="00BD523A" w:rsidRPr="003E76E7">
        <w:t>202</w:t>
      </w:r>
      <w:r w:rsidR="003746BF" w:rsidRPr="003E76E7">
        <w:t>6</w:t>
      </w:r>
      <w:r w:rsidR="00BD523A" w:rsidRPr="003E76E7">
        <w:t>-2</w:t>
      </w:r>
      <w:r w:rsidR="003746BF" w:rsidRPr="003E76E7">
        <w:t>7</w:t>
      </w:r>
      <w:r w:rsidR="00761824" w:rsidRPr="003E76E7">
        <w:t>)</w:t>
      </w:r>
    </w:p>
    <w:p w14:paraId="18699771" w14:textId="7383D72F" w:rsidR="00F955F4" w:rsidRPr="003E76E7" w:rsidRDefault="00F913B5" w:rsidP="00C4292D">
      <w:pPr>
        <w:spacing w:after="0"/>
      </w:pPr>
      <w:r w:rsidRPr="003E76E7">
        <w:rPr>
          <w:noProof/>
          <w:lang w:val="en-AU"/>
        </w:rPr>
        <w:drawing>
          <wp:inline distT="0" distB="0" distL="0" distR="0" wp14:anchorId="43F90BB7" wp14:editId="282C2DA5">
            <wp:extent cx="5472430" cy="23902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472430" cy="2390290"/>
                    </a:xfrm>
                    <a:prstGeom prst="rect">
                      <a:avLst/>
                    </a:prstGeom>
                    <a:noFill/>
                    <a:ln>
                      <a:noFill/>
                    </a:ln>
                  </pic:spPr>
                </pic:pic>
              </a:graphicData>
            </a:graphic>
          </wp:inline>
        </w:drawing>
      </w:r>
    </w:p>
    <w:p w14:paraId="25E39894" w14:textId="29AB511C" w:rsidR="00F955F4" w:rsidRPr="003E76E7" w:rsidRDefault="00F955F4" w:rsidP="00C4292D">
      <w:pPr>
        <w:spacing w:before="0" w:after="0"/>
        <w:rPr>
          <w:rFonts w:ascii="Arial" w:hAnsi="Arial"/>
          <w:b/>
          <w:sz w:val="14"/>
          <w:szCs w:val="14"/>
          <w:lang w:val="en-AU"/>
        </w:rPr>
      </w:pPr>
      <w:r w:rsidRPr="003E76E7">
        <w:rPr>
          <w:rFonts w:ascii="Arial" w:hAnsi="Arial"/>
          <w:sz w:val="14"/>
          <w:szCs w:val="14"/>
          <w:lang w:val="en-AU"/>
        </w:rPr>
        <w:tab/>
      </w:r>
      <w:r w:rsidRPr="003E76E7">
        <w:rPr>
          <w:rFonts w:ascii="Arial" w:hAnsi="Arial"/>
          <w:sz w:val="14"/>
          <w:szCs w:val="14"/>
          <w:lang w:val="en-AU"/>
        </w:rPr>
        <w:tab/>
      </w:r>
      <w:r w:rsidRPr="003E76E7">
        <w:rPr>
          <w:rFonts w:ascii="Arial" w:hAnsi="Arial"/>
          <w:sz w:val="14"/>
          <w:szCs w:val="14"/>
          <w:lang w:val="en-AU"/>
        </w:rPr>
        <w:tab/>
      </w:r>
      <w:r w:rsidRPr="003E76E7">
        <w:rPr>
          <w:rFonts w:ascii="Arial" w:hAnsi="Arial"/>
          <w:sz w:val="14"/>
          <w:szCs w:val="14"/>
          <w:lang w:val="en-AU"/>
        </w:rPr>
        <w:tab/>
      </w:r>
      <w:r w:rsidR="00594F2D" w:rsidRPr="003E76E7">
        <w:rPr>
          <w:rFonts w:ascii="Arial" w:hAnsi="Arial"/>
          <w:b/>
          <w:sz w:val="14"/>
          <w:szCs w:val="14"/>
          <w:lang w:val="en-AU"/>
        </w:rPr>
        <w:tab/>
      </w:r>
      <w:r w:rsidR="00594F2D" w:rsidRPr="003E76E7">
        <w:rPr>
          <w:rFonts w:ascii="Arial" w:hAnsi="Arial"/>
          <w:b/>
          <w:sz w:val="14"/>
          <w:szCs w:val="14"/>
          <w:lang w:val="en-AU"/>
        </w:rPr>
        <w:tab/>
      </w:r>
    </w:p>
    <w:p w14:paraId="27612708" w14:textId="2BEE84AD" w:rsidR="00761824" w:rsidRPr="003E76E7" w:rsidRDefault="00761824" w:rsidP="00C4292D">
      <w:pPr>
        <w:pStyle w:val="TableHeading"/>
        <w:numPr>
          <w:ilvl w:val="0"/>
          <w:numId w:val="63"/>
        </w:numPr>
        <w:spacing w:before="100"/>
        <w:ind w:left="0" w:firstLine="0"/>
        <w:outlineLvl w:val="4"/>
      </w:pPr>
      <w:r w:rsidRPr="003E76E7">
        <w:br w:type="page"/>
      </w:r>
      <w:r w:rsidR="00173112" w:rsidRPr="003E76E7">
        <w:lastRenderedPageBreak/>
        <w:t>Statement of Departmental Asset Movements (</w:t>
      </w:r>
      <w:r w:rsidR="00FE5A03">
        <w:t>Budget Y</w:t>
      </w:r>
      <w:r w:rsidR="00A07198" w:rsidRPr="003E76E7">
        <w:t xml:space="preserve">ear </w:t>
      </w:r>
      <w:r w:rsidR="003746BF" w:rsidRPr="003E76E7">
        <w:t>2026-27</w:t>
      </w:r>
      <w:r w:rsidR="00173112" w:rsidRPr="003E76E7">
        <w:t>)</w:t>
      </w:r>
    </w:p>
    <w:p w14:paraId="55231966" w14:textId="033110A6" w:rsidR="00DD7B7C" w:rsidRPr="003E76E7" w:rsidRDefault="00F913B5" w:rsidP="00C4292D">
      <w:pPr>
        <w:spacing w:after="0"/>
      </w:pPr>
      <w:r w:rsidRPr="003E76E7">
        <w:rPr>
          <w:noProof/>
          <w:lang w:val="en-AU"/>
        </w:rPr>
        <w:drawing>
          <wp:inline distT="0" distB="0" distL="0" distR="0" wp14:anchorId="03419E1C" wp14:editId="5F93ECD6">
            <wp:extent cx="5472430" cy="2380262"/>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472430" cy="2380262"/>
                    </a:xfrm>
                    <a:prstGeom prst="rect">
                      <a:avLst/>
                    </a:prstGeom>
                    <a:noFill/>
                    <a:ln>
                      <a:noFill/>
                    </a:ln>
                  </pic:spPr>
                </pic:pic>
              </a:graphicData>
            </a:graphic>
          </wp:inline>
        </w:drawing>
      </w:r>
    </w:p>
    <w:p w14:paraId="3E924070" w14:textId="77777777" w:rsidR="00CC3CE5" w:rsidRPr="003E76E7" w:rsidRDefault="002C5D2A" w:rsidP="00C4292D">
      <w:pPr>
        <w:tabs>
          <w:tab w:val="left" w:pos="284"/>
          <w:tab w:val="left" w:pos="567"/>
        </w:tabs>
        <w:spacing w:before="0" w:after="0"/>
        <w:ind w:left="284" w:hanging="284"/>
      </w:pPr>
      <w:r w:rsidRPr="003E76E7">
        <w:br w:type="page"/>
      </w:r>
    </w:p>
    <w:p w14:paraId="0BBECF20" w14:textId="77777777" w:rsidR="00D00778" w:rsidRPr="003E76E7" w:rsidRDefault="00543083" w:rsidP="00C4292D">
      <w:pPr>
        <w:pStyle w:val="TableHeading"/>
        <w:numPr>
          <w:ilvl w:val="0"/>
          <w:numId w:val="63"/>
        </w:numPr>
        <w:spacing w:before="100"/>
        <w:ind w:left="0" w:firstLine="0"/>
        <w:outlineLvl w:val="4"/>
      </w:pPr>
      <w:r w:rsidRPr="003E76E7">
        <w:lastRenderedPageBreak/>
        <w:t>Departmental Capital Budget Statement (for the period ended 30 June)</w:t>
      </w:r>
    </w:p>
    <w:p w14:paraId="321CA836" w14:textId="784A7B97" w:rsidR="00543083" w:rsidRPr="003E76E7" w:rsidRDefault="00B61BED" w:rsidP="00C4292D">
      <w:r w:rsidRPr="00B61BED">
        <w:rPr>
          <w:noProof/>
          <w:lang w:val="en-AU"/>
        </w:rPr>
        <w:drawing>
          <wp:inline distT="0" distB="0" distL="0" distR="0" wp14:anchorId="54AE88C5" wp14:editId="6004D22E">
            <wp:extent cx="5472430" cy="3075229"/>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472430" cy="3075229"/>
                    </a:xfrm>
                    <a:prstGeom prst="rect">
                      <a:avLst/>
                    </a:prstGeom>
                    <a:noFill/>
                    <a:ln>
                      <a:noFill/>
                    </a:ln>
                  </pic:spPr>
                </pic:pic>
              </a:graphicData>
            </a:graphic>
          </wp:inline>
        </w:drawing>
      </w:r>
    </w:p>
    <w:p w14:paraId="106DF231" w14:textId="77777777" w:rsidR="0004311C" w:rsidRPr="003E76E7" w:rsidRDefault="00584881" w:rsidP="00C4292D">
      <w:pPr>
        <w:pStyle w:val="Heading4level5"/>
        <w:spacing w:before="120" w:after="120"/>
      </w:pPr>
      <w:r w:rsidRPr="003E76E7">
        <w:br w:type="page"/>
      </w:r>
      <w:r w:rsidR="0004311C" w:rsidRPr="003E76E7">
        <w:lastRenderedPageBreak/>
        <w:t>3.2.2 Notes to the Budgeted Financial Statements</w:t>
      </w:r>
    </w:p>
    <w:p w14:paraId="64F0FBB8" w14:textId="77777777" w:rsidR="00D1731D" w:rsidRPr="003E76E7" w:rsidRDefault="0004311C" w:rsidP="00C4292D">
      <w:pPr>
        <w:spacing w:before="120" w:after="120"/>
      </w:pPr>
      <w:r w:rsidRPr="003E76E7">
        <w:t xml:space="preserve">The budgeted financial statements have been prepared in accordance with the Australian Accounting Standards and the </w:t>
      </w:r>
      <w:r w:rsidRPr="003E76E7">
        <w:rPr>
          <w:i/>
        </w:rPr>
        <w:t>Public Governance, Performance and Accountability (Financial Reporting) Rule 2015 (FRR)</w:t>
      </w:r>
      <w:r w:rsidRPr="003E76E7">
        <w:t>.</w:t>
      </w:r>
    </w:p>
    <w:p w14:paraId="0BF5AB59" w14:textId="7107C4ED" w:rsidR="00D1731D" w:rsidRPr="003E76E7" w:rsidRDefault="00D1731D" w:rsidP="00C4292D">
      <w:pPr>
        <w:spacing w:before="120" w:after="120"/>
      </w:pPr>
    </w:p>
    <w:p w14:paraId="09277DBD" w14:textId="77777777" w:rsidR="00D1731D" w:rsidRPr="003E76E7" w:rsidRDefault="00D1731D" w:rsidP="00C4292D">
      <w:pPr>
        <w:spacing w:before="120" w:after="120"/>
      </w:pPr>
    </w:p>
    <w:p w14:paraId="4B0F63D2" w14:textId="4ACC1D32" w:rsidR="000512AB" w:rsidRPr="003E76E7" w:rsidRDefault="000512AB" w:rsidP="00C4292D">
      <w:pPr>
        <w:spacing w:before="0" w:after="0"/>
      </w:pPr>
      <w:r w:rsidRPr="003E76E7">
        <w:br w:type="page"/>
      </w:r>
    </w:p>
    <w:p w14:paraId="6A417BF9" w14:textId="2FBAEC4C" w:rsidR="000512AB" w:rsidRPr="003E76E7" w:rsidRDefault="000512AB" w:rsidP="00C4292D">
      <w:pPr>
        <w:spacing w:before="120" w:after="120"/>
      </w:pPr>
    </w:p>
    <w:p w14:paraId="6534DC5F" w14:textId="77777777" w:rsidR="000512AB" w:rsidRPr="003E76E7" w:rsidRDefault="000512AB" w:rsidP="00C4292D">
      <w:pPr>
        <w:ind w:left="2" w:firstLine="1"/>
        <w:jc w:val="center"/>
        <w:rPr>
          <w:lang w:val="en-AU"/>
        </w:rPr>
      </w:pPr>
    </w:p>
    <w:p w14:paraId="37F71FF3" w14:textId="77777777" w:rsidR="000512AB" w:rsidRPr="003E76E7" w:rsidRDefault="000512AB" w:rsidP="00C4292D">
      <w:pPr>
        <w:ind w:left="2" w:firstLine="1"/>
        <w:jc w:val="center"/>
        <w:rPr>
          <w:lang w:val="en-AU"/>
        </w:rPr>
      </w:pPr>
    </w:p>
    <w:p w14:paraId="1E917549" w14:textId="77777777" w:rsidR="000512AB" w:rsidRPr="003E76E7" w:rsidRDefault="000512AB" w:rsidP="00C4292D">
      <w:pPr>
        <w:ind w:left="2" w:firstLine="1"/>
        <w:jc w:val="center"/>
        <w:rPr>
          <w:lang w:val="en-AU"/>
        </w:rPr>
      </w:pPr>
    </w:p>
    <w:p w14:paraId="4D4D3A59" w14:textId="77777777" w:rsidR="000512AB" w:rsidRPr="003E76E7" w:rsidRDefault="000512AB" w:rsidP="00C4292D">
      <w:pPr>
        <w:ind w:left="2" w:firstLine="1"/>
        <w:jc w:val="center"/>
        <w:rPr>
          <w:lang w:val="en-AU"/>
        </w:rPr>
      </w:pPr>
    </w:p>
    <w:p w14:paraId="26C45774" w14:textId="77777777" w:rsidR="000512AB" w:rsidRPr="003E76E7" w:rsidRDefault="000512AB" w:rsidP="00C4292D">
      <w:pPr>
        <w:ind w:left="2" w:firstLine="1"/>
        <w:jc w:val="center"/>
        <w:rPr>
          <w:lang w:val="en-AU"/>
        </w:rPr>
      </w:pPr>
    </w:p>
    <w:p w14:paraId="555BBEED" w14:textId="77777777" w:rsidR="000512AB" w:rsidRPr="003E76E7" w:rsidRDefault="000512AB" w:rsidP="00C4292D">
      <w:pPr>
        <w:ind w:left="2" w:firstLine="1"/>
        <w:jc w:val="center"/>
        <w:rPr>
          <w:lang w:val="en-AU"/>
        </w:rPr>
      </w:pPr>
    </w:p>
    <w:p w14:paraId="3BB8765F" w14:textId="77777777" w:rsidR="000512AB" w:rsidRPr="003E76E7" w:rsidRDefault="000512AB" w:rsidP="00C4292D">
      <w:pPr>
        <w:ind w:left="2" w:firstLine="1"/>
        <w:jc w:val="center"/>
        <w:rPr>
          <w:lang w:val="en-AU"/>
        </w:rPr>
      </w:pPr>
    </w:p>
    <w:p w14:paraId="2EA1E00C" w14:textId="77777777" w:rsidR="000512AB" w:rsidRPr="003E76E7" w:rsidRDefault="000512AB" w:rsidP="00C4292D">
      <w:pPr>
        <w:ind w:left="2" w:firstLine="1"/>
        <w:jc w:val="center"/>
        <w:rPr>
          <w:lang w:val="en-AU"/>
        </w:rPr>
      </w:pPr>
    </w:p>
    <w:p w14:paraId="131CF56B" w14:textId="77777777" w:rsidR="000512AB" w:rsidRPr="003E76E7" w:rsidRDefault="000512AB" w:rsidP="00C4292D">
      <w:pPr>
        <w:ind w:left="2" w:firstLine="1"/>
        <w:jc w:val="center"/>
        <w:rPr>
          <w:lang w:val="en-AU"/>
        </w:rPr>
      </w:pPr>
    </w:p>
    <w:p w14:paraId="58FFC12B" w14:textId="77777777" w:rsidR="000512AB" w:rsidRPr="003E76E7" w:rsidRDefault="000512AB" w:rsidP="00C4292D">
      <w:pPr>
        <w:ind w:left="2" w:firstLine="1"/>
        <w:jc w:val="center"/>
        <w:rPr>
          <w:lang w:val="en-AU"/>
        </w:rPr>
      </w:pPr>
    </w:p>
    <w:p w14:paraId="66A26A68" w14:textId="77777777" w:rsidR="000512AB" w:rsidRPr="003E76E7" w:rsidRDefault="000512AB" w:rsidP="00C4292D">
      <w:pPr>
        <w:ind w:left="2" w:firstLine="1"/>
        <w:jc w:val="center"/>
        <w:rPr>
          <w:lang w:val="en-AU"/>
        </w:rPr>
      </w:pPr>
    </w:p>
    <w:p w14:paraId="7FD9052C" w14:textId="77777777" w:rsidR="000512AB" w:rsidRPr="003E76E7" w:rsidRDefault="000512AB" w:rsidP="00C4292D">
      <w:pPr>
        <w:ind w:left="2" w:firstLine="1"/>
        <w:jc w:val="center"/>
        <w:rPr>
          <w:lang w:val="en-AU"/>
        </w:rPr>
      </w:pPr>
    </w:p>
    <w:p w14:paraId="43A870AE" w14:textId="77777777" w:rsidR="000512AB" w:rsidRPr="003E76E7" w:rsidRDefault="000512AB" w:rsidP="00C4292D">
      <w:pPr>
        <w:ind w:left="2" w:firstLine="1"/>
        <w:jc w:val="center"/>
        <w:rPr>
          <w:lang w:val="en-AU"/>
        </w:rPr>
      </w:pPr>
    </w:p>
    <w:p w14:paraId="2FF79B41" w14:textId="77777777" w:rsidR="000512AB" w:rsidRPr="003E76E7" w:rsidRDefault="000512AB" w:rsidP="00C4292D">
      <w:pPr>
        <w:ind w:left="2" w:firstLine="1"/>
        <w:jc w:val="center"/>
        <w:rPr>
          <w:lang w:val="en-AU"/>
        </w:rPr>
      </w:pPr>
    </w:p>
    <w:p w14:paraId="490BD080" w14:textId="77777777" w:rsidR="000512AB" w:rsidRPr="003E76E7" w:rsidRDefault="000512AB" w:rsidP="00C4292D">
      <w:pPr>
        <w:ind w:left="2" w:firstLine="1"/>
        <w:jc w:val="center"/>
        <w:rPr>
          <w:lang w:val="en-AU"/>
        </w:rPr>
      </w:pPr>
      <w:r w:rsidRPr="003E76E7">
        <w:rPr>
          <w:lang w:val="en-AU"/>
        </w:rPr>
        <w:t>This page intentionally left blank.</w:t>
      </w:r>
    </w:p>
    <w:p w14:paraId="3107E020" w14:textId="27A37F40" w:rsidR="000512AB" w:rsidRPr="003E76E7" w:rsidRDefault="000512AB" w:rsidP="00C4292D">
      <w:pPr>
        <w:spacing w:before="120" w:after="120"/>
      </w:pPr>
    </w:p>
    <w:p w14:paraId="46558A0C" w14:textId="77777777" w:rsidR="000512AB" w:rsidRPr="003E76E7" w:rsidRDefault="000512AB" w:rsidP="00C4292D">
      <w:pPr>
        <w:spacing w:before="120" w:after="120"/>
        <w:sectPr w:rsidR="000512AB" w:rsidRPr="003E76E7" w:rsidSect="00FF46AE">
          <w:headerReference w:type="even" r:id="rId174"/>
          <w:headerReference w:type="default" r:id="rId175"/>
          <w:footerReference w:type="even" r:id="rId176"/>
          <w:footerReference w:type="default" r:id="rId177"/>
          <w:type w:val="oddPage"/>
          <w:pgSz w:w="11907" w:h="16840" w:code="9"/>
          <w:pgMar w:top="1701" w:right="1361" w:bottom="1701" w:left="1928" w:header="720" w:footer="720" w:gutter="0"/>
          <w:cols w:space="720"/>
          <w:noEndnote/>
        </w:sectPr>
      </w:pPr>
    </w:p>
    <w:p w14:paraId="09F410A4" w14:textId="0DD21364" w:rsidR="00B672BF" w:rsidRPr="003E76E7" w:rsidRDefault="00B672BF" w:rsidP="00C4292D">
      <w:pPr>
        <w:pStyle w:val="BodyText"/>
        <w:rPr>
          <w:lang w:val="en-AU"/>
        </w:rPr>
      </w:pPr>
    </w:p>
    <w:p w14:paraId="4F3EA6EA" w14:textId="2809E56D" w:rsidR="001A4E61" w:rsidRPr="003E76E7" w:rsidRDefault="001A4E61" w:rsidP="00C4292D">
      <w:pPr>
        <w:pStyle w:val="BodyText"/>
        <w:rPr>
          <w:lang w:val="en-AU"/>
        </w:rPr>
      </w:pPr>
    </w:p>
    <w:p w14:paraId="1EB360AA" w14:textId="737116A0" w:rsidR="001A4E61" w:rsidRPr="003E76E7" w:rsidRDefault="001A4E61" w:rsidP="00C4292D">
      <w:pPr>
        <w:pStyle w:val="BodyText"/>
        <w:rPr>
          <w:lang w:val="en-AU"/>
        </w:rPr>
      </w:pPr>
    </w:p>
    <w:p w14:paraId="547DF5EE" w14:textId="44AF8BF4" w:rsidR="001A4E61" w:rsidRPr="003E76E7" w:rsidRDefault="001A4E61" w:rsidP="00C4292D">
      <w:pPr>
        <w:pStyle w:val="BodyText"/>
        <w:rPr>
          <w:lang w:val="en-AU"/>
        </w:rPr>
      </w:pPr>
    </w:p>
    <w:p w14:paraId="1D98E8F5" w14:textId="1CA37732" w:rsidR="001A4E61" w:rsidRPr="003E76E7" w:rsidRDefault="001A4E61" w:rsidP="00C4292D">
      <w:pPr>
        <w:pStyle w:val="BodyText"/>
        <w:rPr>
          <w:lang w:val="en-AU"/>
        </w:rPr>
      </w:pPr>
    </w:p>
    <w:p w14:paraId="46207688" w14:textId="77777777" w:rsidR="001A4E61" w:rsidRPr="003E76E7" w:rsidRDefault="001A4E61" w:rsidP="00C4292D">
      <w:pPr>
        <w:pStyle w:val="BodyText"/>
        <w:rPr>
          <w:lang w:val="en-AU"/>
        </w:rPr>
      </w:pPr>
    </w:p>
    <w:p w14:paraId="389430DD" w14:textId="45040042" w:rsidR="00761824" w:rsidRPr="003E76E7" w:rsidRDefault="00761824" w:rsidP="00C4292D">
      <w:pPr>
        <w:pStyle w:val="Heading2"/>
        <w:jc w:val="center"/>
        <w:rPr>
          <w:b/>
          <w:sz w:val="52"/>
          <w:szCs w:val="52"/>
        </w:rPr>
      </w:pPr>
      <w:bookmarkStart w:id="1871" w:name="_Toc536089250"/>
      <w:bookmarkStart w:id="1872" w:name="_Toc536089510"/>
      <w:bookmarkStart w:id="1873" w:name="_Toc536089616"/>
      <w:bookmarkStart w:id="1874" w:name="_Toc1561703"/>
      <w:bookmarkStart w:id="1875" w:name="_Toc51691699"/>
      <w:bookmarkStart w:id="1876" w:name="_Toc69729069"/>
      <w:bookmarkStart w:id="1877" w:name="_Toc69917864"/>
      <w:bookmarkStart w:id="1878" w:name="_Toc97747853"/>
      <w:bookmarkStart w:id="1879" w:name="_Toc108088966"/>
      <w:bookmarkStart w:id="1880" w:name="_Toc108089045"/>
      <w:bookmarkStart w:id="1881" w:name="_Toc108089439"/>
      <w:bookmarkStart w:id="1882" w:name="_Toc109227300"/>
      <w:bookmarkStart w:id="1883" w:name="_Toc109227761"/>
      <w:bookmarkStart w:id="1884" w:name="_Toc158896255"/>
      <w:bookmarkStart w:id="1885" w:name="_Toc158896312"/>
      <w:bookmarkStart w:id="1886" w:name="_Toc159499721"/>
      <w:bookmarkStart w:id="1887" w:name="_Toc159857689"/>
      <w:bookmarkStart w:id="1888" w:name="_Toc159857769"/>
      <w:bookmarkStart w:id="1889" w:name="_Toc159858165"/>
      <w:bookmarkStart w:id="1890" w:name="_Toc159858831"/>
      <w:bookmarkStart w:id="1891" w:name="_Toc159858901"/>
      <w:bookmarkStart w:id="1892" w:name="_Toc159859140"/>
      <w:bookmarkStart w:id="1893" w:name="_Toc159862307"/>
      <w:bookmarkStart w:id="1894" w:name="_Toc159862497"/>
      <w:bookmarkStart w:id="1895" w:name="_Toc221786197"/>
      <w:bookmarkStart w:id="1896" w:name="_Toc222129963"/>
      <w:bookmarkStart w:id="1897" w:name="_Toc222148388"/>
      <w:bookmarkStart w:id="1898" w:name="_Toc225848015"/>
      <w:bookmarkStart w:id="1899" w:name="_Toc225848098"/>
      <w:bookmarkStart w:id="1900" w:name="_Toc225848181"/>
      <w:bookmarkStart w:id="1901" w:name="_Toc225848268"/>
      <w:bookmarkStart w:id="1902" w:name="_Toc225848520"/>
      <w:bookmarkStart w:id="1903" w:name="_Toc225941588"/>
      <w:bookmarkStart w:id="1904" w:name="_Toc225942595"/>
      <w:bookmarkStart w:id="1905" w:name="_Toc227334405"/>
      <w:bookmarkStart w:id="1906" w:name="_Toc229072480"/>
      <w:bookmarkStart w:id="1907" w:name="_Toc229072652"/>
      <w:r w:rsidRPr="003E76E7">
        <w:rPr>
          <w:b/>
          <w:caps/>
          <w:sz w:val="52"/>
          <w:szCs w:val="52"/>
        </w:rPr>
        <w:t>D</w:t>
      </w:r>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r w:rsidR="00C976D4" w:rsidRPr="003E76E7">
        <w:rPr>
          <w:b/>
          <w:sz w:val="52"/>
          <w:szCs w:val="52"/>
        </w:rPr>
        <w:t>efence Housing Australia</w:t>
      </w:r>
      <w:bookmarkEnd w:id="1896"/>
      <w:bookmarkEnd w:id="1897"/>
      <w:bookmarkEnd w:id="1898"/>
      <w:bookmarkEnd w:id="1899"/>
      <w:bookmarkEnd w:id="1900"/>
      <w:bookmarkEnd w:id="1901"/>
      <w:bookmarkEnd w:id="1902"/>
      <w:bookmarkEnd w:id="1903"/>
      <w:bookmarkEnd w:id="1904"/>
      <w:bookmarkEnd w:id="1905"/>
      <w:bookmarkEnd w:id="1906"/>
      <w:bookmarkEnd w:id="1907"/>
    </w:p>
    <w:p w14:paraId="282370AB" w14:textId="77777777" w:rsidR="00761824" w:rsidRPr="003E76E7" w:rsidRDefault="00761824" w:rsidP="00C4292D">
      <w:pPr>
        <w:rPr>
          <w:lang w:val="en-AU"/>
        </w:rPr>
      </w:pPr>
    </w:p>
    <w:p w14:paraId="72A6168D" w14:textId="77777777" w:rsidR="00761824" w:rsidRPr="003E76E7" w:rsidRDefault="00761824" w:rsidP="00C4292D">
      <w:pPr>
        <w:rPr>
          <w:lang w:val="en-AU"/>
        </w:rPr>
      </w:pPr>
    </w:p>
    <w:p w14:paraId="2BC3F8C3" w14:textId="47B08E97" w:rsidR="00761824" w:rsidRPr="003E76E7" w:rsidRDefault="00761824" w:rsidP="00C4292D">
      <w:pPr>
        <w:rPr>
          <w:lang w:val="en-AU"/>
        </w:rPr>
      </w:pPr>
    </w:p>
    <w:p w14:paraId="470C152E" w14:textId="67BF9C77" w:rsidR="00E65A0A" w:rsidRPr="003E76E7" w:rsidRDefault="00CF10DD" w:rsidP="00C4292D">
      <w:pPr>
        <w:pStyle w:val="DepartmentalSubtitle"/>
        <w:rPr>
          <w:sz w:val="22"/>
          <w:szCs w:val="22"/>
        </w:rPr>
      </w:pPr>
      <w:r w:rsidRPr="003E76E7">
        <w:rPr>
          <w:lang w:val="en-AU"/>
        </w:rPr>
        <w:t xml:space="preserve">Entity </w:t>
      </w:r>
      <w:r w:rsidR="00761824" w:rsidRPr="003E76E7">
        <w:rPr>
          <w:lang w:val="en-AU"/>
        </w:rPr>
        <w:t>Resources and Planned Performance</w:t>
      </w:r>
      <w:r w:rsidR="00022F6E" w:rsidRPr="003E76E7">
        <w:rPr>
          <w:caps/>
          <w:szCs w:val="20"/>
        </w:rPr>
        <w:fldChar w:fldCharType="begin"/>
      </w:r>
      <w:r w:rsidR="00022F6E" w:rsidRPr="003E76E7">
        <w:instrText xml:space="preserve"> TOC \o "1-3" \h \z \u </w:instrText>
      </w:r>
      <w:r w:rsidR="00022F6E" w:rsidRPr="003E76E7">
        <w:rPr>
          <w:caps/>
          <w:szCs w:val="20"/>
        </w:rPr>
        <w:fldChar w:fldCharType="separate"/>
      </w:r>
    </w:p>
    <w:p w14:paraId="6D2A1166" w14:textId="300AE67B" w:rsidR="001A0A0A" w:rsidRPr="003E76E7" w:rsidRDefault="00022F6E" w:rsidP="00C4292D">
      <w:pPr>
        <w:pStyle w:val="TOC2"/>
        <w:rPr>
          <w:rFonts w:asciiTheme="minorHAnsi" w:eastAsiaTheme="minorEastAsia" w:hAnsiTheme="minorHAnsi" w:cstheme="minorBidi"/>
          <w:b w:val="0"/>
          <w:caps w:val="0"/>
          <w:sz w:val="22"/>
          <w:szCs w:val="22"/>
          <w:lang w:val="en-AU"/>
        </w:rPr>
      </w:pPr>
      <w:r w:rsidRPr="003E76E7">
        <w:rPr>
          <w:rFonts w:ascii="Arial" w:hAnsi="Arial"/>
          <w:b w:val="0"/>
          <w:bCs/>
        </w:rPr>
        <w:fldChar w:fldCharType="end"/>
      </w:r>
      <w:r w:rsidR="00CF10DD" w:rsidRPr="003E76E7">
        <w:rPr>
          <w:rFonts w:ascii="Arial" w:hAnsi="Arial"/>
          <w:bCs/>
          <w:smallCaps/>
          <w:noProof w:val="0"/>
          <w:kern w:val="32"/>
          <w:sz w:val="34"/>
          <w:szCs w:val="32"/>
        </w:rPr>
        <w:fldChar w:fldCharType="begin"/>
      </w:r>
      <w:r w:rsidR="00CF10DD" w:rsidRPr="003E76E7">
        <w:rPr>
          <w:rFonts w:ascii="Arial" w:hAnsi="Arial"/>
        </w:rPr>
        <w:instrText xml:space="preserve"> TOC \o "1-4" \h \z \u </w:instrText>
      </w:r>
      <w:r w:rsidR="00CF10DD" w:rsidRPr="003E76E7">
        <w:rPr>
          <w:rFonts w:ascii="Arial" w:hAnsi="Arial"/>
          <w:bCs/>
          <w:smallCaps/>
          <w:noProof w:val="0"/>
          <w:kern w:val="32"/>
          <w:sz w:val="34"/>
          <w:szCs w:val="32"/>
        </w:rPr>
        <w:fldChar w:fldCharType="separate"/>
      </w:r>
    </w:p>
    <w:p w14:paraId="46979D9F" w14:textId="580A7DB3" w:rsidR="001A0A0A" w:rsidRPr="003E76E7" w:rsidRDefault="00AD70C0" w:rsidP="00C4292D">
      <w:pPr>
        <w:pStyle w:val="TOC3"/>
        <w:rPr>
          <w:rFonts w:asciiTheme="minorHAnsi" w:eastAsiaTheme="minorEastAsia" w:hAnsiTheme="minorHAnsi" w:cstheme="minorBidi"/>
          <w:sz w:val="22"/>
          <w:szCs w:val="22"/>
          <w:lang w:val="en-AU"/>
        </w:rPr>
      </w:pPr>
      <w:hyperlink w:anchor="_Toc225848521" w:history="1">
        <w:r w:rsidR="001A0A0A" w:rsidRPr="003E76E7">
          <w:rPr>
            <w:rStyle w:val="Hyperlink"/>
          </w:rPr>
          <w:t>Section 1: DHA Overview and Resources</w:t>
        </w:r>
        <w:r w:rsidR="001A0A0A" w:rsidRPr="003E76E7">
          <w:rPr>
            <w:webHidden/>
          </w:rPr>
          <w:tab/>
        </w:r>
        <w:r w:rsidR="001A0A0A" w:rsidRPr="003E76E7">
          <w:rPr>
            <w:webHidden/>
          </w:rPr>
          <w:fldChar w:fldCharType="begin"/>
        </w:r>
        <w:r w:rsidR="001A0A0A" w:rsidRPr="003E76E7">
          <w:rPr>
            <w:webHidden/>
          </w:rPr>
          <w:instrText xml:space="preserve"> PAGEREF _Toc225848521 \h </w:instrText>
        </w:r>
        <w:r w:rsidR="001A0A0A" w:rsidRPr="003E76E7">
          <w:rPr>
            <w:webHidden/>
          </w:rPr>
        </w:r>
        <w:r w:rsidR="001A0A0A" w:rsidRPr="003E76E7">
          <w:rPr>
            <w:webHidden/>
          </w:rPr>
          <w:fldChar w:fldCharType="separate"/>
        </w:r>
        <w:r w:rsidR="00E00C37">
          <w:rPr>
            <w:webHidden/>
          </w:rPr>
          <w:t>209</w:t>
        </w:r>
        <w:r w:rsidR="001A0A0A" w:rsidRPr="003E76E7">
          <w:rPr>
            <w:webHidden/>
          </w:rPr>
          <w:fldChar w:fldCharType="end"/>
        </w:r>
      </w:hyperlink>
    </w:p>
    <w:p w14:paraId="4186AF7C" w14:textId="7CD5C0A1" w:rsidR="001A0A0A" w:rsidRPr="003E76E7" w:rsidRDefault="00AD70C0" w:rsidP="00C4292D">
      <w:pPr>
        <w:pStyle w:val="TOC4"/>
        <w:rPr>
          <w:rFonts w:asciiTheme="minorHAnsi" w:eastAsiaTheme="minorEastAsia" w:hAnsiTheme="minorHAnsi" w:cstheme="minorBidi"/>
          <w:sz w:val="22"/>
          <w:szCs w:val="22"/>
          <w:lang w:val="en-AU"/>
        </w:rPr>
      </w:pPr>
      <w:hyperlink w:anchor="_Toc225848522" w:history="1">
        <w:r w:rsidR="001A0A0A" w:rsidRPr="003E76E7">
          <w:rPr>
            <w:rStyle w:val="Hyperlink"/>
          </w:rPr>
          <w:t>1.1 Strategic Direction Statement</w:t>
        </w:r>
        <w:r w:rsidR="001A0A0A" w:rsidRPr="003E76E7">
          <w:rPr>
            <w:webHidden/>
          </w:rPr>
          <w:tab/>
        </w:r>
        <w:r w:rsidR="001A0A0A" w:rsidRPr="003E76E7">
          <w:rPr>
            <w:webHidden/>
          </w:rPr>
          <w:fldChar w:fldCharType="begin"/>
        </w:r>
        <w:r w:rsidR="001A0A0A" w:rsidRPr="003E76E7">
          <w:rPr>
            <w:webHidden/>
          </w:rPr>
          <w:instrText xml:space="preserve"> PAGEREF _Toc225848522 \h </w:instrText>
        </w:r>
        <w:r w:rsidR="001A0A0A" w:rsidRPr="003E76E7">
          <w:rPr>
            <w:webHidden/>
          </w:rPr>
        </w:r>
        <w:r w:rsidR="001A0A0A" w:rsidRPr="003E76E7">
          <w:rPr>
            <w:webHidden/>
          </w:rPr>
          <w:fldChar w:fldCharType="separate"/>
        </w:r>
        <w:r w:rsidR="00E00C37">
          <w:rPr>
            <w:webHidden/>
          </w:rPr>
          <w:t>209</w:t>
        </w:r>
        <w:r w:rsidR="001A0A0A" w:rsidRPr="003E76E7">
          <w:rPr>
            <w:webHidden/>
          </w:rPr>
          <w:fldChar w:fldCharType="end"/>
        </w:r>
      </w:hyperlink>
    </w:p>
    <w:p w14:paraId="6706EFE7" w14:textId="0B5F8A6A" w:rsidR="001A0A0A" w:rsidRPr="003E76E7" w:rsidRDefault="00AD70C0" w:rsidP="00C4292D">
      <w:pPr>
        <w:pStyle w:val="TOC4"/>
        <w:rPr>
          <w:rFonts w:asciiTheme="minorHAnsi" w:eastAsiaTheme="minorEastAsia" w:hAnsiTheme="minorHAnsi" w:cstheme="minorBidi"/>
          <w:sz w:val="22"/>
          <w:szCs w:val="22"/>
          <w:lang w:val="en-AU"/>
        </w:rPr>
      </w:pPr>
      <w:hyperlink w:anchor="_Toc225848523" w:history="1">
        <w:r w:rsidR="001A0A0A" w:rsidRPr="003E76E7">
          <w:rPr>
            <w:rStyle w:val="Hyperlink"/>
          </w:rPr>
          <w:t>1.2 DHA Resource Statement</w:t>
        </w:r>
        <w:r w:rsidR="001A0A0A" w:rsidRPr="003E76E7">
          <w:rPr>
            <w:webHidden/>
          </w:rPr>
          <w:tab/>
        </w:r>
        <w:r w:rsidR="001A0A0A" w:rsidRPr="003E76E7">
          <w:rPr>
            <w:webHidden/>
          </w:rPr>
          <w:fldChar w:fldCharType="begin"/>
        </w:r>
        <w:r w:rsidR="001A0A0A" w:rsidRPr="003E76E7">
          <w:rPr>
            <w:webHidden/>
          </w:rPr>
          <w:instrText xml:space="preserve"> PAGEREF _Toc225848523 \h </w:instrText>
        </w:r>
        <w:r w:rsidR="001A0A0A" w:rsidRPr="003E76E7">
          <w:rPr>
            <w:webHidden/>
          </w:rPr>
        </w:r>
        <w:r w:rsidR="001A0A0A" w:rsidRPr="003E76E7">
          <w:rPr>
            <w:webHidden/>
          </w:rPr>
          <w:fldChar w:fldCharType="separate"/>
        </w:r>
        <w:r w:rsidR="00E00C37">
          <w:rPr>
            <w:webHidden/>
          </w:rPr>
          <w:t>212</w:t>
        </w:r>
        <w:r w:rsidR="001A0A0A" w:rsidRPr="003E76E7">
          <w:rPr>
            <w:webHidden/>
          </w:rPr>
          <w:fldChar w:fldCharType="end"/>
        </w:r>
      </w:hyperlink>
    </w:p>
    <w:p w14:paraId="102E522E" w14:textId="2207D428" w:rsidR="001A0A0A" w:rsidRPr="003E76E7" w:rsidRDefault="00AD70C0" w:rsidP="00C4292D">
      <w:pPr>
        <w:pStyle w:val="TOC4"/>
        <w:rPr>
          <w:rFonts w:asciiTheme="minorHAnsi" w:eastAsiaTheme="minorEastAsia" w:hAnsiTheme="minorHAnsi" w:cstheme="minorBidi"/>
          <w:sz w:val="22"/>
          <w:szCs w:val="22"/>
          <w:lang w:val="en-AU"/>
        </w:rPr>
      </w:pPr>
      <w:hyperlink w:anchor="_Toc225848524" w:history="1">
        <w:r w:rsidR="001A0A0A" w:rsidRPr="003E76E7">
          <w:rPr>
            <w:rStyle w:val="Hyperlink"/>
          </w:rPr>
          <w:t>1.3 Budget Measures</w:t>
        </w:r>
        <w:r w:rsidR="001A0A0A" w:rsidRPr="003E76E7">
          <w:rPr>
            <w:webHidden/>
          </w:rPr>
          <w:tab/>
        </w:r>
        <w:r w:rsidR="001A0A0A" w:rsidRPr="003E76E7">
          <w:rPr>
            <w:webHidden/>
          </w:rPr>
          <w:fldChar w:fldCharType="begin"/>
        </w:r>
        <w:r w:rsidR="001A0A0A" w:rsidRPr="003E76E7">
          <w:rPr>
            <w:webHidden/>
          </w:rPr>
          <w:instrText xml:space="preserve"> PAGEREF _Toc225848524 \h </w:instrText>
        </w:r>
        <w:r w:rsidR="001A0A0A" w:rsidRPr="003E76E7">
          <w:rPr>
            <w:webHidden/>
          </w:rPr>
        </w:r>
        <w:r w:rsidR="001A0A0A" w:rsidRPr="003E76E7">
          <w:rPr>
            <w:webHidden/>
          </w:rPr>
          <w:fldChar w:fldCharType="separate"/>
        </w:r>
        <w:r w:rsidR="00E00C37">
          <w:rPr>
            <w:webHidden/>
          </w:rPr>
          <w:t>213</w:t>
        </w:r>
        <w:r w:rsidR="001A0A0A" w:rsidRPr="003E76E7">
          <w:rPr>
            <w:webHidden/>
          </w:rPr>
          <w:fldChar w:fldCharType="end"/>
        </w:r>
      </w:hyperlink>
    </w:p>
    <w:p w14:paraId="5C135958" w14:textId="66D58F64" w:rsidR="001A0A0A" w:rsidRPr="003E76E7" w:rsidRDefault="00AD70C0" w:rsidP="00C4292D">
      <w:pPr>
        <w:pStyle w:val="TOC3"/>
        <w:rPr>
          <w:rFonts w:asciiTheme="minorHAnsi" w:eastAsiaTheme="minorEastAsia" w:hAnsiTheme="minorHAnsi" w:cstheme="minorBidi"/>
          <w:sz w:val="22"/>
          <w:szCs w:val="22"/>
          <w:lang w:val="en-AU"/>
        </w:rPr>
      </w:pPr>
      <w:hyperlink w:anchor="_Toc225848525" w:history="1">
        <w:r w:rsidR="001A0A0A" w:rsidRPr="003E76E7">
          <w:rPr>
            <w:rStyle w:val="Hyperlink"/>
          </w:rPr>
          <w:t>Section 2: DHA Outcomes and Planned Performance</w:t>
        </w:r>
        <w:r w:rsidR="001A0A0A" w:rsidRPr="003E76E7">
          <w:rPr>
            <w:webHidden/>
          </w:rPr>
          <w:tab/>
        </w:r>
        <w:r w:rsidR="001A0A0A" w:rsidRPr="003E76E7">
          <w:rPr>
            <w:webHidden/>
          </w:rPr>
          <w:fldChar w:fldCharType="begin"/>
        </w:r>
        <w:r w:rsidR="001A0A0A" w:rsidRPr="003E76E7">
          <w:rPr>
            <w:webHidden/>
          </w:rPr>
          <w:instrText xml:space="preserve"> PAGEREF _Toc225848525 \h </w:instrText>
        </w:r>
        <w:r w:rsidR="001A0A0A" w:rsidRPr="003E76E7">
          <w:rPr>
            <w:webHidden/>
          </w:rPr>
        </w:r>
        <w:r w:rsidR="001A0A0A" w:rsidRPr="003E76E7">
          <w:rPr>
            <w:webHidden/>
          </w:rPr>
          <w:fldChar w:fldCharType="separate"/>
        </w:r>
        <w:r w:rsidR="00E00C37">
          <w:rPr>
            <w:webHidden/>
          </w:rPr>
          <w:t>214</w:t>
        </w:r>
        <w:r w:rsidR="001A0A0A" w:rsidRPr="003E76E7">
          <w:rPr>
            <w:webHidden/>
          </w:rPr>
          <w:fldChar w:fldCharType="end"/>
        </w:r>
      </w:hyperlink>
    </w:p>
    <w:p w14:paraId="6D576C5E" w14:textId="32AF6034" w:rsidR="001A0A0A" w:rsidRPr="003E76E7" w:rsidRDefault="00AD70C0" w:rsidP="00C4292D">
      <w:pPr>
        <w:pStyle w:val="TOC4"/>
        <w:rPr>
          <w:rFonts w:asciiTheme="minorHAnsi" w:eastAsiaTheme="minorEastAsia" w:hAnsiTheme="minorHAnsi" w:cstheme="minorBidi"/>
          <w:sz w:val="22"/>
          <w:szCs w:val="22"/>
          <w:lang w:val="en-AU"/>
        </w:rPr>
      </w:pPr>
      <w:hyperlink w:anchor="_Toc225848526" w:history="1">
        <w:r w:rsidR="001A0A0A" w:rsidRPr="003E76E7">
          <w:rPr>
            <w:rStyle w:val="Hyperlink"/>
          </w:rPr>
          <w:t>2.1 Budgeted Expenses and Performance for Outcome 1</w:t>
        </w:r>
        <w:r w:rsidR="001A0A0A" w:rsidRPr="003E76E7">
          <w:rPr>
            <w:webHidden/>
          </w:rPr>
          <w:tab/>
        </w:r>
        <w:r w:rsidR="001A0A0A" w:rsidRPr="003E76E7">
          <w:rPr>
            <w:webHidden/>
          </w:rPr>
          <w:fldChar w:fldCharType="begin"/>
        </w:r>
        <w:r w:rsidR="001A0A0A" w:rsidRPr="003E76E7">
          <w:rPr>
            <w:webHidden/>
          </w:rPr>
          <w:instrText xml:space="preserve"> PAGEREF _Toc225848526 \h </w:instrText>
        </w:r>
        <w:r w:rsidR="001A0A0A" w:rsidRPr="003E76E7">
          <w:rPr>
            <w:webHidden/>
          </w:rPr>
        </w:r>
        <w:r w:rsidR="001A0A0A" w:rsidRPr="003E76E7">
          <w:rPr>
            <w:webHidden/>
          </w:rPr>
          <w:fldChar w:fldCharType="separate"/>
        </w:r>
        <w:r w:rsidR="00E00C37">
          <w:rPr>
            <w:webHidden/>
          </w:rPr>
          <w:t>215</w:t>
        </w:r>
        <w:r w:rsidR="001A0A0A" w:rsidRPr="003E76E7">
          <w:rPr>
            <w:webHidden/>
          </w:rPr>
          <w:fldChar w:fldCharType="end"/>
        </w:r>
      </w:hyperlink>
    </w:p>
    <w:p w14:paraId="4DE54576" w14:textId="65C6E04C" w:rsidR="001A0A0A" w:rsidRPr="003E76E7" w:rsidRDefault="00AD70C0" w:rsidP="00C4292D">
      <w:pPr>
        <w:pStyle w:val="TOC3"/>
        <w:rPr>
          <w:rFonts w:asciiTheme="minorHAnsi" w:eastAsiaTheme="minorEastAsia" w:hAnsiTheme="minorHAnsi" w:cstheme="minorBidi"/>
          <w:sz w:val="22"/>
          <w:szCs w:val="22"/>
          <w:lang w:val="en-AU"/>
        </w:rPr>
      </w:pPr>
      <w:hyperlink w:anchor="_Toc225848527" w:history="1">
        <w:r w:rsidR="001A0A0A" w:rsidRPr="003E76E7">
          <w:rPr>
            <w:rStyle w:val="Hyperlink"/>
          </w:rPr>
          <w:t>Section 3: DHA Explanatory Tables and Budgeted Financial Statements</w:t>
        </w:r>
        <w:r w:rsidR="001A0A0A" w:rsidRPr="003E76E7">
          <w:rPr>
            <w:webHidden/>
          </w:rPr>
          <w:tab/>
        </w:r>
        <w:r w:rsidR="001A0A0A" w:rsidRPr="003E76E7">
          <w:rPr>
            <w:webHidden/>
          </w:rPr>
          <w:fldChar w:fldCharType="begin"/>
        </w:r>
        <w:r w:rsidR="001A0A0A" w:rsidRPr="003E76E7">
          <w:rPr>
            <w:webHidden/>
          </w:rPr>
          <w:instrText xml:space="preserve"> PAGEREF _Toc225848527 \h </w:instrText>
        </w:r>
        <w:r w:rsidR="001A0A0A" w:rsidRPr="003E76E7">
          <w:rPr>
            <w:webHidden/>
          </w:rPr>
        </w:r>
        <w:r w:rsidR="001A0A0A" w:rsidRPr="003E76E7">
          <w:rPr>
            <w:webHidden/>
          </w:rPr>
          <w:fldChar w:fldCharType="separate"/>
        </w:r>
        <w:r w:rsidR="00E00C37">
          <w:rPr>
            <w:webHidden/>
          </w:rPr>
          <w:t>218</w:t>
        </w:r>
        <w:r w:rsidR="001A0A0A" w:rsidRPr="003E76E7">
          <w:rPr>
            <w:webHidden/>
          </w:rPr>
          <w:fldChar w:fldCharType="end"/>
        </w:r>
      </w:hyperlink>
    </w:p>
    <w:p w14:paraId="6FA6AEAF" w14:textId="6982CACF" w:rsidR="001A0A0A" w:rsidRPr="003E76E7" w:rsidRDefault="00AD70C0" w:rsidP="00C4292D">
      <w:pPr>
        <w:pStyle w:val="TOC4"/>
        <w:rPr>
          <w:rFonts w:asciiTheme="minorHAnsi" w:eastAsiaTheme="minorEastAsia" w:hAnsiTheme="minorHAnsi" w:cstheme="minorBidi"/>
          <w:sz w:val="22"/>
          <w:szCs w:val="22"/>
          <w:lang w:val="en-AU"/>
        </w:rPr>
      </w:pPr>
      <w:hyperlink w:anchor="_Toc225848528" w:history="1">
        <w:r w:rsidR="001A0A0A" w:rsidRPr="003E76E7">
          <w:rPr>
            <w:rStyle w:val="Hyperlink"/>
          </w:rPr>
          <w:t>3.1 Explanatory Tables</w:t>
        </w:r>
        <w:r w:rsidR="001A0A0A" w:rsidRPr="003E76E7">
          <w:rPr>
            <w:webHidden/>
          </w:rPr>
          <w:tab/>
        </w:r>
        <w:r w:rsidR="001A0A0A" w:rsidRPr="003E76E7">
          <w:rPr>
            <w:webHidden/>
          </w:rPr>
          <w:fldChar w:fldCharType="begin"/>
        </w:r>
        <w:r w:rsidR="001A0A0A" w:rsidRPr="003E76E7">
          <w:rPr>
            <w:webHidden/>
          </w:rPr>
          <w:instrText xml:space="preserve"> PAGEREF _Toc225848528 \h </w:instrText>
        </w:r>
        <w:r w:rsidR="001A0A0A" w:rsidRPr="003E76E7">
          <w:rPr>
            <w:webHidden/>
          </w:rPr>
        </w:r>
        <w:r w:rsidR="001A0A0A" w:rsidRPr="003E76E7">
          <w:rPr>
            <w:webHidden/>
          </w:rPr>
          <w:fldChar w:fldCharType="separate"/>
        </w:r>
        <w:r w:rsidR="00E00C37">
          <w:rPr>
            <w:webHidden/>
          </w:rPr>
          <w:t>218</w:t>
        </w:r>
        <w:r w:rsidR="001A0A0A" w:rsidRPr="003E76E7">
          <w:rPr>
            <w:webHidden/>
          </w:rPr>
          <w:fldChar w:fldCharType="end"/>
        </w:r>
      </w:hyperlink>
    </w:p>
    <w:p w14:paraId="68886236" w14:textId="1BC25919" w:rsidR="001A0A0A" w:rsidRPr="003E76E7" w:rsidRDefault="00AD70C0" w:rsidP="00C4292D">
      <w:pPr>
        <w:pStyle w:val="TOC4"/>
        <w:rPr>
          <w:rFonts w:asciiTheme="minorHAnsi" w:eastAsiaTheme="minorEastAsia" w:hAnsiTheme="minorHAnsi" w:cstheme="minorBidi"/>
          <w:sz w:val="22"/>
          <w:szCs w:val="22"/>
          <w:lang w:val="en-AU"/>
        </w:rPr>
      </w:pPr>
      <w:hyperlink w:anchor="_Toc225848529" w:history="1">
        <w:r w:rsidR="001A0A0A" w:rsidRPr="003E76E7">
          <w:rPr>
            <w:rStyle w:val="Hyperlink"/>
          </w:rPr>
          <w:t>3.2 Budgeted Financial Statements</w:t>
        </w:r>
        <w:r w:rsidR="001A0A0A" w:rsidRPr="003E76E7">
          <w:rPr>
            <w:webHidden/>
          </w:rPr>
          <w:tab/>
        </w:r>
        <w:r w:rsidR="001A0A0A" w:rsidRPr="003E76E7">
          <w:rPr>
            <w:webHidden/>
          </w:rPr>
          <w:fldChar w:fldCharType="begin"/>
        </w:r>
        <w:r w:rsidR="001A0A0A" w:rsidRPr="003E76E7">
          <w:rPr>
            <w:webHidden/>
          </w:rPr>
          <w:instrText xml:space="preserve"> PAGEREF _Toc225848529 \h </w:instrText>
        </w:r>
        <w:r w:rsidR="001A0A0A" w:rsidRPr="003E76E7">
          <w:rPr>
            <w:webHidden/>
          </w:rPr>
        </w:r>
        <w:r w:rsidR="001A0A0A" w:rsidRPr="003E76E7">
          <w:rPr>
            <w:webHidden/>
          </w:rPr>
          <w:fldChar w:fldCharType="separate"/>
        </w:r>
        <w:r w:rsidR="00E00C37">
          <w:rPr>
            <w:webHidden/>
          </w:rPr>
          <w:t>219</w:t>
        </w:r>
        <w:r w:rsidR="001A0A0A" w:rsidRPr="003E76E7">
          <w:rPr>
            <w:webHidden/>
          </w:rPr>
          <w:fldChar w:fldCharType="end"/>
        </w:r>
      </w:hyperlink>
    </w:p>
    <w:p w14:paraId="110D9812" w14:textId="0892E329" w:rsidR="00605423" w:rsidRPr="003E76E7" w:rsidRDefault="00CF10DD" w:rsidP="00C4292D">
      <w:pPr>
        <w:rPr>
          <w:rStyle w:val="Heading1Char"/>
          <w:b w:val="0"/>
          <w:caps/>
          <w:noProof/>
          <w:sz w:val="12"/>
          <w:szCs w:val="12"/>
        </w:rPr>
      </w:pPr>
      <w:r w:rsidRPr="003E76E7">
        <w:rPr>
          <w:rFonts w:ascii="Arial" w:hAnsi="Arial"/>
          <w:b/>
          <w:noProof/>
          <w:szCs w:val="20"/>
        </w:rPr>
        <w:fldChar w:fldCharType="end"/>
      </w:r>
      <w:r w:rsidR="00761824" w:rsidRPr="003E76E7">
        <w:br w:type="page"/>
      </w:r>
      <w:bookmarkStart w:id="1908" w:name="_Toc512360985"/>
      <w:bookmarkStart w:id="1909" w:name="_Toc512511759"/>
      <w:bookmarkStart w:id="1910" w:name="_Toc512518367"/>
      <w:bookmarkStart w:id="1911" w:name="_Toc512519020"/>
      <w:bookmarkStart w:id="1912" w:name="_Toc512946482"/>
      <w:bookmarkStart w:id="1913" w:name="_Toc512946556"/>
      <w:bookmarkStart w:id="1914" w:name="_Toc536091854"/>
      <w:bookmarkStart w:id="1915" w:name="_Toc536092176"/>
      <w:bookmarkStart w:id="1916" w:name="_Toc536200571"/>
      <w:bookmarkStart w:id="1917" w:name="_Toc1561656"/>
      <w:bookmarkStart w:id="1918" w:name="_Toc1561704"/>
      <w:bookmarkStart w:id="1919" w:name="_Toc2018178"/>
      <w:bookmarkStart w:id="1920" w:name="_Toc51691383"/>
      <w:bookmarkStart w:id="1921" w:name="_Toc51691700"/>
      <w:bookmarkStart w:id="1922" w:name="_Toc65150766"/>
      <w:bookmarkStart w:id="1923" w:name="_Toc69729070"/>
      <w:bookmarkStart w:id="1924" w:name="_Toc69913646"/>
      <w:bookmarkStart w:id="1925" w:name="_Toc69917865"/>
      <w:bookmarkStart w:id="1926" w:name="_Toc97747854"/>
      <w:bookmarkStart w:id="1927" w:name="_Toc97809687"/>
      <w:bookmarkStart w:id="1928" w:name="_Toc108088967"/>
      <w:bookmarkStart w:id="1929" w:name="_Toc108089046"/>
      <w:bookmarkStart w:id="1930" w:name="_Toc108089440"/>
      <w:bookmarkStart w:id="1931" w:name="_Toc108089720"/>
      <w:bookmarkStart w:id="1932" w:name="_Toc109227301"/>
      <w:bookmarkStart w:id="1933" w:name="_Toc109227762"/>
      <w:bookmarkStart w:id="1934" w:name="_Toc536089251"/>
      <w:bookmarkStart w:id="1935" w:name="_Toc536089511"/>
      <w:bookmarkStart w:id="1936" w:name="_Toc536089617"/>
    </w:p>
    <w:p w14:paraId="7D639601" w14:textId="77777777" w:rsidR="000512AB" w:rsidRPr="003E76E7" w:rsidRDefault="000512AB" w:rsidP="00C4292D">
      <w:pPr>
        <w:ind w:left="2" w:firstLine="1"/>
        <w:jc w:val="center"/>
        <w:rPr>
          <w:lang w:val="en-AU"/>
        </w:rPr>
      </w:pPr>
      <w:bookmarkStart w:id="1937" w:name="_Toc158896256"/>
      <w:bookmarkStart w:id="1938" w:name="_Toc158896313"/>
      <w:bookmarkStart w:id="1939" w:name="_Toc159499722"/>
      <w:bookmarkStart w:id="1940" w:name="_Toc159857690"/>
      <w:bookmarkStart w:id="1941" w:name="_Toc159857770"/>
      <w:bookmarkStart w:id="1942" w:name="_Toc159858166"/>
      <w:bookmarkStart w:id="1943" w:name="_Toc159858832"/>
      <w:bookmarkStart w:id="1944" w:name="_Toc159858902"/>
      <w:bookmarkStart w:id="1945" w:name="_Toc159859141"/>
      <w:bookmarkStart w:id="1946" w:name="_Toc159859293"/>
      <w:bookmarkStart w:id="1947" w:name="_Toc159862308"/>
      <w:bookmarkStart w:id="1948" w:name="_Toc159862498"/>
    </w:p>
    <w:p w14:paraId="707EAB4E" w14:textId="77777777" w:rsidR="000512AB" w:rsidRPr="003E76E7" w:rsidRDefault="000512AB" w:rsidP="00C4292D">
      <w:pPr>
        <w:ind w:left="2" w:firstLine="1"/>
        <w:jc w:val="center"/>
        <w:rPr>
          <w:lang w:val="en-AU"/>
        </w:rPr>
      </w:pPr>
    </w:p>
    <w:p w14:paraId="467ED4C8" w14:textId="77777777" w:rsidR="000512AB" w:rsidRPr="003E76E7" w:rsidRDefault="000512AB" w:rsidP="00C4292D">
      <w:pPr>
        <w:ind w:left="2" w:firstLine="1"/>
        <w:jc w:val="center"/>
        <w:rPr>
          <w:lang w:val="en-AU"/>
        </w:rPr>
      </w:pPr>
    </w:p>
    <w:p w14:paraId="0AB5E9D5" w14:textId="77777777" w:rsidR="000512AB" w:rsidRPr="003E76E7" w:rsidRDefault="000512AB" w:rsidP="00C4292D">
      <w:pPr>
        <w:ind w:left="2" w:firstLine="1"/>
        <w:jc w:val="center"/>
        <w:rPr>
          <w:lang w:val="en-AU"/>
        </w:rPr>
      </w:pPr>
    </w:p>
    <w:p w14:paraId="7FD83670" w14:textId="77777777" w:rsidR="000512AB" w:rsidRPr="003E76E7" w:rsidRDefault="000512AB" w:rsidP="00C4292D">
      <w:pPr>
        <w:ind w:left="2" w:firstLine="1"/>
        <w:jc w:val="center"/>
        <w:rPr>
          <w:lang w:val="en-AU"/>
        </w:rPr>
      </w:pPr>
    </w:p>
    <w:p w14:paraId="24AD7162" w14:textId="77777777" w:rsidR="000512AB" w:rsidRPr="003E76E7" w:rsidRDefault="000512AB" w:rsidP="00C4292D">
      <w:pPr>
        <w:ind w:left="2" w:firstLine="1"/>
        <w:jc w:val="center"/>
        <w:rPr>
          <w:lang w:val="en-AU"/>
        </w:rPr>
      </w:pPr>
    </w:p>
    <w:p w14:paraId="2CE37879" w14:textId="77777777" w:rsidR="000512AB" w:rsidRPr="003E76E7" w:rsidRDefault="000512AB" w:rsidP="00C4292D">
      <w:pPr>
        <w:ind w:left="2" w:firstLine="1"/>
        <w:jc w:val="center"/>
        <w:rPr>
          <w:lang w:val="en-AU"/>
        </w:rPr>
      </w:pPr>
    </w:p>
    <w:p w14:paraId="2D917274" w14:textId="77777777" w:rsidR="000512AB" w:rsidRPr="003E76E7" w:rsidRDefault="000512AB" w:rsidP="00C4292D">
      <w:pPr>
        <w:ind w:left="2" w:firstLine="1"/>
        <w:jc w:val="center"/>
        <w:rPr>
          <w:lang w:val="en-AU"/>
        </w:rPr>
      </w:pPr>
    </w:p>
    <w:p w14:paraId="3FE0A455" w14:textId="77777777" w:rsidR="000512AB" w:rsidRPr="003E76E7" w:rsidRDefault="000512AB" w:rsidP="00C4292D">
      <w:pPr>
        <w:ind w:left="2" w:firstLine="1"/>
        <w:jc w:val="center"/>
        <w:rPr>
          <w:lang w:val="en-AU"/>
        </w:rPr>
      </w:pPr>
    </w:p>
    <w:p w14:paraId="280D22B4" w14:textId="77777777" w:rsidR="000512AB" w:rsidRPr="003E76E7" w:rsidRDefault="000512AB" w:rsidP="00C4292D">
      <w:pPr>
        <w:ind w:left="2" w:firstLine="1"/>
        <w:jc w:val="center"/>
        <w:rPr>
          <w:lang w:val="en-AU"/>
        </w:rPr>
      </w:pPr>
    </w:p>
    <w:p w14:paraId="1AF9145B" w14:textId="77777777" w:rsidR="000512AB" w:rsidRPr="003E76E7" w:rsidRDefault="000512AB" w:rsidP="00C4292D">
      <w:pPr>
        <w:ind w:left="2" w:firstLine="1"/>
        <w:jc w:val="center"/>
        <w:rPr>
          <w:lang w:val="en-AU"/>
        </w:rPr>
      </w:pPr>
    </w:p>
    <w:p w14:paraId="608EAD0A" w14:textId="77777777" w:rsidR="000512AB" w:rsidRPr="003E76E7" w:rsidRDefault="000512AB" w:rsidP="00C4292D">
      <w:pPr>
        <w:ind w:left="2" w:firstLine="1"/>
        <w:jc w:val="center"/>
        <w:rPr>
          <w:lang w:val="en-AU"/>
        </w:rPr>
      </w:pPr>
    </w:p>
    <w:p w14:paraId="5C914B7F" w14:textId="77777777" w:rsidR="000512AB" w:rsidRPr="003E76E7" w:rsidRDefault="000512AB" w:rsidP="00C4292D">
      <w:pPr>
        <w:ind w:left="2" w:firstLine="1"/>
        <w:jc w:val="center"/>
        <w:rPr>
          <w:lang w:val="en-AU"/>
        </w:rPr>
      </w:pPr>
    </w:p>
    <w:p w14:paraId="4D0A326F" w14:textId="77777777" w:rsidR="000512AB" w:rsidRPr="003E76E7" w:rsidRDefault="000512AB" w:rsidP="00C4292D">
      <w:pPr>
        <w:ind w:left="2" w:firstLine="1"/>
        <w:jc w:val="center"/>
        <w:rPr>
          <w:lang w:val="en-AU"/>
        </w:rPr>
      </w:pPr>
    </w:p>
    <w:p w14:paraId="1B3DAA5D" w14:textId="77777777" w:rsidR="000512AB" w:rsidRPr="003E76E7" w:rsidRDefault="000512AB" w:rsidP="00C4292D">
      <w:pPr>
        <w:ind w:left="2" w:firstLine="1"/>
        <w:jc w:val="center"/>
        <w:rPr>
          <w:lang w:val="en-AU"/>
        </w:rPr>
      </w:pPr>
      <w:r w:rsidRPr="003E76E7">
        <w:rPr>
          <w:lang w:val="en-AU"/>
        </w:rPr>
        <w:t>This page intentionally left blank.</w:t>
      </w:r>
    </w:p>
    <w:p w14:paraId="1ADFEBAB" w14:textId="77777777" w:rsidR="00DE0E57" w:rsidRPr="003E76E7" w:rsidRDefault="00DE0E57" w:rsidP="00C4292D">
      <w:pPr>
        <w:spacing w:before="0" w:after="0"/>
        <w:rPr>
          <w:lang w:val="en-AU"/>
        </w:rPr>
      </w:pPr>
      <w:r w:rsidRPr="003E76E7">
        <w:rPr>
          <w:lang w:val="en-AU"/>
        </w:rPr>
        <w:br w:type="page"/>
      </w:r>
    </w:p>
    <w:p w14:paraId="518FB611" w14:textId="77777777" w:rsidR="00E732C9" w:rsidRPr="003E76E7" w:rsidRDefault="00E732C9" w:rsidP="00C4292D">
      <w:pPr>
        <w:pStyle w:val="heading1level2"/>
        <w:spacing w:before="120" w:after="120"/>
        <w:jc w:val="left"/>
        <w:outlineLvl w:val="9"/>
        <w:rPr>
          <w:rFonts w:ascii="Arial" w:hAnsi="Arial"/>
          <w:smallCaps w:val="0"/>
          <w:sz w:val="36"/>
          <w:szCs w:val="36"/>
          <w:lang w:val="en-AU"/>
        </w:rPr>
      </w:pPr>
      <w:r w:rsidRPr="003E76E7">
        <w:rPr>
          <w:rFonts w:cs="Times New Roman"/>
          <w:smallCaps w:val="0"/>
          <w:kern w:val="0"/>
          <w:sz w:val="36"/>
          <w:szCs w:val="36"/>
        </w:rPr>
        <w:lastRenderedPageBreak/>
        <w:t>D</w:t>
      </w:r>
      <w:r w:rsidR="007A7FE9" w:rsidRPr="003E76E7">
        <w:rPr>
          <w:rFonts w:cs="Times New Roman"/>
          <w:smallCaps w:val="0"/>
          <w:kern w:val="0"/>
          <w:sz w:val="36"/>
          <w:szCs w:val="36"/>
        </w:rPr>
        <w:t>efence Housing Australia</w:t>
      </w:r>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7"/>
      <w:bookmarkEnd w:id="1938"/>
      <w:bookmarkEnd w:id="1939"/>
      <w:bookmarkEnd w:id="1940"/>
      <w:bookmarkEnd w:id="1941"/>
      <w:bookmarkEnd w:id="1942"/>
      <w:bookmarkEnd w:id="1943"/>
      <w:bookmarkEnd w:id="1944"/>
      <w:bookmarkEnd w:id="1945"/>
      <w:bookmarkEnd w:id="1946"/>
      <w:bookmarkEnd w:id="1947"/>
      <w:bookmarkEnd w:id="1948"/>
    </w:p>
    <w:p w14:paraId="1148879D" w14:textId="6FDB8842" w:rsidR="00761824" w:rsidRPr="003E76E7" w:rsidRDefault="00761824" w:rsidP="00C4292D">
      <w:pPr>
        <w:pStyle w:val="Heading2level3"/>
        <w:spacing w:before="120" w:after="120"/>
        <w:rPr>
          <w:rStyle w:val="Heading2Char"/>
          <w:sz w:val="26"/>
          <w:szCs w:val="26"/>
        </w:rPr>
      </w:pPr>
      <w:bookmarkStart w:id="1949" w:name="_Toc1561705"/>
      <w:bookmarkStart w:id="1950" w:name="_Toc51691701"/>
      <w:bookmarkStart w:id="1951" w:name="_Toc69729071"/>
      <w:bookmarkStart w:id="1952" w:name="_Toc69917866"/>
      <w:bookmarkStart w:id="1953" w:name="_Toc97747855"/>
      <w:bookmarkStart w:id="1954" w:name="_Toc108088968"/>
      <w:bookmarkStart w:id="1955" w:name="_Toc108089047"/>
      <w:bookmarkStart w:id="1956" w:name="_Toc108089441"/>
      <w:bookmarkStart w:id="1957" w:name="_Toc109227302"/>
      <w:bookmarkStart w:id="1958" w:name="_Toc109227763"/>
      <w:bookmarkStart w:id="1959" w:name="_Toc158896257"/>
      <w:bookmarkStart w:id="1960" w:name="_Toc158896314"/>
      <w:bookmarkStart w:id="1961" w:name="_Toc159499723"/>
      <w:bookmarkStart w:id="1962" w:name="_Toc159857691"/>
      <w:bookmarkStart w:id="1963" w:name="_Toc159857771"/>
      <w:bookmarkStart w:id="1964" w:name="_Toc159858167"/>
      <w:bookmarkStart w:id="1965" w:name="_Toc159858833"/>
      <w:bookmarkStart w:id="1966" w:name="_Toc159858903"/>
      <w:bookmarkStart w:id="1967" w:name="_Toc159859142"/>
      <w:bookmarkStart w:id="1968" w:name="_Toc159862309"/>
      <w:bookmarkStart w:id="1969" w:name="_Toc159862499"/>
      <w:bookmarkStart w:id="1970" w:name="_Toc221786198"/>
      <w:bookmarkStart w:id="1971" w:name="_Toc222129964"/>
      <w:bookmarkStart w:id="1972" w:name="_Toc222148389"/>
      <w:bookmarkStart w:id="1973" w:name="_Toc225848016"/>
      <w:bookmarkStart w:id="1974" w:name="_Toc225848099"/>
      <w:bookmarkStart w:id="1975" w:name="_Toc225848269"/>
      <w:bookmarkStart w:id="1976" w:name="_Toc225848521"/>
      <w:bookmarkStart w:id="1977" w:name="_Toc225941589"/>
      <w:bookmarkStart w:id="1978" w:name="_Toc225942596"/>
      <w:bookmarkStart w:id="1979" w:name="_Toc227334406"/>
      <w:bookmarkStart w:id="1980" w:name="_Toc229072481"/>
      <w:bookmarkStart w:id="1981" w:name="_Toc229072653"/>
      <w:r w:rsidRPr="003E76E7">
        <w:rPr>
          <w:rStyle w:val="Heading2Char"/>
          <w:sz w:val="26"/>
          <w:szCs w:val="26"/>
        </w:rPr>
        <w:t>Section 1: DHA Overview and Resources</w:t>
      </w:r>
      <w:bookmarkEnd w:id="1934"/>
      <w:bookmarkEnd w:id="1935"/>
      <w:bookmarkEnd w:id="1936"/>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p>
    <w:p w14:paraId="268758EB" w14:textId="42CB15A2" w:rsidR="00761824" w:rsidRPr="003E76E7" w:rsidRDefault="00761824" w:rsidP="00C4292D">
      <w:pPr>
        <w:pStyle w:val="Heading4"/>
        <w:rPr>
          <w:sz w:val="24"/>
          <w:szCs w:val="24"/>
        </w:rPr>
      </w:pPr>
      <w:bookmarkStart w:id="1982" w:name="_Toc507595443"/>
      <w:bookmarkStart w:id="1983" w:name="_Toc536089252"/>
      <w:bookmarkStart w:id="1984" w:name="_Toc536089512"/>
      <w:bookmarkStart w:id="1985" w:name="_Toc536089618"/>
      <w:bookmarkStart w:id="1986" w:name="_Toc1561706"/>
      <w:bookmarkStart w:id="1987" w:name="_Toc51691702"/>
      <w:bookmarkStart w:id="1988" w:name="_Toc69729072"/>
      <w:bookmarkStart w:id="1989" w:name="_Toc69917867"/>
      <w:bookmarkStart w:id="1990" w:name="_Toc97747856"/>
      <w:bookmarkStart w:id="1991" w:name="_Toc108088969"/>
      <w:bookmarkStart w:id="1992" w:name="_Toc108089048"/>
      <w:bookmarkStart w:id="1993" w:name="_Toc108089442"/>
      <w:bookmarkStart w:id="1994" w:name="_Toc109227764"/>
      <w:bookmarkStart w:id="1995" w:name="_Toc159499724"/>
      <w:bookmarkStart w:id="1996" w:name="_Toc159859143"/>
      <w:bookmarkStart w:id="1997" w:name="_Toc222129965"/>
      <w:bookmarkStart w:id="1998" w:name="_Toc222148390"/>
      <w:bookmarkStart w:id="1999" w:name="_Toc225848017"/>
      <w:bookmarkStart w:id="2000" w:name="_Toc225848100"/>
      <w:bookmarkStart w:id="2001" w:name="_Toc225848522"/>
      <w:bookmarkStart w:id="2002" w:name="_Toc225941590"/>
      <w:bookmarkStart w:id="2003" w:name="_Toc225942597"/>
      <w:bookmarkStart w:id="2004" w:name="_Toc227334407"/>
      <w:bookmarkStart w:id="2005" w:name="_Toc229072482"/>
      <w:bookmarkStart w:id="2006" w:name="_Toc229072654"/>
      <w:r w:rsidRPr="003E76E7">
        <w:rPr>
          <w:sz w:val="24"/>
          <w:szCs w:val="24"/>
        </w:rPr>
        <w:t>1.1 Strategic Direction Statement</w:t>
      </w:r>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p>
    <w:p w14:paraId="2D540DEB" w14:textId="77777777" w:rsidR="00314B0C" w:rsidRPr="003E76E7" w:rsidRDefault="00314B0C" w:rsidP="00C4292D">
      <w:pPr>
        <w:spacing w:before="60" w:after="60" w:line="256" w:lineRule="auto"/>
        <w:rPr>
          <w:i/>
          <w:iCs/>
          <w:lang w:val="en-AU"/>
        </w:rPr>
      </w:pPr>
      <w:r w:rsidRPr="003E76E7">
        <w:rPr>
          <w:lang w:val="en-AU"/>
        </w:rPr>
        <w:t xml:space="preserve">Defence Housing Australia’s (DHA) purpose is </w:t>
      </w:r>
      <w:r w:rsidRPr="003E76E7">
        <w:t xml:space="preserve">the provision of adequate and suitable housing and housing-related services to members of the Australian Defence Force (ADF) and their families, officers and </w:t>
      </w:r>
      <w:r w:rsidRPr="003E76E7">
        <w:rPr>
          <w:lang w:val="en-AU" w:eastAsia="en-US"/>
        </w:rPr>
        <w:t>employees</w:t>
      </w:r>
      <w:r w:rsidRPr="003E76E7">
        <w:t xml:space="preserve"> of the Department of Defence and their families, and persons assisting the ADF and the Department of Defence, in order to meet the operational needs of the ADF and the </w:t>
      </w:r>
      <w:r w:rsidRPr="003E76E7">
        <w:rPr>
          <w:lang w:val="en-AU" w:eastAsia="en-US"/>
        </w:rPr>
        <w:t>requirements</w:t>
      </w:r>
      <w:r w:rsidRPr="003E76E7">
        <w:t xml:space="preserve"> of the Department</w:t>
      </w:r>
      <w:r w:rsidRPr="003E76E7">
        <w:rPr>
          <w:lang w:val="en-AU"/>
        </w:rPr>
        <w:t xml:space="preserve">. DHA is a corporate Commonwealth entity and Government Business Enterprise (GBE) operating under the provisions of the </w:t>
      </w:r>
      <w:r w:rsidRPr="003E76E7">
        <w:rPr>
          <w:i/>
          <w:lang w:val="en-AU"/>
        </w:rPr>
        <w:t xml:space="preserve">Defence Housing Australia Act 1987 </w:t>
      </w:r>
      <w:r w:rsidRPr="003E76E7">
        <w:rPr>
          <w:lang w:val="en-AU"/>
        </w:rPr>
        <w:t>(DHA Act),</w:t>
      </w:r>
      <w:r w:rsidRPr="003E76E7">
        <w:rPr>
          <w:i/>
          <w:lang w:val="en-AU"/>
        </w:rPr>
        <w:t xml:space="preserve"> the Public Governance, Performance and Accountability Act 2013 </w:t>
      </w:r>
      <w:r w:rsidRPr="003E76E7">
        <w:rPr>
          <w:lang w:val="en-AU"/>
        </w:rPr>
        <w:t xml:space="preserve">(PGPA Act), and the </w:t>
      </w:r>
      <w:r w:rsidRPr="003E76E7">
        <w:rPr>
          <w:i/>
          <w:lang w:val="en-AU"/>
        </w:rPr>
        <w:t xml:space="preserve">Public Governance, Performance and Accountability Rule 2014 </w:t>
      </w:r>
      <w:r w:rsidRPr="003E76E7">
        <w:rPr>
          <w:lang w:val="en-AU"/>
        </w:rPr>
        <w:t xml:space="preserve">(PGPA Rule). DHA’s </w:t>
      </w:r>
      <w:r w:rsidRPr="003E76E7">
        <w:t>Shareholders</w:t>
      </w:r>
      <w:r w:rsidRPr="003E76E7">
        <w:rPr>
          <w:lang w:val="en-AU"/>
        </w:rPr>
        <w:t xml:space="preserve"> are the Minister for Defence Personnel and the Minister for Finance acting on behalf of the Australian Government.</w:t>
      </w:r>
    </w:p>
    <w:p w14:paraId="7055A84A" w14:textId="77777777" w:rsidR="00CA192E" w:rsidRPr="003E76E7" w:rsidRDefault="00CA192E" w:rsidP="00C4292D">
      <w:pPr>
        <w:spacing w:before="120" w:after="120"/>
        <w:rPr>
          <w:rFonts w:cs="Times New Roman"/>
          <w:szCs w:val="20"/>
          <w:lang w:val="en-AU"/>
        </w:rPr>
      </w:pPr>
    </w:p>
    <w:p w14:paraId="212613EC" w14:textId="77777777" w:rsidR="00761824" w:rsidRPr="003E76E7" w:rsidRDefault="000B1442" w:rsidP="00C4292D">
      <w:pPr>
        <w:pStyle w:val="Heading4level5"/>
        <w:spacing w:before="0"/>
        <w:outlineLvl w:val="9"/>
      </w:pPr>
      <w:r w:rsidRPr="003E76E7">
        <w:br w:type="page"/>
      </w:r>
      <w:r w:rsidR="00761824" w:rsidRPr="003E76E7">
        <w:lastRenderedPageBreak/>
        <w:t>DHA Organisational Structure</w:t>
      </w:r>
    </w:p>
    <w:p w14:paraId="5DAC9E3D" w14:textId="2203E94D" w:rsidR="00BA480A" w:rsidRPr="003E76E7" w:rsidRDefault="00BA480A" w:rsidP="00C4292D">
      <w:pPr>
        <w:spacing w:before="60" w:after="60" w:line="256" w:lineRule="auto"/>
        <w:rPr>
          <w:lang w:val="en-AU"/>
        </w:rPr>
      </w:pPr>
      <w:r w:rsidRPr="003E76E7">
        <w:rPr>
          <w:lang w:val="en-AU"/>
        </w:rPr>
        <w:t xml:space="preserve">The </w:t>
      </w:r>
      <w:r w:rsidRPr="003E76E7">
        <w:rPr>
          <w:lang w:val="en-AU" w:eastAsia="en-US"/>
        </w:rPr>
        <w:t>composition</w:t>
      </w:r>
      <w:r w:rsidRPr="003E76E7">
        <w:rPr>
          <w:lang w:val="en-AU"/>
        </w:rPr>
        <w:t xml:space="preserve"> of DHA’s Board of Directors </w:t>
      </w:r>
      <w:r w:rsidR="00297598">
        <w:rPr>
          <w:lang w:val="en-AU"/>
        </w:rPr>
        <w:t>is effective at the time of this publication’s release</w:t>
      </w:r>
      <w:r w:rsidRPr="003E76E7">
        <w:rPr>
          <w:lang w:val="en-AU"/>
        </w:rPr>
        <w:t xml:space="preserve">: </w:t>
      </w:r>
    </w:p>
    <w:tbl>
      <w:tblPr>
        <w:tblW w:w="8684" w:type="dxa"/>
        <w:tblLook w:val="01E0" w:firstRow="1" w:lastRow="1" w:firstColumn="1" w:lastColumn="1" w:noHBand="0" w:noVBand="0"/>
      </w:tblPr>
      <w:tblGrid>
        <w:gridCol w:w="4290"/>
        <w:gridCol w:w="4394"/>
      </w:tblGrid>
      <w:tr w:rsidR="00B672BF" w:rsidRPr="003E76E7" w14:paraId="25788A0F" w14:textId="77777777" w:rsidTr="003746BF">
        <w:tc>
          <w:tcPr>
            <w:tcW w:w="4290" w:type="dxa"/>
          </w:tcPr>
          <w:p w14:paraId="4D3EBDED" w14:textId="12A14B55" w:rsidR="00B672BF" w:rsidRPr="003E76E7" w:rsidRDefault="008F0C26" w:rsidP="00C4292D">
            <w:pPr>
              <w:spacing w:before="80" w:after="80"/>
              <w:ind w:left="216"/>
              <w:rPr>
                <w:szCs w:val="20"/>
                <w:lang w:val="en-AU"/>
              </w:rPr>
            </w:pPr>
            <w:r w:rsidRPr="003E76E7">
              <w:rPr>
                <w:szCs w:val="20"/>
                <w:lang w:val="en-AU"/>
              </w:rPr>
              <w:t>Chairperson</w:t>
            </w:r>
          </w:p>
        </w:tc>
        <w:tc>
          <w:tcPr>
            <w:tcW w:w="4394" w:type="dxa"/>
          </w:tcPr>
          <w:p w14:paraId="7B090E5A" w14:textId="77777777" w:rsidR="00B672BF" w:rsidRPr="003E76E7" w:rsidRDefault="00B672BF" w:rsidP="00C4292D">
            <w:pPr>
              <w:spacing w:before="80" w:after="80"/>
              <w:ind w:left="262"/>
              <w:rPr>
                <w:szCs w:val="20"/>
                <w:lang w:val="en-AU"/>
              </w:rPr>
            </w:pPr>
            <w:r w:rsidRPr="003E76E7">
              <w:rPr>
                <w:szCs w:val="20"/>
                <w:lang w:val="en-AU"/>
              </w:rPr>
              <w:t>Dr Robert Lang</w:t>
            </w:r>
          </w:p>
        </w:tc>
      </w:tr>
      <w:tr w:rsidR="00B672BF" w:rsidRPr="003E76E7" w14:paraId="08F73C0F" w14:textId="77777777" w:rsidTr="003746BF">
        <w:tc>
          <w:tcPr>
            <w:tcW w:w="4290" w:type="dxa"/>
          </w:tcPr>
          <w:p w14:paraId="1C552290" w14:textId="77777777" w:rsidR="00B672BF" w:rsidRPr="003E76E7" w:rsidRDefault="00B672BF" w:rsidP="00C4292D">
            <w:pPr>
              <w:spacing w:before="80" w:after="80"/>
              <w:ind w:left="216"/>
              <w:rPr>
                <w:szCs w:val="20"/>
                <w:lang w:val="en-AU"/>
              </w:rPr>
            </w:pPr>
            <w:r w:rsidRPr="003E76E7">
              <w:rPr>
                <w:szCs w:val="20"/>
                <w:lang w:val="en-AU"/>
              </w:rPr>
              <w:t xml:space="preserve">Managing Director </w:t>
            </w:r>
          </w:p>
        </w:tc>
        <w:tc>
          <w:tcPr>
            <w:tcW w:w="4394" w:type="dxa"/>
          </w:tcPr>
          <w:p w14:paraId="091BC23C" w14:textId="7095CA9D" w:rsidR="00B672BF" w:rsidRPr="003E76E7" w:rsidRDefault="004D20D0" w:rsidP="00C4292D">
            <w:pPr>
              <w:spacing w:before="80" w:after="80"/>
              <w:ind w:left="262"/>
              <w:rPr>
                <w:szCs w:val="20"/>
                <w:lang w:val="en-AU"/>
              </w:rPr>
            </w:pPr>
            <w:r w:rsidRPr="003E76E7">
              <w:rPr>
                <w:szCs w:val="20"/>
                <w:lang w:val="en-AU"/>
              </w:rPr>
              <w:t>Mr Andrew Jaggers</w:t>
            </w:r>
            <w:r w:rsidR="00B672BF" w:rsidRPr="003E76E7">
              <w:rPr>
                <w:szCs w:val="20"/>
                <w:lang w:val="en-AU"/>
              </w:rPr>
              <w:t xml:space="preserve"> PSM</w:t>
            </w:r>
          </w:p>
        </w:tc>
      </w:tr>
      <w:tr w:rsidR="00B672BF" w:rsidRPr="003E76E7" w14:paraId="7247F162" w14:textId="77777777" w:rsidTr="003746BF">
        <w:trPr>
          <w:trHeight w:val="346"/>
        </w:trPr>
        <w:tc>
          <w:tcPr>
            <w:tcW w:w="4290" w:type="dxa"/>
          </w:tcPr>
          <w:p w14:paraId="0FC7D123" w14:textId="77777777" w:rsidR="00B672BF" w:rsidRPr="003E76E7" w:rsidRDefault="00B672BF" w:rsidP="00C4292D">
            <w:pPr>
              <w:spacing w:before="80" w:after="80"/>
              <w:ind w:left="216"/>
              <w:rPr>
                <w:szCs w:val="20"/>
                <w:lang w:val="en-AU"/>
              </w:rPr>
            </w:pPr>
            <w:r w:rsidRPr="003E76E7">
              <w:rPr>
                <w:szCs w:val="20"/>
                <w:lang w:val="en-AU"/>
              </w:rPr>
              <w:t xml:space="preserve">Commercial Director </w:t>
            </w:r>
          </w:p>
        </w:tc>
        <w:tc>
          <w:tcPr>
            <w:tcW w:w="4394" w:type="dxa"/>
          </w:tcPr>
          <w:p w14:paraId="7FAEDC57" w14:textId="77777777" w:rsidR="00B672BF" w:rsidRPr="003E76E7" w:rsidRDefault="00B672BF" w:rsidP="00C4292D">
            <w:pPr>
              <w:spacing w:before="80" w:after="80"/>
              <w:ind w:left="262"/>
              <w:rPr>
                <w:szCs w:val="20"/>
                <w:lang w:val="en-AU"/>
              </w:rPr>
            </w:pPr>
            <w:r w:rsidRPr="003E76E7">
              <w:rPr>
                <w:szCs w:val="20"/>
                <w:lang w:val="en-AU"/>
              </w:rPr>
              <w:t>Ms Gai Brodtmann</w:t>
            </w:r>
          </w:p>
        </w:tc>
      </w:tr>
      <w:tr w:rsidR="00B672BF" w:rsidRPr="003E76E7" w14:paraId="54A8248D" w14:textId="77777777" w:rsidTr="003746BF">
        <w:tc>
          <w:tcPr>
            <w:tcW w:w="4290" w:type="dxa"/>
          </w:tcPr>
          <w:p w14:paraId="4D043F80" w14:textId="77777777" w:rsidR="00B672BF" w:rsidRPr="003E76E7" w:rsidRDefault="00B672BF" w:rsidP="00C4292D">
            <w:pPr>
              <w:spacing w:before="80" w:after="80"/>
              <w:ind w:left="216"/>
              <w:rPr>
                <w:szCs w:val="20"/>
                <w:lang w:val="en-AU"/>
              </w:rPr>
            </w:pPr>
            <w:r w:rsidRPr="003E76E7">
              <w:rPr>
                <w:szCs w:val="20"/>
                <w:lang w:val="en-AU"/>
              </w:rPr>
              <w:t xml:space="preserve">Commercial Director </w:t>
            </w:r>
          </w:p>
        </w:tc>
        <w:tc>
          <w:tcPr>
            <w:tcW w:w="4394" w:type="dxa"/>
          </w:tcPr>
          <w:p w14:paraId="3704F7EE" w14:textId="77777777" w:rsidR="00B672BF" w:rsidRPr="003E76E7" w:rsidRDefault="00B672BF" w:rsidP="00C4292D">
            <w:pPr>
              <w:spacing w:before="80" w:after="80"/>
              <w:ind w:left="262"/>
              <w:rPr>
                <w:szCs w:val="20"/>
                <w:lang w:val="en-AU"/>
              </w:rPr>
            </w:pPr>
            <w:r w:rsidRPr="003E76E7">
              <w:rPr>
                <w:szCs w:val="20"/>
                <w:lang w:val="en-AU"/>
              </w:rPr>
              <w:t xml:space="preserve">Ms Andrea Galloway </w:t>
            </w:r>
          </w:p>
        </w:tc>
      </w:tr>
      <w:tr w:rsidR="00B672BF" w:rsidRPr="003E76E7" w14:paraId="1DF5C7B8" w14:textId="77777777" w:rsidTr="003746BF">
        <w:tc>
          <w:tcPr>
            <w:tcW w:w="4290" w:type="dxa"/>
          </w:tcPr>
          <w:p w14:paraId="518F0CD0" w14:textId="77777777" w:rsidR="00B672BF" w:rsidRPr="003E76E7" w:rsidRDefault="00B672BF" w:rsidP="00C4292D">
            <w:pPr>
              <w:spacing w:before="80" w:after="80"/>
              <w:ind w:left="216"/>
              <w:rPr>
                <w:szCs w:val="20"/>
                <w:lang w:val="en-AU"/>
              </w:rPr>
            </w:pPr>
            <w:r w:rsidRPr="003E76E7">
              <w:rPr>
                <w:szCs w:val="20"/>
                <w:lang w:val="en-AU"/>
              </w:rPr>
              <w:t xml:space="preserve">Commercial Director </w:t>
            </w:r>
          </w:p>
        </w:tc>
        <w:tc>
          <w:tcPr>
            <w:tcW w:w="4394" w:type="dxa"/>
          </w:tcPr>
          <w:p w14:paraId="77EB6E5C" w14:textId="49657315" w:rsidR="00B672BF" w:rsidRPr="003E76E7" w:rsidRDefault="008F0C26" w:rsidP="00C4292D">
            <w:pPr>
              <w:spacing w:before="80" w:after="80"/>
              <w:ind w:left="262"/>
              <w:rPr>
                <w:szCs w:val="20"/>
                <w:lang w:val="en-AU"/>
              </w:rPr>
            </w:pPr>
            <w:r w:rsidRPr="003E76E7">
              <w:rPr>
                <w:szCs w:val="20"/>
                <w:lang w:val="en-AU"/>
              </w:rPr>
              <w:t>Mr Frank Marra</w:t>
            </w:r>
          </w:p>
        </w:tc>
      </w:tr>
      <w:tr w:rsidR="00B672BF" w:rsidRPr="003E76E7" w14:paraId="2D0739AA" w14:textId="77777777" w:rsidTr="003746BF">
        <w:tc>
          <w:tcPr>
            <w:tcW w:w="4290" w:type="dxa"/>
          </w:tcPr>
          <w:p w14:paraId="78FBA0E7" w14:textId="77777777" w:rsidR="00B672BF" w:rsidRPr="003E76E7" w:rsidRDefault="00B672BF" w:rsidP="00C4292D">
            <w:pPr>
              <w:spacing w:before="80" w:after="80"/>
              <w:ind w:left="216"/>
              <w:rPr>
                <w:szCs w:val="20"/>
                <w:lang w:val="en-AU"/>
              </w:rPr>
            </w:pPr>
            <w:r w:rsidRPr="003E76E7">
              <w:rPr>
                <w:szCs w:val="20"/>
                <w:lang w:val="en-AU"/>
              </w:rPr>
              <w:t>Commercial Director</w:t>
            </w:r>
          </w:p>
        </w:tc>
        <w:tc>
          <w:tcPr>
            <w:tcW w:w="4394" w:type="dxa"/>
          </w:tcPr>
          <w:p w14:paraId="6858AD8F" w14:textId="53FCBFF3" w:rsidR="00B672BF" w:rsidRPr="003E76E7" w:rsidRDefault="008F0C26" w:rsidP="00C4292D">
            <w:pPr>
              <w:spacing w:before="80" w:after="80"/>
              <w:ind w:left="262"/>
              <w:rPr>
                <w:szCs w:val="20"/>
                <w:lang w:val="en-AU"/>
              </w:rPr>
            </w:pPr>
            <w:r w:rsidRPr="003E76E7">
              <w:rPr>
                <w:szCs w:val="20"/>
                <w:lang w:val="en-AU"/>
              </w:rPr>
              <w:t>Mr Graeme Ross</w:t>
            </w:r>
          </w:p>
        </w:tc>
      </w:tr>
      <w:tr w:rsidR="00B672BF" w:rsidRPr="003E76E7" w14:paraId="0E64B2DE" w14:textId="77777777" w:rsidTr="003746BF">
        <w:tc>
          <w:tcPr>
            <w:tcW w:w="4290" w:type="dxa"/>
          </w:tcPr>
          <w:p w14:paraId="093C0C1F" w14:textId="77777777" w:rsidR="00B672BF" w:rsidRPr="003E76E7" w:rsidRDefault="00B672BF" w:rsidP="00C4292D">
            <w:pPr>
              <w:spacing w:before="80" w:after="80"/>
              <w:ind w:left="216"/>
              <w:rPr>
                <w:szCs w:val="20"/>
                <w:lang w:val="en-AU"/>
              </w:rPr>
            </w:pPr>
            <w:r w:rsidRPr="003E76E7">
              <w:rPr>
                <w:szCs w:val="20"/>
                <w:lang w:val="en-AU"/>
              </w:rPr>
              <w:t xml:space="preserve">Nominee Secretary of Defence </w:t>
            </w:r>
          </w:p>
        </w:tc>
        <w:tc>
          <w:tcPr>
            <w:tcW w:w="4394" w:type="dxa"/>
          </w:tcPr>
          <w:p w14:paraId="5FA9C12D" w14:textId="5D4E03A7" w:rsidR="00B672BF" w:rsidRPr="003E76E7" w:rsidRDefault="00B672BF" w:rsidP="00C4292D">
            <w:pPr>
              <w:spacing w:before="80" w:after="80"/>
              <w:ind w:left="262"/>
              <w:rPr>
                <w:szCs w:val="20"/>
                <w:lang w:val="en-AU"/>
              </w:rPr>
            </w:pPr>
            <w:r w:rsidRPr="003E76E7">
              <w:rPr>
                <w:szCs w:val="20"/>
                <w:lang w:val="en-AU"/>
              </w:rPr>
              <w:t xml:space="preserve">Ms Monique Hamilton </w:t>
            </w:r>
            <w:r w:rsidR="008F0C26" w:rsidRPr="003E76E7">
              <w:rPr>
                <w:szCs w:val="20"/>
                <w:lang w:val="en-AU"/>
              </w:rPr>
              <w:t>PSM</w:t>
            </w:r>
          </w:p>
        </w:tc>
      </w:tr>
      <w:tr w:rsidR="00B672BF" w:rsidRPr="003E76E7" w14:paraId="7C048F40" w14:textId="77777777" w:rsidTr="003746BF">
        <w:tc>
          <w:tcPr>
            <w:tcW w:w="4290" w:type="dxa"/>
          </w:tcPr>
          <w:p w14:paraId="482EA81E" w14:textId="77777777" w:rsidR="00B672BF" w:rsidRPr="003E76E7" w:rsidRDefault="00B672BF" w:rsidP="00C4292D">
            <w:pPr>
              <w:spacing w:before="80" w:after="80"/>
              <w:ind w:left="216"/>
              <w:rPr>
                <w:szCs w:val="20"/>
                <w:lang w:val="en-AU"/>
              </w:rPr>
            </w:pPr>
            <w:r w:rsidRPr="003E76E7">
              <w:rPr>
                <w:szCs w:val="20"/>
                <w:lang w:val="en-AU"/>
              </w:rPr>
              <w:t xml:space="preserve">Nominee Chief of Defence Force </w:t>
            </w:r>
          </w:p>
        </w:tc>
        <w:tc>
          <w:tcPr>
            <w:tcW w:w="4394" w:type="dxa"/>
          </w:tcPr>
          <w:p w14:paraId="40F46CF3" w14:textId="4884FD10" w:rsidR="00B672BF" w:rsidRPr="003E76E7" w:rsidRDefault="004D20D0" w:rsidP="00C4292D">
            <w:pPr>
              <w:spacing w:before="80" w:after="80"/>
              <w:ind w:left="262"/>
              <w:rPr>
                <w:szCs w:val="20"/>
                <w:lang w:val="en-AU"/>
              </w:rPr>
            </w:pPr>
            <w:r w:rsidRPr="003E76E7">
              <w:rPr>
                <w:szCs w:val="20"/>
                <w:lang w:val="en-AU"/>
              </w:rPr>
              <w:t>BRIG Leigh Wilton</w:t>
            </w:r>
            <w:r w:rsidR="00B672BF" w:rsidRPr="003E76E7">
              <w:rPr>
                <w:szCs w:val="20"/>
                <w:lang w:val="en-AU"/>
              </w:rPr>
              <w:t xml:space="preserve"> AM</w:t>
            </w:r>
          </w:p>
        </w:tc>
      </w:tr>
      <w:tr w:rsidR="00B672BF" w:rsidRPr="003E76E7" w14:paraId="614C7525" w14:textId="77777777" w:rsidTr="003746BF">
        <w:tc>
          <w:tcPr>
            <w:tcW w:w="4290" w:type="dxa"/>
          </w:tcPr>
          <w:p w14:paraId="55F87672" w14:textId="77777777" w:rsidR="00B672BF" w:rsidRPr="003E76E7" w:rsidRDefault="00B672BF" w:rsidP="00C4292D">
            <w:pPr>
              <w:spacing w:before="80" w:after="80"/>
              <w:ind w:left="216"/>
              <w:rPr>
                <w:szCs w:val="20"/>
                <w:lang w:val="en-AU"/>
              </w:rPr>
            </w:pPr>
            <w:r w:rsidRPr="003E76E7">
              <w:rPr>
                <w:szCs w:val="20"/>
                <w:lang w:val="en-AU"/>
              </w:rPr>
              <w:t xml:space="preserve">Nominee Secretary of Finance </w:t>
            </w:r>
          </w:p>
        </w:tc>
        <w:tc>
          <w:tcPr>
            <w:tcW w:w="4394" w:type="dxa"/>
          </w:tcPr>
          <w:p w14:paraId="4807B164" w14:textId="77777777" w:rsidR="00B672BF" w:rsidRPr="003E76E7" w:rsidRDefault="00B672BF" w:rsidP="00C4292D">
            <w:pPr>
              <w:spacing w:before="80" w:after="80"/>
              <w:ind w:left="262"/>
              <w:rPr>
                <w:szCs w:val="20"/>
                <w:lang w:val="en-AU"/>
              </w:rPr>
            </w:pPr>
            <w:r w:rsidRPr="003E76E7">
              <w:rPr>
                <w:szCs w:val="20"/>
                <w:lang w:val="en-AU"/>
              </w:rPr>
              <w:t>Vacant</w:t>
            </w:r>
          </w:p>
          <w:p w14:paraId="37E4D858" w14:textId="6650E255" w:rsidR="00771F20" w:rsidRPr="003E76E7" w:rsidRDefault="00771F20" w:rsidP="00C4292D">
            <w:pPr>
              <w:spacing w:before="0" w:after="0"/>
              <w:ind w:left="262"/>
              <w:rPr>
                <w:szCs w:val="20"/>
                <w:lang w:val="en-AU"/>
              </w:rPr>
            </w:pPr>
          </w:p>
        </w:tc>
      </w:tr>
    </w:tbl>
    <w:p w14:paraId="3B6F07BC" w14:textId="0B1A0572" w:rsidR="00BA480A" w:rsidRPr="003E76E7" w:rsidRDefault="00BA480A" w:rsidP="00C4292D">
      <w:pPr>
        <w:spacing w:before="60" w:after="60" w:line="256" w:lineRule="auto"/>
        <w:rPr>
          <w:szCs w:val="20"/>
          <w:lang w:val="en-AU"/>
        </w:rPr>
      </w:pPr>
      <w:r w:rsidRPr="003E76E7">
        <w:rPr>
          <w:szCs w:val="20"/>
          <w:lang w:val="en-AU"/>
        </w:rPr>
        <w:t xml:space="preserve">Under section 27 of </w:t>
      </w:r>
      <w:r w:rsidRPr="003E76E7">
        <w:rPr>
          <w:lang w:val="en-AU" w:eastAsia="en-US"/>
        </w:rPr>
        <w:t>the</w:t>
      </w:r>
      <w:r w:rsidRPr="003E76E7">
        <w:rPr>
          <w:szCs w:val="20"/>
          <w:lang w:val="en-AU"/>
        </w:rPr>
        <w:t xml:space="preserve"> DHA Act, the DHA Advisory Committee provides advice and information to DHA about the performance of </w:t>
      </w:r>
      <w:r w:rsidRPr="003E76E7">
        <w:rPr>
          <w:szCs w:val="20"/>
          <w:lang w:val="en-AU"/>
        </w:rPr>
        <w:tab/>
        <w:t xml:space="preserve">DHA’s functions. The composition of DHA’s Advisory Committee </w:t>
      </w:r>
      <w:r w:rsidR="00297598">
        <w:rPr>
          <w:lang w:val="en-AU"/>
        </w:rPr>
        <w:t>is effective at the time of this publication’s release</w:t>
      </w:r>
      <w:r w:rsidR="00297598" w:rsidRPr="003E76E7">
        <w:rPr>
          <w:lang w:val="en-AU"/>
        </w:rPr>
        <w:t>:</w:t>
      </w:r>
    </w:p>
    <w:tbl>
      <w:tblPr>
        <w:tblW w:w="8684" w:type="dxa"/>
        <w:tblLook w:val="01E0" w:firstRow="1" w:lastRow="1" w:firstColumn="1" w:lastColumn="1" w:noHBand="0" w:noVBand="0"/>
      </w:tblPr>
      <w:tblGrid>
        <w:gridCol w:w="4290"/>
        <w:gridCol w:w="4394"/>
      </w:tblGrid>
      <w:tr w:rsidR="00B672BF" w:rsidRPr="003E76E7" w14:paraId="1EB3FA75" w14:textId="77777777" w:rsidTr="003746BF">
        <w:tc>
          <w:tcPr>
            <w:tcW w:w="4290" w:type="dxa"/>
          </w:tcPr>
          <w:p w14:paraId="06518A61" w14:textId="77777777" w:rsidR="00B672BF" w:rsidRPr="003E76E7" w:rsidRDefault="00B672BF" w:rsidP="00C4292D">
            <w:pPr>
              <w:spacing w:before="80" w:after="80"/>
              <w:ind w:left="216"/>
              <w:rPr>
                <w:szCs w:val="20"/>
                <w:lang w:val="en-AU"/>
              </w:rPr>
            </w:pPr>
            <w:r w:rsidRPr="003E76E7">
              <w:rPr>
                <w:szCs w:val="20"/>
                <w:lang w:val="en-AU"/>
              </w:rPr>
              <w:t xml:space="preserve">Chairperson </w:t>
            </w:r>
          </w:p>
        </w:tc>
        <w:tc>
          <w:tcPr>
            <w:tcW w:w="4394" w:type="dxa"/>
          </w:tcPr>
          <w:p w14:paraId="01366456" w14:textId="76C7B9E4" w:rsidR="00B672BF" w:rsidRPr="003E76E7" w:rsidRDefault="004D20D0" w:rsidP="00C4292D">
            <w:pPr>
              <w:spacing w:before="80" w:after="80"/>
              <w:ind w:left="262"/>
              <w:rPr>
                <w:szCs w:val="20"/>
                <w:lang w:val="en-AU"/>
              </w:rPr>
            </w:pPr>
            <w:r w:rsidRPr="003E76E7">
              <w:rPr>
                <w:szCs w:val="20"/>
                <w:lang w:val="en-AU"/>
              </w:rPr>
              <w:t>BRIG Leigh Wilton</w:t>
            </w:r>
            <w:r w:rsidR="00B672BF" w:rsidRPr="003E76E7">
              <w:rPr>
                <w:szCs w:val="20"/>
                <w:lang w:val="en-AU"/>
              </w:rPr>
              <w:t xml:space="preserve"> AM</w:t>
            </w:r>
          </w:p>
        </w:tc>
      </w:tr>
      <w:tr w:rsidR="00B672BF" w:rsidRPr="003E76E7" w14:paraId="4B0B9809" w14:textId="77777777" w:rsidTr="003746BF">
        <w:tc>
          <w:tcPr>
            <w:tcW w:w="4290" w:type="dxa"/>
          </w:tcPr>
          <w:p w14:paraId="799C0B5B" w14:textId="6A7BA1BA" w:rsidR="00B672BF" w:rsidRPr="003E76E7" w:rsidRDefault="00B672BF" w:rsidP="00C4292D">
            <w:pPr>
              <w:spacing w:before="80" w:after="80"/>
              <w:ind w:left="216"/>
              <w:rPr>
                <w:szCs w:val="20"/>
                <w:lang w:val="en-AU"/>
              </w:rPr>
            </w:pPr>
            <w:r w:rsidRPr="003E76E7">
              <w:rPr>
                <w:szCs w:val="20"/>
                <w:lang w:val="en-AU"/>
              </w:rPr>
              <w:t xml:space="preserve">Appointees of the Chief </w:t>
            </w:r>
            <w:r w:rsidR="00FF46AE" w:rsidRPr="003E76E7">
              <w:rPr>
                <w:szCs w:val="20"/>
                <w:lang w:val="en-AU"/>
              </w:rPr>
              <w:br/>
            </w:r>
            <w:r w:rsidRPr="003E76E7">
              <w:rPr>
                <w:szCs w:val="20"/>
                <w:lang w:val="en-AU"/>
              </w:rPr>
              <w:t>of the Defence Force</w:t>
            </w:r>
          </w:p>
        </w:tc>
        <w:tc>
          <w:tcPr>
            <w:tcW w:w="4394" w:type="dxa"/>
          </w:tcPr>
          <w:p w14:paraId="726C97E1" w14:textId="2D215A35" w:rsidR="00B672BF" w:rsidRPr="003E76E7" w:rsidRDefault="004D20D0" w:rsidP="00C4292D">
            <w:pPr>
              <w:spacing w:before="80" w:after="80"/>
              <w:ind w:left="262"/>
              <w:rPr>
                <w:szCs w:val="20"/>
                <w:lang w:val="en-AU"/>
              </w:rPr>
            </w:pPr>
            <w:r w:rsidRPr="003E76E7">
              <w:rPr>
                <w:szCs w:val="20"/>
                <w:lang w:val="en-AU"/>
              </w:rPr>
              <w:t>RADM Matthew Buckley AM CSC</w:t>
            </w:r>
            <w:r w:rsidR="00B672BF" w:rsidRPr="003E76E7">
              <w:rPr>
                <w:szCs w:val="20"/>
                <w:lang w:val="en-AU"/>
              </w:rPr>
              <w:t xml:space="preserve"> RAN</w:t>
            </w:r>
            <w:r w:rsidR="00B672BF" w:rsidRPr="003E76E7">
              <w:rPr>
                <w:szCs w:val="20"/>
                <w:lang w:val="en-AU"/>
              </w:rPr>
              <w:br/>
              <w:t>(Deputy Chief of Navy)</w:t>
            </w:r>
          </w:p>
        </w:tc>
      </w:tr>
      <w:tr w:rsidR="00B672BF" w:rsidRPr="003E76E7" w14:paraId="0F6219FD" w14:textId="77777777" w:rsidTr="003746BF">
        <w:tc>
          <w:tcPr>
            <w:tcW w:w="4290" w:type="dxa"/>
          </w:tcPr>
          <w:p w14:paraId="16D47082" w14:textId="77777777" w:rsidR="00B672BF" w:rsidRPr="003E76E7" w:rsidRDefault="00B672BF" w:rsidP="00C4292D">
            <w:pPr>
              <w:spacing w:before="80" w:after="80"/>
              <w:ind w:left="216"/>
              <w:rPr>
                <w:szCs w:val="20"/>
                <w:lang w:val="en-AU"/>
              </w:rPr>
            </w:pPr>
          </w:p>
        </w:tc>
        <w:tc>
          <w:tcPr>
            <w:tcW w:w="4394" w:type="dxa"/>
          </w:tcPr>
          <w:p w14:paraId="6EECD988" w14:textId="4DACD0A6" w:rsidR="00B672BF" w:rsidRPr="003E76E7" w:rsidRDefault="004D20D0" w:rsidP="00C4292D">
            <w:pPr>
              <w:spacing w:before="80" w:after="80"/>
              <w:ind w:left="216"/>
              <w:rPr>
                <w:szCs w:val="20"/>
                <w:lang w:val="en-AU"/>
              </w:rPr>
            </w:pPr>
            <w:r w:rsidRPr="003E76E7">
              <w:rPr>
                <w:szCs w:val="20"/>
                <w:lang w:val="en-AU"/>
              </w:rPr>
              <w:t>MAJGEN Chris Smith DSC AM</w:t>
            </w:r>
            <w:r w:rsidR="00B672BF" w:rsidRPr="003E76E7">
              <w:rPr>
                <w:szCs w:val="20"/>
                <w:lang w:val="en-AU"/>
              </w:rPr>
              <w:t xml:space="preserve"> CSC</w:t>
            </w:r>
            <w:r w:rsidR="00B672BF" w:rsidRPr="003E76E7">
              <w:rPr>
                <w:szCs w:val="20"/>
                <w:lang w:val="en-AU"/>
              </w:rPr>
              <w:br/>
              <w:t>(Deputy Chief of Army)</w:t>
            </w:r>
          </w:p>
        </w:tc>
      </w:tr>
      <w:tr w:rsidR="00B672BF" w:rsidRPr="003E76E7" w14:paraId="32BCE915" w14:textId="77777777" w:rsidTr="003746BF">
        <w:tc>
          <w:tcPr>
            <w:tcW w:w="4290" w:type="dxa"/>
          </w:tcPr>
          <w:p w14:paraId="418BC1D2" w14:textId="77777777" w:rsidR="00B672BF" w:rsidRPr="003E76E7" w:rsidRDefault="00B672BF" w:rsidP="00C4292D">
            <w:pPr>
              <w:spacing w:before="80" w:after="80"/>
              <w:ind w:left="216"/>
              <w:rPr>
                <w:szCs w:val="20"/>
                <w:lang w:val="en-AU"/>
              </w:rPr>
            </w:pPr>
          </w:p>
        </w:tc>
        <w:tc>
          <w:tcPr>
            <w:tcW w:w="4394" w:type="dxa"/>
          </w:tcPr>
          <w:p w14:paraId="299776FF" w14:textId="420B5EA5" w:rsidR="00B672BF" w:rsidRPr="003E76E7" w:rsidRDefault="004D20D0" w:rsidP="00C4292D">
            <w:pPr>
              <w:spacing w:before="80" w:after="80"/>
              <w:ind w:left="216"/>
              <w:rPr>
                <w:szCs w:val="20"/>
                <w:lang w:val="en-AU"/>
              </w:rPr>
            </w:pPr>
            <w:r w:rsidRPr="003E76E7">
              <w:rPr>
                <w:szCs w:val="20"/>
                <w:lang w:val="en-AU"/>
              </w:rPr>
              <w:t xml:space="preserve">AVM </w:t>
            </w:r>
            <w:r w:rsidR="008F0C26" w:rsidRPr="003E76E7">
              <w:rPr>
                <w:szCs w:val="20"/>
                <w:lang w:val="en-AU"/>
              </w:rPr>
              <w:t>Steve Pesce</w:t>
            </w:r>
            <w:r w:rsidR="00314B0C" w:rsidRPr="003E76E7">
              <w:rPr>
                <w:szCs w:val="20"/>
                <w:lang w:val="en-AU"/>
              </w:rPr>
              <w:t xml:space="preserve"> </w:t>
            </w:r>
            <w:r w:rsidR="00B672BF" w:rsidRPr="003E76E7">
              <w:rPr>
                <w:szCs w:val="20"/>
                <w:lang w:val="en-AU"/>
              </w:rPr>
              <w:t>AM</w:t>
            </w:r>
            <w:r w:rsidR="00B672BF" w:rsidRPr="003E76E7">
              <w:rPr>
                <w:szCs w:val="20"/>
                <w:lang w:val="en-AU"/>
              </w:rPr>
              <w:br/>
              <w:t>(Deputy Chief of Air Force)</w:t>
            </w:r>
          </w:p>
        </w:tc>
      </w:tr>
      <w:tr w:rsidR="00B672BF" w:rsidRPr="003E76E7" w14:paraId="4744A562" w14:textId="77777777" w:rsidTr="003746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90" w:type="dxa"/>
            <w:tcBorders>
              <w:top w:val="nil"/>
              <w:left w:val="nil"/>
              <w:bottom w:val="nil"/>
              <w:right w:val="nil"/>
            </w:tcBorders>
          </w:tcPr>
          <w:p w14:paraId="2874FCE8" w14:textId="77777777" w:rsidR="00B672BF" w:rsidRPr="003E76E7" w:rsidRDefault="00B672BF" w:rsidP="00C4292D">
            <w:pPr>
              <w:spacing w:before="80" w:after="80"/>
              <w:ind w:left="216"/>
              <w:rPr>
                <w:szCs w:val="20"/>
                <w:lang w:val="en-AU"/>
              </w:rPr>
            </w:pPr>
            <w:r w:rsidRPr="003E76E7">
              <w:rPr>
                <w:szCs w:val="20"/>
                <w:lang w:val="en-AU"/>
              </w:rPr>
              <w:t>Appointee of Defence Housing Australia</w:t>
            </w:r>
          </w:p>
          <w:p w14:paraId="4486F561" w14:textId="77777777" w:rsidR="008F0C26" w:rsidRPr="003E76E7" w:rsidRDefault="008F0C26" w:rsidP="00C4292D">
            <w:pPr>
              <w:spacing w:before="80" w:after="80"/>
              <w:ind w:left="216"/>
              <w:rPr>
                <w:szCs w:val="20"/>
                <w:lang w:val="en-AU"/>
              </w:rPr>
            </w:pPr>
          </w:p>
          <w:p w14:paraId="1446994E" w14:textId="6FE36D90" w:rsidR="008F0C26" w:rsidRPr="003E76E7" w:rsidRDefault="000025EA" w:rsidP="00C4292D">
            <w:pPr>
              <w:spacing w:before="80" w:after="80"/>
              <w:ind w:left="216"/>
              <w:rPr>
                <w:szCs w:val="20"/>
                <w:lang w:val="en-AU"/>
              </w:rPr>
            </w:pPr>
            <w:r w:rsidRPr="003E76E7">
              <w:rPr>
                <w:szCs w:val="20"/>
                <w:lang w:val="en-AU"/>
              </w:rPr>
              <w:t xml:space="preserve">National Convenor of </w:t>
            </w:r>
            <w:r w:rsidRPr="003E76E7">
              <w:rPr>
                <w:szCs w:val="20"/>
                <w:lang w:val="en-AU"/>
              </w:rPr>
              <w:br/>
              <w:t>Defence Families Australia</w:t>
            </w:r>
          </w:p>
        </w:tc>
        <w:tc>
          <w:tcPr>
            <w:tcW w:w="4394" w:type="dxa"/>
            <w:tcBorders>
              <w:top w:val="nil"/>
              <w:left w:val="nil"/>
              <w:bottom w:val="nil"/>
              <w:right w:val="nil"/>
            </w:tcBorders>
          </w:tcPr>
          <w:p w14:paraId="38576B87" w14:textId="02EF153E" w:rsidR="00A005A8" w:rsidRPr="003E76E7" w:rsidRDefault="004D20D0" w:rsidP="00C4292D">
            <w:pPr>
              <w:spacing w:before="80" w:after="80"/>
              <w:ind w:left="262"/>
              <w:rPr>
                <w:szCs w:val="20"/>
                <w:lang w:val="en-AU"/>
              </w:rPr>
            </w:pPr>
            <w:r w:rsidRPr="003E76E7">
              <w:rPr>
                <w:szCs w:val="20"/>
                <w:lang w:val="en-AU"/>
              </w:rPr>
              <w:t>Mr Andrew Jaggers</w:t>
            </w:r>
            <w:r w:rsidR="00B672BF" w:rsidRPr="003E76E7">
              <w:rPr>
                <w:szCs w:val="20"/>
                <w:lang w:val="en-AU"/>
              </w:rPr>
              <w:t xml:space="preserve"> PSM</w:t>
            </w:r>
            <w:r w:rsidR="00B672BF" w:rsidRPr="003E76E7">
              <w:rPr>
                <w:szCs w:val="20"/>
                <w:lang w:val="en-AU"/>
              </w:rPr>
              <w:br/>
              <w:t>(Managing Director)</w:t>
            </w:r>
          </w:p>
          <w:p w14:paraId="6BA322C9" w14:textId="77777777" w:rsidR="0090248F" w:rsidRPr="003E76E7" w:rsidRDefault="00A005A8" w:rsidP="00C4292D">
            <w:pPr>
              <w:spacing w:before="80" w:after="0"/>
              <w:ind w:left="262"/>
              <w:rPr>
                <w:szCs w:val="20"/>
                <w:lang w:val="en-AU"/>
              </w:rPr>
            </w:pPr>
            <w:r w:rsidRPr="003E76E7">
              <w:rPr>
                <w:sz w:val="10"/>
                <w:szCs w:val="20"/>
                <w:lang w:val="en-AU"/>
              </w:rPr>
              <w:br/>
            </w:r>
          </w:p>
          <w:p w14:paraId="73741488" w14:textId="48FB4C18" w:rsidR="008F0C26" w:rsidRPr="003E76E7" w:rsidRDefault="008F0C26" w:rsidP="00C4292D">
            <w:pPr>
              <w:spacing w:before="0" w:after="80"/>
              <w:ind w:left="262"/>
              <w:rPr>
                <w:szCs w:val="20"/>
                <w:lang w:val="en-AU"/>
              </w:rPr>
            </w:pPr>
            <w:r w:rsidRPr="003E76E7">
              <w:rPr>
                <w:szCs w:val="20"/>
                <w:lang w:val="en-AU"/>
              </w:rPr>
              <w:t>Ms Charlotte Webb</w:t>
            </w:r>
          </w:p>
        </w:tc>
      </w:tr>
    </w:tbl>
    <w:p w14:paraId="3353DB0E" w14:textId="309A98D0" w:rsidR="00AD767A" w:rsidRPr="003E76E7" w:rsidRDefault="00900BC4" w:rsidP="00C4292D">
      <w:pPr>
        <w:spacing w:before="120" w:after="120"/>
        <w:rPr>
          <w:szCs w:val="20"/>
          <w:lang w:val="en-AU"/>
        </w:rPr>
      </w:pPr>
      <w:r w:rsidRPr="003E76E7">
        <w:rPr>
          <w:szCs w:val="20"/>
          <w:lang w:val="en-AU"/>
        </w:rPr>
        <w:br w:type="page"/>
      </w:r>
      <w:r w:rsidR="00771F20" w:rsidRPr="003E76E7">
        <w:rPr>
          <w:szCs w:val="20"/>
          <w:lang w:val="en-AU"/>
        </w:rPr>
        <w:lastRenderedPageBreak/>
        <w:t>The chart below</w:t>
      </w:r>
      <w:r w:rsidR="00AD767A" w:rsidRPr="003E76E7">
        <w:rPr>
          <w:szCs w:val="20"/>
          <w:lang w:val="en-AU"/>
        </w:rPr>
        <w:t xml:space="preserve"> shows DHA’s Senior Executive.</w:t>
      </w:r>
    </w:p>
    <w:p w14:paraId="3307793C" w14:textId="0D5BBA06" w:rsidR="00BD523A" w:rsidRPr="003E76E7" w:rsidRDefault="00AD767A" w:rsidP="00C4292D">
      <w:pPr>
        <w:pStyle w:val="FigureHeading"/>
        <w:numPr>
          <w:ilvl w:val="0"/>
          <w:numId w:val="65"/>
        </w:numPr>
        <w:tabs>
          <w:tab w:val="num" w:pos="142"/>
          <w:tab w:val="num" w:pos="426"/>
        </w:tabs>
        <w:ind w:hanging="640"/>
        <w:outlineLvl w:val="4"/>
        <w:rPr>
          <w:lang w:val="en-AU"/>
        </w:rPr>
      </w:pPr>
      <w:r w:rsidRPr="003E76E7">
        <w:rPr>
          <w:lang w:val="en-AU"/>
        </w:rPr>
        <w:t>DHA Organisational Structure</w:t>
      </w:r>
    </w:p>
    <w:p w14:paraId="40C2C1C6" w14:textId="3639DB98" w:rsidR="008367A0" w:rsidRPr="003E76E7" w:rsidRDefault="00297598" w:rsidP="00C4292D">
      <w:pPr>
        <w:pStyle w:val="BodyText1"/>
        <w:rPr>
          <w:rFonts w:ascii="Arial" w:hAnsi="Arial"/>
          <w:b/>
        </w:rPr>
      </w:pPr>
      <w:r w:rsidRPr="00297598">
        <w:rPr>
          <w:noProof/>
        </w:rPr>
        <w:t xml:space="preserve"> </w:t>
      </w:r>
      <w:r w:rsidR="00800186">
        <w:rPr>
          <w:noProof/>
        </w:rPr>
        <w:drawing>
          <wp:inline distT="0" distB="0" distL="0" distR="0" wp14:anchorId="64AA2C9C" wp14:editId="0917C0D8">
            <wp:extent cx="5472430" cy="34385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5472430" cy="3438525"/>
                    </a:xfrm>
                    <a:prstGeom prst="rect">
                      <a:avLst/>
                    </a:prstGeom>
                  </pic:spPr>
                </pic:pic>
              </a:graphicData>
            </a:graphic>
          </wp:inline>
        </w:drawing>
      </w:r>
    </w:p>
    <w:p w14:paraId="0A908DA4" w14:textId="20C45497" w:rsidR="00E91B9F" w:rsidRPr="003E76E7" w:rsidRDefault="00E91B9F" w:rsidP="00297598">
      <w:pPr>
        <w:pStyle w:val="FigureHeading"/>
        <w:numPr>
          <w:ilvl w:val="0"/>
          <w:numId w:val="0"/>
        </w:numPr>
        <w:rPr>
          <w:lang w:val="en-AU"/>
        </w:rPr>
      </w:pPr>
    </w:p>
    <w:p w14:paraId="669695B5" w14:textId="77777777" w:rsidR="00761824" w:rsidRPr="003E76E7" w:rsidRDefault="00761824" w:rsidP="00C4292D">
      <w:pPr>
        <w:pStyle w:val="Heading4"/>
        <w:rPr>
          <w:rFonts w:ascii="Arial Bold" w:hAnsi="Arial Bold" w:cs="Arial"/>
          <w:sz w:val="24"/>
          <w:szCs w:val="24"/>
        </w:rPr>
      </w:pPr>
      <w:r w:rsidRPr="003E76E7">
        <w:br w:type="page"/>
      </w:r>
      <w:bookmarkStart w:id="2007" w:name="_Toc507595444"/>
      <w:bookmarkStart w:id="2008" w:name="_Toc536089253"/>
      <w:bookmarkStart w:id="2009" w:name="_Toc536089513"/>
      <w:bookmarkStart w:id="2010" w:name="_Toc536089619"/>
      <w:bookmarkStart w:id="2011" w:name="_Toc1561707"/>
      <w:bookmarkStart w:id="2012" w:name="_Toc51691703"/>
      <w:bookmarkStart w:id="2013" w:name="_Toc69729073"/>
      <w:bookmarkStart w:id="2014" w:name="_Toc69917868"/>
      <w:bookmarkStart w:id="2015" w:name="_Toc97747857"/>
      <w:bookmarkStart w:id="2016" w:name="_Toc108088970"/>
      <w:bookmarkStart w:id="2017" w:name="_Toc108089049"/>
      <w:bookmarkStart w:id="2018" w:name="_Toc108089443"/>
      <w:bookmarkStart w:id="2019" w:name="_Toc109227765"/>
      <w:bookmarkStart w:id="2020" w:name="_Toc159499725"/>
      <w:bookmarkStart w:id="2021" w:name="_Toc159859144"/>
      <w:bookmarkStart w:id="2022" w:name="_Toc222129966"/>
      <w:bookmarkStart w:id="2023" w:name="_Toc222148391"/>
      <w:bookmarkStart w:id="2024" w:name="_Toc225848018"/>
      <w:bookmarkStart w:id="2025" w:name="_Toc225848101"/>
      <w:bookmarkStart w:id="2026" w:name="_Toc225848523"/>
      <w:bookmarkStart w:id="2027" w:name="_Toc225941591"/>
      <w:bookmarkStart w:id="2028" w:name="_Toc225942598"/>
      <w:bookmarkStart w:id="2029" w:name="_Toc227334408"/>
      <w:bookmarkStart w:id="2030" w:name="_Toc229072483"/>
      <w:bookmarkStart w:id="2031" w:name="_Toc229072655"/>
      <w:r w:rsidRPr="003E76E7">
        <w:rPr>
          <w:sz w:val="24"/>
          <w:szCs w:val="24"/>
        </w:rPr>
        <w:lastRenderedPageBreak/>
        <w:t>1.2 DHA Resource S</w:t>
      </w:r>
      <w:r w:rsidR="006C10EA" w:rsidRPr="003E76E7">
        <w:rPr>
          <w:sz w:val="24"/>
          <w:szCs w:val="24"/>
        </w:rPr>
        <w:t>tatement</w:t>
      </w:r>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p>
    <w:p w14:paraId="39FA2562" w14:textId="6B2C3F47" w:rsidR="00761824" w:rsidRPr="003E76E7" w:rsidRDefault="00761824" w:rsidP="00C4292D">
      <w:pPr>
        <w:pStyle w:val="TableHeading"/>
        <w:numPr>
          <w:ilvl w:val="0"/>
          <w:numId w:val="64"/>
        </w:numPr>
        <w:spacing w:before="100"/>
        <w:ind w:left="0" w:firstLine="0"/>
        <w:outlineLvl w:val="4"/>
        <w:rPr>
          <w:vertAlign w:val="superscript"/>
        </w:rPr>
      </w:pPr>
      <w:r w:rsidRPr="003E76E7">
        <w:t xml:space="preserve">DHA Resource Statement </w:t>
      </w:r>
      <w:r w:rsidR="00722810" w:rsidRPr="003E76E7">
        <w:t>-</w:t>
      </w:r>
      <w:r w:rsidRPr="003E76E7">
        <w:t xml:space="preserve"> </w:t>
      </w:r>
      <w:r w:rsidR="003172E8" w:rsidRPr="003E76E7">
        <w:t>Budget Estimates for 202</w:t>
      </w:r>
      <w:r w:rsidR="00B672BF" w:rsidRPr="003E76E7">
        <w:t>6</w:t>
      </w:r>
      <w:r w:rsidR="003172E8" w:rsidRPr="003E76E7">
        <w:t>-2</w:t>
      </w:r>
      <w:r w:rsidR="00B672BF" w:rsidRPr="003E76E7">
        <w:t>7</w:t>
      </w:r>
      <w:r w:rsidR="006C3699" w:rsidRPr="003E76E7">
        <w:t xml:space="preserve"> </w:t>
      </w:r>
      <w:r w:rsidR="00A005A8" w:rsidRPr="003E76E7">
        <w:br/>
      </w:r>
      <w:r w:rsidR="006C3699" w:rsidRPr="003E76E7">
        <w:t xml:space="preserve">as at </w:t>
      </w:r>
      <w:r w:rsidR="00AE7ABB" w:rsidRPr="003E76E7">
        <w:t xml:space="preserve">May </w:t>
      </w:r>
      <w:r w:rsidR="004601AD" w:rsidRPr="003E76E7">
        <w:t>Budget</w:t>
      </w:r>
      <w:r w:rsidR="00E04845" w:rsidRPr="003E76E7">
        <w:t> </w:t>
      </w:r>
      <w:r w:rsidR="00B672BF" w:rsidRPr="003E76E7">
        <w:t>2026</w:t>
      </w:r>
      <w:r w:rsidR="00AA72CC" w:rsidRPr="003E76E7">
        <w:t xml:space="preserve"> </w:t>
      </w:r>
      <w:r w:rsidR="003B4294" w:rsidRPr="003E76E7">
        <w:rPr>
          <w:vertAlign w:val="superscript"/>
        </w:rPr>
        <w:t>[a</w:t>
      </w:r>
      <w:r w:rsidR="00C14AE8" w:rsidRPr="003E76E7">
        <w:rPr>
          <w:vertAlign w:val="superscript"/>
        </w:rPr>
        <w:t>]</w:t>
      </w:r>
    </w:p>
    <w:p w14:paraId="0328C61A" w14:textId="54CFD965" w:rsidR="0086316A" w:rsidRPr="003E76E7" w:rsidRDefault="0090248F" w:rsidP="00C4292D">
      <w:pPr>
        <w:spacing w:before="0" w:after="0"/>
        <w:rPr>
          <w:rFonts w:ascii="Arial" w:hAnsi="Arial"/>
          <w:b/>
          <w:bCs/>
          <w:sz w:val="14"/>
          <w:szCs w:val="16"/>
          <w:lang w:val="en-AU"/>
        </w:rPr>
      </w:pPr>
      <w:r w:rsidRPr="003E76E7">
        <w:rPr>
          <w:noProof/>
          <w:lang w:val="en-AU"/>
        </w:rPr>
        <w:drawing>
          <wp:inline distT="0" distB="0" distL="0" distR="0" wp14:anchorId="4A4C9629" wp14:editId="51E1C26E">
            <wp:extent cx="5514660" cy="2423531"/>
            <wp:effectExtent l="0" t="0" r="0" b="0"/>
            <wp:docPr id="24575511" name="Picture 24575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545713" cy="2437178"/>
                    </a:xfrm>
                    <a:prstGeom prst="rect">
                      <a:avLst/>
                    </a:prstGeom>
                    <a:noFill/>
                    <a:ln>
                      <a:noFill/>
                    </a:ln>
                  </pic:spPr>
                </pic:pic>
              </a:graphicData>
            </a:graphic>
          </wp:inline>
        </w:drawing>
      </w:r>
    </w:p>
    <w:p w14:paraId="6A178A7B" w14:textId="77777777" w:rsidR="00BA480A" w:rsidRPr="003E76E7" w:rsidRDefault="00BA480A" w:rsidP="00C4292D">
      <w:pPr>
        <w:spacing w:before="0" w:after="0"/>
        <w:rPr>
          <w:rFonts w:ascii="Arial" w:hAnsi="Arial"/>
          <w:b/>
          <w:bCs/>
          <w:sz w:val="14"/>
          <w:szCs w:val="14"/>
          <w:lang w:val="en-AU"/>
        </w:rPr>
      </w:pPr>
    </w:p>
    <w:p w14:paraId="23A68847" w14:textId="6153E225" w:rsidR="00314B0C" w:rsidRPr="003E76E7" w:rsidRDefault="00314B0C" w:rsidP="00C4292D">
      <w:pPr>
        <w:spacing w:before="0" w:after="0"/>
        <w:rPr>
          <w:rFonts w:ascii="Arial" w:hAnsi="Arial"/>
          <w:b/>
          <w:bCs/>
          <w:sz w:val="14"/>
          <w:szCs w:val="14"/>
          <w:lang w:val="en-AU"/>
        </w:rPr>
      </w:pPr>
      <w:r w:rsidRPr="003E76E7">
        <w:rPr>
          <w:rFonts w:ascii="Arial" w:hAnsi="Arial"/>
          <w:b/>
          <w:bCs/>
          <w:sz w:val="14"/>
          <w:szCs w:val="14"/>
          <w:lang w:val="en-AU"/>
        </w:rPr>
        <w:t>Note</w:t>
      </w:r>
    </w:p>
    <w:p w14:paraId="46C6CCE8" w14:textId="77777777" w:rsidR="00314B0C" w:rsidRPr="003E76E7" w:rsidRDefault="00314B0C" w:rsidP="00C4292D">
      <w:pPr>
        <w:numPr>
          <w:ilvl w:val="0"/>
          <w:numId w:val="89"/>
        </w:numPr>
        <w:tabs>
          <w:tab w:val="clear" w:pos="227"/>
          <w:tab w:val="num" w:pos="0"/>
          <w:tab w:val="left" w:pos="284"/>
          <w:tab w:val="left" w:pos="4568"/>
        </w:tabs>
        <w:spacing w:before="0"/>
        <w:ind w:left="284" w:right="964" w:hanging="284"/>
        <w:rPr>
          <w:rFonts w:ascii="Arial" w:hAnsi="Arial"/>
          <w:color w:val="000000"/>
          <w:sz w:val="14"/>
          <w:szCs w:val="14"/>
        </w:rPr>
      </w:pPr>
      <w:r w:rsidRPr="003E76E7">
        <w:rPr>
          <w:rFonts w:ascii="Arial" w:hAnsi="Arial"/>
          <w:sz w:val="14"/>
          <w:szCs w:val="14"/>
          <w:lang w:val="en-AU"/>
        </w:rPr>
        <w:t>DHA is not directly appropriated. Appropriations are made to the Department of Defence which are then paid to DHA and are considered "Departmental" for all purposes</w:t>
      </w:r>
      <w:r w:rsidRPr="003E76E7">
        <w:rPr>
          <w:rFonts w:ascii="Arial" w:hAnsi="Arial"/>
          <w:color w:val="000000"/>
          <w:sz w:val="14"/>
          <w:szCs w:val="14"/>
          <w:lang w:val="en-AU"/>
        </w:rPr>
        <w:t xml:space="preserve"> prepared on Australian Accounting Standards basis.</w:t>
      </w:r>
    </w:p>
    <w:p w14:paraId="1FF57922" w14:textId="77777777" w:rsidR="00761824" w:rsidRPr="003E76E7" w:rsidRDefault="00040B05" w:rsidP="00C4292D">
      <w:pPr>
        <w:pStyle w:val="Heading4"/>
        <w:rPr>
          <w:rFonts w:ascii="Arial Bold" w:hAnsi="Arial Bold"/>
          <w:sz w:val="24"/>
        </w:rPr>
      </w:pPr>
      <w:bookmarkStart w:id="2032" w:name="_Toc507595445"/>
      <w:bookmarkStart w:id="2033" w:name="_Toc536089254"/>
      <w:bookmarkStart w:id="2034" w:name="_Toc536089514"/>
      <w:bookmarkStart w:id="2035" w:name="_Toc536089620"/>
      <w:bookmarkStart w:id="2036" w:name="_Toc1561708"/>
      <w:bookmarkStart w:id="2037" w:name="_Toc51691704"/>
      <w:bookmarkStart w:id="2038" w:name="_Toc69729074"/>
      <w:bookmarkStart w:id="2039" w:name="_Toc69917869"/>
      <w:bookmarkStart w:id="2040" w:name="_Toc97747858"/>
      <w:bookmarkStart w:id="2041" w:name="_Toc108088971"/>
      <w:bookmarkStart w:id="2042" w:name="_Toc108089050"/>
      <w:bookmarkStart w:id="2043" w:name="_Toc108089444"/>
      <w:bookmarkStart w:id="2044" w:name="_Toc109227766"/>
      <w:r w:rsidRPr="003E76E7">
        <w:rPr>
          <w:b w:val="0"/>
        </w:rPr>
        <w:br w:type="page"/>
      </w:r>
      <w:bookmarkStart w:id="2045" w:name="_Toc159499726"/>
      <w:bookmarkStart w:id="2046" w:name="_Toc159859145"/>
      <w:bookmarkStart w:id="2047" w:name="_Toc225848019"/>
      <w:bookmarkStart w:id="2048" w:name="_Toc225848102"/>
      <w:bookmarkStart w:id="2049" w:name="_Toc225848524"/>
      <w:bookmarkStart w:id="2050" w:name="_Toc225941592"/>
      <w:bookmarkStart w:id="2051" w:name="_Toc225942599"/>
      <w:bookmarkStart w:id="2052" w:name="_Toc227334409"/>
      <w:bookmarkStart w:id="2053" w:name="_Toc229072484"/>
      <w:bookmarkStart w:id="2054" w:name="_Toc229072656"/>
      <w:r w:rsidR="00761824" w:rsidRPr="003E76E7">
        <w:rPr>
          <w:sz w:val="24"/>
          <w:szCs w:val="24"/>
        </w:rPr>
        <w:lastRenderedPageBreak/>
        <w:t>1.3 Budget Measures</w:t>
      </w:r>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p>
    <w:p w14:paraId="2734DEF3" w14:textId="21560413" w:rsidR="00761824" w:rsidRPr="003E76E7" w:rsidRDefault="00A07B99" w:rsidP="00C4292D">
      <w:pPr>
        <w:spacing w:before="60" w:after="60" w:line="256" w:lineRule="auto"/>
      </w:pPr>
      <w:r w:rsidRPr="003E76E7">
        <w:t xml:space="preserve">There are no </w:t>
      </w:r>
      <w:r w:rsidRPr="003E76E7">
        <w:rPr>
          <w:lang w:val="en-AU" w:eastAsia="en-US"/>
        </w:rPr>
        <w:t>B</w:t>
      </w:r>
      <w:r w:rsidR="00761824" w:rsidRPr="003E76E7">
        <w:rPr>
          <w:lang w:val="en-AU" w:eastAsia="en-US"/>
        </w:rPr>
        <w:t>udget</w:t>
      </w:r>
      <w:r w:rsidR="00761824" w:rsidRPr="003E76E7">
        <w:t xml:space="preserve"> </w:t>
      </w:r>
      <w:r w:rsidRPr="003E76E7">
        <w:t>M</w:t>
      </w:r>
      <w:r w:rsidR="00761824" w:rsidRPr="003E76E7">
        <w:t xml:space="preserve">easures relating to DHA for the </w:t>
      </w:r>
      <w:r w:rsidR="00FA185D" w:rsidRPr="003E76E7">
        <w:t>202</w:t>
      </w:r>
      <w:r w:rsidR="008F0C26" w:rsidRPr="003E76E7">
        <w:t>6</w:t>
      </w:r>
      <w:r w:rsidR="00FA185D" w:rsidRPr="003E76E7">
        <w:t>-2</w:t>
      </w:r>
      <w:r w:rsidR="008F0C26" w:rsidRPr="003E76E7">
        <w:t>7</w:t>
      </w:r>
      <w:r w:rsidR="00FA185D" w:rsidRPr="003E76E7">
        <w:t xml:space="preserve"> </w:t>
      </w:r>
      <w:r w:rsidR="00761824" w:rsidRPr="003E76E7">
        <w:t>Budget</w:t>
      </w:r>
      <w:r w:rsidR="00FA185D" w:rsidRPr="003E76E7">
        <w:t xml:space="preserve"> Estimates</w:t>
      </w:r>
      <w:r w:rsidR="00761824" w:rsidRPr="003E76E7">
        <w:t>.</w:t>
      </w:r>
    </w:p>
    <w:p w14:paraId="3259E2B3" w14:textId="77777777" w:rsidR="00761824" w:rsidRPr="003E76E7" w:rsidRDefault="00761824" w:rsidP="00C4292D">
      <w:pPr>
        <w:pStyle w:val="Heading2level3"/>
        <w:spacing w:before="120" w:after="120"/>
        <w:rPr>
          <w:rStyle w:val="Heading2Char"/>
          <w:sz w:val="26"/>
          <w:szCs w:val="26"/>
        </w:rPr>
      </w:pPr>
      <w:r w:rsidRPr="003E76E7">
        <w:br w:type="page"/>
      </w:r>
      <w:bookmarkStart w:id="2055" w:name="_Toc507595446"/>
      <w:bookmarkStart w:id="2056" w:name="_Toc536089255"/>
      <w:bookmarkStart w:id="2057" w:name="_Toc536089515"/>
      <w:bookmarkStart w:id="2058" w:name="_Toc536089621"/>
      <w:bookmarkStart w:id="2059" w:name="_Toc1561709"/>
      <w:bookmarkStart w:id="2060" w:name="_Toc51691705"/>
      <w:bookmarkStart w:id="2061" w:name="_Toc69729075"/>
      <w:bookmarkStart w:id="2062" w:name="_Toc69917870"/>
      <w:bookmarkStart w:id="2063" w:name="_Toc97747859"/>
      <w:bookmarkStart w:id="2064" w:name="_Toc108088972"/>
      <w:bookmarkStart w:id="2065" w:name="_Toc108089051"/>
      <w:bookmarkStart w:id="2066" w:name="_Toc108089445"/>
      <w:bookmarkStart w:id="2067" w:name="_Toc109227303"/>
      <w:bookmarkStart w:id="2068" w:name="_Toc109227767"/>
      <w:bookmarkStart w:id="2069" w:name="_Toc158896258"/>
      <w:bookmarkStart w:id="2070" w:name="_Toc158896315"/>
      <w:bookmarkStart w:id="2071" w:name="_Toc159499727"/>
      <w:bookmarkStart w:id="2072" w:name="_Toc159857692"/>
      <w:bookmarkStart w:id="2073" w:name="_Toc159857772"/>
      <w:bookmarkStart w:id="2074" w:name="_Toc159858168"/>
      <w:bookmarkStart w:id="2075" w:name="_Toc159858834"/>
      <w:bookmarkStart w:id="2076" w:name="_Toc159858904"/>
      <w:bookmarkStart w:id="2077" w:name="_Toc159859146"/>
      <w:bookmarkStart w:id="2078" w:name="_Toc159862310"/>
      <w:bookmarkStart w:id="2079" w:name="_Toc159862500"/>
      <w:bookmarkStart w:id="2080" w:name="_Toc221786199"/>
      <w:bookmarkStart w:id="2081" w:name="_Toc222129967"/>
      <w:bookmarkStart w:id="2082" w:name="_Toc222148392"/>
      <w:bookmarkStart w:id="2083" w:name="_Toc225848020"/>
      <w:bookmarkStart w:id="2084" w:name="_Toc225848103"/>
      <w:bookmarkStart w:id="2085" w:name="_Toc225848270"/>
      <w:bookmarkStart w:id="2086" w:name="_Toc225848525"/>
      <w:bookmarkStart w:id="2087" w:name="_Toc225941593"/>
      <w:bookmarkStart w:id="2088" w:name="_Toc225942600"/>
      <w:bookmarkStart w:id="2089" w:name="_Toc227334410"/>
      <w:bookmarkStart w:id="2090" w:name="_Toc229072485"/>
      <w:bookmarkStart w:id="2091" w:name="_Toc229072657"/>
      <w:r w:rsidRPr="003E76E7">
        <w:rPr>
          <w:rStyle w:val="Heading2Char"/>
          <w:sz w:val="26"/>
          <w:szCs w:val="26"/>
        </w:rPr>
        <w:lastRenderedPageBreak/>
        <w:t>Section 2: DHA Outcomes and Planned Performance</w:t>
      </w:r>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p>
    <w:p w14:paraId="3D5ABF60" w14:textId="77777777" w:rsidR="00761824" w:rsidRPr="003E76E7" w:rsidRDefault="00761824" w:rsidP="00C4292D">
      <w:pPr>
        <w:spacing w:before="60" w:after="60" w:line="256" w:lineRule="auto"/>
      </w:pPr>
      <w:r w:rsidRPr="003E76E7">
        <w:t xml:space="preserve">Government outcomes are the intended results, impacts or consequences of actions by the Government on the Australian community. Commonwealth programs are the primary vehicle by which government entities achieve </w:t>
      </w:r>
      <w:r w:rsidRPr="003E76E7">
        <w:rPr>
          <w:szCs w:val="20"/>
          <w:lang w:val="en-AU"/>
        </w:rPr>
        <w:t>the</w:t>
      </w:r>
      <w:r w:rsidRPr="003E76E7">
        <w:t xml:space="preserve"> intended results of their outcome statements. Entities are required to identify the programs which contribute to government outcomes over the Budget and forward years.</w:t>
      </w:r>
    </w:p>
    <w:p w14:paraId="5D6C9140" w14:textId="77777777" w:rsidR="00761824" w:rsidRPr="003E76E7" w:rsidRDefault="00761824" w:rsidP="00C4292D">
      <w:pPr>
        <w:spacing w:before="60" w:after="60" w:line="256" w:lineRule="auto"/>
      </w:pPr>
      <w:r w:rsidRPr="003E76E7">
        <w:t xml:space="preserve">Each outcome is described below together with its related programs. The following provides detailed information on </w:t>
      </w:r>
      <w:r w:rsidRPr="003E76E7">
        <w:rPr>
          <w:szCs w:val="20"/>
          <w:lang w:val="en-AU"/>
        </w:rPr>
        <w:t>expenses</w:t>
      </w:r>
      <w:r w:rsidRPr="003E76E7">
        <w:t xml:space="preserve"> for each outcome and program, further</w:t>
      </w:r>
      <w:r w:rsidR="00244154" w:rsidRPr="003E76E7">
        <w:t xml:space="preserve"> broken down by funding source.</w:t>
      </w:r>
    </w:p>
    <w:p w14:paraId="290D3A1D" w14:textId="77777777" w:rsidR="00761824" w:rsidRPr="003E76E7" w:rsidRDefault="00761824" w:rsidP="00C4292D">
      <w:pPr>
        <w:pBdr>
          <w:top w:val="single" w:sz="2" w:space="6" w:color="auto"/>
          <w:left w:val="single" w:sz="2" w:space="4" w:color="auto"/>
          <w:bottom w:val="single" w:sz="2" w:space="6" w:color="auto"/>
          <w:right w:val="single" w:sz="2" w:space="4" w:color="auto"/>
        </w:pBdr>
        <w:spacing w:before="120" w:after="120"/>
        <w:rPr>
          <w:b/>
        </w:rPr>
      </w:pPr>
      <w:r w:rsidRPr="003E76E7">
        <w:rPr>
          <w:b/>
        </w:rPr>
        <w:t>Note:</w:t>
      </w:r>
    </w:p>
    <w:p w14:paraId="7B7B39A8" w14:textId="50E25AB3" w:rsidR="00244154" w:rsidRPr="003E76E7" w:rsidRDefault="00244154" w:rsidP="00C4292D">
      <w:pPr>
        <w:pBdr>
          <w:top w:val="single" w:sz="2" w:space="6" w:color="auto"/>
          <w:left w:val="single" w:sz="2" w:space="4" w:color="auto"/>
          <w:bottom w:val="single" w:sz="2" w:space="6" w:color="auto"/>
          <w:right w:val="single" w:sz="2" w:space="4" w:color="auto"/>
        </w:pBdr>
        <w:spacing w:before="120" w:after="120" w:line="260" w:lineRule="exact"/>
        <w:rPr>
          <w:rFonts w:cs="Times New Roman"/>
          <w:szCs w:val="20"/>
          <w:lang w:val="en-AU"/>
        </w:rPr>
      </w:pPr>
      <w:r w:rsidRPr="003E76E7">
        <w:rPr>
          <w:rFonts w:cs="Times New Roman"/>
          <w:szCs w:val="20"/>
          <w:lang w:val="en-AU"/>
        </w:rPr>
        <w:t xml:space="preserve">Performance reporting requirements in the Portfolio Budget Statements are part of the enhanced Commonwealth performance framework established by the </w:t>
      </w:r>
      <w:r w:rsidRPr="003E76E7">
        <w:rPr>
          <w:rFonts w:cs="Times New Roman"/>
          <w:i/>
          <w:szCs w:val="20"/>
          <w:lang w:val="en-AU"/>
        </w:rPr>
        <w:t>Public Governance, Performance and Accountability Act 2013</w:t>
      </w:r>
      <w:r w:rsidRPr="003E76E7">
        <w:rPr>
          <w:rFonts w:cs="Times New Roman"/>
          <w:szCs w:val="20"/>
          <w:lang w:val="en-AU"/>
        </w:rPr>
        <w:t xml:space="preserve">. It is anticipated that the performance </w:t>
      </w:r>
      <w:r w:rsidR="004A7815" w:rsidRPr="003E76E7">
        <w:rPr>
          <w:rFonts w:cs="Times New Roman"/>
          <w:szCs w:val="20"/>
          <w:lang w:val="en-AU"/>
        </w:rPr>
        <w:t>measures</w:t>
      </w:r>
      <w:r w:rsidRPr="003E76E7">
        <w:rPr>
          <w:rFonts w:cs="Times New Roman"/>
          <w:szCs w:val="20"/>
          <w:lang w:val="en-AU"/>
        </w:rPr>
        <w:t xml:space="preserve"> described in Portfolio Budget Statements will be read with broader information provided in an entity’s corporate plans and annual performance statements </w:t>
      </w:r>
      <w:r w:rsidR="00722810" w:rsidRPr="003E76E7">
        <w:rPr>
          <w:rFonts w:cs="Times New Roman"/>
          <w:szCs w:val="20"/>
          <w:lang w:val="en-AU"/>
        </w:rPr>
        <w:t>-</w:t>
      </w:r>
      <w:r w:rsidRPr="003E76E7">
        <w:rPr>
          <w:rFonts w:cs="Times New Roman"/>
          <w:szCs w:val="20"/>
          <w:lang w:val="en-AU"/>
        </w:rPr>
        <w:t xml:space="preserve"> included in Annual Reports - to provide </w:t>
      </w:r>
      <w:r w:rsidR="004C65CF" w:rsidRPr="003E76E7">
        <w:rPr>
          <w:rFonts w:cs="Times New Roman"/>
          <w:szCs w:val="20"/>
          <w:lang w:val="en-AU"/>
        </w:rPr>
        <w:t xml:space="preserve">a complete picture of </w:t>
      </w:r>
      <w:r w:rsidRPr="003E76E7">
        <w:rPr>
          <w:rFonts w:cs="Times New Roman"/>
          <w:szCs w:val="20"/>
          <w:lang w:val="en-AU"/>
        </w:rPr>
        <w:t xml:space="preserve">an entity’s </w:t>
      </w:r>
      <w:r w:rsidR="004C65CF" w:rsidRPr="003E76E7">
        <w:rPr>
          <w:rFonts w:cs="Times New Roman"/>
          <w:szCs w:val="20"/>
          <w:lang w:val="en-AU"/>
        </w:rPr>
        <w:t>planned and actual performance</w:t>
      </w:r>
      <w:r w:rsidRPr="003E76E7">
        <w:rPr>
          <w:rFonts w:cs="Times New Roman"/>
          <w:szCs w:val="20"/>
          <w:lang w:val="en-AU"/>
        </w:rPr>
        <w:t>.</w:t>
      </w:r>
    </w:p>
    <w:p w14:paraId="415FDB0A" w14:textId="77777777" w:rsidR="00244154" w:rsidRPr="003E76E7" w:rsidRDefault="00244154" w:rsidP="00C4292D">
      <w:pPr>
        <w:pBdr>
          <w:top w:val="single" w:sz="2" w:space="6" w:color="auto"/>
          <w:left w:val="single" w:sz="2" w:space="4" w:color="auto"/>
          <w:bottom w:val="single" w:sz="2" w:space="6" w:color="auto"/>
          <w:right w:val="single" w:sz="2" w:space="4" w:color="auto"/>
        </w:pBdr>
        <w:spacing w:before="120" w:after="120" w:line="260" w:lineRule="exact"/>
        <w:rPr>
          <w:rFonts w:cs="Times New Roman"/>
          <w:szCs w:val="20"/>
          <w:lang w:val="en-AU"/>
        </w:rPr>
      </w:pPr>
      <w:r w:rsidRPr="003E76E7">
        <w:rPr>
          <w:rFonts w:cs="Times New Roman"/>
          <w:szCs w:val="20"/>
          <w:lang w:val="en-AU"/>
        </w:rPr>
        <w:t xml:space="preserve">The most recent Statement of Corporate Intent </w:t>
      </w:r>
      <w:r w:rsidR="00CE7A7C" w:rsidRPr="003E76E7">
        <w:rPr>
          <w:rFonts w:cs="Times New Roman"/>
          <w:szCs w:val="20"/>
          <w:lang w:val="en-AU"/>
        </w:rPr>
        <w:t xml:space="preserve">for </w:t>
      </w:r>
      <w:r w:rsidRPr="003E76E7">
        <w:rPr>
          <w:rFonts w:cs="Times New Roman"/>
          <w:szCs w:val="20"/>
          <w:lang w:val="en-AU"/>
        </w:rPr>
        <w:t xml:space="preserve">DHA can be found at: </w:t>
      </w:r>
      <w:hyperlink r:id="rId180" w:history="1">
        <w:r w:rsidR="00F625C0" w:rsidRPr="003E76E7">
          <w:rPr>
            <w:rStyle w:val="Hyperlink"/>
            <w:rFonts w:cs="Times New Roman"/>
            <w:szCs w:val="20"/>
            <w:lang w:val="en-AU"/>
          </w:rPr>
          <w:t>https://www.dha.gov.au/sci</w:t>
        </w:r>
      </w:hyperlink>
      <w:r w:rsidR="00041EA3" w:rsidRPr="003E76E7">
        <w:rPr>
          <w:rStyle w:val="Hyperlink"/>
          <w:rFonts w:cs="Times New Roman"/>
          <w:color w:val="auto"/>
          <w:szCs w:val="20"/>
          <w:lang w:val="en-AU"/>
        </w:rPr>
        <w:t>.</w:t>
      </w:r>
    </w:p>
    <w:p w14:paraId="1562F5F6" w14:textId="27F0F85B" w:rsidR="00E12E23" w:rsidRPr="003E76E7" w:rsidRDefault="00E12E23" w:rsidP="00C4292D">
      <w:pPr>
        <w:pBdr>
          <w:top w:val="single" w:sz="2" w:space="6" w:color="auto"/>
          <w:left w:val="single" w:sz="2" w:space="4" w:color="auto"/>
          <w:bottom w:val="single" w:sz="2" w:space="6" w:color="auto"/>
          <w:right w:val="single" w:sz="2" w:space="4" w:color="auto"/>
        </w:pBdr>
        <w:spacing w:before="120" w:after="120" w:line="260" w:lineRule="exact"/>
        <w:rPr>
          <w:rFonts w:cs="Times New Roman"/>
          <w:szCs w:val="20"/>
          <w:lang w:val="en-AU"/>
        </w:rPr>
      </w:pPr>
      <w:r w:rsidRPr="003E76E7">
        <w:rPr>
          <w:rFonts w:cs="Times New Roman"/>
          <w:szCs w:val="20"/>
          <w:lang w:val="en-AU"/>
        </w:rPr>
        <w:t xml:space="preserve">The most recent annual performance statement can be found at: </w:t>
      </w:r>
      <w:hyperlink r:id="rId181" w:history="1">
        <w:r w:rsidR="008F0C26" w:rsidRPr="003E76E7">
          <w:rPr>
            <w:rStyle w:val="Hyperlink"/>
          </w:rPr>
          <w:t>Defence Housing Australia Annual Report 2024</w:t>
        </w:r>
        <w:r w:rsidR="00AD14EC" w:rsidRPr="003E76E7">
          <w:rPr>
            <w:rStyle w:val="Hyperlink"/>
          </w:rPr>
          <w:t>-</w:t>
        </w:r>
        <w:r w:rsidR="008F0C26" w:rsidRPr="003E76E7">
          <w:rPr>
            <w:rStyle w:val="Hyperlink"/>
          </w:rPr>
          <w:t>25 | Transparency Portal</w:t>
        </w:r>
      </w:hyperlink>
      <w:r w:rsidR="008F0C26" w:rsidRPr="003E76E7">
        <w:t>.</w:t>
      </w:r>
    </w:p>
    <w:p w14:paraId="1082A45A" w14:textId="77777777" w:rsidR="00871197" w:rsidRPr="003E76E7" w:rsidRDefault="00761824" w:rsidP="00C4292D">
      <w:pPr>
        <w:pStyle w:val="Heading4"/>
        <w:rPr>
          <w:rFonts w:ascii="Arial Bold" w:hAnsi="Arial Bold"/>
          <w:sz w:val="24"/>
          <w:szCs w:val="24"/>
        </w:rPr>
      </w:pPr>
      <w:r w:rsidRPr="003E76E7">
        <w:br w:type="page"/>
      </w:r>
      <w:bookmarkStart w:id="2092" w:name="_Toc507595447"/>
      <w:bookmarkStart w:id="2093" w:name="_Toc536089256"/>
      <w:bookmarkStart w:id="2094" w:name="_Toc536089516"/>
      <w:bookmarkStart w:id="2095" w:name="_Toc536089622"/>
      <w:bookmarkStart w:id="2096" w:name="_Toc1561710"/>
      <w:bookmarkStart w:id="2097" w:name="_Toc51691706"/>
      <w:bookmarkStart w:id="2098" w:name="_Toc69729076"/>
      <w:bookmarkStart w:id="2099" w:name="_Toc69917871"/>
      <w:bookmarkStart w:id="2100" w:name="_Toc97747860"/>
      <w:bookmarkStart w:id="2101" w:name="_Toc108088973"/>
      <w:bookmarkStart w:id="2102" w:name="_Toc108089052"/>
      <w:bookmarkStart w:id="2103" w:name="_Toc108089446"/>
      <w:bookmarkStart w:id="2104" w:name="_Toc109227768"/>
      <w:bookmarkStart w:id="2105" w:name="_Toc159499728"/>
      <w:bookmarkStart w:id="2106" w:name="_Toc159859147"/>
      <w:bookmarkStart w:id="2107" w:name="_Toc222129968"/>
      <w:bookmarkStart w:id="2108" w:name="_Toc222148393"/>
      <w:bookmarkStart w:id="2109" w:name="_Toc225848021"/>
      <w:bookmarkStart w:id="2110" w:name="_Toc225848104"/>
      <w:bookmarkStart w:id="2111" w:name="_Toc225848526"/>
      <w:bookmarkStart w:id="2112" w:name="_Toc225941594"/>
      <w:bookmarkStart w:id="2113" w:name="_Toc225942601"/>
      <w:bookmarkStart w:id="2114" w:name="_Toc227334411"/>
      <w:bookmarkStart w:id="2115" w:name="_Toc229072486"/>
      <w:bookmarkStart w:id="2116" w:name="_Toc229072658"/>
      <w:r w:rsidR="00871197" w:rsidRPr="003E76E7">
        <w:rPr>
          <w:sz w:val="24"/>
          <w:szCs w:val="24"/>
        </w:rPr>
        <w:lastRenderedPageBreak/>
        <w:t xml:space="preserve">2.1 Budgeted Expenses and Performance </w:t>
      </w:r>
      <w:r w:rsidR="00261DAB" w:rsidRPr="003E76E7">
        <w:rPr>
          <w:sz w:val="24"/>
          <w:szCs w:val="24"/>
        </w:rPr>
        <w:t>for Outcome 1</w:t>
      </w:r>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p>
    <w:tbl>
      <w:tblPr>
        <w:tblW w:w="846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8461"/>
      </w:tblGrid>
      <w:tr w:rsidR="00761824" w:rsidRPr="003E76E7" w14:paraId="201DB277" w14:textId="77777777" w:rsidTr="002A5A4F">
        <w:trPr>
          <w:trHeight w:val="929"/>
        </w:trPr>
        <w:tc>
          <w:tcPr>
            <w:tcW w:w="8461" w:type="dxa"/>
            <w:shd w:val="clear" w:color="auto" w:fill="CCCCCC"/>
          </w:tcPr>
          <w:p w14:paraId="7EE7DD32" w14:textId="77777777" w:rsidR="00761824" w:rsidRPr="003E76E7" w:rsidRDefault="00BD523A" w:rsidP="00C4292D">
            <w:pPr>
              <w:pStyle w:val="Heading5"/>
              <w:spacing w:before="100" w:after="100"/>
              <w:rPr>
                <w:lang w:val="en-AU"/>
              </w:rPr>
            </w:pPr>
            <w:r w:rsidRPr="003E76E7">
              <w:rPr>
                <w:lang w:val="en-AU"/>
              </w:rPr>
              <w:t>Outcome 1: To contribute to Defence outcomes by providing total housing services that meet Defence Operational and client needs through a strong customer and business focus</w:t>
            </w:r>
            <w:r w:rsidR="0076508D" w:rsidRPr="003E76E7">
              <w:rPr>
                <w:lang w:val="en-AU"/>
              </w:rPr>
              <w:t>.</w:t>
            </w:r>
          </w:p>
        </w:tc>
      </w:tr>
    </w:tbl>
    <w:p w14:paraId="2E5436E7" w14:textId="77777777" w:rsidR="00761824" w:rsidRPr="003E76E7" w:rsidRDefault="00261DAB" w:rsidP="00C4292D">
      <w:pPr>
        <w:pStyle w:val="Heading4level5"/>
      </w:pPr>
      <w:r w:rsidRPr="003E76E7">
        <w:t>Budgeted</w:t>
      </w:r>
      <w:r w:rsidR="00761824" w:rsidRPr="003E76E7">
        <w:t xml:space="preserve"> Expense</w:t>
      </w:r>
      <w:r w:rsidRPr="003E76E7">
        <w:t>s for Outcome 1</w:t>
      </w:r>
    </w:p>
    <w:p w14:paraId="6FCB142E" w14:textId="7C70A994" w:rsidR="00761824" w:rsidRPr="003E76E7" w:rsidRDefault="007F3C02" w:rsidP="00411058">
      <w:pPr>
        <w:pStyle w:val="TableHeading"/>
        <w:numPr>
          <w:ilvl w:val="0"/>
          <w:numId w:val="64"/>
        </w:numPr>
        <w:spacing w:before="100"/>
        <w:ind w:left="0" w:firstLine="0"/>
        <w:outlineLvl w:val="4"/>
      </w:pPr>
      <w:r>
        <w:t>B</w:t>
      </w:r>
      <w:r w:rsidR="00761824" w:rsidRPr="003E76E7">
        <w:t>udgeted Expenses for Outcome 1</w:t>
      </w:r>
    </w:p>
    <w:p w14:paraId="5C10A98C" w14:textId="07DB87D9" w:rsidR="00BA480A" w:rsidRPr="003E76E7" w:rsidRDefault="0090248F" w:rsidP="00C4292D">
      <w:pPr>
        <w:pStyle w:val="BodyText"/>
      </w:pPr>
      <w:r w:rsidRPr="003E76E7">
        <w:rPr>
          <w:noProof/>
          <w:lang w:val="en-AU"/>
        </w:rPr>
        <w:drawing>
          <wp:inline distT="0" distB="0" distL="0" distR="0" wp14:anchorId="550A9640" wp14:editId="2A417D3E">
            <wp:extent cx="5201285" cy="1916430"/>
            <wp:effectExtent l="0" t="0" r="0" b="7620"/>
            <wp:docPr id="24575515" name="Picture 24575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201285" cy="1916430"/>
                    </a:xfrm>
                    <a:prstGeom prst="rect">
                      <a:avLst/>
                    </a:prstGeom>
                    <a:noFill/>
                    <a:ln>
                      <a:noFill/>
                    </a:ln>
                  </pic:spPr>
                </pic:pic>
              </a:graphicData>
            </a:graphic>
          </wp:inline>
        </w:drawing>
      </w:r>
    </w:p>
    <w:p w14:paraId="12E7357E" w14:textId="77777777" w:rsidR="00BA480A" w:rsidRPr="003E76E7" w:rsidRDefault="00BA480A" w:rsidP="00C4292D">
      <w:pPr>
        <w:spacing w:before="0" w:after="0"/>
      </w:pPr>
      <w:r w:rsidRPr="003E76E7">
        <w:br w:type="page"/>
      </w:r>
    </w:p>
    <w:p w14:paraId="58AF5825" w14:textId="10093289" w:rsidR="00D33112" w:rsidRPr="003E76E7" w:rsidRDefault="00D33112" w:rsidP="00C4292D">
      <w:pPr>
        <w:pStyle w:val="TableHeading"/>
        <w:numPr>
          <w:ilvl w:val="0"/>
          <w:numId w:val="64"/>
        </w:numPr>
        <w:spacing w:before="100"/>
        <w:ind w:left="0" w:firstLine="0"/>
        <w:outlineLvl w:val="4"/>
      </w:pPr>
      <w:r w:rsidRPr="003E76E7">
        <w:lastRenderedPageBreak/>
        <w:t>Performance Measures for Outcome 1</w:t>
      </w:r>
    </w:p>
    <w:p w14:paraId="1EC030FF" w14:textId="672278C1" w:rsidR="00A575F1" w:rsidRPr="003E76E7" w:rsidRDefault="00D33112" w:rsidP="00C4292D">
      <w:pPr>
        <w:spacing w:before="60" w:after="60" w:line="256" w:lineRule="auto"/>
      </w:pPr>
      <w:r w:rsidRPr="003E76E7">
        <w:t>Table 3 details the performance measures for each program associated with Outcome 1. It also provides the related key activities as expressed in the current corporate plan where further detail is provided about the delivery of the activities related to the program, the context in which these activities are delivered and how the performance of these activities will be measured.</w:t>
      </w:r>
      <w:r w:rsidR="00CC219F" w:rsidRPr="003E76E7">
        <w:t xml:space="preserve"> Where relevant, details of 202</w:t>
      </w:r>
      <w:r w:rsidR="003746BF" w:rsidRPr="003E76E7">
        <w:t>6</w:t>
      </w:r>
      <w:r w:rsidR="00CC219F" w:rsidRPr="003E76E7">
        <w:t>-</w:t>
      </w:r>
      <w:r w:rsidRPr="003E76E7">
        <w:t>2</w:t>
      </w:r>
      <w:r w:rsidR="003746BF" w:rsidRPr="003E76E7">
        <w:t>7</w:t>
      </w:r>
      <w:r w:rsidRPr="003E76E7">
        <w:t xml:space="preserve"> Budget </w:t>
      </w:r>
      <w:r w:rsidR="00A07B99" w:rsidRPr="003E76E7">
        <w:t>M</w:t>
      </w:r>
      <w:r w:rsidRPr="003E76E7">
        <w:t>easures that have created new programs or materially changed existing programs are provided.</w:t>
      </w:r>
    </w:p>
    <w:tbl>
      <w:tblPr>
        <w:tblW w:w="5037"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1439"/>
        <w:gridCol w:w="4471"/>
        <w:gridCol w:w="2762"/>
      </w:tblGrid>
      <w:tr w:rsidR="00CA2F99" w:rsidRPr="003E76E7" w14:paraId="5A94B256" w14:textId="77777777" w:rsidTr="00EE668F">
        <w:trPr>
          <w:trHeight w:val="363"/>
        </w:trPr>
        <w:tc>
          <w:tcPr>
            <w:tcW w:w="8671" w:type="dxa"/>
            <w:gridSpan w:val="3"/>
            <w:tcBorders>
              <w:bottom w:val="single" w:sz="4" w:space="0" w:color="auto"/>
            </w:tcBorders>
            <w:shd w:val="clear" w:color="auto" w:fill="CCCCCC"/>
          </w:tcPr>
          <w:p w14:paraId="6C7EE143" w14:textId="1F7E2581" w:rsidR="00CA2F99" w:rsidRPr="003E76E7" w:rsidRDefault="00CA2F99" w:rsidP="00C4292D">
            <w:pPr>
              <w:pStyle w:val="Heading5"/>
              <w:spacing w:before="60" w:after="60"/>
              <w:jc w:val="both"/>
              <w:rPr>
                <w:sz w:val="15"/>
                <w:szCs w:val="15"/>
              </w:rPr>
            </w:pPr>
            <w:r w:rsidRPr="003E76E7">
              <w:rPr>
                <w:sz w:val="15"/>
                <w:szCs w:val="15"/>
                <w:lang w:val="en-AU"/>
              </w:rPr>
              <w:t xml:space="preserve">Outcome 1 </w:t>
            </w:r>
            <w:r w:rsidR="00722810" w:rsidRPr="003E76E7">
              <w:rPr>
                <w:sz w:val="15"/>
                <w:szCs w:val="15"/>
                <w:lang w:val="en-AU"/>
              </w:rPr>
              <w:t>-</w:t>
            </w:r>
            <w:r w:rsidRPr="003E76E7">
              <w:rPr>
                <w:sz w:val="15"/>
                <w:szCs w:val="15"/>
                <w:lang w:val="en-AU"/>
              </w:rPr>
              <w:t xml:space="preserve"> To contribute to Defence outcomes by providing total housing services that meet Defence Operational and client needs through a strong customer and business focus</w:t>
            </w:r>
            <w:r w:rsidR="0076508D" w:rsidRPr="003E76E7">
              <w:rPr>
                <w:sz w:val="15"/>
                <w:szCs w:val="15"/>
                <w:lang w:val="en-AU"/>
              </w:rPr>
              <w:t>.</w:t>
            </w:r>
          </w:p>
        </w:tc>
      </w:tr>
      <w:tr w:rsidR="00761824" w:rsidRPr="003E76E7" w14:paraId="7BD4C8F3" w14:textId="77777777" w:rsidTr="00EE668F">
        <w:trPr>
          <w:trHeight w:val="441"/>
        </w:trPr>
        <w:tc>
          <w:tcPr>
            <w:tcW w:w="8671" w:type="dxa"/>
            <w:gridSpan w:val="3"/>
            <w:tcBorders>
              <w:bottom w:val="single" w:sz="4" w:space="0" w:color="auto"/>
            </w:tcBorders>
            <w:shd w:val="clear" w:color="auto" w:fill="E6E6E6"/>
          </w:tcPr>
          <w:p w14:paraId="79E3432D" w14:textId="77777777" w:rsidR="00761824" w:rsidRPr="003E76E7" w:rsidRDefault="00761824" w:rsidP="00C4292D">
            <w:pPr>
              <w:tabs>
                <w:tab w:val="left" w:pos="709"/>
              </w:tabs>
              <w:spacing w:before="60" w:after="0"/>
              <w:rPr>
                <w:rFonts w:ascii="Arial" w:hAnsi="Arial"/>
                <w:b/>
                <w:sz w:val="15"/>
                <w:szCs w:val="15"/>
              </w:rPr>
            </w:pPr>
            <w:r w:rsidRPr="003E76E7">
              <w:rPr>
                <w:rFonts w:ascii="Arial" w:hAnsi="Arial"/>
                <w:b/>
                <w:sz w:val="15"/>
                <w:szCs w:val="15"/>
              </w:rPr>
              <w:t>Program 1.1: The provision of Defence housing and housing related services</w:t>
            </w:r>
            <w:r w:rsidR="0076508D" w:rsidRPr="003E76E7">
              <w:rPr>
                <w:rFonts w:ascii="Arial" w:hAnsi="Arial"/>
                <w:b/>
                <w:sz w:val="15"/>
                <w:szCs w:val="15"/>
              </w:rPr>
              <w:t>.</w:t>
            </w:r>
          </w:p>
          <w:p w14:paraId="158A75C5" w14:textId="307F588B" w:rsidR="00750C28" w:rsidRPr="003E76E7" w:rsidRDefault="00750C28" w:rsidP="00C4292D">
            <w:pPr>
              <w:tabs>
                <w:tab w:val="left" w:pos="709"/>
              </w:tabs>
              <w:spacing w:before="60" w:after="60"/>
              <w:rPr>
                <w:rFonts w:ascii="Arial" w:hAnsi="Arial"/>
                <w:b/>
                <w:sz w:val="15"/>
                <w:szCs w:val="15"/>
              </w:rPr>
            </w:pPr>
            <w:r w:rsidRPr="003E76E7">
              <w:rPr>
                <w:rFonts w:ascii="Arial" w:hAnsi="Arial"/>
                <w:bCs/>
                <w:iCs/>
                <w:sz w:val="15"/>
                <w:szCs w:val="15"/>
                <w:lang w:val="en-AU"/>
              </w:rPr>
              <w:t>Provide adequate and suitable housing and housing related services that meet the needs of the Defence Force and requirements of Defence.</w:t>
            </w:r>
          </w:p>
        </w:tc>
      </w:tr>
      <w:tr w:rsidR="0059622E" w:rsidRPr="003E76E7" w14:paraId="3EA6FC59" w14:textId="77777777" w:rsidTr="00EE668F">
        <w:trPr>
          <w:trHeight w:val="763"/>
        </w:trPr>
        <w:tc>
          <w:tcPr>
            <w:tcW w:w="1439" w:type="dxa"/>
            <w:tcBorders>
              <w:top w:val="single" w:sz="4" w:space="0" w:color="auto"/>
              <w:left w:val="single" w:sz="4" w:space="0" w:color="auto"/>
              <w:bottom w:val="single" w:sz="4" w:space="0" w:color="auto"/>
              <w:right w:val="single" w:sz="4" w:space="0" w:color="auto"/>
            </w:tcBorders>
          </w:tcPr>
          <w:p w14:paraId="11E283EA" w14:textId="77777777" w:rsidR="0059622E" w:rsidRPr="003E76E7" w:rsidRDefault="0059622E" w:rsidP="00C4292D">
            <w:pPr>
              <w:tabs>
                <w:tab w:val="left" w:pos="709"/>
              </w:tabs>
              <w:spacing w:before="60" w:after="60"/>
              <w:ind w:right="-57"/>
              <w:rPr>
                <w:rFonts w:ascii="Arial" w:hAnsi="Arial"/>
                <w:b/>
                <w:sz w:val="15"/>
                <w:szCs w:val="15"/>
              </w:rPr>
            </w:pPr>
            <w:r w:rsidRPr="003E76E7">
              <w:rPr>
                <w:rFonts w:ascii="Arial" w:hAnsi="Arial"/>
                <w:b/>
                <w:sz w:val="15"/>
                <w:szCs w:val="15"/>
              </w:rPr>
              <w:t>Key Activities</w:t>
            </w:r>
          </w:p>
        </w:tc>
        <w:tc>
          <w:tcPr>
            <w:tcW w:w="7232" w:type="dxa"/>
            <w:gridSpan w:val="2"/>
            <w:tcBorders>
              <w:top w:val="single" w:sz="4" w:space="0" w:color="auto"/>
              <w:left w:val="single" w:sz="4" w:space="0" w:color="auto"/>
              <w:bottom w:val="single" w:sz="4" w:space="0" w:color="auto"/>
              <w:right w:val="single" w:sz="4" w:space="0" w:color="auto"/>
            </w:tcBorders>
            <w:vAlign w:val="center"/>
          </w:tcPr>
          <w:p w14:paraId="1B2D331A" w14:textId="32B47FCB" w:rsidR="00750C28" w:rsidRPr="003E76E7" w:rsidRDefault="00750C28" w:rsidP="00C4292D">
            <w:pPr>
              <w:numPr>
                <w:ilvl w:val="0"/>
                <w:numId w:val="28"/>
              </w:numPr>
              <w:spacing w:before="60" w:after="60"/>
              <w:ind w:left="447"/>
              <w:contextualSpacing/>
              <w:rPr>
                <w:rFonts w:ascii="Arial" w:hAnsi="Arial"/>
                <w:sz w:val="15"/>
                <w:szCs w:val="15"/>
              </w:rPr>
            </w:pPr>
            <w:r w:rsidRPr="003E76E7">
              <w:rPr>
                <w:rFonts w:ascii="Arial" w:hAnsi="Arial"/>
                <w:sz w:val="15"/>
                <w:szCs w:val="15"/>
              </w:rPr>
              <w:t>Aligned housing solutions delivered through a modern, customer-centric operating model</w:t>
            </w:r>
            <w:r w:rsidR="00DE0200">
              <w:rPr>
                <w:rFonts w:ascii="Arial" w:hAnsi="Arial"/>
                <w:sz w:val="15"/>
                <w:szCs w:val="15"/>
              </w:rPr>
              <w:t>.</w:t>
            </w:r>
          </w:p>
          <w:p w14:paraId="300E3F78" w14:textId="7CD7FF4D" w:rsidR="00750C28" w:rsidRPr="003E76E7" w:rsidRDefault="00750C28" w:rsidP="00C4292D">
            <w:pPr>
              <w:numPr>
                <w:ilvl w:val="0"/>
                <w:numId w:val="28"/>
              </w:numPr>
              <w:spacing w:before="60" w:after="60"/>
              <w:ind w:left="447"/>
              <w:contextualSpacing/>
              <w:rPr>
                <w:rFonts w:ascii="Arial" w:hAnsi="Arial"/>
                <w:sz w:val="15"/>
                <w:szCs w:val="15"/>
              </w:rPr>
            </w:pPr>
            <w:r w:rsidRPr="003E76E7">
              <w:rPr>
                <w:rFonts w:ascii="Arial" w:hAnsi="Arial"/>
                <w:sz w:val="15"/>
                <w:szCs w:val="15"/>
              </w:rPr>
              <w:t>Build an agile and scalable housing capability</w:t>
            </w:r>
            <w:r w:rsidR="00DE0200">
              <w:rPr>
                <w:rFonts w:ascii="Arial" w:hAnsi="Arial"/>
                <w:sz w:val="15"/>
                <w:szCs w:val="15"/>
              </w:rPr>
              <w:t>.</w:t>
            </w:r>
          </w:p>
          <w:p w14:paraId="75259A8D" w14:textId="3AF911C8" w:rsidR="0059622E" w:rsidRPr="003E76E7" w:rsidRDefault="00750C28" w:rsidP="00C4292D">
            <w:pPr>
              <w:numPr>
                <w:ilvl w:val="0"/>
                <w:numId w:val="28"/>
              </w:numPr>
              <w:spacing w:before="60" w:after="60"/>
              <w:ind w:left="447"/>
              <w:contextualSpacing/>
              <w:rPr>
                <w:rFonts w:ascii="Arial" w:hAnsi="Arial"/>
                <w:b/>
                <w:sz w:val="15"/>
                <w:szCs w:val="15"/>
              </w:rPr>
            </w:pPr>
            <w:r w:rsidRPr="003E76E7">
              <w:rPr>
                <w:rFonts w:ascii="Arial" w:hAnsi="Arial"/>
                <w:sz w:val="15"/>
                <w:szCs w:val="15"/>
              </w:rPr>
              <w:t>Fiscal responsibility and long-term financial stability</w:t>
            </w:r>
            <w:r w:rsidR="00DE0200">
              <w:rPr>
                <w:rFonts w:ascii="Arial" w:hAnsi="Arial"/>
                <w:sz w:val="15"/>
                <w:szCs w:val="15"/>
              </w:rPr>
              <w:t>.</w:t>
            </w:r>
          </w:p>
        </w:tc>
      </w:tr>
      <w:tr w:rsidR="00261DAB" w:rsidRPr="003E76E7" w14:paraId="6575383C" w14:textId="77777777" w:rsidTr="00EE668F">
        <w:tblPrEx>
          <w:shd w:val="clear" w:color="auto" w:fill="auto"/>
          <w:tblLook w:val="04A0" w:firstRow="1" w:lastRow="0" w:firstColumn="1" w:lastColumn="0" w:noHBand="0" w:noVBand="1"/>
        </w:tblPrEx>
        <w:trPr>
          <w:trHeight w:val="154"/>
        </w:trPr>
        <w:tc>
          <w:tcPr>
            <w:tcW w:w="1439" w:type="dxa"/>
            <w:tcBorders>
              <w:top w:val="single" w:sz="4" w:space="0" w:color="auto"/>
              <w:left w:val="single" w:sz="4" w:space="0" w:color="auto"/>
              <w:bottom w:val="single" w:sz="4" w:space="0" w:color="auto"/>
              <w:right w:val="single" w:sz="4" w:space="0" w:color="auto"/>
            </w:tcBorders>
            <w:vAlign w:val="center"/>
          </w:tcPr>
          <w:p w14:paraId="272BB62E" w14:textId="77777777" w:rsidR="00261DAB" w:rsidRPr="003E76E7" w:rsidRDefault="00261DAB" w:rsidP="00C4292D">
            <w:pPr>
              <w:spacing w:before="60" w:after="60"/>
              <w:rPr>
                <w:rFonts w:ascii="Arial" w:hAnsi="Arial"/>
                <w:b/>
                <w:sz w:val="15"/>
                <w:szCs w:val="15"/>
              </w:rPr>
            </w:pPr>
            <w:r w:rsidRPr="003E76E7">
              <w:rPr>
                <w:rFonts w:ascii="Arial" w:hAnsi="Arial"/>
                <w:b/>
                <w:sz w:val="15"/>
                <w:szCs w:val="15"/>
              </w:rPr>
              <w:t xml:space="preserve">Year </w:t>
            </w:r>
          </w:p>
        </w:tc>
        <w:tc>
          <w:tcPr>
            <w:tcW w:w="4470" w:type="dxa"/>
            <w:tcBorders>
              <w:top w:val="single" w:sz="4" w:space="0" w:color="auto"/>
              <w:left w:val="single" w:sz="4" w:space="0" w:color="auto"/>
              <w:bottom w:val="single" w:sz="4" w:space="0" w:color="auto"/>
              <w:right w:val="single" w:sz="4" w:space="0" w:color="auto"/>
            </w:tcBorders>
            <w:vAlign w:val="center"/>
          </w:tcPr>
          <w:p w14:paraId="52F8C000" w14:textId="627489E2" w:rsidR="00261DAB" w:rsidRPr="003E76E7" w:rsidRDefault="00261DAB" w:rsidP="00C4292D">
            <w:pPr>
              <w:spacing w:before="60" w:after="60"/>
              <w:ind w:left="22"/>
              <w:rPr>
                <w:rFonts w:ascii="Arial" w:hAnsi="Arial"/>
                <w:b/>
                <w:sz w:val="15"/>
                <w:szCs w:val="15"/>
              </w:rPr>
            </w:pPr>
            <w:r w:rsidRPr="003E76E7">
              <w:rPr>
                <w:rFonts w:ascii="Arial" w:hAnsi="Arial"/>
                <w:b/>
                <w:sz w:val="15"/>
                <w:szCs w:val="15"/>
              </w:rPr>
              <w:t xml:space="preserve">Performance </w:t>
            </w:r>
            <w:r w:rsidR="001B289E" w:rsidRPr="003E76E7">
              <w:rPr>
                <w:rFonts w:ascii="Arial" w:hAnsi="Arial"/>
                <w:b/>
                <w:sz w:val="15"/>
                <w:szCs w:val="15"/>
              </w:rPr>
              <w:t>M</w:t>
            </w:r>
            <w:r w:rsidRPr="003E76E7">
              <w:rPr>
                <w:rFonts w:ascii="Arial" w:hAnsi="Arial"/>
                <w:b/>
                <w:sz w:val="15"/>
                <w:szCs w:val="15"/>
              </w:rPr>
              <w:t>easures</w:t>
            </w:r>
          </w:p>
        </w:tc>
        <w:tc>
          <w:tcPr>
            <w:tcW w:w="2762" w:type="dxa"/>
            <w:tcBorders>
              <w:top w:val="single" w:sz="4" w:space="0" w:color="auto"/>
              <w:left w:val="single" w:sz="4" w:space="0" w:color="auto"/>
              <w:bottom w:val="single" w:sz="4" w:space="0" w:color="auto"/>
              <w:right w:val="single" w:sz="4" w:space="0" w:color="auto"/>
            </w:tcBorders>
            <w:vAlign w:val="center"/>
          </w:tcPr>
          <w:p w14:paraId="2BEAB02B" w14:textId="77777777" w:rsidR="00261DAB" w:rsidRPr="003E76E7" w:rsidRDefault="00CC219F" w:rsidP="00C4292D">
            <w:pPr>
              <w:spacing w:before="60" w:after="60"/>
              <w:rPr>
                <w:rFonts w:ascii="Arial" w:hAnsi="Arial"/>
                <w:b/>
                <w:sz w:val="15"/>
                <w:szCs w:val="15"/>
              </w:rPr>
            </w:pPr>
            <w:r w:rsidRPr="003E76E7">
              <w:rPr>
                <w:rFonts w:ascii="Arial" w:hAnsi="Arial"/>
                <w:b/>
                <w:sz w:val="15"/>
                <w:szCs w:val="15"/>
              </w:rPr>
              <w:t xml:space="preserve">Expected Performance results </w:t>
            </w:r>
          </w:p>
        </w:tc>
      </w:tr>
      <w:tr w:rsidR="0059622E" w:rsidRPr="003E76E7" w14:paraId="055C2055" w14:textId="77777777" w:rsidTr="00EE668F">
        <w:trPr>
          <w:trHeight w:val="978"/>
        </w:trPr>
        <w:tc>
          <w:tcPr>
            <w:tcW w:w="1439" w:type="dxa"/>
            <w:tcBorders>
              <w:top w:val="single" w:sz="4" w:space="0" w:color="auto"/>
              <w:left w:val="single" w:sz="4" w:space="0" w:color="auto"/>
              <w:bottom w:val="single" w:sz="4" w:space="0" w:color="auto"/>
              <w:right w:val="single" w:sz="4" w:space="0" w:color="auto"/>
            </w:tcBorders>
          </w:tcPr>
          <w:p w14:paraId="5CFB5519" w14:textId="799C3E8B" w:rsidR="0059622E" w:rsidRPr="003E76E7" w:rsidRDefault="0059622E" w:rsidP="00C4292D">
            <w:pPr>
              <w:spacing w:before="60" w:after="60"/>
              <w:rPr>
                <w:rFonts w:ascii="Arial" w:hAnsi="Arial"/>
                <w:sz w:val="15"/>
                <w:szCs w:val="15"/>
              </w:rPr>
            </w:pPr>
            <w:r w:rsidRPr="003E76E7">
              <w:rPr>
                <w:rFonts w:ascii="Arial" w:hAnsi="Arial"/>
                <w:sz w:val="15"/>
                <w:szCs w:val="15"/>
              </w:rPr>
              <w:t>Current Year</w:t>
            </w:r>
            <w:r w:rsidRPr="003E76E7">
              <w:rPr>
                <w:rFonts w:ascii="Arial" w:hAnsi="Arial"/>
                <w:sz w:val="15"/>
                <w:szCs w:val="15"/>
              </w:rPr>
              <w:br/>
              <w:t>202</w:t>
            </w:r>
            <w:r w:rsidR="00750C28" w:rsidRPr="003E76E7">
              <w:rPr>
                <w:rFonts w:ascii="Arial" w:hAnsi="Arial"/>
                <w:sz w:val="15"/>
                <w:szCs w:val="15"/>
              </w:rPr>
              <w:t>5</w:t>
            </w:r>
            <w:r w:rsidR="00722810" w:rsidRPr="003E76E7">
              <w:rPr>
                <w:rFonts w:ascii="Arial" w:hAnsi="Arial"/>
                <w:sz w:val="15"/>
                <w:szCs w:val="15"/>
              </w:rPr>
              <w:t>-</w:t>
            </w:r>
            <w:r w:rsidRPr="003E76E7">
              <w:rPr>
                <w:rFonts w:ascii="Arial" w:hAnsi="Arial"/>
                <w:sz w:val="15"/>
                <w:szCs w:val="15"/>
              </w:rPr>
              <w:t>2</w:t>
            </w:r>
            <w:r w:rsidR="00750C28" w:rsidRPr="003E76E7">
              <w:rPr>
                <w:rFonts w:ascii="Arial" w:hAnsi="Arial"/>
                <w:sz w:val="15"/>
                <w:szCs w:val="15"/>
              </w:rPr>
              <w:t>6</w:t>
            </w:r>
          </w:p>
        </w:tc>
        <w:tc>
          <w:tcPr>
            <w:tcW w:w="4470" w:type="dxa"/>
            <w:tcBorders>
              <w:top w:val="single" w:sz="4" w:space="0" w:color="auto"/>
              <w:left w:val="single" w:sz="4" w:space="0" w:color="auto"/>
              <w:bottom w:val="single" w:sz="4" w:space="0" w:color="auto"/>
              <w:right w:val="single" w:sz="4" w:space="0" w:color="auto"/>
            </w:tcBorders>
          </w:tcPr>
          <w:p w14:paraId="05308EB8" w14:textId="474E2AD1" w:rsidR="00750C28" w:rsidRPr="00DE0200" w:rsidRDefault="00750C28" w:rsidP="00C4292D">
            <w:pPr>
              <w:spacing w:after="60"/>
              <w:rPr>
                <w:rFonts w:ascii="Arial" w:hAnsi="Arial"/>
                <w:sz w:val="14"/>
                <w:szCs w:val="14"/>
              </w:rPr>
            </w:pPr>
            <w:r w:rsidRPr="00DE0200">
              <w:rPr>
                <w:rFonts w:ascii="Arial" w:hAnsi="Arial"/>
                <w:sz w:val="14"/>
                <w:szCs w:val="14"/>
              </w:rPr>
              <w:t>Provisioning of housing solutions to the Approved Provisioning Schedule</w:t>
            </w:r>
            <w:r w:rsidR="00DE0200" w:rsidRPr="00DE0200">
              <w:rPr>
                <w:rFonts w:ascii="Arial" w:hAnsi="Arial"/>
                <w:sz w:val="14"/>
                <w:szCs w:val="14"/>
              </w:rPr>
              <w:t>.</w:t>
            </w:r>
          </w:p>
          <w:p w14:paraId="32DFEAB5" w14:textId="33678D1F" w:rsidR="00750C28" w:rsidRPr="00DE0200" w:rsidRDefault="00750C28" w:rsidP="00C4292D">
            <w:pPr>
              <w:spacing w:after="60"/>
              <w:rPr>
                <w:rFonts w:ascii="Arial" w:hAnsi="Arial"/>
                <w:sz w:val="14"/>
                <w:szCs w:val="14"/>
              </w:rPr>
            </w:pPr>
            <w:r w:rsidRPr="00DE0200">
              <w:rPr>
                <w:rFonts w:ascii="Arial" w:hAnsi="Arial"/>
                <w:sz w:val="14"/>
                <w:szCs w:val="14"/>
              </w:rPr>
              <w:t>ADF member satisfaction with housing solutions</w:t>
            </w:r>
            <w:r w:rsidR="00DE0200" w:rsidRPr="00DE0200">
              <w:rPr>
                <w:rFonts w:ascii="Arial" w:hAnsi="Arial"/>
                <w:sz w:val="14"/>
                <w:szCs w:val="14"/>
              </w:rPr>
              <w:t>.</w:t>
            </w:r>
          </w:p>
          <w:p w14:paraId="533BEEA1" w14:textId="22D336DC" w:rsidR="00750C28" w:rsidRPr="00DE0200" w:rsidRDefault="00750C28" w:rsidP="00C4292D">
            <w:pPr>
              <w:spacing w:after="60"/>
              <w:rPr>
                <w:rFonts w:ascii="Arial" w:hAnsi="Arial"/>
                <w:sz w:val="14"/>
                <w:szCs w:val="14"/>
              </w:rPr>
            </w:pPr>
            <w:r w:rsidRPr="00DE0200">
              <w:rPr>
                <w:rFonts w:ascii="Arial" w:hAnsi="Arial"/>
                <w:sz w:val="14"/>
                <w:szCs w:val="14"/>
              </w:rPr>
              <w:t>ADF member customer service satisfaction</w:t>
            </w:r>
            <w:r w:rsidR="00DE0200" w:rsidRPr="00DE0200">
              <w:rPr>
                <w:rFonts w:ascii="Arial" w:hAnsi="Arial"/>
                <w:sz w:val="14"/>
                <w:szCs w:val="14"/>
              </w:rPr>
              <w:t>.</w:t>
            </w:r>
          </w:p>
          <w:p w14:paraId="3CB2272B" w14:textId="462B0C5B" w:rsidR="0059622E" w:rsidRPr="003E76E7" w:rsidRDefault="00750C28" w:rsidP="00C4292D">
            <w:pPr>
              <w:spacing w:after="60"/>
              <w:rPr>
                <w:rFonts w:ascii="Arial" w:hAnsi="Arial"/>
                <w:sz w:val="15"/>
                <w:szCs w:val="15"/>
              </w:rPr>
            </w:pPr>
            <w:r w:rsidRPr="00DE0200">
              <w:rPr>
                <w:rFonts w:ascii="Arial" w:hAnsi="Arial"/>
                <w:sz w:val="14"/>
                <w:szCs w:val="14"/>
              </w:rPr>
              <w:t xml:space="preserve">Return on </w:t>
            </w:r>
            <w:r w:rsidR="00D57302" w:rsidRPr="00DE0200">
              <w:rPr>
                <w:rFonts w:ascii="Arial" w:hAnsi="Arial"/>
                <w:sz w:val="14"/>
                <w:szCs w:val="14"/>
              </w:rPr>
              <w:t>E</w:t>
            </w:r>
            <w:r w:rsidRPr="00DE0200">
              <w:rPr>
                <w:rFonts w:ascii="Arial" w:hAnsi="Arial"/>
                <w:sz w:val="14"/>
                <w:szCs w:val="14"/>
              </w:rPr>
              <w:t>quity</w:t>
            </w:r>
            <w:r w:rsidR="00DE0200" w:rsidRPr="00DE0200">
              <w:rPr>
                <w:rFonts w:ascii="Arial" w:hAnsi="Arial"/>
                <w:sz w:val="14"/>
                <w:szCs w:val="14"/>
              </w:rPr>
              <w:t>.</w:t>
            </w:r>
          </w:p>
        </w:tc>
        <w:tc>
          <w:tcPr>
            <w:tcW w:w="2762" w:type="dxa"/>
            <w:tcBorders>
              <w:top w:val="single" w:sz="4" w:space="0" w:color="auto"/>
              <w:left w:val="single" w:sz="4" w:space="0" w:color="auto"/>
              <w:bottom w:val="single" w:sz="4" w:space="0" w:color="auto"/>
              <w:right w:val="single" w:sz="4" w:space="0" w:color="auto"/>
            </w:tcBorders>
            <w:vAlign w:val="center"/>
          </w:tcPr>
          <w:p w14:paraId="7692E039" w14:textId="77777777" w:rsidR="00DE0200" w:rsidRDefault="00DE0200" w:rsidP="00C4292D">
            <w:pPr>
              <w:spacing w:before="60" w:after="60"/>
              <w:jc w:val="right"/>
              <w:rPr>
                <w:rFonts w:ascii="Arial" w:hAnsi="Arial"/>
                <w:sz w:val="15"/>
                <w:szCs w:val="15"/>
              </w:rPr>
            </w:pPr>
          </w:p>
          <w:p w14:paraId="4C45CD71" w14:textId="5960EDE2" w:rsidR="00750C28" w:rsidRPr="003E76E7" w:rsidRDefault="00750C28" w:rsidP="00C4292D">
            <w:pPr>
              <w:spacing w:before="60" w:after="60"/>
              <w:jc w:val="right"/>
              <w:rPr>
                <w:rFonts w:ascii="Arial" w:hAnsi="Arial"/>
                <w:sz w:val="15"/>
                <w:szCs w:val="15"/>
              </w:rPr>
            </w:pPr>
            <w:r w:rsidRPr="003E76E7">
              <w:rPr>
                <w:rFonts w:ascii="Arial" w:hAnsi="Arial"/>
                <w:sz w:val="15"/>
                <w:szCs w:val="15"/>
              </w:rPr>
              <w:t>&gt;</w:t>
            </w:r>
            <w:r w:rsidR="000F08AB" w:rsidRPr="003E76E7">
              <w:rPr>
                <w:rFonts w:ascii="Arial" w:hAnsi="Arial"/>
                <w:sz w:val="15"/>
                <w:szCs w:val="15"/>
              </w:rPr>
              <w:t xml:space="preserve"> </w:t>
            </w:r>
            <w:r w:rsidRPr="003E76E7">
              <w:rPr>
                <w:rFonts w:ascii="Arial" w:hAnsi="Arial"/>
                <w:sz w:val="15"/>
                <w:szCs w:val="15"/>
              </w:rPr>
              <w:t>99%</w:t>
            </w:r>
          </w:p>
          <w:p w14:paraId="11E324D9" w14:textId="7540A9B0" w:rsidR="00750C28" w:rsidRPr="003E76E7" w:rsidRDefault="00750C28" w:rsidP="00C4292D">
            <w:pPr>
              <w:spacing w:before="60" w:after="60"/>
              <w:jc w:val="right"/>
              <w:rPr>
                <w:rFonts w:ascii="Arial" w:hAnsi="Arial"/>
                <w:sz w:val="15"/>
                <w:szCs w:val="15"/>
              </w:rPr>
            </w:pPr>
            <w:r w:rsidRPr="003E76E7">
              <w:rPr>
                <w:rFonts w:ascii="Arial" w:hAnsi="Arial"/>
                <w:sz w:val="15"/>
                <w:szCs w:val="15"/>
              </w:rPr>
              <w:t>80%</w:t>
            </w:r>
          </w:p>
          <w:p w14:paraId="578A2ACB" w14:textId="5BAE8EF6" w:rsidR="00750C28" w:rsidRPr="003E76E7" w:rsidRDefault="00750C28" w:rsidP="00C4292D">
            <w:pPr>
              <w:spacing w:before="60" w:after="60"/>
              <w:jc w:val="right"/>
              <w:rPr>
                <w:rFonts w:ascii="Arial" w:hAnsi="Arial"/>
                <w:sz w:val="15"/>
                <w:szCs w:val="15"/>
              </w:rPr>
            </w:pPr>
            <w:r w:rsidRPr="003E76E7">
              <w:rPr>
                <w:rFonts w:ascii="Arial" w:hAnsi="Arial"/>
                <w:sz w:val="15"/>
                <w:szCs w:val="15"/>
              </w:rPr>
              <w:t>85%</w:t>
            </w:r>
          </w:p>
          <w:p w14:paraId="5F456C64" w14:textId="687B365C" w:rsidR="0059622E" w:rsidRPr="003E76E7" w:rsidRDefault="00750C28" w:rsidP="00C4292D">
            <w:pPr>
              <w:spacing w:before="60" w:after="60"/>
              <w:jc w:val="right"/>
              <w:rPr>
                <w:rFonts w:ascii="Arial" w:hAnsi="Arial"/>
                <w:sz w:val="15"/>
                <w:szCs w:val="15"/>
              </w:rPr>
            </w:pPr>
            <w:r w:rsidRPr="003E76E7">
              <w:rPr>
                <w:rFonts w:ascii="Arial" w:hAnsi="Arial"/>
                <w:sz w:val="15"/>
                <w:szCs w:val="15"/>
              </w:rPr>
              <w:t>3%</w:t>
            </w:r>
          </w:p>
        </w:tc>
      </w:tr>
      <w:tr w:rsidR="001B289E" w:rsidRPr="003E76E7" w14:paraId="536D718B" w14:textId="77777777" w:rsidTr="00EE668F">
        <w:trPr>
          <w:trHeight w:val="60"/>
        </w:trPr>
        <w:tc>
          <w:tcPr>
            <w:tcW w:w="1439" w:type="dxa"/>
            <w:tcBorders>
              <w:top w:val="single" w:sz="4" w:space="0" w:color="auto"/>
              <w:left w:val="single" w:sz="4" w:space="0" w:color="auto"/>
              <w:bottom w:val="single" w:sz="4" w:space="0" w:color="auto"/>
              <w:right w:val="single" w:sz="4" w:space="0" w:color="auto"/>
            </w:tcBorders>
          </w:tcPr>
          <w:p w14:paraId="3A5114DA" w14:textId="2BDA803D" w:rsidR="001B289E" w:rsidRPr="003E76E7" w:rsidRDefault="001B289E" w:rsidP="00C4292D">
            <w:pPr>
              <w:tabs>
                <w:tab w:val="left" w:pos="709"/>
              </w:tabs>
              <w:spacing w:before="60" w:after="60"/>
              <w:rPr>
                <w:rFonts w:ascii="Arial" w:hAnsi="Arial"/>
                <w:b/>
                <w:sz w:val="15"/>
                <w:szCs w:val="15"/>
              </w:rPr>
            </w:pPr>
            <w:r w:rsidRPr="003E76E7">
              <w:rPr>
                <w:rFonts w:ascii="Arial" w:hAnsi="Arial"/>
                <w:b/>
                <w:sz w:val="15"/>
                <w:szCs w:val="15"/>
              </w:rPr>
              <w:t xml:space="preserve">Year </w:t>
            </w:r>
          </w:p>
        </w:tc>
        <w:tc>
          <w:tcPr>
            <w:tcW w:w="4470" w:type="dxa"/>
            <w:tcBorders>
              <w:top w:val="single" w:sz="4" w:space="0" w:color="auto"/>
              <w:left w:val="single" w:sz="4" w:space="0" w:color="auto"/>
              <w:bottom w:val="single" w:sz="4" w:space="0" w:color="auto"/>
              <w:right w:val="single" w:sz="4" w:space="0" w:color="auto"/>
            </w:tcBorders>
            <w:vAlign w:val="center"/>
          </w:tcPr>
          <w:p w14:paraId="5399BCF8" w14:textId="78767587" w:rsidR="001B289E" w:rsidRPr="003E76E7" w:rsidRDefault="001B289E" w:rsidP="00C4292D">
            <w:pPr>
              <w:tabs>
                <w:tab w:val="left" w:pos="709"/>
              </w:tabs>
              <w:spacing w:before="60" w:after="60"/>
              <w:rPr>
                <w:rFonts w:ascii="Arial" w:hAnsi="Arial"/>
                <w:b/>
                <w:sz w:val="15"/>
                <w:szCs w:val="15"/>
              </w:rPr>
            </w:pPr>
            <w:r w:rsidRPr="003E76E7">
              <w:rPr>
                <w:rFonts w:ascii="Arial" w:hAnsi="Arial"/>
                <w:b/>
                <w:sz w:val="15"/>
                <w:szCs w:val="15"/>
              </w:rPr>
              <w:t>Performance Measures</w:t>
            </w:r>
          </w:p>
        </w:tc>
        <w:tc>
          <w:tcPr>
            <w:tcW w:w="2762" w:type="dxa"/>
            <w:tcBorders>
              <w:top w:val="single" w:sz="4" w:space="0" w:color="auto"/>
              <w:left w:val="single" w:sz="4" w:space="0" w:color="auto"/>
              <w:bottom w:val="single" w:sz="4" w:space="0" w:color="auto"/>
              <w:right w:val="single" w:sz="4" w:space="0" w:color="auto"/>
            </w:tcBorders>
            <w:vAlign w:val="center"/>
          </w:tcPr>
          <w:p w14:paraId="4BF364C3" w14:textId="7387C648" w:rsidR="001B289E" w:rsidRPr="003E76E7" w:rsidRDefault="001B289E" w:rsidP="00C4292D">
            <w:pPr>
              <w:tabs>
                <w:tab w:val="left" w:pos="709"/>
              </w:tabs>
              <w:spacing w:before="60" w:after="60"/>
              <w:rPr>
                <w:rFonts w:ascii="Arial" w:hAnsi="Arial"/>
                <w:b/>
                <w:sz w:val="15"/>
                <w:szCs w:val="15"/>
              </w:rPr>
            </w:pPr>
            <w:r w:rsidRPr="003E76E7">
              <w:rPr>
                <w:rFonts w:ascii="Arial" w:hAnsi="Arial"/>
                <w:b/>
                <w:sz w:val="15"/>
                <w:szCs w:val="15"/>
              </w:rPr>
              <w:t>Planned Performance Results</w:t>
            </w:r>
          </w:p>
        </w:tc>
      </w:tr>
      <w:tr w:rsidR="001B289E" w:rsidRPr="003E76E7" w14:paraId="33E09A60" w14:textId="77777777" w:rsidTr="00EE668F">
        <w:trPr>
          <w:trHeight w:val="405"/>
        </w:trPr>
        <w:tc>
          <w:tcPr>
            <w:tcW w:w="1439" w:type="dxa"/>
            <w:vMerge w:val="restart"/>
            <w:tcBorders>
              <w:top w:val="single" w:sz="4" w:space="0" w:color="auto"/>
              <w:left w:val="single" w:sz="4" w:space="0" w:color="auto"/>
              <w:bottom w:val="single" w:sz="4" w:space="0" w:color="auto"/>
              <w:right w:val="single" w:sz="4" w:space="0" w:color="auto"/>
            </w:tcBorders>
          </w:tcPr>
          <w:p w14:paraId="28A9C022" w14:textId="3ACEBD4E" w:rsidR="001B289E" w:rsidRPr="003E76E7" w:rsidRDefault="001B289E" w:rsidP="00C4292D">
            <w:pPr>
              <w:spacing w:before="60" w:after="60"/>
              <w:rPr>
                <w:rFonts w:ascii="Arial" w:hAnsi="Arial"/>
                <w:sz w:val="15"/>
                <w:szCs w:val="15"/>
              </w:rPr>
            </w:pPr>
            <w:r w:rsidRPr="003E76E7">
              <w:rPr>
                <w:rFonts w:ascii="Arial" w:hAnsi="Arial"/>
                <w:sz w:val="15"/>
                <w:szCs w:val="15"/>
              </w:rPr>
              <w:t>Budget Year</w:t>
            </w:r>
            <w:r w:rsidRPr="003E76E7">
              <w:rPr>
                <w:rFonts w:ascii="Arial" w:hAnsi="Arial"/>
                <w:sz w:val="15"/>
                <w:szCs w:val="15"/>
              </w:rPr>
              <w:br/>
              <w:t>2026-27</w:t>
            </w:r>
          </w:p>
        </w:tc>
        <w:tc>
          <w:tcPr>
            <w:tcW w:w="4470" w:type="dxa"/>
            <w:tcBorders>
              <w:top w:val="single" w:sz="4" w:space="0" w:color="auto"/>
              <w:left w:val="single" w:sz="4" w:space="0" w:color="auto"/>
              <w:bottom w:val="single" w:sz="4" w:space="0" w:color="auto"/>
              <w:right w:val="single" w:sz="4" w:space="0" w:color="auto"/>
            </w:tcBorders>
          </w:tcPr>
          <w:p w14:paraId="7ECF2141" w14:textId="539EE66B" w:rsidR="001B289E" w:rsidRPr="003E76E7" w:rsidRDefault="001B289E" w:rsidP="00C4292D">
            <w:pPr>
              <w:spacing w:before="60" w:after="60"/>
              <w:rPr>
                <w:rFonts w:ascii="Arial" w:hAnsi="Arial"/>
                <w:sz w:val="15"/>
                <w:szCs w:val="15"/>
              </w:rPr>
            </w:pPr>
            <w:r w:rsidRPr="003E76E7">
              <w:rPr>
                <w:rFonts w:ascii="Arial" w:hAnsi="Arial"/>
                <w:sz w:val="15"/>
                <w:szCs w:val="15"/>
                <w:lang w:val="en-AU"/>
              </w:rPr>
              <w:t>DHA’s housing services are delivered effectively through</w:t>
            </w:r>
            <w:r w:rsidR="00DE0200">
              <w:rPr>
                <w:rFonts w:ascii="Arial" w:hAnsi="Arial"/>
                <w:sz w:val="15"/>
                <w:szCs w:val="15"/>
                <w:lang w:val="en-AU"/>
              </w:rPr>
              <w:t xml:space="preserve"> a highly digitised environment</w:t>
            </w:r>
            <w:r w:rsidRPr="003E76E7">
              <w:rPr>
                <w:rFonts w:ascii="Arial" w:hAnsi="Arial"/>
                <w:sz w:val="15"/>
                <w:szCs w:val="15"/>
                <w:lang w:val="en-AU"/>
              </w:rPr>
              <w:t xml:space="preserve"> that meet</w:t>
            </w:r>
            <w:r w:rsidR="00DE0200">
              <w:rPr>
                <w:rFonts w:ascii="Arial" w:hAnsi="Arial"/>
                <w:sz w:val="15"/>
                <w:szCs w:val="15"/>
                <w:lang w:val="en-AU"/>
              </w:rPr>
              <w:t>s</w:t>
            </w:r>
            <w:r w:rsidRPr="003E76E7">
              <w:rPr>
                <w:rFonts w:ascii="Arial" w:hAnsi="Arial"/>
                <w:sz w:val="15"/>
                <w:szCs w:val="15"/>
                <w:lang w:val="en-AU"/>
              </w:rPr>
              <w:t xml:space="preserve"> client expectations.</w:t>
            </w:r>
          </w:p>
        </w:tc>
        <w:tc>
          <w:tcPr>
            <w:tcW w:w="2762" w:type="dxa"/>
            <w:tcBorders>
              <w:top w:val="single" w:sz="4" w:space="0" w:color="auto"/>
              <w:left w:val="single" w:sz="4" w:space="0" w:color="auto"/>
              <w:bottom w:val="single" w:sz="4" w:space="0" w:color="auto"/>
              <w:right w:val="single" w:sz="4" w:space="0" w:color="auto"/>
            </w:tcBorders>
            <w:vAlign w:val="center"/>
          </w:tcPr>
          <w:p w14:paraId="0C874544" w14:textId="03DD618D" w:rsidR="001B289E" w:rsidRPr="003E76E7" w:rsidRDefault="001B289E" w:rsidP="00C4292D">
            <w:pPr>
              <w:spacing w:before="60" w:after="60"/>
              <w:ind w:right="7"/>
              <w:rPr>
                <w:rFonts w:ascii="Arial" w:hAnsi="Arial"/>
                <w:sz w:val="15"/>
                <w:szCs w:val="15"/>
                <w:lang w:val="en-AU"/>
              </w:rPr>
            </w:pPr>
            <w:r w:rsidRPr="003E76E7">
              <w:rPr>
                <w:rFonts w:ascii="Arial" w:hAnsi="Arial"/>
                <w:bCs/>
                <w:sz w:val="15"/>
                <w:szCs w:val="15"/>
                <w:lang w:val="en-AU"/>
              </w:rPr>
              <w:t>Percentage of t</w:t>
            </w:r>
            <w:r w:rsidRPr="003E76E7">
              <w:rPr>
                <w:rFonts w:ascii="Arial" w:hAnsi="Arial"/>
                <w:sz w:val="15"/>
                <w:szCs w:val="15"/>
                <w:lang w:val="en-AU"/>
              </w:rPr>
              <w:t xml:space="preserve">asks completed through digital channels (this is a new measure, </w:t>
            </w:r>
            <w:r w:rsidRPr="003E76E7">
              <w:rPr>
                <w:rFonts w:ascii="Arial" w:hAnsi="Arial"/>
                <w:sz w:val="15"/>
                <w:szCs w:val="15"/>
              </w:rPr>
              <w:t>the target will be determined after considering baseline results achieved in 2026-27)</w:t>
            </w:r>
            <w:r w:rsidR="00EE668F" w:rsidRPr="003E76E7">
              <w:rPr>
                <w:rFonts w:ascii="Arial" w:hAnsi="Arial"/>
                <w:sz w:val="15"/>
                <w:szCs w:val="15"/>
              </w:rPr>
              <w:t>.</w:t>
            </w:r>
          </w:p>
          <w:p w14:paraId="3C78F3C1" w14:textId="4ABAFBF3" w:rsidR="001B289E" w:rsidRPr="003E76E7" w:rsidRDefault="001B289E" w:rsidP="00C4292D">
            <w:pPr>
              <w:spacing w:before="60" w:after="60"/>
              <w:ind w:right="149"/>
              <w:rPr>
                <w:rFonts w:ascii="Arial" w:hAnsi="Arial"/>
                <w:sz w:val="15"/>
                <w:szCs w:val="15"/>
                <w:lang w:val="en-AU"/>
              </w:rPr>
            </w:pPr>
            <w:r w:rsidRPr="003E76E7">
              <w:rPr>
                <w:rFonts w:ascii="Arial" w:hAnsi="Arial"/>
                <w:sz w:val="15"/>
                <w:szCs w:val="15"/>
                <w:lang w:val="en-AU"/>
              </w:rPr>
              <w:t xml:space="preserve">Service platforms and data are available to customers </w:t>
            </w:r>
            <w:r w:rsidRPr="003E76E7">
              <w:rPr>
                <w:rFonts w:ascii="Arial" w:hAnsi="Arial"/>
                <w:b/>
                <w:bCs/>
                <w:sz w:val="15"/>
                <w:szCs w:val="15"/>
                <w:lang w:val="en-AU"/>
              </w:rPr>
              <w:t>99%</w:t>
            </w:r>
            <w:r w:rsidRPr="003E76E7">
              <w:rPr>
                <w:rFonts w:ascii="Arial" w:hAnsi="Arial"/>
                <w:sz w:val="15"/>
                <w:szCs w:val="15"/>
                <w:lang w:val="en-AU"/>
              </w:rPr>
              <w:t xml:space="preserve"> of the time, excluding scheduled outages</w:t>
            </w:r>
            <w:r w:rsidR="00EE668F" w:rsidRPr="003E76E7">
              <w:rPr>
                <w:rFonts w:ascii="Arial" w:hAnsi="Arial"/>
                <w:sz w:val="15"/>
                <w:szCs w:val="15"/>
                <w:lang w:val="en-AU"/>
              </w:rPr>
              <w:t>.</w:t>
            </w:r>
          </w:p>
          <w:p w14:paraId="2D7D1D7A" w14:textId="4667ADC2" w:rsidR="001B289E" w:rsidRPr="003E76E7" w:rsidRDefault="001B289E" w:rsidP="00C4292D">
            <w:pPr>
              <w:spacing w:before="60" w:after="60"/>
              <w:ind w:right="283"/>
              <w:rPr>
                <w:rFonts w:ascii="Arial" w:hAnsi="Arial"/>
                <w:sz w:val="15"/>
                <w:szCs w:val="15"/>
              </w:rPr>
            </w:pPr>
            <w:r w:rsidRPr="003E76E7">
              <w:rPr>
                <w:rFonts w:ascii="Arial" w:hAnsi="Arial"/>
                <w:b/>
                <w:bCs/>
                <w:sz w:val="15"/>
                <w:szCs w:val="15"/>
                <w:lang w:val="en-AU"/>
              </w:rPr>
              <w:t xml:space="preserve">85% </w:t>
            </w:r>
            <w:r w:rsidRPr="003E76E7">
              <w:rPr>
                <w:rFonts w:ascii="Arial" w:hAnsi="Arial"/>
                <w:sz w:val="15"/>
                <w:szCs w:val="15"/>
                <w:lang w:val="en-AU"/>
              </w:rPr>
              <w:t>customer satisfaction with DHA’s services</w:t>
            </w:r>
            <w:r w:rsidR="00EE668F" w:rsidRPr="003E76E7">
              <w:rPr>
                <w:rFonts w:ascii="Arial" w:hAnsi="Arial"/>
                <w:sz w:val="15"/>
                <w:szCs w:val="15"/>
                <w:lang w:val="en-AU"/>
              </w:rPr>
              <w:t>.</w:t>
            </w:r>
          </w:p>
        </w:tc>
      </w:tr>
      <w:tr w:rsidR="001B289E" w:rsidRPr="003E76E7" w14:paraId="66F841C2" w14:textId="77777777" w:rsidTr="00EE668F">
        <w:trPr>
          <w:trHeight w:val="405"/>
        </w:trPr>
        <w:tc>
          <w:tcPr>
            <w:tcW w:w="1439" w:type="dxa"/>
            <w:vMerge/>
            <w:tcBorders>
              <w:top w:val="single" w:sz="4" w:space="0" w:color="auto"/>
              <w:left w:val="single" w:sz="4" w:space="0" w:color="auto"/>
              <w:bottom w:val="single" w:sz="4" w:space="0" w:color="auto"/>
              <w:right w:val="single" w:sz="4" w:space="0" w:color="auto"/>
            </w:tcBorders>
            <w:vAlign w:val="center"/>
          </w:tcPr>
          <w:p w14:paraId="34D42C92" w14:textId="77777777" w:rsidR="001B289E" w:rsidRPr="003E76E7" w:rsidRDefault="001B289E" w:rsidP="00C4292D">
            <w:pPr>
              <w:spacing w:before="60" w:after="60"/>
              <w:rPr>
                <w:rFonts w:ascii="Arial" w:hAnsi="Arial"/>
                <w:sz w:val="15"/>
                <w:szCs w:val="15"/>
              </w:rPr>
            </w:pPr>
          </w:p>
        </w:tc>
        <w:tc>
          <w:tcPr>
            <w:tcW w:w="4470" w:type="dxa"/>
            <w:tcBorders>
              <w:top w:val="single" w:sz="4" w:space="0" w:color="auto"/>
              <w:left w:val="single" w:sz="4" w:space="0" w:color="auto"/>
              <w:bottom w:val="single" w:sz="4" w:space="0" w:color="auto"/>
              <w:right w:val="single" w:sz="4" w:space="0" w:color="auto"/>
            </w:tcBorders>
          </w:tcPr>
          <w:p w14:paraId="4ABEA438" w14:textId="76800276" w:rsidR="001B289E" w:rsidRPr="003E76E7" w:rsidRDefault="001B289E" w:rsidP="00C4292D">
            <w:pPr>
              <w:spacing w:before="60" w:after="60"/>
              <w:rPr>
                <w:rFonts w:ascii="Arial" w:hAnsi="Arial"/>
                <w:sz w:val="15"/>
                <w:szCs w:val="15"/>
              </w:rPr>
            </w:pPr>
            <w:r w:rsidRPr="003E76E7">
              <w:rPr>
                <w:rFonts w:ascii="Arial" w:hAnsi="Arial"/>
                <w:sz w:val="15"/>
                <w:szCs w:val="15"/>
                <w:lang w:val="en-AU"/>
              </w:rPr>
              <w:t>DHA’s housing portfolio is readily available, meets agreed client requirements, and aligns with client expectations.</w:t>
            </w:r>
          </w:p>
        </w:tc>
        <w:tc>
          <w:tcPr>
            <w:tcW w:w="2762" w:type="dxa"/>
            <w:tcBorders>
              <w:top w:val="single" w:sz="4" w:space="0" w:color="auto"/>
              <w:left w:val="single" w:sz="4" w:space="0" w:color="auto"/>
              <w:bottom w:val="single" w:sz="4" w:space="0" w:color="auto"/>
              <w:right w:val="single" w:sz="4" w:space="0" w:color="auto"/>
            </w:tcBorders>
          </w:tcPr>
          <w:p w14:paraId="22354D15" w14:textId="52376D47" w:rsidR="001B289E" w:rsidRPr="003E76E7" w:rsidRDefault="001B289E" w:rsidP="00C4292D">
            <w:pPr>
              <w:spacing w:before="60" w:after="60"/>
              <w:ind w:right="149"/>
              <w:rPr>
                <w:rFonts w:ascii="Arial" w:hAnsi="Arial"/>
                <w:sz w:val="15"/>
                <w:szCs w:val="15"/>
                <w:lang w:val="en-AU"/>
              </w:rPr>
            </w:pPr>
            <w:r w:rsidRPr="003E76E7">
              <w:rPr>
                <w:rFonts w:ascii="Arial" w:hAnsi="Arial"/>
                <w:b/>
                <w:sz w:val="15"/>
                <w:szCs w:val="15"/>
                <w:lang w:val="en-AU"/>
              </w:rPr>
              <w:t>99%</w:t>
            </w:r>
            <w:r w:rsidRPr="003E76E7">
              <w:rPr>
                <w:rFonts w:ascii="Arial" w:hAnsi="Arial"/>
                <w:sz w:val="15"/>
                <w:szCs w:val="15"/>
                <w:lang w:val="en-AU"/>
              </w:rPr>
              <w:t xml:space="preserve"> provisioning of housing solutions to the Approved Provisioning Schedule</w:t>
            </w:r>
            <w:r w:rsidR="00EE668F" w:rsidRPr="003E76E7">
              <w:rPr>
                <w:rFonts w:ascii="Arial" w:hAnsi="Arial"/>
                <w:sz w:val="15"/>
                <w:szCs w:val="15"/>
                <w:lang w:val="en-AU"/>
              </w:rPr>
              <w:t>.</w:t>
            </w:r>
          </w:p>
          <w:p w14:paraId="71DAE403" w14:textId="151E3A98" w:rsidR="001B289E" w:rsidRPr="003E76E7" w:rsidRDefault="001B289E" w:rsidP="00C4292D">
            <w:pPr>
              <w:spacing w:before="60" w:after="60"/>
              <w:ind w:right="149"/>
              <w:rPr>
                <w:rFonts w:ascii="Arial" w:hAnsi="Arial"/>
                <w:sz w:val="15"/>
                <w:szCs w:val="15"/>
                <w:lang w:val="en-AU"/>
              </w:rPr>
            </w:pPr>
            <w:r w:rsidRPr="003E76E7">
              <w:rPr>
                <w:rFonts w:ascii="Arial" w:hAnsi="Arial"/>
                <w:b/>
                <w:sz w:val="15"/>
                <w:szCs w:val="15"/>
                <w:lang w:val="en-AU"/>
              </w:rPr>
              <w:t>95%</w:t>
            </w:r>
            <w:r w:rsidRPr="003E76E7">
              <w:rPr>
                <w:rFonts w:ascii="Arial" w:hAnsi="Arial"/>
                <w:sz w:val="15"/>
                <w:szCs w:val="15"/>
                <w:lang w:val="en-AU"/>
              </w:rPr>
              <w:t xml:space="preserve"> of housing portfolio is occupied or available for occupation</w:t>
            </w:r>
            <w:r w:rsidR="00EE668F" w:rsidRPr="003E76E7">
              <w:rPr>
                <w:rFonts w:ascii="Arial" w:hAnsi="Arial"/>
                <w:sz w:val="15"/>
                <w:szCs w:val="15"/>
                <w:lang w:val="en-AU"/>
              </w:rPr>
              <w:t>.</w:t>
            </w:r>
          </w:p>
          <w:p w14:paraId="0EAEE79E" w14:textId="70CF656E" w:rsidR="001B289E" w:rsidRPr="003E76E7" w:rsidRDefault="001B289E" w:rsidP="00C4292D">
            <w:pPr>
              <w:spacing w:before="60" w:after="60"/>
              <w:ind w:right="283"/>
              <w:rPr>
                <w:rFonts w:ascii="Arial" w:hAnsi="Arial"/>
                <w:sz w:val="15"/>
                <w:szCs w:val="15"/>
              </w:rPr>
            </w:pPr>
            <w:r w:rsidRPr="003E76E7">
              <w:rPr>
                <w:rFonts w:ascii="Arial" w:hAnsi="Arial"/>
                <w:b/>
                <w:bCs/>
                <w:sz w:val="15"/>
                <w:szCs w:val="15"/>
              </w:rPr>
              <w:t>80%</w:t>
            </w:r>
            <w:r w:rsidRPr="003E76E7">
              <w:rPr>
                <w:rFonts w:ascii="Arial" w:hAnsi="Arial"/>
                <w:sz w:val="15"/>
                <w:szCs w:val="15"/>
              </w:rPr>
              <w:t xml:space="preserve"> customer satisfaction with DHA’s housing solutions</w:t>
            </w:r>
            <w:r w:rsidR="00EE668F" w:rsidRPr="003E76E7">
              <w:rPr>
                <w:rFonts w:ascii="Arial" w:hAnsi="Arial"/>
                <w:sz w:val="15"/>
                <w:szCs w:val="15"/>
              </w:rPr>
              <w:t>.</w:t>
            </w:r>
          </w:p>
        </w:tc>
      </w:tr>
      <w:tr w:rsidR="001B289E" w:rsidRPr="003E76E7" w14:paraId="389F7D75" w14:textId="77777777" w:rsidTr="00EE668F">
        <w:trPr>
          <w:trHeight w:val="405"/>
        </w:trPr>
        <w:tc>
          <w:tcPr>
            <w:tcW w:w="1439" w:type="dxa"/>
            <w:vMerge/>
            <w:tcBorders>
              <w:top w:val="single" w:sz="4" w:space="0" w:color="auto"/>
              <w:left w:val="single" w:sz="4" w:space="0" w:color="auto"/>
              <w:bottom w:val="single" w:sz="4" w:space="0" w:color="auto"/>
              <w:right w:val="single" w:sz="4" w:space="0" w:color="auto"/>
            </w:tcBorders>
            <w:vAlign w:val="center"/>
          </w:tcPr>
          <w:p w14:paraId="0C424A61" w14:textId="77777777" w:rsidR="001B289E" w:rsidRPr="003E76E7" w:rsidRDefault="001B289E" w:rsidP="00C4292D">
            <w:pPr>
              <w:spacing w:before="60" w:after="60"/>
              <w:rPr>
                <w:rFonts w:ascii="Arial" w:hAnsi="Arial"/>
                <w:sz w:val="15"/>
                <w:szCs w:val="15"/>
              </w:rPr>
            </w:pPr>
          </w:p>
        </w:tc>
        <w:tc>
          <w:tcPr>
            <w:tcW w:w="4470" w:type="dxa"/>
            <w:tcBorders>
              <w:top w:val="single" w:sz="4" w:space="0" w:color="auto"/>
              <w:left w:val="single" w:sz="4" w:space="0" w:color="auto"/>
              <w:bottom w:val="single" w:sz="4" w:space="0" w:color="auto"/>
              <w:right w:val="single" w:sz="4" w:space="0" w:color="auto"/>
            </w:tcBorders>
          </w:tcPr>
          <w:p w14:paraId="662C1113" w14:textId="22BB3D48" w:rsidR="001B289E" w:rsidRPr="003E76E7" w:rsidRDefault="001B289E" w:rsidP="00C4292D">
            <w:pPr>
              <w:spacing w:before="60" w:after="60"/>
              <w:rPr>
                <w:rFonts w:ascii="Arial" w:hAnsi="Arial"/>
                <w:sz w:val="15"/>
                <w:szCs w:val="15"/>
              </w:rPr>
            </w:pPr>
            <w:r w:rsidRPr="003E76E7">
              <w:rPr>
                <w:rFonts w:ascii="Arial" w:hAnsi="Arial"/>
                <w:sz w:val="15"/>
                <w:szCs w:val="15"/>
              </w:rPr>
              <w:t>DHA represents strong value for money for Government and is able to support the long-term portfolio objectives</w:t>
            </w:r>
            <w:r w:rsidR="00DE0200">
              <w:rPr>
                <w:rFonts w:ascii="Arial" w:hAnsi="Arial"/>
                <w:sz w:val="15"/>
                <w:szCs w:val="15"/>
              </w:rPr>
              <w:t>.</w:t>
            </w:r>
          </w:p>
        </w:tc>
        <w:tc>
          <w:tcPr>
            <w:tcW w:w="2762" w:type="dxa"/>
            <w:tcBorders>
              <w:top w:val="single" w:sz="4" w:space="0" w:color="auto"/>
              <w:left w:val="single" w:sz="4" w:space="0" w:color="auto"/>
              <w:bottom w:val="single" w:sz="4" w:space="0" w:color="auto"/>
              <w:right w:val="single" w:sz="4" w:space="0" w:color="auto"/>
            </w:tcBorders>
          </w:tcPr>
          <w:p w14:paraId="4397FBB1" w14:textId="06BBED31" w:rsidR="001B289E" w:rsidRPr="003E76E7" w:rsidRDefault="001B289E" w:rsidP="00C4292D">
            <w:pPr>
              <w:spacing w:before="60" w:after="60"/>
              <w:ind w:right="283"/>
              <w:rPr>
                <w:rFonts w:ascii="Arial" w:hAnsi="Arial"/>
                <w:sz w:val="15"/>
                <w:szCs w:val="15"/>
              </w:rPr>
            </w:pPr>
            <w:r w:rsidRPr="003E76E7">
              <w:rPr>
                <w:rFonts w:ascii="Arial" w:hAnsi="Arial"/>
                <w:b/>
                <w:sz w:val="15"/>
                <w:szCs w:val="15"/>
              </w:rPr>
              <w:t>1.5%</w:t>
            </w:r>
            <w:r w:rsidRPr="003E76E7">
              <w:rPr>
                <w:rFonts w:ascii="Arial" w:hAnsi="Arial"/>
                <w:sz w:val="15"/>
                <w:szCs w:val="15"/>
              </w:rPr>
              <w:t xml:space="preserve"> Return on Equity </w:t>
            </w:r>
            <w:r w:rsidR="00A575F1" w:rsidRPr="003E76E7">
              <w:rPr>
                <w:rFonts w:ascii="Arial" w:hAnsi="Arial"/>
                <w:sz w:val="15"/>
                <w:szCs w:val="15"/>
              </w:rPr>
              <w:br/>
            </w:r>
            <w:r w:rsidRPr="003E76E7">
              <w:rPr>
                <w:rFonts w:ascii="Arial" w:hAnsi="Arial"/>
                <w:sz w:val="15"/>
                <w:szCs w:val="15"/>
              </w:rPr>
              <w:t>(three-year average)</w:t>
            </w:r>
            <w:r w:rsidR="00EE668F" w:rsidRPr="003E76E7">
              <w:rPr>
                <w:rFonts w:ascii="Arial" w:hAnsi="Arial"/>
                <w:sz w:val="15"/>
                <w:szCs w:val="15"/>
              </w:rPr>
              <w:t>.</w:t>
            </w:r>
          </w:p>
        </w:tc>
      </w:tr>
    </w:tbl>
    <w:p w14:paraId="21E86932" w14:textId="77777777" w:rsidR="00B57574" w:rsidRPr="003E76E7" w:rsidRDefault="00B57574" w:rsidP="00C4292D">
      <w:r w:rsidRPr="003E76E7">
        <w:br w:type="page"/>
      </w:r>
    </w:p>
    <w:tbl>
      <w:tblPr>
        <w:tblW w:w="5037"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1439"/>
        <w:gridCol w:w="4470"/>
        <w:gridCol w:w="2763"/>
      </w:tblGrid>
      <w:tr w:rsidR="001B289E" w:rsidRPr="003E76E7" w14:paraId="3A8A81AA" w14:textId="77777777" w:rsidTr="00A211F5">
        <w:trPr>
          <w:trHeight w:val="140"/>
        </w:trPr>
        <w:tc>
          <w:tcPr>
            <w:tcW w:w="1439" w:type="dxa"/>
            <w:tcBorders>
              <w:top w:val="single" w:sz="4" w:space="0" w:color="auto"/>
              <w:left w:val="single" w:sz="4" w:space="0" w:color="auto"/>
              <w:bottom w:val="single" w:sz="4" w:space="0" w:color="auto"/>
              <w:right w:val="single" w:sz="4" w:space="0" w:color="auto"/>
            </w:tcBorders>
          </w:tcPr>
          <w:p w14:paraId="5C16A40D" w14:textId="6FA82D8D" w:rsidR="001B289E" w:rsidRPr="003E76E7" w:rsidRDefault="001B289E" w:rsidP="00C4292D">
            <w:pPr>
              <w:spacing w:before="60" w:after="60"/>
              <w:rPr>
                <w:rFonts w:ascii="Arial" w:hAnsi="Arial"/>
                <w:sz w:val="15"/>
                <w:szCs w:val="15"/>
              </w:rPr>
            </w:pPr>
            <w:r w:rsidRPr="003E76E7">
              <w:rPr>
                <w:rFonts w:ascii="Arial" w:hAnsi="Arial"/>
                <w:b/>
                <w:sz w:val="15"/>
                <w:szCs w:val="15"/>
              </w:rPr>
              <w:lastRenderedPageBreak/>
              <w:t xml:space="preserve">Year </w:t>
            </w:r>
          </w:p>
        </w:tc>
        <w:tc>
          <w:tcPr>
            <w:tcW w:w="4470" w:type="dxa"/>
            <w:tcBorders>
              <w:top w:val="single" w:sz="4" w:space="0" w:color="auto"/>
              <w:left w:val="single" w:sz="4" w:space="0" w:color="auto"/>
              <w:bottom w:val="single" w:sz="4" w:space="0" w:color="auto"/>
              <w:right w:val="single" w:sz="4" w:space="0" w:color="auto"/>
            </w:tcBorders>
          </w:tcPr>
          <w:p w14:paraId="6BA07132" w14:textId="5708AF6D" w:rsidR="001B289E" w:rsidRPr="003E76E7" w:rsidRDefault="001B289E" w:rsidP="00C4292D">
            <w:pPr>
              <w:spacing w:before="60" w:after="60"/>
              <w:ind w:left="22"/>
              <w:rPr>
                <w:rFonts w:ascii="Arial" w:hAnsi="Arial"/>
                <w:sz w:val="15"/>
                <w:szCs w:val="15"/>
              </w:rPr>
            </w:pPr>
            <w:r w:rsidRPr="003E76E7">
              <w:rPr>
                <w:rFonts w:ascii="Arial" w:hAnsi="Arial"/>
                <w:b/>
                <w:sz w:val="15"/>
                <w:szCs w:val="15"/>
              </w:rPr>
              <w:t>Performance Measures</w:t>
            </w:r>
          </w:p>
        </w:tc>
        <w:tc>
          <w:tcPr>
            <w:tcW w:w="2763" w:type="dxa"/>
            <w:tcBorders>
              <w:top w:val="single" w:sz="4" w:space="0" w:color="auto"/>
              <w:left w:val="single" w:sz="4" w:space="0" w:color="auto"/>
              <w:bottom w:val="single" w:sz="4" w:space="0" w:color="auto"/>
              <w:right w:val="single" w:sz="4" w:space="0" w:color="auto"/>
            </w:tcBorders>
            <w:vAlign w:val="center"/>
          </w:tcPr>
          <w:p w14:paraId="05236947" w14:textId="7C00EF58" w:rsidR="001B289E" w:rsidRPr="003E76E7" w:rsidRDefault="001B289E" w:rsidP="00C4292D">
            <w:pPr>
              <w:spacing w:before="60" w:after="60"/>
              <w:rPr>
                <w:rFonts w:ascii="Arial" w:hAnsi="Arial"/>
                <w:b/>
                <w:sz w:val="15"/>
                <w:szCs w:val="15"/>
              </w:rPr>
            </w:pPr>
            <w:r w:rsidRPr="003E76E7">
              <w:rPr>
                <w:rFonts w:ascii="Arial" w:hAnsi="Arial"/>
                <w:b/>
                <w:sz w:val="15"/>
                <w:szCs w:val="15"/>
              </w:rPr>
              <w:t>Planned Performance Results</w:t>
            </w:r>
          </w:p>
        </w:tc>
      </w:tr>
      <w:tr w:rsidR="00880175" w:rsidRPr="003E76E7" w14:paraId="0645C663" w14:textId="77777777" w:rsidTr="00A211F5">
        <w:trPr>
          <w:trHeight w:val="405"/>
        </w:trPr>
        <w:tc>
          <w:tcPr>
            <w:tcW w:w="1439" w:type="dxa"/>
            <w:vMerge w:val="restart"/>
            <w:tcBorders>
              <w:top w:val="single" w:sz="4" w:space="0" w:color="auto"/>
              <w:left w:val="single" w:sz="4" w:space="0" w:color="auto"/>
              <w:bottom w:val="single" w:sz="4" w:space="0" w:color="auto"/>
              <w:right w:val="single" w:sz="4" w:space="0" w:color="auto"/>
            </w:tcBorders>
          </w:tcPr>
          <w:p w14:paraId="41D763DF" w14:textId="4455F33D" w:rsidR="00880175" w:rsidRPr="003E76E7" w:rsidRDefault="00880175" w:rsidP="00C4292D">
            <w:pPr>
              <w:spacing w:before="60" w:after="60"/>
              <w:rPr>
                <w:rFonts w:ascii="Arial" w:hAnsi="Arial"/>
                <w:sz w:val="15"/>
                <w:szCs w:val="15"/>
              </w:rPr>
            </w:pPr>
            <w:r w:rsidRPr="003E76E7">
              <w:rPr>
                <w:rFonts w:ascii="Arial" w:hAnsi="Arial"/>
                <w:sz w:val="15"/>
                <w:szCs w:val="15"/>
              </w:rPr>
              <w:t>Forward Estimates</w:t>
            </w:r>
            <w:r w:rsidRPr="003E76E7">
              <w:rPr>
                <w:rFonts w:ascii="Arial" w:hAnsi="Arial"/>
                <w:sz w:val="15"/>
                <w:szCs w:val="15"/>
              </w:rPr>
              <w:br/>
              <w:t>2027-30</w:t>
            </w:r>
          </w:p>
        </w:tc>
        <w:tc>
          <w:tcPr>
            <w:tcW w:w="4470" w:type="dxa"/>
            <w:tcBorders>
              <w:top w:val="single" w:sz="4" w:space="0" w:color="auto"/>
              <w:left w:val="single" w:sz="4" w:space="0" w:color="auto"/>
              <w:bottom w:val="single" w:sz="4" w:space="0" w:color="auto"/>
              <w:right w:val="single" w:sz="4" w:space="0" w:color="auto"/>
            </w:tcBorders>
          </w:tcPr>
          <w:p w14:paraId="7F1F4750" w14:textId="2C9C1B2C" w:rsidR="00880175" w:rsidRPr="003E76E7" w:rsidRDefault="00880175" w:rsidP="00C4292D">
            <w:pPr>
              <w:spacing w:before="60" w:after="60"/>
              <w:rPr>
                <w:rFonts w:ascii="Arial" w:hAnsi="Arial"/>
                <w:sz w:val="15"/>
                <w:szCs w:val="15"/>
              </w:rPr>
            </w:pPr>
            <w:r w:rsidRPr="003E76E7">
              <w:rPr>
                <w:rFonts w:ascii="Arial" w:hAnsi="Arial"/>
                <w:sz w:val="15"/>
                <w:szCs w:val="15"/>
                <w:lang w:val="en-AU"/>
              </w:rPr>
              <w:t>DHA’s housing services are delivered effectively through</w:t>
            </w:r>
            <w:r w:rsidR="00DE0200">
              <w:rPr>
                <w:rFonts w:ascii="Arial" w:hAnsi="Arial"/>
                <w:sz w:val="15"/>
                <w:szCs w:val="15"/>
                <w:lang w:val="en-AU"/>
              </w:rPr>
              <w:t xml:space="preserve"> a highly digitised environment</w:t>
            </w:r>
            <w:r w:rsidRPr="003E76E7">
              <w:rPr>
                <w:rFonts w:ascii="Arial" w:hAnsi="Arial"/>
                <w:sz w:val="15"/>
                <w:szCs w:val="15"/>
                <w:lang w:val="en-AU"/>
              </w:rPr>
              <w:t xml:space="preserve"> that meet</w:t>
            </w:r>
            <w:r w:rsidR="00DE0200">
              <w:rPr>
                <w:rFonts w:ascii="Arial" w:hAnsi="Arial"/>
                <w:sz w:val="15"/>
                <w:szCs w:val="15"/>
                <w:lang w:val="en-AU"/>
              </w:rPr>
              <w:t>s</w:t>
            </w:r>
            <w:r w:rsidRPr="003E76E7">
              <w:rPr>
                <w:rFonts w:ascii="Arial" w:hAnsi="Arial"/>
                <w:sz w:val="15"/>
                <w:szCs w:val="15"/>
                <w:lang w:val="en-AU"/>
              </w:rPr>
              <w:t xml:space="preserve"> client expectations.</w:t>
            </w:r>
          </w:p>
        </w:tc>
        <w:tc>
          <w:tcPr>
            <w:tcW w:w="2763" w:type="dxa"/>
            <w:tcBorders>
              <w:top w:val="single" w:sz="4" w:space="0" w:color="auto"/>
              <w:left w:val="single" w:sz="4" w:space="0" w:color="auto"/>
              <w:bottom w:val="single" w:sz="4" w:space="0" w:color="auto"/>
              <w:right w:val="single" w:sz="4" w:space="0" w:color="auto"/>
            </w:tcBorders>
          </w:tcPr>
          <w:p w14:paraId="08F104F2" w14:textId="231A6ADD" w:rsidR="00B57574" w:rsidRPr="003E76E7" w:rsidRDefault="00B57574" w:rsidP="00C4292D">
            <w:pPr>
              <w:spacing w:before="60" w:after="60"/>
              <w:ind w:right="7"/>
              <w:rPr>
                <w:rFonts w:ascii="Arial" w:hAnsi="Arial"/>
                <w:sz w:val="16"/>
                <w:szCs w:val="16"/>
                <w:lang w:val="en-AU"/>
              </w:rPr>
            </w:pPr>
            <w:r w:rsidRPr="003E76E7">
              <w:rPr>
                <w:rFonts w:ascii="Arial" w:hAnsi="Arial"/>
                <w:bCs/>
                <w:sz w:val="16"/>
                <w:szCs w:val="16"/>
                <w:lang w:val="en-AU"/>
              </w:rPr>
              <w:t>Percentage of t</w:t>
            </w:r>
            <w:r w:rsidRPr="003E76E7">
              <w:rPr>
                <w:rFonts w:ascii="Arial" w:hAnsi="Arial"/>
                <w:sz w:val="16"/>
                <w:szCs w:val="16"/>
                <w:lang w:val="en-AU"/>
              </w:rPr>
              <w:t xml:space="preserve">asks completed through digital channels (this is </w:t>
            </w:r>
            <w:r w:rsidR="004D14C8" w:rsidRPr="003E76E7">
              <w:rPr>
                <w:rFonts w:ascii="Arial" w:hAnsi="Arial"/>
                <w:sz w:val="16"/>
                <w:szCs w:val="16"/>
                <w:lang w:val="en-AU"/>
              </w:rPr>
              <w:br/>
            </w:r>
            <w:r w:rsidRPr="003E76E7">
              <w:rPr>
                <w:rFonts w:ascii="Arial" w:hAnsi="Arial"/>
                <w:sz w:val="16"/>
                <w:szCs w:val="16"/>
                <w:lang w:val="en-AU"/>
              </w:rPr>
              <w:t xml:space="preserve">a new measure, </w:t>
            </w:r>
            <w:r w:rsidRPr="003E76E7">
              <w:rPr>
                <w:rFonts w:ascii="Arial" w:hAnsi="Arial"/>
                <w:sz w:val="16"/>
                <w:szCs w:val="16"/>
              </w:rPr>
              <w:t>the target will be determined after considering baseline results achieved in</w:t>
            </w:r>
            <w:r w:rsidR="004D14C8" w:rsidRPr="003E76E7">
              <w:rPr>
                <w:rFonts w:ascii="Arial" w:hAnsi="Arial"/>
                <w:sz w:val="16"/>
                <w:szCs w:val="16"/>
              </w:rPr>
              <w:br/>
            </w:r>
            <w:r w:rsidRPr="003E76E7">
              <w:rPr>
                <w:rFonts w:ascii="Arial" w:hAnsi="Arial"/>
                <w:sz w:val="16"/>
                <w:szCs w:val="16"/>
              </w:rPr>
              <w:t>2026</w:t>
            </w:r>
            <w:r w:rsidR="004D14C8" w:rsidRPr="003E76E7">
              <w:rPr>
                <w:rFonts w:ascii="Arial" w:hAnsi="Arial"/>
                <w:sz w:val="16"/>
                <w:szCs w:val="16"/>
              </w:rPr>
              <w:t>-</w:t>
            </w:r>
            <w:r w:rsidRPr="003E76E7">
              <w:rPr>
                <w:rFonts w:ascii="Arial" w:hAnsi="Arial"/>
                <w:sz w:val="16"/>
                <w:szCs w:val="16"/>
              </w:rPr>
              <w:t>27)</w:t>
            </w:r>
            <w:r w:rsidR="00EE668F" w:rsidRPr="003E76E7">
              <w:rPr>
                <w:rFonts w:ascii="Arial" w:hAnsi="Arial"/>
                <w:sz w:val="16"/>
                <w:szCs w:val="16"/>
              </w:rPr>
              <w:t>.</w:t>
            </w:r>
          </w:p>
          <w:p w14:paraId="215769DB" w14:textId="08A7593F" w:rsidR="00B57574" w:rsidRPr="003E76E7" w:rsidRDefault="00B57574" w:rsidP="00C4292D">
            <w:pPr>
              <w:spacing w:before="60" w:after="60"/>
              <w:ind w:right="149"/>
              <w:rPr>
                <w:rFonts w:ascii="Arial" w:hAnsi="Arial"/>
                <w:sz w:val="16"/>
                <w:szCs w:val="16"/>
                <w:lang w:val="en-AU"/>
              </w:rPr>
            </w:pPr>
            <w:r w:rsidRPr="003E76E7">
              <w:rPr>
                <w:rFonts w:ascii="Arial" w:hAnsi="Arial"/>
                <w:sz w:val="16"/>
                <w:szCs w:val="16"/>
                <w:lang w:val="en-AU"/>
              </w:rPr>
              <w:t xml:space="preserve">Service platforms and data are available to customers </w:t>
            </w:r>
            <w:r w:rsidRPr="003E76E7">
              <w:rPr>
                <w:rFonts w:ascii="Arial" w:hAnsi="Arial"/>
                <w:b/>
                <w:bCs/>
                <w:sz w:val="16"/>
                <w:szCs w:val="16"/>
                <w:lang w:val="en-AU"/>
              </w:rPr>
              <w:t>99%</w:t>
            </w:r>
            <w:r w:rsidRPr="003E76E7">
              <w:rPr>
                <w:rFonts w:ascii="Arial" w:hAnsi="Arial"/>
                <w:sz w:val="16"/>
                <w:szCs w:val="16"/>
                <w:lang w:val="en-AU"/>
              </w:rPr>
              <w:t xml:space="preserve"> of the time, excluding scheduled outages</w:t>
            </w:r>
            <w:r w:rsidR="00EE668F" w:rsidRPr="003E76E7">
              <w:rPr>
                <w:rFonts w:ascii="Arial" w:hAnsi="Arial"/>
                <w:sz w:val="16"/>
                <w:szCs w:val="16"/>
                <w:lang w:val="en-AU"/>
              </w:rPr>
              <w:t>.</w:t>
            </w:r>
          </w:p>
          <w:p w14:paraId="6DFFB814" w14:textId="04C513EC" w:rsidR="00880175" w:rsidRPr="003E76E7" w:rsidRDefault="00B57574" w:rsidP="00C4292D">
            <w:pPr>
              <w:spacing w:before="60" w:after="60"/>
              <w:ind w:right="149"/>
              <w:rPr>
                <w:rFonts w:ascii="Arial" w:hAnsi="Arial"/>
                <w:b/>
                <w:sz w:val="15"/>
                <w:szCs w:val="15"/>
                <w:lang w:val="en-AU"/>
              </w:rPr>
            </w:pPr>
            <w:r w:rsidRPr="003E76E7">
              <w:rPr>
                <w:rFonts w:ascii="Arial" w:hAnsi="Arial"/>
                <w:b/>
                <w:bCs/>
                <w:sz w:val="16"/>
                <w:szCs w:val="16"/>
                <w:lang w:val="en-AU"/>
              </w:rPr>
              <w:t xml:space="preserve">85% </w:t>
            </w:r>
            <w:r w:rsidR="00EE668F" w:rsidRPr="003E76E7">
              <w:rPr>
                <w:rFonts w:ascii="Arial" w:hAnsi="Arial"/>
                <w:sz w:val="16"/>
                <w:szCs w:val="16"/>
                <w:lang w:val="en-AU"/>
              </w:rPr>
              <w:t xml:space="preserve">customer satisfaction with </w:t>
            </w:r>
            <w:r w:rsidRPr="003E76E7">
              <w:rPr>
                <w:rFonts w:ascii="Arial" w:hAnsi="Arial"/>
                <w:sz w:val="16"/>
                <w:szCs w:val="16"/>
                <w:lang w:val="en-AU"/>
              </w:rPr>
              <w:t>DHA’s services</w:t>
            </w:r>
            <w:r w:rsidR="00EE668F" w:rsidRPr="003E76E7">
              <w:rPr>
                <w:rFonts w:ascii="Arial" w:hAnsi="Arial"/>
                <w:sz w:val="16"/>
                <w:szCs w:val="16"/>
                <w:lang w:val="en-AU"/>
              </w:rPr>
              <w:t>.</w:t>
            </w:r>
          </w:p>
        </w:tc>
      </w:tr>
      <w:tr w:rsidR="00880175" w:rsidRPr="003E76E7" w14:paraId="2AC4F6CC" w14:textId="77777777" w:rsidTr="00A211F5">
        <w:trPr>
          <w:trHeight w:val="405"/>
        </w:trPr>
        <w:tc>
          <w:tcPr>
            <w:tcW w:w="1439" w:type="dxa"/>
            <w:vMerge/>
            <w:tcBorders>
              <w:top w:val="single" w:sz="4" w:space="0" w:color="auto"/>
              <w:right w:val="single" w:sz="4" w:space="0" w:color="auto"/>
            </w:tcBorders>
          </w:tcPr>
          <w:p w14:paraId="3A3A480E" w14:textId="34328206" w:rsidR="00880175" w:rsidRPr="003E76E7" w:rsidRDefault="00880175" w:rsidP="00C4292D">
            <w:pPr>
              <w:spacing w:before="60" w:after="60"/>
              <w:rPr>
                <w:rFonts w:ascii="Arial" w:hAnsi="Arial"/>
                <w:b/>
                <w:sz w:val="15"/>
                <w:szCs w:val="15"/>
              </w:rPr>
            </w:pPr>
          </w:p>
        </w:tc>
        <w:tc>
          <w:tcPr>
            <w:tcW w:w="4470" w:type="dxa"/>
            <w:tcBorders>
              <w:top w:val="single" w:sz="4" w:space="0" w:color="auto"/>
              <w:left w:val="single" w:sz="4" w:space="0" w:color="auto"/>
              <w:bottom w:val="single" w:sz="4" w:space="0" w:color="auto"/>
              <w:right w:val="single" w:sz="4" w:space="0" w:color="auto"/>
            </w:tcBorders>
          </w:tcPr>
          <w:p w14:paraId="68EB0F62" w14:textId="214A2406" w:rsidR="00880175" w:rsidRPr="003E76E7" w:rsidRDefault="00880175" w:rsidP="00C4292D">
            <w:pPr>
              <w:spacing w:before="60" w:after="60"/>
              <w:rPr>
                <w:rFonts w:ascii="Arial" w:hAnsi="Arial"/>
                <w:b/>
                <w:sz w:val="15"/>
                <w:szCs w:val="15"/>
              </w:rPr>
            </w:pPr>
            <w:r w:rsidRPr="003E76E7">
              <w:rPr>
                <w:rFonts w:ascii="Arial" w:hAnsi="Arial"/>
                <w:sz w:val="15"/>
                <w:szCs w:val="15"/>
                <w:lang w:val="en-AU"/>
              </w:rPr>
              <w:t>DHA’s housing portfolio is readily available, meets agreed client requirements, and aligns with client expectations.</w:t>
            </w:r>
          </w:p>
        </w:tc>
        <w:tc>
          <w:tcPr>
            <w:tcW w:w="2763" w:type="dxa"/>
            <w:tcBorders>
              <w:top w:val="single" w:sz="4" w:space="0" w:color="auto"/>
              <w:left w:val="single" w:sz="4" w:space="0" w:color="auto"/>
              <w:bottom w:val="single" w:sz="4" w:space="0" w:color="auto"/>
            </w:tcBorders>
          </w:tcPr>
          <w:p w14:paraId="6C832AF4" w14:textId="2F517B2D" w:rsidR="00880175" w:rsidRPr="003E76E7" w:rsidRDefault="00880175" w:rsidP="00C4292D">
            <w:pPr>
              <w:spacing w:before="60" w:after="60"/>
              <w:ind w:right="149"/>
              <w:rPr>
                <w:rFonts w:ascii="Arial" w:hAnsi="Arial"/>
                <w:sz w:val="15"/>
                <w:szCs w:val="15"/>
                <w:lang w:val="en-AU"/>
              </w:rPr>
            </w:pPr>
            <w:r w:rsidRPr="003E76E7">
              <w:rPr>
                <w:rFonts w:ascii="Arial" w:hAnsi="Arial"/>
                <w:b/>
                <w:sz w:val="15"/>
                <w:szCs w:val="15"/>
                <w:lang w:val="en-AU"/>
              </w:rPr>
              <w:t>99%</w:t>
            </w:r>
            <w:r w:rsidRPr="003E76E7">
              <w:rPr>
                <w:rFonts w:ascii="Arial" w:hAnsi="Arial"/>
                <w:sz w:val="15"/>
                <w:szCs w:val="15"/>
                <w:lang w:val="en-AU"/>
              </w:rPr>
              <w:t xml:space="preserve"> provisioning of housing solutions to the Approved Provisioning Schedule</w:t>
            </w:r>
            <w:r w:rsidR="00EE668F" w:rsidRPr="003E76E7">
              <w:rPr>
                <w:rFonts w:ascii="Arial" w:hAnsi="Arial"/>
                <w:sz w:val="15"/>
                <w:szCs w:val="15"/>
                <w:lang w:val="en-AU"/>
              </w:rPr>
              <w:t>.</w:t>
            </w:r>
          </w:p>
          <w:p w14:paraId="7F13BE89" w14:textId="46DDF393" w:rsidR="00880175" w:rsidRPr="003E76E7" w:rsidRDefault="00880175" w:rsidP="00C4292D">
            <w:pPr>
              <w:spacing w:before="60" w:after="60"/>
              <w:ind w:right="149"/>
              <w:rPr>
                <w:rFonts w:ascii="Arial" w:hAnsi="Arial"/>
                <w:sz w:val="15"/>
                <w:szCs w:val="15"/>
                <w:lang w:val="en-AU"/>
              </w:rPr>
            </w:pPr>
            <w:r w:rsidRPr="003E76E7">
              <w:rPr>
                <w:rFonts w:ascii="Arial" w:hAnsi="Arial"/>
                <w:b/>
                <w:sz w:val="15"/>
                <w:szCs w:val="15"/>
                <w:lang w:val="en-AU"/>
              </w:rPr>
              <w:t>95%</w:t>
            </w:r>
            <w:r w:rsidRPr="003E76E7">
              <w:rPr>
                <w:rFonts w:ascii="Arial" w:hAnsi="Arial"/>
                <w:sz w:val="15"/>
                <w:szCs w:val="15"/>
                <w:lang w:val="en-AU"/>
              </w:rPr>
              <w:t xml:space="preserve"> of housing portfolio is occupied or available for occupation</w:t>
            </w:r>
            <w:r w:rsidR="00EE668F" w:rsidRPr="003E76E7">
              <w:rPr>
                <w:rFonts w:ascii="Arial" w:hAnsi="Arial"/>
                <w:sz w:val="15"/>
                <w:szCs w:val="15"/>
                <w:lang w:val="en-AU"/>
              </w:rPr>
              <w:t>.</w:t>
            </w:r>
          </w:p>
          <w:p w14:paraId="1CBA1BB0" w14:textId="61A022CB" w:rsidR="00880175" w:rsidRPr="003E76E7" w:rsidRDefault="00880175" w:rsidP="00C4292D">
            <w:pPr>
              <w:spacing w:before="60" w:after="60"/>
              <w:rPr>
                <w:rFonts w:ascii="Arial" w:hAnsi="Arial"/>
                <w:b/>
                <w:sz w:val="15"/>
                <w:szCs w:val="15"/>
              </w:rPr>
            </w:pPr>
            <w:r w:rsidRPr="003E76E7">
              <w:rPr>
                <w:rFonts w:ascii="Arial" w:hAnsi="Arial"/>
                <w:b/>
                <w:bCs/>
                <w:sz w:val="15"/>
                <w:szCs w:val="15"/>
              </w:rPr>
              <w:t>80%</w:t>
            </w:r>
            <w:r w:rsidRPr="003E76E7">
              <w:rPr>
                <w:rFonts w:ascii="Arial" w:hAnsi="Arial"/>
                <w:sz w:val="15"/>
                <w:szCs w:val="15"/>
              </w:rPr>
              <w:t xml:space="preserve"> customer satisfaction with </w:t>
            </w:r>
            <w:r w:rsidR="00EE37B5">
              <w:rPr>
                <w:rFonts w:ascii="Arial" w:hAnsi="Arial"/>
                <w:sz w:val="15"/>
                <w:szCs w:val="15"/>
              </w:rPr>
              <w:br/>
            </w:r>
            <w:r w:rsidRPr="003E76E7">
              <w:rPr>
                <w:rFonts w:ascii="Arial" w:hAnsi="Arial"/>
                <w:sz w:val="15"/>
                <w:szCs w:val="15"/>
              </w:rPr>
              <w:t>DHA’s housing solutions</w:t>
            </w:r>
            <w:r w:rsidR="00EE668F" w:rsidRPr="003E76E7">
              <w:rPr>
                <w:rFonts w:ascii="Arial" w:hAnsi="Arial"/>
                <w:sz w:val="15"/>
                <w:szCs w:val="15"/>
              </w:rPr>
              <w:t>.</w:t>
            </w:r>
          </w:p>
        </w:tc>
      </w:tr>
      <w:tr w:rsidR="00880175" w:rsidRPr="003E76E7" w14:paraId="6B6DDE50" w14:textId="77777777" w:rsidTr="00A211F5">
        <w:trPr>
          <w:trHeight w:val="405"/>
        </w:trPr>
        <w:tc>
          <w:tcPr>
            <w:tcW w:w="1439" w:type="dxa"/>
            <w:vMerge/>
            <w:tcBorders>
              <w:bottom w:val="single" w:sz="4" w:space="0" w:color="auto"/>
              <w:right w:val="single" w:sz="4" w:space="0" w:color="auto"/>
            </w:tcBorders>
          </w:tcPr>
          <w:p w14:paraId="16F4E2E4" w14:textId="77777777" w:rsidR="00880175" w:rsidRPr="003E76E7" w:rsidRDefault="00880175" w:rsidP="00C4292D">
            <w:pPr>
              <w:spacing w:before="60" w:after="60"/>
              <w:rPr>
                <w:rFonts w:ascii="Arial" w:hAnsi="Arial"/>
                <w:b/>
                <w:sz w:val="15"/>
                <w:szCs w:val="15"/>
              </w:rPr>
            </w:pPr>
          </w:p>
        </w:tc>
        <w:tc>
          <w:tcPr>
            <w:tcW w:w="4470" w:type="dxa"/>
            <w:tcBorders>
              <w:top w:val="single" w:sz="4" w:space="0" w:color="auto"/>
              <w:left w:val="single" w:sz="4" w:space="0" w:color="auto"/>
              <w:bottom w:val="single" w:sz="4" w:space="0" w:color="auto"/>
              <w:right w:val="single" w:sz="4" w:space="0" w:color="auto"/>
            </w:tcBorders>
          </w:tcPr>
          <w:p w14:paraId="4BB10B90" w14:textId="19B74F52" w:rsidR="00880175" w:rsidRPr="003E76E7" w:rsidRDefault="00880175" w:rsidP="00C4292D">
            <w:pPr>
              <w:spacing w:before="60" w:after="60"/>
              <w:rPr>
                <w:rFonts w:ascii="Arial" w:hAnsi="Arial"/>
                <w:b/>
                <w:sz w:val="15"/>
                <w:szCs w:val="15"/>
              </w:rPr>
            </w:pPr>
            <w:r w:rsidRPr="003E76E7">
              <w:rPr>
                <w:rFonts w:ascii="Arial" w:hAnsi="Arial"/>
                <w:sz w:val="15"/>
                <w:szCs w:val="15"/>
              </w:rPr>
              <w:t>DHA represents strong value for money for Government and is able to support the long-term portfolio objectives</w:t>
            </w:r>
            <w:r w:rsidR="00DE0200">
              <w:rPr>
                <w:rFonts w:ascii="Arial" w:hAnsi="Arial"/>
                <w:sz w:val="15"/>
                <w:szCs w:val="15"/>
              </w:rPr>
              <w:t>.</w:t>
            </w:r>
          </w:p>
        </w:tc>
        <w:tc>
          <w:tcPr>
            <w:tcW w:w="2763" w:type="dxa"/>
            <w:tcBorders>
              <w:top w:val="single" w:sz="4" w:space="0" w:color="auto"/>
              <w:left w:val="single" w:sz="4" w:space="0" w:color="auto"/>
              <w:bottom w:val="single" w:sz="4" w:space="0" w:color="auto"/>
            </w:tcBorders>
          </w:tcPr>
          <w:p w14:paraId="62156FC6" w14:textId="2BF3A360" w:rsidR="00880175" w:rsidRPr="003E76E7" w:rsidRDefault="00880175" w:rsidP="00C4292D">
            <w:pPr>
              <w:spacing w:before="60" w:after="60"/>
              <w:rPr>
                <w:rFonts w:ascii="Arial" w:hAnsi="Arial"/>
                <w:b/>
                <w:sz w:val="15"/>
                <w:szCs w:val="15"/>
              </w:rPr>
            </w:pPr>
            <w:r w:rsidRPr="003E76E7">
              <w:rPr>
                <w:rFonts w:ascii="Arial" w:hAnsi="Arial"/>
                <w:b/>
                <w:sz w:val="15"/>
                <w:szCs w:val="15"/>
              </w:rPr>
              <w:t>1.5%</w:t>
            </w:r>
            <w:r w:rsidRPr="003E76E7">
              <w:rPr>
                <w:rFonts w:ascii="Arial" w:hAnsi="Arial"/>
                <w:sz w:val="15"/>
                <w:szCs w:val="15"/>
              </w:rPr>
              <w:t xml:space="preserve"> Return on Equity</w:t>
            </w:r>
            <w:r w:rsidRPr="003E76E7">
              <w:rPr>
                <w:rFonts w:ascii="Arial" w:hAnsi="Arial"/>
                <w:sz w:val="15"/>
                <w:szCs w:val="15"/>
              </w:rPr>
              <w:br/>
              <w:t>(three-year average)</w:t>
            </w:r>
            <w:r w:rsidR="00EE668F" w:rsidRPr="003E76E7">
              <w:rPr>
                <w:rFonts w:ascii="Arial" w:hAnsi="Arial"/>
                <w:sz w:val="15"/>
                <w:szCs w:val="15"/>
              </w:rPr>
              <w:t>.</w:t>
            </w:r>
          </w:p>
        </w:tc>
      </w:tr>
    </w:tbl>
    <w:p w14:paraId="5111CB2F" w14:textId="588D5CD1" w:rsidR="00761824" w:rsidRPr="003E76E7" w:rsidRDefault="00761824" w:rsidP="00C4292D">
      <w:pPr>
        <w:pStyle w:val="Heading2level3"/>
        <w:spacing w:before="120" w:after="120"/>
      </w:pPr>
      <w:r w:rsidRPr="003E76E7">
        <w:br w:type="page"/>
      </w:r>
      <w:bookmarkStart w:id="2117" w:name="_Toc507595448"/>
      <w:bookmarkStart w:id="2118" w:name="_Toc536089257"/>
      <w:bookmarkStart w:id="2119" w:name="_Toc536089517"/>
      <w:bookmarkStart w:id="2120" w:name="_Toc536089623"/>
      <w:bookmarkStart w:id="2121" w:name="_Toc1561711"/>
      <w:bookmarkStart w:id="2122" w:name="_Toc51691707"/>
      <w:bookmarkStart w:id="2123" w:name="_Toc69729077"/>
      <w:bookmarkStart w:id="2124" w:name="_Toc69917872"/>
      <w:bookmarkStart w:id="2125" w:name="_Toc97747861"/>
      <w:bookmarkStart w:id="2126" w:name="_Toc108088974"/>
      <w:bookmarkStart w:id="2127" w:name="_Toc108089053"/>
      <w:bookmarkStart w:id="2128" w:name="_Toc108089447"/>
      <w:bookmarkStart w:id="2129" w:name="_Toc109227304"/>
      <w:bookmarkStart w:id="2130" w:name="_Toc109227769"/>
      <w:bookmarkStart w:id="2131" w:name="_Toc158896259"/>
      <w:bookmarkStart w:id="2132" w:name="_Toc158896316"/>
      <w:bookmarkStart w:id="2133" w:name="_Toc159499729"/>
      <w:bookmarkStart w:id="2134" w:name="_Toc159857693"/>
      <w:bookmarkStart w:id="2135" w:name="_Toc159857773"/>
      <w:bookmarkStart w:id="2136" w:name="_Toc159858169"/>
      <w:bookmarkStart w:id="2137" w:name="_Toc159858835"/>
      <w:bookmarkStart w:id="2138" w:name="_Toc159858905"/>
      <w:bookmarkStart w:id="2139" w:name="_Toc159859148"/>
      <w:bookmarkStart w:id="2140" w:name="_Toc159862311"/>
      <w:bookmarkStart w:id="2141" w:name="_Toc159862501"/>
      <w:bookmarkStart w:id="2142" w:name="_Toc221786200"/>
      <w:bookmarkStart w:id="2143" w:name="_Toc222129969"/>
      <w:bookmarkStart w:id="2144" w:name="_Toc222148394"/>
      <w:bookmarkStart w:id="2145" w:name="_Toc225848022"/>
      <w:bookmarkStart w:id="2146" w:name="_Toc225848105"/>
      <w:bookmarkStart w:id="2147" w:name="_Toc225848271"/>
      <w:bookmarkStart w:id="2148" w:name="_Toc225848527"/>
      <w:bookmarkStart w:id="2149" w:name="_Toc225941595"/>
      <w:bookmarkStart w:id="2150" w:name="_Toc225942602"/>
      <w:bookmarkStart w:id="2151" w:name="_Toc227334412"/>
      <w:bookmarkStart w:id="2152" w:name="_Toc229072487"/>
      <w:bookmarkStart w:id="2153" w:name="_Toc229072659"/>
      <w:r w:rsidRPr="003E76E7">
        <w:rPr>
          <w:rStyle w:val="Heading2Char"/>
          <w:sz w:val="26"/>
          <w:szCs w:val="26"/>
        </w:rPr>
        <w:lastRenderedPageBreak/>
        <w:t>Section 3: DHA Explanatory Tables and Budgeted Financial Statements</w:t>
      </w:r>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r w:rsidRPr="003E76E7">
        <w:t xml:space="preserve"> </w:t>
      </w:r>
    </w:p>
    <w:p w14:paraId="32ACA45D" w14:textId="5DD4DF51" w:rsidR="00761824" w:rsidRPr="003E76E7" w:rsidRDefault="00761824" w:rsidP="00C4292D">
      <w:pPr>
        <w:spacing w:before="120" w:after="60" w:line="257" w:lineRule="auto"/>
      </w:pPr>
      <w:r w:rsidRPr="003E76E7">
        <w:t xml:space="preserve">Section 3 </w:t>
      </w:r>
      <w:r w:rsidRPr="003E76E7">
        <w:rPr>
          <w:lang w:val="en-AU" w:eastAsia="en-US"/>
        </w:rPr>
        <w:t>presents</w:t>
      </w:r>
      <w:r w:rsidRPr="003E76E7">
        <w:t xml:space="preserve"> budgeted financial statements which provide a comprehensive snapshot</w:t>
      </w:r>
      <w:r w:rsidR="004604E4" w:rsidRPr="003E76E7">
        <w:t xml:space="preserve"> of entity finances for the </w:t>
      </w:r>
      <w:r w:rsidR="00BD523A" w:rsidRPr="003E76E7">
        <w:t>202</w:t>
      </w:r>
      <w:r w:rsidR="003746BF" w:rsidRPr="003E76E7">
        <w:t>6</w:t>
      </w:r>
      <w:r w:rsidR="00BD523A" w:rsidRPr="003E76E7">
        <w:t>-2</w:t>
      </w:r>
      <w:r w:rsidR="003746BF" w:rsidRPr="003E76E7">
        <w:t>7</w:t>
      </w:r>
      <w:r w:rsidRPr="003E76E7">
        <w:rPr>
          <w:color w:val="00B050"/>
        </w:rPr>
        <w:t xml:space="preserve"> </w:t>
      </w:r>
      <w:r w:rsidR="00A005A8" w:rsidRPr="003E76E7">
        <w:t>B</w:t>
      </w:r>
      <w:r w:rsidRPr="003E76E7">
        <w:t xml:space="preserve">udget year, including the impact of </w:t>
      </w:r>
      <w:r w:rsidR="00A07B99" w:rsidRPr="003E76E7">
        <w:t>Budget M</w:t>
      </w:r>
      <w:r w:rsidRPr="003E76E7">
        <w:t>easures and resourcing on financial statements.</w:t>
      </w:r>
    </w:p>
    <w:p w14:paraId="242A58E8" w14:textId="77777777" w:rsidR="00761824" w:rsidRPr="003E76E7" w:rsidRDefault="00761824" w:rsidP="00C4292D">
      <w:pPr>
        <w:pStyle w:val="Heading4"/>
        <w:spacing w:after="0"/>
        <w:rPr>
          <w:sz w:val="24"/>
          <w:szCs w:val="24"/>
        </w:rPr>
      </w:pPr>
      <w:bookmarkStart w:id="2154" w:name="_Toc507595449"/>
      <w:bookmarkStart w:id="2155" w:name="_Toc536089258"/>
      <w:bookmarkStart w:id="2156" w:name="_Toc536089518"/>
      <w:bookmarkStart w:id="2157" w:name="_Toc536089624"/>
      <w:bookmarkStart w:id="2158" w:name="_Toc1561712"/>
      <w:bookmarkStart w:id="2159" w:name="_Toc51691708"/>
      <w:bookmarkStart w:id="2160" w:name="_Toc69729078"/>
      <w:bookmarkStart w:id="2161" w:name="_Toc69917873"/>
      <w:bookmarkStart w:id="2162" w:name="_Toc97747862"/>
      <w:bookmarkStart w:id="2163" w:name="_Toc108088975"/>
      <w:bookmarkStart w:id="2164" w:name="_Toc108089054"/>
      <w:bookmarkStart w:id="2165" w:name="_Toc108089448"/>
      <w:bookmarkStart w:id="2166" w:name="_Toc109227770"/>
      <w:bookmarkStart w:id="2167" w:name="_Toc159499730"/>
      <w:bookmarkStart w:id="2168" w:name="_Toc159859149"/>
      <w:bookmarkStart w:id="2169" w:name="_Toc222129970"/>
      <w:bookmarkStart w:id="2170" w:name="_Toc222148395"/>
      <w:bookmarkStart w:id="2171" w:name="_Toc225848023"/>
      <w:bookmarkStart w:id="2172" w:name="_Toc225848106"/>
      <w:bookmarkStart w:id="2173" w:name="_Toc225848528"/>
      <w:bookmarkStart w:id="2174" w:name="_Toc225941596"/>
      <w:bookmarkStart w:id="2175" w:name="_Toc225942603"/>
      <w:bookmarkStart w:id="2176" w:name="_Toc227334413"/>
      <w:bookmarkStart w:id="2177" w:name="_Toc229072488"/>
      <w:bookmarkStart w:id="2178" w:name="_Toc229072660"/>
      <w:r w:rsidRPr="003E76E7">
        <w:rPr>
          <w:sz w:val="24"/>
          <w:szCs w:val="24"/>
        </w:rPr>
        <w:t>3.1 Explanatory Tables</w:t>
      </w:r>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p>
    <w:p w14:paraId="07A17CF3" w14:textId="77777777" w:rsidR="00761824" w:rsidRPr="003E76E7" w:rsidRDefault="00761824" w:rsidP="00C4292D">
      <w:pPr>
        <w:spacing w:before="120" w:after="60" w:line="257" w:lineRule="auto"/>
      </w:pPr>
      <w:r w:rsidRPr="003E76E7">
        <w:t>Not applicable to DHA.</w:t>
      </w:r>
    </w:p>
    <w:p w14:paraId="59432063" w14:textId="77777777" w:rsidR="00761824" w:rsidRPr="003E76E7" w:rsidRDefault="00761824" w:rsidP="00C4292D">
      <w:pPr>
        <w:pStyle w:val="Heading4"/>
        <w:rPr>
          <w:rFonts w:ascii="Arial Bold" w:hAnsi="Arial Bold" w:cs="Arial"/>
          <w:sz w:val="24"/>
          <w:szCs w:val="24"/>
        </w:rPr>
      </w:pPr>
      <w:r w:rsidRPr="003E76E7">
        <w:br w:type="page"/>
      </w:r>
      <w:bookmarkStart w:id="2179" w:name="_Toc507595450"/>
      <w:bookmarkStart w:id="2180" w:name="_Toc536089259"/>
      <w:bookmarkStart w:id="2181" w:name="_Toc536089519"/>
      <w:bookmarkStart w:id="2182" w:name="_Toc536089625"/>
      <w:bookmarkStart w:id="2183" w:name="_Toc1561713"/>
      <w:bookmarkStart w:id="2184" w:name="_Toc51691709"/>
      <w:bookmarkStart w:id="2185" w:name="_Toc69729079"/>
      <w:bookmarkStart w:id="2186" w:name="_Toc69917874"/>
      <w:bookmarkStart w:id="2187" w:name="_Toc97747863"/>
      <w:bookmarkStart w:id="2188" w:name="_Toc108088976"/>
      <w:bookmarkStart w:id="2189" w:name="_Toc108089055"/>
      <w:bookmarkStart w:id="2190" w:name="_Toc108089449"/>
      <w:bookmarkStart w:id="2191" w:name="_Toc109227771"/>
      <w:bookmarkStart w:id="2192" w:name="_Toc159499731"/>
      <w:bookmarkStart w:id="2193" w:name="_Toc159859150"/>
      <w:bookmarkStart w:id="2194" w:name="_Toc222129971"/>
      <w:bookmarkStart w:id="2195" w:name="_Toc222148396"/>
      <w:bookmarkStart w:id="2196" w:name="_Toc225848024"/>
      <w:bookmarkStart w:id="2197" w:name="_Toc225848107"/>
      <w:bookmarkStart w:id="2198" w:name="_Toc225848529"/>
      <w:bookmarkStart w:id="2199" w:name="_Toc225941597"/>
      <w:bookmarkStart w:id="2200" w:name="_Toc225942604"/>
      <w:bookmarkStart w:id="2201" w:name="_Toc227334414"/>
      <w:bookmarkStart w:id="2202" w:name="_Toc229072489"/>
      <w:bookmarkStart w:id="2203" w:name="_Toc229072661"/>
      <w:r w:rsidRPr="003E76E7">
        <w:rPr>
          <w:sz w:val="24"/>
          <w:szCs w:val="24"/>
        </w:rPr>
        <w:lastRenderedPageBreak/>
        <w:t>3.2 Budgeted Financial Statements</w:t>
      </w:r>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p>
    <w:p w14:paraId="7F3E52F3" w14:textId="77777777" w:rsidR="00761824" w:rsidRPr="003E76E7" w:rsidRDefault="00093C6C" w:rsidP="00C4292D">
      <w:pPr>
        <w:pStyle w:val="Heading4level5"/>
        <w:numPr>
          <w:ilvl w:val="2"/>
          <w:numId w:val="32"/>
        </w:numPr>
        <w:spacing w:before="0" w:after="200"/>
        <w:ind w:left="0" w:firstLine="0"/>
      </w:pPr>
      <w:r w:rsidRPr="003E76E7">
        <w:t xml:space="preserve"> </w:t>
      </w:r>
      <w:r w:rsidR="00761824" w:rsidRPr="003E76E7">
        <w:t>Budgeted Financial Statements</w:t>
      </w:r>
    </w:p>
    <w:p w14:paraId="15011E14" w14:textId="599FE44E" w:rsidR="00173112" w:rsidRPr="003E76E7" w:rsidRDefault="00173112" w:rsidP="00C4292D">
      <w:pPr>
        <w:pStyle w:val="TableHeading"/>
        <w:numPr>
          <w:ilvl w:val="0"/>
          <w:numId w:val="64"/>
        </w:numPr>
        <w:spacing w:before="100"/>
        <w:ind w:left="0" w:firstLine="0"/>
        <w:outlineLvl w:val="4"/>
      </w:pPr>
      <w:r w:rsidRPr="003E76E7">
        <w:t xml:space="preserve">Budgeted Departmental Comprehensive Income </w:t>
      </w:r>
      <w:r w:rsidR="009D67E8" w:rsidRPr="003E76E7">
        <w:t xml:space="preserve">Statement </w:t>
      </w:r>
      <w:r w:rsidR="00A511A6">
        <w:br/>
      </w:r>
      <w:r w:rsidR="009D67E8" w:rsidRPr="003E76E7">
        <w:t>(for the period ended 30 </w:t>
      </w:r>
      <w:r w:rsidRPr="003E76E7">
        <w:t>June)</w:t>
      </w:r>
      <w:r w:rsidR="003B4294" w:rsidRPr="003E76E7">
        <w:t xml:space="preserve"> </w:t>
      </w:r>
      <w:r w:rsidR="003B4294" w:rsidRPr="003E76E7">
        <w:rPr>
          <w:vertAlign w:val="superscript"/>
        </w:rPr>
        <w:t>[a]</w:t>
      </w:r>
      <w:r w:rsidR="007C5D4F" w:rsidRPr="003E76E7">
        <w:rPr>
          <w:vertAlign w:val="superscript"/>
        </w:rPr>
        <w:t xml:space="preserve"> </w:t>
      </w:r>
      <w:r w:rsidR="003D4088" w:rsidRPr="003E76E7">
        <w:rPr>
          <w:vertAlign w:val="superscript"/>
        </w:rPr>
        <w:t>[</w:t>
      </w:r>
      <w:r w:rsidR="003B4294" w:rsidRPr="003E76E7">
        <w:rPr>
          <w:vertAlign w:val="superscript"/>
        </w:rPr>
        <w:t>b</w:t>
      </w:r>
      <w:r w:rsidR="003D4088" w:rsidRPr="003E76E7">
        <w:rPr>
          <w:vertAlign w:val="superscript"/>
        </w:rPr>
        <w:t>]</w:t>
      </w:r>
      <w:r w:rsidR="007C5D4F" w:rsidRPr="003E76E7">
        <w:rPr>
          <w:vertAlign w:val="superscript"/>
        </w:rPr>
        <w:t xml:space="preserve"> </w:t>
      </w:r>
    </w:p>
    <w:p w14:paraId="78BD1B5C" w14:textId="4710E687" w:rsidR="003655F9" w:rsidRPr="003E76E7" w:rsidRDefault="00D27AA9" w:rsidP="007F3C02">
      <w:pPr>
        <w:spacing w:after="0"/>
        <w:rPr>
          <w:rFonts w:ascii="Arial" w:hAnsi="Arial"/>
          <w:b/>
          <w:color w:val="000000"/>
          <w:sz w:val="14"/>
          <w:szCs w:val="14"/>
          <w:lang w:val="en-AU"/>
        </w:rPr>
      </w:pPr>
      <w:r w:rsidRPr="00D27AA9">
        <w:rPr>
          <w:noProof/>
          <w:lang w:val="en-AU"/>
        </w:rPr>
        <w:drawing>
          <wp:inline distT="0" distB="0" distL="0" distR="0" wp14:anchorId="0E7CC1FE" wp14:editId="2430AAA5">
            <wp:extent cx="5472430" cy="6359099"/>
            <wp:effectExtent l="0" t="0" r="0" b="381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472430" cy="6359099"/>
                    </a:xfrm>
                    <a:prstGeom prst="rect">
                      <a:avLst/>
                    </a:prstGeom>
                    <a:noFill/>
                    <a:ln>
                      <a:noFill/>
                    </a:ln>
                  </pic:spPr>
                </pic:pic>
              </a:graphicData>
            </a:graphic>
          </wp:inline>
        </w:drawing>
      </w:r>
    </w:p>
    <w:p w14:paraId="1B366896" w14:textId="77777777" w:rsidR="00187E66" w:rsidRPr="003E76E7" w:rsidRDefault="00187E66" w:rsidP="00C4292D">
      <w:pPr>
        <w:spacing w:before="0" w:after="0"/>
        <w:rPr>
          <w:rFonts w:ascii="Arial" w:hAnsi="Arial"/>
          <w:b/>
          <w:color w:val="000000"/>
          <w:sz w:val="14"/>
          <w:szCs w:val="14"/>
          <w:lang w:val="en-AU"/>
        </w:rPr>
      </w:pPr>
    </w:p>
    <w:p w14:paraId="558D86B8" w14:textId="75AFEA51" w:rsidR="005963D5" w:rsidRPr="003E76E7" w:rsidRDefault="005963D5" w:rsidP="00C4292D">
      <w:pPr>
        <w:spacing w:before="0" w:after="0"/>
        <w:rPr>
          <w:rFonts w:ascii="Arial" w:hAnsi="Arial"/>
          <w:b/>
          <w:color w:val="000000"/>
          <w:sz w:val="14"/>
          <w:szCs w:val="14"/>
          <w:lang w:val="en-AU"/>
        </w:rPr>
      </w:pPr>
      <w:r w:rsidRPr="003E76E7">
        <w:rPr>
          <w:rFonts w:ascii="Arial" w:hAnsi="Arial"/>
          <w:b/>
          <w:color w:val="000000"/>
          <w:sz w:val="14"/>
          <w:szCs w:val="14"/>
          <w:lang w:val="en-AU"/>
        </w:rPr>
        <w:t>Notes</w:t>
      </w:r>
    </w:p>
    <w:p w14:paraId="138E6671" w14:textId="1FA344A7" w:rsidR="005963D5" w:rsidRPr="003E76E7" w:rsidRDefault="005963D5" w:rsidP="00C4292D">
      <w:pPr>
        <w:numPr>
          <w:ilvl w:val="0"/>
          <w:numId w:val="90"/>
        </w:numPr>
        <w:tabs>
          <w:tab w:val="clear" w:pos="227"/>
          <w:tab w:val="num" w:pos="284"/>
        </w:tabs>
        <w:spacing w:before="0" w:after="0"/>
        <w:ind w:left="284" w:hanging="284"/>
        <w:rPr>
          <w:rFonts w:ascii="Arial" w:hAnsi="Arial"/>
          <w:color w:val="000000"/>
          <w:sz w:val="14"/>
          <w:szCs w:val="14"/>
          <w:lang w:val="en-AU"/>
        </w:rPr>
      </w:pPr>
      <w:r w:rsidRPr="003E76E7">
        <w:rPr>
          <w:rFonts w:ascii="Arial" w:hAnsi="Arial"/>
          <w:color w:val="000000"/>
          <w:sz w:val="14"/>
          <w:szCs w:val="14"/>
          <w:lang w:val="en-AU"/>
        </w:rPr>
        <w:t xml:space="preserve">Prepared on Australian Accounting Standards basis and the </w:t>
      </w:r>
      <w:r w:rsidRPr="003E76E7">
        <w:rPr>
          <w:rFonts w:ascii="Arial" w:hAnsi="Arial"/>
          <w:i/>
          <w:color w:val="000000"/>
          <w:sz w:val="14"/>
          <w:szCs w:val="14"/>
          <w:lang w:val="en-AU"/>
        </w:rPr>
        <w:t>Public Governance, Performance and Accountability (Financial Reporting) Rule 2015</w:t>
      </w:r>
      <w:r w:rsidRPr="003E76E7">
        <w:rPr>
          <w:rFonts w:ascii="Arial" w:hAnsi="Arial"/>
          <w:color w:val="000000"/>
          <w:sz w:val="14"/>
          <w:szCs w:val="14"/>
          <w:lang w:val="en-AU"/>
        </w:rPr>
        <w:t xml:space="preserve"> (FRR).</w:t>
      </w:r>
    </w:p>
    <w:p w14:paraId="58FCC3DB" w14:textId="77777777" w:rsidR="005963D5" w:rsidRPr="003E76E7" w:rsidRDefault="005963D5" w:rsidP="00C4292D">
      <w:pPr>
        <w:numPr>
          <w:ilvl w:val="0"/>
          <w:numId w:val="90"/>
        </w:numPr>
        <w:tabs>
          <w:tab w:val="clear" w:pos="227"/>
          <w:tab w:val="num" w:pos="284"/>
        </w:tabs>
        <w:spacing w:before="0" w:after="0"/>
        <w:ind w:left="284" w:hanging="284"/>
        <w:rPr>
          <w:rFonts w:ascii="Arial" w:hAnsi="Arial"/>
          <w:color w:val="000000"/>
          <w:sz w:val="14"/>
          <w:szCs w:val="14"/>
          <w:lang w:val="en-AU"/>
        </w:rPr>
      </w:pPr>
      <w:r w:rsidRPr="003E76E7">
        <w:rPr>
          <w:rFonts w:ascii="Arial" w:hAnsi="Arial"/>
          <w:color w:val="000000"/>
          <w:sz w:val="14"/>
          <w:szCs w:val="14"/>
          <w:lang w:val="en-AU"/>
        </w:rPr>
        <w:t>Impact of Net Cash Appropriation Arrangements - Included in accordance with RMG 125 Commonwealth Entities Financial Statements Guide. As DHA is not directly appropriated, the above information is presented for reporting purposes only and includes the depreciation and principal repayments of leases under AASB 16 Leases.</w:t>
      </w:r>
    </w:p>
    <w:p w14:paraId="048B7B8B" w14:textId="77777777" w:rsidR="005963D5" w:rsidRPr="003E76E7" w:rsidRDefault="005963D5" w:rsidP="00C4292D">
      <w:pPr>
        <w:pStyle w:val="BodyText"/>
        <w:rPr>
          <w:rFonts w:ascii="Arial" w:hAnsi="Arial"/>
          <w:sz w:val="14"/>
          <w:szCs w:val="14"/>
        </w:rPr>
      </w:pPr>
    </w:p>
    <w:p w14:paraId="577E6437" w14:textId="42F3630E" w:rsidR="00761824" w:rsidRPr="003E76E7" w:rsidRDefault="00D550EF" w:rsidP="00C4292D">
      <w:pPr>
        <w:pStyle w:val="TableHeading"/>
        <w:numPr>
          <w:ilvl w:val="0"/>
          <w:numId w:val="64"/>
        </w:numPr>
        <w:spacing w:before="100"/>
        <w:ind w:left="0" w:firstLine="0"/>
        <w:outlineLvl w:val="4"/>
      </w:pPr>
      <w:r w:rsidRPr="003E76E7">
        <w:rPr>
          <w:sz w:val="14"/>
          <w:szCs w:val="14"/>
        </w:rPr>
        <w:br w:type="page"/>
      </w:r>
      <w:r w:rsidR="00173112" w:rsidRPr="003E76E7">
        <w:lastRenderedPageBreak/>
        <w:t>Budgeted Departmental Balance Sheet (as at 30 June)</w:t>
      </w:r>
      <w:r w:rsidR="003B4294" w:rsidRPr="003E76E7">
        <w:rPr>
          <w:vertAlign w:val="superscript"/>
        </w:rPr>
        <w:t xml:space="preserve"> [a</w:t>
      </w:r>
      <w:r w:rsidR="004C727B" w:rsidRPr="003E76E7">
        <w:rPr>
          <w:vertAlign w:val="superscript"/>
        </w:rPr>
        <w:t>]</w:t>
      </w:r>
    </w:p>
    <w:p w14:paraId="1EE63C3D" w14:textId="4AD6AE02" w:rsidR="00EF0345" w:rsidRPr="003E76E7" w:rsidRDefault="00B665C8" w:rsidP="007F3C02">
      <w:pPr>
        <w:spacing w:after="0"/>
        <w:rPr>
          <w:rFonts w:ascii="Arial" w:hAnsi="Arial"/>
          <w:sz w:val="14"/>
          <w:szCs w:val="14"/>
          <w:lang w:val="en-AU"/>
        </w:rPr>
      </w:pPr>
      <w:r w:rsidRPr="00B665C8">
        <w:rPr>
          <w:noProof/>
          <w:lang w:val="en-AU"/>
        </w:rPr>
        <w:drawing>
          <wp:inline distT="0" distB="0" distL="0" distR="0" wp14:anchorId="2273FF20" wp14:editId="7BF147B8">
            <wp:extent cx="5472430" cy="661442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472430" cy="6614420"/>
                    </a:xfrm>
                    <a:prstGeom prst="rect">
                      <a:avLst/>
                    </a:prstGeom>
                    <a:noFill/>
                    <a:ln>
                      <a:noFill/>
                    </a:ln>
                  </pic:spPr>
                </pic:pic>
              </a:graphicData>
            </a:graphic>
          </wp:inline>
        </w:drawing>
      </w:r>
    </w:p>
    <w:p w14:paraId="5FF1A8A7" w14:textId="77777777" w:rsidR="009F6DDA" w:rsidRPr="003E76E7" w:rsidRDefault="009F6DDA" w:rsidP="00C4292D">
      <w:pPr>
        <w:spacing w:before="0" w:after="0"/>
        <w:rPr>
          <w:rFonts w:ascii="Arial" w:hAnsi="Arial"/>
          <w:sz w:val="14"/>
          <w:szCs w:val="14"/>
          <w:lang w:val="en-AU"/>
        </w:rPr>
      </w:pPr>
    </w:p>
    <w:p w14:paraId="01A1AE5B" w14:textId="77777777" w:rsidR="00A471E0" w:rsidRPr="003E76E7" w:rsidRDefault="00A471E0" w:rsidP="00C4292D">
      <w:pPr>
        <w:spacing w:before="0" w:after="0"/>
        <w:rPr>
          <w:rFonts w:ascii="Arial" w:hAnsi="Arial"/>
          <w:b/>
          <w:sz w:val="14"/>
          <w:szCs w:val="14"/>
          <w:lang w:val="en-AU"/>
        </w:rPr>
      </w:pPr>
      <w:r w:rsidRPr="003E76E7">
        <w:rPr>
          <w:rFonts w:ascii="Arial" w:hAnsi="Arial"/>
          <w:b/>
          <w:sz w:val="14"/>
          <w:szCs w:val="14"/>
          <w:lang w:val="en-AU"/>
        </w:rPr>
        <w:t>Notes</w:t>
      </w:r>
    </w:p>
    <w:p w14:paraId="0BF86211" w14:textId="77777777" w:rsidR="00AF7690" w:rsidRPr="003E76E7" w:rsidRDefault="00AF7690" w:rsidP="00C4292D">
      <w:pPr>
        <w:numPr>
          <w:ilvl w:val="0"/>
          <w:numId w:val="41"/>
        </w:numPr>
        <w:tabs>
          <w:tab w:val="left" w:pos="284"/>
        </w:tabs>
        <w:spacing w:before="0" w:after="0"/>
        <w:ind w:left="284" w:hanging="284"/>
        <w:rPr>
          <w:rFonts w:ascii="Arial" w:hAnsi="Arial"/>
          <w:color w:val="000000"/>
          <w:sz w:val="14"/>
          <w:szCs w:val="14"/>
          <w:lang w:val="en-AU"/>
        </w:rPr>
      </w:pPr>
      <w:r w:rsidRPr="003E76E7">
        <w:rPr>
          <w:rFonts w:ascii="Arial" w:hAnsi="Arial"/>
          <w:sz w:val="14"/>
          <w:szCs w:val="14"/>
          <w:lang w:val="en-AU"/>
        </w:rPr>
        <w:t xml:space="preserve">Prepared on Australian Accounting Standards basis </w:t>
      </w:r>
      <w:r w:rsidRPr="003E76E7">
        <w:rPr>
          <w:rFonts w:ascii="Arial" w:hAnsi="Arial"/>
          <w:color w:val="000000"/>
          <w:sz w:val="14"/>
          <w:szCs w:val="14"/>
          <w:lang w:val="en-AU"/>
        </w:rPr>
        <w:t xml:space="preserve">and the </w:t>
      </w:r>
      <w:r w:rsidRPr="003E76E7">
        <w:rPr>
          <w:rFonts w:ascii="Arial" w:hAnsi="Arial"/>
          <w:i/>
          <w:color w:val="000000"/>
          <w:sz w:val="14"/>
          <w:szCs w:val="14"/>
          <w:lang w:val="en-AU"/>
        </w:rPr>
        <w:t>Public Governance, Performance and Accountability (Financial Reporting) Rule 2015</w:t>
      </w:r>
      <w:r w:rsidRPr="003E76E7">
        <w:rPr>
          <w:rFonts w:ascii="Arial" w:hAnsi="Arial"/>
          <w:color w:val="000000"/>
          <w:sz w:val="14"/>
          <w:szCs w:val="14"/>
          <w:lang w:val="en-AU"/>
        </w:rPr>
        <w:t xml:space="preserve"> (FRR).</w:t>
      </w:r>
    </w:p>
    <w:p w14:paraId="6F154A98" w14:textId="77777777" w:rsidR="00AF7690" w:rsidRPr="003E76E7" w:rsidRDefault="00AF7690" w:rsidP="00C4292D">
      <w:pPr>
        <w:numPr>
          <w:ilvl w:val="0"/>
          <w:numId w:val="41"/>
        </w:numPr>
        <w:tabs>
          <w:tab w:val="left" w:pos="284"/>
        </w:tabs>
        <w:spacing w:before="0" w:after="0"/>
        <w:ind w:left="284" w:hanging="284"/>
        <w:rPr>
          <w:rFonts w:ascii="Arial" w:hAnsi="Arial"/>
          <w:sz w:val="14"/>
          <w:szCs w:val="14"/>
        </w:rPr>
      </w:pPr>
      <w:r w:rsidRPr="003E76E7">
        <w:rPr>
          <w:rFonts w:ascii="Arial" w:hAnsi="Arial"/>
          <w:sz w:val="14"/>
          <w:szCs w:val="14"/>
          <w:lang w:val="en-AU"/>
        </w:rPr>
        <w:t>Equity is the residual interest in assets after the deduction of liabilities.</w:t>
      </w:r>
    </w:p>
    <w:p w14:paraId="38EA024E" w14:textId="0E2BD9BE" w:rsidR="005963D5" w:rsidRPr="003E76E7" w:rsidRDefault="00761824" w:rsidP="00C4292D">
      <w:pPr>
        <w:tabs>
          <w:tab w:val="left" w:pos="284"/>
        </w:tabs>
        <w:rPr>
          <w:rFonts w:ascii="Arial" w:hAnsi="Arial"/>
          <w:b/>
        </w:rPr>
      </w:pPr>
      <w:r w:rsidRPr="003E76E7">
        <w:rPr>
          <w:sz w:val="14"/>
          <w:szCs w:val="14"/>
        </w:rPr>
        <w:br w:type="page"/>
      </w:r>
    </w:p>
    <w:p w14:paraId="419305B9" w14:textId="27009975" w:rsidR="00577C5A" w:rsidRPr="003E76E7" w:rsidRDefault="005963D5" w:rsidP="00C4292D">
      <w:pPr>
        <w:pStyle w:val="TableHeading"/>
        <w:numPr>
          <w:ilvl w:val="0"/>
          <w:numId w:val="64"/>
        </w:numPr>
        <w:spacing w:before="100"/>
        <w:ind w:left="0" w:firstLine="0"/>
        <w:outlineLvl w:val="4"/>
      </w:pPr>
      <w:r w:rsidRPr="003E76E7">
        <w:lastRenderedPageBreak/>
        <w:t>Budgeted Departmental Statement of Cash Flows (for the period ended 30 June)</w:t>
      </w:r>
      <w:r w:rsidR="00246507" w:rsidRPr="003E76E7">
        <w:rPr>
          <w:sz w:val="12"/>
        </w:rPr>
        <w:t xml:space="preserve"> </w:t>
      </w:r>
      <w:r w:rsidRPr="003E76E7">
        <w:rPr>
          <w:vertAlign w:val="superscript"/>
        </w:rPr>
        <w:t>[a]</w:t>
      </w:r>
      <w:r w:rsidR="007C5D4F" w:rsidRPr="003E76E7">
        <w:rPr>
          <w:rFonts w:ascii="Arial Bold" w:hAnsi="Arial Bold"/>
          <w:vertAlign w:val="superscript"/>
        </w:rPr>
        <w:t xml:space="preserve"> </w:t>
      </w:r>
    </w:p>
    <w:p w14:paraId="49F1F293" w14:textId="39481B66" w:rsidR="003C27CA" w:rsidRPr="003E76E7" w:rsidRDefault="009617B2" w:rsidP="007F3C02">
      <w:pPr>
        <w:spacing w:after="0"/>
        <w:rPr>
          <w:rFonts w:ascii="Arial" w:hAnsi="Arial"/>
          <w:b/>
          <w:bCs/>
          <w:color w:val="000000"/>
          <w:sz w:val="14"/>
          <w:szCs w:val="14"/>
          <w:lang w:val="en-AU"/>
        </w:rPr>
      </w:pPr>
      <w:r w:rsidRPr="009617B2">
        <w:rPr>
          <w:noProof/>
          <w:lang w:val="en-AU"/>
        </w:rPr>
        <w:drawing>
          <wp:inline distT="0" distB="0" distL="0" distR="0" wp14:anchorId="555FEEBA" wp14:editId="5D2250AD">
            <wp:extent cx="5408762" cy="7337599"/>
            <wp:effectExtent l="0" t="0" r="1905" b="0"/>
            <wp:docPr id="24575493" name="Picture 24575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420619" cy="7353684"/>
                    </a:xfrm>
                    <a:prstGeom prst="rect">
                      <a:avLst/>
                    </a:prstGeom>
                    <a:noFill/>
                    <a:ln>
                      <a:noFill/>
                    </a:ln>
                  </pic:spPr>
                </pic:pic>
              </a:graphicData>
            </a:graphic>
          </wp:inline>
        </w:drawing>
      </w:r>
    </w:p>
    <w:p w14:paraId="3E2716D2" w14:textId="77777777" w:rsidR="009F6DDA" w:rsidRPr="003E76E7" w:rsidRDefault="009F6DDA" w:rsidP="00C4292D">
      <w:pPr>
        <w:spacing w:before="0" w:after="0"/>
        <w:rPr>
          <w:rFonts w:ascii="Arial" w:hAnsi="Arial"/>
          <w:b/>
          <w:bCs/>
          <w:color w:val="000000"/>
          <w:sz w:val="14"/>
          <w:szCs w:val="14"/>
          <w:lang w:val="en-AU"/>
        </w:rPr>
      </w:pPr>
    </w:p>
    <w:p w14:paraId="61F3DF52" w14:textId="7829D6D8" w:rsidR="00C510E0" w:rsidRPr="003E76E7" w:rsidRDefault="0040014B" w:rsidP="00C4292D">
      <w:pPr>
        <w:spacing w:before="0" w:after="0"/>
        <w:rPr>
          <w:rFonts w:ascii="Arial" w:hAnsi="Arial"/>
          <w:b/>
          <w:bCs/>
          <w:color w:val="000000"/>
          <w:sz w:val="14"/>
          <w:szCs w:val="14"/>
          <w:lang w:val="en-AU"/>
        </w:rPr>
      </w:pPr>
      <w:r w:rsidRPr="003E76E7">
        <w:rPr>
          <w:rFonts w:ascii="Arial" w:hAnsi="Arial"/>
          <w:b/>
          <w:bCs/>
          <w:color w:val="000000"/>
          <w:sz w:val="14"/>
          <w:szCs w:val="14"/>
          <w:lang w:val="en-AU"/>
        </w:rPr>
        <w:t>Note</w:t>
      </w:r>
    </w:p>
    <w:p w14:paraId="585AA56A" w14:textId="2EEEBEB6" w:rsidR="005963D5" w:rsidRPr="003E76E7" w:rsidRDefault="005963D5" w:rsidP="00C4292D">
      <w:pPr>
        <w:pStyle w:val="ListParagraph"/>
        <w:numPr>
          <w:ilvl w:val="0"/>
          <w:numId w:val="91"/>
        </w:numPr>
        <w:tabs>
          <w:tab w:val="left" w:pos="284"/>
        </w:tabs>
        <w:spacing w:before="0" w:after="0"/>
        <w:ind w:left="284" w:hanging="284"/>
        <w:rPr>
          <w:rFonts w:ascii="Arial" w:hAnsi="Arial"/>
          <w:sz w:val="14"/>
          <w:szCs w:val="14"/>
          <w:lang w:val="en-AU"/>
        </w:rPr>
      </w:pPr>
      <w:r w:rsidRPr="003E76E7">
        <w:rPr>
          <w:rFonts w:ascii="Arial" w:hAnsi="Arial"/>
          <w:sz w:val="14"/>
          <w:szCs w:val="14"/>
          <w:lang w:val="en-AU"/>
        </w:rPr>
        <w:t xml:space="preserve">Prepared on Australian Accounting Standards basis and the </w:t>
      </w:r>
      <w:r w:rsidRPr="003E76E7">
        <w:rPr>
          <w:rFonts w:ascii="Arial" w:hAnsi="Arial"/>
          <w:i/>
          <w:sz w:val="14"/>
          <w:szCs w:val="14"/>
          <w:lang w:val="en-AU"/>
        </w:rPr>
        <w:t>Public Governance, Performance and Accountability (Financial Reporting)</w:t>
      </w:r>
      <w:r w:rsidRPr="003E76E7">
        <w:rPr>
          <w:rFonts w:ascii="Arial" w:hAnsi="Arial"/>
          <w:i/>
          <w:iCs/>
          <w:sz w:val="14"/>
          <w:szCs w:val="14"/>
          <w:lang w:val="en-AU"/>
        </w:rPr>
        <w:t xml:space="preserve"> </w:t>
      </w:r>
      <w:r w:rsidRPr="003E76E7">
        <w:rPr>
          <w:rFonts w:ascii="Arial" w:hAnsi="Arial"/>
          <w:i/>
          <w:sz w:val="14"/>
          <w:szCs w:val="14"/>
          <w:lang w:val="en-AU"/>
        </w:rPr>
        <w:t>Rule 2015</w:t>
      </w:r>
      <w:r w:rsidRPr="003E76E7">
        <w:rPr>
          <w:rFonts w:ascii="Arial" w:hAnsi="Arial"/>
          <w:sz w:val="14"/>
          <w:szCs w:val="14"/>
          <w:lang w:val="en-AU"/>
        </w:rPr>
        <w:t xml:space="preserve"> (FRR).</w:t>
      </w:r>
    </w:p>
    <w:p w14:paraId="0644C141" w14:textId="6E480A8A" w:rsidR="0086187D" w:rsidRPr="003E76E7" w:rsidRDefault="0086187D" w:rsidP="00C4292D">
      <w:pPr>
        <w:tabs>
          <w:tab w:val="left" w:pos="284"/>
        </w:tabs>
        <w:spacing w:before="0" w:after="0"/>
        <w:ind w:left="284" w:hanging="284"/>
        <w:rPr>
          <w:rFonts w:ascii="Arial" w:hAnsi="Arial"/>
          <w:color w:val="000000"/>
          <w:sz w:val="14"/>
          <w:szCs w:val="14"/>
          <w:lang w:val="en-AU"/>
        </w:rPr>
      </w:pPr>
    </w:p>
    <w:p w14:paraId="16B69A28" w14:textId="7509D97E" w:rsidR="00E65A0A" w:rsidRPr="003E76E7" w:rsidRDefault="00022F6E" w:rsidP="00C4292D">
      <w:pPr>
        <w:pStyle w:val="TableHeading"/>
        <w:numPr>
          <w:ilvl w:val="0"/>
          <w:numId w:val="64"/>
        </w:numPr>
        <w:spacing w:before="100"/>
        <w:ind w:left="0" w:firstLine="0"/>
        <w:outlineLvl w:val="4"/>
        <w:rPr>
          <w:vertAlign w:val="superscript"/>
        </w:rPr>
      </w:pPr>
      <w:r w:rsidRPr="003E76E7">
        <w:br w:type="page"/>
      </w:r>
      <w:r w:rsidR="00173112" w:rsidRPr="003E76E7">
        <w:lastRenderedPageBreak/>
        <w:t xml:space="preserve">Departmental Statement of Changes in Equity </w:t>
      </w:r>
      <w:r w:rsidR="00722810" w:rsidRPr="003E76E7">
        <w:t>-</w:t>
      </w:r>
      <w:r w:rsidR="00173112" w:rsidRPr="003E76E7">
        <w:t xml:space="preserve"> Summary of Movement </w:t>
      </w:r>
      <w:r w:rsidR="002B7213" w:rsidRPr="003E76E7">
        <w:br/>
      </w:r>
      <w:r w:rsidR="00173112" w:rsidRPr="003E76E7">
        <w:t>(Budget Year 202</w:t>
      </w:r>
      <w:r w:rsidR="00D11EA2" w:rsidRPr="003E76E7">
        <w:t>6</w:t>
      </w:r>
      <w:r w:rsidR="00173112" w:rsidRPr="003E76E7">
        <w:t>-2</w:t>
      </w:r>
      <w:r w:rsidR="00D11EA2" w:rsidRPr="003E76E7">
        <w:t>7</w:t>
      </w:r>
      <w:r w:rsidR="00173112" w:rsidRPr="003E76E7">
        <w:t>)</w:t>
      </w:r>
      <w:r w:rsidR="003B4294" w:rsidRPr="003E76E7">
        <w:rPr>
          <w:vertAlign w:val="superscript"/>
        </w:rPr>
        <w:t xml:space="preserve"> [a</w:t>
      </w:r>
      <w:r w:rsidR="00EA0897" w:rsidRPr="003E76E7">
        <w:rPr>
          <w:vertAlign w:val="superscript"/>
        </w:rPr>
        <w:t>]</w:t>
      </w:r>
      <w:r w:rsidR="007C5D4F" w:rsidRPr="003E76E7">
        <w:t xml:space="preserve"> </w:t>
      </w:r>
    </w:p>
    <w:p w14:paraId="19511A7E" w14:textId="7187FC08" w:rsidR="0008019D" w:rsidRPr="003E76E7" w:rsidRDefault="009617B2" w:rsidP="00C4292D">
      <w:pPr>
        <w:spacing w:before="0" w:after="0"/>
        <w:rPr>
          <w:rFonts w:ascii="Arial" w:hAnsi="Arial"/>
          <w:b/>
          <w:bCs/>
          <w:color w:val="000000"/>
          <w:sz w:val="14"/>
          <w:szCs w:val="14"/>
          <w:lang w:val="en-AU"/>
        </w:rPr>
      </w:pPr>
      <w:r w:rsidRPr="009617B2">
        <w:rPr>
          <w:noProof/>
          <w:lang w:val="en-AU"/>
        </w:rPr>
        <w:drawing>
          <wp:inline distT="0" distB="0" distL="0" distR="0" wp14:anchorId="06D56BDD" wp14:editId="543788CD">
            <wp:extent cx="4908550" cy="2993390"/>
            <wp:effectExtent l="0" t="0" r="635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908550" cy="2993390"/>
                    </a:xfrm>
                    <a:prstGeom prst="rect">
                      <a:avLst/>
                    </a:prstGeom>
                    <a:noFill/>
                    <a:ln>
                      <a:noFill/>
                    </a:ln>
                  </pic:spPr>
                </pic:pic>
              </a:graphicData>
            </a:graphic>
          </wp:inline>
        </w:drawing>
      </w:r>
    </w:p>
    <w:p w14:paraId="30E06558" w14:textId="77777777" w:rsidR="00A43842" w:rsidRPr="003E76E7" w:rsidRDefault="00A43842" w:rsidP="00C4292D">
      <w:pPr>
        <w:spacing w:before="0" w:after="0"/>
        <w:rPr>
          <w:rFonts w:ascii="Arial" w:hAnsi="Arial"/>
          <w:b/>
          <w:bCs/>
          <w:color w:val="000000"/>
          <w:sz w:val="14"/>
          <w:szCs w:val="14"/>
          <w:lang w:val="en-AU"/>
        </w:rPr>
      </w:pPr>
    </w:p>
    <w:p w14:paraId="57720E97" w14:textId="60FFEA61" w:rsidR="00F25FC4" w:rsidRPr="003E76E7" w:rsidRDefault="0040014B" w:rsidP="00C4292D">
      <w:pPr>
        <w:spacing w:before="0" w:after="0"/>
        <w:rPr>
          <w:rFonts w:ascii="Arial" w:hAnsi="Arial"/>
          <w:b/>
          <w:bCs/>
          <w:color w:val="000000"/>
          <w:sz w:val="14"/>
          <w:szCs w:val="14"/>
          <w:lang w:val="en-AU"/>
        </w:rPr>
      </w:pPr>
      <w:r w:rsidRPr="003E76E7">
        <w:rPr>
          <w:rFonts w:ascii="Arial" w:hAnsi="Arial"/>
          <w:b/>
          <w:bCs/>
          <w:color w:val="000000"/>
          <w:sz w:val="14"/>
          <w:szCs w:val="14"/>
          <w:lang w:val="en-AU"/>
        </w:rPr>
        <w:t>Note</w:t>
      </w:r>
    </w:p>
    <w:p w14:paraId="200EDBD2" w14:textId="77777777" w:rsidR="005963D5" w:rsidRPr="003E76E7" w:rsidRDefault="005963D5" w:rsidP="00C4292D">
      <w:pPr>
        <w:pStyle w:val="ListParagraph"/>
        <w:numPr>
          <w:ilvl w:val="0"/>
          <w:numId w:val="97"/>
        </w:numPr>
        <w:tabs>
          <w:tab w:val="left" w:pos="284"/>
        </w:tabs>
        <w:spacing w:before="0" w:after="0"/>
        <w:ind w:left="284" w:hanging="284"/>
        <w:rPr>
          <w:rFonts w:ascii="Arial" w:hAnsi="Arial"/>
          <w:sz w:val="14"/>
          <w:szCs w:val="14"/>
          <w:lang w:val="en-AU"/>
        </w:rPr>
      </w:pPr>
      <w:r w:rsidRPr="003E76E7">
        <w:rPr>
          <w:rFonts w:ascii="Arial" w:hAnsi="Arial"/>
          <w:sz w:val="14"/>
          <w:szCs w:val="14"/>
          <w:lang w:val="en-AU"/>
        </w:rPr>
        <w:t xml:space="preserve">Prepared on Australian Accounting Standards basis and the </w:t>
      </w:r>
      <w:r w:rsidRPr="003E76E7">
        <w:rPr>
          <w:rFonts w:ascii="Arial" w:hAnsi="Arial"/>
          <w:i/>
          <w:sz w:val="14"/>
          <w:szCs w:val="14"/>
          <w:lang w:val="en-AU"/>
        </w:rPr>
        <w:t>Public Governance, Performance and Accountability (Financial Reporting)</w:t>
      </w:r>
      <w:r w:rsidRPr="003E76E7">
        <w:rPr>
          <w:rFonts w:ascii="Arial" w:hAnsi="Arial"/>
          <w:i/>
          <w:iCs/>
          <w:sz w:val="14"/>
          <w:szCs w:val="14"/>
          <w:lang w:val="en-AU"/>
        </w:rPr>
        <w:t xml:space="preserve"> </w:t>
      </w:r>
      <w:r w:rsidRPr="003E76E7">
        <w:rPr>
          <w:rFonts w:ascii="Arial" w:hAnsi="Arial"/>
          <w:i/>
          <w:sz w:val="14"/>
          <w:szCs w:val="14"/>
          <w:lang w:val="en-AU"/>
        </w:rPr>
        <w:t>Rule 2015</w:t>
      </w:r>
      <w:r w:rsidRPr="003E76E7">
        <w:rPr>
          <w:rFonts w:ascii="Arial" w:hAnsi="Arial"/>
          <w:sz w:val="14"/>
          <w:szCs w:val="14"/>
          <w:lang w:val="en-AU"/>
        </w:rPr>
        <w:t xml:space="preserve"> (FRR).</w:t>
      </w:r>
    </w:p>
    <w:p w14:paraId="0D6B076A" w14:textId="38DEEA9E" w:rsidR="00F25FC4" w:rsidRPr="003E76E7" w:rsidRDefault="00F25FC4" w:rsidP="00C4292D">
      <w:pPr>
        <w:spacing w:before="0" w:after="0"/>
        <w:rPr>
          <w:sz w:val="14"/>
          <w:szCs w:val="14"/>
        </w:rPr>
      </w:pPr>
    </w:p>
    <w:p w14:paraId="5E0813B8" w14:textId="3B43A3C2" w:rsidR="00761824" w:rsidRPr="003E76E7" w:rsidRDefault="00761824" w:rsidP="00C4292D">
      <w:pPr>
        <w:pStyle w:val="TableHeading"/>
        <w:numPr>
          <w:ilvl w:val="0"/>
          <w:numId w:val="64"/>
        </w:numPr>
        <w:spacing w:before="100"/>
        <w:ind w:left="0" w:firstLine="0"/>
        <w:outlineLvl w:val="4"/>
        <w:rPr>
          <w:vertAlign w:val="superscript"/>
        </w:rPr>
      </w:pPr>
      <w:r w:rsidRPr="003E76E7">
        <w:br w:type="page"/>
      </w:r>
      <w:r w:rsidR="00173112" w:rsidRPr="003E76E7">
        <w:lastRenderedPageBreak/>
        <w:t>Statement of Departmental Asset Movements (</w:t>
      </w:r>
      <w:r w:rsidR="00CE1BEB" w:rsidRPr="003E76E7">
        <w:t xml:space="preserve">Budget Year </w:t>
      </w:r>
      <w:r w:rsidR="00173112" w:rsidRPr="003E76E7">
        <w:t>202</w:t>
      </w:r>
      <w:r w:rsidR="00D11EA2" w:rsidRPr="003E76E7">
        <w:t>6</w:t>
      </w:r>
      <w:r w:rsidR="00173112" w:rsidRPr="003E76E7">
        <w:t>-2</w:t>
      </w:r>
      <w:r w:rsidR="00D11EA2" w:rsidRPr="003E76E7">
        <w:t>7</w:t>
      </w:r>
      <w:r w:rsidR="00173112" w:rsidRPr="003E76E7">
        <w:t>)</w:t>
      </w:r>
      <w:r w:rsidR="003B4294" w:rsidRPr="003E76E7">
        <w:rPr>
          <w:vertAlign w:val="superscript"/>
        </w:rPr>
        <w:t xml:space="preserve"> [a</w:t>
      </w:r>
      <w:r w:rsidR="007D6D58" w:rsidRPr="003E76E7">
        <w:rPr>
          <w:vertAlign w:val="superscript"/>
        </w:rPr>
        <w:t>]</w:t>
      </w:r>
    </w:p>
    <w:p w14:paraId="7F6CFF8E" w14:textId="12256CEE" w:rsidR="0008019D" w:rsidRPr="003E76E7" w:rsidRDefault="009617B2" w:rsidP="00C4292D">
      <w:pPr>
        <w:spacing w:before="0" w:after="0"/>
        <w:rPr>
          <w:rFonts w:ascii="Arial" w:hAnsi="Arial"/>
          <w:b/>
          <w:bCs/>
          <w:color w:val="000000"/>
          <w:sz w:val="14"/>
          <w:szCs w:val="16"/>
          <w:lang w:val="en-AU"/>
        </w:rPr>
      </w:pPr>
      <w:r w:rsidRPr="009617B2">
        <w:rPr>
          <w:noProof/>
          <w:lang w:val="en-AU"/>
        </w:rPr>
        <w:drawing>
          <wp:inline distT="0" distB="0" distL="0" distR="0" wp14:anchorId="4D02B455" wp14:editId="35092C59">
            <wp:extent cx="5472430" cy="5570582"/>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472430" cy="5570582"/>
                    </a:xfrm>
                    <a:prstGeom prst="rect">
                      <a:avLst/>
                    </a:prstGeom>
                    <a:noFill/>
                    <a:ln>
                      <a:noFill/>
                    </a:ln>
                  </pic:spPr>
                </pic:pic>
              </a:graphicData>
            </a:graphic>
          </wp:inline>
        </w:drawing>
      </w:r>
    </w:p>
    <w:p w14:paraId="54542695" w14:textId="77777777" w:rsidR="007F3C02" w:rsidRDefault="007F3C02" w:rsidP="00C4292D">
      <w:pPr>
        <w:spacing w:before="0" w:after="0"/>
        <w:rPr>
          <w:rFonts w:ascii="Arial" w:hAnsi="Arial"/>
          <w:b/>
          <w:bCs/>
          <w:color w:val="000000"/>
          <w:sz w:val="14"/>
          <w:szCs w:val="14"/>
          <w:lang w:val="en-AU"/>
        </w:rPr>
      </w:pPr>
    </w:p>
    <w:p w14:paraId="1394E4B9" w14:textId="522AF05E" w:rsidR="00D461E7" w:rsidRPr="003E76E7" w:rsidRDefault="0040014B" w:rsidP="00C4292D">
      <w:pPr>
        <w:spacing w:before="0" w:after="0"/>
        <w:rPr>
          <w:rFonts w:ascii="Arial" w:hAnsi="Arial"/>
          <w:color w:val="000000"/>
          <w:sz w:val="14"/>
          <w:szCs w:val="14"/>
          <w:lang w:val="en-AU"/>
        </w:rPr>
      </w:pPr>
      <w:r w:rsidRPr="003E76E7">
        <w:rPr>
          <w:rFonts w:ascii="Arial" w:hAnsi="Arial"/>
          <w:b/>
          <w:bCs/>
          <w:color w:val="000000"/>
          <w:sz w:val="14"/>
          <w:szCs w:val="14"/>
          <w:lang w:val="en-AU"/>
        </w:rPr>
        <w:t>Note</w:t>
      </w:r>
    </w:p>
    <w:p w14:paraId="3EB4CD83" w14:textId="77777777" w:rsidR="005E06E6" w:rsidRPr="003E76E7" w:rsidRDefault="005E06E6" w:rsidP="00C4292D">
      <w:pPr>
        <w:pStyle w:val="ListParagraph"/>
        <w:numPr>
          <w:ilvl w:val="0"/>
          <w:numId w:val="92"/>
        </w:numPr>
        <w:tabs>
          <w:tab w:val="left" w:pos="284"/>
        </w:tabs>
        <w:spacing w:before="0" w:after="0"/>
        <w:ind w:left="284" w:hanging="284"/>
        <w:rPr>
          <w:rFonts w:ascii="Arial" w:hAnsi="Arial"/>
          <w:sz w:val="14"/>
          <w:szCs w:val="14"/>
          <w:lang w:val="en-AU"/>
        </w:rPr>
      </w:pPr>
      <w:r w:rsidRPr="003E76E7">
        <w:rPr>
          <w:rFonts w:ascii="Arial" w:hAnsi="Arial"/>
          <w:sz w:val="14"/>
          <w:szCs w:val="14"/>
          <w:lang w:val="en-AU"/>
        </w:rPr>
        <w:t xml:space="preserve">Prepared on Australian Accounting Standards basis and the </w:t>
      </w:r>
      <w:r w:rsidRPr="003E76E7">
        <w:rPr>
          <w:rFonts w:ascii="Arial" w:hAnsi="Arial"/>
          <w:i/>
          <w:sz w:val="14"/>
          <w:szCs w:val="14"/>
          <w:lang w:val="en-AU"/>
        </w:rPr>
        <w:t>Public Governance, Performance and Accountability (Financial Reporting)</w:t>
      </w:r>
      <w:r w:rsidRPr="003E76E7">
        <w:rPr>
          <w:rFonts w:ascii="Arial" w:hAnsi="Arial"/>
          <w:i/>
          <w:iCs/>
          <w:sz w:val="14"/>
          <w:szCs w:val="14"/>
          <w:lang w:val="en-AU"/>
        </w:rPr>
        <w:t xml:space="preserve"> </w:t>
      </w:r>
      <w:r w:rsidRPr="003E76E7">
        <w:rPr>
          <w:rFonts w:ascii="Arial" w:hAnsi="Arial"/>
          <w:i/>
          <w:sz w:val="14"/>
          <w:szCs w:val="14"/>
          <w:lang w:val="en-AU"/>
        </w:rPr>
        <w:t>Rule 2015</w:t>
      </w:r>
      <w:r w:rsidRPr="003E76E7">
        <w:rPr>
          <w:rFonts w:ascii="Arial" w:hAnsi="Arial"/>
          <w:sz w:val="14"/>
          <w:szCs w:val="14"/>
          <w:lang w:val="en-AU"/>
        </w:rPr>
        <w:t xml:space="preserve"> (FRR).</w:t>
      </w:r>
    </w:p>
    <w:p w14:paraId="75E405F7" w14:textId="77777777" w:rsidR="00031480" w:rsidRPr="003E76E7" w:rsidRDefault="00031480" w:rsidP="00C4292D">
      <w:pPr>
        <w:spacing w:before="0" w:after="0"/>
        <w:rPr>
          <w:rFonts w:ascii="Arial" w:hAnsi="Arial"/>
          <w:color w:val="000000"/>
          <w:sz w:val="14"/>
          <w:szCs w:val="14"/>
          <w:lang w:val="en-AU"/>
        </w:rPr>
      </w:pPr>
      <w:r w:rsidRPr="003E76E7">
        <w:rPr>
          <w:rFonts w:ascii="Arial" w:hAnsi="Arial"/>
          <w:color w:val="000000"/>
          <w:sz w:val="14"/>
          <w:szCs w:val="14"/>
          <w:lang w:val="en-AU"/>
        </w:rPr>
        <w:br w:type="page"/>
      </w:r>
    </w:p>
    <w:p w14:paraId="7853258A" w14:textId="77777777" w:rsidR="00031480" w:rsidRPr="003E76E7" w:rsidRDefault="00031480" w:rsidP="00C4292D">
      <w:pPr>
        <w:pStyle w:val="Heading4level5"/>
        <w:spacing w:before="100" w:after="100"/>
      </w:pPr>
      <w:r w:rsidRPr="003E76E7">
        <w:lastRenderedPageBreak/>
        <w:t>3.2.2 Notes to the Budgeted Financial Statements</w:t>
      </w:r>
    </w:p>
    <w:p w14:paraId="28D415AC" w14:textId="77777777" w:rsidR="00031480" w:rsidRPr="003E76E7" w:rsidRDefault="00031480" w:rsidP="00C4292D">
      <w:pPr>
        <w:spacing w:before="60" w:after="60" w:line="256" w:lineRule="auto"/>
      </w:pPr>
      <w:r w:rsidRPr="003E76E7">
        <w:t xml:space="preserve">The budgeted financial statements have been prepared in accordance with the Australian Accounting Standards and the </w:t>
      </w:r>
      <w:r w:rsidRPr="003E76E7">
        <w:rPr>
          <w:i/>
        </w:rPr>
        <w:t>Public Governance, Performance and Accountability (Financial Reporting) Rule 2015 (FRR)</w:t>
      </w:r>
      <w:r w:rsidRPr="003E76E7">
        <w:t>.</w:t>
      </w:r>
    </w:p>
    <w:p w14:paraId="40462765" w14:textId="77777777" w:rsidR="00C848C3" w:rsidRPr="003E76E7" w:rsidRDefault="00C848C3" w:rsidP="00C4292D">
      <w:pPr>
        <w:spacing w:before="0" w:after="0"/>
        <w:rPr>
          <w:rFonts w:ascii="Arial" w:hAnsi="Arial"/>
          <w:color w:val="000000"/>
          <w:sz w:val="14"/>
          <w:szCs w:val="14"/>
          <w:lang w:val="en-AU"/>
        </w:rPr>
      </w:pPr>
    </w:p>
    <w:p w14:paraId="6E82EC62" w14:textId="21A5EB0C" w:rsidR="00D461E7" w:rsidRPr="003E76E7" w:rsidRDefault="00D461E7" w:rsidP="00C4292D">
      <w:pPr>
        <w:rPr>
          <w:lang w:val="en-AU"/>
        </w:rPr>
      </w:pPr>
    </w:p>
    <w:p w14:paraId="7536EAAC" w14:textId="77777777" w:rsidR="000512AB" w:rsidRPr="003E76E7" w:rsidRDefault="000512AB" w:rsidP="00C4292D">
      <w:pPr>
        <w:rPr>
          <w:lang w:val="en-AU"/>
        </w:rPr>
      </w:pPr>
    </w:p>
    <w:p w14:paraId="2353BF21" w14:textId="77777777" w:rsidR="00022F6E" w:rsidRPr="003E76E7" w:rsidRDefault="00022F6E" w:rsidP="00C4292D">
      <w:pPr>
        <w:sectPr w:rsidR="00022F6E" w:rsidRPr="003E76E7" w:rsidSect="00FF46AE">
          <w:headerReference w:type="even" r:id="rId188"/>
          <w:headerReference w:type="default" r:id="rId189"/>
          <w:footerReference w:type="even" r:id="rId190"/>
          <w:footerReference w:type="default" r:id="rId191"/>
          <w:pgSz w:w="11907" w:h="16840" w:code="9"/>
          <w:pgMar w:top="1701" w:right="1361" w:bottom="1701" w:left="1928" w:header="720" w:footer="720" w:gutter="0"/>
          <w:cols w:space="720"/>
          <w:noEndnote/>
        </w:sectPr>
      </w:pPr>
    </w:p>
    <w:p w14:paraId="47FE145E" w14:textId="35EF567A" w:rsidR="001A4E61" w:rsidRPr="003E76E7" w:rsidRDefault="001A4E61" w:rsidP="00C4292D">
      <w:pPr>
        <w:pStyle w:val="BodyText"/>
      </w:pPr>
      <w:bookmarkStart w:id="2204" w:name="_Toc221786201"/>
      <w:bookmarkStart w:id="2205" w:name="_Toc353889442"/>
      <w:bookmarkStart w:id="2206" w:name="_Toc354470998"/>
      <w:bookmarkStart w:id="2207" w:name="_Toc354565597"/>
      <w:bookmarkStart w:id="2208" w:name="_Toc354580520"/>
      <w:bookmarkStart w:id="2209" w:name="_Toc354591426"/>
      <w:bookmarkStart w:id="2210" w:name="_Toc354734150"/>
      <w:bookmarkStart w:id="2211" w:name="_Toc355020252"/>
      <w:bookmarkStart w:id="2212" w:name="_Toc355262926"/>
      <w:bookmarkStart w:id="2213" w:name="_Toc355271281"/>
      <w:bookmarkStart w:id="2214" w:name="_Toc355343350"/>
      <w:bookmarkStart w:id="2215" w:name="_Toc355620838"/>
      <w:bookmarkStart w:id="2216" w:name="_Toc359245807"/>
      <w:bookmarkStart w:id="2217" w:name="_Toc374969066"/>
      <w:bookmarkStart w:id="2218" w:name="_Toc375310579"/>
      <w:bookmarkStart w:id="2219" w:name="_Toc384298253"/>
      <w:bookmarkStart w:id="2220" w:name="_Toc441089259"/>
      <w:bookmarkStart w:id="2221" w:name="_Toc507595451"/>
      <w:bookmarkStart w:id="2222" w:name="_Toc536089260"/>
      <w:bookmarkStart w:id="2223" w:name="_Toc536089520"/>
      <w:bookmarkStart w:id="2224" w:name="_Toc536089626"/>
      <w:bookmarkStart w:id="2225" w:name="_Toc1561714"/>
      <w:bookmarkStart w:id="2226" w:name="_Toc51691710"/>
      <w:bookmarkStart w:id="2227" w:name="_Toc69729080"/>
      <w:bookmarkStart w:id="2228" w:name="_Toc69917875"/>
      <w:bookmarkStart w:id="2229" w:name="_Toc97747864"/>
      <w:bookmarkStart w:id="2230" w:name="_Toc108088977"/>
      <w:bookmarkStart w:id="2231" w:name="_Toc108089056"/>
      <w:bookmarkStart w:id="2232" w:name="_Toc108089450"/>
      <w:bookmarkStart w:id="2233" w:name="_Toc109227305"/>
      <w:bookmarkStart w:id="2234" w:name="_Toc109227772"/>
      <w:bookmarkStart w:id="2235" w:name="_Toc158896260"/>
      <w:bookmarkStart w:id="2236" w:name="_Toc158896317"/>
      <w:bookmarkStart w:id="2237" w:name="_Toc159499732"/>
      <w:bookmarkStart w:id="2238" w:name="_Toc159857694"/>
      <w:bookmarkStart w:id="2239" w:name="_Toc159857774"/>
      <w:bookmarkStart w:id="2240" w:name="_Toc159858170"/>
      <w:bookmarkStart w:id="2241" w:name="_Toc159858836"/>
      <w:bookmarkStart w:id="2242" w:name="_Toc159858906"/>
      <w:bookmarkStart w:id="2243" w:name="_Toc159859151"/>
      <w:bookmarkStart w:id="2244" w:name="_Toc159862312"/>
      <w:bookmarkStart w:id="2245" w:name="_Toc159862502"/>
    </w:p>
    <w:p w14:paraId="39D56422" w14:textId="2BFE2AB5" w:rsidR="001A4E61" w:rsidRPr="003E76E7" w:rsidRDefault="001A4E61" w:rsidP="00C4292D">
      <w:pPr>
        <w:pStyle w:val="BodyText"/>
      </w:pPr>
    </w:p>
    <w:p w14:paraId="50B934A0" w14:textId="26A4458E" w:rsidR="001A4E61" w:rsidRPr="003E76E7" w:rsidRDefault="001A4E61" w:rsidP="00C4292D">
      <w:pPr>
        <w:pStyle w:val="BodyText"/>
      </w:pPr>
    </w:p>
    <w:p w14:paraId="070D2F82" w14:textId="4577A1C6" w:rsidR="001A4E61" w:rsidRPr="003E76E7" w:rsidRDefault="001A4E61" w:rsidP="00C4292D">
      <w:pPr>
        <w:pStyle w:val="BodyText"/>
      </w:pPr>
    </w:p>
    <w:p w14:paraId="19860206" w14:textId="52CDDB13" w:rsidR="001A4E61" w:rsidRPr="003E76E7" w:rsidRDefault="001A4E61" w:rsidP="00C4292D">
      <w:pPr>
        <w:pStyle w:val="BodyText"/>
      </w:pPr>
    </w:p>
    <w:p w14:paraId="3E5A5646" w14:textId="77777777" w:rsidR="001A4E61" w:rsidRPr="003E76E7" w:rsidRDefault="001A4E61" w:rsidP="00C4292D">
      <w:pPr>
        <w:pStyle w:val="BodyText"/>
      </w:pPr>
    </w:p>
    <w:p w14:paraId="24387A5F" w14:textId="4C194AFA" w:rsidR="00ED4EF4" w:rsidRPr="003E76E7" w:rsidRDefault="00ED4EF4" w:rsidP="00C4292D">
      <w:pPr>
        <w:pStyle w:val="Heading2"/>
        <w:jc w:val="center"/>
        <w:rPr>
          <w:b/>
          <w:sz w:val="52"/>
          <w:szCs w:val="52"/>
        </w:rPr>
      </w:pPr>
      <w:bookmarkStart w:id="2246" w:name="_Toc222129972"/>
      <w:bookmarkStart w:id="2247" w:name="_Toc222148397"/>
      <w:bookmarkStart w:id="2248" w:name="_Toc225848025"/>
      <w:bookmarkStart w:id="2249" w:name="_Toc225848108"/>
      <w:bookmarkStart w:id="2250" w:name="_Toc225848191"/>
      <w:bookmarkStart w:id="2251" w:name="_Toc225848272"/>
      <w:bookmarkStart w:id="2252" w:name="_Toc225848530"/>
      <w:bookmarkStart w:id="2253" w:name="_Toc225941598"/>
      <w:bookmarkStart w:id="2254" w:name="_Toc225942605"/>
      <w:bookmarkStart w:id="2255" w:name="_Toc227334415"/>
      <w:bookmarkStart w:id="2256" w:name="_Toc229072490"/>
      <w:bookmarkStart w:id="2257" w:name="_Toc229072662"/>
      <w:r w:rsidRPr="003E76E7">
        <w:rPr>
          <w:b/>
          <w:sz w:val="52"/>
          <w:szCs w:val="52"/>
        </w:rPr>
        <w:t>Australian Naval Nuclear Power Safety Regulator</w:t>
      </w:r>
      <w:bookmarkEnd w:id="2204"/>
      <w:bookmarkEnd w:id="2246"/>
      <w:bookmarkEnd w:id="2247"/>
      <w:bookmarkEnd w:id="2248"/>
      <w:bookmarkEnd w:id="2249"/>
      <w:bookmarkEnd w:id="2250"/>
      <w:bookmarkEnd w:id="2251"/>
      <w:bookmarkEnd w:id="2252"/>
      <w:bookmarkEnd w:id="2253"/>
      <w:bookmarkEnd w:id="2254"/>
      <w:bookmarkEnd w:id="2255"/>
      <w:bookmarkEnd w:id="2256"/>
      <w:bookmarkEnd w:id="2257"/>
    </w:p>
    <w:p w14:paraId="25BB5FA9" w14:textId="77777777" w:rsidR="00ED4EF4" w:rsidRPr="003E76E7" w:rsidRDefault="00ED4EF4" w:rsidP="00C4292D">
      <w:pPr>
        <w:rPr>
          <w:lang w:val="en-AU"/>
        </w:rPr>
      </w:pPr>
    </w:p>
    <w:p w14:paraId="2051A55F" w14:textId="77777777" w:rsidR="00ED4EF4" w:rsidRPr="003E76E7" w:rsidRDefault="00ED4EF4" w:rsidP="00C4292D">
      <w:pPr>
        <w:rPr>
          <w:lang w:val="en-AU"/>
        </w:rPr>
      </w:pPr>
    </w:p>
    <w:p w14:paraId="7741F238" w14:textId="77777777" w:rsidR="00ED4EF4" w:rsidRPr="003E76E7" w:rsidRDefault="00ED4EF4" w:rsidP="00C4292D">
      <w:pPr>
        <w:rPr>
          <w:lang w:val="en-AU"/>
        </w:rPr>
      </w:pPr>
    </w:p>
    <w:p w14:paraId="53F7C119" w14:textId="18D6275A" w:rsidR="001A0A0A" w:rsidRPr="003E76E7" w:rsidRDefault="00CF10DD" w:rsidP="00C4292D">
      <w:pPr>
        <w:pStyle w:val="DepartmentalSubtitle"/>
        <w:rPr>
          <w:rFonts w:asciiTheme="minorHAnsi" w:eastAsiaTheme="minorEastAsia" w:hAnsiTheme="minorHAnsi" w:cstheme="minorBidi"/>
          <w:noProof/>
          <w:sz w:val="22"/>
          <w:szCs w:val="22"/>
          <w:lang w:val="en-AU"/>
        </w:rPr>
      </w:pPr>
      <w:r w:rsidRPr="003E76E7">
        <w:rPr>
          <w:lang w:val="en-AU"/>
        </w:rPr>
        <w:t xml:space="preserve">Entity </w:t>
      </w:r>
      <w:r w:rsidR="00ED4EF4" w:rsidRPr="003E76E7">
        <w:rPr>
          <w:lang w:val="en-AU"/>
        </w:rPr>
        <w:t>Resources and Planned Performance</w:t>
      </w:r>
      <w:r w:rsidR="001A0A0A" w:rsidRPr="003E76E7">
        <w:fldChar w:fldCharType="begin"/>
      </w:r>
      <w:r w:rsidR="001A0A0A" w:rsidRPr="003E76E7">
        <w:instrText xml:space="preserve"> TOC \o "1-4" \h \z \u </w:instrText>
      </w:r>
      <w:r w:rsidR="001A0A0A" w:rsidRPr="003E76E7">
        <w:fldChar w:fldCharType="separate"/>
      </w:r>
    </w:p>
    <w:p w14:paraId="63DC0304" w14:textId="77777777" w:rsidR="001D10EB" w:rsidRPr="003E76E7" w:rsidRDefault="001D10EB" w:rsidP="00C4292D">
      <w:pPr>
        <w:pStyle w:val="TOC3"/>
      </w:pPr>
    </w:p>
    <w:p w14:paraId="404EA7ED" w14:textId="0B965FE2" w:rsidR="001A0A0A" w:rsidRPr="003E76E7" w:rsidRDefault="00AD70C0" w:rsidP="00C4292D">
      <w:pPr>
        <w:pStyle w:val="TOC3"/>
        <w:rPr>
          <w:rFonts w:asciiTheme="minorHAnsi" w:eastAsiaTheme="minorEastAsia" w:hAnsiTheme="minorHAnsi" w:cstheme="minorBidi"/>
          <w:sz w:val="22"/>
          <w:szCs w:val="22"/>
          <w:lang w:val="en-AU"/>
        </w:rPr>
      </w:pPr>
      <w:hyperlink w:anchor="_Toc225848531" w:history="1">
        <w:r w:rsidR="001A0A0A" w:rsidRPr="003E76E7">
          <w:rPr>
            <w:rStyle w:val="Hyperlink"/>
          </w:rPr>
          <w:t>Section 1: ANNPSR Overview and Resources</w:t>
        </w:r>
        <w:r w:rsidR="001A0A0A" w:rsidRPr="003E76E7">
          <w:rPr>
            <w:webHidden/>
          </w:rPr>
          <w:tab/>
        </w:r>
        <w:r w:rsidR="001A0A0A" w:rsidRPr="003E76E7">
          <w:rPr>
            <w:webHidden/>
          </w:rPr>
          <w:fldChar w:fldCharType="begin"/>
        </w:r>
        <w:r w:rsidR="001A0A0A" w:rsidRPr="003E76E7">
          <w:rPr>
            <w:webHidden/>
          </w:rPr>
          <w:instrText xml:space="preserve"> PAGEREF _Toc225848531 \h </w:instrText>
        </w:r>
        <w:r w:rsidR="001A0A0A" w:rsidRPr="003E76E7">
          <w:rPr>
            <w:webHidden/>
          </w:rPr>
        </w:r>
        <w:r w:rsidR="001A0A0A" w:rsidRPr="003E76E7">
          <w:rPr>
            <w:webHidden/>
          </w:rPr>
          <w:fldChar w:fldCharType="separate"/>
        </w:r>
        <w:r w:rsidR="00E00C37">
          <w:rPr>
            <w:webHidden/>
          </w:rPr>
          <w:t>227</w:t>
        </w:r>
        <w:r w:rsidR="001A0A0A" w:rsidRPr="003E76E7">
          <w:rPr>
            <w:webHidden/>
          </w:rPr>
          <w:fldChar w:fldCharType="end"/>
        </w:r>
      </w:hyperlink>
    </w:p>
    <w:p w14:paraId="248D16F3" w14:textId="64037536" w:rsidR="001A0A0A" w:rsidRPr="003E76E7" w:rsidRDefault="00AD70C0" w:rsidP="00C4292D">
      <w:pPr>
        <w:pStyle w:val="TOC4"/>
        <w:rPr>
          <w:rFonts w:asciiTheme="minorHAnsi" w:eastAsiaTheme="minorEastAsia" w:hAnsiTheme="minorHAnsi" w:cstheme="minorBidi"/>
          <w:sz w:val="22"/>
          <w:szCs w:val="22"/>
          <w:lang w:val="en-AU"/>
        </w:rPr>
      </w:pPr>
      <w:hyperlink w:anchor="_Toc225848532" w:history="1">
        <w:r w:rsidR="001A0A0A" w:rsidRPr="003E76E7">
          <w:rPr>
            <w:rStyle w:val="Hyperlink"/>
          </w:rPr>
          <w:t>1.1 Strategic Direction Statement</w:t>
        </w:r>
        <w:r w:rsidR="001A0A0A" w:rsidRPr="003E76E7">
          <w:rPr>
            <w:webHidden/>
          </w:rPr>
          <w:tab/>
        </w:r>
        <w:r w:rsidR="001A0A0A" w:rsidRPr="003E76E7">
          <w:rPr>
            <w:webHidden/>
          </w:rPr>
          <w:fldChar w:fldCharType="begin"/>
        </w:r>
        <w:r w:rsidR="001A0A0A" w:rsidRPr="003E76E7">
          <w:rPr>
            <w:webHidden/>
          </w:rPr>
          <w:instrText xml:space="preserve"> PAGEREF _Toc225848532 \h </w:instrText>
        </w:r>
        <w:r w:rsidR="001A0A0A" w:rsidRPr="003E76E7">
          <w:rPr>
            <w:webHidden/>
          </w:rPr>
        </w:r>
        <w:r w:rsidR="001A0A0A" w:rsidRPr="003E76E7">
          <w:rPr>
            <w:webHidden/>
          </w:rPr>
          <w:fldChar w:fldCharType="separate"/>
        </w:r>
        <w:r w:rsidR="00E00C37">
          <w:rPr>
            <w:webHidden/>
          </w:rPr>
          <w:t>227</w:t>
        </w:r>
        <w:r w:rsidR="001A0A0A" w:rsidRPr="003E76E7">
          <w:rPr>
            <w:webHidden/>
          </w:rPr>
          <w:fldChar w:fldCharType="end"/>
        </w:r>
      </w:hyperlink>
    </w:p>
    <w:p w14:paraId="53B638AD" w14:textId="6D94B8CB" w:rsidR="001A0A0A" w:rsidRPr="003E76E7" w:rsidRDefault="00AD70C0" w:rsidP="00C4292D">
      <w:pPr>
        <w:pStyle w:val="TOC4"/>
        <w:rPr>
          <w:rFonts w:asciiTheme="minorHAnsi" w:eastAsiaTheme="minorEastAsia" w:hAnsiTheme="minorHAnsi" w:cstheme="minorBidi"/>
          <w:sz w:val="22"/>
          <w:szCs w:val="22"/>
          <w:lang w:val="en-AU"/>
        </w:rPr>
      </w:pPr>
      <w:hyperlink w:anchor="_Toc225848533" w:history="1">
        <w:r w:rsidR="001A0A0A" w:rsidRPr="003E76E7">
          <w:rPr>
            <w:rStyle w:val="Hyperlink"/>
          </w:rPr>
          <w:t>1.2 ANNPSR Resource Statement</w:t>
        </w:r>
        <w:r w:rsidR="001A0A0A" w:rsidRPr="003E76E7">
          <w:rPr>
            <w:webHidden/>
          </w:rPr>
          <w:tab/>
        </w:r>
        <w:r w:rsidR="001A0A0A" w:rsidRPr="003E76E7">
          <w:rPr>
            <w:webHidden/>
          </w:rPr>
          <w:fldChar w:fldCharType="begin"/>
        </w:r>
        <w:r w:rsidR="001A0A0A" w:rsidRPr="003E76E7">
          <w:rPr>
            <w:webHidden/>
          </w:rPr>
          <w:instrText xml:space="preserve"> PAGEREF _Toc225848533 \h </w:instrText>
        </w:r>
        <w:r w:rsidR="001A0A0A" w:rsidRPr="003E76E7">
          <w:rPr>
            <w:webHidden/>
          </w:rPr>
        </w:r>
        <w:r w:rsidR="001A0A0A" w:rsidRPr="003E76E7">
          <w:rPr>
            <w:webHidden/>
          </w:rPr>
          <w:fldChar w:fldCharType="separate"/>
        </w:r>
        <w:r w:rsidR="00E00C37">
          <w:rPr>
            <w:webHidden/>
          </w:rPr>
          <w:t>229</w:t>
        </w:r>
        <w:r w:rsidR="001A0A0A" w:rsidRPr="003E76E7">
          <w:rPr>
            <w:webHidden/>
          </w:rPr>
          <w:fldChar w:fldCharType="end"/>
        </w:r>
      </w:hyperlink>
    </w:p>
    <w:p w14:paraId="10A91ADE" w14:textId="06CF318D" w:rsidR="001A0A0A" w:rsidRPr="003E76E7" w:rsidRDefault="00AD70C0" w:rsidP="00C4292D">
      <w:pPr>
        <w:pStyle w:val="TOC4"/>
        <w:rPr>
          <w:rFonts w:asciiTheme="minorHAnsi" w:eastAsiaTheme="minorEastAsia" w:hAnsiTheme="minorHAnsi" w:cstheme="minorBidi"/>
          <w:sz w:val="22"/>
          <w:szCs w:val="22"/>
          <w:lang w:val="en-AU"/>
        </w:rPr>
      </w:pPr>
      <w:hyperlink w:anchor="_Toc225848534" w:history="1">
        <w:r w:rsidR="001A0A0A" w:rsidRPr="003E76E7">
          <w:rPr>
            <w:rStyle w:val="Hyperlink"/>
          </w:rPr>
          <w:t>1.3 Budget Measures</w:t>
        </w:r>
        <w:r w:rsidR="001A0A0A" w:rsidRPr="003E76E7">
          <w:rPr>
            <w:webHidden/>
          </w:rPr>
          <w:tab/>
        </w:r>
        <w:r w:rsidR="001A0A0A" w:rsidRPr="003E76E7">
          <w:rPr>
            <w:webHidden/>
          </w:rPr>
          <w:fldChar w:fldCharType="begin"/>
        </w:r>
        <w:r w:rsidR="001A0A0A" w:rsidRPr="003E76E7">
          <w:rPr>
            <w:webHidden/>
          </w:rPr>
          <w:instrText xml:space="preserve"> PAGEREF _Toc225848534 \h </w:instrText>
        </w:r>
        <w:r w:rsidR="001A0A0A" w:rsidRPr="003E76E7">
          <w:rPr>
            <w:webHidden/>
          </w:rPr>
        </w:r>
        <w:r w:rsidR="001A0A0A" w:rsidRPr="003E76E7">
          <w:rPr>
            <w:webHidden/>
          </w:rPr>
          <w:fldChar w:fldCharType="separate"/>
        </w:r>
        <w:r w:rsidR="00E00C37">
          <w:rPr>
            <w:webHidden/>
          </w:rPr>
          <w:t>230</w:t>
        </w:r>
        <w:r w:rsidR="001A0A0A" w:rsidRPr="003E76E7">
          <w:rPr>
            <w:webHidden/>
          </w:rPr>
          <w:fldChar w:fldCharType="end"/>
        </w:r>
      </w:hyperlink>
    </w:p>
    <w:p w14:paraId="42787E35" w14:textId="5806C141" w:rsidR="001A0A0A" w:rsidRPr="003E76E7" w:rsidRDefault="00AD70C0" w:rsidP="00C4292D">
      <w:pPr>
        <w:pStyle w:val="TOC3"/>
        <w:rPr>
          <w:rFonts w:asciiTheme="minorHAnsi" w:eastAsiaTheme="minorEastAsia" w:hAnsiTheme="minorHAnsi" w:cstheme="minorBidi"/>
          <w:sz w:val="22"/>
          <w:szCs w:val="22"/>
          <w:lang w:val="en-AU"/>
        </w:rPr>
      </w:pPr>
      <w:hyperlink w:anchor="_Toc225848535" w:history="1">
        <w:r w:rsidR="001A0A0A" w:rsidRPr="003E76E7">
          <w:rPr>
            <w:rStyle w:val="Hyperlink"/>
          </w:rPr>
          <w:t>Section 2: ANNPSR Outcomes and Planned Performance</w:t>
        </w:r>
        <w:r w:rsidR="001A0A0A" w:rsidRPr="003E76E7">
          <w:rPr>
            <w:webHidden/>
          </w:rPr>
          <w:tab/>
        </w:r>
        <w:r w:rsidR="001A0A0A" w:rsidRPr="003E76E7">
          <w:rPr>
            <w:webHidden/>
          </w:rPr>
          <w:fldChar w:fldCharType="begin"/>
        </w:r>
        <w:r w:rsidR="001A0A0A" w:rsidRPr="003E76E7">
          <w:rPr>
            <w:webHidden/>
          </w:rPr>
          <w:instrText xml:space="preserve"> PAGEREF _Toc225848535 \h </w:instrText>
        </w:r>
        <w:r w:rsidR="001A0A0A" w:rsidRPr="003E76E7">
          <w:rPr>
            <w:webHidden/>
          </w:rPr>
        </w:r>
        <w:r w:rsidR="001A0A0A" w:rsidRPr="003E76E7">
          <w:rPr>
            <w:webHidden/>
          </w:rPr>
          <w:fldChar w:fldCharType="separate"/>
        </w:r>
        <w:r w:rsidR="00E00C37">
          <w:rPr>
            <w:webHidden/>
          </w:rPr>
          <w:t>231</w:t>
        </w:r>
        <w:r w:rsidR="001A0A0A" w:rsidRPr="003E76E7">
          <w:rPr>
            <w:webHidden/>
          </w:rPr>
          <w:fldChar w:fldCharType="end"/>
        </w:r>
      </w:hyperlink>
    </w:p>
    <w:p w14:paraId="238E7CA4" w14:textId="66ACCA9F" w:rsidR="001A0A0A" w:rsidRPr="003E76E7" w:rsidRDefault="00AD70C0" w:rsidP="00C4292D">
      <w:pPr>
        <w:pStyle w:val="TOC4"/>
        <w:rPr>
          <w:rFonts w:asciiTheme="minorHAnsi" w:eastAsiaTheme="minorEastAsia" w:hAnsiTheme="minorHAnsi" w:cstheme="minorBidi"/>
          <w:sz w:val="22"/>
          <w:szCs w:val="22"/>
          <w:lang w:val="en-AU"/>
        </w:rPr>
      </w:pPr>
      <w:hyperlink w:anchor="_Toc225848536" w:history="1">
        <w:r w:rsidR="001A0A0A" w:rsidRPr="003E76E7">
          <w:rPr>
            <w:rStyle w:val="Hyperlink"/>
          </w:rPr>
          <w:t>2.1 Budgeted Expenses and Performance for Outcome 1</w:t>
        </w:r>
        <w:r w:rsidR="001A0A0A" w:rsidRPr="003E76E7">
          <w:rPr>
            <w:webHidden/>
          </w:rPr>
          <w:tab/>
        </w:r>
        <w:r w:rsidR="001A0A0A" w:rsidRPr="003E76E7">
          <w:rPr>
            <w:webHidden/>
          </w:rPr>
          <w:fldChar w:fldCharType="begin"/>
        </w:r>
        <w:r w:rsidR="001A0A0A" w:rsidRPr="003E76E7">
          <w:rPr>
            <w:webHidden/>
          </w:rPr>
          <w:instrText xml:space="preserve"> PAGEREF _Toc225848536 \h </w:instrText>
        </w:r>
        <w:r w:rsidR="001A0A0A" w:rsidRPr="003E76E7">
          <w:rPr>
            <w:webHidden/>
          </w:rPr>
        </w:r>
        <w:r w:rsidR="001A0A0A" w:rsidRPr="003E76E7">
          <w:rPr>
            <w:webHidden/>
          </w:rPr>
          <w:fldChar w:fldCharType="separate"/>
        </w:r>
        <w:r w:rsidR="00E00C37">
          <w:rPr>
            <w:webHidden/>
          </w:rPr>
          <w:t>232</w:t>
        </w:r>
        <w:r w:rsidR="001A0A0A" w:rsidRPr="003E76E7">
          <w:rPr>
            <w:webHidden/>
          </w:rPr>
          <w:fldChar w:fldCharType="end"/>
        </w:r>
      </w:hyperlink>
    </w:p>
    <w:p w14:paraId="2C505AB3" w14:textId="4E1F568C" w:rsidR="001A0A0A" w:rsidRPr="003E76E7" w:rsidRDefault="00AD70C0" w:rsidP="00C4292D">
      <w:pPr>
        <w:pStyle w:val="TOC3"/>
        <w:rPr>
          <w:rFonts w:asciiTheme="minorHAnsi" w:eastAsiaTheme="minorEastAsia" w:hAnsiTheme="minorHAnsi" w:cstheme="minorBidi"/>
          <w:sz w:val="22"/>
          <w:szCs w:val="22"/>
          <w:lang w:val="en-AU"/>
        </w:rPr>
      </w:pPr>
      <w:hyperlink w:anchor="_Toc225848537" w:history="1">
        <w:r w:rsidR="001A0A0A" w:rsidRPr="003E76E7">
          <w:rPr>
            <w:rStyle w:val="Hyperlink"/>
          </w:rPr>
          <w:t>Section 3: ANNPSR Explanatory Tables and Budgeted Financial Statements</w:t>
        </w:r>
        <w:r w:rsidR="001A0A0A" w:rsidRPr="003E76E7">
          <w:rPr>
            <w:webHidden/>
          </w:rPr>
          <w:tab/>
        </w:r>
        <w:r w:rsidR="001A0A0A" w:rsidRPr="003E76E7">
          <w:rPr>
            <w:webHidden/>
          </w:rPr>
          <w:fldChar w:fldCharType="begin"/>
        </w:r>
        <w:r w:rsidR="001A0A0A" w:rsidRPr="003E76E7">
          <w:rPr>
            <w:webHidden/>
          </w:rPr>
          <w:instrText xml:space="preserve"> PAGEREF _Toc225848537 \h </w:instrText>
        </w:r>
        <w:r w:rsidR="001A0A0A" w:rsidRPr="003E76E7">
          <w:rPr>
            <w:webHidden/>
          </w:rPr>
        </w:r>
        <w:r w:rsidR="001A0A0A" w:rsidRPr="003E76E7">
          <w:rPr>
            <w:webHidden/>
          </w:rPr>
          <w:fldChar w:fldCharType="separate"/>
        </w:r>
        <w:r w:rsidR="00E00C37">
          <w:rPr>
            <w:webHidden/>
          </w:rPr>
          <w:t>236</w:t>
        </w:r>
        <w:r w:rsidR="001A0A0A" w:rsidRPr="003E76E7">
          <w:rPr>
            <w:webHidden/>
          </w:rPr>
          <w:fldChar w:fldCharType="end"/>
        </w:r>
      </w:hyperlink>
    </w:p>
    <w:p w14:paraId="21B44492" w14:textId="208EDCDB" w:rsidR="001A0A0A" w:rsidRPr="003E76E7" w:rsidRDefault="00AD70C0" w:rsidP="00C4292D">
      <w:pPr>
        <w:pStyle w:val="TOC4"/>
        <w:rPr>
          <w:rFonts w:asciiTheme="minorHAnsi" w:eastAsiaTheme="minorEastAsia" w:hAnsiTheme="minorHAnsi" w:cstheme="minorBidi"/>
          <w:sz w:val="22"/>
          <w:szCs w:val="22"/>
          <w:lang w:val="en-AU"/>
        </w:rPr>
      </w:pPr>
      <w:hyperlink w:anchor="_Toc225848538" w:history="1">
        <w:r w:rsidR="001A0A0A" w:rsidRPr="003E76E7">
          <w:rPr>
            <w:rStyle w:val="Hyperlink"/>
          </w:rPr>
          <w:t>3.1 Explanatory Tables</w:t>
        </w:r>
        <w:r w:rsidR="001A0A0A" w:rsidRPr="003E76E7">
          <w:rPr>
            <w:webHidden/>
          </w:rPr>
          <w:tab/>
        </w:r>
        <w:r w:rsidR="001A0A0A" w:rsidRPr="003E76E7">
          <w:rPr>
            <w:webHidden/>
          </w:rPr>
          <w:fldChar w:fldCharType="begin"/>
        </w:r>
        <w:r w:rsidR="001A0A0A" w:rsidRPr="003E76E7">
          <w:rPr>
            <w:webHidden/>
          </w:rPr>
          <w:instrText xml:space="preserve"> PAGEREF _Toc225848538 \h </w:instrText>
        </w:r>
        <w:r w:rsidR="001A0A0A" w:rsidRPr="003E76E7">
          <w:rPr>
            <w:webHidden/>
          </w:rPr>
        </w:r>
        <w:r w:rsidR="001A0A0A" w:rsidRPr="003E76E7">
          <w:rPr>
            <w:webHidden/>
          </w:rPr>
          <w:fldChar w:fldCharType="separate"/>
        </w:r>
        <w:r w:rsidR="00E00C37">
          <w:rPr>
            <w:webHidden/>
          </w:rPr>
          <w:t>236</w:t>
        </w:r>
        <w:r w:rsidR="001A0A0A" w:rsidRPr="003E76E7">
          <w:rPr>
            <w:webHidden/>
          </w:rPr>
          <w:fldChar w:fldCharType="end"/>
        </w:r>
      </w:hyperlink>
    </w:p>
    <w:p w14:paraId="1BB749B7" w14:textId="69DDAD13" w:rsidR="001A0A0A" w:rsidRPr="003E76E7" w:rsidRDefault="00AD70C0" w:rsidP="00C4292D">
      <w:pPr>
        <w:pStyle w:val="TOC4"/>
        <w:rPr>
          <w:rFonts w:asciiTheme="minorHAnsi" w:eastAsiaTheme="minorEastAsia" w:hAnsiTheme="minorHAnsi" w:cstheme="minorBidi"/>
          <w:sz w:val="22"/>
          <w:szCs w:val="22"/>
          <w:lang w:val="en-AU"/>
        </w:rPr>
      </w:pPr>
      <w:hyperlink w:anchor="_Toc225848539" w:history="1">
        <w:r w:rsidR="001A0A0A" w:rsidRPr="003E76E7">
          <w:rPr>
            <w:rStyle w:val="Hyperlink"/>
          </w:rPr>
          <w:t>3.2 Budgeted Financial Statements</w:t>
        </w:r>
        <w:r w:rsidR="001A0A0A" w:rsidRPr="003E76E7">
          <w:rPr>
            <w:webHidden/>
          </w:rPr>
          <w:tab/>
        </w:r>
        <w:r w:rsidR="001A0A0A" w:rsidRPr="003E76E7">
          <w:rPr>
            <w:webHidden/>
          </w:rPr>
          <w:fldChar w:fldCharType="begin"/>
        </w:r>
        <w:r w:rsidR="001A0A0A" w:rsidRPr="003E76E7">
          <w:rPr>
            <w:webHidden/>
          </w:rPr>
          <w:instrText xml:space="preserve"> PAGEREF _Toc225848539 \h </w:instrText>
        </w:r>
        <w:r w:rsidR="001A0A0A" w:rsidRPr="003E76E7">
          <w:rPr>
            <w:webHidden/>
          </w:rPr>
        </w:r>
        <w:r w:rsidR="001A0A0A" w:rsidRPr="003E76E7">
          <w:rPr>
            <w:webHidden/>
          </w:rPr>
          <w:fldChar w:fldCharType="separate"/>
        </w:r>
        <w:r w:rsidR="00E00C37">
          <w:rPr>
            <w:webHidden/>
          </w:rPr>
          <w:t>237</w:t>
        </w:r>
        <w:r w:rsidR="001A0A0A" w:rsidRPr="003E76E7">
          <w:rPr>
            <w:webHidden/>
          </w:rPr>
          <w:fldChar w:fldCharType="end"/>
        </w:r>
      </w:hyperlink>
    </w:p>
    <w:p w14:paraId="7B76345C" w14:textId="34C1504C" w:rsidR="009F75B3" w:rsidRPr="003E76E7" w:rsidRDefault="001A0A0A" w:rsidP="00C4292D">
      <w:pPr>
        <w:pStyle w:val="TOC2"/>
        <w:rPr>
          <w:rFonts w:asciiTheme="minorHAnsi" w:eastAsiaTheme="minorEastAsia" w:hAnsiTheme="minorHAnsi" w:cstheme="minorBidi"/>
          <w:b w:val="0"/>
          <w:caps w:val="0"/>
          <w:sz w:val="22"/>
          <w:szCs w:val="22"/>
          <w:lang w:val="en-AU"/>
        </w:rPr>
      </w:pPr>
      <w:r w:rsidRPr="003E76E7">
        <w:rPr>
          <w:rFonts w:ascii="Arial" w:hAnsi="Arial"/>
          <w:b w:val="0"/>
        </w:rPr>
        <w:fldChar w:fldCharType="end"/>
      </w:r>
    </w:p>
    <w:p w14:paraId="6906A7BC" w14:textId="77777777" w:rsidR="009F75B3" w:rsidRPr="003E76E7" w:rsidRDefault="009F75B3" w:rsidP="00C4292D">
      <w:pPr>
        <w:spacing w:before="0" w:after="0"/>
      </w:pPr>
      <w:r w:rsidRPr="003E76E7">
        <w:br w:type="page"/>
      </w:r>
    </w:p>
    <w:p w14:paraId="1F6F0FF6" w14:textId="77777777" w:rsidR="00A005A8" w:rsidRPr="003E76E7" w:rsidRDefault="00A005A8" w:rsidP="00C4292D">
      <w:pPr>
        <w:pStyle w:val="BodyText"/>
        <w:rPr>
          <w:lang w:val="en-AU"/>
        </w:rPr>
      </w:pPr>
    </w:p>
    <w:p w14:paraId="02C41215" w14:textId="77777777" w:rsidR="00A005A8" w:rsidRPr="003E76E7" w:rsidRDefault="00A005A8" w:rsidP="00C4292D">
      <w:pPr>
        <w:pStyle w:val="BodyText"/>
        <w:rPr>
          <w:lang w:val="en-AU"/>
        </w:rPr>
      </w:pPr>
    </w:p>
    <w:p w14:paraId="36F66E92" w14:textId="77777777" w:rsidR="00A005A8" w:rsidRPr="003E76E7" w:rsidRDefault="00A005A8" w:rsidP="00C4292D">
      <w:pPr>
        <w:pStyle w:val="BodyText"/>
        <w:rPr>
          <w:lang w:val="en-AU"/>
        </w:rPr>
      </w:pPr>
    </w:p>
    <w:p w14:paraId="26FCA0B3" w14:textId="77777777" w:rsidR="00A005A8" w:rsidRPr="003E76E7" w:rsidRDefault="00A005A8" w:rsidP="00C4292D">
      <w:pPr>
        <w:pStyle w:val="BodyText"/>
        <w:rPr>
          <w:lang w:val="en-AU"/>
        </w:rPr>
      </w:pPr>
    </w:p>
    <w:p w14:paraId="44ADAC59" w14:textId="77777777" w:rsidR="00A005A8" w:rsidRPr="003E76E7" w:rsidRDefault="00A005A8" w:rsidP="00C4292D">
      <w:pPr>
        <w:pStyle w:val="BodyText"/>
        <w:rPr>
          <w:lang w:val="en-AU"/>
        </w:rPr>
      </w:pPr>
    </w:p>
    <w:p w14:paraId="55B9AA72" w14:textId="77777777" w:rsidR="00A005A8" w:rsidRPr="003E76E7" w:rsidRDefault="00A005A8" w:rsidP="00C4292D">
      <w:pPr>
        <w:pStyle w:val="BodyText"/>
        <w:rPr>
          <w:lang w:val="en-AU"/>
        </w:rPr>
      </w:pPr>
    </w:p>
    <w:p w14:paraId="4ECCC8A1" w14:textId="77777777" w:rsidR="00A005A8" w:rsidRPr="003E76E7" w:rsidRDefault="00A005A8" w:rsidP="00C4292D">
      <w:pPr>
        <w:pStyle w:val="BodyText"/>
        <w:rPr>
          <w:lang w:val="en-AU"/>
        </w:rPr>
      </w:pPr>
    </w:p>
    <w:p w14:paraId="2139B3F0" w14:textId="77777777" w:rsidR="00A005A8" w:rsidRPr="003E76E7" w:rsidRDefault="00A005A8" w:rsidP="00C4292D">
      <w:pPr>
        <w:pStyle w:val="BodyText"/>
        <w:rPr>
          <w:lang w:val="en-AU"/>
        </w:rPr>
      </w:pPr>
    </w:p>
    <w:p w14:paraId="3DB8C3CC" w14:textId="77777777" w:rsidR="00A005A8" w:rsidRPr="003E76E7" w:rsidRDefault="00A005A8" w:rsidP="00C4292D">
      <w:pPr>
        <w:pStyle w:val="BodyText"/>
        <w:rPr>
          <w:lang w:val="en-AU"/>
        </w:rPr>
      </w:pPr>
    </w:p>
    <w:p w14:paraId="743C3921" w14:textId="77777777" w:rsidR="00A005A8" w:rsidRPr="003E76E7" w:rsidRDefault="00A005A8" w:rsidP="00C4292D">
      <w:pPr>
        <w:pStyle w:val="BodyText"/>
        <w:rPr>
          <w:lang w:val="en-AU"/>
        </w:rPr>
      </w:pPr>
    </w:p>
    <w:p w14:paraId="4568A6E4" w14:textId="77777777" w:rsidR="00A005A8" w:rsidRPr="003E76E7" w:rsidRDefault="00A005A8" w:rsidP="00C4292D">
      <w:pPr>
        <w:pStyle w:val="BodyText"/>
        <w:rPr>
          <w:lang w:val="en-AU"/>
        </w:rPr>
      </w:pPr>
    </w:p>
    <w:p w14:paraId="5AD75510" w14:textId="5281F8C6" w:rsidR="00A005A8" w:rsidRPr="003E76E7" w:rsidRDefault="00A005A8" w:rsidP="00C4292D">
      <w:pPr>
        <w:pStyle w:val="BodyText"/>
        <w:jc w:val="center"/>
        <w:rPr>
          <w:lang w:val="en-AU"/>
        </w:rPr>
      </w:pPr>
      <w:r w:rsidRPr="003E76E7">
        <w:rPr>
          <w:lang w:val="en-AU"/>
        </w:rPr>
        <w:t>This page intentionally left blank.</w:t>
      </w:r>
    </w:p>
    <w:p w14:paraId="5F319A9F" w14:textId="77777777" w:rsidR="00A005A8" w:rsidRPr="003E76E7" w:rsidRDefault="00A005A8" w:rsidP="00C4292D">
      <w:pPr>
        <w:spacing w:before="0" w:after="0"/>
        <w:rPr>
          <w:lang w:val="en-AU"/>
        </w:rPr>
      </w:pPr>
      <w:r w:rsidRPr="003E76E7">
        <w:rPr>
          <w:lang w:val="en-AU"/>
        </w:rPr>
        <w:br w:type="page"/>
      </w:r>
    </w:p>
    <w:p w14:paraId="4A9D99C3" w14:textId="2344414B" w:rsidR="00ED4EF4" w:rsidRPr="003E76E7" w:rsidRDefault="00ED4EF4" w:rsidP="00C4292D">
      <w:pPr>
        <w:pStyle w:val="heading1level2"/>
        <w:spacing w:before="100" w:after="100"/>
        <w:jc w:val="left"/>
        <w:outlineLvl w:val="9"/>
        <w:rPr>
          <w:smallCaps w:val="0"/>
          <w:sz w:val="36"/>
          <w:szCs w:val="36"/>
        </w:rPr>
      </w:pPr>
      <w:r w:rsidRPr="003E76E7">
        <w:rPr>
          <w:smallCaps w:val="0"/>
          <w:sz w:val="36"/>
          <w:szCs w:val="36"/>
        </w:rPr>
        <w:lastRenderedPageBreak/>
        <w:t>Australian Naval Nuclear</w:t>
      </w:r>
      <w:r w:rsidR="00306353">
        <w:rPr>
          <w:smallCaps w:val="0"/>
          <w:sz w:val="36"/>
          <w:szCs w:val="36"/>
        </w:rPr>
        <w:t xml:space="preserve"> Power</w:t>
      </w:r>
      <w:r w:rsidRPr="003E76E7">
        <w:rPr>
          <w:smallCaps w:val="0"/>
          <w:sz w:val="36"/>
          <w:szCs w:val="36"/>
        </w:rPr>
        <w:t xml:space="preserve"> Safety Regulator</w:t>
      </w:r>
    </w:p>
    <w:p w14:paraId="1B20B3F8" w14:textId="77777777" w:rsidR="00ED4EF4" w:rsidRPr="003E76E7" w:rsidRDefault="00ED4EF4" w:rsidP="00C4292D">
      <w:pPr>
        <w:pStyle w:val="Heading2level3"/>
        <w:spacing w:before="120" w:after="120"/>
        <w:rPr>
          <w:rStyle w:val="Heading2Char"/>
          <w:sz w:val="26"/>
          <w:szCs w:val="26"/>
        </w:rPr>
      </w:pPr>
      <w:bookmarkStart w:id="2258" w:name="_Toc221786202"/>
      <w:bookmarkStart w:id="2259" w:name="_Toc222129973"/>
      <w:bookmarkStart w:id="2260" w:name="_Toc222148398"/>
      <w:bookmarkStart w:id="2261" w:name="_Toc225848026"/>
      <w:bookmarkStart w:id="2262" w:name="_Toc225848109"/>
      <w:bookmarkStart w:id="2263" w:name="_Toc225848192"/>
      <w:bookmarkStart w:id="2264" w:name="_Toc225848273"/>
      <w:bookmarkStart w:id="2265" w:name="_Toc225848531"/>
      <w:bookmarkStart w:id="2266" w:name="_Toc225941599"/>
      <w:bookmarkStart w:id="2267" w:name="_Toc225942606"/>
      <w:bookmarkStart w:id="2268" w:name="_Toc227334416"/>
      <w:bookmarkStart w:id="2269" w:name="_Toc229072491"/>
      <w:bookmarkStart w:id="2270" w:name="_Toc229072663"/>
      <w:r w:rsidRPr="003E76E7">
        <w:rPr>
          <w:rStyle w:val="Heading2Char"/>
          <w:sz w:val="26"/>
          <w:szCs w:val="26"/>
        </w:rPr>
        <w:t>Section 1: ANNPSR Overview and Resources</w:t>
      </w:r>
      <w:bookmarkEnd w:id="2258"/>
      <w:bookmarkEnd w:id="2259"/>
      <w:bookmarkEnd w:id="2260"/>
      <w:bookmarkEnd w:id="2261"/>
      <w:bookmarkEnd w:id="2262"/>
      <w:bookmarkEnd w:id="2263"/>
      <w:bookmarkEnd w:id="2264"/>
      <w:bookmarkEnd w:id="2265"/>
      <w:bookmarkEnd w:id="2266"/>
      <w:bookmarkEnd w:id="2267"/>
      <w:bookmarkEnd w:id="2268"/>
      <w:bookmarkEnd w:id="2269"/>
      <w:bookmarkEnd w:id="2270"/>
    </w:p>
    <w:p w14:paraId="50A4FAAC" w14:textId="77777777" w:rsidR="00ED4EF4" w:rsidRPr="003E76E7" w:rsidRDefault="00ED4EF4" w:rsidP="00C4292D">
      <w:pPr>
        <w:pStyle w:val="Heading4"/>
        <w:rPr>
          <w:sz w:val="24"/>
          <w:szCs w:val="24"/>
        </w:rPr>
      </w:pPr>
      <w:bookmarkStart w:id="2271" w:name="_Toc221786203"/>
      <w:bookmarkStart w:id="2272" w:name="_Toc222129974"/>
      <w:bookmarkStart w:id="2273" w:name="_Toc222148399"/>
      <w:bookmarkStart w:id="2274" w:name="_Toc225848027"/>
      <w:bookmarkStart w:id="2275" w:name="_Toc225848110"/>
      <w:bookmarkStart w:id="2276" w:name="_Toc225848193"/>
      <w:bookmarkStart w:id="2277" w:name="_Toc225848532"/>
      <w:bookmarkStart w:id="2278" w:name="_Toc225941600"/>
      <w:bookmarkStart w:id="2279" w:name="_Toc225942607"/>
      <w:bookmarkStart w:id="2280" w:name="_Toc227334417"/>
      <w:bookmarkStart w:id="2281" w:name="_Toc229072492"/>
      <w:bookmarkStart w:id="2282" w:name="_Toc229072664"/>
      <w:r w:rsidRPr="003E76E7">
        <w:rPr>
          <w:sz w:val="24"/>
          <w:szCs w:val="24"/>
        </w:rPr>
        <w:t>1.1 Strategic Direction Statement</w:t>
      </w:r>
      <w:bookmarkEnd w:id="2271"/>
      <w:bookmarkEnd w:id="2272"/>
      <w:bookmarkEnd w:id="2273"/>
      <w:bookmarkEnd w:id="2274"/>
      <w:bookmarkEnd w:id="2275"/>
      <w:bookmarkEnd w:id="2276"/>
      <w:bookmarkEnd w:id="2277"/>
      <w:bookmarkEnd w:id="2278"/>
      <w:bookmarkEnd w:id="2279"/>
      <w:bookmarkEnd w:id="2280"/>
      <w:bookmarkEnd w:id="2281"/>
      <w:bookmarkEnd w:id="2282"/>
    </w:p>
    <w:p w14:paraId="33862775" w14:textId="554A79CA" w:rsidR="001511DE" w:rsidRPr="003E76E7" w:rsidRDefault="001511DE" w:rsidP="00C4292D">
      <w:pPr>
        <w:spacing w:before="60" w:after="60" w:line="256" w:lineRule="auto"/>
        <w:rPr>
          <w:lang w:eastAsia="en-US"/>
        </w:rPr>
      </w:pPr>
      <w:r w:rsidRPr="003E76E7">
        <w:rPr>
          <w:lang w:eastAsia="en-US"/>
        </w:rPr>
        <w:t xml:space="preserve">In alignment with the </w:t>
      </w:r>
      <w:r w:rsidRPr="003E76E7">
        <w:rPr>
          <w:i/>
          <w:lang w:eastAsia="en-US"/>
        </w:rPr>
        <w:t>202</w:t>
      </w:r>
      <w:r w:rsidR="004D41C2" w:rsidRPr="003E76E7">
        <w:rPr>
          <w:i/>
          <w:lang w:eastAsia="en-US"/>
        </w:rPr>
        <w:t>6</w:t>
      </w:r>
      <w:r w:rsidRPr="003E76E7">
        <w:rPr>
          <w:i/>
          <w:lang w:eastAsia="en-US"/>
        </w:rPr>
        <w:t xml:space="preserve"> National Defence Strategy</w:t>
      </w:r>
      <w:r w:rsidRPr="003E76E7">
        <w:rPr>
          <w:lang w:eastAsia="en-US"/>
        </w:rPr>
        <w:t>, conventionally-armed, nuclear-powered submarines represent a central tenet of the approach to enhance Australia’s capability to deter threats to its national security and contribute to regional stability. Australia is preserving its sovereignty, maintaining our economic connection to the world and investing in progress through the A</w:t>
      </w:r>
      <w:r w:rsidR="00D60EDB" w:rsidRPr="003E76E7">
        <w:rPr>
          <w:lang w:eastAsia="en-US"/>
        </w:rPr>
        <w:t xml:space="preserve">ustralia, the United </w:t>
      </w:r>
      <w:r w:rsidRPr="003E76E7">
        <w:rPr>
          <w:lang w:eastAsia="en-US"/>
        </w:rPr>
        <w:t>K</w:t>
      </w:r>
      <w:r w:rsidR="00D60EDB" w:rsidRPr="003E76E7">
        <w:rPr>
          <w:lang w:eastAsia="en-US"/>
        </w:rPr>
        <w:t xml:space="preserve">ingdom and the </w:t>
      </w:r>
      <w:r w:rsidRPr="003E76E7">
        <w:rPr>
          <w:lang w:eastAsia="en-US"/>
        </w:rPr>
        <w:t>U</w:t>
      </w:r>
      <w:r w:rsidR="00D60EDB" w:rsidRPr="003E76E7">
        <w:rPr>
          <w:lang w:eastAsia="en-US"/>
        </w:rPr>
        <w:t xml:space="preserve">nited </w:t>
      </w:r>
      <w:r w:rsidRPr="003E76E7">
        <w:rPr>
          <w:lang w:eastAsia="en-US"/>
        </w:rPr>
        <w:t>S</w:t>
      </w:r>
      <w:r w:rsidR="00D60EDB" w:rsidRPr="003E76E7">
        <w:rPr>
          <w:lang w:eastAsia="en-US"/>
        </w:rPr>
        <w:t>tates (AUKUS)</w:t>
      </w:r>
      <w:r w:rsidRPr="003E76E7">
        <w:rPr>
          <w:lang w:eastAsia="en-US"/>
        </w:rPr>
        <w:t xml:space="preserve"> Optimal Pathway and the Nuclear-Powered Submarine Program.</w:t>
      </w:r>
    </w:p>
    <w:p w14:paraId="3CA478F7" w14:textId="77777777" w:rsidR="001511DE" w:rsidRPr="003E76E7" w:rsidRDefault="001511DE" w:rsidP="00C4292D">
      <w:pPr>
        <w:spacing w:before="60" w:after="60" w:line="256" w:lineRule="auto"/>
        <w:rPr>
          <w:lang w:eastAsia="en-US"/>
        </w:rPr>
      </w:pPr>
      <w:r w:rsidRPr="003E76E7">
        <w:rPr>
          <w:lang w:eastAsia="en-US"/>
        </w:rPr>
        <w:t>The establishment of the Australian Naval Nuclear Power Safety Regulator (ANNPSR) as a statutory regulator on 1 November 2025 represents an enduring commitment to the safety of the environment and people.</w:t>
      </w:r>
    </w:p>
    <w:p w14:paraId="0CC15DD2" w14:textId="77777777" w:rsidR="001511DE" w:rsidRPr="003E76E7" w:rsidRDefault="001511DE" w:rsidP="00C4292D">
      <w:pPr>
        <w:spacing w:before="60" w:after="60" w:line="256" w:lineRule="auto"/>
        <w:rPr>
          <w:lang w:eastAsia="en-US"/>
        </w:rPr>
      </w:pPr>
      <w:r w:rsidRPr="003E76E7">
        <w:rPr>
          <w:lang w:eastAsia="en-US"/>
        </w:rPr>
        <w:t>ANNPSR is accountable for assuring nuclear safety for naval nuclear power activities across Australia’s nuclear-powered submarine lifecycle, including licensing activities, monitoring and investigating to ensure compliance, and taking enforcement action where required. Defence, through the Australian Submarine Agency, is responsible for the acquisition, delivery, sustainment and disposal of nuclear-powered submarines, and the Royal Australian Navy will continue to be responsible for submarine operations.</w:t>
      </w:r>
    </w:p>
    <w:p w14:paraId="7138FCB4" w14:textId="16FE86BA" w:rsidR="001511DE" w:rsidRPr="003E76E7" w:rsidRDefault="001511DE" w:rsidP="00C4292D">
      <w:pPr>
        <w:spacing w:before="60" w:after="60" w:line="256" w:lineRule="auto"/>
        <w:rPr>
          <w:lang w:eastAsia="en-US"/>
        </w:rPr>
      </w:pPr>
      <w:r w:rsidRPr="003E76E7">
        <w:rPr>
          <w:lang w:eastAsia="en-US"/>
        </w:rPr>
        <w:t xml:space="preserve">In addition to </w:t>
      </w:r>
      <w:r w:rsidR="008D1B15" w:rsidRPr="003E76E7">
        <w:rPr>
          <w:lang w:eastAsia="en-US"/>
        </w:rPr>
        <w:t>AUKUS</w:t>
      </w:r>
      <w:r w:rsidRPr="003E76E7">
        <w:rPr>
          <w:lang w:eastAsia="en-US"/>
        </w:rPr>
        <w:t xml:space="preserve"> partners, ANNPSR works in partnership with entities within the Defence portfolio, and with Australian Government, state and territory departments, regulators and agencies to assure safety across the nuclear-powered submarine lifecycle.  </w:t>
      </w:r>
    </w:p>
    <w:p w14:paraId="3243872B" w14:textId="77777777" w:rsidR="001511DE" w:rsidRPr="003E76E7" w:rsidRDefault="001511DE" w:rsidP="00C4292D">
      <w:pPr>
        <w:spacing w:before="60" w:after="60" w:line="256" w:lineRule="auto"/>
        <w:rPr>
          <w:lang w:eastAsia="en-US"/>
        </w:rPr>
      </w:pPr>
      <w:r w:rsidRPr="003E76E7">
        <w:rPr>
          <w:lang w:eastAsia="en-US"/>
        </w:rPr>
        <w:t xml:space="preserve">Key priorities for ANNPSR in 2026-27 include regulatory activities, specifically: monitoring activities occurring under licences transitioned from the Australian Radiation Protection and Nuclear Safety Agency (ARPANSA) on establishment of ANNPSR in relation to HMAS </w:t>
      </w:r>
      <w:r w:rsidRPr="00C210BD">
        <w:rPr>
          <w:lang w:eastAsia="en-US"/>
        </w:rPr>
        <w:t>Stirling</w:t>
      </w:r>
      <w:r w:rsidRPr="003E76E7">
        <w:rPr>
          <w:i/>
          <w:lang w:eastAsia="en-US"/>
        </w:rPr>
        <w:t xml:space="preserve">, </w:t>
      </w:r>
      <w:r w:rsidRPr="003E76E7">
        <w:rPr>
          <w:lang w:eastAsia="en-US"/>
        </w:rPr>
        <w:t xml:space="preserve">WA, and the assessment of a siting licence for the Nuclear-Powered Submarine Construction Yard at Osborne, SA. </w:t>
      </w:r>
    </w:p>
    <w:p w14:paraId="63A5472C" w14:textId="77777777" w:rsidR="001511DE" w:rsidRPr="003E76E7" w:rsidRDefault="001511DE" w:rsidP="00C4292D">
      <w:pPr>
        <w:spacing w:before="60" w:after="60" w:line="256" w:lineRule="auto"/>
        <w:rPr>
          <w:lang w:eastAsia="en-US"/>
        </w:rPr>
      </w:pPr>
      <w:r w:rsidRPr="003E76E7">
        <w:rPr>
          <w:lang w:eastAsia="en-US"/>
        </w:rPr>
        <w:t>Throughout 2026-27, ANNPSR will continue to build Australian naval nuclear regulatory capability, working closely with ARPANSA, as well as other key stakeholders, such as AUKUS partners and the Defence Seaworthiness Program, on building the regulatory workforce capability ahead of Submarine Rotational Force-West.</w:t>
      </w:r>
    </w:p>
    <w:p w14:paraId="5A1DD340" w14:textId="1B6D13D6" w:rsidR="00ED4EF4" w:rsidRPr="003E76E7" w:rsidRDefault="00ED4EF4" w:rsidP="00C4292D">
      <w:pPr>
        <w:pStyle w:val="BodyText"/>
        <w:rPr>
          <w:rFonts w:ascii="Arial" w:hAnsi="Arial"/>
          <w:b/>
          <w:lang w:val="en-AU"/>
        </w:rPr>
      </w:pPr>
      <w:r w:rsidRPr="003E76E7">
        <w:br w:type="page"/>
      </w:r>
      <w:bookmarkStart w:id="2283" w:name="_Toc222129975"/>
      <w:r w:rsidR="002C433D" w:rsidRPr="003E76E7">
        <w:rPr>
          <w:rFonts w:ascii="Arial" w:hAnsi="Arial"/>
          <w:b/>
          <w:sz w:val="22"/>
          <w:lang w:val="en-AU"/>
        </w:rPr>
        <w:lastRenderedPageBreak/>
        <w:t>ANNPSR</w:t>
      </w:r>
      <w:r w:rsidRPr="003E76E7">
        <w:rPr>
          <w:rFonts w:ascii="Arial" w:hAnsi="Arial"/>
          <w:b/>
          <w:sz w:val="22"/>
          <w:lang w:val="en-AU"/>
        </w:rPr>
        <w:t xml:space="preserve"> Organisational Structure</w:t>
      </w:r>
      <w:bookmarkEnd w:id="2283"/>
    </w:p>
    <w:p w14:paraId="21EFFC7A" w14:textId="3FCF4878" w:rsidR="00B672BF" w:rsidRPr="003E76E7" w:rsidRDefault="00ED4EF4" w:rsidP="00C4292D">
      <w:pPr>
        <w:pStyle w:val="FigureHeading"/>
        <w:numPr>
          <w:ilvl w:val="0"/>
          <w:numId w:val="57"/>
        </w:numPr>
        <w:tabs>
          <w:tab w:val="num" w:pos="142"/>
          <w:tab w:val="num" w:pos="426"/>
        </w:tabs>
        <w:ind w:hanging="640"/>
        <w:outlineLvl w:val="4"/>
        <w:rPr>
          <w:lang w:val="en-AU"/>
        </w:rPr>
      </w:pPr>
      <w:r w:rsidRPr="003E76E7">
        <w:rPr>
          <w:lang w:val="en-AU"/>
        </w:rPr>
        <w:t>ANNPSR Organisational Chart</w:t>
      </w:r>
    </w:p>
    <w:p w14:paraId="0EB5A219" w14:textId="77777777" w:rsidR="00B672BF" w:rsidRPr="003E76E7" w:rsidRDefault="00B672BF" w:rsidP="00C4292D">
      <w:pPr>
        <w:pStyle w:val="FigureHeading"/>
        <w:numPr>
          <w:ilvl w:val="0"/>
          <w:numId w:val="0"/>
        </w:numPr>
        <w:rPr>
          <w:lang w:val="en-AU"/>
        </w:rPr>
      </w:pPr>
      <w:r w:rsidRPr="003E76E7">
        <w:rPr>
          <w:noProof/>
          <w:lang w:val="en-AU"/>
        </w:rPr>
        <mc:AlternateContent>
          <mc:Choice Requires="wps">
            <w:drawing>
              <wp:anchor distT="45720" distB="45720" distL="114300" distR="114300" simplePos="0" relativeHeight="251832832" behindDoc="0" locked="0" layoutInCell="1" allowOverlap="1" wp14:anchorId="0D65D9A2" wp14:editId="175AE489">
                <wp:simplePos x="0" y="0"/>
                <wp:positionH relativeFrom="column">
                  <wp:posOffset>1974215</wp:posOffset>
                </wp:positionH>
                <wp:positionV relativeFrom="paragraph">
                  <wp:posOffset>162560</wp:posOffset>
                </wp:positionV>
                <wp:extent cx="1499870" cy="578485"/>
                <wp:effectExtent l="12065" t="10160" r="12065" b="11430"/>
                <wp:wrapSquare wrapText="bothSides"/>
                <wp:docPr id="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870" cy="578485"/>
                        </a:xfrm>
                        <a:prstGeom prst="rect">
                          <a:avLst/>
                        </a:prstGeom>
                        <a:solidFill>
                          <a:srgbClr val="FFFFFF"/>
                        </a:solidFill>
                        <a:ln w="9525">
                          <a:solidFill>
                            <a:srgbClr val="000000"/>
                          </a:solidFill>
                          <a:miter lim="800000"/>
                          <a:headEnd/>
                          <a:tailEnd/>
                        </a:ln>
                      </wps:spPr>
                      <wps:txbx>
                        <w:txbxContent>
                          <w:p w14:paraId="56EFF05D" w14:textId="77777777" w:rsidR="00CA309D" w:rsidRPr="00815155" w:rsidRDefault="00CA309D" w:rsidP="00B672BF">
                            <w:pPr>
                              <w:spacing w:before="0" w:after="0"/>
                              <w:jc w:val="center"/>
                              <w:rPr>
                                <w:rFonts w:ascii="Arial" w:hAnsi="Arial"/>
                                <w:color w:val="000000"/>
                                <w:sz w:val="16"/>
                                <w:szCs w:val="16"/>
                              </w:rPr>
                            </w:pPr>
                            <w:r w:rsidRPr="00815155">
                              <w:rPr>
                                <w:rFonts w:ascii="Arial" w:hAnsi="Arial"/>
                                <w:color w:val="000000"/>
                                <w:sz w:val="16"/>
                                <w:szCs w:val="16"/>
                              </w:rPr>
                              <w:t>Deputy Prime Minister</w:t>
                            </w:r>
                            <w:r w:rsidRPr="00815155">
                              <w:rPr>
                                <w:rFonts w:ascii="Arial" w:hAnsi="Arial"/>
                                <w:color w:val="000000"/>
                                <w:sz w:val="16"/>
                                <w:szCs w:val="16"/>
                              </w:rPr>
                              <w:br/>
                              <w:t>Minister for Defence</w:t>
                            </w:r>
                          </w:p>
                          <w:p w14:paraId="4DE4F8B9" w14:textId="77777777" w:rsidR="00CA309D" w:rsidRDefault="00CA309D" w:rsidP="00B672BF">
                            <w:pPr>
                              <w:jc w:val="center"/>
                            </w:pPr>
                            <w:r w:rsidRPr="00A01209">
                              <w:rPr>
                                <w:rFonts w:ascii="Arial" w:hAnsi="Arial"/>
                                <w:color w:val="000000"/>
                                <w:sz w:val="16"/>
                                <w:szCs w:val="16"/>
                              </w:rPr>
                              <w:t>Hon Richard Marles MP</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D65D9A2" id="_x0000_s1100" type="#_x0000_t202" style="position:absolute;margin-left:155.45pt;margin-top:12.8pt;width:118.1pt;height:45.55pt;z-index:2518328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">
                <v:textbox style="mso-fit-shape-to-text:t">
                  <w:txbxContent>
                    <w:p w14:paraId="56EFF05D" w14:textId="77777777" w:rsidR="00CA309D" w:rsidRPr="00815155" w:rsidRDefault="00CA309D" w:rsidP="00B672BF">
                      <w:pPr>
                        <w:spacing w:before="0" w:after="0"/>
                        <w:jc w:val="center"/>
                        <w:rPr>
                          <w:rFonts w:ascii="Arial" w:hAnsi="Arial"/>
                          <w:color w:val="000000"/>
                          <w:sz w:val="16"/>
                          <w:szCs w:val="16"/>
                        </w:rPr>
                      </w:pPr>
                      <w:r w:rsidRPr="00815155">
                        <w:rPr>
                          <w:rFonts w:ascii="Arial" w:hAnsi="Arial"/>
                          <w:color w:val="000000"/>
                          <w:sz w:val="16"/>
                          <w:szCs w:val="16"/>
                        </w:rPr>
                        <w:t>Deputy Prime Minister</w:t>
                      </w:r>
                      <w:r w:rsidRPr="00815155">
                        <w:rPr>
                          <w:rFonts w:ascii="Arial" w:hAnsi="Arial"/>
                          <w:color w:val="000000"/>
                          <w:sz w:val="16"/>
                          <w:szCs w:val="16"/>
                        </w:rPr>
                        <w:br/>
                        <w:t>Minister for Defence</w:t>
                      </w:r>
                    </w:p>
                    <w:p w14:paraId="4DE4F8B9" w14:textId="77777777" w:rsidR="00CA309D" w:rsidRDefault="00CA309D" w:rsidP="00B672BF">
                      <w:pPr>
                        <w:jc w:val="center"/>
                      </w:pPr>
                      <w:r w:rsidRPr="00A01209">
                        <w:rPr>
                          <w:rFonts w:ascii="Arial" w:hAnsi="Arial"/>
                          <w:color w:val="000000"/>
                          <w:sz w:val="16"/>
                          <w:szCs w:val="16"/>
                        </w:rPr>
                        <w:t>Hon Richard Marles MP</w:t>
                      </w:r>
                    </w:p>
                  </w:txbxContent>
                </v:textbox>
                <w10:wrap type="square"/>
              </v:shape>
            </w:pict>
          </mc:Fallback>
        </mc:AlternateContent>
      </w:r>
    </w:p>
    <w:p w14:paraId="69186163" w14:textId="77777777" w:rsidR="00B672BF" w:rsidRPr="003E76E7" w:rsidRDefault="00B672BF" w:rsidP="00C4292D">
      <w:pPr>
        <w:pStyle w:val="FigureHeading"/>
        <w:numPr>
          <w:ilvl w:val="0"/>
          <w:numId w:val="0"/>
        </w:numPr>
        <w:ind w:left="3261"/>
        <w:rPr>
          <w:lang w:val="en-AU"/>
        </w:rPr>
      </w:pPr>
    </w:p>
    <w:p w14:paraId="3BEE1319" w14:textId="281026F6" w:rsidR="00355BFA" w:rsidRPr="003E76E7" w:rsidRDefault="00355BFA" w:rsidP="00C4292D">
      <w:pPr>
        <w:pStyle w:val="FigureHeading"/>
        <w:numPr>
          <w:ilvl w:val="0"/>
          <w:numId w:val="0"/>
        </w:numPr>
        <w:ind w:left="3261"/>
        <w:rPr>
          <w:lang w:val="en-AU"/>
        </w:rPr>
      </w:pPr>
      <w:r w:rsidRPr="003E76E7">
        <w:rPr>
          <w:noProof/>
          <w:lang w:val="en-AU"/>
        </w:rPr>
        <mc:AlternateContent>
          <mc:Choice Requires="wps">
            <w:drawing>
              <wp:anchor distT="0" distB="0" distL="114300" distR="114300" simplePos="0" relativeHeight="251847168" behindDoc="0" locked="0" layoutInCell="1" allowOverlap="1" wp14:anchorId="538084C3" wp14:editId="04721033">
                <wp:simplePos x="0" y="0"/>
                <wp:positionH relativeFrom="column">
                  <wp:posOffset>2736215</wp:posOffset>
                </wp:positionH>
                <wp:positionV relativeFrom="paragraph">
                  <wp:posOffset>201295</wp:posOffset>
                </wp:positionV>
                <wp:extent cx="0" cy="164465"/>
                <wp:effectExtent l="12065" t="10795" r="6985" b="5715"/>
                <wp:wrapNone/>
                <wp:docPr id="24575499" name="AutoShape 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4465"/>
                        </a:xfrm>
                        <a:prstGeom prst="straightConnector1">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9D89114" id="AutoShape 777" o:spid="_x0000_s1026" type="#_x0000_t32" style="position:absolute;margin-left:215.45pt;margin-top:15.85pt;width:0;height:12.95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" strokeweight=".25pt">
                <v:shadow color="#7f7f7f" opacity=".5" offset="1pt"/>
              </v:shape>
            </w:pict>
          </mc:Fallback>
        </mc:AlternateContent>
      </w:r>
    </w:p>
    <w:p w14:paraId="375F6E8A" w14:textId="77777777" w:rsidR="00355BFA" w:rsidRPr="003E76E7" w:rsidRDefault="00355BFA" w:rsidP="00C4292D">
      <w:pPr>
        <w:pStyle w:val="FigureHeading"/>
        <w:numPr>
          <w:ilvl w:val="0"/>
          <w:numId w:val="0"/>
        </w:numPr>
        <w:ind w:left="3261"/>
        <w:rPr>
          <w:lang w:val="en-AU"/>
        </w:rPr>
      </w:pPr>
      <w:r w:rsidRPr="003E76E7">
        <w:rPr>
          <w:noProof/>
          <w:lang w:val="en-AU"/>
        </w:rPr>
        <mc:AlternateContent>
          <mc:Choice Requires="wps">
            <w:drawing>
              <wp:anchor distT="45720" distB="45720" distL="114300" distR="114300" simplePos="0" relativeHeight="251845120" behindDoc="0" locked="0" layoutInCell="1" allowOverlap="1" wp14:anchorId="26E42276" wp14:editId="190AC99C">
                <wp:simplePos x="0" y="0"/>
                <wp:positionH relativeFrom="column">
                  <wp:posOffset>1974215</wp:posOffset>
                </wp:positionH>
                <wp:positionV relativeFrom="paragraph">
                  <wp:posOffset>86360</wp:posOffset>
                </wp:positionV>
                <wp:extent cx="1499870" cy="461645"/>
                <wp:effectExtent l="12065" t="10160" r="12065" b="13970"/>
                <wp:wrapSquare wrapText="bothSides"/>
                <wp:docPr id="245755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870" cy="461645"/>
                        </a:xfrm>
                        <a:prstGeom prst="rect">
                          <a:avLst/>
                        </a:prstGeom>
                        <a:solidFill>
                          <a:srgbClr val="FFFFFF"/>
                        </a:solidFill>
                        <a:ln w="9525">
                          <a:solidFill>
                            <a:srgbClr val="000000"/>
                          </a:solidFill>
                          <a:miter lim="800000"/>
                          <a:headEnd/>
                          <a:tailEnd/>
                        </a:ln>
                      </wps:spPr>
                      <wps:txbx>
                        <w:txbxContent>
                          <w:p w14:paraId="39ACD6D7" w14:textId="77777777" w:rsidR="00CA309D" w:rsidRPr="00815155" w:rsidRDefault="00CA309D" w:rsidP="00355BFA">
                            <w:pPr>
                              <w:spacing w:before="0" w:after="0"/>
                              <w:jc w:val="center"/>
                              <w:rPr>
                                <w:rFonts w:ascii="Arial" w:hAnsi="Arial"/>
                                <w:color w:val="000000"/>
                                <w:sz w:val="16"/>
                                <w:szCs w:val="16"/>
                              </w:rPr>
                            </w:pPr>
                            <w:r>
                              <w:rPr>
                                <w:rFonts w:ascii="Arial" w:hAnsi="Arial"/>
                                <w:color w:val="000000"/>
                                <w:sz w:val="16"/>
                                <w:szCs w:val="16"/>
                              </w:rPr>
                              <w:t>Director-General</w:t>
                            </w:r>
                          </w:p>
                          <w:p w14:paraId="36BACBE6" w14:textId="77777777" w:rsidR="00CA309D" w:rsidRDefault="00CA309D" w:rsidP="00355BFA">
                            <w:pPr>
                              <w:jc w:val="center"/>
                            </w:pPr>
                            <w:r>
                              <w:rPr>
                                <w:rFonts w:ascii="Arial" w:hAnsi="Arial"/>
                                <w:color w:val="000000"/>
                                <w:sz w:val="16"/>
                                <w:szCs w:val="16"/>
                              </w:rPr>
                              <w:t>Mr Michael Drake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6E42276" id="_x0000_s1101" type="#_x0000_t202" style="position:absolute;left:0;text-align:left;margin-left:155.45pt;margin-top:6.8pt;width:118.1pt;height:36.35pt;z-index:251845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">
                <v:textbox style="mso-fit-shape-to-text:t">
                  <w:txbxContent>
                    <w:p w14:paraId="39ACD6D7" w14:textId="77777777" w:rsidR="00CA309D" w:rsidRPr="00815155" w:rsidRDefault="00CA309D" w:rsidP="00355BFA">
                      <w:pPr>
                        <w:spacing w:before="0" w:after="0"/>
                        <w:jc w:val="center"/>
                        <w:rPr>
                          <w:rFonts w:ascii="Arial" w:hAnsi="Arial"/>
                          <w:color w:val="000000"/>
                          <w:sz w:val="16"/>
                          <w:szCs w:val="16"/>
                        </w:rPr>
                      </w:pPr>
                      <w:r>
                        <w:rPr>
                          <w:rFonts w:ascii="Arial" w:hAnsi="Arial"/>
                          <w:color w:val="000000"/>
                          <w:sz w:val="16"/>
                          <w:szCs w:val="16"/>
                        </w:rPr>
                        <w:t>Director-General</w:t>
                      </w:r>
                    </w:p>
                    <w:p w14:paraId="36BACBE6" w14:textId="77777777" w:rsidR="00CA309D" w:rsidRDefault="00CA309D" w:rsidP="00355BFA">
                      <w:pPr>
                        <w:jc w:val="center"/>
                      </w:pPr>
                      <w:r>
                        <w:rPr>
                          <w:rFonts w:ascii="Arial" w:hAnsi="Arial"/>
                          <w:color w:val="000000"/>
                          <w:sz w:val="16"/>
                          <w:szCs w:val="16"/>
                        </w:rPr>
                        <w:t>Mr Michael Drake</w:t>
                      </w:r>
                    </w:p>
                  </w:txbxContent>
                </v:textbox>
                <w10:wrap type="square"/>
              </v:shape>
            </w:pict>
          </mc:Fallback>
        </mc:AlternateContent>
      </w:r>
    </w:p>
    <w:p w14:paraId="63207068" w14:textId="77777777" w:rsidR="00355BFA" w:rsidRPr="003E76E7" w:rsidRDefault="00355BFA" w:rsidP="00C4292D">
      <w:pPr>
        <w:pStyle w:val="FigureHeading"/>
        <w:numPr>
          <w:ilvl w:val="0"/>
          <w:numId w:val="0"/>
        </w:numPr>
        <w:rPr>
          <w:lang w:val="en-AU"/>
        </w:rPr>
      </w:pPr>
    </w:p>
    <w:p w14:paraId="6E854289" w14:textId="77777777" w:rsidR="00355BFA" w:rsidRPr="003E76E7" w:rsidRDefault="00355BFA" w:rsidP="00C4292D">
      <w:pPr>
        <w:pStyle w:val="FigureHeading"/>
        <w:numPr>
          <w:ilvl w:val="0"/>
          <w:numId w:val="0"/>
        </w:numPr>
        <w:rPr>
          <w:lang w:val="en-AU"/>
        </w:rPr>
      </w:pPr>
      <w:r w:rsidRPr="003E76E7">
        <w:rPr>
          <w:rFonts w:cs="Calibri"/>
          <w:noProof/>
          <w:color w:val="000000"/>
          <w:szCs w:val="20"/>
          <w:lang w:val="en-AU"/>
        </w:rPr>
        <mc:AlternateContent>
          <mc:Choice Requires="wps">
            <w:drawing>
              <wp:anchor distT="0" distB="0" distL="114300" distR="114300" simplePos="0" relativeHeight="251848192" behindDoc="0" locked="0" layoutInCell="1" allowOverlap="1" wp14:anchorId="4DE516C0" wp14:editId="68A69C9D">
                <wp:simplePos x="0" y="0"/>
                <wp:positionH relativeFrom="column">
                  <wp:posOffset>2736215</wp:posOffset>
                </wp:positionH>
                <wp:positionV relativeFrom="paragraph">
                  <wp:posOffset>23495</wp:posOffset>
                </wp:positionV>
                <wp:extent cx="0" cy="164465"/>
                <wp:effectExtent l="12065" t="13970" r="6985" b="12065"/>
                <wp:wrapNone/>
                <wp:docPr id="24575501" name="AutoShape 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4465"/>
                        </a:xfrm>
                        <a:prstGeom prst="straightConnector1">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16C6A8D" id="AutoShape 778" o:spid="_x0000_s1026" type="#_x0000_t32" style="position:absolute;margin-left:215.45pt;margin-top:1.85pt;width:0;height:12.95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" strokeweight=".25pt">
                <v:shadow color="#7f7f7f" opacity=".5" offset="1pt"/>
              </v:shape>
            </w:pict>
          </mc:Fallback>
        </mc:AlternateContent>
      </w:r>
      <w:r w:rsidRPr="003E76E7">
        <w:rPr>
          <w:rFonts w:cs="Calibri"/>
          <w:noProof/>
          <w:color w:val="000000"/>
          <w:szCs w:val="20"/>
          <w:lang w:val="en-AU"/>
        </w:rPr>
        <mc:AlternateContent>
          <mc:Choice Requires="wps">
            <w:drawing>
              <wp:anchor distT="45720" distB="45720" distL="114300" distR="114300" simplePos="0" relativeHeight="251846144" behindDoc="0" locked="0" layoutInCell="1" allowOverlap="1" wp14:anchorId="5AD31D35" wp14:editId="701462DA">
                <wp:simplePos x="0" y="0"/>
                <wp:positionH relativeFrom="column">
                  <wp:posOffset>1984375</wp:posOffset>
                </wp:positionH>
                <wp:positionV relativeFrom="paragraph">
                  <wp:posOffset>197485</wp:posOffset>
                </wp:positionV>
                <wp:extent cx="1499870" cy="482600"/>
                <wp:effectExtent l="12700" t="6985" r="11430" b="5715"/>
                <wp:wrapSquare wrapText="bothSides"/>
                <wp:docPr id="245755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870" cy="482600"/>
                        </a:xfrm>
                        <a:prstGeom prst="rect">
                          <a:avLst/>
                        </a:prstGeom>
                        <a:solidFill>
                          <a:srgbClr val="FFFFFF"/>
                        </a:solidFill>
                        <a:ln w="9525">
                          <a:solidFill>
                            <a:srgbClr val="000000"/>
                          </a:solidFill>
                          <a:miter lim="800000"/>
                          <a:headEnd/>
                          <a:tailEnd/>
                        </a:ln>
                      </wps:spPr>
                      <wps:txbx>
                        <w:txbxContent>
                          <w:p w14:paraId="372D0F92" w14:textId="77777777" w:rsidR="00CA309D" w:rsidRPr="00815155" w:rsidRDefault="00CA309D" w:rsidP="00355BFA">
                            <w:pPr>
                              <w:spacing w:before="0" w:after="0"/>
                              <w:jc w:val="center"/>
                              <w:rPr>
                                <w:rFonts w:ascii="Arial" w:hAnsi="Arial"/>
                                <w:color w:val="000000"/>
                                <w:sz w:val="16"/>
                                <w:szCs w:val="16"/>
                              </w:rPr>
                            </w:pPr>
                            <w:r>
                              <w:rPr>
                                <w:rFonts w:ascii="Arial" w:hAnsi="Arial"/>
                                <w:color w:val="000000"/>
                                <w:sz w:val="16"/>
                                <w:szCs w:val="16"/>
                              </w:rPr>
                              <w:t>Deputy Director-General</w:t>
                            </w:r>
                          </w:p>
                          <w:p w14:paraId="56BB25C9" w14:textId="77777777" w:rsidR="00CA309D" w:rsidRPr="009B4E7A" w:rsidRDefault="00CA309D" w:rsidP="00355BFA">
                            <w:pPr>
                              <w:jc w:val="center"/>
                              <w:rPr>
                                <w:rFonts w:ascii="Arial" w:hAnsi="Arial"/>
                                <w:color w:val="000000"/>
                                <w:sz w:val="12"/>
                                <w:szCs w:val="16"/>
                              </w:rPr>
                            </w:pPr>
                            <w:r>
                              <w:rPr>
                                <w:rFonts w:ascii="Arial" w:hAnsi="Arial"/>
                                <w:sz w:val="16"/>
                              </w:rPr>
                              <w:t xml:space="preserve">Mr Dale </w:t>
                            </w:r>
                            <w:r w:rsidRPr="00F5489D">
                              <w:rPr>
                                <w:rFonts w:ascii="Arial" w:hAnsi="Arial"/>
                                <w:sz w:val="16"/>
                              </w:rPr>
                              <w:t>H</w:t>
                            </w:r>
                            <w:r w:rsidRPr="000C75A6">
                              <w:rPr>
                                <w:rFonts w:ascii="Arial" w:hAnsi="Arial"/>
                                <w:sz w:val="16"/>
                              </w:rPr>
                              <w:t>einken</w:t>
                            </w:r>
                          </w:p>
                          <w:p w14:paraId="64A57060" w14:textId="77777777" w:rsidR="00CA309D" w:rsidRPr="009B4E7A" w:rsidRDefault="00CA309D" w:rsidP="00355BFA">
                            <w:pPr>
                              <w:jc w:val="center"/>
                              <w:rPr>
                                <w:rFonts w:ascii="Arial" w:hAnsi="Arial"/>
                                <w:color w:val="000000"/>
                                <w:sz w:val="12"/>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D31D35" id="_x0000_s1102" type="#_x0000_t202" style="position:absolute;margin-left:156.25pt;margin-top:15.55pt;width:118.1pt;height:38pt;z-index:251846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">
                <v:textbox>
                  <w:txbxContent>
                    <w:p w14:paraId="372D0F92" w14:textId="77777777" w:rsidR="00CA309D" w:rsidRPr="00815155" w:rsidRDefault="00CA309D" w:rsidP="00355BFA">
                      <w:pPr>
                        <w:spacing w:before="0" w:after="0"/>
                        <w:jc w:val="center"/>
                        <w:rPr>
                          <w:rFonts w:ascii="Arial" w:hAnsi="Arial"/>
                          <w:color w:val="000000"/>
                          <w:sz w:val="16"/>
                          <w:szCs w:val="16"/>
                        </w:rPr>
                      </w:pPr>
                      <w:r>
                        <w:rPr>
                          <w:rFonts w:ascii="Arial" w:hAnsi="Arial"/>
                          <w:color w:val="000000"/>
                          <w:sz w:val="16"/>
                          <w:szCs w:val="16"/>
                        </w:rPr>
                        <w:t>Deputy Director-General</w:t>
                      </w:r>
                    </w:p>
                    <w:p w14:paraId="56BB25C9" w14:textId="77777777" w:rsidR="00CA309D" w:rsidRPr="009B4E7A" w:rsidRDefault="00CA309D" w:rsidP="00355BFA">
                      <w:pPr>
                        <w:jc w:val="center"/>
                        <w:rPr>
                          <w:rFonts w:ascii="Arial" w:hAnsi="Arial"/>
                          <w:color w:val="000000"/>
                          <w:sz w:val="12"/>
                          <w:szCs w:val="16"/>
                        </w:rPr>
                      </w:pPr>
                      <w:r>
                        <w:rPr>
                          <w:rFonts w:ascii="Arial" w:hAnsi="Arial"/>
                          <w:sz w:val="16"/>
                        </w:rPr>
                        <w:t xml:space="preserve">Mr Dale </w:t>
                      </w:r>
                      <w:r w:rsidRPr="00F5489D">
                        <w:rPr>
                          <w:rFonts w:ascii="Arial" w:hAnsi="Arial"/>
                          <w:sz w:val="16"/>
                        </w:rPr>
                        <w:t>H</w:t>
                      </w:r>
                      <w:r w:rsidRPr="000C75A6">
                        <w:rPr>
                          <w:rFonts w:ascii="Arial" w:hAnsi="Arial"/>
                          <w:sz w:val="16"/>
                        </w:rPr>
                        <w:t>einken</w:t>
                      </w:r>
                    </w:p>
                    <w:p w14:paraId="64A57060" w14:textId="77777777" w:rsidR="00CA309D" w:rsidRPr="009B4E7A" w:rsidRDefault="00CA309D" w:rsidP="00355BFA">
                      <w:pPr>
                        <w:jc w:val="center"/>
                        <w:rPr>
                          <w:rFonts w:ascii="Arial" w:hAnsi="Arial"/>
                          <w:color w:val="000000"/>
                          <w:sz w:val="12"/>
                          <w:szCs w:val="16"/>
                        </w:rPr>
                      </w:pPr>
                    </w:p>
                  </w:txbxContent>
                </v:textbox>
                <w10:wrap type="square"/>
              </v:shape>
            </w:pict>
          </mc:Fallback>
        </mc:AlternateContent>
      </w:r>
    </w:p>
    <w:p w14:paraId="09566C2C" w14:textId="77777777" w:rsidR="00355BFA" w:rsidRPr="003E76E7" w:rsidRDefault="00355BFA" w:rsidP="00C4292D">
      <w:pPr>
        <w:pStyle w:val="FigureHeading"/>
        <w:numPr>
          <w:ilvl w:val="0"/>
          <w:numId w:val="0"/>
        </w:numPr>
        <w:rPr>
          <w:lang w:val="en-AU"/>
        </w:rPr>
      </w:pPr>
    </w:p>
    <w:p w14:paraId="6CC730EE" w14:textId="77777777" w:rsidR="00B672BF" w:rsidRPr="003E76E7" w:rsidRDefault="00B672BF" w:rsidP="00C4292D">
      <w:pPr>
        <w:pStyle w:val="FigureHeading"/>
        <w:numPr>
          <w:ilvl w:val="0"/>
          <w:numId w:val="0"/>
        </w:numPr>
        <w:ind w:left="3261"/>
        <w:rPr>
          <w:lang w:val="en-AU"/>
        </w:rPr>
      </w:pPr>
    </w:p>
    <w:p w14:paraId="30ACFF3E" w14:textId="77777777" w:rsidR="00B672BF" w:rsidRPr="003E76E7" w:rsidRDefault="00B672BF" w:rsidP="00C4292D">
      <w:pPr>
        <w:pStyle w:val="FigureHeading"/>
        <w:numPr>
          <w:ilvl w:val="0"/>
          <w:numId w:val="0"/>
        </w:numPr>
        <w:rPr>
          <w:lang w:val="en-AU"/>
        </w:rPr>
      </w:pPr>
    </w:p>
    <w:p w14:paraId="1D6E95CA" w14:textId="77777777" w:rsidR="00B672BF" w:rsidRPr="003E76E7" w:rsidRDefault="00B672BF" w:rsidP="00C4292D">
      <w:r w:rsidRPr="003E76E7">
        <w:rPr>
          <w:rFonts w:ascii="Arial Bold" w:hAnsi="Arial Bold" w:cs="Times New Roman"/>
          <w:b/>
          <w:bCs/>
        </w:rPr>
        <w:t>Organisational Structure</w:t>
      </w:r>
    </w:p>
    <w:p w14:paraId="285B14AA" w14:textId="58E3B5A7" w:rsidR="009F70AE" w:rsidRPr="003E76E7" w:rsidRDefault="009F70AE" w:rsidP="00C4292D">
      <w:pPr>
        <w:rPr>
          <w:rFonts w:cs="Calibri"/>
          <w:szCs w:val="20"/>
        </w:rPr>
      </w:pPr>
      <w:r w:rsidRPr="003E76E7">
        <w:rPr>
          <w:color w:val="000000"/>
          <w:szCs w:val="20"/>
        </w:rPr>
        <w:t>No changes have taken place since the last Portfolio Statements</w:t>
      </w:r>
      <w:r w:rsidRPr="003E76E7">
        <w:t>.</w:t>
      </w:r>
    </w:p>
    <w:p w14:paraId="26F9E0A4" w14:textId="77777777" w:rsidR="00B672BF" w:rsidRPr="003E76E7" w:rsidRDefault="00B672BF" w:rsidP="00C4292D">
      <w:pPr>
        <w:pStyle w:val="FigureHeading"/>
        <w:numPr>
          <w:ilvl w:val="0"/>
          <w:numId w:val="0"/>
        </w:numPr>
        <w:rPr>
          <w:lang w:val="en-AU"/>
        </w:rPr>
      </w:pPr>
    </w:p>
    <w:p w14:paraId="1B73E216" w14:textId="77777777" w:rsidR="00B672BF" w:rsidRPr="003E76E7" w:rsidRDefault="00B672BF" w:rsidP="00C4292D">
      <w:pPr>
        <w:rPr>
          <w:rFonts w:ascii="Arial Bold" w:hAnsi="Arial Bold" w:cs="Times New Roman"/>
          <w:b/>
          <w:bCs/>
        </w:rPr>
      </w:pPr>
      <w:r w:rsidRPr="003E76E7">
        <w:rPr>
          <w:rFonts w:ascii="Arial Bold" w:hAnsi="Arial Bold" w:cs="Times New Roman"/>
          <w:b/>
          <w:bCs/>
        </w:rPr>
        <w:t>Senior Executive Changes</w:t>
      </w:r>
    </w:p>
    <w:p w14:paraId="73D8E507" w14:textId="500EE074" w:rsidR="008D1B15" w:rsidRPr="003E76E7" w:rsidRDefault="00355BFA" w:rsidP="00C4292D">
      <w:pPr>
        <w:rPr>
          <w:color w:val="000000"/>
          <w:szCs w:val="20"/>
        </w:rPr>
      </w:pPr>
      <w:r w:rsidRPr="003E76E7">
        <w:rPr>
          <w:color w:val="000000"/>
          <w:szCs w:val="20"/>
        </w:rPr>
        <w:t>On 10 April 2026, Mr Dale Heinken commenced as Deputy Director-General.</w:t>
      </w:r>
    </w:p>
    <w:p w14:paraId="20681B13" w14:textId="7274C284" w:rsidR="009F70AE" w:rsidRPr="003E76E7" w:rsidRDefault="009F70AE" w:rsidP="00C4292D">
      <w:pPr>
        <w:rPr>
          <w:rFonts w:cs="Calibri"/>
          <w:color w:val="000000"/>
          <w:szCs w:val="20"/>
        </w:rPr>
      </w:pPr>
    </w:p>
    <w:p w14:paraId="6CB1CC70" w14:textId="77777777" w:rsidR="00ED4EF4" w:rsidRPr="003E76E7" w:rsidRDefault="00ED4EF4" w:rsidP="00C4292D">
      <w:pPr>
        <w:rPr>
          <w:rFonts w:cs="Calibri"/>
          <w:color w:val="000000"/>
          <w:szCs w:val="20"/>
        </w:rPr>
      </w:pPr>
    </w:p>
    <w:p w14:paraId="2E4AC2FF" w14:textId="08C64ABE" w:rsidR="00ED4EF4" w:rsidRPr="003E76E7" w:rsidRDefault="00ED4EF4" w:rsidP="00C4292D">
      <w:pPr>
        <w:pStyle w:val="Heading4"/>
        <w:rPr>
          <w:sz w:val="24"/>
          <w:szCs w:val="24"/>
        </w:rPr>
      </w:pPr>
      <w:r w:rsidRPr="003E76E7">
        <w:br w:type="page"/>
      </w:r>
      <w:bookmarkStart w:id="2284" w:name="_Toc222129976"/>
      <w:bookmarkStart w:id="2285" w:name="_Toc222148400"/>
      <w:bookmarkStart w:id="2286" w:name="_Toc225848028"/>
      <w:bookmarkStart w:id="2287" w:name="_Toc225848111"/>
      <w:bookmarkStart w:id="2288" w:name="_Toc225848194"/>
      <w:bookmarkStart w:id="2289" w:name="_Toc225848533"/>
      <w:bookmarkStart w:id="2290" w:name="_Toc225941601"/>
      <w:bookmarkStart w:id="2291" w:name="_Toc225942608"/>
      <w:bookmarkStart w:id="2292" w:name="_Toc227334418"/>
      <w:bookmarkStart w:id="2293" w:name="_Toc229072493"/>
      <w:bookmarkStart w:id="2294" w:name="_Toc229072665"/>
      <w:r w:rsidRPr="003E76E7">
        <w:rPr>
          <w:sz w:val="24"/>
          <w:szCs w:val="24"/>
        </w:rPr>
        <w:lastRenderedPageBreak/>
        <w:t>1.2 ANNPSR Resource Statement</w:t>
      </w:r>
      <w:bookmarkEnd w:id="2284"/>
      <w:bookmarkEnd w:id="2285"/>
      <w:bookmarkEnd w:id="2286"/>
      <w:bookmarkEnd w:id="2287"/>
      <w:bookmarkEnd w:id="2288"/>
      <w:bookmarkEnd w:id="2289"/>
      <w:bookmarkEnd w:id="2290"/>
      <w:bookmarkEnd w:id="2291"/>
      <w:bookmarkEnd w:id="2292"/>
      <w:bookmarkEnd w:id="2293"/>
      <w:bookmarkEnd w:id="2294"/>
    </w:p>
    <w:p w14:paraId="3A2E0E5A" w14:textId="2385FD4D" w:rsidR="00EE725D" w:rsidRPr="003E76E7" w:rsidRDefault="00EE725D" w:rsidP="00C4292D">
      <w:pPr>
        <w:spacing w:before="0" w:after="120"/>
        <w:rPr>
          <w:lang w:eastAsia="en-US"/>
        </w:rPr>
      </w:pPr>
      <w:r w:rsidRPr="003E76E7">
        <w:rPr>
          <w:lang w:eastAsia="en-US"/>
        </w:rPr>
        <w:t>This table shows the total resourcing available to the ANNPSR to deliver programs and services on behalf of the Government.</w:t>
      </w:r>
    </w:p>
    <w:p w14:paraId="0527719A" w14:textId="74A0F14C" w:rsidR="00ED4EF4" w:rsidRPr="003E76E7" w:rsidRDefault="00ED4EF4" w:rsidP="00C4292D">
      <w:pPr>
        <w:pStyle w:val="TableHeading"/>
        <w:numPr>
          <w:ilvl w:val="0"/>
          <w:numId w:val="66"/>
        </w:numPr>
        <w:spacing w:before="100"/>
        <w:ind w:left="0" w:firstLine="0"/>
        <w:outlineLvl w:val="4"/>
      </w:pPr>
      <w:r w:rsidRPr="003E76E7">
        <w:t xml:space="preserve">ANNPSR Resource Statement </w:t>
      </w:r>
      <w:r w:rsidR="00722810" w:rsidRPr="003E76E7">
        <w:t>-</w:t>
      </w:r>
      <w:r w:rsidRPr="003E76E7">
        <w:t xml:space="preserve"> Budget Estimates for 2026-27 as at</w:t>
      </w:r>
      <w:r w:rsidR="006C3699" w:rsidRPr="003E76E7">
        <w:t xml:space="preserve"> </w:t>
      </w:r>
      <w:r w:rsidR="006C3699" w:rsidRPr="003E76E7">
        <w:br/>
        <w:t>May</w:t>
      </w:r>
      <w:r w:rsidRPr="003E76E7">
        <w:t xml:space="preserve"> Budget</w:t>
      </w:r>
      <w:r w:rsidR="003746BF" w:rsidRPr="003E76E7">
        <w:t xml:space="preserve"> 2026</w:t>
      </w:r>
      <w:r w:rsidR="008D1B15" w:rsidRPr="003E76E7">
        <w:t xml:space="preserve"> </w:t>
      </w:r>
      <w:r w:rsidR="008D1B15" w:rsidRPr="003E76E7">
        <w:rPr>
          <w:vertAlign w:val="superscript"/>
        </w:rPr>
        <w:t>[a] [b]</w:t>
      </w:r>
    </w:p>
    <w:p w14:paraId="553DE6ED" w14:textId="65C5B2FB" w:rsidR="00ED4EF4" w:rsidRPr="003E76E7" w:rsidRDefault="00755FF4" w:rsidP="00C4292D">
      <w:pPr>
        <w:spacing w:after="0"/>
      </w:pPr>
      <w:r w:rsidRPr="003E76E7">
        <w:rPr>
          <w:noProof/>
          <w:lang w:val="en-AU"/>
        </w:rPr>
        <w:drawing>
          <wp:inline distT="0" distB="0" distL="0" distR="0" wp14:anchorId="544C6180" wp14:editId="28B1A743">
            <wp:extent cx="5472430" cy="1176794"/>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472430" cy="1176794"/>
                    </a:xfrm>
                    <a:prstGeom prst="rect">
                      <a:avLst/>
                    </a:prstGeom>
                    <a:noFill/>
                    <a:ln>
                      <a:noFill/>
                    </a:ln>
                  </pic:spPr>
                </pic:pic>
              </a:graphicData>
            </a:graphic>
          </wp:inline>
        </w:drawing>
      </w:r>
    </w:p>
    <w:p w14:paraId="5B0980AC" w14:textId="77777777" w:rsidR="008D1B15" w:rsidRPr="003E76E7" w:rsidRDefault="008D1B15" w:rsidP="00C4292D">
      <w:pPr>
        <w:spacing w:before="0" w:after="0"/>
        <w:rPr>
          <w:rFonts w:ascii="Arial" w:hAnsi="Arial"/>
          <w:sz w:val="14"/>
          <w:szCs w:val="14"/>
        </w:rPr>
      </w:pPr>
    </w:p>
    <w:p w14:paraId="21A442EF" w14:textId="39AF6B96" w:rsidR="00EE725D" w:rsidRPr="003E76E7" w:rsidRDefault="00EE725D" w:rsidP="00C4292D">
      <w:pPr>
        <w:spacing w:before="0" w:after="0"/>
        <w:rPr>
          <w:rFonts w:ascii="Arial" w:hAnsi="Arial"/>
          <w:b/>
          <w:sz w:val="14"/>
          <w:szCs w:val="14"/>
        </w:rPr>
      </w:pPr>
      <w:r w:rsidRPr="003E76E7">
        <w:rPr>
          <w:rFonts w:ascii="Arial" w:hAnsi="Arial"/>
          <w:b/>
          <w:sz w:val="14"/>
          <w:szCs w:val="14"/>
        </w:rPr>
        <w:t>Note</w:t>
      </w:r>
      <w:r w:rsidR="002E71EE" w:rsidRPr="003E76E7">
        <w:rPr>
          <w:rFonts w:ascii="Arial" w:hAnsi="Arial"/>
          <w:b/>
          <w:sz w:val="14"/>
          <w:szCs w:val="14"/>
        </w:rPr>
        <w:t>s</w:t>
      </w:r>
    </w:p>
    <w:p w14:paraId="6A440D46" w14:textId="73D426CE" w:rsidR="008D1B15" w:rsidRPr="003E76E7" w:rsidRDefault="00EE725D" w:rsidP="00C4292D">
      <w:pPr>
        <w:pStyle w:val="ListParagraph"/>
        <w:numPr>
          <w:ilvl w:val="1"/>
          <w:numId w:val="41"/>
        </w:numPr>
        <w:tabs>
          <w:tab w:val="left" w:pos="284"/>
        </w:tabs>
        <w:spacing w:before="0" w:after="0"/>
        <w:ind w:left="284" w:hanging="284"/>
        <w:rPr>
          <w:rFonts w:ascii="Arial" w:hAnsi="Arial"/>
          <w:sz w:val="14"/>
          <w:szCs w:val="14"/>
        </w:rPr>
      </w:pPr>
      <w:r w:rsidRPr="003E76E7">
        <w:rPr>
          <w:rFonts w:ascii="Arial" w:hAnsi="Arial"/>
          <w:sz w:val="14"/>
          <w:szCs w:val="14"/>
        </w:rPr>
        <w:tab/>
      </w:r>
      <w:r w:rsidR="008D1B15" w:rsidRPr="003E76E7">
        <w:rPr>
          <w:rFonts w:ascii="Arial" w:hAnsi="Arial"/>
          <w:sz w:val="14"/>
          <w:szCs w:val="14"/>
        </w:rPr>
        <w:t>Prepared on a resourcing (i.e. appropriations available) basis.</w:t>
      </w:r>
      <w:r w:rsidR="008D1B15" w:rsidRPr="003E76E7">
        <w:rPr>
          <w:rFonts w:ascii="Arial" w:hAnsi="Arial"/>
          <w:sz w:val="14"/>
          <w:szCs w:val="14"/>
        </w:rPr>
        <w:tab/>
      </w:r>
      <w:r w:rsidR="008D1B15" w:rsidRPr="003E76E7">
        <w:rPr>
          <w:rFonts w:ascii="Arial" w:hAnsi="Arial"/>
          <w:sz w:val="14"/>
          <w:szCs w:val="14"/>
        </w:rPr>
        <w:tab/>
      </w:r>
    </w:p>
    <w:p w14:paraId="2CE1A878" w14:textId="72AD163E" w:rsidR="008D1B15" w:rsidRPr="003E76E7" w:rsidRDefault="008D1B15" w:rsidP="00C4292D">
      <w:pPr>
        <w:pStyle w:val="ListParagraph"/>
        <w:numPr>
          <w:ilvl w:val="1"/>
          <w:numId w:val="41"/>
        </w:numPr>
        <w:tabs>
          <w:tab w:val="left" w:pos="284"/>
        </w:tabs>
        <w:spacing w:before="0" w:after="0"/>
        <w:ind w:left="284" w:hanging="284"/>
        <w:rPr>
          <w:rFonts w:ascii="Arial" w:hAnsi="Arial"/>
          <w:sz w:val="14"/>
          <w:szCs w:val="14"/>
        </w:rPr>
      </w:pPr>
      <w:r w:rsidRPr="003E76E7">
        <w:rPr>
          <w:rFonts w:ascii="Arial" w:hAnsi="Arial"/>
          <w:sz w:val="14"/>
          <w:szCs w:val="14"/>
        </w:rPr>
        <w:t>Annual appropriation amounts reported for 2025-26 are inclusive of Supply Bill arrangements.</w:t>
      </w:r>
    </w:p>
    <w:p w14:paraId="35A88DC6" w14:textId="1B962632" w:rsidR="00EE725D" w:rsidRPr="003E76E7" w:rsidRDefault="00EE725D" w:rsidP="00C4292D">
      <w:pPr>
        <w:pStyle w:val="ListParagraph"/>
        <w:numPr>
          <w:ilvl w:val="1"/>
          <w:numId w:val="41"/>
        </w:numPr>
        <w:tabs>
          <w:tab w:val="left" w:pos="284"/>
        </w:tabs>
        <w:spacing w:before="0" w:after="0"/>
        <w:ind w:left="284" w:hanging="284"/>
        <w:rPr>
          <w:rFonts w:ascii="Arial" w:hAnsi="Arial"/>
          <w:sz w:val="14"/>
          <w:szCs w:val="14"/>
        </w:rPr>
      </w:pPr>
      <w:r w:rsidRPr="003E76E7">
        <w:rPr>
          <w:rFonts w:ascii="Arial" w:hAnsi="Arial"/>
          <w:sz w:val="14"/>
          <w:szCs w:val="14"/>
        </w:rPr>
        <w:t>Appropriation Bill (No. 1) 2026-2027.</w:t>
      </w:r>
    </w:p>
    <w:p w14:paraId="466BE02D" w14:textId="77777777" w:rsidR="00EE725D" w:rsidRPr="003E76E7" w:rsidRDefault="00EE725D" w:rsidP="00C4292D"/>
    <w:p w14:paraId="42D104F6" w14:textId="77777777" w:rsidR="00ED4EF4" w:rsidRPr="003E76E7" w:rsidRDefault="00ED4EF4" w:rsidP="00C4292D">
      <w:pPr>
        <w:spacing w:before="0" w:after="0"/>
        <w:rPr>
          <w:rFonts w:ascii="Arial" w:hAnsi="Arial"/>
          <w:b/>
          <w:sz w:val="14"/>
          <w:szCs w:val="14"/>
        </w:rPr>
      </w:pPr>
    </w:p>
    <w:p w14:paraId="67B83CAA" w14:textId="1110D63C" w:rsidR="00ED4EF4" w:rsidRPr="003E76E7" w:rsidRDefault="00ED4EF4" w:rsidP="00C4292D">
      <w:pPr>
        <w:pStyle w:val="Heading4"/>
        <w:rPr>
          <w:sz w:val="24"/>
          <w:szCs w:val="24"/>
        </w:rPr>
      </w:pPr>
      <w:r w:rsidRPr="003E76E7">
        <w:rPr>
          <w:lang w:val="en-AU"/>
        </w:rPr>
        <w:br w:type="page"/>
      </w:r>
      <w:bookmarkStart w:id="2295" w:name="_Toc222129977"/>
      <w:bookmarkStart w:id="2296" w:name="_Toc222148401"/>
      <w:bookmarkStart w:id="2297" w:name="_Toc225848029"/>
      <w:bookmarkStart w:id="2298" w:name="_Toc225848112"/>
      <w:bookmarkStart w:id="2299" w:name="_Toc225848195"/>
      <w:bookmarkStart w:id="2300" w:name="_Toc225848534"/>
      <w:bookmarkStart w:id="2301" w:name="_Toc225941602"/>
      <w:bookmarkStart w:id="2302" w:name="_Toc225942609"/>
      <w:bookmarkStart w:id="2303" w:name="_Toc227334419"/>
      <w:bookmarkStart w:id="2304" w:name="_Toc229072494"/>
      <w:bookmarkStart w:id="2305" w:name="_Toc229072666"/>
      <w:r w:rsidRPr="003E76E7">
        <w:rPr>
          <w:sz w:val="24"/>
          <w:szCs w:val="24"/>
        </w:rPr>
        <w:lastRenderedPageBreak/>
        <w:t>1.3 Budget Measures</w:t>
      </w:r>
      <w:bookmarkEnd w:id="2295"/>
      <w:bookmarkEnd w:id="2296"/>
      <w:bookmarkEnd w:id="2297"/>
      <w:bookmarkEnd w:id="2298"/>
      <w:bookmarkEnd w:id="2299"/>
      <w:bookmarkEnd w:id="2300"/>
      <w:bookmarkEnd w:id="2301"/>
      <w:bookmarkEnd w:id="2302"/>
      <w:bookmarkEnd w:id="2303"/>
      <w:bookmarkEnd w:id="2304"/>
      <w:bookmarkEnd w:id="2305"/>
    </w:p>
    <w:p w14:paraId="21FC23CC" w14:textId="77777777" w:rsidR="00ED4EF4" w:rsidRPr="003E76E7" w:rsidRDefault="00ED4EF4" w:rsidP="00C4292D">
      <w:pPr>
        <w:pStyle w:val="Heading4level5"/>
        <w:spacing w:before="100" w:after="100"/>
      </w:pPr>
      <w:r w:rsidRPr="003E76E7">
        <w:t>2026-27 Budget Measures and Other Budget Adjustments</w:t>
      </w:r>
    </w:p>
    <w:p w14:paraId="60F5FB03" w14:textId="58F65DEA" w:rsidR="00ED4EF4" w:rsidRPr="003E76E7" w:rsidRDefault="00ED4EF4" w:rsidP="00C4292D">
      <w:pPr>
        <w:pStyle w:val="TableHeading"/>
        <w:numPr>
          <w:ilvl w:val="0"/>
          <w:numId w:val="66"/>
        </w:numPr>
        <w:spacing w:before="100"/>
        <w:ind w:left="0" w:firstLine="0"/>
        <w:outlineLvl w:val="4"/>
      </w:pPr>
      <w:r w:rsidRPr="003E76E7">
        <w:t>ANNPSR 2026-27 Budget Measures</w:t>
      </w:r>
      <w:r w:rsidR="008D1B15" w:rsidRPr="003E76E7">
        <w:t xml:space="preserve"> </w:t>
      </w:r>
      <w:r w:rsidR="008D1B15" w:rsidRPr="003E76E7">
        <w:rPr>
          <w:vertAlign w:val="superscript"/>
        </w:rPr>
        <w:t>[a]</w:t>
      </w:r>
    </w:p>
    <w:p w14:paraId="57AB7AE1" w14:textId="5332718B" w:rsidR="00ED4EF4" w:rsidRPr="003E76E7" w:rsidRDefault="00EE37B5" w:rsidP="00C4292D">
      <w:pPr>
        <w:spacing w:after="0"/>
        <w:rPr>
          <w:rFonts w:ascii="Arial" w:hAnsi="Arial"/>
          <w:b/>
          <w:sz w:val="14"/>
          <w:szCs w:val="14"/>
        </w:rPr>
      </w:pPr>
      <w:r w:rsidRPr="00EE37B5">
        <w:rPr>
          <w:noProof/>
          <w:lang w:val="en-AU"/>
        </w:rPr>
        <w:drawing>
          <wp:inline distT="0" distB="0" distL="0" distR="0" wp14:anchorId="04EA63EA" wp14:editId="13E94FF6">
            <wp:extent cx="5472430" cy="131469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472430" cy="1314692"/>
                    </a:xfrm>
                    <a:prstGeom prst="rect">
                      <a:avLst/>
                    </a:prstGeom>
                    <a:noFill/>
                    <a:ln>
                      <a:noFill/>
                    </a:ln>
                  </pic:spPr>
                </pic:pic>
              </a:graphicData>
            </a:graphic>
          </wp:inline>
        </w:drawing>
      </w:r>
    </w:p>
    <w:p w14:paraId="6BDF5447" w14:textId="42832231" w:rsidR="00967877" w:rsidRPr="003E76E7" w:rsidRDefault="00967877" w:rsidP="00C4292D">
      <w:pPr>
        <w:spacing w:before="0" w:after="0"/>
        <w:rPr>
          <w:rFonts w:ascii="Arial" w:hAnsi="Arial"/>
          <w:sz w:val="14"/>
          <w:szCs w:val="14"/>
        </w:rPr>
      </w:pPr>
    </w:p>
    <w:p w14:paraId="45405FCE" w14:textId="538D086C" w:rsidR="00086DDD" w:rsidRPr="003E76E7" w:rsidRDefault="00086DDD" w:rsidP="00C4292D">
      <w:pPr>
        <w:spacing w:before="0" w:after="0"/>
        <w:rPr>
          <w:rFonts w:ascii="Arial" w:hAnsi="Arial"/>
          <w:b/>
          <w:sz w:val="14"/>
          <w:szCs w:val="14"/>
        </w:rPr>
      </w:pPr>
      <w:r w:rsidRPr="003E76E7">
        <w:rPr>
          <w:rFonts w:ascii="Arial" w:hAnsi="Arial"/>
          <w:b/>
          <w:sz w:val="14"/>
          <w:szCs w:val="14"/>
        </w:rPr>
        <w:t>Note</w:t>
      </w:r>
      <w:r w:rsidR="008D1B15" w:rsidRPr="003E76E7">
        <w:rPr>
          <w:rFonts w:ascii="Arial" w:hAnsi="Arial"/>
          <w:b/>
          <w:sz w:val="14"/>
          <w:szCs w:val="14"/>
        </w:rPr>
        <w:t>s</w:t>
      </w:r>
    </w:p>
    <w:p w14:paraId="1E0F1978" w14:textId="77777777" w:rsidR="00D60EDB" w:rsidRPr="003E76E7" w:rsidRDefault="00D60EDB" w:rsidP="00C4292D">
      <w:pPr>
        <w:pStyle w:val="ListParagraph"/>
        <w:numPr>
          <w:ilvl w:val="0"/>
          <w:numId w:val="83"/>
        </w:numPr>
        <w:spacing w:before="0" w:after="0"/>
        <w:ind w:left="284" w:hanging="284"/>
        <w:rPr>
          <w:rFonts w:ascii="Arial" w:hAnsi="Arial"/>
          <w:sz w:val="14"/>
          <w:szCs w:val="14"/>
        </w:rPr>
      </w:pPr>
      <w:r w:rsidRPr="003E76E7">
        <w:rPr>
          <w:rFonts w:ascii="Arial" w:hAnsi="Arial"/>
          <w:sz w:val="14"/>
          <w:szCs w:val="14"/>
        </w:rPr>
        <w:t>Prepared on a Government Finance Statistics (Underlying Cash) basis. Figures displayed as a negative (-) represent a decrease in funds and a positive (+) represent an increase in funds.</w:t>
      </w:r>
    </w:p>
    <w:p w14:paraId="2A4CCFA7" w14:textId="77777777" w:rsidR="00ED4EF4" w:rsidRPr="003E76E7" w:rsidRDefault="00ED4EF4" w:rsidP="00C4292D">
      <w:pPr>
        <w:pStyle w:val="Heading2level3"/>
        <w:spacing w:before="120" w:after="120"/>
      </w:pPr>
      <w:r w:rsidRPr="003E76E7">
        <w:rPr>
          <w:lang w:val="en-AU"/>
        </w:rPr>
        <w:br w:type="page"/>
      </w:r>
      <w:bookmarkStart w:id="2306" w:name="_Toc221786204"/>
      <w:bookmarkStart w:id="2307" w:name="_Toc222129978"/>
      <w:bookmarkStart w:id="2308" w:name="_Toc222148402"/>
      <w:bookmarkStart w:id="2309" w:name="_Toc225848030"/>
      <w:bookmarkStart w:id="2310" w:name="_Toc225848113"/>
      <w:bookmarkStart w:id="2311" w:name="_Toc225848196"/>
      <w:bookmarkStart w:id="2312" w:name="_Toc225848274"/>
      <w:bookmarkStart w:id="2313" w:name="_Toc225848535"/>
      <w:bookmarkStart w:id="2314" w:name="_Toc225941603"/>
      <w:bookmarkStart w:id="2315" w:name="_Toc225942610"/>
      <w:bookmarkStart w:id="2316" w:name="_Toc227334420"/>
      <w:bookmarkStart w:id="2317" w:name="_Toc229072495"/>
      <w:bookmarkStart w:id="2318" w:name="_Toc229072667"/>
      <w:r w:rsidRPr="003E76E7">
        <w:rPr>
          <w:rStyle w:val="Heading2Char"/>
          <w:sz w:val="26"/>
          <w:szCs w:val="26"/>
        </w:rPr>
        <w:lastRenderedPageBreak/>
        <w:t>Section 2: ANNPSR Outcomes and Planned Performance</w:t>
      </w:r>
      <w:bookmarkEnd w:id="2306"/>
      <w:bookmarkEnd w:id="2307"/>
      <w:bookmarkEnd w:id="2308"/>
      <w:bookmarkEnd w:id="2309"/>
      <w:bookmarkEnd w:id="2310"/>
      <w:bookmarkEnd w:id="2311"/>
      <w:bookmarkEnd w:id="2312"/>
      <w:bookmarkEnd w:id="2313"/>
      <w:bookmarkEnd w:id="2314"/>
      <w:bookmarkEnd w:id="2315"/>
      <w:bookmarkEnd w:id="2316"/>
      <w:bookmarkEnd w:id="2317"/>
      <w:bookmarkEnd w:id="2318"/>
    </w:p>
    <w:p w14:paraId="0B0FA394" w14:textId="77777777" w:rsidR="003746BF" w:rsidRPr="003E76E7" w:rsidRDefault="003746BF" w:rsidP="00C4292D">
      <w:pPr>
        <w:spacing w:before="60" w:after="60" w:line="256" w:lineRule="auto"/>
        <w:rPr>
          <w:lang w:eastAsia="en-US"/>
        </w:rPr>
      </w:pPr>
      <w:r w:rsidRPr="003E76E7">
        <w:rPr>
          <w:lang w:eastAsia="en-US"/>
        </w:rPr>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72032E1E" w14:textId="77777777" w:rsidR="003746BF" w:rsidRPr="003E76E7" w:rsidRDefault="003746BF" w:rsidP="00C4292D">
      <w:pPr>
        <w:spacing w:before="60" w:after="60" w:line="256" w:lineRule="auto"/>
        <w:rPr>
          <w:lang w:eastAsia="en-US"/>
        </w:rPr>
      </w:pPr>
      <w:r w:rsidRPr="003E76E7">
        <w:rPr>
          <w:lang w:eastAsia="en-US"/>
        </w:rPr>
        <w:t>Each outcome is described below together with its related programs. The following provides detailed information on expenses for each outcome and program, further broken down by funding source.</w:t>
      </w:r>
    </w:p>
    <w:p w14:paraId="075BFE34" w14:textId="6F92B6EF" w:rsidR="00ED4EF4" w:rsidRPr="003E76E7" w:rsidRDefault="003746BF" w:rsidP="00C4292D">
      <w:pPr>
        <w:spacing w:before="0" w:after="0"/>
      </w:pPr>
      <w:r w:rsidRPr="003E76E7">
        <w:rPr>
          <w:noProof/>
          <w:lang w:val="en-AU"/>
        </w:rPr>
        <mc:AlternateContent>
          <mc:Choice Requires="wps">
            <w:drawing>
              <wp:anchor distT="45720" distB="45720" distL="114300" distR="114300" simplePos="0" relativeHeight="251838976" behindDoc="0" locked="0" layoutInCell="1" allowOverlap="1" wp14:anchorId="6322E2A8" wp14:editId="4C5E3DCB">
                <wp:simplePos x="0" y="0"/>
                <wp:positionH relativeFrom="column">
                  <wp:posOffset>0</wp:posOffset>
                </wp:positionH>
                <wp:positionV relativeFrom="paragraph">
                  <wp:posOffset>213995</wp:posOffset>
                </wp:positionV>
                <wp:extent cx="5452745" cy="1917700"/>
                <wp:effectExtent l="12700" t="7620" r="11430" b="8255"/>
                <wp:wrapSquare wrapText="bothSides"/>
                <wp:docPr id="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2745" cy="1917700"/>
                        </a:xfrm>
                        <a:prstGeom prst="rect">
                          <a:avLst/>
                        </a:prstGeom>
                        <a:solidFill>
                          <a:srgbClr val="FFFFFF"/>
                        </a:solidFill>
                        <a:ln w="9525">
                          <a:solidFill>
                            <a:srgbClr val="000000"/>
                          </a:solidFill>
                          <a:miter lim="800000"/>
                          <a:headEnd/>
                          <a:tailEnd/>
                        </a:ln>
                      </wps:spPr>
                      <wps:txbx>
                        <w:txbxContent>
                          <w:p w14:paraId="1CFE10E6" w14:textId="77777777" w:rsidR="00CA309D" w:rsidRPr="006317D4" w:rsidRDefault="00CA309D" w:rsidP="003746BF">
                            <w:pPr>
                              <w:rPr>
                                <w:b/>
                                <w:lang w:eastAsia="en-US"/>
                              </w:rPr>
                            </w:pPr>
                            <w:r w:rsidRPr="006317D4">
                              <w:rPr>
                                <w:b/>
                                <w:lang w:eastAsia="en-US"/>
                              </w:rPr>
                              <w:t>Note:</w:t>
                            </w:r>
                          </w:p>
                          <w:p w14:paraId="59DB09F1" w14:textId="2CC181C7" w:rsidR="00CA309D" w:rsidRPr="006317D4" w:rsidRDefault="00CA309D" w:rsidP="003746BF">
                            <w:pPr>
                              <w:rPr>
                                <w:lang w:eastAsia="en-US"/>
                              </w:rPr>
                            </w:pPr>
                            <w:r w:rsidRPr="006317D4">
                              <w:rPr>
                                <w:lang w:eastAsia="en-US"/>
                              </w:rPr>
                              <w:t xml:space="preserve">Performance reporting requirements in the Portfolio Budget Statements are part of the Commonwealth performance framework established by the </w:t>
                            </w:r>
                            <w:r w:rsidRPr="006317D4">
                              <w:rPr>
                                <w:i/>
                                <w:lang w:eastAsia="en-US"/>
                              </w:rPr>
                              <w:t>Public Governance, Performance and Accountability Act 2013</w:t>
                            </w:r>
                            <w:r w:rsidRPr="006317D4">
                              <w:rPr>
                                <w:lang w:eastAsia="en-US"/>
                              </w:rPr>
                              <w:t>. It is anticipated that the performance measure</w:t>
                            </w:r>
                            <w:r>
                              <w:rPr>
                                <w:lang w:eastAsia="en-US"/>
                              </w:rPr>
                              <w:t>s</w:t>
                            </w:r>
                            <w:r w:rsidRPr="006317D4">
                              <w:rPr>
                                <w:lang w:eastAsia="en-US"/>
                              </w:rPr>
                              <w:t xml:space="preserve"> described in Portfolio Budget Statements will be read with broader information provided in an entity’s corporate plans and annual performance statements </w:t>
                            </w:r>
                            <w:r>
                              <w:rPr>
                                <w:lang w:eastAsia="en-US"/>
                              </w:rPr>
                              <w:t>-</w:t>
                            </w:r>
                            <w:r w:rsidRPr="006317D4">
                              <w:rPr>
                                <w:lang w:eastAsia="en-US"/>
                              </w:rPr>
                              <w:t xml:space="preserve"> included in Annual Reports </w:t>
                            </w:r>
                            <w:r>
                              <w:rPr>
                                <w:lang w:eastAsia="en-US"/>
                              </w:rPr>
                              <w:t>-</w:t>
                            </w:r>
                            <w:r w:rsidRPr="006317D4">
                              <w:rPr>
                                <w:lang w:eastAsia="en-US"/>
                              </w:rPr>
                              <w:t xml:space="preserve"> to provide a complete picture of an entity’s planned and actual performance. </w:t>
                            </w:r>
                          </w:p>
                          <w:p w14:paraId="431939D8" w14:textId="77777777" w:rsidR="00CA309D" w:rsidRDefault="00CA309D" w:rsidP="003746BF">
                            <w:r w:rsidRPr="006317D4">
                              <w:rPr>
                                <w:lang w:eastAsia="en-US"/>
                              </w:rPr>
                              <w:t>The most recent corporate plan and annual performance statement for ANNPSR can be found at:</w:t>
                            </w:r>
                            <w:r w:rsidRPr="006317D4">
                              <w:t xml:space="preserve"> </w:t>
                            </w:r>
                            <w:hyperlink r:id="rId194" w:history="1">
                              <w:r w:rsidRPr="006317D4">
                                <w:rPr>
                                  <w:rStyle w:val="Hyperlink"/>
                                  <w:lang w:eastAsia="en-US"/>
                                </w:rPr>
                                <w:t>https://www.annpsr.gov.au/corporate-information/corporate-publications</w:t>
                              </w:r>
                            </w:hyperlink>
                            <w:r w:rsidRPr="006317D4">
                              <w:rPr>
                                <w:lang w:eastAsia="en-U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22E2A8" id="_x0000_s1103" type="#_x0000_t202" style="position:absolute;margin-left:0;margin-top:16.85pt;width:429.35pt;height:151pt;z-index:251838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">
                <v:textbox>
                  <w:txbxContent>
                    <w:p w14:paraId="1CFE10E6" w14:textId="77777777" w:rsidR="00CA309D" w:rsidRPr="006317D4" w:rsidRDefault="00CA309D" w:rsidP="003746BF">
                      <w:pPr>
                        <w:rPr>
                          <w:b/>
                          <w:lang w:eastAsia="en-US"/>
                        </w:rPr>
                      </w:pPr>
                      <w:r w:rsidRPr="006317D4">
                        <w:rPr>
                          <w:b/>
                          <w:lang w:eastAsia="en-US"/>
                        </w:rPr>
                        <w:t>Note:</w:t>
                      </w:r>
                    </w:p>
                    <w:p w14:paraId="59DB09F1" w14:textId="2CC181C7" w:rsidR="00CA309D" w:rsidRPr="006317D4" w:rsidRDefault="00CA309D" w:rsidP="003746BF">
                      <w:pPr>
                        <w:rPr>
                          <w:lang w:eastAsia="en-US"/>
                        </w:rPr>
                      </w:pPr>
                      <w:r w:rsidRPr="006317D4">
                        <w:rPr>
                          <w:lang w:eastAsia="en-US"/>
                        </w:rPr>
                        <w:t xml:space="preserve">Performance reporting requirements in the Portfolio Budget Statements are part of the Commonwealth performance framework established by the </w:t>
                      </w:r>
                      <w:r w:rsidRPr="006317D4">
                        <w:rPr>
                          <w:i/>
                          <w:lang w:eastAsia="en-US"/>
                        </w:rPr>
                        <w:t>Public Governance, Performance and Accountability Act 2013</w:t>
                      </w:r>
                      <w:r w:rsidRPr="006317D4">
                        <w:rPr>
                          <w:lang w:eastAsia="en-US"/>
                        </w:rPr>
                        <w:t>. It is anticipated that the performance measure</w:t>
                      </w:r>
                      <w:r>
                        <w:rPr>
                          <w:lang w:eastAsia="en-US"/>
                        </w:rPr>
                        <w:t>s</w:t>
                      </w:r>
                      <w:r w:rsidRPr="006317D4">
                        <w:rPr>
                          <w:lang w:eastAsia="en-US"/>
                        </w:rPr>
                        <w:t xml:space="preserve"> described in Portfolio Budget Statements will be read with broader information provided in an entity’s corporate plans and annual performance statements </w:t>
                      </w:r>
                      <w:r>
                        <w:rPr>
                          <w:lang w:eastAsia="en-US"/>
                        </w:rPr>
                        <w:t>-</w:t>
                      </w:r>
                      <w:r w:rsidRPr="006317D4">
                        <w:rPr>
                          <w:lang w:eastAsia="en-US"/>
                        </w:rPr>
                        <w:t xml:space="preserve"> included in Annual Reports </w:t>
                      </w:r>
                      <w:r>
                        <w:rPr>
                          <w:lang w:eastAsia="en-US"/>
                        </w:rPr>
                        <w:t>-</w:t>
                      </w:r>
                      <w:r w:rsidRPr="006317D4">
                        <w:rPr>
                          <w:lang w:eastAsia="en-US"/>
                        </w:rPr>
                        <w:t xml:space="preserve"> to provide a complete picture of an entity’s planned and actual performance. </w:t>
                      </w:r>
                    </w:p>
                    <w:p w14:paraId="431939D8" w14:textId="77777777" w:rsidR="00CA309D" w:rsidRDefault="00CA309D" w:rsidP="003746BF">
                      <w:r w:rsidRPr="006317D4">
                        <w:rPr>
                          <w:lang w:eastAsia="en-US"/>
                        </w:rPr>
                        <w:t>The most recent corporate plan and annual performance statement for ANNPSR can be found at:</w:t>
                      </w:r>
                      <w:r w:rsidRPr="006317D4">
                        <w:t xml:space="preserve"> </w:t>
                      </w:r>
                      <w:hyperlink r:id="rId195" w:history="1">
                        <w:r w:rsidRPr="006317D4">
                          <w:rPr>
                            <w:rStyle w:val="Hyperlink"/>
                            <w:lang w:eastAsia="en-US"/>
                          </w:rPr>
                          <w:t>https://www.annpsr.gov.au/corporate-information/corporate-publications</w:t>
                        </w:r>
                      </w:hyperlink>
                      <w:r w:rsidRPr="006317D4">
                        <w:rPr>
                          <w:lang w:eastAsia="en-US"/>
                        </w:rPr>
                        <w:t>.</w:t>
                      </w:r>
                    </w:p>
                  </w:txbxContent>
                </v:textbox>
                <w10:wrap type="square"/>
              </v:shape>
            </w:pict>
          </mc:Fallback>
        </mc:AlternateContent>
      </w:r>
    </w:p>
    <w:p w14:paraId="04231452" w14:textId="77777777" w:rsidR="003746BF" w:rsidRPr="003E76E7" w:rsidRDefault="003746BF" w:rsidP="00C4292D">
      <w:pPr>
        <w:spacing w:before="0" w:after="0"/>
        <w:rPr>
          <w:rFonts w:ascii="Arial Bold" w:hAnsi="Arial Bold"/>
          <w:b/>
          <w:bCs/>
          <w:smallCaps/>
          <w:sz w:val="26"/>
          <w:szCs w:val="26"/>
          <w:lang w:val="en-AU"/>
        </w:rPr>
      </w:pPr>
      <w:r w:rsidRPr="003E76E7">
        <w:rPr>
          <w:lang w:val="en-AU"/>
        </w:rPr>
        <w:br w:type="page"/>
      </w:r>
    </w:p>
    <w:p w14:paraId="6F33B89A" w14:textId="269D85CF" w:rsidR="00ED4EF4" w:rsidRPr="003E76E7" w:rsidRDefault="00ED4EF4" w:rsidP="00C4292D">
      <w:pPr>
        <w:pStyle w:val="Heading4"/>
        <w:rPr>
          <w:rFonts w:cs="Arial"/>
          <w:sz w:val="24"/>
        </w:rPr>
      </w:pPr>
      <w:bookmarkStart w:id="2319" w:name="_Toc221786205"/>
      <w:bookmarkStart w:id="2320" w:name="_Toc222129979"/>
      <w:bookmarkStart w:id="2321" w:name="_Toc222148403"/>
      <w:bookmarkStart w:id="2322" w:name="_Toc225848031"/>
      <w:bookmarkStart w:id="2323" w:name="_Toc225848114"/>
      <w:bookmarkStart w:id="2324" w:name="_Toc225848197"/>
      <w:bookmarkStart w:id="2325" w:name="_Toc225848536"/>
      <w:bookmarkStart w:id="2326" w:name="_Toc225941604"/>
      <w:bookmarkStart w:id="2327" w:name="_Toc225942611"/>
      <w:bookmarkStart w:id="2328" w:name="_Toc227334421"/>
      <w:bookmarkStart w:id="2329" w:name="_Toc229072496"/>
      <w:bookmarkStart w:id="2330" w:name="_Toc229072668"/>
      <w:r w:rsidRPr="003E76E7">
        <w:rPr>
          <w:rFonts w:cs="Arial"/>
          <w:sz w:val="24"/>
        </w:rPr>
        <w:lastRenderedPageBreak/>
        <w:t>2.1 Budgeted Expenses and Performance for Outcome 1</w:t>
      </w:r>
      <w:bookmarkEnd w:id="2319"/>
      <w:bookmarkEnd w:id="2320"/>
      <w:bookmarkEnd w:id="2321"/>
      <w:bookmarkEnd w:id="2322"/>
      <w:bookmarkEnd w:id="2323"/>
      <w:bookmarkEnd w:id="2324"/>
      <w:bookmarkEnd w:id="2325"/>
      <w:bookmarkEnd w:id="2326"/>
      <w:bookmarkEnd w:id="2327"/>
      <w:bookmarkEnd w:id="2328"/>
      <w:bookmarkEnd w:id="2329"/>
      <w:bookmarkEnd w:id="2330"/>
    </w:p>
    <w:tbl>
      <w:tblPr>
        <w:tblW w:w="86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8647"/>
      </w:tblGrid>
      <w:tr w:rsidR="00ED4EF4" w:rsidRPr="003E76E7" w14:paraId="14662FEC" w14:textId="77777777" w:rsidTr="00063F33">
        <w:tc>
          <w:tcPr>
            <w:tcW w:w="8647" w:type="dxa"/>
            <w:shd w:val="clear" w:color="auto" w:fill="CCCCCC"/>
          </w:tcPr>
          <w:p w14:paraId="2E3DD020" w14:textId="659A5B4B" w:rsidR="00ED4EF4" w:rsidRPr="003E76E7" w:rsidRDefault="00ED4EF4" w:rsidP="00C4292D">
            <w:pPr>
              <w:rPr>
                <w:rFonts w:ascii="Arial" w:hAnsi="Arial"/>
                <w:b/>
                <w:lang w:val="en-AU"/>
              </w:rPr>
            </w:pPr>
            <w:r w:rsidRPr="003E76E7">
              <w:rPr>
                <w:rFonts w:ascii="Arial" w:hAnsi="Arial"/>
                <w:b/>
                <w:lang w:val="en-AU"/>
              </w:rPr>
              <w:t>Outcome 1:</w:t>
            </w:r>
            <w:r w:rsidR="003746BF" w:rsidRPr="003E76E7">
              <w:rPr>
                <w:rFonts w:ascii="Arial" w:hAnsi="Arial"/>
                <w:b/>
                <w:lang w:val="en-AU"/>
              </w:rPr>
              <w:t xml:space="preserve"> Assure the protection of people and the environment and the regulation of naval nuclear power activities across the lifecycle of Australia's conventionally-armed, nuclear-powered submarine capability.</w:t>
            </w:r>
          </w:p>
        </w:tc>
      </w:tr>
    </w:tbl>
    <w:p w14:paraId="1AC8CE53" w14:textId="77777777" w:rsidR="008E0EC8" w:rsidRPr="003E76E7" w:rsidRDefault="008E0EC8" w:rsidP="00C4292D">
      <w:pPr>
        <w:pStyle w:val="BodyText"/>
        <w:rPr>
          <w:rFonts w:ascii="Arial" w:hAnsi="Arial"/>
          <w:b/>
          <w:sz w:val="22"/>
          <w:szCs w:val="22"/>
          <w:lang w:val="en-AU"/>
        </w:rPr>
      </w:pPr>
      <w:bookmarkStart w:id="2331" w:name="_Toc222129981"/>
      <w:r w:rsidRPr="003E76E7">
        <w:rPr>
          <w:rFonts w:ascii="Arial" w:hAnsi="Arial"/>
          <w:b/>
          <w:sz w:val="22"/>
          <w:szCs w:val="22"/>
          <w:lang w:val="en-AU"/>
        </w:rPr>
        <w:t>Outcome 1 Strategy</w:t>
      </w:r>
    </w:p>
    <w:p w14:paraId="25FBC666" w14:textId="115E03D7" w:rsidR="00ED4EF4" w:rsidRPr="003E76E7" w:rsidRDefault="00ED4EF4" w:rsidP="00C4292D">
      <w:pPr>
        <w:pStyle w:val="BodyText"/>
        <w:rPr>
          <w:rFonts w:ascii="Arial" w:hAnsi="Arial"/>
          <w:b/>
          <w:sz w:val="22"/>
          <w:lang w:val="en-AU"/>
        </w:rPr>
      </w:pPr>
      <w:r w:rsidRPr="003E76E7">
        <w:rPr>
          <w:rFonts w:ascii="Arial" w:hAnsi="Arial"/>
          <w:b/>
          <w:sz w:val="22"/>
          <w:lang w:val="en-AU"/>
        </w:rPr>
        <w:t>Linked Programs</w:t>
      </w:r>
      <w:bookmarkEnd w:id="2331"/>
      <w:r w:rsidRPr="003E76E7">
        <w:rPr>
          <w:rFonts w:ascii="Arial" w:hAnsi="Arial"/>
          <w:b/>
          <w:sz w:val="22"/>
          <w:lang w:val="en-AU"/>
        </w:rPr>
        <w:t xml:space="preserve"> </w:t>
      </w:r>
    </w:p>
    <w:tbl>
      <w:tblPr>
        <w:tblW w:w="5000" w:type="pct"/>
        <w:tblInd w:w="113"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8608"/>
      </w:tblGrid>
      <w:tr w:rsidR="00967877" w:rsidRPr="003E76E7" w14:paraId="37976091" w14:textId="77777777" w:rsidTr="00967877">
        <w:trPr>
          <w:trHeight w:val="113"/>
        </w:trPr>
        <w:tc>
          <w:tcPr>
            <w:tcW w:w="5000" w:type="pct"/>
            <w:tcBorders>
              <w:top w:val="single" w:sz="4" w:space="0" w:color="auto"/>
              <w:left w:val="single" w:sz="4" w:space="0" w:color="auto"/>
              <w:bottom w:val="dotted" w:sz="4" w:space="0" w:color="auto"/>
              <w:right w:val="single" w:sz="4" w:space="0" w:color="auto"/>
            </w:tcBorders>
            <w:tcMar>
              <w:top w:w="0" w:type="dxa"/>
              <w:left w:w="108" w:type="dxa"/>
              <w:bottom w:w="0" w:type="dxa"/>
              <w:right w:w="108" w:type="dxa"/>
            </w:tcMar>
            <w:hideMark/>
          </w:tcPr>
          <w:p w14:paraId="6FCD71E5" w14:textId="77777777" w:rsidR="00967877" w:rsidRPr="003E76E7" w:rsidRDefault="00967877" w:rsidP="00C4292D">
            <w:pPr>
              <w:rPr>
                <w:szCs w:val="20"/>
              </w:rPr>
            </w:pPr>
            <w:r w:rsidRPr="003E76E7">
              <w:rPr>
                <w:b/>
                <w:szCs w:val="20"/>
              </w:rPr>
              <w:t>Australian Nuclear Science and Technology Organisation</w:t>
            </w:r>
          </w:p>
        </w:tc>
      </w:tr>
      <w:tr w:rsidR="00967877" w:rsidRPr="003E76E7" w14:paraId="20B33A02" w14:textId="77777777" w:rsidTr="00967877">
        <w:trPr>
          <w:trHeight w:val="113"/>
        </w:trPr>
        <w:tc>
          <w:tcPr>
            <w:tcW w:w="5000" w:type="pct"/>
            <w:tcBorders>
              <w:top w:val="dotted" w:sz="4" w:space="0" w:color="auto"/>
              <w:left w:val="single" w:sz="4" w:space="0" w:color="auto"/>
              <w:bottom w:val="dotted" w:sz="4" w:space="0" w:color="auto"/>
              <w:right w:val="single" w:sz="4" w:space="0" w:color="auto"/>
            </w:tcBorders>
            <w:tcMar>
              <w:top w:w="0" w:type="dxa"/>
              <w:left w:w="108" w:type="dxa"/>
              <w:bottom w:w="0" w:type="dxa"/>
              <w:right w:w="108" w:type="dxa"/>
            </w:tcMar>
            <w:hideMark/>
          </w:tcPr>
          <w:p w14:paraId="4560769D" w14:textId="7FEBE79A" w:rsidR="00967877" w:rsidRPr="003E76E7" w:rsidRDefault="00967877" w:rsidP="00C4292D">
            <w:pPr>
              <w:rPr>
                <w:szCs w:val="20"/>
              </w:rPr>
            </w:pPr>
            <w:r w:rsidRPr="003E76E7">
              <w:rPr>
                <w:szCs w:val="20"/>
              </w:rPr>
              <w:t>Program 2 - Nuclear-Powered Submarines.</w:t>
            </w:r>
          </w:p>
        </w:tc>
      </w:tr>
      <w:tr w:rsidR="00967877" w:rsidRPr="003E76E7" w14:paraId="213B67DC" w14:textId="77777777" w:rsidTr="00967877">
        <w:trPr>
          <w:trHeight w:val="113"/>
        </w:trPr>
        <w:tc>
          <w:tcPr>
            <w:tcW w:w="5000" w:type="pct"/>
            <w:tcBorders>
              <w:top w:val="dotted" w:sz="4" w:space="0" w:color="auto"/>
              <w:left w:val="single" w:sz="4" w:space="0" w:color="auto"/>
              <w:bottom w:val="dotted" w:sz="4" w:space="0" w:color="auto"/>
              <w:right w:val="single" w:sz="4" w:space="0" w:color="auto"/>
            </w:tcBorders>
            <w:tcMar>
              <w:top w:w="0" w:type="dxa"/>
              <w:left w:w="108" w:type="dxa"/>
              <w:bottom w:w="0" w:type="dxa"/>
              <w:right w:w="108" w:type="dxa"/>
            </w:tcMar>
            <w:hideMark/>
          </w:tcPr>
          <w:p w14:paraId="16C51175" w14:textId="77777777" w:rsidR="00967877" w:rsidRPr="003E76E7" w:rsidRDefault="00967877" w:rsidP="00C4292D">
            <w:pPr>
              <w:rPr>
                <w:szCs w:val="20"/>
              </w:rPr>
            </w:pPr>
            <w:r w:rsidRPr="003E76E7">
              <w:rPr>
                <w:b/>
                <w:bCs/>
                <w:szCs w:val="20"/>
              </w:rPr>
              <w:t>Contribution to Outcome 1 by linked program</w:t>
            </w:r>
          </w:p>
        </w:tc>
      </w:tr>
      <w:tr w:rsidR="00967877" w:rsidRPr="003E76E7" w14:paraId="0E201497" w14:textId="77777777" w:rsidTr="00967877">
        <w:trPr>
          <w:trHeight w:val="113"/>
        </w:trPr>
        <w:tc>
          <w:tcPr>
            <w:tcW w:w="5000" w:type="pct"/>
            <w:tcBorders>
              <w:top w:val="dotted"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0C18CB" w14:textId="6B13D664" w:rsidR="00967877" w:rsidRPr="003E76E7" w:rsidRDefault="00967877" w:rsidP="00C4292D">
            <w:pPr>
              <w:rPr>
                <w:szCs w:val="20"/>
              </w:rPr>
            </w:pPr>
            <w:r w:rsidRPr="003E76E7">
              <w:rPr>
                <w:szCs w:val="20"/>
              </w:rPr>
              <w:t xml:space="preserve">Australian Nuclear Science and Technology Organisation (ANSTO) contributes to Outcome 1 through the provision of expertise and advice in the support of the </w:t>
            </w:r>
            <w:r w:rsidR="001B32CE">
              <w:rPr>
                <w:szCs w:val="20"/>
              </w:rPr>
              <w:t>N</w:t>
            </w:r>
            <w:r w:rsidRPr="003E76E7">
              <w:rPr>
                <w:szCs w:val="20"/>
              </w:rPr>
              <w:t>uclear-</w:t>
            </w:r>
            <w:r w:rsidR="001B32CE">
              <w:rPr>
                <w:szCs w:val="20"/>
              </w:rPr>
              <w:t>P</w:t>
            </w:r>
            <w:r w:rsidRPr="003E76E7">
              <w:rPr>
                <w:szCs w:val="20"/>
              </w:rPr>
              <w:t xml:space="preserve">owered </w:t>
            </w:r>
            <w:r w:rsidR="001B32CE">
              <w:rPr>
                <w:szCs w:val="20"/>
              </w:rPr>
              <w:t>S</w:t>
            </w:r>
            <w:r w:rsidRPr="003E76E7">
              <w:rPr>
                <w:szCs w:val="20"/>
              </w:rPr>
              <w:t xml:space="preserve">ubmarine </w:t>
            </w:r>
            <w:r w:rsidR="001B32CE">
              <w:rPr>
                <w:szCs w:val="20"/>
              </w:rPr>
              <w:t>P</w:t>
            </w:r>
            <w:r w:rsidRPr="003E76E7">
              <w:rPr>
                <w:szCs w:val="20"/>
              </w:rPr>
              <w:t>rogram, with a focus on baselining and augmenting Australia's nuclear stewardship capabilities and credentials.</w:t>
            </w:r>
          </w:p>
        </w:tc>
      </w:tr>
    </w:tbl>
    <w:p w14:paraId="7FC2AD9B" w14:textId="77777777" w:rsidR="00967877" w:rsidRPr="003E76E7" w:rsidRDefault="00967877" w:rsidP="00C4292D">
      <w:pPr>
        <w:pStyle w:val="BodyText"/>
        <w:spacing w:before="0" w:after="0"/>
        <w:rPr>
          <w:sz w:val="22"/>
          <w:lang w:val="en-AU"/>
        </w:rPr>
      </w:pPr>
    </w:p>
    <w:tbl>
      <w:tblPr>
        <w:tblW w:w="5000" w:type="pct"/>
        <w:tblInd w:w="113"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4A0" w:firstRow="1" w:lastRow="0" w:firstColumn="1" w:lastColumn="0" w:noHBand="0" w:noVBand="1"/>
      </w:tblPr>
      <w:tblGrid>
        <w:gridCol w:w="8608"/>
      </w:tblGrid>
      <w:tr w:rsidR="00967877" w:rsidRPr="003E76E7" w14:paraId="769D61B5" w14:textId="77777777" w:rsidTr="00967877">
        <w:trPr>
          <w:trHeight w:val="113"/>
        </w:trPr>
        <w:tc>
          <w:tcPr>
            <w:tcW w:w="5000" w:type="pct"/>
            <w:tcBorders>
              <w:top w:val="single" w:sz="4" w:space="0" w:color="auto"/>
              <w:left w:val="single" w:sz="4" w:space="0" w:color="auto"/>
              <w:bottom w:val="dotted" w:sz="4" w:space="0" w:color="auto"/>
              <w:right w:val="single" w:sz="4" w:space="0" w:color="auto"/>
            </w:tcBorders>
          </w:tcPr>
          <w:p w14:paraId="6A8B21D2" w14:textId="77777777" w:rsidR="00967877" w:rsidRPr="003E76E7" w:rsidRDefault="00967877" w:rsidP="00C4292D">
            <w:pPr>
              <w:rPr>
                <w:b/>
                <w:szCs w:val="20"/>
              </w:rPr>
            </w:pPr>
            <w:r w:rsidRPr="003E76E7">
              <w:rPr>
                <w:b/>
                <w:szCs w:val="20"/>
              </w:rPr>
              <w:t>Australian Radiation Protection and Nuclear Safety Agency</w:t>
            </w:r>
          </w:p>
        </w:tc>
      </w:tr>
      <w:tr w:rsidR="00967877" w:rsidRPr="003E76E7" w14:paraId="1D989FD2" w14:textId="77777777" w:rsidTr="00967877">
        <w:trPr>
          <w:trHeight w:val="113"/>
        </w:trPr>
        <w:tc>
          <w:tcPr>
            <w:tcW w:w="5000" w:type="pct"/>
            <w:tcBorders>
              <w:top w:val="dotted" w:sz="4" w:space="0" w:color="auto"/>
              <w:left w:val="single" w:sz="4" w:space="0" w:color="auto"/>
              <w:bottom w:val="dotted" w:sz="4" w:space="0" w:color="auto"/>
              <w:right w:val="single" w:sz="4" w:space="0" w:color="auto"/>
            </w:tcBorders>
          </w:tcPr>
          <w:p w14:paraId="0EBA5697" w14:textId="54D00661" w:rsidR="00967877" w:rsidRPr="003E76E7" w:rsidRDefault="00967877" w:rsidP="00C4292D">
            <w:pPr>
              <w:rPr>
                <w:szCs w:val="20"/>
              </w:rPr>
            </w:pPr>
            <w:r w:rsidRPr="003E76E7">
              <w:rPr>
                <w:szCs w:val="20"/>
              </w:rPr>
              <w:t>Program 1.2 - Nuclear-Powered Submarines.</w:t>
            </w:r>
          </w:p>
        </w:tc>
      </w:tr>
      <w:tr w:rsidR="00967877" w:rsidRPr="003E76E7" w14:paraId="1695A6EF" w14:textId="77777777" w:rsidTr="00967877">
        <w:trPr>
          <w:trHeight w:val="113"/>
        </w:trPr>
        <w:tc>
          <w:tcPr>
            <w:tcW w:w="5000" w:type="pct"/>
            <w:tcBorders>
              <w:top w:val="dotted" w:sz="4" w:space="0" w:color="auto"/>
              <w:left w:val="single" w:sz="4" w:space="0" w:color="auto"/>
              <w:bottom w:val="dotted" w:sz="4" w:space="0" w:color="auto"/>
              <w:right w:val="single" w:sz="4" w:space="0" w:color="auto"/>
            </w:tcBorders>
          </w:tcPr>
          <w:p w14:paraId="03380147" w14:textId="77777777" w:rsidR="00967877" w:rsidRPr="003E76E7" w:rsidRDefault="00967877" w:rsidP="00C4292D">
            <w:pPr>
              <w:rPr>
                <w:b/>
                <w:szCs w:val="20"/>
              </w:rPr>
            </w:pPr>
            <w:r w:rsidRPr="003E76E7">
              <w:rPr>
                <w:b/>
                <w:szCs w:val="20"/>
              </w:rPr>
              <w:t>Contribution to Outcome 1 by linked program</w:t>
            </w:r>
          </w:p>
        </w:tc>
      </w:tr>
      <w:tr w:rsidR="00967877" w:rsidRPr="003E76E7" w14:paraId="42FB7E84" w14:textId="77777777" w:rsidTr="00967877">
        <w:trPr>
          <w:trHeight w:val="113"/>
        </w:trPr>
        <w:tc>
          <w:tcPr>
            <w:tcW w:w="5000" w:type="pct"/>
            <w:tcBorders>
              <w:top w:val="dotted" w:sz="4" w:space="0" w:color="auto"/>
              <w:left w:val="single" w:sz="4" w:space="0" w:color="auto"/>
              <w:bottom w:val="single" w:sz="4" w:space="0" w:color="auto"/>
              <w:right w:val="single" w:sz="4" w:space="0" w:color="auto"/>
            </w:tcBorders>
          </w:tcPr>
          <w:p w14:paraId="0631E3C4" w14:textId="38F77479" w:rsidR="00967877" w:rsidRPr="003E76E7" w:rsidRDefault="00967877" w:rsidP="00C4292D">
            <w:pPr>
              <w:autoSpaceDE w:val="0"/>
              <w:autoSpaceDN w:val="0"/>
              <w:rPr>
                <w:b/>
                <w:szCs w:val="20"/>
              </w:rPr>
            </w:pPr>
            <w:r w:rsidRPr="003E76E7">
              <w:rPr>
                <w:szCs w:val="20"/>
              </w:rPr>
              <w:t>Australian Radiation Protection and Nuclear Safety Agency contributes to Outcome 1 through the provision of radiation protection and nuclear safety research, policy, advice, codes, standards, services and regulation.</w:t>
            </w:r>
          </w:p>
        </w:tc>
      </w:tr>
    </w:tbl>
    <w:p w14:paraId="5898B249" w14:textId="77777777" w:rsidR="00ED4EF4" w:rsidRPr="003E76E7" w:rsidRDefault="00ED4EF4" w:rsidP="00C4292D">
      <w:pPr>
        <w:spacing w:before="0" w:after="0"/>
        <w:rPr>
          <w:szCs w:val="20"/>
          <w:lang w:eastAsia="en-US"/>
        </w:rPr>
      </w:pPr>
    </w:p>
    <w:p w14:paraId="6677F994" w14:textId="77777777" w:rsidR="00ED4EF4" w:rsidRPr="003E76E7" w:rsidRDefault="00ED4EF4" w:rsidP="00C4292D">
      <w:pPr>
        <w:spacing w:before="0" w:after="0"/>
        <w:rPr>
          <w:szCs w:val="20"/>
          <w:lang w:eastAsia="en-US"/>
        </w:rPr>
      </w:pPr>
    </w:p>
    <w:p w14:paraId="23AE87B2" w14:textId="77777777" w:rsidR="00ED4EF4" w:rsidRPr="003E76E7" w:rsidRDefault="00ED4EF4" w:rsidP="00C4292D">
      <w:pPr>
        <w:spacing w:before="0" w:after="0"/>
        <w:rPr>
          <w:szCs w:val="20"/>
          <w:lang w:eastAsia="en-US"/>
        </w:rPr>
      </w:pPr>
      <w:r w:rsidRPr="003E76E7">
        <w:rPr>
          <w:szCs w:val="20"/>
          <w:lang w:eastAsia="en-US"/>
        </w:rPr>
        <w:br w:type="page"/>
      </w:r>
    </w:p>
    <w:p w14:paraId="799884D6" w14:textId="71A044E3" w:rsidR="00ED4EF4" w:rsidRPr="003E76E7" w:rsidRDefault="00ED4EF4" w:rsidP="00C4292D">
      <w:pPr>
        <w:pStyle w:val="BodyText"/>
        <w:rPr>
          <w:rFonts w:ascii="Arial" w:hAnsi="Arial"/>
          <w:b/>
          <w:sz w:val="22"/>
        </w:rPr>
      </w:pPr>
      <w:bookmarkStart w:id="2332" w:name="_Toc222129982"/>
      <w:r w:rsidRPr="003E76E7">
        <w:rPr>
          <w:rFonts w:ascii="Arial" w:hAnsi="Arial"/>
          <w:b/>
          <w:sz w:val="22"/>
        </w:rPr>
        <w:lastRenderedPageBreak/>
        <w:t>Budgeted Expenses for Outcome 1</w:t>
      </w:r>
      <w:bookmarkEnd w:id="2332"/>
    </w:p>
    <w:p w14:paraId="2C7F9B39" w14:textId="083C1E27" w:rsidR="00EB7AB9" w:rsidRPr="003E76E7" w:rsidRDefault="00EB7AB9" w:rsidP="00C4292D">
      <w:pPr>
        <w:spacing w:before="60" w:after="60" w:line="256" w:lineRule="auto"/>
        <w:rPr>
          <w:lang w:val="en-AU"/>
        </w:rPr>
      </w:pPr>
      <w:r w:rsidRPr="003E76E7">
        <w:rPr>
          <w:lang w:val="en-AU"/>
        </w:rPr>
        <w:t xml:space="preserve">This table shows </w:t>
      </w:r>
      <w:r w:rsidRPr="003E76E7">
        <w:rPr>
          <w:lang w:eastAsia="en-US"/>
        </w:rPr>
        <w:t>how</w:t>
      </w:r>
      <w:r w:rsidRPr="003E76E7">
        <w:rPr>
          <w:lang w:val="en-AU"/>
        </w:rPr>
        <w:t xml:space="preserve"> much ANNPSR intends to spend (on an accrual basis) on achieving the outcome, broken down by program and Departmental funding sources.</w:t>
      </w:r>
    </w:p>
    <w:p w14:paraId="6488D725" w14:textId="77777777" w:rsidR="00146525" w:rsidRPr="003E76E7" w:rsidRDefault="00146525" w:rsidP="00C4292D">
      <w:pPr>
        <w:spacing w:before="0" w:after="0"/>
        <w:rPr>
          <w:lang w:val="en-AU"/>
        </w:rPr>
      </w:pPr>
    </w:p>
    <w:p w14:paraId="6B2D0964" w14:textId="77777777" w:rsidR="00ED4EF4" w:rsidRPr="003E76E7" w:rsidRDefault="00ED4EF4" w:rsidP="00C4292D">
      <w:pPr>
        <w:pStyle w:val="TableHeading"/>
        <w:numPr>
          <w:ilvl w:val="0"/>
          <w:numId w:val="66"/>
        </w:numPr>
        <w:spacing w:before="100"/>
        <w:ind w:left="0" w:firstLine="0"/>
        <w:outlineLvl w:val="4"/>
      </w:pPr>
      <w:r w:rsidRPr="003E76E7">
        <w:t>Budgeted Expenses for Outcome 1</w:t>
      </w:r>
    </w:p>
    <w:p w14:paraId="39CE20B6" w14:textId="05CC0C4D" w:rsidR="00ED4EF4" w:rsidRPr="003E76E7" w:rsidRDefault="002D454E" w:rsidP="00C4292D">
      <w:pPr>
        <w:tabs>
          <w:tab w:val="left" w:pos="284"/>
        </w:tabs>
        <w:spacing w:after="0"/>
        <w:rPr>
          <w:sz w:val="14"/>
          <w:szCs w:val="14"/>
        </w:rPr>
      </w:pPr>
      <w:r w:rsidRPr="002D454E">
        <w:rPr>
          <w:noProof/>
          <w:lang w:val="en-AU"/>
        </w:rPr>
        <w:drawing>
          <wp:inline distT="0" distB="0" distL="0" distR="0" wp14:anchorId="08011719" wp14:editId="208A878C">
            <wp:extent cx="5472430" cy="3961159"/>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472430" cy="3961159"/>
                    </a:xfrm>
                    <a:prstGeom prst="rect">
                      <a:avLst/>
                    </a:prstGeom>
                    <a:noFill/>
                    <a:ln>
                      <a:noFill/>
                    </a:ln>
                  </pic:spPr>
                </pic:pic>
              </a:graphicData>
            </a:graphic>
          </wp:inline>
        </w:drawing>
      </w:r>
    </w:p>
    <w:p w14:paraId="0C136944" w14:textId="77777777" w:rsidR="00EB7AB9" w:rsidRPr="003E76E7" w:rsidRDefault="00EB7AB9" w:rsidP="00C4292D">
      <w:pPr>
        <w:spacing w:before="0" w:after="0"/>
        <w:rPr>
          <w:rFonts w:ascii="Arial" w:hAnsi="Arial"/>
          <w:b/>
          <w:sz w:val="14"/>
          <w:szCs w:val="14"/>
        </w:rPr>
      </w:pPr>
      <w:r w:rsidRPr="003E76E7">
        <w:rPr>
          <w:rFonts w:ascii="Arial" w:hAnsi="Arial"/>
          <w:sz w:val="14"/>
          <w:szCs w:val="14"/>
        </w:rPr>
        <w:tab/>
      </w:r>
      <w:r w:rsidRPr="003E76E7">
        <w:rPr>
          <w:rFonts w:ascii="Arial" w:hAnsi="Arial"/>
          <w:sz w:val="14"/>
          <w:szCs w:val="14"/>
        </w:rPr>
        <w:tab/>
      </w:r>
      <w:r w:rsidRPr="003E76E7">
        <w:rPr>
          <w:rFonts w:ascii="Arial" w:hAnsi="Arial"/>
          <w:sz w:val="14"/>
          <w:szCs w:val="14"/>
        </w:rPr>
        <w:tab/>
      </w:r>
      <w:r w:rsidRPr="003E76E7">
        <w:rPr>
          <w:rFonts w:ascii="Arial" w:hAnsi="Arial"/>
          <w:sz w:val="14"/>
          <w:szCs w:val="14"/>
        </w:rPr>
        <w:tab/>
      </w:r>
      <w:r w:rsidRPr="003E76E7">
        <w:rPr>
          <w:rFonts w:ascii="Arial" w:hAnsi="Arial"/>
          <w:sz w:val="14"/>
          <w:szCs w:val="14"/>
        </w:rPr>
        <w:tab/>
      </w:r>
    </w:p>
    <w:p w14:paraId="5FB9FEB0" w14:textId="77777777" w:rsidR="00EB7AB9" w:rsidRPr="003E76E7" w:rsidRDefault="00EB7AB9" w:rsidP="00C4292D">
      <w:pPr>
        <w:spacing w:before="0" w:after="0"/>
        <w:rPr>
          <w:rFonts w:ascii="Arial" w:hAnsi="Arial"/>
          <w:b/>
          <w:sz w:val="14"/>
          <w:szCs w:val="14"/>
        </w:rPr>
      </w:pPr>
      <w:r w:rsidRPr="003E76E7">
        <w:rPr>
          <w:rFonts w:ascii="Arial" w:hAnsi="Arial"/>
          <w:b/>
          <w:sz w:val="14"/>
          <w:szCs w:val="14"/>
        </w:rPr>
        <w:t>Notes</w:t>
      </w:r>
    </w:p>
    <w:p w14:paraId="04BA7690" w14:textId="77777777" w:rsidR="00BB7085" w:rsidRPr="003E76E7" w:rsidRDefault="00BB7085" w:rsidP="00C4292D">
      <w:pPr>
        <w:pStyle w:val="ListParagraph"/>
        <w:numPr>
          <w:ilvl w:val="0"/>
          <w:numId w:val="98"/>
        </w:numPr>
        <w:tabs>
          <w:tab w:val="left" w:pos="284"/>
        </w:tabs>
        <w:spacing w:before="0" w:after="0"/>
        <w:ind w:left="284" w:hanging="284"/>
        <w:rPr>
          <w:rFonts w:ascii="Arial" w:hAnsi="Arial"/>
          <w:sz w:val="14"/>
          <w:szCs w:val="14"/>
        </w:rPr>
      </w:pPr>
      <w:r w:rsidRPr="003E76E7">
        <w:rPr>
          <w:rFonts w:ascii="Arial" w:hAnsi="Arial"/>
          <w:sz w:val="14"/>
          <w:szCs w:val="14"/>
        </w:rPr>
        <w:t>Annual appropriation amounts reported are inclusive of Supply Bill arrangements.</w:t>
      </w:r>
    </w:p>
    <w:p w14:paraId="33C9C8CC" w14:textId="4615ECCE" w:rsidR="00ED4EF4" w:rsidRPr="003E76E7" w:rsidRDefault="00BB7085" w:rsidP="00C4292D">
      <w:pPr>
        <w:pStyle w:val="ListParagraph"/>
        <w:numPr>
          <w:ilvl w:val="0"/>
          <w:numId w:val="98"/>
        </w:numPr>
        <w:tabs>
          <w:tab w:val="left" w:pos="284"/>
        </w:tabs>
        <w:spacing w:before="0" w:after="0"/>
        <w:ind w:left="284" w:hanging="284"/>
        <w:rPr>
          <w:rFonts w:ascii="Arial" w:hAnsi="Arial"/>
          <w:sz w:val="14"/>
          <w:szCs w:val="14"/>
        </w:rPr>
      </w:pPr>
      <w:r w:rsidRPr="003E76E7">
        <w:rPr>
          <w:rFonts w:ascii="Arial" w:hAnsi="Arial"/>
          <w:sz w:val="14"/>
          <w:szCs w:val="14"/>
        </w:rPr>
        <w:t>Expenses not requiring appropriation in the Budget year are made up of depreciation expenses, write-down and impairment of assets, other resources received free of charge, auditor fees, and interest on Right-of-Use assets.</w:t>
      </w:r>
      <w:r w:rsidR="00EB7AB9" w:rsidRPr="003E76E7">
        <w:rPr>
          <w:rFonts w:ascii="Arial" w:hAnsi="Arial"/>
          <w:sz w:val="14"/>
          <w:szCs w:val="14"/>
        </w:rPr>
        <w:tab/>
      </w:r>
      <w:r w:rsidR="00EB7AB9" w:rsidRPr="003E76E7">
        <w:rPr>
          <w:rFonts w:ascii="Arial" w:hAnsi="Arial"/>
          <w:sz w:val="14"/>
          <w:szCs w:val="14"/>
        </w:rPr>
        <w:tab/>
      </w:r>
      <w:r w:rsidR="00EB7AB9" w:rsidRPr="003E76E7">
        <w:rPr>
          <w:rFonts w:ascii="Arial" w:hAnsi="Arial"/>
          <w:sz w:val="14"/>
          <w:szCs w:val="14"/>
        </w:rPr>
        <w:tab/>
      </w:r>
      <w:r w:rsidR="00EB7AB9" w:rsidRPr="003E76E7">
        <w:rPr>
          <w:rFonts w:ascii="Arial" w:hAnsi="Arial"/>
          <w:sz w:val="14"/>
          <w:szCs w:val="14"/>
        </w:rPr>
        <w:tab/>
      </w:r>
      <w:r w:rsidR="00EB7AB9" w:rsidRPr="003E76E7">
        <w:rPr>
          <w:rFonts w:ascii="Arial" w:hAnsi="Arial"/>
          <w:sz w:val="14"/>
          <w:szCs w:val="14"/>
        </w:rPr>
        <w:tab/>
      </w:r>
    </w:p>
    <w:p w14:paraId="1388DE43" w14:textId="0836D927" w:rsidR="00ED4EF4" w:rsidRPr="003E76E7" w:rsidRDefault="00ED4EF4" w:rsidP="00C4292D">
      <w:pPr>
        <w:tabs>
          <w:tab w:val="left" w:pos="284"/>
        </w:tabs>
        <w:spacing w:before="0" w:after="0"/>
        <w:rPr>
          <w:rFonts w:ascii="Arial" w:hAnsi="Arial"/>
          <w:sz w:val="14"/>
          <w:szCs w:val="14"/>
        </w:rPr>
      </w:pPr>
    </w:p>
    <w:p w14:paraId="04C36DC9" w14:textId="77777777" w:rsidR="00ED4EF4" w:rsidRPr="003E76E7" w:rsidRDefault="00ED4EF4" w:rsidP="00C4292D">
      <w:pPr>
        <w:pStyle w:val="TableHeading"/>
        <w:numPr>
          <w:ilvl w:val="0"/>
          <w:numId w:val="66"/>
        </w:numPr>
        <w:spacing w:before="100"/>
        <w:ind w:left="0" w:firstLine="0"/>
        <w:outlineLvl w:val="4"/>
      </w:pPr>
      <w:r w:rsidRPr="003E76E7">
        <w:rPr>
          <w:b w:val="0"/>
          <w:lang w:val="en-AU"/>
        </w:rPr>
        <w:br w:type="page"/>
      </w:r>
      <w:r w:rsidRPr="003E76E7">
        <w:lastRenderedPageBreak/>
        <w:t>Performance Measures for Outcome 1</w:t>
      </w:r>
    </w:p>
    <w:p w14:paraId="581B1CF4" w14:textId="6BAA0673" w:rsidR="00146525" w:rsidRPr="003E76E7" w:rsidRDefault="00ED4EF4" w:rsidP="00C4292D">
      <w:pPr>
        <w:spacing w:before="60" w:after="60" w:line="256" w:lineRule="auto"/>
      </w:pPr>
      <w:r w:rsidRPr="003E76E7">
        <w:t xml:space="preserve">Table 4 details the performance measures for each program associated with Outcome 1. It also provides the related key activities as expressed in the current corporate plan where further detail is provided about the </w:t>
      </w:r>
      <w:r w:rsidRPr="003E76E7">
        <w:rPr>
          <w:lang w:eastAsia="en-US"/>
        </w:rPr>
        <w:t>delivery</w:t>
      </w:r>
      <w:r w:rsidRPr="003E76E7">
        <w:t xml:space="preserve"> of the activities related to the program, the context in which these activities are delivered and how the performance of these activities will be measured. Where relevant, details of 2026-27 Budget </w:t>
      </w:r>
      <w:r w:rsidR="00A005A8" w:rsidRPr="003E76E7">
        <w:t>M</w:t>
      </w:r>
      <w:r w:rsidRPr="003E76E7">
        <w:t>easures that have created new programs or materially changed existing programs are provided.</w:t>
      </w:r>
    </w:p>
    <w:p w14:paraId="50058976" w14:textId="77777777" w:rsidR="007365B3" w:rsidRPr="003E76E7" w:rsidRDefault="007365B3" w:rsidP="00C4292D">
      <w:pPr>
        <w:spacing w:before="0" w:after="0" w:line="256" w:lineRule="auto"/>
      </w:pPr>
    </w:p>
    <w:tbl>
      <w:tblPr>
        <w:tblW w:w="8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1883"/>
        <w:gridCol w:w="3340"/>
        <w:gridCol w:w="3565"/>
      </w:tblGrid>
      <w:tr w:rsidR="00ED4EF4" w:rsidRPr="003E76E7" w14:paraId="5BE221A6" w14:textId="77777777" w:rsidTr="00063F33">
        <w:tc>
          <w:tcPr>
            <w:tcW w:w="8788" w:type="dxa"/>
            <w:gridSpan w:val="3"/>
            <w:shd w:val="clear" w:color="auto" w:fill="CCCCCC"/>
          </w:tcPr>
          <w:p w14:paraId="2C733C6E" w14:textId="46FDDCB7" w:rsidR="00ED4EF4" w:rsidRPr="003E76E7" w:rsidRDefault="00ED4EF4" w:rsidP="00C4292D">
            <w:pPr>
              <w:pStyle w:val="BodyText"/>
              <w:rPr>
                <w:rFonts w:ascii="Arial" w:hAnsi="Arial"/>
                <w:b/>
                <w:bCs/>
                <w:i/>
                <w:iCs/>
              </w:rPr>
            </w:pPr>
            <w:bookmarkStart w:id="2333" w:name="_Toc222129983"/>
            <w:r w:rsidRPr="003E76E7">
              <w:rPr>
                <w:rFonts w:ascii="Arial" w:hAnsi="Arial"/>
                <w:b/>
              </w:rPr>
              <w:t xml:space="preserve">Program 1.1: </w:t>
            </w:r>
            <w:r w:rsidR="00031480" w:rsidRPr="003E76E7">
              <w:rPr>
                <w:rFonts w:ascii="Arial" w:hAnsi="Arial"/>
                <w:b/>
                <w:lang w:val="en-AU"/>
              </w:rPr>
              <w:t>Regulation of Naval Nuclear Power Activities</w:t>
            </w:r>
            <w:bookmarkEnd w:id="2333"/>
          </w:p>
        </w:tc>
      </w:tr>
      <w:tr w:rsidR="00ED4EF4" w:rsidRPr="003E76E7" w14:paraId="3D5E6C33" w14:textId="77777777" w:rsidTr="000E1A17">
        <w:trPr>
          <w:cantSplit/>
        </w:trPr>
        <w:tc>
          <w:tcPr>
            <w:tcW w:w="8788" w:type="dxa"/>
            <w:gridSpan w:val="3"/>
            <w:tcBorders>
              <w:bottom w:val="single" w:sz="4" w:space="0" w:color="auto"/>
            </w:tcBorders>
            <w:shd w:val="clear" w:color="auto" w:fill="E6E6E6"/>
          </w:tcPr>
          <w:p w14:paraId="0D31C768" w14:textId="77777777" w:rsidR="00ED4EF4" w:rsidRPr="003E76E7" w:rsidRDefault="00ED4EF4" w:rsidP="00C4292D">
            <w:pPr>
              <w:spacing w:after="0"/>
              <w:rPr>
                <w:rFonts w:ascii="Arial" w:hAnsi="Arial"/>
                <w:b/>
                <w:sz w:val="16"/>
                <w:szCs w:val="16"/>
              </w:rPr>
            </w:pPr>
            <w:r w:rsidRPr="003E76E7">
              <w:rPr>
                <w:rFonts w:ascii="Arial" w:hAnsi="Arial"/>
                <w:b/>
                <w:sz w:val="16"/>
                <w:szCs w:val="16"/>
              </w:rPr>
              <w:t>Program 1.1 Objective</w:t>
            </w:r>
          </w:p>
          <w:p w14:paraId="49BB9C0D" w14:textId="314B137F" w:rsidR="00ED4EF4" w:rsidRPr="003E76E7" w:rsidRDefault="007365B3" w:rsidP="00C4292D">
            <w:pPr>
              <w:rPr>
                <w:rFonts w:ascii="Arial" w:hAnsi="Arial"/>
                <w:sz w:val="16"/>
                <w:szCs w:val="16"/>
              </w:rPr>
            </w:pPr>
            <w:r w:rsidRPr="003E76E7">
              <w:rPr>
                <w:rFonts w:ascii="Arial" w:hAnsi="Arial"/>
                <w:sz w:val="16"/>
                <w:szCs w:val="16"/>
              </w:rPr>
              <w:t xml:space="preserve">ANNPSR’s objectives are to protect the environment and people by providing assurance for nuclear safety of Australia’s Nuclear-Powered Submarine Program, as well as promote, monitor and enforce compliance with the </w:t>
            </w:r>
            <w:r w:rsidRPr="003E76E7">
              <w:rPr>
                <w:rFonts w:ascii="Arial" w:hAnsi="Arial"/>
                <w:i/>
                <w:sz w:val="16"/>
                <w:szCs w:val="16"/>
              </w:rPr>
              <w:t>Australian Naval Nuclear Power Safety Act 2024</w:t>
            </w:r>
            <w:r w:rsidRPr="003E76E7">
              <w:rPr>
                <w:rFonts w:ascii="Arial" w:hAnsi="Arial"/>
                <w:sz w:val="16"/>
                <w:szCs w:val="16"/>
              </w:rPr>
              <w:t>.</w:t>
            </w:r>
          </w:p>
        </w:tc>
      </w:tr>
      <w:tr w:rsidR="00ED4EF4" w:rsidRPr="003E76E7" w14:paraId="55B664F5" w14:textId="77777777" w:rsidTr="000E1A17">
        <w:trPr>
          <w:cantSplit/>
          <w:trHeight w:val="312"/>
        </w:trPr>
        <w:tc>
          <w:tcPr>
            <w:tcW w:w="1883" w:type="dxa"/>
            <w:tcBorders>
              <w:bottom w:val="single" w:sz="4" w:space="0" w:color="auto"/>
            </w:tcBorders>
          </w:tcPr>
          <w:p w14:paraId="6A69B352" w14:textId="77777777" w:rsidR="00ED4EF4" w:rsidRPr="003E76E7" w:rsidRDefault="00ED4EF4" w:rsidP="00C4292D">
            <w:pPr>
              <w:spacing w:after="0"/>
              <w:rPr>
                <w:rFonts w:ascii="Arial" w:hAnsi="Arial"/>
                <w:b/>
                <w:color w:val="000000"/>
                <w:sz w:val="16"/>
                <w:szCs w:val="16"/>
              </w:rPr>
            </w:pPr>
            <w:r w:rsidRPr="003E76E7">
              <w:rPr>
                <w:rFonts w:ascii="Arial" w:hAnsi="Arial"/>
                <w:b/>
                <w:color w:val="000000"/>
                <w:sz w:val="16"/>
                <w:szCs w:val="16"/>
              </w:rPr>
              <w:t>Key Activities</w:t>
            </w:r>
          </w:p>
        </w:tc>
        <w:tc>
          <w:tcPr>
            <w:tcW w:w="6905" w:type="dxa"/>
            <w:gridSpan w:val="2"/>
            <w:tcBorders>
              <w:bottom w:val="single" w:sz="4" w:space="0" w:color="auto"/>
            </w:tcBorders>
          </w:tcPr>
          <w:p w14:paraId="1582C0FE" w14:textId="77777777" w:rsidR="00D00BD9" w:rsidRPr="003E76E7" w:rsidRDefault="00D00BD9" w:rsidP="00C4292D">
            <w:pPr>
              <w:tabs>
                <w:tab w:val="left" w:pos="709"/>
              </w:tabs>
              <w:spacing w:before="60" w:after="0"/>
              <w:rPr>
                <w:rFonts w:ascii="Arial" w:hAnsi="Arial"/>
                <w:bCs/>
                <w:color w:val="000000"/>
                <w:sz w:val="16"/>
                <w:szCs w:val="16"/>
              </w:rPr>
            </w:pPr>
            <w:r w:rsidRPr="003E76E7">
              <w:rPr>
                <w:rFonts w:ascii="Arial" w:hAnsi="Arial"/>
                <w:bCs/>
                <w:color w:val="000000"/>
                <w:sz w:val="16"/>
                <w:szCs w:val="16"/>
              </w:rPr>
              <w:t>Key activities reported in the Corporate Plan that relate to this program:</w:t>
            </w:r>
          </w:p>
          <w:p w14:paraId="54328240" w14:textId="77777777" w:rsidR="00D00BD9" w:rsidRPr="003E76E7" w:rsidRDefault="00D00BD9" w:rsidP="00C4292D">
            <w:pPr>
              <w:numPr>
                <w:ilvl w:val="0"/>
                <w:numId w:val="70"/>
              </w:numPr>
              <w:tabs>
                <w:tab w:val="left" w:pos="274"/>
              </w:tabs>
              <w:spacing w:before="60" w:after="60" w:line="259" w:lineRule="auto"/>
              <w:rPr>
                <w:rFonts w:ascii="Arial" w:hAnsi="Arial"/>
                <w:sz w:val="16"/>
                <w:szCs w:val="16"/>
              </w:rPr>
            </w:pPr>
            <w:r w:rsidRPr="003E76E7">
              <w:rPr>
                <w:rFonts w:ascii="Arial" w:hAnsi="Arial"/>
                <w:sz w:val="16"/>
                <w:szCs w:val="16"/>
              </w:rPr>
              <w:t xml:space="preserve">Develop and maintain a healthy nuclear safety culture within the Regulator. </w:t>
            </w:r>
          </w:p>
          <w:p w14:paraId="30BBB102" w14:textId="77777777" w:rsidR="00D00BD9" w:rsidRPr="003E76E7" w:rsidRDefault="00D00BD9" w:rsidP="00C4292D">
            <w:pPr>
              <w:numPr>
                <w:ilvl w:val="0"/>
                <w:numId w:val="70"/>
              </w:numPr>
              <w:tabs>
                <w:tab w:val="left" w:pos="274"/>
              </w:tabs>
              <w:spacing w:before="60" w:after="60" w:line="259" w:lineRule="auto"/>
              <w:rPr>
                <w:rFonts w:ascii="Arial" w:hAnsi="Arial"/>
                <w:sz w:val="16"/>
                <w:szCs w:val="16"/>
              </w:rPr>
            </w:pPr>
            <w:r w:rsidRPr="003E76E7">
              <w:rPr>
                <w:rFonts w:ascii="Arial" w:hAnsi="Arial"/>
                <w:sz w:val="16"/>
                <w:szCs w:val="16"/>
              </w:rPr>
              <w:t xml:space="preserve">Develop, support and maintain a regulatory framework, and provide operational guidance. </w:t>
            </w:r>
          </w:p>
          <w:p w14:paraId="2B8278D0" w14:textId="77777777" w:rsidR="00D00BD9" w:rsidRPr="003E76E7" w:rsidRDefault="00D00BD9" w:rsidP="00C4292D">
            <w:pPr>
              <w:numPr>
                <w:ilvl w:val="0"/>
                <w:numId w:val="70"/>
              </w:numPr>
              <w:tabs>
                <w:tab w:val="left" w:pos="274"/>
              </w:tabs>
              <w:spacing w:before="60" w:after="60" w:line="259" w:lineRule="auto"/>
              <w:rPr>
                <w:rFonts w:ascii="Arial" w:hAnsi="Arial"/>
                <w:sz w:val="16"/>
                <w:szCs w:val="16"/>
              </w:rPr>
            </w:pPr>
            <w:r w:rsidRPr="003E76E7">
              <w:rPr>
                <w:rFonts w:ascii="Arial" w:hAnsi="Arial"/>
                <w:sz w:val="16"/>
                <w:szCs w:val="16"/>
              </w:rPr>
              <w:t xml:space="preserve">Conduct effective regulatory action. </w:t>
            </w:r>
          </w:p>
          <w:p w14:paraId="47618A4B" w14:textId="77777777" w:rsidR="00D00BD9" w:rsidRPr="003E76E7" w:rsidRDefault="00D00BD9" w:rsidP="00C4292D">
            <w:pPr>
              <w:numPr>
                <w:ilvl w:val="0"/>
                <w:numId w:val="70"/>
              </w:numPr>
              <w:tabs>
                <w:tab w:val="left" w:pos="274"/>
              </w:tabs>
              <w:spacing w:before="60" w:after="60" w:line="259" w:lineRule="auto"/>
              <w:rPr>
                <w:rFonts w:ascii="Arial" w:hAnsi="Arial"/>
                <w:sz w:val="16"/>
                <w:szCs w:val="16"/>
              </w:rPr>
            </w:pPr>
            <w:r w:rsidRPr="003E76E7">
              <w:rPr>
                <w:rFonts w:ascii="Arial" w:hAnsi="Arial"/>
                <w:sz w:val="16"/>
                <w:szCs w:val="16"/>
              </w:rPr>
              <w:t xml:space="preserve">Promote public confidence and trust in the Regulator. </w:t>
            </w:r>
          </w:p>
          <w:p w14:paraId="3410065C" w14:textId="77777777" w:rsidR="00D00BD9" w:rsidRPr="003E76E7" w:rsidRDefault="00D00BD9" w:rsidP="00C4292D">
            <w:pPr>
              <w:numPr>
                <w:ilvl w:val="0"/>
                <w:numId w:val="70"/>
              </w:numPr>
              <w:tabs>
                <w:tab w:val="left" w:pos="271"/>
              </w:tabs>
              <w:spacing w:before="60" w:after="60" w:line="259" w:lineRule="auto"/>
              <w:rPr>
                <w:rFonts w:ascii="Arial" w:hAnsi="Arial"/>
                <w:sz w:val="16"/>
                <w:szCs w:val="16"/>
              </w:rPr>
            </w:pPr>
            <w:r w:rsidRPr="003E76E7">
              <w:rPr>
                <w:rFonts w:ascii="Arial" w:hAnsi="Arial"/>
                <w:sz w:val="16"/>
                <w:szCs w:val="16"/>
              </w:rPr>
              <w:t>Support the AUKUS partnership.</w:t>
            </w:r>
          </w:p>
          <w:p w14:paraId="741145F9" w14:textId="636A4227" w:rsidR="00D00BD9" w:rsidRPr="003E76E7" w:rsidRDefault="00D00BD9" w:rsidP="00C4292D">
            <w:pPr>
              <w:numPr>
                <w:ilvl w:val="0"/>
                <w:numId w:val="70"/>
              </w:numPr>
              <w:tabs>
                <w:tab w:val="left" w:pos="271"/>
              </w:tabs>
              <w:spacing w:before="60" w:after="60" w:line="259" w:lineRule="auto"/>
              <w:rPr>
                <w:rFonts w:ascii="Arial" w:hAnsi="Arial"/>
                <w:sz w:val="16"/>
                <w:szCs w:val="16"/>
              </w:rPr>
            </w:pPr>
            <w:r w:rsidRPr="003E76E7">
              <w:rPr>
                <w:rFonts w:ascii="Arial" w:hAnsi="Arial"/>
                <w:sz w:val="16"/>
                <w:szCs w:val="16"/>
              </w:rPr>
              <w:t>Increase and sustain the capability, capacity and expertis</w:t>
            </w:r>
            <w:r w:rsidR="00EE37B5">
              <w:rPr>
                <w:rFonts w:ascii="Arial" w:hAnsi="Arial"/>
                <w:sz w:val="16"/>
                <w:szCs w:val="16"/>
              </w:rPr>
              <w:t>e of the a</w:t>
            </w:r>
            <w:r w:rsidRPr="003E76E7">
              <w:rPr>
                <w:rFonts w:ascii="Arial" w:hAnsi="Arial"/>
                <w:sz w:val="16"/>
                <w:szCs w:val="16"/>
              </w:rPr>
              <w:t>gency.</w:t>
            </w:r>
          </w:p>
        </w:tc>
      </w:tr>
      <w:tr w:rsidR="00ED4EF4" w:rsidRPr="003E76E7" w14:paraId="04165D1D" w14:textId="77777777" w:rsidTr="000E1A17">
        <w:trPr>
          <w:cantSplit/>
          <w:trHeight w:val="258"/>
        </w:trPr>
        <w:tc>
          <w:tcPr>
            <w:tcW w:w="1883" w:type="dxa"/>
            <w:tcBorders>
              <w:top w:val="single" w:sz="4" w:space="0" w:color="auto"/>
              <w:bottom w:val="single" w:sz="4" w:space="0" w:color="auto"/>
              <w:right w:val="single" w:sz="4" w:space="0" w:color="auto"/>
            </w:tcBorders>
          </w:tcPr>
          <w:p w14:paraId="514BDC73" w14:textId="77777777" w:rsidR="00ED4EF4" w:rsidRPr="003E76E7" w:rsidRDefault="00ED4EF4" w:rsidP="00C4292D">
            <w:pPr>
              <w:rPr>
                <w:rFonts w:ascii="Arial" w:hAnsi="Arial"/>
                <w:b/>
                <w:color w:val="000000"/>
                <w:sz w:val="16"/>
                <w:szCs w:val="16"/>
              </w:rPr>
            </w:pPr>
            <w:r w:rsidRPr="003E76E7">
              <w:rPr>
                <w:rFonts w:ascii="Arial" w:hAnsi="Arial"/>
                <w:b/>
                <w:color w:val="000000"/>
                <w:sz w:val="16"/>
                <w:szCs w:val="16"/>
              </w:rPr>
              <w:t>Year</w:t>
            </w:r>
          </w:p>
        </w:tc>
        <w:tc>
          <w:tcPr>
            <w:tcW w:w="3340" w:type="dxa"/>
            <w:tcBorders>
              <w:top w:val="single" w:sz="4" w:space="0" w:color="auto"/>
              <w:left w:val="single" w:sz="4" w:space="0" w:color="auto"/>
              <w:bottom w:val="single" w:sz="4" w:space="0" w:color="auto"/>
              <w:right w:val="single" w:sz="4" w:space="0" w:color="auto"/>
            </w:tcBorders>
          </w:tcPr>
          <w:p w14:paraId="665512A0" w14:textId="2837CB00" w:rsidR="00ED4EF4" w:rsidRPr="003E76E7" w:rsidRDefault="00ED4EF4" w:rsidP="00C4292D">
            <w:pPr>
              <w:rPr>
                <w:rFonts w:ascii="Arial" w:hAnsi="Arial"/>
                <w:b/>
                <w:color w:val="000000"/>
                <w:sz w:val="16"/>
                <w:szCs w:val="16"/>
              </w:rPr>
            </w:pPr>
            <w:r w:rsidRPr="003E76E7">
              <w:rPr>
                <w:rFonts w:ascii="Arial" w:hAnsi="Arial"/>
                <w:b/>
                <w:color w:val="000000"/>
                <w:sz w:val="16"/>
                <w:szCs w:val="16"/>
              </w:rPr>
              <w:t xml:space="preserve">Performance </w:t>
            </w:r>
            <w:r w:rsidR="001B289E" w:rsidRPr="003E76E7">
              <w:rPr>
                <w:rFonts w:ascii="Arial" w:hAnsi="Arial"/>
                <w:b/>
                <w:color w:val="000000"/>
                <w:sz w:val="16"/>
                <w:szCs w:val="16"/>
              </w:rPr>
              <w:t>M</w:t>
            </w:r>
            <w:r w:rsidRPr="003E76E7">
              <w:rPr>
                <w:rFonts w:ascii="Arial" w:hAnsi="Arial"/>
                <w:b/>
                <w:color w:val="000000"/>
                <w:sz w:val="16"/>
                <w:szCs w:val="16"/>
              </w:rPr>
              <w:t>easures</w:t>
            </w:r>
          </w:p>
        </w:tc>
        <w:tc>
          <w:tcPr>
            <w:tcW w:w="3565" w:type="dxa"/>
            <w:tcBorders>
              <w:top w:val="single" w:sz="4" w:space="0" w:color="auto"/>
              <w:left w:val="single" w:sz="4" w:space="0" w:color="auto"/>
              <w:bottom w:val="single" w:sz="4" w:space="0" w:color="auto"/>
            </w:tcBorders>
          </w:tcPr>
          <w:p w14:paraId="68B85EB6" w14:textId="474DAB13" w:rsidR="00ED4EF4" w:rsidRPr="003E76E7" w:rsidRDefault="001B289E" w:rsidP="00C4292D">
            <w:pPr>
              <w:rPr>
                <w:rFonts w:ascii="Arial" w:hAnsi="Arial"/>
                <w:b/>
                <w:color w:val="000000"/>
                <w:sz w:val="16"/>
                <w:szCs w:val="16"/>
              </w:rPr>
            </w:pPr>
            <w:r w:rsidRPr="003E76E7">
              <w:rPr>
                <w:rFonts w:ascii="Arial" w:hAnsi="Arial"/>
                <w:b/>
                <w:color w:val="000000"/>
                <w:sz w:val="16"/>
                <w:szCs w:val="16"/>
              </w:rPr>
              <w:t>Expected Performance Results</w:t>
            </w:r>
          </w:p>
        </w:tc>
      </w:tr>
      <w:tr w:rsidR="007365B3" w:rsidRPr="003E76E7" w14:paraId="264F66EA" w14:textId="77777777" w:rsidTr="00063F33">
        <w:tblPrEx>
          <w:shd w:val="clear" w:color="auto" w:fill="auto"/>
          <w:tblLook w:val="04A0" w:firstRow="1" w:lastRow="0" w:firstColumn="1" w:lastColumn="0" w:noHBand="0" w:noVBand="1"/>
        </w:tblPrEx>
        <w:trPr>
          <w:cantSplit/>
          <w:trHeight w:val="642"/>
        </w:trPr>
        <w:tc>
          <w:tcPr>
            <w:tcW w:w="1883" w:type="dxa"/>
            <w:vMerge w:val="restart"/>
            <w:tcBorders>
              <w:right w:val="single" w:sz="4" w:space="0" w:color="auto"/>
            </w:tcBorders>
          </w:tcPr>
          <w:p w14:paraId="68FED1B6" w14:textId="7BC6A757" w:rsidR="007365B3" w:rsidRPr="003E76E7" w:rsidRDefault="007365B3" w:rsidP="00C4292D">
            <w:pPr>
              <w:spacing w:after="0"/>
              <w:rPr>
                <w:rFonts w:ascii="Arial" w:hAnsi="Arial"/>
                <w:color w:val="000000"/>
                <w:sz w:val="16"/>
                <w:szCs w:val="16"/>
              </w:rPr>
            </w:pPr>
            <w:r w:rsidRPr="003E76E7">
              <w:rPr>
                <w:rFonts w:ascii="Arial" w:hAnsi="Arial"/>
                <w:color w:val="000000"/>
                <w:sz w:val="16"/>
                <w:szCs w:val="16"/>
              </w:rPr>
              <w:t>Current Year</w:t>
            </w:r>
          </w:p>
          <w:p w14:paraId="12C02B75" w14:textId="77777777" w:rsidR="007365B3" w:rsidRPr="003E76E7" w:rsidRDefault="007365B3" w:rsidP="00C4292D">
            <w:pPr>
              <w:spacing w:before="0" w:after="0"/>
              <w:rPr>
                <w:rFonts w:ascii="Arial" w:hAnsi="Arial"/>
                <w:color w:val="000000"/>
                <w:sz w:val="16"/>
                <w:szCs w:val="16"/>
              </w:rPr>
            </w:pPr>
            <w:r w:rsidRPr="003E76E7">
              <w:rPr>
                <w:rFonts w:ascii="Arial" w:hAnsi="Arial"/>
                <w:color w:val="000000"/>
                <w:sz w:val="16"/>
                <w:szCs w:val="16"/>
              </w:rPr>
              <w:t>2025-26</w:t>
            </w:r>
          </w:p>
        </w:tc>
        <w:tc>
          <w:tcPr>
            <w:tcW w:w="3340" w:type="dxa"/>
            <w:tcBorders>
              <w:top w:val="single" w:sz="4" w:space="0" w:color="auto"/>
              <w:left w:val="single" w:sz="4" w:space="0" w:color="auto"/>
              <w:bottom w:val="single" w:sz="4" w:space="0" w:color="auto"/>
              <w:right w:val="single" w:sz="4" w:space="0" w:color="auto"/>
            </w:tcBorders>
          </w:tcPr>
          <w:p w14:paraId="714FD00A" w14:textId="09A8CC93" w:rsidR="007365B3" w:rsidRPr="003E76E7" w:rsidRDefault="007365B3" w:rsidP="00C4292D">
            <w:pPr>
              <w:rPr>
                <w:rFonts w:ascii="Arial" w:hAnsi="Arial"/>
                <w:color w:val="000000"/>
                <w:sz w:val="16"/>
                <w:szCs w:val="16"/>
              </w:rPr>
            </w:pPr>
            <w:r w:rsidRPr="003E76E7">
              <w:rPr>
                <w:rFonts w:ascii="Arial" w:hAnsi="Arial"/>
                <w:color w:val="000000"/>
                <w:sz w:val="16"/>
                <w:szCs w:val="16"/>
              </w:rPr>
              <w:t>Conduct effective regulatory action.</w:t>
            </w:r>
          </w:p>
        </w:tc>
        <w:tc>
          <w:tcPr>
            <w:tcW w:w="3565" w:type="dxa"/>
            <w:tcBorders>
              <w:top w:val="single" w:sz="4" w:space="0" w:color="auto"/>
              <w:left w:val="single" w:sz="4" w:space="0" w:color="auto"/>
              <w:bottom w:val="single" w:sz="4" w:space="0" w:color="auto"/>
            </w:tcBorders>
          </w:tcPr>
          <w:p w14:paraId="3EAFC0EE" w14:textId="77777777" w:rsidR="007365B3" w:rsidRPr="003E76E7" w:rsidRDefault="007365B3" w:rsidP="00C4292D">
            <w:pPr>
              <w:tabs>
                <w:tab w:val="left" w:pos="79"/>
              </w:tabs>
              <w:spacing w:before="60" w:after="60"/>
              <w:rPr>
                <w:rFonts w:ascii="Arial" w:hAnsi="Arial"/>
                <w:color w:val="000000"/>
                <w:sz w:val="16"/>
                <w:szCs w:val="16"/>
              </w:rPr>
            </w:pPr>
            <w:r w:rsidRPr="003E76E7">
              <w:rPr>
                <w:rFonts w:ascii="Arial" w:hAnsi="Arial"/>
                <w:color w:val="000000"/>
                <w:sz w:val="16"/>
                <w:szCs w:val="16"/>
              </w:rPr>
              <w:t>Percentage of licence applications processed in accordance with established timeframes.</w:t>
            </w:r>
          </w:p>
          <w:p w14:paraId="653C901A" w14:textId="47CDF1AA" w:rsidR="007365B3" w:rsidRPr="003E76E7" w:rsidRDefault="007365B3" w:rsidP="00C4292D">
            <w:pPr>
              <w:tabs>
                <w:tab w:val="left" w:pos="79"/>
              </w:tabs>
              <w:spacing w:before="60" w:after="60"/>
              <w:jc w:val="right"/>
              <w:rPr>
                <w:rFonts w:ascii="Arial" w:hAnsi="Arial"/>
                <w:color w:val="000000"/>
                <w:sz w:val="16"/>
                <w:szCs w:val="16"/>
              </w:rPr>
            </w:pPr>
            <w:r w:rsidRPr="003E76E7">
              <w:rPr>
                <w:rFonts w:ascii="Arial" w:hAnsi="Arial"/>
                <w:i/>
                <w:color w:val="000000"/>
                <w:sz w:val="16"/>
                <w:szCs w:val="16"/>
              </w:rPr>
              <w:t>Target: 90%</w:t>
            </w:r>
            <w:r w:rsidR="00A30B2C" w:rsidRPr="003E76E7">
              <w:rPr>
                <w:rFonts w:ascii="Arial" w:hAnsi="Arial"/>
                <w:i/>
                <w:color w:val="000000"/>
                <w:sz w:val="16"/>
                <w:szCs w:val="16"/>
              </w:rPr>
              <w:t>.</w:t>
            </w:r>
          </w:p>
          <w:p w14:paraId="5F7133D9" w14:textId="77777777" w:rsidR="007365B3" w:rsidRPr="003E76E7" w:rsidRDefault="007365B3" w:rsidP="00C4292D">
            <w:pPr>
              <w:tabs>
                <w:tab w:val="left" w:pos="79"/>
              </w:tabs>
              <w:spacing w:before="60" w:after="60"/>
              <w:rPr>
                <w:rFonts w:ascii="Arial" w:hAnsi="Arial"/>
                <w:sz w:val="16"/>
                <w:szCs w:val="16"/>
              </w:rPr>
            </w:pPr>
            <w:r w:rsidRPr="003E76E7">
              <w:rPr>
                <w:rFonts w:ascii="Arial" w:hAnsi="Arial"/>
                <w:color w:val="000000"/>
                <w:sz w:val="16"/>
                <w:szCs w:val="16"/>
              </w:rPr>
              <w:t>Percentage of p</w:t>
            </w:r>
            <w:r w:rsidRPr="003E76E7">
              <w:rPr>
                <w:rFonts w:ascii="Arial" w:hAnsi="Arial"/>
                <w:sz w:val="16"/>
                <w:szCs w:val="16"/>
              </w:rPr>
              <w:t>lanned inspections and audits completed in accordance with relevant Regulatory Oversight Plans and Annual Inspection Plans.</w:t>
            </w:r>
          </w:p>
          <w:p w14:paraId="1DECF3BD" w14:textId="348AA07F" w:rsidR="007365B3" w:rsidRPr="003E76E7" w:rsidRDefault="007365B3" w:rsidP="00C4292D">
            <w:pPr>
              <w:tabs>
                <w:tab w:val="left" w:pos="265"/>
              </w:tabs>
              <w:jc w:val="right"/>
              <w:rPr>
                <w:rFonts w:ascii="Arial" w:hAnsi="Arial"/>
                <w:i/>
                <w:color w:val="000000"/>
                <w:sz w:val="16"/>
                <w:szCs w:val="16"/>
              </w:rPr>
            </w:pPr>
            <w:r w:rsidRPr="003E76E7">
              <w:rPr>
                <w:rFonts w:ascii="Arial" w:hAnsi="Arial"/>
                <w:i/>
                <w:sz w:val="16"/>
                <w:szCs w:val="16"/>
              </w:rPr>
              <w:t>Target: 90%</w:t>
            </w:r>
            <w:r w:rsidR="00A30B2C" w:rsidRPr="003E76E7">
              <w:rPr>
                <w:rFonts w:ascii="Arial" w:hAnsi="Arial"/>
                <w:i/>
                <w:sz w:val="16"/>
                <w:szCs w:val="16"/>
              </w:rPr>
              <w:t>.</w:t>
            </w:r>
          </w:p>
        </w:tc>
      </w:tr>
      <w:tr w:rsidR="007365B3" w:rsidRPr="003E76E7" w14:paraId="351CC435" w14:textId="77777777" w:rsidTr="00063F33">
        <w:tblPrEx>
          <w:shd w:val="clear" w:color="auto" w:fill="auto"/>
          <w:tblLook w:val="04A0" w:firstRow="1" w:lastRow="0" w:firstColumn="1" w:lastColumn="0" w:noHBand="0" w:noVBand="1"/>
        </w:tblPrEx>
        <w:trPr>
          <w:cantSplit/>
          <w:trHeight w:val="642"/>
        </w:trPr>
        <w:tc>
          <w:tcPr>
            <w:tcW w:w="1883" w:type="dxa"/>
            <w:vMerge/>
            <w:tcBorders>
              <w:right w:val="single" w:sz="4" w:space="0" w:color="auto"/>
            </w:tcBorders>
          </w:tcPr>
          <w:p w14:paraId="4F2BDCE6" w14:textId="77777777" w:rsidR="007365B3" w:rsidRPr="003E76E7" w:rsidRDefault="007365B3" w:rsidP="00C4292D">
            <w:pPr>
              <w:rPr>
                <w:rFonts w:ascii="Arial" w:hAnsi="Arial"/>
                <w:b/>
                <w:bCs/>
                <w:color w:val="0070C0"/>
                <w:sz w:val="16"/>
                <w:szCs w:val="16"/>
              </w:rPr>
            </w:pPr>
          </w:p>
        </w:tc>
        <w:tc>
          <w:tcPr>
            <w:tcW w:w="3340" w:type="dxa"/>
            <w:tcBorders>
              <w:top w:val="single" w:sz="4" w:space="0" w:color="auto"/>
              <w:left w:val="single" w:sz="4" w:space="0" w:color="auto"/>
              <w:bottom w:val="single" w:sz="4" w:space="0" w:color="auto"/>
              <w:right w:val="single" w:sz="4" w:space="0" w:color="auto"/>
            </w:tcBorders>
          </w:tcPr>
          <w:p w14:paraId="60C63EBE" w14:textId="6506831F" w:rsidR="007365B3" w:rsidRPr="003E76E7" w:rsidRDefault="007365B3" w:rsidP="00C4292D">
            <w:pPr>
              <w:rPr>
                <w:rFonts w:ascii="Arial" w:hAnsi="Arial"/>
                <w:color w:val="000000"/>
                <w:sz w:val="16"/>
                <w:szCs w:val="16"/>
              </w:rPr>
            </w:pPr>
            <w:r w:rsidRPr="003E76E7">
              <w:rPr>
                <w:rFonts w:ascii="Arial" w:hAnsi="Arial"/>
                <w:color w:val="000000"/>
                <w:sz w:val="16"/>
                <w:szCs w:val="16"/>
              </w:rPr>
              <w:t>Promote public confidence and trust in the Regulator through public consultation and engagement.</w:t>
            </w:r>
          </w:p>
        </w:tc>
        <w:tc>
          <w:tcPr>
            <w:tcW w:w="3565" w:type="dxa"/>
            <w:tcBorders>
              <w:top w:val="single" w:sz="4" w:space="0" w:color="auto"/>
              <w:left w:val="single" w:sz="4" w:space="0" w:color="auto"/>
              <w:bottom w:val="single" w:sz="4" w:space="0" w:color="auto"/>
            </w:tcBorders>
          </w:tcPr>
          <w:p w14:paraId="3D1913C9" w14:textId="77777777" w:rsidR="007365B3" w:rsidRPr="003E76E7" w:rsidRDefault="007365B3" w:rsidP="00C4292D">
            <w:pPr>
              <w:tabs>
                <w:tab w:val="left" w:pos="79"/>
              </w:tabs>
              <w:spacing w:before="60" w:after="60"/>
              <w:rPr>
                <w:rFonts w:ascii="Arial" w:hAnsi="Arial"/>
                <w:color w:val="000000"/>
                <w:sz w:val="16"/>
                <w:szCs w:val="16"/>
              </w:rPr>
            </w:pPr>
            <w:r w:rsidRPr="003E76E7">
              <w:rPr>
                <w:rFonts w:ascii="Arial" w:hAnsi="Arial"/>
                <w:color w:val="000000"/>
                <w:sz w:val="16"/>
                <w:szCs w:val="16"/>
              </w:rPr>
              <w:t>Public enquiries received and responded within 20 working days.</w:t>
            </w:r>
          </w:p>
          <w:p w14:paraId="03762AEB" w14:textId="60E51A3F" w:rsidR="007365B3" w:rsidRPr="003E76E7" w:rsidRDefault="007365B3" w:rsidP="00C4292D">
            <w:pPr>
              <w:tabs>
                <w:tab w:val="left" w:pos="79"/>
              </w:tabs>
              <w:spacing w:before="60" w:after="60"/>
              <w:jc w:val="right"/>
              <w:rPr>
                <w:rFonts w:ascii="Arial" w:hAnsi="Arial"/>
                <w:color w:val="000000"/>
                <w:sz w:val="16"/>
                <w:szCs w:val="16"/>
              </w:rPr>
            </w:pPr>
            <w:r w:rsidRPr="003E76E7">
              <w:rPr>
                <w:rFonts w:ascii="Arial" w:hAnsi="Arial"/>
                <w:i/>
                <w:color w:val="000000"/>
                <w:sz w:val="16"/>
                <w:szCs w:val="16"/>
              </w:rPr>
              <w:t>Target: 90%</w:t>
            </w:r>
            <w:r w:rsidR="00A30B2C" w:rsidRPr="003E76E7">
              <w:rPr>
                <w:rFonts w:ascii="Arial" w:hAnsi="Arial"/>
                <w:i/>
                <w:color w:val="000000"/>
                <w:sz w:val="16"/>
                <w:szCs w:val="16"/>
              </w:rPr>
              <w:t>.</w:t>
            </w:r>
          </w:p>
          <w:p w14:paraId="67591D2F" w14:textId="77777777" w:rsidR="007365B3" w:rsidRPr="003E76E7" w:rsidRDefault="007365B3" w:rsidP="00C4292D">
            <w:pPr>
              <w:tabs>
                <w:tab w:val="left" w:pos="79"/>
              </w:tabs>
              <w:spacing w:before="60" w:after="60"/>
              <w:rPr>
                <w:rFonts w:ascii="Arial" w:hAnsi="Arial"/>
                <w:color w:val="000000"/>
                <w:sz w:val="16"/>
                <w:szCs w:val="16"/>
              </w:rPr>
            </w:pPr>
            <w:r w:rsidRPr="003E76E7">
              <w:rPr>
                <w:rFonts w:ascii="Arial" w:hAnsi="Arial"/>
                <w:color w:val="000000"/>
                <w:sz w:val="16"/>
                <w:szCs w:val="16"/>
              </w:rPr>
              <w:t>Conduct engagement activities with relevant stakeholders.</w:t>
            </w:r>
          </w:p>
          <w:p w14:paraId="3061DB09" w14:textId="4BEB7750" w:rsidR="007365B3" w:rsidRPr="003E76E7" w:rsidRDefault="007365B3" w:rsidP="00C4292D">
            <w:pPr>
              <w:tabs>
                <w:tab w:val="left" w:pos="265"/>
              </w:tabs>
              <w:jc w:val="right"/>
              <w:rPr>
                <w:rFonts w:ascii="Arial" w:hAnsi="Arial"/>
                <w:i/>
                <w:sz w:val="16"/>
                <w:szCs w:val="16"/>
              </w:rPr>
            </w:pPr>
            <w:r w:rsidRPr="003E76E7">
              <w:rPr>
                <w:rFonts w:ascii="Arial" w:hAnsi="Arial"/>
                <w:i/>
                <w:color w:val="000000"/>
                <w:sz w:val="16"/>
                <w:szCs w:val="16"/>
              </w:rPr>
              <w:t>Target: at least 20</w:t>
            </w:r>
            <w:r w:rsidRPr="003E76E7" w:rsidDel="001B56E1">
              <w:rPr>
                <w:rFonts w:ascii="Arial" w:hAnsi="Arial"/>
                <w:i/>
                <w:color w:val="000000"/>
                <w:sz w:val="16"/>
                <w:szCs w:val="16"/>
              </w:rPr>
              <w:t xml:space="preserve"> </w:t>
            </w:r>
            <w:r w:rsidRPr="003E76E7">
              <w:rPr>
                <w:rFonts w:ascii="Arial" w:hAnsi="Arial"/>
                <w:i/>
                <w:color w:val="000000"/>
                <w:sz w:val="16"/>
                <w:szCs w:val="16"/>
              </w:rPr>
              <w:t>per annum</w:t>
            </w:r>
            <w:r w:rsidR="00A30B2C" w:rsidRPr="003E76E7">
              <w:rPr>
                <w:rFonts w:ascii="Arial" w:hAnsi="Arial"/>
                <w:i/>
                <w:color w:val="000000"/>
                <w:sz w:val="16"/>
                <w:szCs w:val="16"/>
              </w:rPr>
              <w:t>.</w:t>
            </w:r>
          </w:p>
        </w:tc>
      </w:tr>
      <w:tr w:rsidR="007365B3" w:rsidRPr="003E76E7" w14:paraId="39FF99E4" w14:textId="77777777" w:rsidTr="000E1A17">
        <w:trPr>
          <w:cantSplit/>
          <w:trHeight w:val="53"/>
        </w:trPr>
        <w:tc>
          <w:tcPr>
            <w:tcW w:w="1883" w:type="dxa"/>
            <w:vMerge/>
            <w:tcBorders>
              <w:right w:val="single" w:sz="4" w:space="0" w:color="auto"/>
            </w:tcBorders>
          </w:tcPr>
          <w:p w14:paraId="2B9FFA39" w14:textId="77777777" w:rsidR="007365B3" w:rsidRPr="003E76E7" w:rsidRDefault="007365B3" w:rsidP="00C4292D">
            <w:pPr>
              <w:rPr>
                <w:rFonts w:ascii="Arial" w:hAnsi="Arial"/>
                <w:b/>
                <w:bCs/>
                <w:color w:val="0070C0"/>
                <w:sz w:val="16"/>
                <w:szCs w:val="16"/>
              </w:rPr>
            </w:pPr>
          </w:p>
        </w:tc>
        <w:tc>
          <w:tcPr>
            <w:tcW w:w="3340" w:type="dxa"/>
            <w:tcBorders>
              <w:top w:val="single" w:sz="4" w:space="0" w:color="auto"/>
              <w:left w:val="single" w:sz="4" w:space="0" w:color="auto"/>
              <w:bottom w:val="single" w:sz="4" w:space="0" w:color="auto"/>
              <w:right w:val="single" w:sz="4" w:space="0" w:color="auto"/>
            </w:tcBorders>
          </w:tcPr>
          <w:p w14:paraId="334F35CC" w14:textId="62A007C6" w:rsidR="007365B3" w:rsidRPr="003E76E7" w:rsidRDefault="007365B3" w:rsidP="00C4292D">
            <w:pPr>
              <w:keepNext/>
              <w:keepLines/>
              <w:rPr>
                <w:rFonts w:ascii="Arial" w:hAnsi="Arial"/>
                <w:color w:val="000000"/>
                <w:sz w:val="16"/>
                <w:szCs w:val="16"/>
              </w:rPr>
            </w:pPr>
            <w:r w:rsidRPr="003E76E7">
              <w:rPr>
                <w:rFonts w:ascii="Arial" w:hAnsi="Arial"/>
                <w:sz w:val="16"/>
                <w:szCs w:val="16"/>
              </w:rPr>
              <w:t>Support the AUKUS partnership by assuring nuclear safety aligned with the Optimal Pathway.</w:t>
            </w:r>
          </w:p>
        </w:tc>
        <w:tc>
          <w:tcPr>
            <w:tcW w:w="3565" w:type="dxa"/>
            <w:tcBorders>
              <w:top w:val="single" w:sz="4" w:space="0" w:color="auto"/>
              <w:left w:val="single" w:sz="4" w:space="0" w:color="auto"/>
              <w:bottom w:val="single" w:sz="4" w:space="0" w:color="auto"/>
            </w:tcBorders>
          </w:tcPr>
          <w:p w14:paraId="02AA09C4" w14:textId="77777777" w:rsidR="007365B3" w:rsidRPr="003E76E7" w:rsidRDefault="007365B3" w:rsidP="00C4292D">
            <w:pPr>
              <w:tabs>
                <w:tab w:val="left" w:pos="220"/>
              </w:tabs>
              <w:spacing w:before="60" w:after="60"/>
              <w:rPr>
                <w:rFonts w:ascii="Arial" w:hAnsi="Arial"/>
                <w:color w:val="000000"/>
                <w:sz w:val="16"/>
                <w:szCs w:val="16"/>
              </w:rPr>
            </w:pPr>
            <w:r w:rsidRPr="003E76E7">
              <w:rPr>
                <w:rFonts w:ascii="Arial" w:hAnsi="Arial"/>
                <w:color w:val="000000"/>
                <w:sz w:val="16"/>
                <w:szCs w:val="16"/>
              </w:rPr>
              <w:t xml:space="preserve">AUKUS peer regulators are regularly engaged. </w:t>
            </w:r>
          </w:p>
          <w:p w14:paraId="50454CE3" w14:textId="77777777" w:rsidR="007365B3" w:rsidRPr="003E76E7" w:rsidRDefault="007365B3" w:rsidP="00C4292D">
            <w:pPr>
              <w:tabs>
                <w:tab w:val="left" w:pos="220"/>
              </w:tabs>
              <w:spacing w:before="60" w:after="60"/>
              <w:rPr>
                <w:rFonts w:ascii="Arial" w:hAnsi="Arial"/>
                <w:color w:val="000000"/>
                <w:sz w:val="16"/>
                <w:szCs w:val="16"/>
              </w:rPr>
            </w:pPr>
            <w:r w:rsidRPr="003E76E7">
              <w:rPr>
                <w:rFonts w:ascii="Arial" w:hAnsi="Arial"/>
                <w:color w:val="000000"/>
                <w:sz w:val="16"/>
                <w:szCs w:val="16"/>
              </w:rPr>
              <w:t>ANNPSR regulatory capability is aligned with nuclear-powered submarine activities.</w:t>
            </w:r>
          </w:p>
          <w:p w14:paraId="00CFABD4" w14:textId="147C3B8B" w:rsidR="007365B3" w:rsidRPr="003E76E7" w:rsidRDefault="007365B3" w:rsidP="00C4292D">
            <w:pPr>
              <w:tabs>
                <w:tab w:val="left" w:pos="265"/>
              </w:tabs>
              <w:rPr>
                <w:rFonts w:ascii="Arial" w:hAnsi="Arial"/>
                <w:sz w:val="16"/>
                <w:szCs w:val="16"/>
              </w:rPr>
            </w:pPr>
            <w:r w:rsidRPr="003E76E7">
              <w:rPr>
                <w:rFonts w:ascii="Arial" w:hAnsi="Arial"/>
                <w:color w:val="000000"/>
                <w:sz w:val="16"/>
                <w:szCs w:val="16"/>
              </w:rPr>
              <w:t>Observing US and UK nuclear-powered submarine visits.</w:t>
            </w:r>
          </w:p>
        </w:tc>
      </w:tr>
    </w:tbl>
    <w:p w14:paraId="36247705" w14:textId="41CE6847" w:rsidR="001B289E" w:rsidRPr="003E76E7" w:rsidRDefault="007365B3" w:rsidP="00C4292D">
      <w:r w:rsidRPr="003E76E7">
        <w:rPr>
          <w:rFonts w:ascii="Arial" w:hAnsi="Arial"/>
          <w:sz w:val="16"/>
        </w:rPr>
        <w:t>Table continued on the next page.</w:t>
      </w:r>
    </w:p>
    <w:p w14:paraId="187B89D6" w14:textId="5A71C161" w:rsidR="001B289E" w:rsidRPr="003E76E7" w:rsidRDefault="001B289E" w:rsidP="00C4292D">
      <w:pPr>
        <w:spacing w:before="0" w:after="0"/>
      </w:pPr>
      <w:r w:rsidRPr="003E76E7">
        <w:br w:type="page"/>
      </w:r>
    </w:p>
    <w:tbl>
      <w:tblPr>
        <w:tblW w:w="8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1883"/>
        <w:gridCol w:w="3340"/>
        <w:gridCol w:w="3565"/>
      </w:tblGrid>
      <w:tr w:rsidR="00967877" w:rsidRPr="003E76E7" w14:paraId="2C1CD85B" w14:textId="77777777" w:rsidTr="00967877">
        <w:tc>
          <w:tcPr>
            <w:tcW w:w="8788" w:type="dxa"/>
            <w:gridSpan w:val="3"/>
            <w:shd w:val="clear" w:color="auto" w:fill="CCCCCC"/>
          </w:tcPr>
          <w:p w14:paraId="037B4BF0" w14:textId="77777777" w:rsidR="00967877" w:rsidRPr="003E76E7" w:rsidRDefault="00967877" w:rsidP="00C4292D">
            <w:pPr>
              <w:pStyle w:val="BodyText"/>
              <w:rPr>
                <w:rFonts w:ascii="Arial" w:hAnsi="Arial"/>
                <w:b/>
                <w:bCs/>
                <w:i/>
                <w:iCs/>
              </w:rPr>
            </w:pPr>
            <w:r w:rsidRPr="003E76E7">
              <w:rPr>
                <w:rFonts w:ascii="Arial" w:hAnsi="Arial"/>
                <w:b/>
              </w:rPr>
              <w:lastRenderedPageBreak/>
              <w:t xml:space="preserve">Program 1.1: </w:t>
            </w:r>
            <w:r w:rsidRPr="003E76E7">
              <w:rPr>
                <w:rFonts w:ascii="Arial" w:hAnsi="Arial"/>
                <w:b/>
                <w:lang w:val="en-AU"/>
              </w:rPr>
              <w:t>Regulation of Naval Nuclear Power Activities</w:t>
            </w:r>
          </w:p>
        </w:tc>
      </w:tr>
      <w:tr w:rsidR="00967877" w:rsidRPr="003E76E7" w14:paraId="5E8C3D14" w14:textId="77777777" w:rsidTr="00967877">
        <w:tblPrEx>
          <w:shd w:val="clear" w:color="auto" w:fill="auto"/>
          <w:tblLook w:val="04A0" w:firstRow="1" w:lastRow="0" w:firstColumn="1" w:lastColumn="0" w:noHBand="0" w:noVBand="1"/>
        </w:tblPrEx>
        <w:trPr>
          <w:cantSplit/>
        </w:trPr>
        <w:tc>
          <w:tcPr>
            <w:tcW w:w="8788" w:type="dxa"/>
            <w:gridSpan w:val="3"/>
            <w:shd w:val="clear" w:color="auto" w:fill="E6E6E6"/>
          </w:tcPr>
          <w:p w14:paraId="69A4EE4D" w14:textId="77777777" w:rsidR="00967877" w:rsidRPr="003E76E7" w:rsidRDefault="00967877" w:rsidP="00C4292D">
            <w:pPr>
              <w:spacing w:after="0"/>
              <w:rPr>
                <w:rFonts w:ascii="Arial" w:hAnsi="Arial"/>
                <w:b/>
                <w:sz w:val="16"/>
                <w:szCs w:val="16"/>
              </w:rPr>
            </w:pPr>
            <w:r w:rsidRPr="003E76E7">
              <w:rPr>
                <w:rFonts w:ascii="Arial" w:hAnsi="Arial"/>
                <w:b/>
                <w:sz w:val="16"/>
                <w:szCs w:val="16"/>
              </w:rPr>
              <w:t>Program 1.1 Objective</w:t>
            </w:r>
          </w:p>
          <w:p w14:paraId="7756F89B" w14:textId="08B34EA0" w:rsidR="00967877" w:rsidRPr="003E76E7" w:rsidRDefault="007365B3" w:rsidP="00C4292D">
            <w:pPr>
              <w:rPr>
                <w:rFonts w:ascii="Arial" w:hAnsi="Arial"/>
                <w:sz w:val="16"/>
                <w:szCs w:val="16"/>
              </w:rPr>
            </w:pPr>
            <w:r w:rsidRPr="003E76E7">
              <w:rPr>
                <w:rFonts w:ascii="Arial" w:hAnsi="Arial"/>
                <w:sz w:val="16"/>
                <w:szCs w:val="16"/>
              </w:rPr>
              <w:t xml:space="preserve">ANNPSR’s objectives are to protect the environment and people by providing assurance for nuclear safety of Australia’s Nuclear-Powered Submarine Program, as well as promote, monitor and enforce compliance with the </w:t>
            </w:r>
            <w:r w:rsidRPr="003E76E7">
              <w:rPr>
                <w:rFonts w:ascii="Arial" w:hAnsi="Arial"/>
                <w:i/>
                <w:sz w:val="16"/>
                <w:szCs w:val="16"/>
              </w:rPr>
              <w:t>Australian Naval Nuclear Power Safety Act 2024</w:t>
            </w:r>
            <w:r w:rsidRPr="003E76E7">
              <w:rPr>
                <w:rFonts w:ascii="Arial" w:hAnsi="Arial"/>
                <w:sz w:val="16"/>
                <w:szCs w:val="16"/>
              </w:rPr>
              <w:t>.</w:t>
            </w:r>
          </w:p>
        </w:tc>
      </w:tr>
      <w:tr w:rsidR="001B289E" w:rsidRPr="003E76E7" w14:paraId="3290417E" w14:textId="77777777" w:rsidTr="000E1A17">
        <w:trPr>
          <w:cantSplit/>
          <w:trHeight w:val="186"/>
        </w:trPr>
        <w:tc>
          <w:tcPr>
            <w:tcW w:w="1883" w:type="dxa"/>
            <w:tcBorders>
              <w:top w:val="single" w:sz="4" w:space="0" w:color="auto"/>
              <w:bottom w:val="single" w:sz="4" w:space="0" w:color="auto"/>
              <w:right w:val="single" w:sz="4" w:space="0" w:color="auto"/>
            </w:tcBorders>
          </w:tcPr>
          <w:p w14:paraId="7766804C" w14:textId="77777777" w:rsidR="001B289E" w:rsidRPr="003E76E7" w:rsidRDefault="001B289E" w:rsidP="00C4292D">
            <w:pPr>
              <w:rPr>
                <w:rFonts w:ascii="Arial" w:hAnsi="Arial"/>
                <w:b/>
                <w:color w:val="000000"/>
                <w:sz w:val="16"/>
                <w:szCs w:val="16"/>
              </w:rPr>
            </w:pPr>
            <w:r w:rsidRPr="003E76E7">
              <w:rPr>
                <w:rFonts w:ascii="Arial" w:hAnsi="Arial"/>
                <w:b/>
                <w:color w:val="000000"/>
                <w:sz w:val="16"/>
                <w:szCs w:val="16"/>
              </w:rPr>
              <w:t>Year</w:t>
            </w:r>
          </w:p>
        </w:tc>
        <w:tc>
          <w:tcPr>
            <w:tcW w:w="3340" w:type="dxa"/>
            <w:tcBorders>
              <w:top w:val="single" w:sz="4" w:space="0" w:color="auto"/>
              <w:left w:val="single" w:sz="4" w:space="0" w:color="auto"/>
              <w:bottom w:val="single" w:sz="4" w:space="0" w:color="auto"/>
              <w:right w:val="single" w:sz="4" w:space="0" w:color="auto"/>
            </w:tcBorders>
          </w:tcPr>
          <w:p w14:paraId="3254D9EC" w14:textId="77777777" w:rsidR="001B289E" w:rsidRPr="003E76E7" w:rsidRDefault="001B289E" w:rsidP="00C4292D">
            <w:pPr>
              <w:rPr>
                <w:rFonts w:ascii="Arial" w:hAnsi="Arial"/>
                <w:b/>
                <w:color w:val="000000"/>
                <w:sz w:val="16"/>
                <w:szCs w:val="16"/>
              </w:rPr>
            </w:pPr>
            <w:r w:rsidRPr="003E76E7">
              <w:rPr>
                <w:rFonts w:ascii="Arial" w:hAnsi="Arial"/>
                <w:b/>
                <w:color w:val="000000"/>
                <w:sz w:val="16"/>
                <w:szCs w:val="16"/>
              </w:rPr>
              <w:t>Performance Measures</w:t>
            </w:r>
          </w:p>
        </w:tc>
        <w:tc>
          <w:tcPr>
            <w:tcW w:w="3565" w:type="dxa"/>
            <w:tcBorders>
              <w:top w:val="single" w:sz="4" w:space="0" w:color="auto"/>
              <w:left w:val="single" w:sz="4" w:space="0" w:color="auto"/>
              <w:bottom w:val="single" w:sz="4" w:space="0" w:color="auto"/>
            </w:tcBorders>
          </w:tcPr>
          <w:p w14:paraId="7C390560" w14:textId="77777777" w:rsidR="001B289E" w:rsidRPr="003E76E7" w:rsidRDefault="001B289E" w:rsidP="00C4292D">
            <w:pPr>
              <w:rPr>
                <w:rFonts w:ascii="Arial" w:hAnsi="Arial"/>
                <w:b/>
                <w:color w:val="000000"/>
                <w:sz w:val="16"/>
                <w:szCs w:val="16"/>
              </w:rPr>
            </w:pPr>
            <w:r w:rsidRPr="003E76E7">
              <w:rPr>
                <w:rFonts w:ascii="Arial" w:hAnsi="Arial"/>
                <w:b/>
                <w:color w:val="000000"/>
                <w:sz w:val="16"/>
                <w:szCs w:val="16"/>
              </w:rPr>
              <w:t>Planned Performance Results</w:t>
            </w:r>
          </w:p>
        </w:tc>
      </w:tr>
      <w:tr w:rsidR="007365B3" w:rsidRPr="003E76E7" w14:paraId="3D4408AF" w14:textId="77777777" w:rsidTr="00063F33">
        <w:tblPrEx>
          <w:shd w:val="clear" w:color="auto" w:fill="auto"/>
          <w:tblLook w:val="04A0" w:firstRow="1" w:lastRow="0" w:firstColumn="1" w:lastColumn="0" w:noHBand="0" w:noVBand="1"/>
        </w:tblPrEx>
        <w:trPr>
          <w:cantSplit/>
          <w:trHeight w:val="642"/>
        </w:trPr>
        <w:tc>
          <w:tcPr>
            <w:tcW w:w="1883" w:type="dxa"/>
            <w:vMerge w:val="restart"/>
            <w:tcBorders>
              <w:right w:val="single" w:sz="4" w:space="0" w:color="auto"/>
            </w:tcBorders>
          </w:tcPr>
          <w:p w14:paraId="0C132C61" w14:textId="77777777" w:rsidR="007365B3" w:rsidRPr="003E76E7" w:rsidRDefault="007365B3" w:rsidP="00C4292D">
            <w:pPr>
              <w:spacing w:after="0"/>
              <w:rPr>
                <w:rFonts w:ascii="Arial" w:hAnsi="Arial"/>
                <w:color w:val="000000"/>
                <w:sz w:val="16"/>
                <w:szCs w:val="16"/>
              </w:rPr>
            </w:pPr>
            <w:r w:rsidRPr="003E76E7">
              <w:rPr>
                <w:rFonts w:ascii="Arial" w:hAnsi="Arial"/>
                <w:color w:val="000000"/>
                <w:sz w:val="16"/>
                <w:szCs w:val="16"/>
              </w:rPr>
              <w:t>Budget Year</w:t>
            </w:r>
          </w:p>
          <w:p w14:paraId="5829CCC5" w14:textId="7DB7D3A2" w:rsidR="007365B3" w:rsidRPr="003E76E7" w:rsidRDefault="007365B3" w:rsidP="00C4292D">
            <w:pPr>
              <w:spacing w:before="0" w:after="0"/>
              <w:rPr>
                <w:rFonts w:ascii="Arial" w:hAnsi="Arial"/>
                <w:color w:val="000000"/>
                <w:sz w:val="16"/>
                <w:szCs w:val="16"/>
              </w:rPr>
            </w:pPr>
            <w:r w:rsidRPr="003E76E7">
              <w:rPr>
                <w:rFonts w:ascii="Arial" w:hAnsi="Arial"/>
                <w:color w:val="000000"/>
                <w:sz w:val="16"/>
                <w:szCs w:val="16"/>
              </w:rPr>
              <w:t>2026-27</w:t>
            </w:r>
            <w:r w:rsidR="004D5404" w:rsidRPr="003E76E7">
              <w:rPr>
                <w:rFonts w:ascii="Arial" w:hAnsi="Arial"/>
                <w:color w:val="000000"/>
                <w:sz w:val="16"/>
                <w:szCs w:val="16"/>
              </w:rPr>
              <w:t xml:space="preserve"> </w:t>
            </w:r>
            <w:r w:rsidRPr="003E76E7">
              <w:rPr>
                <w:rFonts w:ascii="Arial" w:hAnsi="Arial"/>
                <w:color w:val="000000"/>
                <w:sz w:val="16"/>
                <w:szCs w:val="16"/>
                <w:vertAlign w:val="superscript"/>
              </w:rPr>
              <w:t>[a]</w:t>
            </w:r>
          </w:p>
        </w:tc>
        <w:tc>
          <w:tcPr>
            <w:tcW w:w="3340" w:type="dxa"/>
            <w:tcBorders>
              <w:top w:val="single" w:sz="4" w:space="0" w:color="auto"/>
              <w:left w:val="single" w:sz="4" w:space="0" w:color="auto"/>
              <w:bottom w:val="single" w:sz="4" w:space="0" w:color="auto"/>
              <w:right w:val="single" w:sz="4" w:space="0" w:color="auto"/>
            </w:tcBorders>
          </w:tcPr>
          <w:p w14:paraId="56A173C3" w14:textId="6FACF060" w:rsidR="007365B3" w:rsidRPr="003E76E7" w:rsidRDefault="007365B3" w:rsidP="00C4292D">
            <w:pPr>
              <w:keepNext/>
              <w:keepLines/>
              <w:rPr>
                <w:rFonts w:ascii="Arial" w:hAnsi="Arial"/>
                <w:color w:val="000000"/>
                <w:sz w:val="16"/>
                <w:szCs w:val="16"/>
              </w:rPr>
            </w:pPr>
            <w:r w:rsidRPr="003E76E7">
              <w:rPr>
                <w:rFonts w:ascii="Arial" w:hAnsi="Arial"/>
                <w:color w:val="000000"/>
                <w:sz w:val="16"/>
                <w:szCs w:val="16"/>
              </w:rPr>
              <w:t>Conduct effective regulatory action.</w:t>
            </w:r>
          </w:p>
        </w:tc>
        <w:tc>
          <w:tcPr>
            <w:tcW w:w="3565" w:type="dxa"/>
            <w:tcBorders>
              <w:top w:val="single" w:sz="4" w:space="0" w:color="auto"/>
              <w:left w:val="single" w:sz="4" w:space="0" w:color="auto"/>
              <w:bottom w:val="single" w:sz="4" w:space="0" w:color="auto"/>
            </w:tcBorders>
          </w:tcPr>
          <w:p w14:paraId="7CC0547F" w14:textId="77777777" w:rsidR="007365B3" w:rsidRPr="003E76E7" w:rsidRDefault="007365B3" w:rsidP="00C4292D">
            <w:pPr>
              <w:tabs>
                <w:tab w:val="left" w:pos="79"/>
              </w:tabs>
              <w:spacing w:before="60" w:after="60"/>
              <w:rPr>
                <w:rFonts w:ascii="Arial" w:hAnsi="Arial"/>
                <w:color w:val="000000"/>
                <w:sz w:val="16"/>
                <w:szCs w:val="16"/>
              </w:rPr>
            </w:pPr>
            <w:r w:rsidRPr="003E76E7">
              <w:rPr>
                <w:rFonts w:ascii="Arial" w:hAnsi="Arial"/>
                <w:color w:val="000000"/>
                <w:sz w:val="16"/>
                <w:szCs w:val="16"/>
              </w:rPr>
              <w:t>Percentage of licence applications processed in accordance with established timeframes.</w:t>
            </w:r>
          </w:p>
          <w:p w14:paraId="54125601" w14:textId="23772FF0" w:rsidR="007365B3" w:rsidRPr="003E76E7" w:rsidRDefault="007365B3" w:rsidP="00C4292D">
            <w:pPr>
              <w:tabs>
                <w:tab w:val="left" w:pos="79"/>
              </w:tabs>
              <w:spacing w:before="60" w:after="60"/>
              <w:jc w:val="right"/>
              <w:rPr>
                <w:rFonts w:ascii="Arial" w:hAnsi="Arial"/>
                <w:i/>
                <w:color w:val="000000"/>
                <w:sz w:val="16"/>
                <w:szCs w:val="16"/>
              </w:rPr>
            </w:pPr>
            <w:r w:rsidRPr="003E76E7">
              <w:rPr>
                <w:rFonts w:ascii="Arial" w:hAnsi="Arial"/>
                <w:i/>
                <w:color w:val="000000"/>
                <w:sz w:val="16"/>
                <w:szCs w:val="16"/>
              </w:rPr>
              <w:t>Target: 90%</w:t>
            </w:r>
            <w:r w:rsidR="00A30B2C" w:rsidRPr="003E76E7">
              <w:rPr>
                <w:rFonts w:ascii="Arial" w:hAnsi="Arial"/>
                <w:i/>
                <w:color w:val="000000"/>
                <w:sz w:val="16"/>
                <w:szCs w:val="16"/>
              </w:rPr>
              <w:t>.</w:t>
            </w:r>
          </w:p>
          <w:p w14:paraId="5E7A44CB" w14:textId="77777777" w:rsidR="007365B3" w:rsidRPr="003E76E7" w:rsidRDefault="007365B3" w:rsidP="00C4292D">
            <w:pPr>
              <w:tabs>
                <w:tab w:val="left" w:pos="79"/>
              </w:tabs>
              <w:spacing w:before="60" w:after="60"/>
              <w:rPr>
                <w:rFonts w:ascii="Arial" w:hAnsi="Arial"/>
                <w:sz w:val="16"/>
                <w:szCs w:val="16"/>
              </w:rPr>
            </w:pPr>
            <w:r w:rsidRPr="003E76E7">
              <w:rPr>
                <w:rFonts w:ascii="Arial" w:hAnsi="Arial"/>
                <w:color w:val="000000"/>
                <w:sz w:val="16"/>
                <w:szCs w:val="16"/>
              </w:rPr>
              <w:t>Percentage of p</w:t>
            </w:r>
            <w:r w:rsidRPr="003E76E7">
              <w:rPr>
                <w:rFonts w:ascii="Arial" w:hAnsi="Arial"/>
                <w:sz w:val="16"/>
                <w:szCs w:val="16"/>
              </w:rPr>
              <w:t>lanned inspections and audits completed in accordance with relevant Regulatory Oversight Plans and Annual Inspection Plans.</w:t>
            </w:r>
          </w:p>
          <w:p w14:paraId="0AE2E3A6" w14:textId="4EEE600A" w:rsidR="007365B3" w:rsidRPr="003E76E7" w:rsidRDefault="007365B3" w:rsidP="00C4292D">
            <w:pPr>
              <w:tabs>
                <w:tab w:val="left" w:pos="79"/>
              </w:tabs>
              <w:spacing w:before="60" w:after="60"/>
              <w:jc w:val="right"/>
              <w:rPr>
                <w:rFonts w:ascii="Arial" w:hAnsi="Arial"/>
                <w:i/>
                <w:sz w:val="16"/>
                <w:szCs w:val="16"/>
              </w:rPr>
            </w:pPr>
            <w:r w:rsidRPr="003E76E7">
              <w:rPr>
                <w:rFonts w:ascii="Arial" w:hAnsi="Arial"/>
                <w:i/>
                <w:sz w:val="16"/>
                <w:szCs w:val="16"/>
              </w:rPr>
              <w:t>Target: 90%</w:t>
            </w:r>
            <w:r w:rsidR="00A30B2C" w:rsidRPr="003E76E7">
              <w:rPr>
                <w:rFonts w:ascii="Arial" w:hAnsi="Arial"/>
                <w:i/>
                <w:sz w:val="16"/>
                <w:szCs w:val="16"/>
              </w:rPr>
              <w:t>.</w:t>
            </w:r>
          </w:p>
        </w:tc>
      </w:tr>
      <w:tr w:rsidR="007365B3" w:rsidRPr="003E76E7" w14:paraId="48A2E585" w14:textId="77777777" w:rsidTr="00063F33">
        <w:tblPrEx>
          <w:shd w:val="clear" w:color="auto" w:fill="auto"/>
          <w:tblLook w:val="04A0" w:firstRow="1" w:lastRow="0" w:firstColumn="1" w:lastColumn="0" w:noHBand="0" w:noVBand="1"/>
        </w:tblPrEx>
        <w:trPr>
          <w:cantSplit/>
          <w:trHeight w:val="642"/>
        </w:trPr>
        <w:tc>
          <w:tcPr>
            <w:tcW w:w="1883" w:type="dxa"/>
            <w:vMerge/>
            <w:tcBorders>
              <w:right w:val="single" w:sz="4" w:space="0" w:color="auto"/>
            </w:tcBorders>
          </w:tcPr>
          <w:p w14:paraId="760DEFF2" w14:textId="77777777" w:rsidR="007365B3" w:rsidRPr="003E76E7" w:rsidRDefault="007365B3" w:rsidP="00C4292D">
            <w:pPr>
              <w:rPr>
                <w:rFonts w:ascii="Arial" w:hAnsi="Arial"/>
                <w:b/>
                <w:bCs/>
                <w:color w:val="0070C0"/>
                <w:sz w:val="16"/>
                <w:szCs w:val="16"/>
              </w:rPr>
            </w:pPr>
          </w:p>
        </w:tc>
        <w:tc>
          <w:tcPr>
            <w:tcW w:w="3340" w:type="dxa"/>
            <w:tcBorders>
              <w:top w:val="single" w:sz="4" w:space="0" w:color="auto"/>
              <w:left w:val="single" w:sz="4" w:space="0" w:color="auto"/>
              <w:bottom w:val="single" w:sz="4" w:space="0" w:color="auto"/>
              <w:right w:val="single" w:sz="4" w:space="0" w:color="auto"/>
            </w:tcBorders>
          </w:tcPr>
          <w:p w14:paraId="0FBB16F8" w14:textId="6B2FEE4C" w:rsidR="007365B3" w:rsidRPr="003E76E7" w:rsidRDefault="007365B3" w:rsidP="00C4292D">
            <w:pPr>
              <w:keepNext/>
              <w:keepLines/>
              <w:rPr>
                <w:rFonts w:ascii="Arial" w:hAnsi="Arial"/>
                <w:color w:val="000000"/>
                <w:sz w:val="16"/>
                <w:szCs w:val="16"/>
              </w:rPr>
            </w:pPr>
            <w:r w:rsidRPr="003E76E7">
              <w:rPr>
                <w:rFonts w:ascii="Arial" w:hAnsi="Arial"/>
                <w:color w:val="000000"/>
                <w:sz w:val="16"/>
                <w:szCs w:val="16"/>
              </w:rPr>
              <w:t>Promote public confidence and trust in the Regulator through public consultation and engagement.</w:t>
            </w:r>
          </w:p>
        </w:tc>
        <w:tc>
          <w:tcPr>
            <w:tcW w:w="3565" w:type="dxa"/>
            <w:tcBorders>
              <w:top w:val="single" w:sz="4" w:space="0" w:color="auto"/>
              <w:left w:val="single" w:sz="4" w:space="0" w:color="auto"/>
              <w:bottom w:val="single" w:sz="4" w:space="0" w:color="auto"/>
            </w:tcBorders>
          </w:tcPr>
          <w:p w14:paraId="3847A391" w14:textId="77777777" w:rsidR="007365B3" w:rsidRPr="003E76E7" w:rsidRDefault="007365B3" w:rsidP="00C4292D">
            <w:pPr>
              <w:tabs>
                <w:tab w:val="left" w:pos="79"/>
              </w:tabs>
              <w:spacing w:before="60" w:after="60"/>
              <w:rPr>
                <w:rFonts w:ascii="Arial" w:hAnsi="Arial"/>
                <w:color w:val="000000"/>
                <w:sz w:val="16"/>
                <w:szCs w:val="16"/>
              </w:rPr>
            </w:pPr>
            <w:r w:rsidRPr="003E76E7">
              <w:rPr>
                <w:rFonts w:ascii="Arial" w:hAnsi="Arial"/>
                <w:color w:val="000000"/>
                <w:sz w:val="16"/>
                <w:szCs w:val="16"/>
              </w:rPr>
              <w:t>Public enquiries received and responded within 20 working days.</w:t>
            </w:r>
          </w:p>
          <w:p w14:paraId="49B71331" w14:textId="6575F5CB" w:rsidR="007365B3" w:rsidRPr="003E76E7" w:rsidRDefault="007365B3" w:rsidP="00C4292D">
            <w:pPr>
              <w:tabs>
                <w:tab w:val="left" w:pos="79"/>
              </w:tabs>
              <w:spacing w:before="60" w:after="60"/>
              <w:jc w:val="right"/>
              <w:rPr>
                <w:rFonts w:ascii="Arial" w:hAnsi="Arial"/>
                <w:color w:val="000000"/>
                <w:sz w:val="16"/>
                <w:szCs w:val="16"/>
              </w:rPr>
            </w:pPr>
            <w:r w:rsidRPr="003E76E7">
              <w:rPr>
                <w:rFonts w:ascii="Arial" w:hAnsi="Arial"/>
                <w:i/>
                <w:color w:val="000000"/>
                <w:sz w:val="16"/>
                <w:szCs w:val="16"/>
              </w:rPr>
              <w:t>Target: 90%</w:t>
            </w:r>
            <w:r w:rsidR="00A30B2C" w:rsidRPr="003E76E7">
              <w:rPr>
                <w:rFonts w:ascii="Arial" w:hAnsi="Arial"/>
                <w:i/>
                <w:color w:val="000000"/>
                <w:sz w:val="16"/>
                <w:szCs w:val="16"/>
              </w:rPr>
              <w:t>.</w:t>
            </w:r>
          </w:p>
          <w:p w14:paraId="0F682AED" w14:textId="77777777" w:rsidR="007365B3" w:rsidRPr="003E76E7" w:rsidRDefault="007365B3" w:rsidP="00C4292D">
            <w:pPr>
              <w:tabs>
                <w:tab w:val="left" w:pos="79"/>
              </w:tabs>
              <w:spacing w:before="60" w:after="60"/>
              <w:rPr>
                <w:rFonts w:ascii="Arial" w:hAnsi="Arial"/>
                <w:color w:val="000000"/>
                <w:sz w:val="16"/>
                <w:szCs w:val="16"/>
              </w:rPr>
            </w:pPr>
            <w:r w:rsidRPr="003E76E7">
              <w:rPr>
                <w:rFonts w:ascii="Arial" w:hAnsi="Arial"/>
                <w:color w:val="000000"/>
                <w:sz w:val="16"/>
                <w:szCs w:val="16"/>
              </w:rPr>
              <w:t>Conduct engagement activities with relevant stakeholders.</w:t>
            </w:r>
          </w:p>
          <w:p w14:paraId="176CEBE8" w14:textId="236645AB" w:rsidR="007365B3" w:rsidRPr="003E76E7" w:rsidRDefault="007365B3" w:rsidP="00C4292D">
            <w:pPr>
              <w:tabs>
                <w:tab w:val="left" w:pos="79"/>
              </w:tabs>
              <w:spacing w:before="60" w:after="60"/>
              <w:jc w:val="right"/>
              <w:rPr>
                <w:rFonts w:ascii="Arial" w:hAnsi="Arial"/>
                <w:i/>
                <w:sz w:val="16"/>
                <w:szCs w:val="16"/>
              </w:rPr>
            </w:pPr>
            <w:r w:rsidRPr="003E76E7">
              <w:rPr>
                <w:rFonts w:ascii="Arial" w:hAnsi="Arial"/>
                <w:i/>
                <w:color w:val="000000"/>
                <w:sz w:val="16"/>
                <w:szCs w:val="16"/>
              </w:rPr>
              <w:t>Target: at least 20</w:t>
            </w:r>
            <w:r w:rsidRPr="003E76E7" w:rsidDel="001B56E1">
              <w:rPr>
                <w:rFonts w:ascii="Arial" w:hAnsi="Arial"/>
                <w:i/>
                <w:color w:val="000000"/>
                <w:sz w:val="16"/>
                <w:szCs w:val="16"/>
              </w:rPr>
              <w:t xml:space="preserve"> </w:t>
            </w:r>
            <w:r w:rsidRPr="003E76E7">
              <w:rPr>
                <w:rFonts w:ascii="Arial" w:hAnsi="Arial"/>
                <w:i/>
                <w:color w:val="000000"/>
                <w:sz w:val="16"/>
                <w:szCs w:val="16"/>
              </w:rPr>
              <w:t>per annum</w:t>
            </w:r>
            <w:r w:rsidR="00A30B2C" w:rsidRPr="003E76E7">
              <w:rPr>
                <w:rFonts w:ascii="Arial" w:hAnsi="Arial"/>
                <w:i/>
                <w:color w:val="000000"/>
                <w:sz w:val="16"/>
                <w:szCs w:val="16"/>
              </w:rPr>
              <w:t>.</w:t>
            </w:r>
          </w:p>
        </w:tc>
      </w:tr>
      <w:tr w:rsidR="007365B3" w:rsidRPr="003E76E7" w14:paraId="74B36CD8" w14:textId="77777777" w:rsidTr="00063F33">
        <w:tblPrEx>
          <w:shd w:val="clear" w:color="auto" w:fill="auto"/>
          <w:tblLook w:val="04A0" w:firstRow="1" w:lastRow="0" w:firstColumn="1" w:lastColumn="0" w:noHBand="0" w:noVBand="1"/>
        </w:tblPrEx>
        <w:trPr>
          <w:cantSplit/>
          <w:trHeight w:val="642"/>
        </w:trPr>
        <w:tc>
          <w:tcPr>
            <w:tcW w:w="1883" w:type="dxa"/>
            <w:vMerge/>
            <w:tcBorders>
              <w:right w:val="single" w:sz="4" w:space="0" w:color="auto"/>
            </w:tcBorders>
          </w:tcPr>
          <w:p w14:paraId="2C4BE8AC" w14:textId="77777777" w:rsidR="007365B3" w:rsidRPr="003E76E7" w:rsidRDefault="007365B3" w:rsidP="00C4292D">
            <w:pPr>
              <w:rPr>
                <w:rFonts w:ascii="Arial" w:hAnsi="Arial"/>
                <w:b/>
                <w:bCs/>
                <w:color w:val="0070C0"/>
                <w:sz w:val="16"/>
                <w:szCs w:val="16"/>
              </w:rPr>
            </w:pPr>
          </w:p>
        </w:tc>
        <w:tc>
          <w:tcPr>
            <w:tcW w:w="3340" w:type="dxa"/>
            <w:tcBorders>
              <w:top w:val="single" w:sz="4" w:space="0" w:color="auto"/>
              <w:left w:val="single" w:sz="4" w:space="0" w:color="auto"/>
              <w:bottom w:val="single" w:sz="4" w:space="0" w:color="auto"/>
              <w:right w:val="single" w:sz="4" w:space="0" w:color="auto"/>
            </w:tcBorders>
          </w:tcPr>
          <w:p w14:paraId="7729E1A7" w14:textId="11DF12F1" w:rsidR="007365B3" w:rsidRPr="003E76E7" w:rsidRDefault="007365B3" w:rsidP="00C4292D">
            <w:pPr>
              <w:keepNext/>
              <w:keepLines/>
              <w:rPr>
                <w:rFonts w:ascii="Arial" w:hAnsi="Arial"/>
                <w:color w:val="000000"/>
                <w:sz w:val="16"/>
                <w:szCs w:val="16"/>
              </w:rPr>
            </w:pPr>
            <w:r w:rsidRPr="003E76E7">
              <w:rPr>
                <w:rFonts w:ascii="Arial" w:hAnsi="Arial"/>
                <w:sz w:val="16"/>
                <w:szCs w:val="16"/>
              </w:rPr>
              <w:t>Support the AUKUS partnership by assuring nuclear safety aligned with the Optimal Pathway.</w:t>
            </w:r>
          </w:p>
        </w:tc>
        <w:tc>
          <w:tcPr>
            <w:tcW w:w="3565" w:type="dxa"/>
            <w:tcBorders>
              <w:top w:val="single" w:sz="4" w:space="0" w:color="auto"/>
              <w:left w:val="single" w:sz="4" w:space="0" w:color="auto"/>
              <w:bottom w:val="single" w:sz="4" w:space="0" w:color="auto"/>
            </w:tcBorders>
          </w:tcPr>
          <w:p w14:paraId="2C650AA5" w14:textId="77777777" w:rsidR="007365B3" w:rsidRPr="003E76E7" w:rsidRDefault="007365B3" w:rsidP="00C4292D">
            <w:pPr>
              <w:tabs>
                <w:tab w:val="left" w:pos="220"/>
              </w:tabs>
              <w:spacing w:before="60" w:after="60"/>
              <w:rPr>
                <w:rFonts w:ascii="Arial" w:hAnsi="Arial"/>
                <w:color w:val="000000"/>
                <w:sz w:val="16"/>
                <w:szCs w:val="16"/>
              </w:rPr>
            </w:pPr>
            <w:r w:rsidRPr="003E76E7">
              <w:rPr>
                <w:rFonts w:ascii="Arial" w:hAnsi="Arial"/>
                <w:color w:val="000000"/>
                <w:sz w:val="16"/>
                <w:szCs w:val="16"/>
              </w:rPr>
              <w:t xml:space="preserve">AUKUS peer regulators are regularly engaged. </w:t>
            </w:r>
          </w:p>
          <w:p w14:paraId="3B5637CE" w14:textId="77777777" w:rsidR="007365B3" w:rsidRPr="003E76E7" w:rsidRDefault="007365B3" w:rsidP="00C4292D">
            <w:pPr>
              <w:tabs>
                <w:tab w:val="left" w:pos="220"/>
              </w:tabs>
              <w:spacing w:before="60" w:after="60"/>
              <w:rPr>
                <w:rFonts w:ascii="Arial" w:hAnsi="Arial"/>
                <w:color w:val="000000"/>
                <w:sz w:val="16"/>
                <w:szCs w:val="16"/>
              </w:rPr>
            </w:pPr>
            <w:r w:rsidRPr="003E76E7">
              <w:rPr>
                <w:rFonts w:ascii="Arial" w:hAnsi="Arial"/>
                <w:color w:val="000000"/>
                <w:sz w:val="16"/>
                <w:szCs w:val="16"/>
              </w:rPr>
              <w:t>ANNPSR regulatory capability is aligned with nuclear-powered submarine activities.</w:t>
            </w:r>
          </w:p>
          <w:p w14:paraId="1CC2B556" w14:textId="74181807" w:rsidR="007365B3" w:rsidRPr="003E76E7" w:rsidRDefault="007365B3" w:rsidP="00C4292D">
            <w:pPr>
              <w:tabs>
                <w:tab w:val="left" w:pos="265"/>
              </w:tabs>
              <w:rPr>
                <w:rFonts w:ascii="Arial" w:hAnsi="Arial"/>
                <w:sz w:val="16"/>
                <w:szCs w:val="16"/>
              </w:rPr>
            </w:pPr>
            <w:r w:rsidRPr="003E76E7">
              <w:rPr>
                <w:rFonts w:ascii="Arial" w:hAnsi="Arial"/>
                <w:color w:val="000000"/>
                <w:sz w:val="16"/>
                <w:szCs w:val="16"/>
              </w:rPr>
              <w:t>Observing US and UK nuclear-powered submarine visits.</w:t>
            </w:r>
          </w:p>
        </w:tc>
      </w:tr>
      <w:tr w:rsidR="001B289E" w:rsidRPr="003E76E7" w14:paraId="770EAB7D" w14:textId="77777777" w:rsidTr="000E1A17">
        <w:trPr>
          <w:cantSplit/>
          <w:trHeight w:val="258"/>
        </w:trPr>
        <w:tc>
          <w:tcPr>
            <w:tcW w:w="1883" w:type="dxa"/>
            <w:tcBorders>
              <w:top w:val="single" w:sz="4" w:space="0" w:color="auto"/>
              <w:bottom w:val="single" w:sz="4" w:space="0" w:color="auto"/>
              <w:right w:val="single" w:sz="4" w:space="0" w:color="auto"/>
            </w:tcBorders>
            <w:vAlign w:val="center"/>
          </w:tcPr>
          <w:p w14:paraId="27610482" w14:textId="77777777" w:rsidR="001B289E" w:rsidRPr="003E76E7" w:rsidRDefault="001B289E" w:rsidP="00C4292D">
            <w:pPr>
              <w:rPr>
                <w:rFonts w:ascii="Arial" w:hAnsi="Arial"/>
                <w:b/>
                <w:color w:val="000000"/>
                <w:sz w:val="16"/>
                <w:szCs w:val="16"/>
              </w:rPr>
            </w:pPr>
            <w:r w:rsidRPr="003E76E7">
              <w:rPr>
                <w:rFonts w:ascii="Arial" w:hAnsi="Arial"/>
                <w:b/>
                <w:color w:val="000000"/>
                <w:sz w:val="16"/>
                <w:szCs w:val="16"/>
              </w:rPr>
              <w:t>Year</w:t>
            </w:r>
          </w:p>
        </w:tc>
        <w:tc>
          <w:tcPr>
            <w:tcW w:w="3340" w:type="dxa"/>
            <w:tcBorders>
              <w:top w:val="single" w:sz="4" w:space="0" w:color="auto"/>
              <w:left w:val="single" w:sz="4" w:space="0" w:color="auto"/>
              <w:bottom w:val="single" w:sz="4" w:space="0" w:color="auto"/>
              <w:right w:val="single" w:sz="4" w:space="0" w:color="auto"/>
            </w:tcBorders>
            <w:vAlign w:val="center"/>
          </w:tcPr>
          <w:p w14:paraId="4FF6B3A3" w14:textId="77777777" w:rsidR="001B289E" w:rsidRPr="003E76E7" w:rsidRDefault="001B289E" w:rsidP="00C4292D">
            <w:pPr>
              <w:rPr>
                <w:rFonts w:ascii="Arial" w:hAnsi="Arial"/>
                <w:b/>
                <w:color w:val="000000"/>
                <w:sz w:val="16"/>
                <w:szCs w:val="16"/>
              </w:rPr>
            </w:pPr>
            <w:r w:rsidRPr="003E76E7">
              <w:rPr>
                <w:rFonts w:ascii="Arial" w:hAnsi="Arial"/>
                <w:b/>
                <w:color w:val="000000"/>
                <w:sz w:val="16"/>
                <w:szCs w:val="16"/>
              </w:rPr>
              <w:t>Performance Measures</w:t>
            </w:r>
          </w:p>
        </w:tc>
        <w:tc>
          <w:tcPr>
            <w:tcW w:w="3565" w:type="dxa"/>
            <w:tcBorders>
              <w:top w:val="single" w:sz="4" w:space="0" w:color="auto"/>
              <w:left w:val="single" w:sz="4" w:space="0" w:color="auto"/>
              <w:bottom w:val="single" w:sz="4" w:space="0" w:color="auto"/>
            </w:tcBorders>
            <w:vAlign w:val="center"/>
          </w:tcPr>
          <w:p w14:paraId="465647D6" w14:textId="77777777" w:rsidR="001B289E" w:rsidRPr="003E76E7" w:rsidRDefault="001B289E" w:rsidP="00C4292D">
            <w:pPr>
              <w:rPr>
                <w:rFonts w:ascii="Arial" w:hAnsi="Arial"/>
                <w:b/>
                <w:color w:val="000000"/>
                <w:sz w:val="16"/>
                <w:szCs w:val="16"/>
              </w:rPr>
            </w:pPr>
            <w:r w:rsidRPr="003E76E7">
              <w:rPr>
                <w:rFonts w:ascii="Arial" w:hAnsi="Arial"/>
                <w:b/>
                <w:color w:val="000000"/>
                <w:sz w:val="16"/>
                <w:szCs w:val="16"/>
              </w:rPr>
              <w:t>Planned Performance Results</w:t>
            </w:r>
          </w:p>
        </w:tc>
      </w:tr>
      <w:tr w:rsidR="0009304A" w:rsidRPr="003E76E7" w14:paraId="3384FDF7" w14:textId="77777777" w:rsidTr="000E1A17">
        <w:trPr>
          <w:cantSplit/>
          <w:trHeight w:val="463"/>
        </w:trPr>
        <w:tc>
          <w:tcPr>
            <w:tcW w:w="1883" w:type="dxa"/>
            <w:tcBorders>
              <w:right w:val="single" w:sz="4" w:space="0" w:color="auto"/>
            </w:tcBorders>
            <w:vAlign w:val="center"/>
          </w:tcPr>
          <w:p w14:paraId="22639B0C" w14:textId="77777777" w:rsidR="0009304A" w:rsidRPr="003E76E7" w:rsidRDefault="0009304A" w:rsidP="00C4292D">
            <w:pPr>
              <w:spacing w:before="0" w:after="0"/>
              <w:rPr>
                <w:rFonts w:ascii="Arial" w:hAnsi="Arial"/>
                <w:color w:val="000000"/>
                <w:sz w:val="16"/>
                <w:szCs w:val="16"/>
              </w:rPr>
            </w:pPr>
            <w:r w:rsidRPr="003E76E7">
              <w:rPr>
                <w:rFonts w:ascii="Arial" w:hAnsi="Arial"/>
                <w:color w:val="000000"/>
                <w:sz w:val="16"/>
                <w:szCs w:val="16"/>
              </w:rPr>
              <w:t>Forward Estimates</w:t>
            </w:r>
          </w:p>
          <w:p w14:paraId="623FE982" w14:textId="77777777" w:rsidR="0009304A" w:rsidRPr="003E76E7" w:rsidRDefault="0009304A" w:rsidP="00C4292D">
            <w:pPr>
              <w:spacing w:before="0" w:after="0"/>
              <w:rPr>
                <w:rFonts w:ascii="Arial" w:hAnsi="Arial"/>
                <w:color w:val="000000"/>
                <w:sz w:val="16"/>
                <w:szCs w:val="16"/>
              </w:rPr>
            </w:pPr>
            <w:r w:rsidRPr="003E76E7">
              <w:rPr>
                <w:rFonts w:ascii="Arial" w:hAnsi="Arial"/>
                <w:color w:val="000000"/>
                <w:sz w:val="16"/>
                <w:szCs w:val="16"/>
              </w:rPr>
              <w:t>2027-30</w:t>
            </w:r>
          </w:p>
        </w:tc>
        <w:tc>
          <w:tcPr>
            <w:tcW w:w="3340" w:type="dxa"/>
            <w:tcBorders>
              <w:top w:val="single" w:sz="4" w:space="0" w:color="auto"/>
              <w:left w:val="single" w:sz="4" w:space="0" w:color="auto"/>
              <w:bottom w:val="single" w:sz="4" w:space="0" w:color="auto"/>
              <w:right w:val="single" w:sz="4" w:space="0" w:color="auto"/>
            </w:tcBorders>
            <w:vAlign w:val="center"/>
          </w:tcPr>
          <w:p w14:paraId="48EE0B60" w14:textId="7D98F15E" w:rsidR="0009304A" w:rsidRPr="003E76E7" w:rsidRDefault="0009304A" w:rsidP="00C4292D">
            <w:pPr>
              <w:keepNext/>
              <w:keepLines/>
              <w:rPr>
                <w:rFonts w:ascii="Arial" w:hAnsi="Arial"/>
                <w:color w:val="000000"/>
                <w:sz w:val="16"/>
                <w:szCs w:val="16"/>
              </w:rPr>
            </w:pPr>
            <w:r w:rsidRPr="003E76E7">
              <w:rPr>
                <w:rFonts w:ascii="Arial" w:hAnsi="Arial"/>
                <w:color w:val="000000"/>
                <w:sz w:val="16"/>
                <w:szCs w:val="16"/>
              </w:rPr>
              <w:t>As per 2026-27</w:t>
            </w:r>
            <w:r w:rsidR="00DE0200">
              <w:rPr>
                <w:rFonts w:ascii="Arial" w:hAnsi="Arial"/>
                <w:color w:val="000000"/>
                <w:sz w:val="16"/>
                <w:szCs w:val="16"/>
              </w:rPr>
              <w:t>.</w:t>
            </w:r>
          </w:p>
        </w:tc>
        <w:tc>
          <w:tcPr>
            <w:tcW w:w="3565" w:type="dxa"/>
            <w:tcBorders>
              <w:top w:val="single" w:sz="4" w:space="0" w:color="auto"/>
              <w:left w:val="single" w:sz="4" w:space="0" w:color="auto"/>
              <w:bottom w:val="single" w:sz="4" w:space="0" w:color="auto"/>
            </w:tcBorders>
            <w:vAlign w:val="center"/>
          </w:tcPr>
          <w:p w14:paraId="6F3731F9" w14:textId="4BF2D81C" w:rsidR="0009304A" w:rsidRPr="003E76E7" w:rsidRDefault="0009304A" w:rsidP="00C4292D">
            <w:pPr>
              <w:keepNext/>
              <w:keepLines/>
              <w:rPr>
                <w:rFonts w:ascii="Arial" w:hAnsi="Arial"/>
                <w:color w:val="000000"/>
                <w:sz w:val="16"/>
                <w:szCs w:val="16"/>
              </w:rPr>
            </w:pPr>
            <w:r w:rsidRPr="003E76E7">
              <w:rPr>
                <w:rFonts w:ascii="Arial" w:hAnsi="Arial"/>
                <w:color w:val="000000"/>
                <w:sz w:val="16"/>
                <w:szCs w:val="16"/>
              </w:rPr>
              <w:t>As per 2026-27</w:t>
            </w:r>
            <w:r w:rsidR="00DE0200">
              <w:rPr>
                <w:rFonts w:ascii="Arial" w:hAnsi="Arial"/>
                <w:color w:val="000000"/>
                <w:sz w:val="16"/>
                <w:szCs w:val="16"/>
              </w:rPr>
              <w:t>.</w:t>
            </w:r>
          </w:p>
        </w:tc>
      </w:tr>
      <w:tr w:rsidR="00EE725D" w:rsidRPr="003E76E7" w14:paraId="2496DEB5" w14:textId="77777777" w:rsidTr="000E1A17">
        <w:trPr>
          <w:cantSplit/>
          <w:trHeight w:val="328"/>
        </w:trPr>
        <w:tc>
          <w:tcPr>
            <w:tcW w:w="8788" w:type="dxa"/>
            <w:gridSpan w:val="3"/>
            <w:vAlign w:val="center"/>
          </w:tcPr>
          <w:p w14:paraId="02E4F4FA" w14:textId="27F49C96" w:rsidR="00EE725D" w:rsidRPr="003E76E7" w:rsidRDefault="00EE725D" w:rsidP="00C4292D">
            <w:pPr>
              <w:keepNext/>
              <w:keepLines/>
              <w:rPr>
                <w:rFonts w:ascii="Arial" w:hAnsi="Arial"/>
                <w:color w:val="000000"/>
                <w:sz w:val="16"/>
                <w:szCs w:val="16"/>
              </w:rPr>
            </w:pPr>
            <w:r w:rsidRPr="003E76E7">
              <w:rPr>
                <w:rFonts w:ascii="Arial" w:hAnsi="Arial"/>
                <w:sz w:val="16"/>
                <w:szCs w:val="16"/>
              </w:rPr>
              <w:t>Material changes to Program 1.1 resulting from 2026-27 Budget Measures: Nil</w:t>
            </w:r>
            <w:r w:rsidR="00A27FD3">
              <w:rPr>
                <w:rFonts w:ascii="Arial" w:hAnsi="Arial"/>
                <w:sz w:val="16"/>
                <w:szCs w:val="16"/>
              </w:rPr>
              <w:t>.</w:t>
            </w:r>
          </w:p>
        </w:tc>
      </w:tr>
    </w:tbl>
    <w:p w14:paraId="1A9BBAEB" w14:textId="77777777" w:rsidR="00EE725D" w:rsidRPr="003E76E7" w:rsidRDefault="00EE725D" w:rsidP="00C4292D">
      <w:pPr>
        <w:spacing w:before="0" w:after="0"/>
        <w:rPr>
          <w:rFonts w:ascii="Arial" w:hAnsi="Arial"/>
          <w:b/>
          <w:sz w:val="14"/>
          <w:szCs w:val="14"/>
        </w:rPr>
      </w:pPr>
    </w:p>
    <w:p w14:paraId="555C4A6E" w14:textId="5B5EC0FF" w:rsidR="00EE725D" w:rsidRPr="003E76E7" w:rsidRDefault="00EE725D" w:rsidP="00C4292D">
      <w:pPr>
        <w:spacing w:before="0" w:after="0"/>
        <w:rPr>
          <w:rFonts w:ascii="Arial" w:hAnsi="Arial"/>
          <w:b/>
          <w:sz w:val="14"/>
          <w:szCs w:val="14"/>
        </w:rPr>
      </w:pPr>
      <w:r w:rsidRPr="003E76E7">
        <w:rPr>
          <w:rFonts w:ascii="Arial" w:hAnsi="Arial"/>
          <w:b/>
          <w:sz w:val="14"/>
          <w:szCs w:val="14"/>
        </w:rPr>
        <w:t>Note</w:t>
      </w:r>
    </w:p>
    <w:p w14:paraId="50A02F55" w14:textId="09EF88FF" w:rsidR="00EE725D" w:rsidRPr="003E76E7" w:rsidRDefault="00EE725D" w:rsidP="00C4292D">
      <w:pPr>
        <w:pStyle w:val="ListParagraph"/>
        <w:numPr>
          <w:ilvl w:val="1"/>
          <w:numId w:val="97"/>
        </w:numPr>
        <w:spacing w:before="0"/>
        <w:ind w:left="284" w:hanging="284"/>
        <w:rPr>
          <w:rFonts w:ascii="Arial" w:hAnsi="Arial"/>
          <w:sz w:val="14"/>
          <w:szCs w:val="14"/>
        </w:rPr>
      </w:pPr>
      <w:r w:rsidRPr="003E76E7">
        <w:rPr>
          <w:rFonts w:ascii="Arial" w:hAnsi="Arial"/>
          <w:color w:val="000000"/>
          <w:sz w:val="14"/>
          <w:szCs w:val="14"/>
        </w:rPr>
        <w:t>ANNPSR is reviewing its performance measures for 2026-27. ANNPSR</w:t>
      </w:r>
      <w:r w:rsidR="00A27FD3">
        <w:rPr>
          <w:rFonts w:ascii="Arial" w:hAnsi="Arial"/>
          <w:color w:val="000000"/>
          <w:sz w:val="14"/>
          <w:szCs w:val="14"/>
        </w:rPr>
        <w:t>’</w:t>
      </w:r>
      <w:r w:rsidRPr="003E76E7">
        <w:rPr>
          <w:rFonts w:ascii="Arial" w:hAnsi="Arial"/>
          <w:color w:val="000000"/>
          <w:sz w:val="14"/>
          <w:szCs w:val="14"/>
        </w:rPr>
        <w:t>s performance measures and targets will be published in the ANNPSR Corporate Plan 2026-27.</w:t>
      </w:r>
    </w:p>
    <w:p w14:paraId="100FC4C6" w14:textId="77777777" w:rsidR="00ED4EF4" w:rsidRPr="003E76E7" w:rsidRDefault="00ED4EF4" w:rsidP="00C4292D">
      <w:r w:rsidRPr="003E76E7">
        <w:br w:type="page"/>
      </w:r>
    </w:p>
    <w:p w14:paraId="47FCA3D1" w14:textId="77777777" w:rsidR="00ED4EF4" w:rsidRPr="003E76E7" w:rsidRDefault="00ED4EF4" w:rsidP="00C4292D">
      <w:pPr>
        <w:pStyle w:val="Heading2level3"/>
        <w:spacing w:before="120" w:after="120"/>
        <w:rPr>
          <w:rStyle w:val="Heading2Char"/>
          <w:sz w:val="26"/>
          <w:szCs w:val="26"/>
        </w:rPr>
      </w:pPr>
      <w:bookmarkStart w:id="2334" w:name="_Toc221786206"/>
      <w:bookmarkStart w:id="2335" w:name="_Toc222129984"/>
      <w:bookmarkStart w:id="2336" w:name="_Toc222148404"/>
      <w:bookmarkStart w:id="2337" w:name="_Toc225848032"/>
      <w:bookmarkStart w:id="2338" w:name="_Toc225848115"/>
      <w:bookmarkStart w:id="2339" w:name="_Toc225848198"/>
      <w:bookmarkStart w:id="2340" w:name="_Toc225848275"/>
      <w:bookmarkStart w:id="2341" w:name="_Toc225848537"/>
      <w:bookmarkStart w:id="2342" w:name="_Toc225941605"/>
      <w:bookmarkStart w:id="2343" w:name="_Toc225942612"/>
      <w:bookmarkStart w:id="2344" w:name="_Toc227334422"/>
      <w:bookmarkStart w:id="2345" w:name="_Toc229072497"/>
      <w:bookmarkStart w:id="2346" w:name="_Toc229072669"/>
      <w:r w:rsidRPr="003E76E7">
        <w:rPr>
          <w:rStyle w:val="Heading2Char"/>
          <w:sz w:val="26"/>
          <w:szCs w:val="26"/>
        </w:rPr>
        <w:lastRenderedPageBreak/>
        <w:t>Section 3: ANNPSR Explanatory Tables and Budgeted Financial Statements</w:t>
      </w:r>
      <w:bookmarkEnd w:id="2334"/>
      <w:bookmarkEnd w:id="2335"/>
      <w:bookmarkEnd w:id="2336"/>
      <w:bookmarkEnd w:id="2337"/>
      <w:bookmarkEnd w:id="2338"/>
      <w:bookmarkEnd w:id="2339"/>
      <w:bookmarkEnd w:id="2340"/>
      <w:bookmarkEnd w:id="2341"/>
      <w:bookmarkEnd w:id="2342"/>
      <w:bookmarkEnd w:id="2343"/>
      <w:bookmarkEnd w:id="2344"/>
      <w:bookmarkEnd w:id="2345"/>
      <w:bookmarkEnd w:id="2346"/>
    </w:p>
    <w:p w14:paraId="42255222" w14:textId="711E0762" w:rsidR="00ED4EF4" w:rsidRPr="003E76E7" w:rsidRDefault="00ED4EF4" w:rsidP="00C4292D">
      <w:pPr>
        <w:spacing w:before="60" w:after="60" w:line="256" w:lineRule="auto"/>
        <w:rPr>
          <w:lang w:val="en-AU"/>
        </w:rPr>
      </w:pPr>
      <w:r w:rsidRPr="003E76E7">
        <w:rPr>
          <w:lang w:val="en-AU"/>
        </w:rPr>
        <w:t xml:space="preserve">Section 3 presents explanatory tables and budgeted financial statements, which provide a comprehensive snapshot of ANNPSR’s finances for the 2026-27 </w:t>
      </w:r>
      <w:r w:rsidR="00A005A8" w:rsidRPr="003E76E7">
        <w:rPr>
          <w:lang w:val="en-AU"/>
        </w:rPr>
        <w:t>B</w:t>
      </w:r>
      <w:r w:rsidRPr="003E76E7">
        <w:rPr>
          <w:lang w:val="en-AU"/>
        </w:rPr>
        <w:t xml:space="preserve">udget year, including the impact of </w:t>
      </w:r>
      <w:r w:rsidRPr="003E76E7">
        <w:rPr>
          <w:lang w:eastAsia="en-US"/>
        </w:rPr>
        <w:t>Budget</w:t>
      </w:r>
      <w:r w:rsidRPr="003E76E7">
        <w:rPr>
          <w:lang w:val="en-AU"/>
        </w:rPr>
        <w:t xml:space="preserve"> </w:t>
      </w:r>
      <w:r w:rsidR="00A005A8" w:rsidRPr="003E76E7">
        <w:rPr>
          <w:lang w:val="en-AU"/>
        </w:rPr>
        <w:t>M</w:t>
      </w:r>
      <w:r w:rsidRPr="003E76E7">
        <w:rPr>
          <w:lang w:val="en-AU"/>
        </w:rPr>
        <w:t>easures and resourcing on financial statements.</w:t>
      </w:r>
    </w:p>
    <w:p w14:paraId="2CCCA796" w14:textId="17DEACDC" w:rsidR="00ED4EF4" w:rsidRPr="003E76E7" w:rsidRDefault="00ED4EF4" w:rsidP="00C4292D">
      <w:pPr>
        <w:pStyle w:val="Heading4"/>
        <w:rPr>
          <w:rFonts w:cs="Arial"/>
          <w:sz w:val="24"/>
        </w:rPr>
      </w:pPr>
      <w:bookmarkStart w:id="2347" w:name="_Toc222148405"/>
      <w:bookmarkStart w:id="2348" w:name="_Toc225848033"/>
      <w:bookmarkStart w:id="2349" w:name="_Toc225848116"/>
      <w:bookmarkStart w:id="2350" w:name="_Toc225848199"/>
      <w:bookmarkStart w:id="2351" w:name="_Toc225848538"/>
      <w:bookmarkStart w:id="2352" w:name="_Toc225941606"/>
      <w:bookmarkStart w:id="2353" w:name="_Toc225942613"/>
      <w:bookmarkStart w:id="2354" w:name="_Toc227334423"/>
      <w:bookmarkStart w:id="2355" w:name="_Toc229072498"/>
      <w:bookmarkStart w:id="2356" w:name="_Toc229072670"/>
      <w:r w:rsidRPr="003E76E7">
        <w:rPr>
          <w:rFonts w:cs="Arial"/>
          <w:sz w:val="24"/>
        </w:rPr>
        <w:t>3.1 Explanatory Tables</w:t>
      </w:r>
      <w:bookmarkEnd w:id="2347"/>
      <w:bookmarkEnd w:id="2348"/>
      <w:bookmarkEnd w:id="2349"/>
      <w:bookmarkEnd w:id="2350"/>
      <w:bookmarkEnd w:id="2351"/>
      <w:bookmarkEnd w:id="2352"/>
      <w:bookmarkEnd w:id="2353"/>
      <w:bookmarkEnd w:id="2354"/>
      <w:bookmarkEnd w:id="2355"/>
      <w:bookmarkEnd w:id="2356"/>
    </w:p>
    <w:p w14:paraId="41BC2157" w14:textId="77777777" w:rsidR="00EE725D" w:rsidRPr="003E76E7" w:rsidRDefault="00EE725D" w:rsidP="00C4292D">
      <w:pPr>
        <w:spacing w:before="80" w:after="80"/>
        <w:rPr>
          <w:rFonts w:ascii="Arial" w:hAnsi="Arial"/>
          <w:lang w:val="en-AU"/>
        </w:rPr>
      </w:pPr>
      <w:r w:rsidRPr="003E76E7">
        <w:rPr>
          <w:rFonts w:ascii="Arial" w:hAnsi="Arial"/>
          <w:lang w:val="en-AU"/>
        </w:rPr>
        <w:t>Budgeted Departmental Income Statements</w:t>
      </w:r>
    </w:p>
    <w:p w14:paraId="6957DDAC" w14:textId="60D9754E" w:rsidR="00EE725D" w:rsidRPr="003E76E7" w:rsidRDefault="00EE725D" w:rsidP="00C4292D">
      <w:pPr>
        <w:spacing w:before="60" w:after="60" w:line="256" w:lineRule="auto"/>
        <w:rPr>
          <w:lang w:val="en-AU"/>
        </w:rPr>
      </w:pPr>
      <w:r w:rsidRPr="003E76E7">
        <w:rPr>
          <w:lang w:val="en-AU"/>
        </w:rPr>
        <w:t xml:space="preserve">ANNPSR is </w:t>
      </w:r>
      <w:r w:rsidRPr="003E76E7">
        <w:rPr>
          <w:lang w:eastAsia="en-US"/>
        </w:rPr>
        <w:t>budgeting</w:t>
      </w:r>
      <w:r w:rsidRPr="003E76E7">
        <w:rPr>
          <w:lang w:val="en-AU"/>
        </w:rPr>
        <w:t xml:space="preserve"> for a break-even result in 2026-27 and across the </w:t>
      </w:r>
      <w:r w:rsidR="00D57302" w:rsidRPr="003E76E7">
        <w:rPr>
          <w:lang w:val="en-AU"/>
        </w:rPr>
        <w:t>F</w:t>
      </w:r>
      <w:r w:rsidRPr="003E76E7">
        <w:rPr>
          <w:lang w:val="en-AU"/>
        </w:rPr>
        <w:t xml:space="preserve">orward </w:t>
      </w:r>
      <w:r w:rsidR="00D57302" w:rsidRPr="003E76E7">
        <w:rPr>
          <w:lang w:val="en-AU"/>
        </w:rPr>
        <w:t>E</w:t>
      </w:r>
      <w:r w:rsidRPr="003E76E7">
        <w:rPr>
          <w:lang w:val="en-AU"/>
        </w:rPr>
        <w:t xml:space="preserve">stimates, after excluding unfunded depreciation and amortisation expenses. </w:t>
      </w:r>
    </w:p>
    <w:p w14:paraId="28682287" w14:textId="77777777" w:rsidR="00146525" w:rsidRPr="003E76E7" w:rsidRDefault="00146525" w:rsidP="00C4292D">
      <w:pPr>
        <w:spacing w:before="0" w:after="0"/>
        <w:rPr>
          <w:lang w:val="en-AU"/>
        </w:rPr>
      </w:pPr>
    </w:p>
    <w:p w14:paraId="6ADFEBDE" w14:textId="77777777" w:rsidR="00EE725D" w:rsidRPr="003E76E7" w:rsidRDefault="00EE725D" w:rsidP="00C4292D">
      <w:pPr>
        <w:spacing w:before="80" w:after="80"/>
        <w:rPr>
          <w:rFonts w:ascii="Arial" w:hAnsi="Arial"/>
          <w:lang w:val="en-AU"/>
        </w:rPr>
      </w:pPr>
      <w:r w:rsidRPr="003E76E7">
        <w:rPr>
          <w:rFonts w:ascii="Arial" w:hAnsi="Arial"/>
          <w:lang w:val="en-AU"/>
        </w:rPr>
        <w:t>Budgeted Departmental Balance Sheet</w:t>
      </w:r>
    </w:p>
    <w:p w14:paraId="2B68A26E" w14:textId="4EA8978D" w:rsidR="00EE725D" w:rsidRPr="003E76E7" w:rsidRDefault="00EE725D" w:rsidP="00C4292D">
      <w:pPr>
        <w:spacing w:before="60" w:after="60" w:line="256" w:lineRule="auto"/>
        <w:rPr>
          <w:sz w:val="19"/>
          <w:szCs w:val="19"/>
          <w:lang w:val="en-AU"/>
        </w:rPr>
      </w:pPr>
      <w:r w:rsidRPr="003E76E7">
        <w:rPr>
          <w:lang w:val="en-AU"/>
        </w:rPr>
        <w:t xml:space="preserve">The statement shows the estimated end of year position for departmental </w:t>
      </w:r>
      <w:r w:rsidRPr="00A27FD3">
        <w:rPr>
          <w:szCs w:val="20"/>
          <w:lang w:val="en-AU"/>
        </w:rPr>
        <w:t xml:space="preserve">assets and liabilities and it decreases over the </w:t>
      </w:r>
      <w:r w:rsidR="00D57302" w:rsidRPr="00A27FD3">
        <w:rPr>
          <w:szCs w:val="20"/>
          <w:lang w:val="en-AU"/>
        </w:rPr>
        <w:t>F</w:t>
      </w:r>
      <w:r w:rsidRPr="00A27FD3">
        <w:rPr>
          <w:szCs w:val="20"/>
          <w:lang w:val="en-AU"/>
        </w:rPr>
        <w:t xml:space="preserve">orward </w:t>
      </w:r>
      <w:r w:rsidR="00D57302" w:rsidRPr="00A27FD3">
        <w:rPr>
          <w:szCs w:val="20"/>
          <w:lang w:eastAsia="en-US"/>
        </w:rPr>
        <w:t>E</w:t>
      </w:r>
      <w:r w:rsidRPr="00A27FD3">
        <w:rPr>
          <w:szCs w:val="20"/>
          <w:lang w:eastAsia="en-US"/>
        </w:rPr>
        <w:t>stimates</w:t>
      </w:r>
      <w:r w:rsidRPr="00A27FD3">
        <w:rPr>
          <w:szCs w:val="20"/>
          <w:lang w:val="en-AU"/>
        </w:rPr>
        <w:t xml:space="preserve"> as it is not funded for depreciation for major assets.</w:t>
      </w:r>
    </w:p>
    <w:p w14:paraId="5C7266AB" w14:textId="77777777" w:rsidR="00A005A8" w:rsidRPr="003E76E7" w:rsidRDefault="00A005A8" w:rsidP="00C4292D">
      <w:pPr>
        <w:autoSpaceDE w:val="0"/>
        <w:autoSpaceDN w:val="0"/>
        <w:adjustRightInd w:val="0"/>
        <w:spacing w:before="0" w:after="0"/>
        <w:rPr>
          <w:sz w:val="19"/>
          <w:szCs w:val="19"/>
          <w:lang w:val="en-AU"/>
        </w:rPr>
      </w:pPr>
    </w:p>
    <w:p w14:paraId="3F01C6B6" w14:textId="1C668861" w:rsidR="00146525" w:rsidRPr="003E76E7" w:rsidRDefault="00EE725D" w:rsidP="00C4292D">
      <w:pPr>
        <w:spacing w:before="80" w:after="80"/>
        <w:rPr>
          <w:rFonts w:ascii="Arial" w:hAnsi="Arial"/>
          <w:lang w:val="en-AU"/>
        </w:rPr>
      </w:pPr>
      <w:r w:rsidRPr="003E76E7">
        <w:rPr>
          <w:rFonts w:ascii="Arial" w:hAnsi="Arial"/>
          <w:lang w:val="en-AU"/>
        </w:rPr>
        <w:t>Budgeted Departmental Statement of Cash Flows</w:t>
      </w:r>
    </w:p>
    <w:p w14:paraId="549A352F" w14:textId="2193C336" w:rsidR="00EE725D" w:rsidRPr="003E76E7" w:rsidRDefault="00EE725D" w:rsidP="00C4292D">
      <w:pPr>
        <w:spacing w:before="60" w:after="60" w:line="256" w:lineRule="auto"/>
        <w:rPr>
          <w:lang w:val="en-AU"/>
        </w:rPr>
      </w:pPr>
      <w:r w:rsidRPr="003E76E7">
        <w:rPr>
          <w:lang w:val="en-AU"/>
        </w:rPr>
        <w:t xml:space="preserve">The statement provides information on estimates of the extent and nature of cash flows by categorising the expected </w:t>
      </w:r>
      <w:r w:rsidRPr="003E76E7">
        <w:rPr>
          <w:lang w:eastAsia="en-US"/>
        </w:rPr>
        <w:t>cash</w:t>
      </w:r>
      <w:r w:rsidRPr="003E76E7">
        <w:rPr>
          <w:lang w:val="en-AU"/>
        </w:rPr>
        <w:t xml:space="preserve"> flows against operating, investing and financing activities.</w:t>
      </w:r>
    </w:p>
    <w:p w14:paraId="3CB4C23D" w14:textId="77777777" w:rsidR="00146525" w:rsidRPr="003E76E7" w:rsidRDefault="00146525" w:rsidP="00C4292D">
      <w:pPr>
        <w:spacing w:before="0" w:after="0"/>
        <w:rPr>
          <w:lang w:val="en-AU"/>
        </w:rPr>
      </w:pPr>
    </w:p>
    <w:p w14:paraId="4245F90A" w14:textId="77777777" w:rsidR="00ED4EF4" w:rsidRPr="003E76E7" w:rsidRDefault="00ED4EF4" w:rsidP="00C4292D">
      <w:pPr>
        <w:pStyle w:val="TableHeading"/>
        <w:numPr>
          <w:ilvl w:val="0"/>
          <w:numId w:val="66"/>
        </w:numPr>
        <w:spacing w:before="100"/>
        <w:ind w:left="0" w:firstLine="0"/>
        <w:outlineLvl w:val="4"/>
      </w:pPr>
      <w:r w:rsidRPr="003E76E7">
        <w:t xml:space="preserve">Third Party Payments to and from Other Agencies </w:t>
      </w:r>
      <w:r w:rsidRPr="003E76E7">
        <w:rPr>
          <w:vertAlign w:val="superscript"/>
        </w:rPr>
        <w:t>[a]</w:t>
      </w:r>
    </w:p>
    <w:p w14:paraId="7637D5C9" w14:textId="522A62EB" w:rsidR="00967877" w:rsidRPr="003E76E7" w:rsidRDefault="00BB7085" w:rsidP="00C4292D">
      <w:pPr>
        <w:spacing w:after="0"/>
        <w:rPr>
          <w:rFonts w:ascii="Arial" w:hAnsi="Arial"/>
          <w:sz w:val="14"/>
          <w:szCs w:val="14"/>
        </w:rPr>
      </w:pPr>
      <w:r w:rsidRPr="003E76E7">
        <w:rPr>
          <w:noProof/>
          <w:lang w:val="en-AU"/>
        </w:rPr>
        <w:drawing>
          <wp:inline distT="0" distB="0" distL="0" distR="0" wp14:anchorId="78FF4DEB" wp14:editId="65F7EF89">
            <wp:extent cx="5295265" cy="839470"/>
            <wp:effectExtent l="0" t="0" r="63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295265" cy="839470"/>
                    </a:xfrm>
                    <a:prstGeom prst="rect">
                      <a:avLst/>
                    </a:prstGeom>
                    <a:noFill/>
                    <a:ln>
                      <a:noFill/>
                    </a:ln>
                  </pic:spPr>
                </pic:pic>
              </a:graphicData>
            </a:graphic>
          </wp:inline>
        </w:drawing>
      </w:r>
    </w:p>
    <w:p w14:paraId="1B37CB61" w14:textId="77777777" w:rsidR="00D45727" w:rsidRPr="003E76E7" w:rsidRDefault="00D45727" w:rsidP="00C4292D">
      <w:pPr>
        <w:spacing w:before="0" w:after="0"/>
        <w:rPr>
          <w:rFonts w:ascii="Arial" w:hAnsi="Arial"/>
          <w:sz w:val="14"/>
          <w:szCs w:val="14"/>
          <w:lang w:val="en-AU"/>
        </w:rPr>
      </w:pPr>
    </w:p>
    <w:p w14:paraId="156C0989" w14:textId="6A3C0279" w:rsidR="00EE725D" w:rsidRPr="003E76E7" w:rsidRDefault="00ED4EF4" w:rsidP="00C4292D">
      <w:pPr>
        <w:spacing w:before="0" w:after="0"/>
        <w:rPr>
          <w:rFonts w:ascii="Arial" w:hAnsi="Arial"/>
          <w:b/>
          <w:sz w:val="14"/>
          <w:szCs w:val="14"/>
        </w:rPr>
      </w:pPr>
      <w:r w:rsidRPr="003E76E7">
        <w:rPr>
          <w:rFonts w:ascii="Arial" w:hAnsi="Arial"/>
          <w:sz w:val="14"/>
          <w:szCs w:val="14"/>
          <w:lang w:val="en-AU"/>
        </w:rPr>
        <w:tab/>
      </w:r>
      <w:r w:rsidRPr="003E76E7">
        <w:rPr>
          <w:rFonts w:ascii="Arial" w:hAnsi="Arial"/>
          <w:sz w:val="14"/>
          <w:szCs w:val="14"/>
          <w:lang w:val="en-AU"/>
        </w:rPr>
        <w:tab/>
      </w:r>
      <w:r w:rsidR="00EE725D" w:rsidRPr="003E76E7">
        <w:rPr>
          <w:rFonts w:ascii="Arial" w:hAnsi="Arial"/>
          <w:b/>
          <w:sz w:val="14"/>
          <w:szCs w:val="14"/>
        </w:rPr>
        <w:t>Note</w:t>
      </w:r>
      <w:r w:rsidR="00EE725D" w:rsidRPr="003E76E7">
        <w:rPr>
          <w:rFonts w:ascii="Arial" w:hAnsi="Arial"/>
          <w:b/>
          <w:sz w:val="14"/>
          <w:szCs w:val="14"/>
        </w:rPr>
        <w:tab/>
      </w:r>
      <w:r w:rsidR="00EE725D" w:rsidRPr="003E76E7">
        <w:rPr>
          <w:rFonts w:ascii="Arial" w:hAnsi="Arial"/>
          <w:b/>
          <w:sz w:val="14"/>
          <w:szCs w:val="14"/>
        </w:rPr>
        <w:tab/>
      </w:r>
    </w:p>
    <w:p w14:paraId="6CB68AE2" w14:textId="17AFE4B4" w:rsidR="00EE725D" w:rsidRPr="003E76E7" w:rsidRDefault="00EE725D" w:rsidP="00C4292D">
      <w:pPr>
        <w:pStyle w:val="ListParagraph"/>
        <w:numPr>
          <w:ilvl w:val="1"/>
          <w:numId w:val="67"/>
        </w:numPr>
        <w:tabs>
          <w:tab w:val="left" w:pos="284"/>
        </w:tabs>
        <w:spacing w:before="0" w:after="0"/>
        <w:ind w:left="284" w:hanging="284"/>
        <w:rPr>
          <w:rFonts w:ascii="Arial" w:hAnsi="Arial"/>
          <w:sz w:val="14"/>
          <w:szCs w:val="14"/>
          <w:lang w:val="en-AU"/>
        </w:rPr>
      </w:pPr>
      <w:r w:rsidRPr="003E76E7">
        <w:rPr>
          <w:rFonts w:ascii="Arial" w:hAnsi="Arial"/>
          <w:sz w:val="14"/>
          <w:szCs w:val="14"/>
          <w:lang w:val="en-AU"/>
        </w:rPr>
        <w:t>Third pa</w:t>
      </w:r>
      <w:r w:rsidR="00803B8B">
        <w:rPr>
          <w:rFonts w:ascii="Arial" w:hAnsi="Arial"/>
          <w:sz w:val="14"/>
          <w:szCs w:val="14"/>
          <w:lang w:val="en-AU"/>
        </w:rPr>
        <w:t>rty payments to and from other a</w:t>
      </w:r>
      <w:r w:rsidRPr="003E76E7">
        <w:rPr>
          <w:rFonts w:ascii="Arial" w:hAnsi="Arial"/>
          <w:sz w:val="14"/>
          <w:szCs w:val="14"/>
          <w:lang w:val="en-AU"/>
        </w:rPr>
        <w:t>gencies include Shared Services arrangements.</w:t>
      </w:r>
    </w:p>
    <w:p w14:paraId="458E4B19" w14:textId="77777777" w:rsidR="00ED4EF4" w:rsidRPr="003E76E7" w:rsidRDefault="00ED4EF4" w:rsidP="00C4292D">
      <w:pPr>
        <w:spacing w:before="0" w:after="0"/>
        <w:ind w:left="142" w:hanging="142"/>
        <w:rPr>
          <w:rFonts w:ascii="Arial" w:hAnsi="Arial"/>
          <w:sz w:val="14"/>
          <w:szCs w:val="14"/>
          <w:lang w:val="en-AU"/>
        </w:rPr>
      </w:pPr>
    </w:p>
    <w:p w14:paraId="7EE3CE8D" w14:textId="77777777" w:rsidR="00ED4EF4" w:rsidRPr="003E76E7" w:rsidRDefault="00ED4EF4" w:rsidP="00C4292D">
      <w:pPr>
        <w:tabs>
          <w:tab w:val="left" w:pos="284"/>
        </w:tabs>
        <w:spacing w:before="0" w:after="0"/>
        <w:ind w:left="284" w:hanging="284"/>
        <w:rPr>
          <w:rFonts w:ascii="Arial" w:hAnsi="Arial"/>
          <w:sz w:val="14"/>
          <w:szCs w:val="14"/>
          <w:lang w:val="en-AU"/>
        </w:rPr>
      </w:pPr>
      <w:r w:rsidRPr="003E76E7">
        <w:rPr>
          <w:rFonts w:ascii="Arial" w:hAnsi="Arial"/>
          <w:sz w:val="14"/>
          <w:szCs w:val="14"/>
          <w:lang w:val="en-AU"/>
        </w:rPr>
        <w:tab/>
      </w:r>
      <w:r w:rsidRPr="003E76E7">
        <w:rPr>
          <w:rFonts w:ascii="Arial" w:hAnsi="Arial"/>
          <w:sz w:val="14"/>
          <w:szCs w:val="14"/>
          <w:lang w:val="en-AU"/>
        </w:rPr>
        <w:tab/>
      </w:r>
    </w:p>
    <w:p w14:paraId="0477FA93" w14:textId="77777777" w:rsidR="00ED4EF4" w:rsidRPr="003E76E7" w:rsidRDefault="00ED4EF4" w:rsidP="00C4292D">
      <w:pPr>
        <w:pStyle w:val="Heading4"/>
      </w:pPr>
      <w:r w:rsidRPr="003E76E7">
        <w:rPr>
          <w:lang w:val="en-AU"/>
        </w:rPr>
        <w:br w:type="page"/>
      </w:r>
      <w:bookmarkStart w:id="2357" w:name="_Toc222148406"/>
      <w:bookmarkStart w:id="2358" w:name="_Toc225848034"/>
      <w:bookmarkStart w:id="2359" w:name="_Toc225848117"/>
      <w:bookmarkStart w:id="2360" w:name="_Toc225848200"/>
      <w:bookmarkStart w:id="2361" w:name="_Toc225848539"/>
      <w:bookmarkStart w:id="2362" w:name="_Toc225941607"/>
      <w:bookmarkStart w:id="2363" w:name="_Toc225942614"/>
      <w:bookmarkStart w:id="2364" w:name="_Toc227334424"/>
      <w:bookmarkStart w:id="2365" w:name="_Toc229072499"/>
      <w:bookmarkStart w:id="2366" w:name="_Toc229072671"/>
      <w:r w:rsidRPr="003E76E7">
        <w:rPr>
          <w:rFonts w:cs="Arial"/>
          <w:sz w:val="24"/>
        </w:rPr>
        <w:lastRenderedPageBreak/>
        <w:t>3.2 Budgeted Financial Statements</w:t>
      </w:r>
      <w:bookmarkEnd w:id="2357"/>
      <w:bookmarkEnd w:id="2358"/>
      <w:bookmarkEnd w:id="2359"/>
      <w:bookmarkEnd w:id="2360"/>
      <w:bookmarkEnd w:id="2361"/>
      <w:bookmarkEnd w:id="2362"/>
      <w:bookmarkEnd w:id="2363"/>
      <w:bookmarkEnd w:id="2364"/>
      <w:bookmarkEnd w:id="2365"/>
      <w:bookmarkEnd w:id="2366"/>
    </w:p>
    <w:p w14:paraId="0862E4EC" w14:textId="43A131D9" w:rsidR="00D50115" w:rsidRPr="003E76E7" w:rsidRDefault="00D50115" w:rsidP="00C4292D">
      <w:pPr>
        <w:pStyle w:val="TableHeading"/>
        <w:numPr>
          <w:ilvl w:val="0"/>
          <w:numId w:val="66"/>
        </w:numPr>
        <w:spacing w:before="100"/>
        <w:ind w:left="0" w:firstLine="0"/>
        <w:outlineLvl w:val="4"/>
      </w:pPr>
      <w:r w:rsidRPr="003E76E7">
        <w:t xml:space="preserve">Budgeted Departmental Comprehensive Income Statement </w:t>
      </w:r>
      <w:r w:rsidR="004D5404" w:rsidRPr="003E76E7">
        <w:br/>
      </w:r>
      <w:r w:rsidRPr="003E76E7">
        <w:t>(Showing Net Cost of Services) (for the period ended 30 June)</w:t>
      </w:r>
    </w:p>
    <w:p w14:paraId="2974CB23" w14:textId="16D62ED3" w:rsidR="00ED4EF4" w:rsidRPr="003E76E7" w:rsidRDefault="00717946" w:rsidP="00C4292D">
      <w:pPr>
        <w:spacing w:after="0"/>
        <w:rPr>
          <w:rFonts w:ascii="Arial" w:hAnsi="Arial"/>
          <w:sz w:val="14"/>
          <w:szCs w:val="14"/>
        </w:rPr>
      </w:pPr>
      <w:r w:rsidRPr="003E76E7">
        <w:t xml:space="preserve"> </w:t>
      </w:r>
      <w:r w:rsidR="009617B2" w:rsidRPr="009617B2">
        <w:rPr>
          <w:noProof/>
          <w:lang w:val="en-AU"/>
        </w:rPr>
        <w:drawing>
          <wp:inline distT="0" distB="0" distL="0" distR="0" wp14:anchorId="3BDE8B1B" wp14:editId="534EF33C">
            <wp:extent cx="4977130" cy="4011295"/>
            <wp:effectExtent l="0" t="0" r="0" b="825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977130" cy="4011295"/>
                    </a:xfrm>
                    <a:prstGeom prst="rect">
                      <a:avLst/>
                    </a:prstGeom>
                    <a:noFill/>
                    <a:ln>
                      <a:noFill/>
                    </a:ln>
                  </pic:spPr>
                </pic:pic>
              </a:graphicData>
            </a:graphic>
          </wp:inline>
        </w:drawing>
      </w:r>
    </w:p>
    <w:p w14:paraId="39496BB8" w14:textId="601F5913" w:rsidR="003E76E7" w:rsidRPr="003E76E7" w:rsidRDefault="003E76E7" w:rsidP="0075710B">
      <w:pPr>
        <w:spacing w:before="0" w:after="0"/>
        <w:rPr>
          <w:rFonts w:ascii="Arial" w:hAnsi="Arial"/>
          <w:sz w:val="14"/>
          <w:szCs w:val="14"/>
        </w:rPr>
      </w:pPr>
    </w:p>
    <w:p w14:paraId="60B42716" w14:textId="77777777" w:rsidR="003E76E7" w:rsidRPr="003E76E7" w:rsidRDefault="003E76E7" w:rsidP="003E76E7">
      <w:pPr>
        <w:spacing w:before="0" w:after="0"/>
        <w:rPr>
          <w:rFonts w:ascii="Arial" w:hAnsi="Arial"/>
          <w:b/>
          <w:sz w:val="14"/>
          <w:szCs w:val="14"/>
        </w:rPr>
      </w:pPr>
      <w:r w:rsidRPr="003E76E7">
        <w:rPr>
          <w:rFonts w:ascii="Arial" w:hAnsi="Arial"/>
          <w:b/>
          <w:sz w:val="14"/>
          <w:szCs w:val="14"/>
        </w:rPr>
        <w:t>Note</w:t>
      </w:r>
      <w:r w:rsidRPr="003E76E7">
        <w:rPr>
          <w:rFonts w:ascii="Arial" w:hAnsi="Arial"/>
          <w:b/>
          <w:sz w:val="14"/>
          <w:szCs w:val="14"/>
        </w:rPr>
        <w:tab/>
      </w:r>
      <w:r w:rsidRPr="003E76E7">
        <w:rPr>
          <w:rFonts w:ascii="Arial" w:hAnsi="Arial"/>
          <w:b/>
          <w:sz w:val="14"/>
          <w:szCs w:val="14"/>
        </w:rPr>
        <w:tab/>
      </w:r>
    </w:p>
    <w:p w14:paraId="7A4C595F" w14:textId="77777777" w:rsidR="003E76E7" w:rsidRPr="003E76E7" w:rsidRDefault="003E76E7" w:rsidP="003E76E7">
      <w:pPr>
        <w:pStyle w:val="ListParagraph"/>
        <w:numPr>
          <w:ilvl w:val="0"/>
          <w:numId w:val="137"/>
        </w:numPr>
        <w:tabs>
          <w:tab w:val="left" w:pos="284"/>
        </w:tabs>
        <w:spacing w:before="0" w:after="0"/>
        <w:rPr>
          <w:rFonts w:ascii="Arial" w:hAnsi="Arial"/>
          <w:sz w:val="14"/>
          <w:szCs w:val="14"/>
          <w:lang w:val="en-AU"/>
        </w:rPr>
      </w:pPr>
      <w:r w:rsidRPr="003E76E7">
        <w:rPr>
          <w:rFonts w:ascii="Arial" w:hAnsi="Arial"/>
          <w:sz w:val="14"/>
          <w:szCs w:val="14"/>
          <w:lang w:val="en-AU"/>
        </w:rPr>
        <w:t>Applies to leases under AASB 16 Leases.</w:t>
      </w:r>
    </w:p>
    <w:p w14:paraId="2DA91ED2" w14:textId="77777777" w:rsidR="003E76E7" w:rsidRPr="003E76E7" w:rsidRDefault="003E76E7" w:rsidP="00C4292D">
      <w:pPr>
        <w:spacing w:after="0"/>
      </w:pPr>
    </w:p>
    <w:p w14:paraId="4595F7EE" w14:textId="77777777" w:rsidR="00EB7AB9" w:rsidRPr="003E76E7" w:rsidRDefault="00EB7AB9" w:rsidP="00C4292D">
      <w:pPr>
        <w:spacing w:before="0" w:after="0"/>
        <w:rPr>
          <w:rFonts w:ascii="Arial" w:hAnsi="Arial"/>
          <w:b/>
          <w:sz w:val="14"/>
          <w:szCs w:val="14"/>
          <w:lang w:val="en-AU"/>
        </w:rPr>
      </w:pPr>
    </w:p>
    <w:p w14:paraId="65359670" w14:textId="09FC2FD4" w:rsidR="00B32FF1" w:rsidRPr="003E76E7" w:rsidRDefault="00ED4EF4" w:rsidP="00C4292D">
      <w:pPr>
        <w:pStyle w:val="Heading4level5"/>
        <w:spacing w:before="0" w:after="200"/>
      </w:pPr>
      <w:r w:rsidRPr="003E76E7">
        <w:br w:type="page"/>
      </w:r>
    </w:p>
    <w:p w14:paraId="76018B48" w14:textId="369D06CC" w:rsidR="00ED4EF4" w:rsidRPr="003E76E7" w:rsidRDefault="00B32FF1" w:rsidP="00C4292D">
      <w:pPr>
        <w:pStyle w:val="TableHeading"/>
        <w:numPr>
          <w:ilvl w:val="0"/>
          <w:numId w:val="66"/>
        </w:numPr>
        <w:spacing w:before="100"/>
        <w:ind w:left="0" w:firstLine="0"/>
        <w:outlineLvl w:val="4"/>
      </w:pPr>
      <w:r w:rsidRPr="003E76E7">
        <w:lastRenderedPageBreak/>
        <w:t>Budgeted Departmental Balance Sheet (as at 30 June)</w:t>
      </w:r>
    </w:p>
    <w:p w14:paraId="344946BD" w14:textId="6041B355" w:rsidR="00ED4EF4" w:rsidRPr="003E76E7" w:rsidRDefault="00BB7085" w:rsidP="00C4292D">
      <w:pPr>
        <w:spacing w:after="0"/>
      </w:pPr>
      <w:r w:rsidRPr="003E76E7">
        <w:t xml:space="preserve"> </w:t>
      </w:r>
      <w:r w:rsidR="009617B2" w:rsidRPr="009617B2">
        <w:rPr>
          <w:noProof/>
          <w:lang w:val="en-AU"/>
        </w:rPr>
        <w:drawing>
          <wp:inline distT="0" distB="0" distL="0" distR="0" wp14:anchorId="4BB71BD4" wp14:editId="40DFAECD">
            <wp:extent cx="4916805" cy="543433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916805" cy="5434330"/>
                    </a:xfrm>
                    <a:prstGeom prst="rect">
                      <a:avLst/>
                    </a:prstGeom>
                    <a:noFill/>
                    <a:ln>
                      <a:noFill/>
                    </a:ln>
                  </pic:spPr>
                </pic:pic>
              </a:graphicData>
            </a:graphic>
          </wp:inline>
        </w:drawing>
      </w:r>
    </w:p>
    <w:p w14:paraId="5F29C44D" w14:textId="77777777" w:rsidR="008C7CFD" w:rsidRPr="003E76E7" w:rsidRDefault="008C7CFD" w:rsidP="00C4292D">
      <w:pPr>
        <w:spacing w:before="0" w:after="0"/>
        <w:rPr>
          <w:rFonts w:ascii="Arial" w:hAnsi="Arial"/>
          <w:b/>
          <w:sz w:val="14"/>
          <w:szCs w:val="14"/>
          <w:lang w:val="en-AU"/>
        </w:rPr>
      </w:pPr>
    </w:p>
    <w:p w14:paraId="5E942CDD" w14:textId="72486A7A" w:rsidR="00740A0B" w:rsidRPr="003E76E7" w:rsidRDefault="00740A0B" w:rsidP="00C4292D">
      <w:pPr>
        <w:spacing w:before="0" w:after="0"/>
        <w:rPr>
          <w:rFonts w:ascii="Arial" w:hAnsi="Arial"/>
          <w:b/>
          <w:sz w:val="14"/>
          <w:szCs w:val="14"/>
          <w:lang w:val="en-AU"/>
        </w:rPr>
      </w:pPr>
      <w:r w:rsidRPr="003E76E7">
        <w:rPr>
          <w:rFonts w:ascii="Arial" w:hAnsi="Arial"/>
          <w:b/>
          <w:sz w:val="14"/>
          <w:szCs w:val="14"/>
          <w:lang w:val="en-AU"/>
        </w:rPr>
        <w:t>Note</w:t>
      </w:r>
    </w:p>
    <w:p w14:paraId="7589F29F" w14:textId="77777777" w:rsidR="00740A0B" w:rsidRPr="003E76E7" w:rsidRDefault="00740A0B" w:rsidP="00C4292D">
      <w:pPr>
        <w:pStyle w:val="ListParagraph"/>
        <w:numPr>
          <w:ilvl w:val="0"/>
          <w:numId w:val="99"/>
        </w:numPr>
        <w:spacing w:before="0" w:after="0"/>
        <w:ind w:left="284" w:hanging="284"/>
        <w:rPr>
          <w:rFonts w:ascii="Arial" w:hAnsi="Arial"/>
          <w:sz w:val="14"/>
          <w:szCs w:val="14"/>
          <w:lang w:val="en-AU"/>
        </w:rPr>
      </w:pPr>
      <w:r w:rsidRPr="003E76E7">
        <w:rPr>
          <w:rFonts w:ascii="Arial" w:hAnsi="Arial"/>
          <w:sz w:val="14"/>
          <w:szCs w:val="14"/>
          <w:lang w:val="en-AU"/>
        </w:rPr>
        <w:t xml:space="preserve">Equity is the residual interest in assets after the deduction of liabilities. </w:t>
      </w:r>
      <w:r w:rsidRPr="003E76E7">
        <w:rPr>
          <w:rFonts w:ascii="Arial" w:hAnsi="Arial"/>
          <w:sz w:val="14"/>
          <w:szCs w:val="14"/>
          <w:lang w:val="en-AU"/>
        </w:rPr>
        <w:tab/>
      </w:r>
      <w:r w:rsidRPr="003E76E7">
        <w:rPr>
          <w:rFonts w:ascii="Arial" w:hAnsi="Arial"/>
          <w:sz w:val="14"/>
          <w:szCs w:val="14"/>
          <w:lang w:val="en-AU"/>
        </w:rPr>
        <w:tab/>
      </w:r>
      <w:r w:rsidRPr="003E76E7">
        <w:rPr>
          <w:rFonts w:ascii="Arial" w:hAnsi="Arial"/>
          <w:sz w:val="14"/>
          <w:szCs w:val="14"/>
          <w:lang w:val="en-AU"/>
        </w:rPr>
        <w:tab/>
      </w:r>
      <w:r w:rsidRPr="003E76E7">
        <w:rPr>
          <w:rFonts w:ascii="Arial" w:hAnsi="Arial"/>
          <w:sz w:val="14"/>
          <w:szCs w:val="14"/>
          <w:lang w:val="en-AU"/>
        </w:rPr>
        <w:tab/>
      </w:r>
      <w:r w:rsidRPr="003E76E7">
        <w:rPr>
          <w:rFonts w:ascii="Arial" w:hAnsi="Arial"/>
          <w:sz w:val="14"/>
          <w:szCs w:val="14"/>
          <w:lang w:val="en-AU"/>
        </w:rPr>
        <w:tab/>
      </w:r>
    </w:p>
    <w:p w14:paraId="728B97EF" w14:textId="77777777" w:rsidR="00ED4EF4" w:rsidRPr="003E76E7" w:rsidRDefault="00ED4EF4" w:rsidP="00C4292D"/>
    <w:p w14:paraId="47FA2635" w14:textId="77777777" w:rsidR="009D744A" w:rsidRPr="003E76E7" w:rsidRDefault="009D744A" w:rsidP="00C4292D">
      <w:pPr>
        <w:pStyle w:val="TableHeading"/>
        <w:numPr>
          <w:ilvl w:val="0"/>
          <w:numId w:val="66"/>
        </w:numPr>
        <w:spacing w:before="100"/>
        <w:ind w:left="0" w:firstLine="0"/>
        <w:outlineLvl w:val="4"/>
      </w:pPr>
      <w:r w:rsidRPr="003E76E7">
        <w:rPr>
          <w:sz w:val="14"/>
          <w:szCs w:val="14"/>
          <w:lang w:val="en-AU"/>
        </w:rPr>
        <w:br w:type="page"/>
      </w:r>
      <w:r w:rsidRPr="003E76E7">
        <w:lastRenderedPageBreak/>
        <w:t xml:space="preserve">Departmental Statement of Changes in Equity - Summary of Movement </w:t>
      </w:r>
      <w:r w:rsidRPr="003E76E7">
        <w:br/>
        <w:t>(Budget Year 2026-27)</w:t>
      </w:r>
    </w:p>
    <w:p w14:paraId="62989D4A" w14:textId="160B296E" w:rsidR="009D744A" w:rsidRPr="003E76E7" w:rsidRDefault="00BB7085" w:rsidP="00C4292D">
      <w:pPr>
        <w:spacing w:after="0"/>
      </w:pPr>
      <w:r w:rsidRPr="003E76E7">
        <w:t xml:space="preserve"> </w:t>
      </w:r>
      <w:r w:rsidR="009617B2" w:rsidRPr="009617B2">
        <w:rPr>
          <w:noProof/>
          <w:lang w:val="en-AU"/>
        </w:rPr>
        <w:drawing>
          <wp:inline distT="0" distB="0" distL="0" distR="0" wp14:anchorId="4CEB852D" wp14:editId="5B9C4B8C">
            <wp:extent cx="4916805" cy="207899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916805" cy="2078990"/>
                    </a:xfrm>
                    <a:prstGeom prst="rect">
                      <a:avLst/>
                    </a:prstGeom>
                    <a:noFill/>
                    <a:ln>
                      <a:noFill/>
                    </a:ln>
                  </pic:spPr>
                </pic:pic>
              </a:graphicData>
            </a:graphic>
          </wp:inline>
        </w:drawing>
      </w:r>
    </w:p>
    <w:p w14:paraId="688479AE" w14:textId="77777777" w:rsidR="008C7CFD" w:rsidRPr="003E76E7" w:rsidRDefault="008C7CFD" w:rsidP="00C4292D">
      <w:pPr>
        <w:spacing w:before="0" w:after="0"/>
        <w:rPr>
          <w:rFonts w:ascii="Arial" w:hAnsi="Arial"/>
          <w:b/>
          <w:sz w:val="14"/>
          <w:szCs w:val="14"/>
          <w:lang w:val="en-AU"/>
        </w:rPr>
      </w:pPr>
    </w:p>
    <w:p w14:paraId="56A2441C" w14:textId="77777777" w:rsidR="009D744A" w:rsidRPr="003E76E7" w:rsidRDefault="00ED4EF4" w:rsidP="00C4292D">
      <w:pPr>
        <w:pStyle w:val="BodyText"/>
      </w:pPr>
      <w:r w:rsidRPr="003E76E7">
        <w:br w:type="page"/>
      </w:r>
    </w:p>
    <w:p w14:paraId="70509373" w14:textId="6F5623A4" w:rsidR="00ED4EF4" w:rsidRPr="003E76E7" w:rsidRDefault="00ED4EF4" w:rsidP="00C4292D">
      <w:pPr>
        <w:pStyle w:val="TableHeading"/>
        <w:numPr>
          <w:ilvl w:val="0"/>
          <w:numId w:val="66"/>
        </w:numPr>
        <w:spacing w:before="100"/>
        <w:ind w:left="0" w:firstLine="0"/>
        <w:outlineLvl w:val="4"/>
      </w:pPr>
      <w:r w:rsidRPr="003E76E7">
        <w:lastRenderedPageBreak/>
        <w:t>Budgeted Departmental Statement of Cash Flows (for the period ended 30 June)</w:t>
      </w:r>
    </w:p>
    <w:p w14:paraId="5E3584B5" w14:textId="2B3A917D" w:rsidR="00ED4EF4" w:rsidRPr="003E76E7" w:rsidRDefault="00B665C8" w:rsidP="00C4292D">
      <w:pPr>
        <w:spacing w:after="0"/>
      </w:pPr>
      <w:r w:rsidRPr="00B665C8">
        <w:rPr>
          <w:noProof/>
          <w:lang w:val="en-AU"/>
        </w:rPr>
        <w:drawing>
          <wp:inline distT="0" distB="0" distL="0" distR="0" wp14:anchorId="0C64F823" wp14:editId="62712F90">
            <wp:extent cx="4897755" cy="4484370"/>
            <wp:effectExtent l="0" t="0" r="0" b="0"/>
            <wp:docPr id="24575513" name="Picture 24575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897755" cy="4484370"/>
                    </a:xfrm>
                    <a:prstGeom prst="rect">
                      <a:avLst/>
                    </a:prstGeom>
                    <a:noFill/>
                    <a:ln>
                      <a:noFill/>
                    </a:ln>
                  </pic:spPr>
                </pic:pic>
              </a:graphicData>
            </a:graphic>
          </wp:inline>
        </w:drawing>
      </w:r>
    </w:p>
    <w:p w14:paraId="4630FD2E" w14:textId="63BC5785" w:rsidR="00ED4EF4" w:rsidRPr="003E76E7" w:rsidRDefault="00ED4EF4" w:rsidP="00C4292D">
      <w:pPr>
        <w:spacing w:before="0" w:after="0"/>
        <w:rPr>
          <w:rFonts w:ascii="Arial" w:hAnsi="Arial"/>
          <w:b/>
          <w:sz w:val="14"/>
          <w:szCs w:val="14"/>
          <w:lang w:val="en-AU"/>
        </w:rPr>
      </w:pPr>
      <w:r w:rsidRPr="003E76E7">
        <w:rPr>
          <w:rFonts w:ascii="Arial" w:hAnsi="Arial"/>
          <w:b/>
          <w:sz w:val="14"/>
          <w:szCs w:val="14"/>
          <w:lang w:val="en-AU"/>
        </w:rPr>
        <w:tab/>
      </w:r>
      <w:r w:rsidRPr="003E76E7">
        <w:rPr>
          <w:rFonts w:ascii="Arial" w:hAnsi="Arial"/>
          <w:b/>
          <w:sz w:val="14"/>
          <w:szCs w:val="14"/>
          <w:lang w:val="en-AU"/>
        </w:rPr>
        <w:tab/>
      </w:r>
      <w:r w:rsidRPr="003E76E7">
        <w:rPr>
          <w:rFonts w:ascii="Arial" w:hAnsi="Arial"/>
          <w:b/>
          <w:sz w:val="14"/>
          <w:szCs w:val="14"/>
          <w:lang w:val="en-AU"/>
        </w:rPr>
        <w:tab/>
      </w:r>
      <w:r w:rsidRPr="003E76E7">
        <w:rPr>
          <w:rFonts w:ascii="Arial" w:hAnsi="Arial"/>
          <w:b/>
          <w:sz w:val="14"/>
          <w:szCs w:val="14"/>
          <w:lang w:val="en-AU"/>
        </w:rPr>
        <w:tab/>
      </w:r>
      <w:r w:rsidRPr="003E76E7">
        <w:rPr>
          <w:rFonts w:ascii="Arial" w:hAnsi="Arial"/>
          <w:b/>
          <w:sz w:val="14"/>
          <w:szCs w:val="14"/>
          <w:lang w:val="en-AU"/>
        </w:rPr>
        <w:tab/>
      </w:r>
    </w:p>
    <w:p w14:paraId="3F8D6C8B" w14:textId="38185E3C" w:rsidR="00ED4EF4" w:rsidRPr="003E76E7" w:rsidRDefault="00ED4EF4" w:rsidP="00C4292D">
      <w:pPr>
        <w:pStyle w:val="TableHeading"/>
        <w:numPr>
          <w:ilvl w:val="0"/>
          <w:numId w:val="66"/>
        </w:numPr>
        <w:spacing w:before="100"/>
        <w:ind w:left="0" w:firstLine="0"/>
        <w:outlineLvl w:val="4"/>
      </w:pPr>
      <w:r w:rsidRPr="003E76E7">
        <w:rPr>
          <w:sz w:val="14"/>
          <w:szCs w:val="14"/>
          <w:lang w:val="en-AU"/>
        </w:rPr>
        <w:br w:type="page"/>
      </w:r>
      <w:r w:rsidR="00B32FF1" w:rsidRPr="003E76E7">
        <w:lastRenderedPageBreak/>
        <w:t>Statement of Departmental</w:t>
      </w:r>
      <w:r w:rsidRPr="003E76E7">
        <w:t xml:space="preserve"> Ass</w:t>
      </w:r>
      <w:r w:rsidR="005F2A8F">
        <w:t>et Movements (Budget Y</w:t>
      </w:r>
      <w:r w:rsidRPr="003E76E7">
        <w:t>ear 2026-27)</w:t>
      </w:r>
    </w:p>
    <w:p w14:paraId="2F89E744" w14:textId="2D27AEF5" w:rsidR="00ED4EF4" w:rsidRPr="003E76E7" w:rsidRDefault="00B665C8" w:rsidP="00C4292D">
      <w:pPr>
        <w:spacing w:after="0"/>
      </w:pPr>
      <w:r w:rsidRPr="00B665C8">
        <w:rPr>
          <w:noProof/>
          <w:lang w:val="en-AU"/>
        </w:rPr>
        <w:drawing>
          <wp:inline distT="0" distB="0" distL="0" distR="0" wp14:anchorId="397EA6AC" wp14:editId="69A6556A">
            <wp:extent cx="5033010" cy="3275965"/>
            <wp:effectExtent l="0" t="0" r="0" b="635"/>
            <wp:docPr id="24575518" name="Picture 24575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033010" cy="3275965"/>
                    </a:xfrm>
                    <a:prstGeom prst="rect">
                      <a:avLst/>
                    </a:prstGeom>
                    <a:noFill/>
                    <a:ln>
                      <a:noFill/>
                    </a:ln>
                  </pic:spPr>
                </pic:pic>
              </a:graphicData>
            </a:graphic>
          </wp:inline>
        </w:drawing>
      </w:r>
    </w:p>
    <w:p w14:paraId="5879DC37" w14:textId="77777777" w:rsidR="00ED4EF4" w:rsidRPr="003E76E7" w:rsidRDefault="00ED4EF4" w:rsidP="00C4292D">
      <w:pPr>
        <w:tabs>
          <w:tab w:val="left" w:pos="284"/>
          <w:tab w:val="left" w:pos="567"/>
        </w:tabs>
        <w:spacing w:before="0" w:after="0"/>
      </w:pPr>
      <w:r w:rsidRPr="003E76E7">
        <w:br w:type="page"/>
      </w:r>
    </w:p>
    <w:p w14:paraId="6332BAC7" w14:textId="495277E0" w:rsidR="00ED4EF4" w:rsidRPr="003E76E7" w:rsidRDefault="00ED4EF4" w:rsidP="00C4292D">
      <w:pPr>
        <w:pStyle w:val="Heading4level5"/>
        <w:spacing w:before="120" w:after="120"/>
      </w:pPr>
      <w:r w:rsidRPr="003E76E7">
        <w:lastRenderedPageBreak/>
        <w:t>3.2.2 Notes to the Budgeted Financial Statements</w:t>
      </w:r>
    </w:p>
    <w:p w14:paraId="2C345776" w14:textId="65D08D56" w:rsidR="00ED4EF4" w:rsidRPr="003E76E7" w:rsidRDefault="00ED4EF4" w:rsidP="00C4292D">
      <w:pPr>
        <w:spacing w:before="120" w:after="120"/>
      </w:pPr>
      <w:r w:rsidRPr="003E76E7">
        <w:t xml:space="preserve">The budgeted financial statements have been prepared in accordance with the Australian Accounting Standards and the </w:t>
      </w:r>
      <w:r w:rsidRPr="003E76E7">
        <w:rPr>
          <w:i/>
        </w:rPr>
        <w:t>Public Governance, Performance and Accountability (Financial Reporting) Rule 2015 (FRR)</w:t>
      </w:r>
      <w:r w:rsidRPr="003E76E7">
        <w:t>.</w:t>
      </w:r>
    </w:p>
    <w:p w14:paraId="3A52D91D" w14:textId="08324886" w:rsidR="00F93DCB" w:rsidRPr="003E76E7" w:rsidRDefault="00F93DCB" w:rsidP="00C4292D">
      <w:pPr>
        <w:spacing w:before="120" w:after="120"/>
      </w:pPr>
    </w:p>
    <w:p w14:paraId="0C14EDC3" w14:textId="77777777" w:rsidR="00F93DCB" w:rsidRPr="003E76E7" w:rsidRDefault="00F93DCB" w:rsidP="00C4292D">
      <w:pPr>
        <w:spacing w:before="120" w:after="120"/>
        <w:sectPr w:rsidR="00F93DCB" w:rsidRPr="003E76E7" w:rsidSect="00FF46AE">
          <w:headerReference w:type="even" r:id="rId203"/>
          <w:headerReference w:type="default" r:id="rId204"/>
          <w:footerReference w:type="even" r:id="rId205"/>
          <w:footerReference w:type="default" r:id="rId206"/>
          <w:pgSz w:w="11907" w:h="16840" w:code="9"/>
          <w:pgMar w:top="1701" w:right="1361" w:bottom="1701" w:left="1928" w:header="720" w:footer="720" w:gutter="0"/>
          <w:cols w:space="720"/>
          <w:noEndnote/>
        </w:sectPr>
      </w:pPr>
    </w:p>
    <w:p w14:paraId="569F7160" w14:textId="6DDB46C7" w:rsidR="00B672BF" w:rsidRPr="003E76E7" w:rsidRDefault="00B672BF" w:rsidP="00C4292D">
      <w:pPr>
        <w:pStyle w:val="BodyText"/>
      </w:pPr>
    </w:p>
    <w:p w14:paraId="103741D9" w14:textId="28617CCF" w:rsidR="001A4E61" w:rsidRPr="003E76E7" w:rsidRDefault="001A4E61" w:rsidP="00C4292D">
      <w:pPr>
        <w:pStyle w:val="BodyText"/>
      </w:pPr>
    </w:p>
    <w:p w14:paraId="3EFDE7BE" w14:textId="77777777" w:rsidR="001A4E61" w:rsidRPr="003E76E7" w:rsidRDefault="001A4E61" w:rsidP="00C4292D">
      <w:pPr>
        <w:pStyle w:val="BodyText"/>
      </w:pPr>
    </w:p>
    <w:p w14:paraId="0328BEEA" w14:textId="6B3AA6C6" w:rsidR="00B672BF" w:rsidRPr="003E76E7" w:rsidRDefault="00B672BF" w:rsidP="00C4292D">
      <w:pPr>
        <w:pStyle w:val="BodyText"/>
      </w:pPr>
    </w:p>
    <w:p w14:paraId="441CEA52" w14:textId="50FB7634" w:rsidR="00B672BF" w:rsidRPr="003E76E7" w:rsidRDefault="00B672BF" w:rsidP="00C4292D">
      <w:pPr>
        <w:pStyle w:val="BodyText"/>
      </w:pPr>
    </w:p>
    <w:p w14:paraId="59F297C9" w14:textId="77777777" w:rsidR="00B672BF" w:rsidRPr="003E76E7" w:rsidRDefault="00B672BF" w:rsidP="00C4292D">
      <w:pPr>
        <w:pStyle w:val="BodyText"/>
      </w:pPr>
    </w:p>
    <w:p w14:paraId="1D61347C" w14:textId="11D1630D" w:rsidR="00ED4EF4" w:rsidRPr="003E76E7" w:rsidRDefault="00C976D4" w:rsidP="00C4292D">
      <w:pPr>
        <w:pStyle w:val="Heading2"/>
        <w:jc w:val="center"/>
        <w:rPr>
          <w:b/>
          <w:sz w:val="52"/>
          <w:szCs w:val="52"/>
        </w:rPr>
      </w:pPr>
      <w:bookmarkStart w:id="2367" w:name="_Toc221786207"/>
      <w:bookmarkStart w:id="2368" w:name="_Toc222129985"/>
      <w:bookmarkStart w:id="2369" w:name="_Toc222148407"/>
      <w:bookmarkStart w:id="2370" w:name="_Toc225848035"/>
      <w:bookmarkStart w:id="2371" w:name="_Toc225848118"/>
      <w:bookmarkStart w:id="2372" w:name="_Toc225848201"/>
      <w:bookmarkStart w:id="2373" w:name="_Toc225848276"/>
      <w:bookmarkStart w:id="2374" w:name="_Toc225848540"/>
      <w:bookmarkStart w:id="2375" w:name="_Toc225941608"/>
      <w:bookmarkStart w:id="2376" w:name="_Toc225942615"/>
      <w:bookmarkStart w:id="2377" w:name="_Toc227334425"/>
      <w:bookmarkStart w:id="2378" w:name="_Toc229072500"/>
      <w:bookmarkStart w:id="2379" w:name="_Toc229072672"/>
      <w:r w:rsidRPr="003E76E7">
        <w:rPr>
          <w:b/>
          <w:sz w:val="52"/>
          <w:szCs w:val="52"/>
        </w:rPr>
        <w:t>Defence and Veterans’</w:t>
      </w:r>
      <w:r w:rsidR="001A0A0A" w:rsidRPr="003E76E7">
        <w:rPr>
          <w:b/>
          <w:sz w:val="52"/>
          <w:szCs w:val="52"/>
        </w:rPr>
        <w:br/>
      </w:r>
      <w:r w:rsidR="00B672BF" w:rsidRPr="003E76E7">
        <w:rPr>
          <w:b/>
          <w:sz w:val="52"/>
          <w:szCs w:val="52"/>
        </w:rPr>
        <w:t>Service Commission</w:t>
      </w:r>
      <w:bookmarkEnd w:id="2367"/>
      <w:bookmarkEnd w:id="2368"/>
      <w:bookmarkEnd w:id="2369"/>
      <w:bookmarkEnd w:id="2370"/>
      <w:bookmarkEnd w:id="2371"/>
      <w:bookmarkEnd w:id="2372"/>
      <w:bookmarkEnd w:id="2373"/>
      <w:bookmarkEnd w:id="2374"/>
      <w:bookmarkEnd w:id="2375"/>
      <w:bookmarkEnd w:id="2376"/>
      <w:bookmarkEnd w:id="2377"/>
      <w:bookmarkEnd w:id="2378"/>
      <w:bookmarkEnd w:id="2379"/>
    </w:p>
    <w:p w14:paraId="35273092" w14:textId="77777777" w:rsidR="00ED4EF4" w:rsidRPr="003E76E7" w:rsidRDefault="00ED4EF4" w:rsidP="00C4292D">
      <w:pPr>
        <w:rPr>
          <w:lang w:val="en-AU"/>
        </w:rPr>
      </w:pPr>
    </w:p>
    <w:p w14:paraId="2744B52B" w14:textId="338DE3B3" w:rsidR="00ED4EF4" w:rsidRPr="003E76E7" w:rsidRDefault="00ED4EF4" w:rsidP="00C4292D">
      <w:pPr>
        <w:rPr>
          <w:lang w:val="en-AU"/>
        </w:rPr>
      </w:pPr>
    </w:p>
    <w:p w14:paraId="11E70006" w14:textId="77777777" w:rsidR="00ED4EF4" w:rsidRPr="003E76E7" w:rsidRDefault="00ED4EF4" w:rsidP="00C4292D">
      <w:pPr>
        <w:rPr>
          <w:lang w:val="en-AU"/>
        </w:rPr>
      </w:pPr>
    </w:p>
    <w:p w14:paraId="0A308045" w14:textId="5E77C3E4" w:rsidR="00F12101" w:rsidRPr="003E76E7" w:rsidRDefault="00CF10DD" w:rsidP="00C4292D">
      <w:pPr>
        <w:pStyle w:val="DepartmentalSubtitle"/>
      </w:pPr>
      <w:r w:rsidRPr="003E76E7">
        <w:rPr>
          <w:lang w:val="en-AU"/>
        </w:rPr>
        <w:t xml:space="preserve">Entity </w:t>
      </w:r>
      <w:r w:rsidR="00ED4EF4" w:rsidRPr="003E76E7">
        <w:rPr>
          <w:lang w:val="en-AU"/>
        </w:rPr>
        <w:t>Resources and Planned Performance</w:t>
      </w:r>
    </w:p>
    <w:p w14:paraId="142820A9" w14:textId="3288FC09" w:rsidR="001D10EB" w:rsidRPr="003E76E7" w:rsidRDefault="001A0A0A" w:rsidP="00C4292D">
      <w:pPr>
        <w:pStyle w:val="TOC2"/>
        <w:rPr>
          <w:rFonts w:asciiTheme="minorHAnsi" w:eastAsiaTheme="minorEastAsia" w:hAnsiTheme="minorHAnsi" w:cstheme="minorBidi"/>
          <w:b w:val="0"/>
          <w:caps w:val="0"/>
          <w:sz w:val="22"/>
          <w:szCs w:val="22"/>
          <w:lang w:val="en-AU"/>
        </w:rPr>
      </w:pPr>
      <w:r w:rsidRPr="003E76E7">
        <w:rPr>
          <w:rFonts w:ascii="Arial" w:hAnsi="Arial"/>
          <w:bCs/>
          <w:smallCaps/>
          <w:noProof w:val="0"/>
          <w:kern w:val="32"/>
          <w:sz w:val="34"/>
          <w:szCs w:val="32"/>
        </w:rPr>
        <w:fldChar w:fldCharType="begin"/>
      </w:r>
      <w:r w:rsidRPr="003E76E7">
        <w:rPr>
          <w:rFonts w:ascii="Arial" w:hAnsi="Arial"/>
        </w:rPr>
        <w:instrText xml:space="preserve"> TOC \o "1-4" \h \z \u </w:instrText>
      </w:r>
      <w:r w:rsidRPr="003E76E7">
        <w:rPr>
          <w:rFonts w:ascii="Arial" w:hAnsi="Arial"/>
          <w:bCs/>
          <w:smallCaps/>
          <w:noProof w:val="0"/>
          <w:kern w:val="32"/>
          <w:sz w:val="34"/>
          <w:szCs w:val="32"/>
        </w:rPr>
        <w:fldChar w:fldCharType="separate"/>
      </w:r>
    </w:p>
    <w:p w14:paraId="6279A6DE" w14:textId="249AC9CF" w:rsidR="001D10EB" w:rsidRPr="003E76E7" w:rsidRDefault="00AD70C0" w:rsidP="00C4292D">
      <w:pPr>
        <w:pStyle w:val="TOC3"/>
        <w:rPr>
          <w:rFonts w:asciiTheme="minorHAnsi" w:eastAsiaTheme="minorEastAsia" w:hAnsiTheme="minorHAnsi" w:cstheme="minorBidi"/>
          <w:sz w:val="22"/>
          <w:szCs w:val="22"/>
          <w:lang w:val="en-AU"/>
        </w:rPr>
      </w:pPr>
      <w:hyperlink w:anchor="_Toc227334426" w:history="1">
        <w:r w:rsidR="001D10EB" w:rsidRPr="003E76E7">
          <w:rPr>
            <w:rStyle w:val="Hyperlink"/>
          </w:rPr>
          <w:t>Section 1: DVSC Overview and Resources</w:t>
        </w:r>
        <w:r w:rsidR="001D10EB" w:rsidRPr="003E76E7">
          <w:rPr>
            <w:webHidden/>
          </w:rPr>
          <w:tab/>
        </w:r>
        <w:r w:rsidR="001D10EB" w:rsidRPr="003E76E7">
          <w:rPr>
            <w:webHidden/>
          </w:rPr>
          <w:fldChar w:fldCharType="begin"/>
        </w:r>
        <w:r w:rsidR="001D10EB" w:rsidRPr="003E76E7">
          <w:rPr>
            <w:webHidden/>
          </w:rPr>
          <w:instrText xml:space="preserve"> PAGEREF _Toc227334426 \h </w:instrText>
        </w:r>
        <w:r w:rsidR="001D10EB" w:rsidRPr="003E76E7">
          <w:rPr>
            <w:webHidden/>
          </w:rPr>
        </w:r>
        <w:r w:rsidR="001D10EB" w:rsidRPr="003E76E7">
          <w:rPr>
            <w:webHidden/>
          </w:rPr>
          <w:fldChar w:fldCharType="separate"/>
        </w:r>
        <w:r w:rsidR="00E00C37">
          <w:rPr>
            <w:webHidden/>
          </w:rPr>
          <w:t>245</w:t>
        </w:r>
        <w:r w:rsidR="001D10EB" w:rsidRPr="003E76E7">
          <w:rPr>
            <w:webHidden/>
          </w:rPr>
          <w:fldChar w:fldCharType="end"/>
        </w:r>
      </w:hyperlink>
    </w:p>
    <w:p w14:paraId="70038AAE" w14:textId="77922A7A" w:rsidR="001D10EB" w:rsidRPr="003E76E7" w:rsidRDefault="00AD70C0" w:rsidP="00C4292D">
      <w:pPr>
        <w:pStyle w:val="TOC4"/>
        <w:rPr>
          <w:rFonts w:asciiTheme="minorHAnsi" w:eastAsiaTheme="minorEastAsia" w:hAnsiTheme="minorHAnsi" w:cstheme="minorBidi"/>
          <w:sz w:val="22"/>
          <w:szCs w:val="22"/>
          <w:lang w:val="en-AU"/>
        </w:rPr>
      </w:pPr>
      <w:hyperlink w:anchor="_Toc227334427" w:history="1">
        <w:r w:rsidR="001D10EB" w:rsidRPr="003E76E7">
          <w:rPr>
            <w:rStyle w:val="Hyperlink"/>
          </w:rPr>
          <w:t>1.1 Strategic Direction Statement</w:t>
        </w:r>
        <w:r w:rsidR="001D10EB" w:rsidRPr="003E76E7">
          <w:rPr>
            <w:webHidden/>
          </w:rPr>
          <w:tab/>
        </w:r>
        <w:r w:rsidR="001D10EB" w:rsidRPr="003E76E7">
          <w:rPr>
            <w:webHidden/>
          </w:rPr>
          <w:fldChar w:fldCharType="begin"/>
        </w:r>
        <w:r w:rsidR="001D10EB" w:rsidRPr="003E76E7">
          <w:rPr>
            <w:webHidden/>
          </w:rPr>
          <w:instrText xml:space="preserve"> PAGEREF _Toc227334427 \h </w:instrText>
        </w:r>
        <w:r w:rsidR="001D10EB" w:rsidRPr="003E76E7">
          <w:rPr>
            <w:webHidden/>
          </w:rPr>
        </w:r>
        <w:r w:rsidR="001D10EB" w:rsidRPr="003E76E7">
          <w:rPr>
            <w:webHidden/>
          </w:rPr>
          <w:fldChar w:fldCharType="separate"/>
        </w:r>
        <w:r w:rsidR="00E00C37">
          <w:rPr>
            <w:webHidden/>
          </w:rPr>
          <w:t>245</w:t>
        </w:r>
        <w:r w:rsidR="001D10EB" w:rsidRPr="003E76E7">
          <w:rPr>
            <w:webHidden/>
          </w:rPr>
          <w:fldChar w:fldCharType="end"/>
        </w:r>
      </w:hyperlink>
    </w:p>
    <w:p w14:paraId="52EC34F6" w14:textId="36D6F7C3" w:rsidR="001D10EB" w:rsidRPr="003E76E7" w:rsidRDefault="00AD70C0" w:rsidP="00C4292D">
      <w:pPr>
        <w:pStyle w:val="TOC4"/>
        <w:rPr>
          <w:rFonts w:asciiTheme="minorHAnsi" w:eastAsiaTheme="minorEastAsia" w:hAnsiTheme="minorHAnsi" w:cstheme="minorBidi"/>
          <w:sz w:val="22"/>
          <w:szCs w:val="22"/>
          <w:lang w:val="en-AU"/>
        </w:rPr>
      </w:pPr>
      <w:hyperlink w:anchor="_Toc227334428" w:history="1">
        <w:r w:rsidR="001D10EB" w:rsidRPr="003E76E7">
          <w:rPr>
            <w:rStyle w:val="Hyperlink"/>
            <w:lang w:val="en-AU"/>
          </w:rPr>
          <w:t>1.2 DVSC Resource Statement</w:t>
        </w:r>
        <w:r w:rsidR="001D10EB" w:rsidRPr="003E76E7">
          <w:rPr>
            <w:webHidden/>
          </w:rPr>
          <w:tab/>
        </w:r>
        <w:r w:rsidR="001D10EB" w:rsidRPr="003E76E7">
          <w:rPr>
            <w:webHidden/>
          </w:rPr>
          <w:fldChar w:fldCharType="begin"/>
        </w:r>
        <w:r w:rsidR="001D10EB" w:rsidRPr="003E76E7">
          <w:rPr>
            <w:webHidden/>
          </w:rPr>
          <w:instrText xml:space="preserve"> PAGEREF _Toc227334428 \h </w:instrText>
        </w:r>
        <w:r w:rsidR="001D10EB" w:rsidRPr="003E76E7">
          <w:rPr>
            <w:webHidden/>
          </w:rPr>
        </w:r>
        <w:r w:rsidR="001D10EB" w:rsidRPr="003E76E7">
          <w:rPr>
            <w:webHidden/>
          </w:rPr>
          <w:fldChar w:fldCharType="separate"/>
        </w:r>
        <w:r w:rsidR="00E00C37">
          <w:rPr>
            <w:webHidden/>
          </w:rPr>
          <w:t>248</w:t>
        </w:r>
        <w:r w:rsidR="001D10EB" w:rsidRPr="003E76E7">
          <w:rPr>
            <w:webHidden/>
          </w:rPr>
          <w:fldChar w:fldCharType="end"/>
        </w:r>
      </w:hyperlink>
    </w:p>
    <w:p w14:paraId="4AB8B608" w14:textId="414A5FE5" w:rsidR="001D10EB" w:rsidRPr="003E76E7" w:rsidRDefault="00AD70C0" w:rsidP="00C4292D">
      <w:pPr>
        <w:pStyle w:val="TOC4"/>
        <w:rPr>
          <w:rFonts w:asciiTheme="minorHAnsi" w:eastAsiaTheme="minorEastAsia" w:hAnsiTheme="minorHAnsi" w:cstheme="minorBidi"/>
          <w:sz w:val="22"/>
          <w:szCs w:val="22"/>
          <w:lang w:val="en-AU"/>
        </w:rPr>
      </w:pPr>
      <w:hyperlink w:anchor="_Toc227334429" w:history="1">
        <w:r w:rsidR="001D10EB" w:rsidRPr="003E76E7">
          <w:rPr>
            <w:rStyle w:val="Hyperlink"/>
          </w:rPr>
          <w:t>1.3 Budget Measures</w:t>
        </w:r>
        <w:r w:rsidR="001D10EB" w:rsidRPr="003E76E7">
          <w:rPr>
            <w:webHidden/>
          </w:rPr>
          <w:tab/>
        </w:r>
        <w:r w:rsidR="001D10EB" w:rsidRPr="003E76E7">
          <w:rPr>
            <w:webHidden/>
          </w:rPr>
          <w:fldChar w:fldCharType="begin"/>
        </w:r>
        <w:r w:rsidR="001D10EB" w:rsidRPr="003E76E7">
          <w:rPr>
            <w:webHidden/>
          </w:rPr>
          <w:instrText xml:space="preserve"> PAGEREF _Toc227334429 \h </w:instrText>
        </w:r>
        <w:r w:rsidR="001D10EB" w:rsidRPr="003E76E7">
          <w:rPr>
            <w:webHidden/>
          </w:rPr>
        </w:r>
        <w:r w:rsidR="001D10EB" w:rsidRPr="003E76E7">
          <w:rPr>
            <w:webHidden/>
          </w:rPr>
          <w:fldChar w:fldCharType="separate"/>
        </w:r>
        <w:r w:rsidR="00E00C37">
          <w:rPr>
            <w:webHidden/>
          </w:rPr>
          <w:t>249</w:t>
        </w:r>
        <w:r w:rsidR="001D10EB" w:rsidRPr="003E76E7">
          <w:rPr>
            <w:webHidden/>
          </w:rPr>
          <w:fldChar w:fldCharType="end"/>
        </w:r>
      </w:hyperlink>
    </w:p>
    <w:p w14:paraId="2B2C23A1" w14:textId="097EAA8C" w:rsidR="001D10EB" w:rsidRPr="003E76E7" w:rsidRDefault="00AD70C0" w:rsidP="00C4292D">
      <w:pPr>
        <w:pStyle w:val="TOC3"/>
        <w:rPr>
          <w:rFonts w:asciiTheme="minorHAnsi" w:eastAsiaTheme="minorEastAsia" w:hAnsiTheme="minorHAnsi" w:cstheme="minorBidi"/>
          <w:sz w:val="22"/>
          <w:szCs w:val="22"/>
          <w:lang w:val="en-AU"/>
        </w:rPr>
      </w:pPr>
      <w:hyperlink w:anchor="_Toc227334430" w:history="1">
        <w:r w:rsidR="001D10EB" w:rsidRPr="003E76E7">
          <w:rPr>
            <w:rStyle w:val="Hyperlink"/>
          </w:rPr>
          <w:t>Section 2: DVSC Outcomes and Planned Performance</w:t>
        </w:r>
        <w:r w:rsidR="001D10EB" w:rsidRPr="003E76E7">
          <w:rPr>
            <w:webHidden/>
          </w:rPr>
          <w:tab/>
        </w:r>
        <w:r w:rsidR="001D10EB" w:rsidRPr="003E76E7">
          <w:rPr>
            <w:webHidden/>
          </w:rPr>
          <w:fldChar w:fldCharType="begin"/>
        </w:r>
        <w:r w:rsidR="001D10EB" w:rsidRPr="003E76E7">
          <w:rPr>
            <w:webHidden/>
          </w:rPr>
          <w:instrText xml:space="preserve"> PAGEREF _Toc227334430 \h </w:instrText>
        </w:r>
        <w:r w:rsidR="001D10EB" w:rsidRPr="003E76E7">
          <w:rPr>
            <w:webHidden/>
          </w:rPr>
        </w:r>
        <w:r w:rsidR="001D10EB" w:rsidRPr="003E76E7">
          <w:rPr>
            <w:webHidden/>
          </w:rPr>
          <w:fldChar w:fldCharType="separate"/>
        </w:r>
        <w:r w:rsidR="00E00C37">
          <w:rPr>
            <w:webHidden/>
          </w:rPr>
          <w:t>250</w:t>
        </w:r>
        <w:r w:rsidR="001D10EB" w:rsidRPr="003E76E7">
          <w:rPr>
            <w:webHidden/>
          </w:rPr>
          <w:fldChar w:fldCharType="end"/>
        </w:r>
      </w:hyperlink>
    </w:p>
    <w:p w14:paraId="575F9F58" w14:textId="4236BAE6" w:rsidR="001D10EB" w:rsidRPr="003E76E7" w:rsidRDefault="00AD70C0" w:rsidP="00C4292D">
      <w:pPr>
        <w:pStyle w:val="TOC4"/>
        <w:rPr>
          <w:rFonts w:asciiTheme="minorHAnsi" w:eastAsiaTheme="minorEastAsia" w:hAnsiTheme="minorHAnsi" w:cstheme="minorBidi"/>
          <w:sz w:val="22"/>
          <w:szCs w:val="22"/>
          <w:lang w:val="en-AU"/>
        </w:rPr>
      </w:pPr>
      <w:hyperlink w:anchor="_Toc227334431" w:history="1">
        <w:r w:rsidR="001D10EB" w:rsidRPr="003E76E7">
          <w:rPr>
            <w:rStyle w:val="Hyperlink"/>
          </w:rPr>
          <w:t>2.1 Budgeted Expenses and Performance for Outcome 1</w:t>
        </w:r>
        <w:r w:rsidR="001D10EB" w:rsidRPr="003E76E7">
          <w:rPr>
            <w:webHidden/>
          </w:rPr>
          <w:tab/>
        </w:r>
        <w:r w:rsidR="001D10EB" w:rsidRPr="003E76E7">
          <w:rPr>
            <w:webHidden/>
          </w:rPr>
          <w:fldChar w:fldCharType="begin"/>
        </w:r>
        <w:r w:rsidR="001D10EB" w:rsidRPr="003E76E7">
          <w:rPr>
            <w:webHidden/>
          </w:rPr>
          <w:instrText xml:space="preserve"> PAGEREF _Toc227334431 \h </w:instrText>
        </w:r>
        <w:r w:rsidR="001D10EB" w:rsidRPr="003E76E7">
          <w:rPr>
            <w:webHidden/>
          </w:rPr>
        </w:r>
        <w:r w:rsidR="001D10EB" w:rsidRPr="003E76E7">
          <w:rPr>
            <w:webHidden/>
          </w:rPr>
          <w:fldChar w:fldCharType="separate"/>
        </w:r>
        <w:r w:rsidR="00E00C37">
          <w:rPr>
            <w:webHidden/>
          </w:rPr>
          <w:t>251</w:t>
        </w:r>
        <w:r w:rsidR="001D10EB" w:rsidRPr="003E76E7">
          <w:rPr>
            <w:webHidden/>
          </w:rPr>
          <w:fldChar w:fldCharType="end"/>
        </w:r>
      </w:hyperlink>
    </w:p>
    <w:p w14:paraId="0A70D43B" w14:textId="2D0C5AD0" w:rsidR="001D10EB" w:rsidRPr="003E76E7" w:rsidRDefault="00AD70C0" w:rsidP="00C4292D">
      <w:pPr>
        <w:pStyle w:val="TOC3"/>
        <w:rPr>
          <w:rFonts w:asciiTheme="minorHAnsi" w:eastAsiaTheme="minorEastAsia" w:hAnsiTheme="minorHAnsi" w:cstheme="minorBidi"/>
          <w:sz w:val="22"/>
          <w:szCs w:val="22"/>
          <w:lang w:val="en-AU"/>
        </w:rPr>
      </w:pPr>
      <w:hyperlink w:anchor="_Toc227334432" w:history="1">
        <w:r w:rsidR="001D10EB" w:rsidRPr="003E76E7">
          <w:rPr>
            <w:rStyle w:val="Hyperlink"/>
          </w:rPr>
          <w:t>Section 3: DVSC Explanatory Tables and Budgeted Financial Statements</w:t>
        </w:r>
        <w:r w:rsidR="001D10EB" w:rsidRPr="003E76E7">
          <w:rPr>
            <w:webHidden/>
          </w:rPr>
          <w:tab/>
        </w:r>
        <w:r w:rsidR="001D10EB" w:rsidRPr="003E76E7">
          <w:rPr>
            <w:webHidden/>
          </w:rPr>
          <w:fldChar w:fldCharType="begin"/>
        </w:r>
        <w:r w:rsidR="001D10EB" w:rsidRPr="003E76E7">
          <w:rPr>
            <w:webHidden/>
          </w:rPr>
          <w:instrText xml:space="preserve"> PAGEREF _Toc227334432 \h </w:instrText>
        </w:r>
        <w:r w:rsidR="001D10EB" w:rsidRPr="003E76E7">
          <w:rPr>
            <w:webHidden/>
          </w:rPr>
        </w:r>
        <w:r w:rsidR="001D10EB" w:rsidRPr="003E76E7">
          <w:rPr>
            <w:webHidden/>
          </w:rPr>
          <w:fldChar w:fldCharType="separate"/>
        </w:r>
        <w:r w:rsidR="00E00C37">
          <w:rPr>
            <w:webHidden/>
          </w:rPr>
          <w:t>254</w:t>
        </w:r>
        <w:r w:rsidR="001D10EB" w:rsidRPr="003E76E7">
          <w:rPr>
            <w:webHidden/>
          </w:rPr>
          <w:fldChar w:fldCharType="end"/>
        </w:r>
      </w:hyperlink>
    </w:p>
    <w:p w14:paraId="258A8612" w14:textId="219BAE87" w:rsidR="001D10EB" w:rsidRPr="003E76E7" w:rsidRDefault="00AD70C0" w:rsidP="00C4292D">
      <w:pPr>
        <w:pStyle w:val="TOC4"/>
        <w:rPr>
          <w:rFonts w:asciiTheme="minorHAnsi" w:eastAsiaTheme="minorEastAsia" w:hAnsiTheme="minorHAnsi" w:cstheme="minorBidi"/>
          <w:sz w:val="22"/>
          <w:szCs w:val="22"/>
          <w:lang w:val="en-AU"/>
        </w:rPr>
      </w:pPr>
      <w:hyperlink w:anchor="_Toc227334433" w:history="1">
        <w:r w:rsidR="001D10EB" w:rsidRPr="003E76E7">
          <w:rPr>
            <w:rStyle w:val="Hyperlink"/>
          </w:rPr>
          <w:t>3.2 Budgeted Financial Statements</w:t>
        </w:r>
        <w:r w:rsidR="001D10EB" w:rsidRPr="003E76E7">
          <w:rPr>
            <w:webHidden/>
          </w:rPr>
          <w:tab/>
        </w:r>
        <w:r w:rsidR="001D10EB" w:rsidRPr="003E76E7">
          <w:rPr>
            <w:webHidden/>
          </w:rPr>
          <w:fldChar w:fldCharType="begin"/>
        </w:r>
        <w:r w:rsidR="001D10EB" w:rsidRPr="003E76E7">
          <w:rPr>
            <w:webHidden/>
          </w:rPr>
          <w:instrText xml:space="preserve"> PAGEREF _Toc227334433 \h </w:instrText>
        </w:r>
        <w:r w:rsidR="001D10EB" w:rsidRPr="003E76E7">
          <w:rPr>
            <w:webHidden/>
          </w:rPr>
        </w:r>
        <w:r w:rsidR="001D10EB" w:rsidRPr="003E76E7">
          <w:rPr>
            <w:webHidden/>
          </w:rPr>
          <w:fldChar w:fldCharType="separate"/>
        </w:r>
        <w:r w:rsidR="00E00C37">
          <w:rPr>
            <w:webHidden/>
          </w:rPr>
          <w:t>254</w:t>
        </w:r>
        <w:r w:rsidR="001D10EB" w:rsidRPr="003E76E7">
          <w:rPr>
            <w:webHidden/>
          </w:rPr>
          <w:fldChar w:fldCharType="end"/>
        </w:r>
      </w:hyperlink>
    </w:p>
    <w:p w14:paraId="3B397556" w14:textId="67784D9F" w:rsidR="001A0A0A" w:rsidRPr="003E76E7" w:rsidRDefault="001A0A0A" w:rsidP="00C4292D">
      <w:pPr>
        <w:rPr>
          <w:rFonts w:eastAsiaTheme="minorEastAsia"/>
          <w:b/>
          <w:caps/>
          <w:lang w:val="en-AU"/>
        </w:rPr>
      </w:pPr>
      <w:r w:rsidRPr="003E76E7">
        <w:rPr>
          <w:rFonts w:ascii="Arial" w:hAnsi="Arial"/>
          <w:b/>
          <w:noProof/>
          <w:szCs w:val="20"/>
        </w:rPr>
        <w:fldChar w:fldCharType="end"/>
      </w:r>
    </w:p>
    <w:p w14:paraId="524F93BF" w14:textId="28D195EF" w:rsidR="00ED4EF4" w:rsidRPr="003E76E7" w:rsidRDefault="00ED4EF4" w:rsidP="00C4292D">
      <w:pPr>
        <w:spacing w:before="0" w:after="0"/>
        <w:rPr>
          <w:sz w:val="12"/>
          <w:szCs w:val="12"/>
        </w:rPr>
      </w:pPr>
      <w:r w:rsidRPr="003E76E7">
        <w:rPr>
          <w:lang w:val="en-AU"/>
        </w:rPr>
        <w:br w:type="page"/>
      </w:r>
    </w:p>
    <w:p w14:paraId="206BCA14" w14:textId="77777777" w:rsidR="00A005A8" w:rsidRPr="003E76E7" w:rsidRDefault="00A005A8" w:rsidP="00C4292D">
      <w:pPr>
        <w:pStyle w:val="BodyText"/>
        <w:rPr>
          <w:lang w:val="en-AU"/>
        </w:rPr>
      </w:pPr>
    </w:p>
    <w:p w14:paraId="62342812" w14:textId="77777777" w:rsidR="00A005A8" w:rsidRPr="003E76E7" w:rsidRDefault="00A005A8" w:rsidP="00C4292D">
      <w:pPr>
        <w:pStyle w:val="BodyText"/>
        <w:rPr>
          <w:lang w:val="en-AU"/>
        </w:rPr>
      </w:pPr>
    </w:p>
    <w:p w14:paraId="05F22D55" w14:textId="77777777" w:rsidR="00A005A8" w:rsidRPr="003E76E7" w:rsidRDefault="00A005A8" w:rsidP="00C4292D">
      <w:pPr>
        <w:pStyle w:val="BodyText"/>
        <w:rPr>
          <w:lang w:val="en-AU"/>
        </w:rPr>
      </w:pPr>
    </w:p>
    <w:p w14:paraId="36C1D3D8" w14:textId="77777777" w:rsidR="00A005A8" w:rsidRPr="003E76E7" w:rsidRDefault="00A005A8" w:rsidP="00C4292D">
      <w:pPr>
        <w:pStyle w:val="BodyText"/>
        <w:rPr>
          <w:lang w:val="en-AU"/>
        </w:rPr>
      </w:pPr>
    </w:p>
    <w:p w14:paraId="44E8E7A0" w14:textId="77777777" w:rsidR="00A005A8" w:rsidRPr="003E76E7" w:rsidRDefault="00A005A8" w:rsidP="00C4292D">
      <w:pPr>
        <w:pStyle w:val="BodyText"/>
        <w:rPr>
          <w:lang w:val="en-AU"/>
        </w:rPr>
      </w:pPr>
    </w:p>
    <w:p w14:paraId="360ABD04" w14:textId="77777777" w:rsidR="00A005A8" w:rsidRPr="003E76E7" w:rsidRDefault="00A005A8" w:rsidP="00C4292D">
      <w:pPr>
        <w:pStyle w:val="BodyText"/>
        <w:rPr>
          <w:lang w:val="en-AU"/>
        </w:rPr>
      </w:pPr>
    </w:p>
    <w:p w14:paraId="55021EC4" w14:textId="77777777" w:rsidR="00A005A8" w:rsidRPr="003E76E7" w:rsidRDefault="00A005A8" w:rsidP="00C4292D">
      <w:pPr>
        <w:pStyle w:val="BodyText"/>
        <w:rPr>
          <w:lang w:val="en-AU"/>
        </w:rPr>
      </w:pPr>
    </w:p>
    <w:p w14:paraId="4D6316A6" w14:textId="77777777" w:rsidR="00A005A8" w:rsidRPr="003E76E7" w:rsidRDefault="00A005A8" w:rsidP="00C4292D">
      <w:pPr>
        <w:pStyle w:val="BodyText"/>
        <w:rPr>
          <w:lang w:val="en-AU"/>
        </w:rPr>
      </w:pPr>
    </w:p>
    <w:p w14:paraId="6D68C926" w14:textId="77777777" w:rsidR="00A005A8" w:rsidRPr="003E76E7" w:rsidRDefault="00A005A8" w:rsidP="00C4292D">
      <w:pPr>
        <w:pStyle w:val="BodyText"/>
        <w:rPr>
          <w:lang w:val="en-AU"/>
        </w:rPr>
      </w:pPr>
    </w:p>
    <w:p w14:paraId="67F9B7C1" w14:textId="77777777" w:rsidR="00A005A8" w:rsidRPr="003E76E7" w:rsidRDefault="00A005A8" w:rsidP="00C4292D">
      <w:pPr>
        <w:pStyle w:val="BodyText"/>
        <w:rPr>
          <w:lang w:val="en-AU"/>
        </w:rPr>
      </w:pPr>
    </w:p>
    <w:p w14:paraId="720B582D" w14:textId="77777777" w:rsidR="00A005A8" w:rsidRPr="003E76E7" w:rsidRDefault="00A005A8" w:rsidP="00C4292D">
      <w:pPr>
        <w:pStyle w:val="BodyText"/>
        <w:rPr>
          <w:lang w:val="en-AU"/>
        </w:rPr>
      </w:pPr>
    </w:p>
    <w:p w14:paraId="3842BA39" w14:textId="4453F716" w:rsidR="00A005A8" w:rsidRPr="003E76E7" w:rsidRDefault="00A005A8" w:rsidP="00C4292D">
      <w:pPr>
        <w:pStyle w:val="BodyText"/>
        <w:jc w:val="center"/>
        <w:rPr>
          <w:lang w:val="en-AU"/>
        </w:rPr>
      </w:pPr>
      <w:r w:rsidRPr="003E76E7">
        <w:rPr>
          <w:lang w:val="en-AU"/>
        </w:rPr>
        <w:t>This page intentionally left blank.</w:t>
      </w:r>
    </w:p>
    <w:p w14:paraId="643AD943" w14:textId="77777777" w:rsidR="00A005A8" w:rsidRPr="003E76E7" w:rsidRDefault="00A005A8" w:rsidP="00C4292D">
      <w:pPr>
        <w:spacing w:before="0" w:after="0"/>
        <w:rPr>
          <w:lang w:val="en-AU"/>
        </w:rPr>
      </w:pPr>
      <w:r w:rsidRPr="003E76E7">
        <w:rPr>
          <w:lang w:val="en-AU"/>
        </w:rPr>
        <w:br w:type="page"/>
      </w:r>
    </w:p>
    <w:p w14:paraId="51E3EA6A" w14:textId="2B431E2E" w:rsidR="00ED4EF4" w:rsidRPr="003E76E7" w:rsidRDefault="00ED4EF4" w:rsidP="00C4292D">
      <w:pPr>
        <w:pStyle w:val="heading1level2"/>
        <w:spacing w:before="100" w:after="100"/>
        <w:jc w:val="left"/>
        <w:outlineLvl w:val="9"/>
        <w:rPr>
          <w:smallCaps w:val="0"/>
          <w:sz w:val="36"/>
          <w:szCs w:val="36"/>
        </w:rPr>
      </w:pPr>
      <w:r w:rsidRPr="003E76E7">
        <w:rPr>
          <w:smallCaps w:val="0"/>
          <w:sz w:val="36"/>
          <w:szCs w:val="36"/>
        </w:rPr>
        <w:lastRenderedPageBreak/>
        <w:t>Defence and Veterans’ Service Commission</w:t>
      </w:r>
    </w:p>
    <w:p w14:paraId="2FA4D128" w14:textId="687BBF1D" w:rsidR="00ED4EF4" w:rsidRPr="003E76E7" w:rsidRDefault="00ED4EF4" w:rsidP="00C4292D">
      <w:pPr>
        <w:pStyle w:val="Heading2level3"/>
        <w:spacing w:before="120" w:after="120"/>
        <w:rPr>
          <w:rStyle w:val="Heading2Char"/>
          <w:sz w:val="26"/>
          <w:szCs w:val="26"/>
        </w:rPr>
      </w:pPr>
      <w:bookmarkStart w:id="2380" w:name="_Toc221786208"/>
      <w:bookmarkStart w:id="2381" w:name="_Toc222129986"/>
      <w:bookmarkStart w:id="2382" w:name="_Toc222148408"/>
      <w:bookmarkStart w:id="2383" w:name="_Toc225848036"/>
      <w:bookmarkStart w:id="2384" w:name="_Toc225848119"/>
      <w:bookmarkStart w:id="2385" w:name="_Toc225848202"/>
      <w:bookmarkStart w:id="2386" w:name="_Toc225848277"/>
      <w:bookmarkStart w:id="2387" w:name="_Toc225941609"/>
      <w:bookmarkStart w:id="2388" w:name="_Toc227334426"/>
      <w:bookmarkStart w:id="2389" w:name="_Toc229072501"/>
      <w:bookmarkStart w:id="2390" w:name="_Toc229072673"/>
      <w:r w:rsidRPr="003E76E7">
        <w:rPr>
          <w:rStyle w:val="Heading2Char"/>
          <w:sz w:val="26"/>
          <w:szCs w:val="26"/>
        </w:rPr>
        <w:t>Section 1: DVSC Overview and Resources</w:t>
      </w:r>
      <w:bookmarkEnd w:id="2380"/>
      <w:bookmarkEnd w:id="2381"/>
      <w:bookmarkEnd w:id="2382"/>
      <w:bookmarkEnd w:id="2383"/>
      <w:bookmarkEnd w:id="2384"/>
      <w:bookmarkEnd w:id="2385"/>
      <w:bookmarkEnd w:id="2386"/>
      <w:bookmarkEnd w:id="2387"/>
      <w:bookmarkEnd w:id="2388"/>
      <w:bookmarkEnd w:id="2389"/>
      <w:bookmarkEnd w:id="2390"/>
    </w:p>
    <w:p w14:paraId="60F8AD8B" w14:textId="77777777" w:rsidR="00ED4EF4" w:rsidRPr="003E76E7" w:rsidRDefault="00ED4EF4" w:rsidP="00C4292D">
      <w:pPr>
        <w:pStyle w:val="Heading4"/>
        <w:rPr>
          <w:rFonts w:cs="Arial"/>
          <w:sz w:val="24"/>
        </w:rPr>
      </w:pPr>
      <w:bookmarkStart w:id="2391" w:name="_Toc221786209"/>
      <w:bookmarkStart w:id="2392" w:name="_Toc222129987"/>
      <w:bookmarkStart w:id="2393" w:name="_Toc222148409"/>
      <w:bookmarkStart w:id="2394" w:name="_Toc225848037"/>
      <w:bookmarkStart w:id="2395" w:name="_Toc225848120"/>
      <w:bookmarkStart w:id="2396" w:name="_Toc225848203"/>
      <w:bookmarkStart w:id="2397" w:name="_Toc225941610"/>
      <w:bookmarkStart w:id="2398" w:name="_Toc227334427"/>
      <w:bookmarkStart w:id="2399" w:name="_Toc229072502"/>
      <w:bookmarkStart w:id="2400" w:name="_Toc229072674"/>
      <w:r w:rsidRPr="003E76E7">
        <w:rPr>
          <w:rFonts w:cs="Arial"/>
          <w:sz w:val="24"/>
        </w:rPr>
        <w:t>1.1 Strategic Direction Statement</w:t>
      </w:r>
      <w:bookmarkEnd w:id="2391"/>
      <w:bookmarkEnd w:id="2392"/>
      <w:bookmarkEnd w:id="2393"/>
      <w:bookmarkEnd w:id="2394"/>
      <w:bookmarkEnd w:id="2395"/>
      <w:bookmarkEnd w:id="2396"/>
      <w:bookmarkEnd w:id="2397"/>
      <w:bookmarkEnd w:id="2398"/>
      <w:bookmarkEnd w:id="2399"/>
      <w:bookmarkEnd w:id="2400"/>
    </w:p>
    <w:p w14:paraId="7CA08179" w14:textId="77777777" w:rsidR="00147F58" w:rsidRPr="003E76E7" w:rsidRDefault="00147F58" w:rsidP="00C4292D">
      <w:pPr>
        <w:spacing w:before="60" w:after="60" w:line="256" w:lineRule="auto"/>
        <w:rPr>
          <w:szCs w:val="20"/>
        </w:rPr>
      </w:pPr>
      <w:r w:rsidRPr="003E76E7">
        <w:rPr>
          <w:szCs w:val="20"/>
        </w:rPr>
        <w:t xml:space="preserve">The Defence and Veterans’ </w:t>
      </w:r>
      <w:r w:rsidRPr="003E76E7">
        <w:rPr>
          <w:lang w:eastAsia="en-US"/>
        </w:rPr>
        <w:t>Service</w:t>
      </w:r>
      <w:r w:rsidRPr="003E76E7">
        <w:rPr>
          <w:szCs w:val="20"/>
        </w:rPr>
        <w:t xml:space="preserve"> Commission (DVSC) commenced operation on </w:t>
      </w:r>
      <w:r w:rsidRPr="003E76E7">
        <w:br/>
      </w:r>
      <w:r w:rsidRPr="003E76E7">
        <w:rPr>
          <w:szCs w:val="20"/>
        </w:rPr>
        <w:t xml:space="preserve">29 September 2025. The Commissioner and the Commission are separate to, and independent from, all government and non-government entities in the Defence and veteran ecosystem. </w:t>
      </w:r>
    </w:p>
    <w:p w14:paraId="34940AA0" w14:textId="77777777" w:rsidR="00147F58" w:rsidRPr="003E76E7" w:rsidRDefault="00147F58" w:rsidP="00C4292D">
      <w:pPr>
        <w:spacing w:before="60" w:after="60" w:line="256" w:lineRule="auto"/>
      </w:pPr>
      <w:r w:rsidRPr="003E76E7">
        <w:t xml:space="preserve">The DVSC was created in response to the key recommendation of the Royal Commission into Defence and Veteran </w:t>
      </w:r>
      <w:r w:rsidRPr="003E76E7">
        <w:rPr>
          <w:lang w:eastAsia="en-US"/>
        </w:rPr>
        <w:t>Suicide</w:t>
      </w:r>
      <w:r w:rsidRPr="003E76E7">
        <w:t xml:space="preserve"> (RCDVS) (recommendation 122) which recommended that a new independent entity be created to address a gap in the system-wide oversight of the Defence and veteran ecosystem. The RCDVS found:</w:t>
      </w:r>
    </w:p>
    <w:p w14:paraId="13AA15B8" w14:textId="22D68186" w:rsidR="006C3735" w:rsidRPr="003E76E7" w:rsidRDefault="00147F58" w:rsidP="00C4292D">
      <w:pPr>
        <w:spacing w:before="60" w:after="60" w:line="256" w:lineRule="auto"/>
        <w:rPr>
          <w:szCs w:val="20"/>
          <w:lang w:val="en-AU"/>
        </w:rPr>
      </w:pPr>
      <w:r w:rsidRPr="003E76E7">
        <w:rPr>
          <w:i/>
          <w:szCs w:val="20"/>
        </w:rPr>
        <w:t>"Current oversight mechanisms do not enable system-wide visibility to reveal what is and is not working to reduce rates of suicide and suicidality among serving and ex-serving ADF members. Opportunities are being lost for systemic reforms to prevent suicide and suicidality among this cohort. In the absence of a new entity, oversight will remain fragmented and the impact of interventions may be limited."</w:t>
      </w:r>
      <w:r w:rsidRPr="003E76E7">
        <w:rPr>
          <w:rStyle w:val="FootnoteReference"/>
          <w:i/>
          <w:szCs w:val="20"/>
        </w:rPr>
        <w:footnoteReference w:id="1"/>
      </w:r>
    </w:p>
    <w:p w14:paraId="78A28093" w14:textId="4A2014F2" w:rsidR="006C3735" w:rsidRPr="003E76E7" w:rsidRDefault="006C3735" w:rsidP="00C4292D">
      <w:pPr>
        <w:spacing w:after="60" w:line="256" w:lineRule="auto"/>
        <w:rPr>
          <w:szCs w:val="20"/>
          <w:lang w:val="en-AU"/>
        </w:rPr>
      </w:pPr>
      <w:r w:rsidRPr="003E76E7">
        <w:rPr>
          <w:szCs w:val="20"/>
          <w:lang w:val="en-AU"/>
        </w:rPr>
        <w:t xml:space="preserve">In accordance with recommendations from the Foreign Affairs, Defence and Trade Legislation Committee review in August 2025, the Government prioritised introducing legislation to the Parliament in the form of a stand-alone Act that will further clarify and strengthen the independence and transparency of the Commission, including the appointment of the inaugural Commissioner by the Governor-General. This Bill was passed by the Parliament and will commence upon proclamation. </w:t>
      </w:r>
    </w:p>
    <w:p w14:paraId="2FD02E6D" w14:textId="4BD06FC4" w:rsidR="00147F58" w:rsidRPr="003E76E7" w:rsidRDefault="00147F58" w:rsidP="00C4292D">
      <w:pPr>
        <w:pStyle w:val="NormalWeb"/>
        <w:spacing w:after="0"/>
        <w:rPr>
          <w:rFonts w:ascii="Book Antiqua" w:hAnsi="Book Antiqua" w:cs="Arial"/>
          <w:sz w:val="20"/>
          <w:szCs w:val="20"/>
        </w:rPr>
      </w:pPr>
      <w:r w:rsidRPr="003E76E7">
        <w:rPr>
          <w:rFonts w:ascii="Book Antiqua" w:hAnsi="Book Antiqua" w:cs="Arial"/>
          <w:sz w:val="20"/>
          <w:szCs w:val="20"/>
        </w:rPr>
        <w:t>Key functions performed by the Defence and Veterans' Service Commissioner include:</w:t>
      </w:r>
    </w:p>
    <w:p w14:paraId="6091D5B3" w14:textId="77777777" w:rsidR="00147F58" w:rsidRPr="003E76E7" w:rsidRDefault="00147F58" w:rsidP="00C4292D">
      <w:pPr>
        <w:numPr>
          <w:ilvl w:val="0"/>
          <w:numId w:val="71"/>
        </w:numPr>
        <w:tabs>
          <w:tab w:val="left" w:pos="284"/>
        </w:tabs>
        <w:spacing w:before="60" w:after="60"/>
        <w:ind w:left="284" w:hanging="284"/>
      </w:pPr>
      <w:r w:rsidRPr="003E76E7">
        <w:t>Monitoring, inquiring into and reporting on matters including:</w:t>
      </w:r>
    </w:p>
    <w:p w14:paraId="55C02684" w14:textId="77777777" w:rsidR="00147F58" w:rsidRPr="003E76E7" w:rsidRDefault="00147F58" w:rsidP="00C4292D">
      <w:pPr>
        <w:numPr>
          <w:ilvl w:val="1"/>
          <w:numId w:val="72"/>
        </w:numPr>
        <w:spacing w:before="60" w:after="60"/>
        <w:ind w:left="737"/>
      </w:pPr>
      <w:r w:rsidRPr="003E76E7">
        <w:t>data and trends regarding suicide and suicidality among serving and ex-serving ADF members;</w:t>
      </w:r>
    </w:p>
    <w:p w14:paraId="479284C6" w14:textId="77777777" w:rsidR="00147F58" w:rsidRPr="003E76E7" w:rsidRDefault="00147F58" w:rsidP="00C4292D">
      <w:pPr>
        <w:numPr>
          <w:ilvl w:val="1"/>
          <w:numId w:val="72"/>
        </w:numPr>
        <w:spacing w:before="60" w:after="60"/>
        <w:ind w:left="737"/>
      </w:pPr>
      <w:r w:rsidRPr="003E76E7">
        <w:t>systemic factors relating to the Australian Government's administration of policies, programs, systems and practices that contribute to suicide and suicidality among serving and ex-serving ADF members; and</w:t>
      </w:r>
    </w:p>
    <w:p w14:paraId="5AFC6C35" w14:textId="77777777" w:rsidR="00147F58" w:rsidRPr="003E76E7" w:rsidRDefault="00147F58" w:rsidP="00C4292D">
      <w:pPr>
        <w:numPr>
          <w:ilvl w:val="1"/>
          <w:numId w:val="72"/>
        </w:numPr>
        <w:spacing w:before="60" w:after="60"/>
        <w:ind w:left="737"/>
      </w:pPr>
      <w:r w:rsidRPr="003E76E7">
        <w:t>the state of the Defence and veteran ecosystem, as it relates to the prevention of suicide and suicidality.</w:t>
      </w:r>
    </w:p>
    <w:p w14:paraId="20D003A6" w14:textId="77777777" w:rsidR="00147F58" w:rsidRPr="003E76E7" w:rsidRDefault="00147F58" w:rsidP="00C4292D">
      <w:pPr>
        <w:numPr>
          <w:ilvl w:val="0"/>
          <w:numId w:val="71"/>
        </w:numPr>
        <w:tabs>
          <w:tab w:val="left" w:pos="284"/>
        </w:tabs>
        <w:spacing w:before="60" w:after="60"/>
        <w:ind w:left="284" w:hanging="284"/>
      </w:pPr>
      <w:r w:rsidRPr="003E76E7">
        <w:t>Monitoring, inquiring into and reporting on the Australian Government's implementation of the recommendations of the RCDVS including progress, impact and outcomes.</w:t>
      </w:r>
    </w:p>
    <w:p w14:paraId="6728BB56" w14:textId="77777777" w:rsidR="00147F58" w:rsidRPr="003E76E7" w:rsidRDefault="00147F58" w:rsidP="00C4292D">
      <w:pPr>
        <w:numPr>
          <w:ilvl w:val="0"/>
          <w:numId w:val="71"/>
        </w:numPr>
        <w:tabs>
          <w:tab w:val="left" w:pos="284"/>
        </w:tabs>
        <w:spacing w:before="60" w:after="60"/>
        <w:ind w:left="284" w:hanging="284"/>
      </w:pPr>
      <w:r w:rsidRPr="003E76E7">
        <w:t xml:space="preserve">Promoting understanding of suicide risks for Defence members and veterans, and factors that can improve their wellbeing, including through engaging with </w:t>
      </w:r>
      <w:r w:rsidRPr="003E76E7">
        <w:tab/>
        <w:t>people with lived experience and promoting that lived experience.</w:t>
      </w:r>
    </w:p>
    <w:p w14:paraId="20A7CFC0" w14:textId="77777777" w:rsidR="00147F58" w:rsidRPr="003E76E7" w:rsidRDefault="00147F58" w:rsidP="00C4292D">
      <w:pPr>
        <w:spacing w:after="0" w:line="256" w:lineRule="auto"/>
        <w:rPr>
          <w:lang w:val="en-AU"/>
        </w:rPr>
      </w:pPr>
      <w:r w:rsidRPr="003E76E7">
        <w:rPr>
          <w:szCs w:val="20"/>
        </w:rPr>
        <w:br w:type="page"/>
      </w:r>
      <w:r w:rsidRPr="003E76E7">
        <w:rPr>
          <w:szCs w:val="20"/>
        </w:rPr>
        <w:lastRenderedPageBreak/>
        <w:t xml:space="preserve">The </w:t>
      </w:r>
      <w:r w:rsidRPr="003E76E7">
        <w:rPr>
          <w:szCs w:val="20"/>
          <w:lang w:val="en-AU"/>
        </w:rPr>
        <w:t>Commissioner</w:t>
      </w:r>
      <w:r w:rsidRPr="003E76E7">
        <w:rPr>
          <w:szCs w:val="20"/>
        </w:rPr>
        <w:t xml:space="preserve"> will also:</w:t>
      </w:r>
    </w:p>
    <w:p w14:paraId="60D9B5BD" w14:textId="77777777" w:rsidR="00147F58" w:rsidRPr="003E76E7" w:rsidRDefault="00147F58" w:rsidP="00C4292D">
      <w:pPr>
        <w:numPr>
          <w:ilvl w:val="0"/>
          <w:numId w:val="71"/>
        </w:numPr>
        <w:tabs>
          <w:tab w:val="left" w:pos="284"/>
        </w:tabs>
        <w:spacing w:before="60" w:after="60"/>
        <w:ind w:left="284" w:hanging="284"/>
      </w:pPr>
      <w:r w:rsidRPr="003E76E7">
        <w:t>Improve support for serving and ex-serving ADF members;</w:t>
      </w:r>
    </w:p>
    <w:p w14:paraId="1B1E0E52" w14:textId="77777777" w:rsidR="00147F58" w:rsidRPr="003E76E7" w:rsidRDefault="00147F58" w:rsidP="00C4292D">
      <w:pPr>
        <w:numPr>
          <w:ilvl w:val="0"/>
          <w:numId w:val="71"/>
        </w:numPr>
        <w:tabs>
          <w:tab w:val="left" w:pos="284"/>
        </w:tabs>
        <w:spacing w:before="60" w:after="60"/>
        <w:ind w:left="284" w:hanging="284"/>
      </w:pPr>
      <w:r w:rsidRPr="003E76E7">
        <w:t>Conduct inquiries, research and advise on matters requested by the Minister; and</w:t>
      </w:r>
    </w:p>
    <w:p w14:paraId="6B182086" w14:textId="77777777" w:rsidR="00147F58" w:rsidRPr="003E76E7" w:rsidRDefault="00147F58" w:rsidP="00C4292D">
      <w:pPr>
        <w:numPr>
          <w:ilvl w:val="0"/>
          <w:numId w:val="71"/>
        </w:numPr>
        <w:tabs>
          <w:tab w:val="left" w:pos="284"/>
        </w:tabs>
        <w:spacing w:before="60" w:after="60"/>
        <w:ind w:left="284" w:hanging="284"/>
      </w:pPr>
      <w:r w:rsidRPr="003E76E7">
        <w:t>Collaborate with coroners to understand issues contributing to Defence and veteran deaths by suicide.</w:t>
      </w:r>
    </w:p>
    <w:p w14:paraId="17A4B27D" w14:textId="77777777" w:rsidR="00147F58" w:rsidRPr="003E76E7" w:rsidRDefault="00147F58" w:rsidP="00C4292D">
      <w:pPr>
        <w:spacing w:before="60" w:after="60" w:line="256" w:lineRule="auto"/>
        <w:rPr>
          <w:rFonts w:ascii="Segoe UI Semilight" w:eastAsia="Segoe UI Semilight" w:hAnsi="Segoe UI Semilight" w:cs="Segoe UI Semilight"/>
          <w:color w:val="C00000"/>
          <w:sz w:val="22"/>
          <w:szCs w:val="22"/>
        </w:rPr>
      </w:pPr>
      <w:r w:rsidRPr="003E76E7">
        <w:t>The DVSC will not inquire into or intervene in individual matters, including claims for entitlements, complaints or appeals against another entity. The DVSC is focused on oversight and influencing system-level reforms as envisaged by the RCDVS.</w:t>
      </w:r>
    </w:p>
    <w:p w14:paraId="246017FD" w14:textId="77777777" w:rsidR="00147F58" w:rsidRPr="003E76E7" w:rsidRDefault="00147F58" w:rsidP="00C4292D">
      <w:pPr>
        <w:spacing w:before="60" w:after="0" w:line="256" w:lineRule="auto"/>
      </w:pPr>
      <w:r w:rsidRPr="003E76E7">
        <w:rPr>
          <w:szCs w:val="20"/>
        </w:rPr>
        <w:t>In 2026-27 the DVSC will particularly focus on:</w:t>
      </w:r>
    </w:p>
    <w:p w14:paraId="15850FB1" w14:textId="16A0E8A2" w:rsidR="00147F58" w:rsidRPr="003E76E7" w:rsidRDefault="00147F58" w:rsidP="00C4292D">
      <w:pPr>
        <w:numPr>
          <w:ilvl w:val="0"/>
          <w:numId w:val="71"/>
        </w:numPr>
        <w:tabs>
          <w:tab w:val="left" w:pos="284"/>
        </w:tabs>
        <w:spacing w:before="60" w:after="60"/>
        <w:ind w:left="284" w:hanging="284"/>
      </w:pPr>
      <w:r w:rsidRPr="003E76E7">
        <w:t xml:space="preserve">Implementing an oversight framework including processes and procedures for </w:t>
      </w:r>
      <w:r w:rsidRPr="003E76E7">
        <w:tab/>
        <w:t>monitoring, inquiring into and reporting on the implementation of the rec</w:t>
      </w:r>
      <w:r w:rsidR="00B665C8">
        <w:t xml:space="preserve">ommendations made by the RCDVS; </w:t>
      </w:r>
    </w:p>
    <w:p w14:paraId="2CB7B76B" w14:textId="23893097" w:rsidR="00147F58" w:rsidRPr="003E76E7" w:rsidRDefault="00147F58" w:rsidP="00C4292D">
      <w:pPr>
        <w:numPr>
          <w:ilvl w:val="0"/>
          <w:numId w:val="71"/>
        </w:numPr>
        <w:tabs>
          <w:tab w:val="left" w:pos="284"/>
        </w:tabs>
        <w:spacing w:before="60" w:after="60"/>
        <w:ind w:left="284" w:hanging="284"/>
      </w:pPr>
      <w:r w:rsidRPr="003E76E7">
        <w:t xml:space="preserve">Commencing inquiries into the implementation, impact and outcomes of RCDVS recommendations. This work commenced in early 2026 with an inquiry into the implementation of </w:t>
      </w:r>
      <w:r w:rsidR="000C6189" w:rsidRPr="003E76E7">
        <w:t>RCDVS interim recommendations 9</w:t>
      </w:r>
      <w:r w:rsidR="00AD14EC" w:rsidRPr="003E76E7">
        <w:t>-</w:t>
      </w:r>
      <w:r w:rsidR="00B665C8">
        <w:t>13 about access to information;</w:t>
      </w:r>
    </w:p>
    <w:p w14:paraId="1F044D9A" w14:textId="1770013F" w:rsidR="00147F58" w:rsidRPr="003E76E7" w:rsidRDefault="00147F58" w:rsidP="00C4292D">
      <w:pPr>
        <w:numPr>
          <w:ilvl w:val="0"/>
          <w:numId w:val="71"/>
        </w:numPr>
        <w:tabs>
          <w:tab w:val="left" w:pos="284"/>
        </w:tabs>
        <w:spacing w:before="60" w:after="60"/>
        <w:ind w:left="284" w:hanging="284"/>
      </w:pPr>
      <w:r w:rsidRPr="003E76E7">
        <w:t xml:space="preserve">Undertaking an inquiry into military sexual violence in response to a request from the Minister for Veterans’ Affairs and Defence Personnel made under section 110ZFB of the </w:t>
      </w:r>
      <w:r w:rsidRPr="003E76E7">
        <w:rPr>
          <w:i/>
        </w:rPr>
        <w:t>Defence Act 1903</w:t>
      </w:r>
      <w:r w:rsidRPr="003E76E7">
        <w:t>. This inquiry will imple</w:t>
      </w:r>
      <w:r w:rsidR="00B665C8">
        <w:t>ment RCDVS recommendation 25; and</w:t>
      </w:r>
    </w:p>
    <w:p w14:paraId="0321DC99" w14:textId="77777777" w:rsidR="00147F58" w:rsidRPr="003E76E7" w:rsidRDefault="00147F58" w:rsidP="00C4292D">
      <w:pPr>
        <w:numPr>
          <w:ilvl w:val="0"/>
          <w:numId w:val="71"/>
        </w:numPr>
        <w:tabs>
          <w:tab w:val="left" w:pos="284"/>
        </w:tabs>
        <w:spacing w:before="60" w:after="60"/>
        <w:ind w:left="284" w:hanging="284"/>
      </w:pPr>
      <w:r w:rsidRPr="003E76E7">
        <w:t>Engaging with people who have an interest in, and who can provide insights to inform the work of the DVSC including ex-service organisations, government entities, people with lived experience and researchers. The establishment of the Commissioner’s Advisory Group will provide a direct line of engagement with people with lived experience and those with relevant research, health, data and policy expertise.</w:t>
      </w:r>
    </w:p>
    <w:p w14:paraId="44481E3C" w14:textId="762340D2" w:rsidR="00ED4EF4" w:rsidRPr="003E76E7" w:rsidRDefault="00ED4EF4" w:rsidP="00C4292D">
      <w:pPr>
        <w:pStyle w:val="NormalWeb"/>
        <w:spacing w:before="0"/>
        <w:rPr>
          <w:lang w:val="en-AU"/>
        </w:rPr>
      </w:pPr>
      <w:r w:rsidRPr="003E76E7">
        <w:br w:type="page"/>
      </w:r>
      <w:r w:rsidRPr="003E76E7">
        <w:rPr>
          <w:rFonts w:ascii="Arial" w:hAnsi="Arial"/>
          <w:b/>
          <w:bCs/>
          <w:sz w:val="22"/>
          <w:szCs w:val="28"/>
          <w:lang w:val="en-AU"/>
        </w:rPr>
        <w:lastRenderedPageBreak/>
        <w:t>DVSC Organisational Structure</w:t>
      </w:r>
    </w:p>
    <w:p w14:paraId="1DBCADFA" w14:textId="580DECDD" w:rsidR="00ED4EF4" w:rsidRPr="003E76E7" w:rsidRDefault="00ED4EF4" w:rsidP="00C4292D">
      <w:pPr>
        <w:pStyle w:val="FigureHeading"/>
        <w:numPr>
          <w:ilvl w:val="0"/>
          <w:numId w:val="58"/>
        </w:numPr>
        <w:tabs>
          <w:tab w:val="num" w:pos="142"/>
          <w:tab w:val="num" w:pos="426"/>
        </w:tabs>
        <w:ind w:hanging="640"/>
        <w:outlineLvl w:val="4"/>
        <w:rPr>
          <w:lang w:val="en-AU"/>
        </w:rPr>
      </w:pPr>
      <w:r w:rsidRPr="003E76E7">
        <w:rPr>
          <w:lang w:val="en-AU"/>
        </w:rPr>
        <w:t>DVSC Organisational Chart</w:t>
      </w:r>
    </w:p>
    <w:p w14:paraId="45DBA711" w14:textId="77777777" w:rsidR="00147F58" w:rsidRPr="003E76E7" w:rsidRDefault="00147F58" w:rsidP="00C4292D">
      <w:pPr>
        <w:spacing w:before="60" w:after="60" w:line="256" w:lineRule="auto"/>
        <w:rPr>
          <w:rFonts w:cs="Calibri"/>
          <w:color w:val="000000"/>
          <w:szCs w:val="20"/>
        </w:rPr>
      </w:pPr>
      <w:r w:rsidRPr="003E76E7">
        <w:rPr>
          <w:rFonts w:cs="Calibri"/>
          <w:color w:val="000000"/>
          <w:szCs w:val="20"/>
        </w:rPr>
        <w:t xml:space="preserve">The chart below </w:t>
      </w:r>
      <w:r w:rsidRPr="003E76E7">
        <w:t>shows</w:t>
      </w:r>
      <w:r w:rsidRPr="003E76E7">
        <w:rPr>
          <w:rFonts w:cs="Calibri"/>
          <w:color w:val="000000"/>
          <w:szCs w:val="20"/>
        </w:rPr>
        <w:t xml:space="preserve"> positions occupied by DVSC’s Senior Executive Service.</w:t>
      </w:r>
    </w:p>
    <w:p w14:paraId="16A502A2" w14:textId="77777777" w:rsidR="00147F58" w:rsidRPr="003E76E7" w:rsidRDefault="00147F58" w:rsidP="00C4292D">
      <w:pPr>
        <w:pStyle w:val="FigureHeading"/>
        <w:numPr>
          <w:ilvl w:val="0"/>
          <w:numId w:val="0"/>
        </w:numPr>
        <w:tabs>
          <w:tab w:val="left" w:pos="720"/>
        </w:tabs>
        <w:rPr>
          <w:rFonts w:ascii="Book Antiqua" w:hAnsi="Book Antiqua" w:cs="Calibri"/>
          <w:b w:val="0"/>
          <w:color w:val="000000"/>
          <w:szCs w:val="20"/>
        </w:rPr>
      </w:pPr>
    </w:p>
    <w:p w14:paraId="5362B0F4" w14:textId="760B23F6" w:rsidR="00147F58" w:rsidRPr="003E76E7" w:rsidRDefault="006C3735" w:rsidP="00C4292D">
      <w:pPr>
        <w:pStyle w:val="FigureHeading"/>
        <w:numPr>
          <w:ilvl w:val="0"/>
          <w:numId w:val="0"/>
        </w:numPr>
        <w:tabs>
          <w:tab w:val="left" w:pos="720"/>
        </w:tabs>
        <w:rPr>
          <w:rFonts w:ascii="Book Antiqua" w:hAnsi="Book Antiqua" w:cs="Calibri"/>
          <w:b w:val="0"/>
          <w:color w:val="000000"/>
          <w:szCs w:val="20"/>
        </w:rPr>
      </w:pPr>
      <w:r w:rsidRPr="003E76E7">
        <w:rPr>
          <w:rFonts w:cs="Calibri"/>
          <w:noProof/>
          <w:color w:val="000000"/>
          <w:szCs w:val="20"/>
          <w:lang w:val="en-AU"/>
        </w:rPr>
        <w:drawing>
          <wp:inline distT="0" distB="0" distL="0" distR="0" wp14:anchorId="202DCFD8" wp14:editId="61989C53">
            <wp:extent cx="5472430" cy="1888490"/>
            <wp:effectExtent l="0" t="0" r="0" b="0"/>
            <wp:docPr id="6548167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5472430" cy="1888490"/>
                    </a:xfrm>
                    <a:prstGeom prst="rect">
                      <a:avLst/>
                    </a:prstGeom>
                    <a:noFill/>
                    <a:ln>
                      <a:noFill/>
                    </a:ln>
                  </pic:spPr>
                </pic:pic>
              </a:graphicData>
            </a:graphic>
          </wp:inline>
        </w:drawing>
      </w:r>
    </w:p>
    <w:p w14:paraId="0E5754A4" w14:textId="79EF1C61" w:rsidR="00147F58" w:rsidRPr="003E76E7" w:rsidRDefault="00147F58" w:rsidP="00C4292D">
      <w:pPr>
        <w:spacing w:before="60" w:after="60" w:line="256" w:lineRule="auto"/>
        <w:rPr>
          <w:rFonts w:cs="Calibri"/>
          <w:color w:val="000000"/>
        </w:rPr>
      </w:pPr>
      <w:r w:rsidRPr="003E76E7">
        <w:rPr>
          <w:rFonts w:cs="Calibri"/>
          <w:color w:val="000000" w:themeColor="text1"/>
        </w:rPr>
        <w:t xml:space="preserve">This </w:t>
      </w:r>
      <w:r w:rsidRPr="003E76E7">
        <w:t>Organisational</w:t>
      </w:r>
      <w:r w:rsidRPr="003E76E7">
        <w:rPr>
          <w:rFonts w:cs="Calibri"/>
          <w:color w:val="000000" w:themeColor="text1"/>
        </w:rPr>
        <w:t xml:space="preserve"> Chart is </w:t>
      </w:r>
      <w:bookmarkStart w:id="2401" w:name="_Int_4lG1mCNO"/>
      <w:r w:rsidRPr="003E76E7">
        <w:rPr>
          <w:rFonts w:cs="Calibri"/>
          <w:color w:val="000000" w:themeColor="text1"/>
        </w:rPr>
        <w:t>effective as</w:t>
      </w:r>
      <w:bookmarkEnd w:id="2401"/>
      <w:r w:rsidRPr="003E76E7">
        <w:rPr>
          <w:rFonts w:cs="Calibri"/>
          <w:color w:val="000000" w:themeColor="text1"/>
        </w:rPr>
        <w:t xml:space="preserve"> at the time of this publication release.</w:t>
      </w:r>
    </w:p>
    <w:p w14:paraId="65209EBC" w14:textId="77777777" w:rsidR="00147F58" w:rsidRPr="003E76E7" w:rsidRDefault="00147F58" w:rsidP="00C4292D">
      <w:pPr>
        <w:pStyle w:val="FigureHeading"/>
        <w:numPr>
          <w:ilvl w:val="0"/>
          <w:numId w:val="0"/>
        </w:numPr>
        <w:tabs>
          <w:tab w:val="left" w:pos="720"/>
        </w:tabs>
        <w:spacing w:before="0" w:after="0"/>
        <w:rPr>
          <w:rFonts w:ascii="Book Antiqua" w:hAnsi="Book Antiqua" w:cs="Calibri"/>
          <w:b w:val="0"/>
          <w:color w:val="000000"/>
        </w:rPr>
      </w:pPr>
    </w:p>
    <w:p w14:paraId="55F32924" w14:textId="77777777" w:rsidR="00147F58" w:rsidRPr="003E76E7" w:rsidRDefault="00147F58" w:rsidP="00C4292D">
      <w:pPr>
        <w:pStyle w:val="FigureHeading"/>
        <w:numPr>
          <w:ilvl w:val="0"/>
          <w:numId w:val="0"/>
        </w:numPr>
        <w:tabs>
          <w:tab w:val="left" w:pos="720"/>
        </w:tabs>
        <w:spacing w:after="0"/>
        <w:rPr>
          <w:rFonts w:ascii="Arial Bold" w:hAnsi="Arial Bold" w:cs="Times New Roman"/>
          <w:bCs/>
        </w:rPr>
      </w:pPr>
      <w:r w:rsidRPr="003E76E7">
        <w:rPr>
          <w:rFonts w:ascii="Arial Bold" w:hAnsi="Arial Bold" w:cs="Times New Roman"/>
          <w:bCs/>
        </w:rPr>
        <w:t>Organisational Structure</w:t>
      </w:r>
    </w:p>
    <w:p w14:paraId="54B177BF" w14:textId="471AE0E4" w:rsidR="00147F58" w:rsidRPr="003E76E7" w:rsidRDefault="00147F58" w:rsidP="00C4292D">
      <w:pPr>
        <w:spacing w:before="60" w:after="60" w:line="256" w:lineRule="auto"/>
        <w:rPr>
          <w:rFonts w:cs="Calibri"/>
          <w:color w:val="000000"/>
          <w:szCs w:val="20"/>
        </w:rPr>
      </w:pPr>
      <w:r w:rsidRPr="003E76E7">
        <w:rPr>
          <w:rFonts w:cs="Calibri"/>
          <w:color w:val="000000"/>
          <w:szCs w:val="20"/>
        </w:rPr>
        <w:t xml:space="preserve">The DVSC is an </w:t>
      </w:r>
      <w:r w:rsidRPr="003E76E7">
        <w:t>independent</w:t>
      </w:r>
      <w:r w:rsidRPr="003E76E7">
        <w:rPr>
          <w:rFonts w:cs="Calibri"/>
          <w:color w:val="000000"/>
          <w:szCs w:val="20"/>
        </w:rPr>
        <w:t xml:space="preserve"> oversight agency. The DVSC is led by the Defence and Veterans’ Service </w:t>
      </w:r>
      <w:r w:rsidRPr="003E76E7">
        <w:t>Commissioner</w:t>
      </w:r>
      <w:r w:rsidRPr="003E76E7">
        <w:rPr>
          <w:rFonts w:cs="Calibri"/>
          <w:color w:val="000000"/>
          <w:szCs w:val="20"/>
        </w:rPr>
        <w:t>. The Commissioner is supported by the Deputy Commissioner and Assistant Commissioners.</w:t>
      </w:r>
    </w:p>
    <w:p w14:paraId="6D3263B1" w14:textId="77777777" w:rsidR="00246507" w:rsidRPr="003E76E7" w:rsidRDefault="00246507" w:rsidP="00C4292D">
      <w:pPr>
        <w:pStyle w:val="FigureHeading"/>
        <w:numPr>
          <w:ilvl w:val="0"/>
          <w:numId w:val="0"/>
        </w:numPr>
        <w:tabs>
          <w:tab w:val="left" w:pos="720"/>
        </w:tabs>
        <w:spacing w:before="0" w:after="0"/>
        <w:rPr>
          <w:rFonts w:ascii="Book Antiqua" w:hAnsi="Book Antiqua" w:cs="Calibri"/>
          <w:b w:val="0"/>
          <w:color w:val="000000"/>
          <w:szCs w:val="20"/>
        </w:rPr>
      </w:pPr>
    </w:p>
    <w:p w14:paraId="30143C47" w14:textId="77777777" w:rsidR="00147F58" w:rsidRPr="003E76E7" w:rsidRDefault="00147F58" w:rsidP="00C4292D">
      <w:pPr>
        <w:pStyle w:val="FigureHeading"/>
        <w:numPr>
          <w:ilvl w:val="0"/>
          <w:numId w:val="0"/>
        </w:numPr>
        <w:spacing w:after="0"/>
        <w:rPr>
          <w:rFonts w:ascii="Arial Bold" w:hAnsi="Arial Bold" w:cs="Times New Roman"/>
          <w:bCs/>
        </w:rPr>
      </w:pPr>
      <w:r w:rsidRPr="003E76E7">
        <w:rPr>
          <w:rFonts w:ascii="Arial Bold" w:hAnsi="Arial Bold" w:cs="Times New Roman"/>
          <w:bCs/>
        </w:rPr>
        <w:t>Senior Executive Changes</w:t>
      </w:r>
    </w:p>
    <w:p w14:paraId="6E3F8763" w14:textId="05796857" w:rsidR="00147F58" w:rsidRPr="003E76E7" w:rsidRDefault="00147F58" w:rsidP="00C4292D">
      <w:pPr>
        <w:pStyle w:val="FigureHeading"/>
        <w:numPr>
          <w:ilvl w:val="0"/>
          <w:numId w:val="73"/>
        </w:numPr>
        <w:tabs>
          <w:tab w:val="left" w:pos="356"/>
        </w:tabs>
        <w:spacing w:before="60" w:after="60"/>
        <w:ind w:left="284" w:hanging="284"/>
        <w:rPr>
          <w:rFonts w:ascii="Book Antiqua" w:hAnsi="Book Antiqua" w:cs="Calibri"/>
          <w:b w:val="0"/>
          <w:color w:val="000000"/>
          <w:szCs w:val="20"/>
        </w:rPr>
      </w:pPr>
      <w:r w:rsidRPr="003E76E7">
        <w:rPr>
          <w:rFonts w:ascii="Book Antiqua" w:hAnsi="Book Antiqua" w:cs="Calibri"/>
          <w:b w:val="0"/>
          <w:color w:val="000000"/>
          <w:szCs w:val="20"/>
        </w:rPr>
        <w:t xml:space="preserve">Ms Catherine Seaberg commenced as Assistant Commissioner Inquiries and Legal on </w:t>
      </w:r>
      <w:r w:rsidRPr="003E76E7">
        <w:rPr>
          <w:rFonts w:ascii="Book Antiqua" w:hAnsi="Book Antiqua" w:cs="Calibri"/>
          <w:b w:val="0"/>
          <w:color w:val="000000"/>
          <w:szCs w:val="20"/>
        </w:rPr>
        <w:br/>
        <w:t xml:space="preserve">27 January 2026. </w:t>
      </w:r>
    </w:p>
    <w:p w14:paraId="1DA49438" w14:textId="75DD2C7D" w:rsidR="006C3735" w:rsidRPr="003E76E7" w:rsidRDefault="006C3735" w:rsidP="00C4292D">
      <w:pPr>
        <w:pStyle w:val="FigureHeading"/>
        <w:numPr>
          <w:ilvl w:val="0"/>
          <w:numId w:val="73"/>
        </w:numPr>
        <w:tabs>
          <w:tab w:val="left" w:pos="356"/>
        </w:tabs>
        <w:spacing w:before="60" w:after="60"/>
        <w:ind w:left="284" w:hanging="284"/>
        <w:rPr>
          <w:rFonts w:ascii="Book Antiqua" w:hAnsi="Book Antiqua" w:cs="Calibri"/>
          <w:b w:val="0"/>
          <w:color w:val="000000"/>
          <w:szCs w:val="20"/>
        </w:rPr>
      </w:pPr>
      <w:r w:rsidRPr="003E76E7">
        <w:rPr>
          <w:rFonts w:ascii="Book Antiqua" w:hAnsi="Book Antiqua" w:cs="Calibri"/>
          <w:b w:val="0"/>
          <w:color w:val="000000"/>
          <w:szCs w:val="20"/>
        </w:rPr>
        <w:t>Ms Dianne Orr commenced as Assistant Commissioner, Oversight and Engagement on</w:t>
      </w:r>
      <w:r w:rsidR="00541AC0" w:rsidRPr="003E76E7">
        <w:rPr>
          <w:rFonts w:ascii="Book Antiqua" w:hAnsi="Book Antiqua" w:cs="Calibri"/>
          <w:b w:val="0"/>
          <w:color w:val="000000"/>
          <w:szCs w:val="20"/>
        </w:rPr>
        <w:br/>
      </w:r>
      <w:r w:rsidRPr="003E76E7">
        <w:rPr>
          <w:rFonts w:ascii="Book Antiqua" w:hAnsi="Book Antiqua" w:cs="Calibri"/>
          <w:b w:val="0"/>
          <w:color w:val="000000"/>
          <w:szCs w:val="20"/>
        </w:rPr>
        <w:t>20 April 2026.</w:t>
      </w:r>
    </w:p>
    <w:p w14:paraId="08585E78" w14:textId="77777777" w:rsidR="00B672BF" w:rsidRPr="003E76E7" w:rsidRDefault="00B672BF" w:rsidP="00C4292D">
      <w:pPr>
        <w:rPr>
          <w:rFonts w:ascii="Arial Bold" w:hAnsi="Arial Bold" w:cs="Times New Roman"/>
          <w:b/>
          <w:bCs/>
        </w:rPr>
      </w:pPr>
    </w:p>
    <w:p w14:paraId="2DA4DBDA" w14:textId="03D47C17" w:rsidR="00ED4EF4" w:rsidRPr="003E76E7" w:rsidRDefault="00ED4EF4" w:rsidP="00C4292D">
      <w:pPr>
        <w:pStyle w:val="Heading4"/>
        <w:rPr>
          <w:rFonts w:ascii="Arial Bold" w:hAnsi="Arial Bold"/>
          <w:sz w:val="24"/>
        </w:rPr>
      </w:pPr>
      <w:r w:rsidRPr="003E76E7">
        <w:br w:type="page"/>
      </w:r>
      <w:bookmarkStart w:id="2402" w:name="_Toc225941611"/>
      <w:bookmarkStart w:id="2403" w:name="_Toc227334428"/>
      <w:bookmarkStart w:id="2404" w:name="_Toc229072503"/>
      <w:bookmarkStart w:id="2405" w:name="_Toc229072675"/>
      <w:r w:rsidRPr="003E76E7">
        <w:rPr>
          <w:sz w:val="26"/>
          <w:szCs w:val="26"/>
          <w:lang w:val="en-AU"/>
        </w:rPr>
        <w:lastRenderedPageBreak/>
        <w:t>1.2 DVSC Resource Statement</w:t>
      </w:r>
      <w:bookmarkEnd w:id="2402"/>
      <w:bookmarkEnd w:id="2403"/>
      <w:bookmarkEnd w:id="2404"/>
      <w:bookmarkEnd w:id="2405"/>
    </w:p>
    <w:p w14:paraId="2892F431" w14:textId="61B56F2A" w:rsidR="00ED4EF4" w:rsidRPr="003E76E7" w:rsidRDefault="00ED4EF4" w:rsidP="00C4292D">
      <w:pPr>
        <w:pStyle w:val="TableHeading"/>
        <w:numPr>
          <w:ilvl w:val="0"/>
          <w:numId w:val="101"/>
        </w:numPr>
        <w:spacing w:before="100"/>
        <w:ind w:left="284" w:hanging="284"/>
        <w:outlineLvl w:val="4"/>
        <w:rPr>
          <w:szCs w:val="20"/>
        </w:rPr>
      </w:pPr>
      <w:r w:rsidRPr="003E76E7">
        <w:rPr>
          <w:szCs w:val="20"/>
        </w:rPr>
        <w:t xml:space="preserve">DVSC Resource Statement </w:t>
      </w:r>
      <w:r w:rsidR="00722810" w:rsidRPr="003E76E7">
        <w:rPr>
          <w:szCs w:val="20"/>
        </w:rPr>
        <w:t>-</w:t>
      </w:r>
      <w:r w:rsidRPr="003E76E7">
        <w:rPr>
          <w:szCs w:val="20"/>
        </w:rPr>
        <w:t xml:space="preserve"> Budget Estimates for 2026-27 </w:t>
      </w:r>
      <w:r w:rsidR="0065734E" w:rsidRPr="003E76E7">
        <w:rPr>
          <w:szCs w:val="20"/>
        </w:rPr>
        <w:t>as at May 2026</w:t>
      </w:r>
      <w:r w:rsidR="0065734E" w:rsidRPr="003E76E7">
        <w:rPr>
          <w:szCs w:val="20"/>
          <w:vertAlign w:val="superscript"/>
        </w:rPr>
        <w:t xml:space="preserve"> [a] [b] [c]</w:t>
      </w:r>
    </w:p>
    <w:p w14:paraId="28AEC5E8" w14:textId="36D82093" w:rsidR="00ED4EF4" w:rsidRPr="003E76E7" w:rsidRDefault="00911BD2" w:rsidP="00C4292D">
      <w:pPr>
        <w:spacing w:after="0"/>
      </w:pPr>
      <w:r w:rsidRPr="00911BD2">
        <w:rPr>
          <w:noProof/>
          <w:lang w:val="en-AU"/>
        </w:rPr>
        <w:drawing>
          <wp:inline distT="0" distB="0" distL="0" distR="0" wp14:anchorId="22B9F816" wp14:editId="3371D7CD">
            <wp:extent cx="5472430" cy="166008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472430" cy="1660083"/>
                    </a:xfrm>
                    <a:prstGeom prst="rect">
                      <a:avLst/>
                    </a:prstGeom>
                    <a:noFill/>
                    <a:ln>
                      <a:noFill/>
                    </a:ln>
                  </pic:spPr>
                </pic:pic>
              </a:graphicData>
            </a:graphic>
          </wp:inline>
        </w:drawing>
      </w:r>
    </w:p>
    <w:p w14:paraId="53EB2168" w14:textId="3C99DA3F" w:rsidR="00ED4EF4" w:rsidRPr="003E76E7" w:rsidRDefault="00ED4EF4" w:rsidP="00C4292D">
      <w:pPr>
        <w:spacing w:before="0" w:after="0"/>
        <w:rPr>
          <w:rFonts w:ascii="Arial" w:hAnsi="Arial"/>
          <w:b/>
          <w:sz w:val="14"/>
          <w:szCs w:val="14"/>
        </w:rPr>
      </w:pPr>
    </w:p>
    <w:p w14:paraId="75567814" w14:textId="6ABE22D0" w:rsidR="003074EB" w:rsidRPr="003E76E7" w:rsidRDefault="003074EB" w:rsidP="00C4292D">
      <w:pPr>
        <w:spacing w:before="0" w:after="0"/>
        <w:rPr>
          <w:rFonts w:ascii="Arial" w:hAnsi="Arial"/>
          <w:b/>
          <w:sz w:val="14"/>
          <w:szCs w:val="14"/>
        </w:rPr>
      </w:pPr>
      <w:r w:rsidRPr="003E76E7">
        <w:rPr>
          <w:rFonts w:ascii="Arial" w:hAnsi="Arial"/>
          <w:b/>
          <w:sz w:val="14"/>
          <w:szCs w:val="14"/>
        </w:rPr>
        <w:t>Note</w:t>
      </w:r>
      <w:r w:rsidR="00D57D28" w:rsidRPr="003E76E7">
        <w:rPr>
          <w:rFonts w:ascii="Arial" w:hAnsi="Arial"/>
          <w:b/>
          <w:sz w:val="14"/>
          <w:szCs w:val="14"/>
        </w:rPr>
        <w:t>s</w:t>
      </w:r>
    </w:p>
    <w:p w14:paraId="271BF513" w14:textId="316FCDAB" w:rsidR="00A73E2E" w:rsidRPr="003E76E7" w:rsidRDefault="00A73E2E" w:rsidP="00C4292D">
      <w:pPr>
        <w:pStyle w:val="BodyText"/>
        <w:spacing w:before="0" w:after="0"/>
        <w:ind w:left="284" w:hanging="284"/>
        <w:rPr>
          <w:rFonts w:ascii="Arial" w:hAnsi="Arial"/>
          <w:sz w:val="14"/>
          <w:szCs w:val="14"/>
        </w:rPr>
      </w:pPr>
      <w:r w:rsidRPr="003E76E7">
        <w:rPr>
          <w:rFonts w:ascii="Arial" w:hAnsi="Arial"/>
          <w:sz w:val="14"/>
          <w:szCs w:val="14"/>
        </w:rPr>
        <w:t>a.</w:t>
      </w:r>
      <w:r w:rsidRPr="003E76E7">
        <w:rPr>
          <w:rFonts w:ascii="Arial" w:hAnsi="Arial"/>
          <w:sz w:val="14"/>
          <w:szCs w:val="14"/>
        </w:rPr>
        <w:tab/>
      </w:r>
      <w:r w:rsidRPr="003E76E7">
        <w:rPr>
          <w:rFonts w:ascii="Arial" w:hAnsi="Arial"/>
          <w:sz w:val="14"/>
          <w:szCs w:val="14"/>
        </w:rPr>
        <w:tab/>
      </w:r>
      <w:r w:rsidRPr="003E76E7">
        <w:rPr>
          <w:rFonts w:ascii="Arial" w:hAnsi="Arial"/>
          <w:sz w:val="14"/>
          <w:szCs w:val="14"/>
        </w:rPr>
        <w:tab/>
        <w:t>Prepared on a resourcing (i.e. appropriations available) basis.</w:t>
      </w:r>
    </w:p>
    <w:p w14:paraId="7695A6C5" w14:textId="58D9C0B3" w:rsidR="00A73E2E" w:rsidRPr="003E76E7" w:rsidRDefault="00A73E2E" w:rsidP="00C4292D">
      <w:pPr>
        <w:pStyle w:val="BodyText"/>
        <w:spacing w:before="0" w:after="0"/>
        <w:ind w:left="284" w:hanging="284"/>
        <w:rPr>
          <w:rFonts w:ascii="Arial" w:hAnsi="Arial"/>
          <w:sz w:val="14"/>
          <w:szCs w:val="14"/>
        </w:rPr>
      </w:pPr>
      <w:r w:rsidRPr="003E76E7">
        <w:rPr>
          <w:rFonts w:ascii="Arial" w:hAnsi="Arial"/>
          <w:sz w:val="14"/>
          <w:szCs w:val="14"/>
        </w:rPr>
        <w:t>b.</w:t>
      </w:r>
      <w:r w:rsidRPr="003E76E7">
        <w:rPr>
          <w:rFonts w:ascii="Arial" w:hAnsi="Arial"/>
          <w:sz w:val="14"/>
          <w:szCs w:val="14"/>
        </w:rPr>
        <w:tab/>
        <w:t>All figures shown above are GST exclusive - these may not match figures in the cash flow statement.</w:t>
      </w:r>
    </w:p>
    <w:p w14:paraId="662BDA10" w14:textId="42E4580D" w:rsidR="00A73E2E" w:rsidRPr="003E76E7" w:rsidRDefault="00A73E2E" w:rsidP="00C4292D">
      <w:pPr>
        <w:pStyle w:val="BodyText"/>
        <w:spacing w:before="0" w:after="0"/>
        <w:ind w:left="284" w:hanging="284"/>
        <w:rPr>
          <w:rFonts w:ascii="Arial" w:hAnsi="Arial"/>
          <w:sz w:val="14"/>
          <w:szCs w:val="14"/>
        </w:rPr>
      </w:pPr>
      <w:r w:rsidRPr="003E76E7">
        <w:rPr>
          <w:rFonts w:ascii="Arial" w:hAnsi="Arial"/>
          <w:sz w:val="14"/>
          <w:szCs w:val="14"/>
        </w:rPr>
        <w:t>c.</w:t>
      </w:r>
      <w:r w:rsidRPr="003E76E7">
        <w:rPr>
          <w:rFonts w:ascii="Arial" w:hAnsi="Arial"/>
          <w:sz w:val="14"/>
          <w:szCs w:val="14"/>
        </w:rPr>
        <w:tab/>
        <w:t>Annual appropriation amounts reported are inclusive of Supply Bill arrangements.</w:t>
      </w:r>
    </w:p>
    <w:p w14:paraId="3B597373" w14:textId="0E06F291" w:rsidR="00A73E2E" w:rsidRPr="003E76E7" w:rsidRDefault="0065734E" w:rsidP="00C4292D">
      <w:pPr>
        <w:pStyle w:val="BodyText"/>
        <w:spacing w:before="0" w:after="0"/>
        <w:ind w:left="284" w:hanging="284"/>
        <w:rPr>
          <w:rFonts w:ascii="Arial" w:hAnsi="Arial"/>
          <w:sz w:val="14"/>
          <w:szCs w:val="14"/>
        </w:rPr>
      </w:pPr>
      <w:r w:rsidRPr="003E76E7">
        <w:rPr>
          <w:rFonts w:ascii="Arial" w:hAnsi="Arial"/>
          <w:sz w:val="14"/>
          <w:szCs w:val="14"/>
        </w:rPr>
        <w:t>d.</w:t>
      </w:r>
      <w:r w:rsidRPr="003E76E7">
        <w:rPr>
          <w:rFonts w:ascii="Arial" w:hAnsi="Arial"/>
          <w:sz w:val="14"/>
          <w:szCs w:val="14"/>
        </w:rPr>
        <w:tab/>
      </w:r>
      <w:r w:rsidRPr="003E76E7">
        <w:rPr>
          <w:rFonts w:ascii="Arial" w:hAnsi="Arial"/>
          <w:sz w:val="14"/>
          <w:szCs w:val="14"/>
        </w:rPr>
        <w:tab/>
      </w:r>
      <w:r w:rsidR="00A73E2E" w:rsidRPr="003E76E7">
        <w:rPr>
          <w:rFonts w:ascii="Arial" w:hAnsi="Arial"/>
          <w:sz w:val="14"/>
          <w:szCs w:val="14"/>
        </w:rPr>
        <w:t>Appropriation Bill (No. 1) 2026-2027.</w:t>
      </w:r>
    </w:p>
    <w:p w14:paraId="71AEE23C" w14:textId="643B2FCD" w:rsidR="00A73E2E" w:rsidRPr="003E76E7" w:rsidRDefault="0065734E" w:rsidP="00C4292D">
      <w:pPr>
        <w:pStyle w:val="BodyText"/>
        <w:spacing w:before="0" w:after="0"/>
        <w:ind w:left="284" w:hanging="284"/>
        <w:rPr>
          <w:rFonts w:ascii="Arial" w:hAnsi="Arial"/>
          <w:sz w:val="14"/>
          <w:szCs w:val="14"/>
        </w:rPr>
      </w:pPr>
      <w:r w:rsidRPr="003E76E7">
        <w:rPr>
          <w:rFonts w:ascii="Arial" w:hAnsi="Arial"/>
          <w:sz w:val="14"/>
          <w:szCs w:val="14"/>
        </w:rPr>
        <w:t>e.</w:t>
      </w:r>
      <w:r w:rsidRPr="003E76E7">
        <w:rPr>
          <w:rFonts w:ascii="Arial" w:hAnsi="Arial"/>
          <w:sz w:val="14"/>
          <w:szCs w:val="14"/>
        </w:rPr>
        <w:tab/>
      </w:r>
      <w:r w:rsidR="00A73E2E" w:rsidRPr="003E76E7">
        <w:rPr>
          <w:rFonts w:ascii="Arial" w:hAnsi="Arial"/>
          <w:sz w:val="14"/>
          <w:szCs w:val="14"/>
        </w:rPr>
        <w:t>Excludes Departmental Capital Budget (DCB).</w:t>
      </w:r>
    </w:p>
    <w:p w14:paraId="686E841C" w14:textId="43DECC16" w:rsidR="00A73E2E" w:rsidRPr="003E76E7" w:rsidRDefault="0065734E" w:rsidP="00C4292D">
      <w:pPr>
        <w:pStyle w:val="BodyText"/>
        <w:spacing w:before="0" w:after="0"/>
        <w:ind w:left="284" w:hanging="284"/>
      </w:pPr>
      <w:r w:rsidRPr="003E76E7">
        <w:rPr>
          <w:rFonts w:ascii="Arial" w:hAnsi="Arial"/>
          <w:sz w:val="14"/>
          <w:szCs w:val="14"/>
        </w:rPr>
        <w:t>f.</w:t>
      </w:r>
      <w:r w:rsidRPr="003E76E7">
        <w:rPr>
          <w:rFonts w:ascii="Arial" w:hAnsi="Arial"/>
          <w:sz w:val="14"/>
          <w:szCs w:val="14"/>
        </w:rPr>
        <w:tab/>
      </w:r>
      <w:r w:rsidR="00A73E2E" w:rsidRPr="003E76E7">
        <w:rPr>
          <w:rFonts w:ascii="Arial" w:hAnsi="Arial"/>
          <w:sz w:val="14"/>
          <w:szCs w:val="14"/>
        </w:rPr>
        <w:t xml:space="preserve">DCB </w:t>
      </w:r>
      <w:r w:rsidR="00A516F7">
        <w:rPr>
          <w:rFonts w:ascii="Arial" w:hAnsi="Arial"/>
          <w:sz w:val="14"/>
          <w:szCs w:val="14"/>
        </w:rPr>
        <w:t>is</w:t>
      </w:r>
      <w:r w:rsidR="00A73E2E" w:rsidRPr="003E76E7">
        <w:rPr>
          <w:rFonts w:ascii="Arial" w:hAnsi="Arial"/>
          <w:sz w:val="14"/>
          <w:szCs w:val="14"/>
        </w:rPr>
        <w:t xml:space="preserve"> not separately identified in Appropriation Bill (No.1) and form</w:t>
      </w:r>
      <w:r w:rsidR="00A516F7">
        <w:rPr>
          <w:rFonts w:ascii="Arial" w:hAnsi="Arial"/>
          <w:sz w:val="14"/>
          <w:szCs w:val="14"/>
        </w:rPr>
        <w:t>s</w:t>
      </w:r>
      <w:r w:rsidR="00A73E2E" w:rsidRPr="003E76E7">
        <w:rPr>
          <w:rFonts w:ascii="Arial" w:hAnsi="Arial"/>
          <w:sz w:val="14"/>
          <w:szCs w:val="14"/>
        </w:rPr>
        <w:t xml:space="preserve"> part of ordinary annual services </w:t>
      </w:r>
      <w:r w:rsidR="00A27FD3">
        <w:rPr>
          <w:rFonts w:ascii="Arial" w:hAnsi="Arial"/>
          <w:sz w:val="14"/>
          <w:szCs w:val="14"/>
        </w:rPr>
        <w:t>items. Please refer to Table 10</w:t>
      </w:r>
      <w:r w:rsidR="00A73E2E" w:rsidRPr="003E76E7">
        <w:rPr>
          <w:rFonts w:ascii="Arial" w:hAnsi="Arial"/>
          <w:sz w:val="14"/>
          <w:szCs w:val="14"/>
        </w:rPr>
        <w:t xml:space="preserve"> for further details. For accounting purposes, capital budget appropriations have been designated as a 'contribution by owner'.</w:t>
      </w:r>
    </w:p>
    <w:p w14:paraId="7E6D8199" w14:textId="05B4E265" w:rsidR="00ED4EF4" w:rsidRPr="003E76E7" w:rsidRDefault="00ED4EF4" w:rsidP="00C4292D">
      <w:pPr>
        <w:pStyle w:val="Heading4"/>
        <w:rPr>
          <w:sz w:val="24"/>
          <w:szCs w:val="24"/>
        </w:rPr>
      </w:pPr>
      <w:r w:rsidRPr="003E76E7">
        <w:rPr>
          <w:lang w:val="en-AU"/>
        </w:rPr>
        <w:br w:type="page"/>
      </w:r>
      <w:bookmarkStart w:id="2406" w:name="_Toc222129988"/>
      <w:bookmarkStart w:id="2407" w:name="_Toc222148410"/>
      <w:bookmarkStart w:id="2408" w:name="_Toc225848038"/>
      <w:bookmarkStart w:id="2409" w:name="_Toc225848121"/>
      <w:bookmarkStart w:id="2410" w:name="_Toc225848204"/>
      <w:bookmarkStart w:id="2411" w:name="_Toc225941612"/>
      <w:bookmarkStart w:id="2412" w:name="_Toc227334429"/>
      <w:bookmarkStart w:id="2413" w:name="_Toc229072504"/>
      <w:bookmarkStart w:id="2414" w:name="_Toc229072676"/>
      <w:r w:rsidRPr="003E76E7">
        <w:rPr>
          <w:sz w:val="24"/>
          <w:szCs w:val="24"/>
        </w:rPr>
        <w:lastRenderedPageBreak/>
        <w:t>1.3 Budget Measures</w:t>
      </w:r>
      <w:bookmarkEnd w:id="2406"/>
      <w:bookmarkEnd w:id="2407"/>
      <w:bookmarkEnd w:id="2408"/>
      <w:bookmarkEnd w:id="2409"/>
      <w:bookmarkEnd w:id="2410"/>
      <w:bookmarkEnd w:id="2411"/>
      <w:bookmarkEnd w:id="2412"/>
      <w:bookmarkEnd w:id="2413"/>
      <w:bookmarkEnd w:id="2414"/>
    </w:p>
    <w:p w14:paraId="4A11BD39" w14:textId="77777777" w:rsidR="00ED4EF4" w:rsidRPr="003E76E7" w:rsidRDefault="00ED4EF4" w:rsidP="00C4292D">
      <w:pPr>
        <w:pStyle w:val="Heading4level5"/>
        <w:spacing w:before="100" w:after="100"/>
      </w:pPr>
      <w:r w:rsidRPr="003E76E7">
        <w:t>2026-27 Budget Measures and Other Budget Adjustments</w:t>
      </w:r>
    </w:p>
    <w:p w14:paraId="25950A40" w14:textId="11402701" w:rsidR="00ED4EF4" w:rsidRPr="003E76E7" w:rsidRDefault="00ED4EF4" w:rsidP="00C4292D">
      <w:pPr>
        <w:pStyle w:val="TableHeading"/>
        <w:numPr>
          <w:ilvl w:val="0"/>
          <w:numId w:val="101"/>
        </w:numPr>
        <w:spacing w:before="100"/>
        <w:ind w:left="0" w:firstLine="0"/>
        <w:outlineLvl w:val="4"/>
      </w:pPr>
      <w:r w:rsidRPr="003E76E7">
        <w:t>DVSC 2026-27 Budget Measures</w:t>
      </w:r>
    </w:p>
    <w:p w14:paraId="6524FADF" w14:textId="73CEB08E" w:rsidR="00E973C0" w:rsidRPr="003E76E7" w:rsidRDefault="00803B8B" w:rsidP="00C4292D">
      <w:pPr>
        <w:tabs>
          <w:tab w:val="left" w:pos="1042"/>
        </w:tabs>
      </w:pPr>
      <w:r w:rsidRPr="00803B8B">
        <w:rPr>
          <w:noProof/>
          <w:lang w:val="en-AU"/>
        </w:rPr>
        <w:drawing>
          <wp:inline distT="0" distB="0" distL="0" distR="0" wp14:anchorId="7B7BECB8" wp14:editId="377FF3EA">
            <wp:extent cx="5472430" cy="1668253"/>
            <wp:effectExtent l="0" t="0" r="0" b="825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472430" cy="1668253"/>
                    </a:xfrm>
                    <a:prstGeom prst="rect">
                      <a:avLst/>
                    </a:prstGeom>
                    <a:noFill/>
                    <a:ln>
                      <a:noFill/>
                    </a:ln>
                  </pic:spPr>
                </pic:pic>
              </a:graphicData>
            </a:graphic>
          </wp:inline>
        </w:drawing>
      </w:r>
    </w:p>
    <w:p w14:paraId="648E141F" w14:textId="03F9425A" w:rsidR="00ED4EF4" w:rsidRPr="003E76E7" w:rsidRDefault="00ED4EF4" w:rsidP="00C4292D">
      <w:pPr>
        <w:pStyle w:val="Heading2level3"/>
        <w:spacing w:before="120" w:after="120"/>
      </w:pPr>
      <w:r w:rsidRPr="003E76E7">
        <w:rPr>
          <w:lang w:val="en-AU"/>
        </w:rPr>
        <w:br w:type="page"/>
      </w:r>
      <w:bookmarkStart w:id="2415" w:name="_Toc221786210"/>
      <w:bookmarkStart w:id="2416" w:name="_Toc222129989"/>
      <w:bookmarkStart w:id="2417" w:name="_Toc222148411"/>
      <w:bookmarkStart w:id="2418" w:name="_Toc225848039"/>
      <w:bookmarkStart w:id="2419" w:name="_Toc225848122"/>
      <w:bookmarkStart w:id="2420" w:name="_Toc225848205"/>
      <w:bookmarkStart w:id="2421" w:name="_Toc225848278"/>
      <w:bookmarkStart w:id="2422" w:name="_Toc225941613"/>
      <w:bookmarkStart w:id="2423" w:name="_Toc227334430"/>
      <w:bookmarkStart w:id="2424" w:name="_Toc229072505"/>
      <w:bookmarkStart w:id="2425" w:name="_Toc229072677"/>
      <w:r w:rsidRPr="003E76E7">
        <w:rPr>
          <w:rStyle w:val="Heading2Char"/>
          <w:sz w:val="26"/>
          <w:szCs w:val="26"/>
        </w:rPr>
        <w:lastRenderedPageBreak/>
        <w:t>Section 2: DVSC Outcomes and Planned Performance</w:t>
      </w:r>
      <w:bookmarkEnd w:id="2415"/>
      <w:bookmarkEnd w:id="2416"/>
      <w:bookmarkEnd w:id="2417"/>
      <w:bookmarkEnd w:id="2418"/>
      <w:bookmarkEnd w:id="2419"/>
      <w:bookmarkEnd w:id="2420"/>
      <w:bookmarkEnd w:id="2421"/>
      <w:bookmarkEnd w:id="2422"/>
      <w:bookmarkEnd w:id="2423"/>
      <w:bookmarkEnd w:id="2424"/>
      <w:bookmarkEnd w:id="2425"/>
    </w:p>
    <w:p w14:paraId="43230F95" w14:textId="77777777" w:rsidR="003746BF" w:rsidRPr="003E76E7" w:rsidRDefault="003746BF" w:rsidP="00C4292D">
      <w:pPr>
        <w:spacing w:before="60" w:after="60" w:line="256" w:lineRule="auto"/>
        <w:rPr>
          <w:lang w:eastAsia="en-US"/>
        </w:rPr>
      </w:pPr>
      <w:r w:rsidRPr="003E76E7">
        <w:rPr>
          <w:lang w:eastAsia="en-US"/>
        </w:rPr>
        <w:t xml:space="preserve">Government outcomes are the intended results, impacts or consequences of actions by the Government on the Australian community. Commonwealth programs are the primary vehicle by which </w:t>
      </w:r>
      <w:r w:rsidRPr="003E76E7">
        <w:t>government</w:t>
      </w:r>
      <w:r w:rsidRPr="003E76E7">
        <w:rPr>
          <w:lang w:eastAsia="en-US"/>
        </w:rPr>
        <w:t xml:space="preserve"> entities achieve the intended results of their outcome statements. Entities are required to identify the programs which contribute to government outcomes over the Budget and forward years.</w:t>
      </w:r>
    </w:p>
    <w:p w14:paraId="3319962E" w14:textId="427C80FF" w:rsidR="003746BF" w:rsidRPr="003E76E7" w:rsidRDefault="00D57D28" w:rsidP="00C4292D">
      <w:pPr>
        <w:spacing w:before="60" w:after="60" w:line="256" w:lineRule="auto"/>
        <w:rPr>
          <w:lang w:eastAsia="en-US"/>
        </w:rPr>
      </w:pPr>
      <w:r w:rsidRPr="003E76E7">
        <w:rPr>
          <w:noProof/>
          <w:sz w:val="10"/>
          <w:lang w:val="en-AU"/>
        </w:rPr>
        <mc:AlternateContent>
          <mc:Choice Requires="wps">
            <w:drawing>
              <wp:anchor distT="45720" distB="45720" distL="114300" distR="114300" simplePos="0" relativeHeight="251841024" behindDoc="0" locked="0" layoutInCell="1" allowOverlap="1" wp14:anchorId="4CEA0352" wp14:editId="5A1C5DD8">
                <wp:simplePos x="0" y="0"/>
                <wp:positionH relativeFrom="column">
                  <wp:posOffset>-18415</wp:posOffset>
                </wp:positionH>
                <wp:positionV relativeFrom="paragraph">
                  <wp:posOffset>642129</wp:posOffset>
                </wp:positionV>
                <wp:extent cx="5452745" cy="1917700"/>
                <wp:effectExtent l="12700" t="7620" r="11430" b="825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2745" cy="1917700"/>
                        </a:xfrm>
                        <a:prstGeom prst="rect">
                          <a:avLst/>
                        </a:prstGeom>
                        <a:solidFill>
                          <a:srgbClr val="FFFFFF"/>
                        </a:solidFill>
                        <a:ln w="9525">
                          <a:solidFill>
                            <a:srgbClr val="000000"/>
                          </a:solidFill>
                          <a:miter lim="800000"/>
                          <a:headEnd/>
                          <a:tailEnd/>
                        </a:ln>
                      </wps:spPr>
                      <wps:txbx>
                        <w:txbxContent>
                          <w:p w14:paraId="2D54AF9A" w14:textId="77777777" w:rsidR="00CA309D" w:rsidRPr="006317D4" w:rsidRDefault="00CA309D" w:rsidP="003746BF">
                            <w:pPr>
                              <w:rPr>
                                <w:b/>
                                <w:lang w:eastAsia="en-US"/>
                              </w:rPr>
                            </w:pPr>
                            <w:r w:rsidRPr="006317D4">
                              <w:rPr>
                                <w:b/>
                                <w:lang w:eastAsia="en-US"/>
                              </w:rPr>
                              <w:t>Note:</w:t>
                            </w:r>
                          </w:p>
                          <w:p w14:paraId="24E17207" w14:textId="34B0BB01" w:rsidR="00CA309D" w:rsidRPr="006317D4" w:rsidRDefault="00CA309D" w:rsidP="003746BF">
                            <w:pPr>
                              <w:rPr>
                                <w:lang w:eastAsia="en-US"/>
                              </w:rPr>
                            </w:pPr>
                            <w:r w:rsidRPr="006317D4">
                              <w:rPr>
                                <w:lang w:eastAsia="en-US"/>
                              </w:rPr>
                              <w:t xml:space="preserve">Performance reporting requirements in the Portfolio Budget Statements are part of the Commonwealth performance framework established by the </w:t>
                            </w:r>
                            <w:r w:rsidRPr="006317D4">
                              <w:rPr>
                                <w:i/>
                                <w:lang w:eastAsia="en-US"/>
                              </w:rPr>
                              <w:t>Public Governance, Performance and Accountability Act 2013</w:t>
                            </w:r>
                            <w:r w:rsidRPr="006317D4">
                              <w:rPr>
                                <w:lang w:eastAsia="en-US"/>
                              </w:rPr>
                              <w:t xml:space="preserve">. It is anticipated that the performance measure described in Portfolio Budget Statements will be read with broader information provided in an entity’s corporate plans and annual performance statements </w:t>
                            </w:r>
                            <w:r>
                              <w:rPr>
                                <w:lang w:eastAsia="en-US"/>
                              </w:rPr>
                              <w:t>-</w:t>
                            </w:r>
                            <w:r w:rsidRPr="006317D4">
                              <w:rPr>
                                <w:lang w:eastAsia="en-US"/>
                              </w:rPr>
                              <w:t xml:space="preserve"> included in Annual Reports </w:t>
                            </w:r>
                            <w:r>
                              <w:rPr>
                                <w:lang w:eastAsia="en-US"/>
                              </w:rPr>
                              <w:t>-</w:t>
                            </w:r>
                            <w:r w:rsidRPr="006317D4">
                              <w:rPr>
                                <w:lang w:eastAsia="en-US"/>
                              </w:rPr>
                              <w:t xml:space="preserve"> to provide a complete picture of an entity’s planned and actual performance. </w:t>
                            </w:r>
                          </w:p>
                          <w:p w14:paraId="77E02A2A" w14:textId="39193265" w:rsidR="00CA309D" w:rsidRDefault="00CA309D" w:rsidP="003746BF">
                            <w:r w:rsidRPr="006317D4">
                              <w:rPr>
                                <w:lang w:eastAsia="en-US"/>
                              </w:rPr>
                              <w:t>The most recent corporate plan and annual performance statement for DVSC can be found at:</w:t>
                            </w:r>
                            <w:r w:rsidRPr="006317D4">
                              <w:t xml:space="preserve"> </w:t>
                            </w:r>
                            <w:hyperlink r:id="rId210" w:history="1">
                              <w:r w:rsidRPr="006317D4">
                                <w:rPr>
                                  <w:rStyle w:val="Hyperlink"/>
                                </w:rPr>
                                <w:t>https://www.dvsc.gov.au/about-us/accountability-and-reporting/corporate-plan</w:t>
                              </w:r>
                            </w:hyperlink>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EA0352" id="_x0000_s1104" type="#_x0000_t202" style="position:absolute;margin-left:-1.45pt;margin-top:50.55pt;width:429.35pt;height:151pt;z-index:251841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">
                <v:textbox>
                  <w:txbxContent>
                    <w:p w14:paraId="2D54AF9A" w14:textId="77777777" w:rsidR="00CA309D" w:rsidRPr="006317D4" w:rsidRDefault="00CA309D" w:rsidP="003746BF">
                      <w:pPr>
                        <w:rPr>
                          <w:b/>
                          <w:lang w:eastAsia="en-US"/>
                        </w:rPr>
                      </w:pPr>
                      <w:r w:rsidRPr="006317D4">
                        <w:rPr>
                          <w:b/>
                          <w:lang w:eastAsia="en-US"/>
                        </w:rPr>
                        <w:t>Note:</w:t>
                      </w:r>
                    </w:p>
                    <w:p w14:paraId="24E17207" w14:textId="34B0BB01" w:rsidR="00CA309D" w:rsidRPr="006317D4" w:rsidRDefault="00CA309D" w:rsidP="003746BF">
                      <w:pPr>
                        <w:rPr>
                          <w:lang w:eastAsia="en-US"/>
                        </w:rPr>
                      </w:pPr>
                      <w:r w:rsidRPr="006317D4">
                        <w:rPr>
                          <w:lang w:eastAsia="en-US"/>
                        </w:rPr>
                        <w:t xml:space="preserve">Performance reporting requirements in the Portfolio Budget Statements are part of the Commonwealth performance framework established by the </w:t>
                      </w:r>
                      <w:r w:rsidRPr="006317D4">
                        <w:rPr>
                          <w:i/>
                          <w:lang w:eastAsia="en-US"/>
                        </w:rPr>
                        <w:t>Public Governance, Performance and Accountability Act 2013</w:t>
                      </w:r>
                      <w:r w:rsidRPr="006317D4">
                        <w:rPr>
                          <w:lang w:eastAsia="en-US"/>
                        </w:rPr>
                        <w:t xml:space="preserve">. It is anticipated that the performance measure described in Portfolio Budget Statements will be read with broader information provided in an entity’s corporate plans and annual performance statements </w:t>
                      </w:r>
                      <w:r>
                        <w:rPr>
                          <w:lang w:eastAsia="en-US"/>
                        </w:rPr>
                        <w:t>-</w:t>
                      </w:r>
                      <w:r w:rsidRPr="006317D4">
                        <w:rPr>
                          <w:lang w:eastAsia="en-US"/>
                        </w:rPr>
                        <w:t xml:space="preserve"> included in Annual Reports </w:t>
                      </w:r>
                      <w:r>
                        <w:rPr>
                          <w:lang w:eastAsia="en-US"/>
                        </w:rPr>
                        <w:t>-</w:t>
                      </w:r>
                      <w:r w:rsidRPr="006317D4">
                        <w:rPr>
                          <w:lang w:eastAsia="en-US"/>
                        </w:rPr>
                        <w:t xml:space="preserve"> to provide a complete picture of an entity’s planned and actual performance. </w:t>
                      </w:r>
                    </w:p>
                    <w:p w14:paraId="77E02A2A" w14:textId="39193265" w:rsidR="00CA309D" w:rsidRDefault="00CA309D" w:rsidP="003746BF">
                      <w:r w:rsidRPr="006317D4">
                        <w:rPr>
                          <w:lang w:eastAsia="en-US"/>
                        </w:rPr>
                        <w:t>The most recent corporate plan and annual performance statement for DVSC can be found at:</w:t>
                      </w:r>
                      <w:r w:rsidRPr="006317D4">
                        <w:t xml:space="preserve"> </w:t>
                      </w:r>
                      <w:hyperlink r:id="rId211" w:history="1">
                        <w:r w:rsidRPr="006317D4">
                          <w:rPr>
                            <w:rStyle w:val="Hyperlink"/>
                          </w:rPr>
                          <w:t>https://www.dvsc.gov.au/about-us/accountability-and-reporting/corporate-plan</w:t>
                        </w:r>
                      </w:hyperlink>
                      <w:r>
                        <w:t xml:space="preserve"> </w:t>
                      </w:r>
                    </w:p>
                  </w:txbxContent>
                </v:textbox>
                <w10:wrap type="square"/>
              </v:shape>
            </w:pict>
          </mc:Fallback>
        </mc:AlternateContent>
      </w:r>
      <w:r w:rsidR="003746BF" w:rsidRPr="003E76E7">
        <w:rPr>
          <w:lang w:eastAsia="en-US"/>
        </w:rPr>
        <w:t xml:space="preserve">Each outcome is described below together with its related programs. The following provides detailed </w:t>
      </w:r>
      <w:r w:rsidR="003746BF" w:rsidRPr="003E76E7">
        <w:t>information</w:t>
      </w:r>
      <w:r w:rsidR="003746BF" w:rsidRPr="003E76E7">
        <w:rPr>
          <w:lang w:eastAsia="en-US"/>
        </w:rPr>
        <w:t xml:space="preserve"> on expenses for each outcome and program, further broken down by funding source.</w:t>
      </w:r>
    </w:p>
    <w:p w14:paraId="09E53F67" w14:textId="77777777" w:rsidR="00D57D28" w:rsidRPr="003E76E7" w:rsidRDefault="00D57D28" w:rsidP="00C4292D">
      <w:pPr>
        <w:spacing w:before="0" w:after="0"/>
        <w:rPr>
          <w:lang w:val="en-AU" w:eastAsia="en-US"/>
        </w:rPr>
      </w:pPr>
    </w:p>
    <w:p w14:paraId="4C91BA6B" w14:textId="3546F3C1" w:rsidR="00ED4EF4" w:rsidRPr="003E76E7" w:rsidRDefault="003746BF" w:rsidP="00C4292D">
      <w:pPr>
        <w:pStyle w:val="Heading4"/>
        <w:rPr>
          <w:lang w:val="en-AU"/>
        </w:rPr>
      </w:pPr>
      <w:r w:rsidRPr="003E76E7">
        <w:rPr>
          <w:caps/>
          <w:szCs w:val="20"/>
          <w:lang w:val="en-AU" w:eastAsia="en-US"/>
        </w:rPr>
        <w:br w:type="page"/>
      </w:r>
      <w:bookmarkStart w:id="2426" w:name="_Toc221786211"/>
      <w:bookmarkStart w:id="2427" w:name="_Toc222129990"/>
      <w:bookmarkStart w:id="2428" w:name="_Toc222148412"/>
      <w:bookmarkStart w:id="2429" w:name="_Toc225848040"/>
      <w:bookmarkStart w:id="2430" w:name="_Toc225848123"/>
      <w:bookmarkStart w:id="2431" w:name="_Toc225848206"/>
      <w:bookmarkStart w:id="2432" w:name="_Toc225941614"/>
      <w:bookmarkStart w:id="2433" w:name="_Toc227334431"/>
      <w:bookmarkStart w:id="2434" w:name="_Toc229072506"/>
      <w:bookmarkStart w:id="2435" w:name="_Toc229072678"/>
      <w:r w:rsidR="00ED4EF4" w:rsidRPr="003E76E7">
        <w:rPr>
          <w:rFonts w:cs="Arial"/>
          <w:sz w:val="24"/>
        </w:rPr>
        <w:lastRenderedPageBreak/>
        <w:t>2.1 Budgeted Expenses and Performance for Outcome 1</w:t>
      </w:r>
      <w:bookmarkEnd w:id="2426"/>
      <w:bookmarkEnd w:id="2427"/>
      <w:bookmarkEnd w:id="2428"/>
      <w:bookmarkEnd w:id="2429"/>
      <w:bookmarkEnd w:id="2430"/>
      <w:bookmarkEnd w:id="2431"/>
      <w:bookmarkEnd w:id="2432"/>
      <w:bookmarkEnd w:id="2433"/>
      <w:bookmarkEnd w:id="2434"/>
      <w:bookmarkEnd w:id="2435"/>
    </w:p>
    <w:tbl>
      <w:tblPr>
        <w:tblW w:w="86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8647"/>
      </w:tblGrid>
      <w:tr w:rsidR="00ED4EF4" w:rsidRPr="003E76E7" w14:paraId="397655B6" w14:textId="77777777" w:rsidTr="00063F33">
        <w:tc>
          <w:tcPr>
            <w:tcW w:w="8647" w:type="dxa"/>
            <w:shd w:val="clear" w:color="auto" w:fill="CCCCCC"/>
          </w:tcPr>
          <w:p w14:paraId="0DA9783C" w14:textId="6EBD2E57" w:rsidR="00ED4EF4" w:rsidRPr="003E76E7" w:rsidRDefault="00222166" w:rsidP="00C4292D">
            <w:pPr>
              <w:rPr>
                <w:rFonts w:ascii="Arial" w:hAnsi="Arial"/>
                <w:b/>
                <w:lang w:val="en-AU"/>
              </w:rPr>
            </w:pPr>
            <w:r w:rsidRPr="003E76E7">
              <w:rPr>
                <w:rFonts w:ascii="Arial" w:hAnsi="Arial"/>
                <w:b/>
                <w:bCs/>
                <w:lang w:val="en-AU"/>
              </w:rPr>
              <w:t>Outcome 1: Improve suicide prevention and wellbeing outcomes for serving Australian Defence Force members and Veterans by providing independent oversight and evidence-based advice to the Australian Government and Parliament, including by monitoring, inquiring and reporting on reforms to systems affecting ADF members and Veterans.</w:t>
            </w:r>
          </w:p>
        </w:tc>
      </w:tr>
    </w:tbl>
    <w:p w14:paraId="6568602C" w14:textId="77777777" w:rsidR="00147F58" w:rsidRPr="003E76E7" w:rsidRDefault="00147F58" w:rsidP="00C4292D">
      <w:pPr>
        <w:pStyle w:val="BodyText"/>
        <w:rPr>
          <w:rFonts w:ascii="Arial" w:hAnsi="Arial"/>
          <w:b/>
          <w:sz w:val="22"/>
          <w:lang w:val="en-AU"/>
        </w:rPr>
      </w:pPr>
      <w:bookmarkStart w:id="2436" w:name="_Toc222129991"/>
      <w:r w:rsidRPr="003E76E7">
        <w:rPr>
          <w:rFonts w:ascii="Arial" w:hAnsi="Arial"/>
          <w:b/>
          <w:sz w:val="22"/>
          <w:lang w:val="en-AU"/>
        </w:rPr>
        <w:t>Outcome 1 Strategy</w:t>
      </w:r>
    </w:p>
    <w:p w14:paraId="703E71E4" w14:textId="4E4D2ADE" w:rsidR="00147F58" w:rsidRPr="003E76E7" w:rsidRDefault="00147F58" w:rsidP="00C4292D">
      <w:pPr>
        <w:spacing w:before="60" w:after="60" w:line="256" w:lineRule="auto"/>
        <w:rPr>
          <w:rFonts w:cs="Calibri"/>
          <w:color w:val="000000"/>
        </w:rPr>
      </w:pPr>
      <w:r w:rsidRPr="003E76E7">
        <w:rPr>
          <w:lang w:eastAsia="en-US"/>
        </w:rPr>
        <w:t xml:space="preserve">The Commission </w:t>
      </w:r>
      <w:r w:rsidRPr="003E76E7">
        <w:t>commenced</w:t>
      </w:r>
      <w:r w:rsidRPr="003E76E7">
        <w:rPr>
          <w:lang w:eastAsia="en-US"/>
        </w:rPr>
        <w:t xml:space="preserve"> operation on 29 September 2025. The </w:t>
      </w:r>
      <w:r w:rsidR="00BD20C0" w:rsidRPr="003E76E7">
        <w:rPr>
          <w:lang w:eastAsia="en-US"/>
        </w:rPr>
        <w:t>c</w:t>
      </w:r>
      <w:r w:rsidRPr="003E76E7">
        <w:rPr>
          <w:lang w:eastAsia="en-US"/>
        </w:rPr>
        <w:t xml:space="preserve">orporate plan for the </w:t>
      </w:r>
      <w:r w:rsidRPr="003E76E7">
        <w:rPr>
          <w:lang w:eastAsia="en-US"/>
        </w:rPr>
        <w:br/>
        <w:t>2025-26 year is under development.</w:t>
      </w:r>
    </w:p>
    <w:p w14:paraId="26A425F9" w14:textId="77777777" w:rsidR="00147F58" w:rsidRPr="003E76E7" w:rsidRDefault="00147F58" w:rsidP="00C4292D">
      <w:pPr>
        <w:pStyle w:val="BodyText"/>
        <w:rPr>
          <w:lang w:val="en-AU"/>
        </w:rPr>
      </w:pPr>
    </w:p>
    <w:p w14:paraId="02519BE6" w14:textId="77777777" w:rsidR="00147F58" w:rsidRPr="003E76E7" w:rsidRDefault="00147F58" w:rsidP="00C4292D">
      <w:pPr>
        <w:pStyle w:val="BodyText"/>
        <w:rPr>
          <w:rFonts w:ascii="Arial" w:hAnsi="Arial"/>
          <w:b/>
          <w:sz w:val="22"/>
          <w:lang w:val="en-AU"/>
        </w:rPr>
      </w:pPr>
      <w:r w:rsidRPr="003E76E7">
        <w:rPr>
          <w:rFonts w:ascii="Arial" w:hAnsi="Arial"/>
          <w:b/>
          <w:sz w:val="22"/>
          <w:lang w:val="en-AU"/>
        </w:rPr>
        <w:t xml:space="preserve">Linked Programs </w:t>
      </w:r>
    </w:p>
    <w:p w14:paraId="0FD68340" w14:textId="77777777" w:rsidR="00147F58" w:rsidRPr="003E76E7" w:rsidRDefault="00147F58" w:rsidP="00C4292D">
      <w:pPr>
        <w:spacing w:before="60" w:after="60" w:line="256" w:lineRule="auto"/>
        <w:rPr>
          <w:lang w:val="en-AU"/>
        </w:rPr>
      </w:pPr>
      <w:r w:rsidRPr="003E76E7">
        <w:rPr>
          <w:lang w:val="en-AU"/>
        </w:rPr>
        <w:t xml:space="preserve">The </w:t>
      </w:r>
      <w:r w:rsidRPr="003E76E7">
        <w:t>Commission</w:t>
      </w:r>
      <w:r w:rsidRPr="003E76E7">
        <w:rPr>
          <w:lang w:val="en-AU"/>
        </w:rPr>
        <w:t xml:space="preserve"> is an independent oversight agency and does not have programs linked to other entities.</w:t>
      </w:r>
    </w:p>
    <w:bookmarkEnd w:id="2436"/>
    <w:p w14:paraId="2541B931" w14:textId="4564845E" w:rsidR="008F1242" w:rsidRPr="003E76E7" w:rsidRDefault="008F1242" w:rsidP="00C4292D">
      <w:pPr>
        <w:pStyle w:val="BodyText"/>
        <w:rPr>
          <w:lang w:val="en-AU"/>
        </w:rPr>
      </w:pPr>
    </w:p>
    <w:p w14:paraId="1D318565" w14:textId="77777777" w:rsidR="00ED4EF4" w:rsidRPr="003E76E7" w:rsidRDefault="00ED4EF4" w:rsidP="00C4292D">
      <w:pPr>
        <w:spacing w:before="0" w:after="0"/>
        <w:rPr>
          <w:szCs w:val="20"/>
          <w:lang w:eastAsia="en-US"/>
        </w:rPr>
      </w:pPr>
      <w:r w:rsidRPr="003E76E7">
        <w:rPr>
          <w:szCs w:val="20"/>
          <w:lang w:eastAsia="en-US"/>
        </w:rPr>
        <w:br w:type="page"/>
      </w:r>
    </w:p>
    <w:p w14:paraId="0FD743F1" w14:textId="77777777" w:rsidR="00ED4EF4" w:rsidRPr="003E76E7" w:rsidRDefault="00ED4EF4" w:rsidP="00C4292D">
      <w:pPr>
        <w:pStyle w:val="BodyText"/>
        <w:rPr>
          <w:rFonts w:ascii="Arial" w:hAnsi="Arial"/>
          <w:b/>
          <w:sz w:val="22"/>
        </w:rPr>
      </w:pPr>
      <w:bookmarkStart w:id="2437" w:name="_Toc222129993"/>
      <w:r w:rsidRPr="003E76E7">
        <w:rPr>
          <w:rFonts w:ascii="Arial" w:hAnsi="Arial"/>
          <w:b/>
          <w:sz w:val="22"/>
        </w:rPr>
        <w:lastRenderedPageBreak/>
        <w:t>Budgeted Expenses for Outcome 1</w:t>
      </w:r>
      <w:bookmarkEnd w:id="2437"/>
    </w:p>
    <w:p w14:paraId="50563CA2" w14:textId="77777777" w:rsidR="00ED4EF4" w:rsidRPr="003E76E7" w:rsidRDefault="00ED4EF4" w:rsidP="00C4292D">
      <w:pPr>
        <w:pStyle w:val="TableHeading"/>
        <w:numPr>
          <w:ilvl w:val="0"/>
          <w:numId w:val="101"/>
        </w:numPr>
        <w:spacing w:before="100"/>
        <w:ind w:left="0" w:firstLine="0"/>
        <w:outlineLvl w:val="4"/>
      </w:pPr>
      <w:r w:rsidRPr="003E76E7">
        <w:t>Budgeted Expenses for Outcome 1</w:t>
      </w:r>
    </w:p>
    <w:p w14:paraId="1760E2A7" w14:textId="13080808" w:rsidR="00ED4EF4" w:rsidRPr="003E76E7" w:rsidRDefault="00911BD2" w:rsidP="00C4292D">
      <w:pPr>
        <w:tabs>
          <w:tab w:val="left" w:pos="284"/>
        </w:tabs>
        <w:spacing w:after="0"/>
      </w:pPr>
      <w:r w:rsidRPr="00911BD2">
        <w:rPr>
          <w:noProof/>
          <w:lang w:val="en-AU"/>
        </w:rPr>
        <w:drawing>
          <wp:inline distT="0" distB="0" distL="0" distR="0" wp14:anchorId="29689C24" wp14:editId="799C0B6B">
            <wp:extent cx="5472430" cy="3464584"/>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472430" cy="3464584"/>
                    </a:xfrm>
                    <a:prstGeom prst="rect">
                      <a:avLst/>
                    </a:prstGeom>
                    <a:noFill/>
                    <a:ln>
                      <a:noFill/>
                    </a:ln>
                  </pic:spPr>
                </pic:pic>
              </a:graphicData>
            </a:graphic>
          </wp:inline>
        </w:drawing>
      </w:r>
    </w:p>
    <w:p w14:paraId="7AE3E54D" w14:textId="77777777" w:rsidR="00ED4EF4" w:rsidRPr="003E76E7" w:rsidRDefault="00ED4EF4" w:rsidP="00C4292D">
      <w:pPr>
        <w:spacing w:before="0" w:after="0"/>
        <w:rPr>
          <w:rFonts w:ascii="Arial" w:hAnsi="Arial"/>
          <w:b/>
          <w:sz w:val="14"/>
          <w:szCs w:val="14"/>
        </w:rPr>
      </w:pPr>
    </w:p>
    <w:p w14:paraId="13E0A380" w14:textId="1A2545BD" w:rsidR="00ED4EF4" w:rsidRPr="003E76E7" w:rsidRDefault="00ED4EF4" w:rsidP="00C4292D">
      <w:pPr>
        <w:spacing w:before="0" w:after="0"/>
        <w:rPr>
          <w:rFonts w:ascii="Arial" w:hAnsi="Arial"/>
          <w:b/>
          <w:sz w:val="14"/>
          <w:szCs w:val="14"/>
        </w:rPr>
      </w:pPr>
      <w:r w:rsidRPr="003E76E7">
        <w:rPr>
          <w:rFonts w:ascii="Arial" w:hAnsi="Arial"/>
          <w:b/>
          <w:sz w:val="14"/>
          <w:szCs w:val="14"/>
        </w:rPr>
        <w:t>Note</w:t>
      </w:r>
      <w:r w:rsidR="00DE0200">
        <w:rPr>
          <w:rFonts w:ascii="Arial" w:hAnsi="Arial"/>
          <w:b/>
          <w:sz w:val="14"/>
          <w:szCs w:val="14"/>
        </w:rPr>
        <w:t>s</w:t>
      </w:r>
    </w:p>
    <w:p w14:paraId="442D5B28" w14:textId="7F94B398" w:rsidR="006D7261" w:rsidRPr="003E76E7" w:rsidRDefault="00ED4EF4" w:rsidP="00C4292D">
      <w:pPr>
        <w:tabs>
          <w:tab w:val="left" w:pos="284"/>
        </w:tabs>
        <w:spacing w:before="0" w:after="0"/>
        <w:ind w:left="284" w:hanging="284"/>
        <w:rPr>
          <w:rFonts w:ascii="Arial" w:hAnsi="Arial"/>
          <w:sz w:val="14"/>
          <w:szCs w:val="14"/>
        </w:rPr>
      </w:pPr>
      <w:r w:rsidRPr="003E76E7">
        <w:rPr>
          <w:rFonts w:ascii="Arial" w:hAnsi="Arial"/>
          <w:sz w:val="14"/>
          <w:szCs w:val="14"/>
        </w:rPr>
        <w:t>a.</w:t>
      </w:r>
      <w:r w:rsidRPr="003E76E7">
        <w:rPr>
          <w:rFonts w:ascii="Arial" w:hAnsi="Arial"/>
          <w:sz w:val="14"/>
          <w:szCs w:val="14"/>
        </w:rPr>
        <w:tab/>
      </w:r>
      <w:r w:rsidR="006D7261" w:rsidRPr="003E76E7">
        <w:rPr>
          <w:rFonts w:ascii="Arial" w:hAnsi="Arial"/>
          <w:sz w:val="14"/>
          <w:szCs w:val="14"/>
        </w:rPr>
        <w:t>Annual appropriation amounts reported are inclusive of Supply Bill arrangements.</w:t>
      </w:r>
      <w:r w:rsidR="006D7261" w:rsidRPr="003E76E7">
        <w:rPr>
          <w:rFonts w:ascii="Arial" w:hAnsi="Arial"/>
          <w:sz w:val="14"/>
          <w:szCs w:val="14"/>
        </w:rPr>
        <w:tab/>
      </w:r>
      <w:r w:rsidR="006D7261" w:rsidRPr="003E76E7">
        <w:rPr>
          <w:rFonts w:ascii="Arial" w:hAnsi="Arial"/>
          <w:sz w:val="14"/>
          <w:szCs w:val="14"/>
        </w:rPr>
        <w:tab/>
      </w:r>
      <w:r w:rsidR="006D7261" w:rsidRPr="003E76E7">
        <w:rPr>
          <w:rFonts w:ascii="Arial" w:hAnsi="Arial"/>
          <w:sz w:val="14"/>
          <w:szCs w:val="14"/>
        </w:rPr>
        <w:tab/>
      </w:r>
      <w:r w:rsidR="006D7261" w:rsidRPr="003E76E7">
        <w:rPr>
          <w:rFonts w:ascii="Arial" w:hAnsi="Arial"/>
          <w:sz w:val="14"/>
          <w:szCs w:val="14"/>
        </w:rPr>
        <w:tab/>
      </w:r>
      <w:r w:rsidR="006D7261" w:rsidRPr="003E76E7">
        <w:rPr>
          <w:rFonts w:ascii="Arial" w:hAnsi="Arial"/>
          <w:sz w:val="14"/>
          <w:szCs w:val="14"/>
        </w:rPr>
        <w:tab/>
      </w:r>
    </w:p>
    <w:p w14:paraId="09F6754D" w14:textId="3D59AC6B" w:rsidR="00ED4EF4" w:rsidRPr="003E76E7" w:rsidRDefault="006D7261" w:rsidP="00C4292D">
      <w:pPr>
        <w:tabs>
          <w:tab w:val="left" w:pos="284"/>
        </w:tabs>
        <w:spacing w:before="0" w:after="0"/>
        <w:ind w:left="284" w:hanging="284"/>
        <w:rPr>
          <w:rFonts w:ascii="Arial" w:hAnsi="Arial"/>
          <w:sz w:val="14"/>
          <w:szCs w:val="14"/>
        </w:rPr>
      </w:pPr>
      <w:r w:rsidRPr="003E76E7">
        <w:rPr>
          <w:rFonts w:ascii="Arial" w:hAnsi="Arial"/>
          <w:sz w:val="14"/>
          <w:szCs w:val="14"/>
        </w:rPr>
        <w:t>b.</w:t>
      </w:r>
      <w:r w:rsidRPr="003E76E7">
        <w:rPr>
          <w:rFonts w:ascii="Arial" w:hAnsi="Arial"/>
          <w:sz w:val="14"/>
          <w:szCs w:val="14"/>
        </w:rPr>
        <w:tab/>
        <w:t>Expenses not requiring appropriation in the Budget year are made up of depreciation expenses, write-down and impairment of assets, other resources received free of charge, auditor fees, and interest on Right-of-Use assets.</w:t>
      </w:r>
      <w:r w:rsidRPr="003E76E7">
        <w:rPr>
          <w:rFonts w:ascii="Arial" w:hAnsi="Arial"/>
          <w:sz w:val="14"/>
          <w:szCs w:val="14"/>
        </w:rPr>
        <w:tab/>
      </w:r>
      <w:r w:rsidRPr="003E76E7">
        <w:rPr>
          <w:rFonts w:ascii="Arial" w:hAnsi="Arial"/>
          <w:sz w:val="14"/>
          <w:szCs w:val="14"/>
        </w:rPr>
        <w:tab/>
      </w:r>
      <w:r w:rsidRPr="003E76E7">
        <w:rPr>
          <w:rFonts w:ascii="Arial" w:hAnsi="Arial"/>
          <w:sz w:val="14"/>
          <w:szCs w:val="14"/>
        </w:rPr>
        <w:tab/>
      </w:r>
      <w:r w:rsidRPr="003E76E7">
        <w:rPr>
          <w:rFonts w:ascii="Arial" w:hAnsi="Arial"/>
          <w:sz w:val="14"/>
          <w:szCs w:val="14"/>
        </w:rPr>
        <w:tab/>
      </w:r>
      <w:r w:rsidRPr="003E76E7">
        <w:rPr>
          <w:rFonts w:ascii="Arial" w:hAnsi="Arial"/>
          <w:sz w:val="14"/>
          <w:szCs w:val="14"/>
        </w:rPr>
        <w:tab/>
      </w:r>
    </w:p>
    <w:p w14:paraId="4EFEB109" w14:textId="77777777" w:rsidR="00ED4EF4" w:rsidRPr="003E76E7" w:rsidRDefault="00ED4EF4" w:rsidP="00C4292D">
      <w:pPr>
        <w:pStyle w:val="TableHeading"/>
        <w:numPr>
          <w:ilvl w:val="0"/>
          <w:numId w:val="101"/>
        </w:numPr>
        <w:spacing w:before="100"/>
        <w:ind w:left="0" w:firstLine="0"/>
        <w:outlineLvl w:val="4"/>
      </w:pPr>
      <w:r w:rsidRPr="003E76E7">
        <w:rPr>
          <w:lang w:val="en-AU"/>
        </w:rPr>
        <w:br w:type="page"/>
      </w:r>
      <w:r w:rsidRPr="003E76E7">
        <w:lastRenderedPageBreak/>
        <w:t>Performance Measures for Outcome 1</w:t>
      </w:r>
    </w:p>
    <w:p w14:paraId="27FF8A37" w14:textId="39715522" w:rsidR="00A03EDE" w:rsidRPr="003E76E7" w:rsidRDefault="00A03EDE" w:rsidP="00C4292D">
      <w:pPr>
        <w:rPr>
          <w:lang w:eastAsia="en-US"/>
        </w:rPr>
      </w:pPr>
      <w:r w:rsidRPr="003E76E7">
        <w:rPr>
          <w:lang w:eastAsia="en-US"/>
        </w:rPr>
        <w:t xml:space="preserve">The Commission commenced operation on 29 September 2025. The corporate plan for the </w:t>
      </w:r>
      <w:r w:rsidRPr="003E76E7">
        <w:rPr>
          <w:lang w:eastAsia="en-US"/>
        </w:rPr>
        <w:br/>
        <w:t>2025-26 year is being developed. Performance reporting will begin in the 2026-27 Financial Year.</w:t>
      </w:r>
    </w:p>
    <w:p w14:paraId="0B68ED5F" w14:textId="5AFC9C28" w:rsidR="00ED4EF4" w:rsidRPr="003E76E7" w:rsidRDefault="00ED4EF4" w:rsidP="00C4292D">
      <w:r w:rsidRPr="003E76E7">
        <w:br w:type="page"/>
      </w:r>
    </w:p>
    <w:p w14:paraId="536706F7" w14:textId="5855897B" w:rsidR="00ED4EF4" w:rsidRPr="003E76E7" w:rsidRDefault="00ED4EF4" w:rsidP="00C4292D">
      <w:pPr>
        <w:pStyle w:val="Heading2level3"/>
        <w:spacing w:before="120" w:after="120"/>
        <w:rPr>
          <w:rStyle w:val="Heading2Char"/>
          <w:sz w:val="26"/>
          <w:szCs w:val="26"/>
        </w:rPr>
      </w:pPr>
      <w:bookmarkStart w:id="2438" w:name="_Toc221786212"/>
      <w:bookmarkStart w:id="2439" w:name="_Toc222129994"/>
      <w:bookmarkStart w:id="2440" w:name="_Toc222148413"/>
      <w:bookmarkStart w:id="2441" w:name="_Toc225848041"/>
      <w:bookmarkStart w:id="2442" w:name="_Toc225848124"/>
      <w:bookmarkStart w:id="2443" w:name="_Toc225848207"/>
      <w:bookmarkStart w:id="2444" w:name="_Toc225848279"/>
      <w:bookmarkStart w:id="2445" w:name="_Toc225941615"/>
      <w:bookmarkStart w:id="2446" w:name="_Toc227334432"/>
      <w:bookmarkStart w:id="2447" w:name="_Toc229072507"/>
      <w:bookmarkStart w:id="2448" w:name="_Toc229072679"/>
      <w:r w:rsidRPr="003E76E7">
        <w:rPr>
          <w:rStyle w:val="Heading2Char"/>
          <w:sz w:val="26"/>
          <w:szCs w:val="26"/>
        </w:rPr>
        <w:lastRenderedPageBreak/>
        <w:t xml:space="preserve">Section 3: </w:t>
      </w:r>
      <w:r w:rsidR="00E034EE" w:rsidRPr="003E76E7">
        <w:rPr>
          <w:rStyle w:val="Heading2Char"/>
          <w:sz w:val="26"/>
          <w:szCs w:val="26"/>
        </w:rPr>
        <w:t>DVSC</w:t>
      </w:r>
      <w:r w:rsidRPr="003E76E7">
        <w:rPr>
          <w:rStyle w:val="Heading2Char"/>
          <w:sz w:val="26"/>
          <w:szCs w:val="26"/>
        </w:rPr>
        <w:t xml:space="preserve"> Explanatory Tables and Budgeted Financial Statements</w:t>
      </w:r>
      <w:bookmarkEnd w:id="2438"/>
      <w:bookmarkEnd w:id="2439"/>
      <w:bookmarkEnd w:id="2440"/>
      <w:bookmarkEnd w:id="2441"/>
      <w:bookmarkEnd w:id="2442"/>
      <w:bookmarkEnd w:id="2443"/>
      <w:bookmarkEnd w:id="2444"/>
      <w:bookmarkEnd w:id="2445"/>
      <w:bookmarkEnd w:id="2446"/>
      <w:bookmarkEnd w:id="2447"/>
      <w:bookmarkEnd w:id="2448"/>
    </w:p>
    <w:p w14:paraId="32830713" w14:textId="57BD6824" w:rsidR="00ED4EF4" w:rsidRDefault="00ED4EF4" w:rsidP="00C4292D">
      <w:pPr>
        <w:spacing w:before="60" w:after="0" w:line="256" w:lineRule="auto"/>
      </w:pPr>
      <w:r w:rsidRPr="003E76E7">
        <w:t xml:space="preserve">Section 3 presents explanatory tables and budgeted financial statements, which provide a comprehensive snapshot of </w:t>
      </w:r>
      <w:r w:rsidR="00E034EE" w:rsidRPr="003E76E7">
        <w:t>DVSC’s</w:t>
      </w:r>
      <w:r w:rsidRPr="003E76E7">
        <w:t xml:space="preserve"> finances for the 2026-27 </w:t>
      </w:r>
      <w:r w:rsidR="00246507" w:rsidRPr="003E76E7">
        <w:t>B</w:t>
      </w:r>
      <w:r w:rsidRPr="003E76E7">
        <w:t>udget year, including the impact of Budget Measures and resourcing on financial statements.</w:t>
      </w:r>
    </w:p>
    <w:p w14:paraId="70ADB73C" w14:textId="53C41350" w:rsidR="00A511A6" w:rsidRPr="003E76E7" w:rsidRDefault="00A511A6" w:rsidP="00A511A6">
      <w:pPr>
        <w:pStyle w:val="Heading4"/>
      </w:pPr>
      <w:bookmarkStart w:id="2449" w:name="_Toc229072508"/>
      <w:bookmarkStart w:id="2450" w:name="_Toc229072680"/>
      <w:r>
        <w:rPr>
          <w:rFonts w:cs="Arial"/>
          <w:sz w:val="24"/>
        </w:rPr>
        <w:t>3.1</w:t>
      </w:r>
      <w:r w:rsidRPr="003E76E7">
        <w:rPr>
          <w:rFonts w:cs="Arial"/>
          <w:sz w:val="24"/>
        </w:rPr>
        <w:t xml:space="preserve"> </w:t>
      </w:r>
      <w:r>
        <w:rPr>
          <w:rFonts w:cs="Arial"/>
          <w:sz w:val="24"/>
        </w:rPr>
        <w:t>Explanatory Tables</w:t>
      </w:r>
      <w:bookmarkEnd w:id="2449"/>
      <w:bookmarkEnd w:id="2450"/>
    </w:p>
    <w:p w14:paraId="0F081884" w14:textId="20D43C21" w:rsidR="00A511A6" w:rsidRPr="003E76E7" w:rsidRDefault="006004A1" w:rsidP="00C4292D">
      <w:pPr>
        <w:spacing w:before="60" w:after="0" w:line="256" w:lineRule="auto"/>
      </w:pPr>
      <w:r>
        <w:t>There are no third party payments for DVSC. The DVSC was established in September 2025.</w:t>
      </w:r>
    </w:p>
    <w:p w14:paraId="1EC13329" w14:textId="62026215" w:rsidR="00ED4EF4" w:rsidRPr="003E76E7" w:rsidRDefault="00ED4EF4" w:rsidP="00C4292D">
      <w:pPr>
        <w:pStyle w:val="Heading4"/>
      </w:pPr>
      <w:bookmarkStart w:id="2451" w:name="_Toc222148415"/>
      <w:bookmarkStart w:id="2452" w:name="_Toc225848043"/>
      <w:bookmarkStart w:id="2453" w:name="_Toc225848126"/>
      <w:bookmarkStart w:id="2454" w:name="_Toc225848209"/>
      <w:bookmarkStart w:id="2455" w:name="_Toc225941617"/>
      <w:bookmarkStart w:id="2456" w:name="_Toc227334433"/>
      <w:bookmarkStart w:id="2457" w:name="_Toc229072509"/>
      <w:bookmarkStart w:id="2458" w:name="_Toc229072681"/>
      <w:r w:rsidRPr="003E76E7">
        <w:rPr>
          <w:rFonts w:cs="Arial"/>
          <w:sz w:val="24"/>
        </w:rPr>
        <w:t>3.2 Budgeted Financial Statements</w:t>
      </w:r>
      <w:bookmarkEnd w:id="2451"/>
      <w:bookmarkEnd w:id="2452"/>
      <w:bookmarkEnd w:id="2453"/>
      <w:bookmarkEnd w:id="2454"/>
      <w:bookmarkEnd w:id="2455"/>
      <w:bookmarkEnd w:id="2456"/>
      <w:bookmarkEnd w:id="2457"/>
      <w:bookmarkEnd w:id="2458"/>
    </w:p>
    <w:p w14:paraId="74D45ED8" w14:textId="77777777" w:rsidR="00ED4EF4" w:rsidRPr="003E76E7" w:rsidRDefault="00ED4EF4" w:rsidP="00C4292D">
      <w:pPr>
        <w:pStyle w:val="Heading4level5"/>
        <w:spacing w:before="0" w:after="200"/>
      </w:pPr>
      <w:r w:rsidRPr="003E76E7">
        <w:t>3.2.1 Budgeted Financial Statements</w:t>
      </w:r>
    </w:p>
    <w:p w14:paraId="12478918" w14:textId="5402934D" w:rsidR="00ED4EF4" w:rsidRPr="003E76E7" w:rsidRDefault="00ED4EF4" w:rsidP="00C4292D">
      <w:pPr>
        <w:pStyle w:val="TableHeading"/>
        <w:numPr>
          <w:ilvl w:val="0"/>
          <w:numId w:val="101"/>
        </w:numPr>
        <w:spacing w:before="100"/>
        <w:ind w:left="0" w:firstLine="0"/>
        <w:outlineLvl w:val="4"/>
      </w:pPr>
      <w:r w:rsidRPr="003E76E7">
        <w:t xml:space="preserve">Budgeted Departmental Comprehensive Income Statement </w:t>
      </w:r>
      <w:r w:rsidR="006004A1">
        <w:br/>
      </w:r>
      <w:r w:rsidRPr="003E76E7">
        <w:t>(Showing Net Cost of Services) (for the period ended 30 June)</w:t>
      </w:r>
    </w:p>
    <w:p w14:paraId="0081081A" w14:textId="1746CCA8" w:rsidR="00DC61C6" w:rsidRPr="003E76E7" w:rsidRDefault="005A3177" w:rsidP="00C4292D">
      <w:pPr>
        <w:spacing w:after="0"/>
      </w:pPr>
      <w:r w:rsidRPr="005A3177">
        <w:rPr>
          <w:noProof/>
          <w:lang w:val="en-AU"/>
        </w:rPr>
        <w:drawing>
          <wp:inline distT="0" distB="0" distL="0" distR="0" wp14:anchorId="1E11C217" wp14:editId="1BC421E2">
            <wp:extent cx="5472430" cy="4391438"/>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472430" cy="4391438"/>
                    </a:xfrm>
                    <a:prstGeom prst="rect">
                      <a:avLst/>
                    </a:prstGeom>
                    <a:noFill/>
                    <a:ln>
                      <a:noFill/>
                    </a:ln>
                  </pic:spPr>
                </pic:pic>
              </a:graphicData>
            </a:graphic>
          </wp:inline>
        </w:drawing>
      </w:r>
    </w:p>
    <w:p w14:paraId="1DE39F67" w14:textId="77777777" w:rsidR="00DC61C6" w:rsidRPr="003E76E7" w:rsidRDefault="00DC61C6" w:rsidP="00C4292D">
      <w:pPr>
        <w:spacing w:before="0" w:after="0"/>
        <w:rPr>
          <w:rFonts w:ascii="Arial" w:hAnsi="Arial"/>
          <w:b/>
          <w:sz w:val="14"/>
          <w:szCs w:val="14"/>
          <w:lang w:val="en-AU"/>
        </w:rPr>
      </w:pPr>
    </w:p>
    <w:p w14:paraId="3F82DB36" w14:textId="56A4A128" w:rsidR="00ED4EF4" w:rsidRPr="003E76E7" w:rsidRDefault="00ED4EF4" w:rsidP="00C4292D">
      <w:pPr>
        <w:spacing w:before="0" w:after="0"/>
        <w:rPr>
          <w:rFonts w:ascii="Arial" w:hAnsi="Arial"/>
          <w:b/>
          <w:sz w:val="14"/>
          <w:szCs w:val="14"/>
          <w:lang w:val="en-AU"/>
        </w:rPr>
      </w:pPr>
      <w:r w:rsidRPr="003E76E7">
        <w:rPr>
          <w:rFonts w:ascii="Arial" w:hAnsi="Arial"/>
          <w:b/>
          <w:sz w:val="14"/>
          <w:szCs w:val="14"/>
          <w:lang w:val="en-AU"/>
        </w:rPr>
        <w:t>Note</w:t>
      </w:r>
      <w:r w:rsidRPr="003E76E7">
        <w:rPr>
          <w:rFonts w:ascii="Arial" w:hAnsi="Arial"/>
          <w:b/>
          <w:sz w:val="14"/>
          <w:szCs w:val="14"/>
          <w:lang w:val="en-AU"/>
        </w:rPr>
        <w:tab/>
      </w:r>
      <w:r w:rsidRPr="003E76E7">
        <w:rPr>
          <w:rFonts w:ascii="Arial" w:hAnsi="Arial"/>
          <w:b/>
          <w:sz w:val="14"/>
          <w:szCs w:val="14"/>
          <w:lang w:val="en-AU"/>
        </w:rPr>
        <w:tab/>
      </w:r>
      <w:r w:rsidRPr="003E76E7">
        <w:rPr>
          <w:rFonts w:ascii="Arial" w:hAnsi="Arial"/>
          <w:b/>
          <w:sz w:val="14"/>
          <w:szCs w:val="14"/>
          <w:lang w:val="en-AU"/>
        </w:rPr>
        <w:tab/>
      </w:r>
      <w:r w:rsidRPr="003E76E7">
        <w:rPr>
          <w:rFonts w:ascii="Arial" w:hAnsi="Arial"/>
          <w:b/>
          <w:sz w:val="14"/>
          <w:szCs w:val="14"/>
          <w:lang w:val="en-AU"/>
        </w:rPr>
        <w:tab/>
      </w:r>
      <w:r w:rsidRPr="003E76E7">
        <w:rPr>
          <w:rFonts w:ascii="Arial" w:hAnsi="Arial"/>
          <w:b/>
          <w:sz w:val="14"/>
          <w:szCs w:val="14"/>
          <w:lang w:val="en-AU"/>
        </w:rPr>
        <w:tab/>
      </w:r>
      <w:r w:rsidRPr="003E76E7">
        <w:rPr>
          <w:rFonts w:ascii="Arial" w:hAnsi="Arial"/>
          <w:b/>
          <w:sz w:val="14"/>
          <w:szCs w:val="14"/>
          <w:lang w:val="en-AU"/>
        </w:rPr>
        <w:tab/>
      </w:r>
      <w:r w:rsidRPr="003E76E7">
        <w:rPr>
          <w:rFonts w:ascii="Arial" w:hAnsi="Arial"/>
          <w:b/>
          <w:sz w:val="14"/>
          <w:szCs w:val="14"/>
          <w:lang w:val="en-AU"/>
        </w:rPr>
        <w:tab/>
      </w:r>
      <w:r w:rsidR="00DE0200">
        <w:rPr>
          <w:rFonts w:ascii="Arial" w:hAnsi="Arial"/>
          <w:b/>
          <w:sz w:val="14"/>
          <w:szCs w:val="14"/>
          <w:lang w:val="en-AU"/>
        </w:rPr>
        <w:t>s</w:t>
      </w:r>
    </w:p>
    <w:p w14:paraId="4FC819D0" w14:textId="6F95AA9A" w:rsidR="006D7261" w:rsidRPr="003E76E7" w:rsidRDefault="00ED4EF4" w:rsidP="00C4292D">
      <w:pPr>
        <w:tabs>
          <w:tab w:val="left" w:pos="284"/>
        </w:tabs>
        <w:spacing w:before="0" w:after="0"/>
        <w:ind w:left="284" w:hanging="284"/>
        <w:rPr>
          <w:rFonts w:ascii="Arial" w:hAnsi="Arial"/>
          <w:sz w:val="14"/>
          <w:szCs w:val="14"/>
          <w:lang w:val="en-AU"/>
        </w:rPr>
      </w:pPr>
      <w:r w:rsidRPr="003E76E7">
        <w:rPr>
          <w:rFonts w:ascii="Arial" w:hAnsi="Arial"/>
          <w:sz w:val="14"/>
          <w:szCs w:val="14"/>
          <w:lang w:val="en-AU"/>
        </w:rPr>
        <w:t>a.</w:t>
      </w:r>
      <w:r w:rsidRPr="003E76E7">
        <w:rPr>
          <w:rFonts w:ascii="Arial" w:hAnsi="Arial"/>
          <w:sz w:val="14"/>
          <w:szCs w:val="14"/>
          <w:lang w:val="en-AU"/>
        </w:rPr>
        <w:tab/>
      </w:r>
      <w:r w:rsidR="006D7261" w:rsidRPr="003E76E7">
        <w:rPr>
          <w:rFonts w:ascii="Arial" w:hAnsi="Arial"/>
          <w:sz w:val="14"/>
          <w:szCs w:val="14"/>
          <w:lang w:val="en-AU"/>
        </w:rPr>
        <w:t xml:space="preserve">Prepared on Australian Accounting Standards basis. </w:t>
      </w:r>
      <w:r w:rsidR="006D7261" w:rsidRPr="003E76E7">
        <w:rPr>
          <w:rFonts w:ascii="Arial" w:hAnsi="Arial"/>
          <w:sz w:val="14"/>
          <w:szCs w:val="14"/>
          <w:lang w:val="en-AU"/>
        </w:rPr>
        <w:tab/>
      </w:r>
      <w:r w:rsidR="006D7261" w:rsidRPr="003E76E7">
        <w:rPr>
          <w:rFonts w:ascii="Arial" w:hAnsi="Arial"/>
          <w:sz w:val="14"/>
          <w:szCs w:val="14"/>
          <w:lang w:val="en-AU"/>
        </w:rPr>
        <w:tab/>
      </w:r>
      <w:r w:rsidR="006D7261" w:rsidRPr="003E76E7">
        <w:rPr>
          <w:rFonts w:ascii="Arial" w:hAnsi="Arial"/>
          <w:sz w:val="14"/>
          <w:szCs w:val="14"/>
          <w:lang w:val="en-AU"/>
        </w:rPr>
        <w:tab/>
      </w:r>
      <w:r w:rsidR="006D7261" w:rsidRPr="003E76E7">
        <w:rPr>
          <w:rFonts w:ascii="Arial" w:hAnsi="Arial"/>
          <w:sz w:val="14"/>
          <w:szCs w:val="14"/>
          <w:lang w:val="en-AU"/>
        </w:rPr>
        <w:tab/>
      </w:r>
      <w:r w:rsidR="006D7261" w:rsidRPr="003E76E7">
        <w:rPr>
          <w:rFonts w:ascii="Arial" w:hAnsi="Arial"/>
          <w:sz w:val="14"/>
          <w:szCs w:val="14"/>
          <w:lang w:val="en-AU"/>
        </w:rPr>
        <w:tab/>
      </w:r>
    </w:p>
    <w:p w14:paraId="1A2082B5" w14:textId="5B323EE7" w:rsidR="00ED4EF4" w:rsidRPr="003E76E7" w:rsidRDefault="006D7261" w:rsidP="00C4292D">
      <w:pPr>
        <w:tabs>
          <w:tab w:val="left" w:pos="284"/>
        </w:tabs>
        <w:spacing w:before="0" w:after="0"/>
        <w:ind w:left="284" w:hanging="284"/>
        <w:rPr>
          <w:rFonts w:ascii="Arial" w:hAnsi="Arial"/>
          <w:sz w:val="14"/>
          <w:szCs w:val="14"/>
          <w:lang w:val="en-AU"/>
        </w:rPr>
      </w:pPr>
      <w:r w:rsidRPr="003E76E7">
        <w:rPr>
          <w:rFonts w:ascii="Arial" w:hAnsi="Arial"/>
          <w:sz w:val="14"/>
          <w:szCs w:val="14"/>
          <w:lang w:val="en-AU"/>
        </w:rPr>
        <w:t>b.</w:t>
      </w:r>
      <w:r w:rsidR="00ED4EF4" w:rsidRPr="003E76E7">
        <w:rPr>
          <w:rFonts w:ascii="Arial" w:hAnsi="Arial"/>
          <w:sz w:val="14"/>
          <w:szCs w:val="14"/>
          <w:lang w:val="en-AU"/>
        </w:rPr>
        <w:tab/>
      </w:r>
      <w:r w:rsidR="00ED4EF4" w:rsidRPr="003E76E7">
        <w:rPr>
          <w:rFonts w:ascii="Arial" w:hAnsi="Arial"/>
          <w:sz w:val="14"/>
          <w:szCs w:val="14"/>
          <w:lang w:val="en-AU"/>
        </w:rPr>
        <w:tab/>
      </w:r>
      <w:r w:rsidR="00ED4EF4" w:rsidRPr="003E76E7">
        <w:rPr>
          <w:rFonts w:ascii="Arial" w:hAnsi="Arial"/>
          <w:sz w:val="14"/>
          <w:szCs w:val="14"/>
          <w:lang w:val="en-AU"/>
        </w:rPr>
        <w:tab/>
      </w:r>
      <w:r w:rsidR="00DC61C6" w:rsidRPr="003E76E7">
        <w:rPr>
          <w:rFonts w:ascii="Arial" w:hAnsi="Arial"/>
          <w:sz w:val="14"/>
          <w:szCs w:val="14"/>
          <w:lang w:val="en-AU"/>
        </w:rPr>
        <w:t>From 2010-11, the Government introduced net cash appropriation arrangements that provided non</w:t>
      </w:r>
      <w:r w:rsidR="00DC61C6" w:rsidRPr="003E76E7">
        <w:rPr>
          <w:rFonts w:ascii="Cambria Math" w:hAnsi="Cambria Math" w:cs="Cambria Math"/>
          <w:sz w:val="14"/>
          <w:szCs w:val="14"/>
          <w:lang w:val="en-AU"/>
        </w:rPr>
        <w:t>‑</w:t>
      </w:r>
      <w:r w:rsidR="00DC61C6" w:rsidRPr="003E76E7">
        <w:rPr>
          <w:rFonts w:ascii="Arial" w:hAnsi="Arial"/>
          <w:sz w:val="14"/>
          <w:szCs w:val="14"/>
          <w:lang w:val="en-AU"/>
        </w:rPr>
        <w:t>corporate Commonwealth entities with a separate Departmental Capital Budget (DCB) under Appropriation Bill (No. 1). This replaced revenue appropriations provided under Appropriation Bill (No. 1)</w:t>
      </w:r>
      <w:r w:rsidR="00DC61C6" w:rsidRPr="003E76E7">
        <w:rPr>
          <w:rFonts w:ascii="Arial" w:hAnsi="Arial"/>
          <w:i/>
          <w:sz w:val="14"/>
          <w:szCs w:val="14"/>
          <w:lang w:val="en-AU"/>
        </w:rPr>
        <w:t xml:space="preserve"> </w:t>
      </w:r>
      <w:r w:rsidR="00DC61C6" w:rsidRPr="003E76E7">
        <w:rPr>
          <w:rFonts w:ascii="Arial" w:hAnsi="Arial"/>
          <w:sz w:val="14"/>
          <w:szCs w:val="14"/>
          <w:lang w:val="en-AU"/>
        </w:rPr>
        <w:t>used for the depreciation/amortisation expenses. For information regarding</w:t>
      </w:r>
      <w:r w:rsidR="00B47355">
        <w:rPr>
          <w:rFonts w:ascii="Arial" w:hAnsi="Arial"/>
          <w:sz w:val="14"/>
          <w:szCs w:val="14"/>
          <w:lang w:val="en-AU"/>
        </w:rPr>
        <w:t xml:space="preserve"> DCBs, please refer to Table 10</w:t>
      </w:r>
      <w:r w:rsidR="00DC61C6" w:rsidRPr="003E76E7">
        <w:rPr>
          <w:rFonts w:ascii="Arial" w:hAnsi="Arial"/>
          <w:sz w:val="14"/>
          <w:szCs w:val="14"/>
          <w:lang w:val="en-AU"/>
        </w:rPr>
        <w:t xml:space="preserve"> Departmental Capital Budget Statement.</w:t>
      </w:r>
    </w:p>
    <w:p w14:paraId="6C43164B" w14:textId="035AE0BC" w:rsidR="00ED4EF4" w:rsidRPr="003E76E7" w:rsidRDefault="00ED4EF4" w:rsidP="00C4292D">
      <w:pPr>
        <w:pStyle w:val="TableHeading"/>
        <w:numPr>
          <w:ilvl w:val="0"/>
          <w:numId w:val="101"/>
        </w:numPr>
        <w:spacing w:before="100"/>
        <w:ind w:left="0" w:firstLine="0"/>
        <w:outlineLvl w:val="4"/>
      </w:pPr>
      <w:r w:rsidRPr="003E76E7">
        <w:br w:type="page"/>
      </w:r>
      <w:r w:rsidRPr="003E76E7">
        <w:lastRenderedPageBreak/>
        <w:t>Budgeted Departmental Balance Sheet (as at 30 June)</w:t>
      </w:r>
      <w:r w:rsidR="00B47355">
        <w:t xml:space="preserve"> </w:t>
      </w:r>
      <w:r w:rsidR="00B47355" w:rsidRPr="00B47355">
        <w:rPr>
          <w:vertAlign w:val="superscript"/>
        </w:rPr>
        <w:t>[a]</w:t>
      </w:r>
    </w:p>
    <w:p w14:paraId="64BB3275" w14:textId="7BC71C4A" w:rsidR="00ED4EF4" w:rsidRPr="003E76E7" w:rsidRDefault="00C26E23" w:rsidP="00C4292D">
      <w:r w:rsidRPr="00C26E23">
        <w:rPr>
          <w:noProof/>
          <w:lang w:val="en-AU"/>
        </w:rPr>
        <w:drawing>
          <wp:inline distT="0" distB="0" distL="0" distR="0" wp14:anchorId="0C085F17" wp14:editId="70366F63">
            <wp:extent cx="5472430" cy="3920019"/>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472430" cy="3920019"/>
                    </a:xfrm>
                    <a:prstGeom prst="rect">
                      <a:avLst/>
                    </a:prstGeom>
                    <a:noFill/>
                    <a:ln>
                      <a:noFill/>
                    </a:ln>
                  </pic:spPr>
                </pic:pic>
              </a:graphicData>
            </a:graphic>
          </wp:inline>
        </w:drawing>
      </w:r>
    </w:p>
    <w:p w14:paraId="3B936EB1" w14:textId="1BF15F79" w:rsidR="00367817" w:rsidRPr="003E76E7" w:rsidRDefault="00367817" w:rsidP="00C4292D">
      <w:pPr>
        <w:spacing w:before="0" w:after="0"/>
        <w:rPr>
          <w:rFonts w:ascii="Arial" w:hAnsi="Arial"/>
          <w:b/>
          <w:sz w:val="14"/>
          <w:szCs w:val="14"/>
        </w:rPr>
      </w:pPr>
      <w:r w:rsidRPr="003E76E7">
        <w:rPr>
          <w:rFonts w:ascii="Arial" w:hAnsi="Arial"/>
          <w:b/>
          <w:sz w:val="14"/>
          <w:szCs w:val="14"/>
        </w:rPr>
        <w:tab/>
      </w:r>
      <w:r w:rsidRPr="003E76E7">
        <w:rPr>
          <w:rFonts w:ascii="Arial" w:hAnsi="Arial"/>
          <w:b/>
          <w:sz w:val="14"/>
          <w:szCs w:val="14"/>
        </w:rPr>
        <w:tab/>
      </w:r>
      <w:r w:rsidRPr="003E76E7">
        <w:rPr>
          <w:rFonts w:ascii="Arial" w:hAnsi="Arial"/>
          <w:b/>
          <w:sz w:val="14"/>
          <w:szCs w:val="14"/>
        </w:rPr>
        <w:tab/>
      </w:r>
      <w:r w:rsidRPr="003E76E7">
        <w:rPr>
          <w:rFonts w:ascii="Arial" w:hAnsi="Arial"/>
          <w:b/>
          <w:sz w:val="14"/>
          <w:szCs w:val="14"/>
        </w:rPr>
        <w:tab/>
      </w:r>
      <w:r w:rsidRPr="003E76E7">
        <w:rPr>
          <w:rFonts w:ascii="Arial" w:hAnsi="Arial"/>
          <w:b/>
          <w:sz w:val="14"/>
          <w:szCs w:val="14"/>
        </w:rPr>
        <w:tab/>
      </w:r>
      <w:r w:rsidRPr="003E76E7">
        <w:rPr>
          <w:rFonts w:ascii="Arial" w:hAnsi="Arial"/>
          <w:b/>
          <w:sz w:val="14"/>
          <w:szCs w:val="14"/>
        </w:rPr>
        <w:tab/>
        <w:t>Note</w:t>
      </w:r>
      <w:r w:rsidRPr="003E76E7">
        <w:rPr>
          <w:rFonts w:ascii="Arial" w:hAnsi="Arial"/>
          <w:b/>
          <w:sz w:val="14"/>
          <w:szCs w:val="14"/>
        </w:rPr>
        <w:tab/>
      </w:r>
      <w:r w:rsidRPr="003E76E7">
        <w:rPr>
          <w:rFonts w:ascii="Arial" w:hAnsi="Arial"/>
          <w:b/>
          <w:sz w:val="14"/>
          <w:szCs w:val="14"/>
        </w:rPr>
        <w:tab/>
        <w:t>s</w:t>
      </w:r>
    </w:p>
    <w:p w14:paraId="220A5DB6" w14:textId="77777777" w:rsidR="00367817" w:rsidRPr="003E76E7" w:rsidRDefault="00367817" w:rsidP="00C4292D">
      <w:pPr>
        <w:spacing w:before="0" w:after="0"/>
        <w:ind w:left="284" w:hanging="284"/>
        <w:rPr>
          <w:lang w:val="en-AU"/>
        </w:rPr>
      </w:pPr>
      <w:r w:rsidRPr="003E76E7">
        <w:rPr>
          <w:rFonts w:ascii="Arial" w:hAnsi="Arial"/>
          <w:sz w:val="14"/>
          <w:szCs w:val="14"/>
        </w:rPr>
        <w:t>a.</w:t>
      </w:r>
      <w:r w:rsidRPr="003E76E7">
        <w:rPr>
          <w:rFonts w:ascii="Arial" w:hAnsi="Arial"/>
          <w:sz w:val="14"/>
          <w:szCs w:val="14"/>
        </w:rPr>
        <w:tab/>
        <w:t>Prepared on Australian Accounting Standards basis.</w:t>
      </w:r>
      <w:r w:rsidRPr="003E76E7">
        <w:rPr>
          <w:rFonts w:ascii="Arial" w:hAnsi="Arial"/>
          <w:sz w:val="14"/>
          <w:szCs w:val="14"/>
        </w:rPr>
        <w:tab/>
      </w:r>
      <w:r w:rsidRPr="003E76E7">
        <w:rPr>
          <w:rFonts w:ascii="Arial" w:hAnsi="Arial"/>
          <w:sz w:val="14"/>
          <w:szCs w:val="14"/>
        </w:rPr>
        <w:tab/>
      </w:r>
      <w:r w:rsidRPr="003E76E7">
        <w:rPr>
          <w:rFonts w:ascii="Arial" w:hAnsi="Arial"/>
          <w:sz w:val="14"/>
          <w:szCs w:val="14"/>
        </w:rPr>
        <w:tab/>
      </w:r>
      <w:r w:rsidRPr="003E76E7">
        <w:rPr>
          <w:rFonts w:ascii="Arial" w:hAnsi="Arial"/>
          <w:sz w:val="14"/>
          <w:szCs w:val="14"/>
        </w:rPr>
        <w:tab/>
      </w:r>
      <w:r w:rsidRPr="003E76E7">
        <w:rPr>
          <w:rFonts w:ascii="Arial" w:hAnsi="Arial"/>
          <w:sz w:val="14"/>
          <w:szCs w:val="14"/>
        </w:rPr>
        <w:tab/>
      </w:r>
    </w:p>
    <w:p w14:paraId="7C8B8C0A" w14:textId="6344E0E6" w:rsidR="00ED4EF4" w:rsidRPr="003E76E7" w:rsidRDefault="00367817" w:rsidP="00C4292D">
      <w:pPr>
        <w:spacing w:before="0" w:after="0"/>
        <w:ind w:left="284" w:hanging="284"/>
        <w:rPr>
          <w:rFonts w:ascii="Arial" w:hAnsi="Arial"/>
          <w:sz w:val="14"/>
          <w:szCs w:val="14"/>
          <w:lang w:val="en-AU"/>
        </w:rPr>
      </w:pPr>
      <w:r w:rsidRPr="003E76E7">
        <w:rPr>
          <w:rFonts w:ascii="Arial" w:hAnsi="Arial"/>
          <w:sz w:val="14"/>
          <w:szCs w:val="14"/>
          <w:lang w:val="en-AU"/>
        </w:rPr>
        <w:t>b.</w:t>
      </w:r>
      <w:r w:rsidRPr="003E76E7">
        <w:rPr>
          <w:rFonts w:ascii="Arial" w:hAnsi="Arial"/>
          <w:sz w:val="14"/>
          <w:szCs w:val="14"/>
          <w:lang w:val="en-AU"/>
        </w:rPr>
        <w:tab/>
        <w:t>Equity is the residual interest in assets after the deduction of liabilities.</w:t>
      </w:r>
    </w:p>
    <w:p w14:paraId="10885E29" w14:textId="77777777" w:rsidR="00ED4EF4" w:rsidRPr="003E76E7" w:rsidRDefault="00ED4EF4" w:rsidP="00C4292D"/>
    <w:p w14:paraId="244B589E" w14:textId="77777777" w:rsidR="000252F9" w:rsidRPr="003E76E7" w:rsidRDefault="00ED4EF4" w:rsidP="00C4292D">
      <w:pPr>
        <w:pStyle w:val="TableHeading"/>
        <w:numPr>
          <w:ilvl w:val="0"/>
          <w:numId w:val="101"/>
        </w:numPr>
        <w:spacing w:before="100"/>
        <w:ind w:left="0" w:firstLine="0"/>
        <w:outlineLvl w:val="4"/>
      </w:pPr>
      <w:r w:rsidRPr="003E76E7">
        <w:br w:type="page"/>
      </w:r>
      <w:r w:rsidR="000252F9" w:rsidRPr="003E76E7">
        <w:lastRenderedPageBreak/>
        <w:t xml:space="preserve">Budgeted Departmental Statement of Cash Flows - Summary of Movement </w:t>
      </w:r>
      <w:r w:rsidR="000252F9" w:rsidRPr="003E76E7">
        <w:br/>
        <w:t>(for the period ended 30 June)</w:t>
      </w:r>
    </w:p>
    <w:p w14:paraId="79936DC7" w14:textId="7469AA60" w:rsidR="000252F9" w:rsidRPr="003E76E7" w:rsidRDefault="00271881" w:rsidP="00C4292D">
      <w:r w:rsidRPr="00271881">
        <w:rPr>
          <w:noProof/>
          <w:lang w:val="en-AU"/>
        </w:rPr>
        <w:drawing>
          <wp:inline distT="0" distB="0" distL="0" distR="0" wp14:anchorId="3137B18A" wp14:editId="1FA08C59">
            <wp:extent cx="5472430" cy="4767011"/>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472430" cy="4767011"/>
                    </a:xfrm>
                    <a:prstGeom prst="rect">
                      <a:avLst/>
                    </a:prstGeom>
                    <a:noFill/>
                    <a:ln>
                      <a:noFill/>
                    </a:ln>
                  </pic:spPr>
                </pic:pic>
              </a:graphicData>
            </a:graphic>
          </wp:inline>
        </w:drawing>
      </w:r>
    </w:p>
    <w:p w14:paraId="27E756F7" w14:textId="77777777" w:rsidR="000252F9" w:rsidRPr="003E76E7" w:rsidRDefault="000252F9" w:rsidP="00C4292D"/>
    <w:p w14:paraId="71001C51" w14:textId="77777777" w:rsidR="000252F9" w:rsidRPr="003E76E7" w:rsidRDefault="000252F9" w:rsidP="00C4292D">
      <w:pPr>
        <w:spacing w:before="0" w:after="0"/>
        <w:rPr>
          <w:rFonts w:ascii="Arial" w:hAnsi="Arial"/>
          <w:b/>
          <w:sz w:val="14"/>
          <w:szCs w:val="14"/>
          <w:lang w:val="en-AU"/>
        </w:rPr>
      </w:pPr>
      <w:r w:rsidRPr="003E76E7">
        <w:rPr>
          <w:rFonts w:ascii="Arial" w:hAnsi="Arial"/>
          <w:b/>
          <w:sz w:val="14"/>
          <w:szCs w:val="14"/>
          <w:lang w:val="en-AU"/>
        </w:rPr>
        <w:tab/>
      </w:r>
      <w:r w:rsidRPr="003E76E7">
        <w:rPr>
          <w:rFonts w:ascii="Arial" w:hAnsi="Arial"/>
          <w:b/>
          <w:sz w:val="14"/>
          <w:szCs w:val="14"/>
          <w:lang w:val="en-AU"/>
        </w:rPr>
        <w:tab/>
      </w:r>
      <w:r w:rsidRPr="003E76E7">
        <w:rPr>
          <w:rFonts w:ascii="Arial" w:hAnsi="Arial"/>
          <w:b/>
          <w:sz w:val="14"/>
          <w:szCs w:val="14"/>
          <w:lang w:val="en-AU"/>
        </w:rPr>
        <w:tab/>
      </w:r>
      <w:r w:rsidRPr="003E76E7">
        <w:rPr>
          <w:rFonts w:ascii="Arial" w:hAnsi="Arial"/>
          <w:b/>
          <w:sz w:val="14"/>
          <w:szCs w:val="14"/>
          <w:lang w:val="en-AU"/>
        </w:rPr>
        <w:tab/>
      </w:r>
      <w:r w:rsidRPr="003E76E7">
        <w:rPr>
          <w:rFonts w:ascii="Arial" w:hAnsi="Arial"/>
          <w:b/>
          <w:sz w:val="14"/>
          <w:szCs w:val="14"/>
          <w:lang w:val="en-AU"/>
        </w:rPr>
        <w:tab/>
      </w:r>
    </w:p>
    <w:p w14:paraId="2C5E7F4F" w14:textId="2C4B406B" w:rsidR="00BF718B" w:rsidRPr="003E76E7" w:rsidRDefault="000252F9" w:rsidP="00C4292D">
      <w:pPr>
        <w:pStyle w:val="TableHeading"/>
        <w:numPr>
          <w:ilvl w:val="0"/>
          <w:numId w:val="101"/>
        </w:numPr>
        <w:spacing w:before="100"/>
        <w:ind w:left="0" w:firstLine="0"/>
        <w:outlineLvl w:val="4"/>
      </w:pPr>
      <w:r w:rsidRPr="003E76E7">
        <w:rPr>
          <w:sz w:val="14"/>
          <w:szCs w:val="14"/>
          <w:lang w:val="en-AU"/>
        </w:rPr>
        <w:br w:type="page"/>
      </w:r>
      <w:r w:rsidR="00BF718B" w:rsidRPr="003E76E7">
        <w:lastRenderedPageBreak/>
        <w:t xml:space="preserve">Departmental Statement of Changes in Equity - Summary of Movement </w:t>
      </w:r>
      <w:r w:rsidR="00BF718B" w:rsidRPr="003E76E7">
        <w:br/>
        <w:t>(Budget Year 2026-27)</w:t>
      </w:r>
    </w:p>
    <w:p w14:paraId="4046C7C6" w14:textId="2D9C21C7" w:rsidR="00BF718B" w:rsidRPr="003E76E7" w:rsidRDefault="00B31F25" w:rsidP="00C4292D">
      <w:pPr>
        <w:pStyle w:val="BodyText"/>
      </w:pPr>
      <w:r w:rsidRPr="00B31F25">
        <w:rPr>
          <w:noProof/>
          <w:lang w:val="en-AU"/>
        </w:rPr>
        <w:drawing>
          <wp:inline distT="0" distB="0" distL="0" distR="0" wp14:anchorId="6949BBE9" wp14:editId="55142157">
            <wp:extent cx="5472430" cy="4476625"/>
            <wp:effectExtent l="0" t="0" r="0" b="63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472430" cy="4476625"/>
                    </a:xfrm>
                    <a:prstGeom prst="rect">
                      <a:avLst/>
                    </a:prstGeom>
                    <a:noFill/>
                    <a:ln>
                      <a:noFill/>
                    </a:ln>
                  </pic:spPr>
                </pic:pic>
              </a:graphicData>
            </a:graphic>
          </wp:inline>
        </w:drawing>
      </w:r>
    </w:p>
    <w:p w14:paraId="5A910E8E" w14:textId="35D76BB2" w:rsidR="000252F9" w:rsidRPr="003E76E7" w:rsidDel="00BF718B" w:rsidRDefault="00BF718B" w:rsidP="00C4292D">
      <w:pPr>
        <w:pStyle w:val="BodyText"/>
      </w:pPr>
      <w:r w:rsidRPr="003E76E7">
        <w:br w:type="page"/>
      </w:r>
    </w:p>
    <w:p w14:paraId="40203E17" w14:textId="5D3C74C4" w:rsidR="000252F9" w:rsidRPr="003E76E7" w:rsidRDefault="000252F9" w:rsidP="00C4292D">
      <w:pPr>
        <w:pStyle w:val="TableHeading"/>
        <w:numPr>
          <w:ilvl w:val="0"/>
          <w:numId w:val="101"/>
        </w:numPr>
        <w:spacing w:before="100"/>
        <w:ind w:left="0" w:firstLine="0"/>
        <w:outlineLvl w:val="4"/>
      </w:pPr>
      <w:r w:rsidRPr="003E76E7">
        <w:lastRenderedPageBreak/>
        <w:t>Statement of Departmental Asset Movements (Budget Year 2026-27)</w:t>
      </w:r>
      <w:r w:rsidR="00B47355" w:rsidRPr="00B47355">
        <w:rPr>
          <w:vertAlign w:val="superscript"/>
        </w:rPr>
        <w:t xml:space="preserve"> [a] [b]</w:t>
      </w:r>
    </w:p>
    <w:p w14:paraId="2FFABEF0" w14:textId="28860F80" w:rsidR="000252F9" w:rsidRPr="003E76E7" w:rsidRDefault="00271881" w:rsidP="00C4292D">
      <w:pPr>
        <w:spacing w:after="0"/>
      </w:pPr>
      <w:r w:rsidRPr="00271881">
        <w:rPr>
          <w:noProof/>
          <w:lang w:val="en-AU"/>
        </w:rPr>
        <w:drawing>
          <wp:inline distT="0" distB="0" distL="0" distR="0" wp14:anchorId="1A540972" wp14:editId="272A9AEC">
            <wp:extent cx="4744720" cy="6340475"/>
            <wp:effectExtent l="0" t="0" r="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744720" cy="6340475"/>
                    </a:xfrm>
                    <a:prstGeom prst="rect">
                      <a:avLst/>
                    </a:prstGeom>
                    <a:noFill/>
                    <a:ln>
                      <a:noFill/>
                    </a:ln>
                  </pic:spPr>
                </pic:pic>
              </a:graphicData>
            </a:graphic>
          </wp:inline>
        </w:drawing>
      </w:r>
    </w:p>
    <w:p w14:paraId="417BDB13" w14:textId="77777777" w:rsidR="000252F9" w:rsidRPr="003E76E7" w:rsidRDefault="000252F9" w:rsidP="00C4292D">
      <w:pPr>
        <w:spacing w:before="0" w:after="0"/>
        <w:rPr>
          <w:rFonts w:ascii="Arial" w:hAnsi="Arial"/>
          <w:b/>
          <w:sz w:val="14"/>
          <w:szCs w:val="14"/>
        </w:rPr>
      </w:pPr>
    </w:p>
    <w:p w14:paraId="4790323B" w14:textId="749A3F5A" w:rsidR="000252F9" w:rsidRPr="003E76E7" w:rsidRDefault="000252F9" w:rsidP="00C4292D">
      <w:pPr>
        <w:spacing w:before="0" w:after="0"/>
        <w:rPr>
          <w:rFonts w:ascii="Arial" w:hAnsi="Arial"/>
          <w:b/>
          <w:sz w:val="14"/>
          <w:szCs w:val="14"/>
        </w:rPr>
      </w:pPr>
      <w:r w:rsidRPr="003E76E7">
        <w:rPr>
          <w:rFonts w:ascii="Arial" w:hAnsi="Arial"/>
          <w:b/>
          <w:sz w:val="14"/>
          <w:szCs w:val="14"/>
        </w:rPr>
        <w:t>Note</w:t>
      </w:r>
      <w:r w:rsidR="00367817" w:rsidRPr="003E76E7">
        <w:rPr>
          <w:rFonts w:ascii="Arial" w:hAnsi="Arial"/>
          <w:b/>
          <w:sz w:val="14"/>
          <w:szCs w:val="14"/>
        </w:rPr>
        <w:t>s</w:t>
      </w:r>
    </w:p>
    <w:p w14:paraId="437AC41E" w14:textId="68F7554F" w:rsidR="000252F9" w:rsidRPr="003E76E7" w:rsidRDefault="000252F9" w:rsidP="00C4292D">
      <w:pPr>
        <w:pStyle w:val="ListParagraph"/>
        <w:numPr>
          <w:ilvl w:val="0"/>
          <w:numId w:val="103"/>
        </w:numPr>
        <w:spacing w:before="0"/>
        <w:ind w:left="284" w:hanging="284"/>
        <w:rPr>
          <w:rFonts w:ascii="Arial" w:hAnsi="Arial"/>
          <w:sz w:val="14"/>
          <w:szCs w:val="14"/>
        </w:rPr>
      </w:pPr>
      <w:r w:rsidRPr="003E76E7">
        <w:rPr>
          <w:rFonts w:ascii="Arial" w:hAnsi="Arial"/>
          <w:sz w:val="14"/>
          <w:szCs w:val="14"/>
        </w:rPr>
        <w:t>Prepared on Australian Accounting Standards basis.</w:t>
      </w:r>
      <w:r w:rsidRPr="003E76E7">
        <w:rPr>
          <w:rFonts w:ascii="Arial" w:hAnsi="Arial"/>
          <w:sz w:val="14"/>
          <w:szCs w:val="14"/>
        </w:rPr>
        <w:tab/>
      </w:r>
      <w:r w:rsidRPr="003E76E7">
        <w:rPr>
          <w:rFonts w:ascii="Arial" w:hAnsi="Arial"/>
          <w:sz w:val="14"/>
          <w:szCs w:val="14"/>
        </w:rPr>
        <w:tab/>
      </w:r>
      <w:r w:rsidRPr="003E76E7">
        <w:rPr>
          <w:rFonts w:ascii="Arial" w:hAnsi="Arial"/>
          <w:sz w:val="14"/>
          <w:szCs w:val="14"/>
        </w:rPr>
        <w:tab/>
      </w:r>
    </w:p>
    <w:p w14:paraId="57C28E3C" w14:textId="085FAC63" w:rsidR="000252F9" w:rsidRPr="003E76E7" w:rsidRDefault="000252F9" w:rsidP="00C4292D">
      <w:pPr>
        <w:pStyle w:val="ListParagraph"/>
        <w:numPr>
          <w:ilvl w:val="0"/>
          <w:numId w:val="103"/>
        </w:numPr>
        <w:spacing w:before="0"/>
        <w:ind w:left="284" w:hanging="284"/>
        <w:rPr>
          <w:rFonts w:ascii="Arial" w:hAnsi="Arial"/>
          <w:sz w:val="14"/>
          <w:szCs w:val="14"/>
        </w:rPr>
      </w:pPr>
      <w:r w:rsidRPr="003E76E7">
        <w:rPr>
          <w:rFonts w:ascii="Arial" w:hAnsi="Arial"/>
          <w:sz w:val="14"/>
          <w:szCs w:val="14"/>
        </w:rPr>
        <w:t>Annual appropriation amounts reported are inclusive of Supply Bill arrangements.</w:t>
      </w:r>
      <w:r w:rsidRPr="003E76E7">
        <w:rPr>
          <w:rFonts w:ascii="Arial" w:hAnsi="Arial"/>
          <w:sz w:val="14"/>
          <w:szCs w:val="14"/>
        </w:rPr>
        <w:tab/>
      </w:r>
      <w:r w:rsidRPr="003E76E7">
        <w:rPr>
          <w:rFonts w:ascii="Arial" w:hAnsi="Arial"/>
          <w:sz w:val="14"/>
          <w:szCs w:val="14"/>
        </w:rPr>
        <w:tab/>
      </w:r>
      <w:r w:rsidRPr="003E76E7">
        <w:rPr>
          <w:rFonts w:ascii="Arial" w:hAnsi="Arial"/>
          <w:sz w:val="14"/>
          <w:szCs w:val="14"/>
        </w:rPr>
        <w:tab/>
      </w:r>
    </w:p>
    <w:p w14:paraId="0A1591A2" w14:textId="77777777" w:rsidR="000252F9" w:rsidRPr="003E76E7" w:rsidRDefault="000252F9" w:rsidP="00C4292D">
      <w:pPr>
        <w:pStyle w:val="ListParagraph"/>
        <w:numPr>
          <w:ilvl w:val="0"/>
          <w:numId w:val="103"/>
        </w:numPr>
        <w:spacing w:before="0"/>
        <w:ind w:left="284" w:hanging="284"/>
        <w:rPr>
          <w:rFonts w:ascii="Arial" w:hAnsi="Arial"/>
          <w:sz w:val="14"/>
          <w:szCs w:val="14"/>
        </w:rPr>
      </w:pPr>
      <w:r w:rsidRPr="003E76E7">
        <w:rPr>
          <w:rFonts w:ascii="Arial" w:hAnsi="Arial"/>
          <w:sz w:val="14"/>
          <w:szCs w:val="14"/>
        </w:rPr>
        <w:t>‘Appropriation equity’ refers to equity injection appropriations provided through Appropriation Bill (No. 2) 2026-2027 and includes Collection Development Acquisition Budgets (CDABs).</w:t>
      </w:r>
    </w:p>
    <w:p w14:paraId="1E73D1B0" w14:textId="3017549B" w:rsidR="000252F9" w:rsidRPr="003E76E7" w:rsidRDefault="000252F9" w:rsidP="00C4292D">
      <w:pPr>
        <w:spacing w:before="0"/>
        <w:rPr>
          <w:rFonts w:ascii="Arial" w:hAnsi="Arial"/>
          <w:sz w:val="14"/>
          <w:szCs w:val="14"/>
        </w:rPr>
      </w:pPr>
      <w:r w:rsidRPr="003E76E7">
        <w:rPr>
          <w:rFonts w:ascii="Arial" w:hAnsi="Arial"/>
          <w:sz w:val="14"/>
          <w:szCs w:val="14"/>
        </w:rPr>
        <w:tab/>
      </w:r>
      <w:r w:rsidRPr="003E76E7">
        <w:rPr>
          <w:rFonts w:ascii="Arial" w:hAnsi="Arial"/>
          <w:sz w:val="14"/>
          <w:szCs w:val="14"/>
        </w:rPr>
        <w:tab/>
      </w:r>
      <w:r w:rsidRPr="003E76E7">
        <w:rPr>
          <w:rFonts w:ascii="Arial" w:hAnsi="Arial"/>
          <w:sz w:val="14"/>
          <w:szCs w:val="14"/>
        </w:rPr>
        <w:tab/>
      </w:r>
      <w:r w:rsidRPr="003E76E7">
        <w:rPr>
          <w:rFonts w:ascii="Arial" w:hAnsi="Arial"/>
          <w:sz w:val="14"/>
          <w:szCs w:val="14"/>
        </w:rPr>
        <w:br w:type="page"/>
      </w:r>
    </w:p>
    <w:p w14:paraId="76EB08A5" w14:textId="0F8343B0" w:rsidR="00BF718B" w:rsidRPr="003E76E7" w:rsidRDefault="00BF718B" w:rsidP="00C4292D">
      <w:pPr>
        <w:pStyle w:val="TableHeading"/>
        <w:numPr>
          <w:ilvl w:val="0"/>
          <w:numId w:val="101"/>
        </w:numPr>
        <w:spacing w:before="100"/>
        <w:ind w:left="0" w:firstLine="0"/>
        <w:outlineLvl w:val="4"/>
      </w:pPr>
      <w:r w:rsidRPr="003E76E7">
        <w:lastRenderedPageBreak/>
        <w:t>Departmental Capital Budget Statement (for the period ended 30 June)</w:t>
      </w:r>
      <w:r w:rsidR="00902667" w:rsidRPr="003E76E7">
        <w:t xml:space="preserve"> </w:t>
      </w:r>
      <w:r w:rsidR="00902667" w:rsidRPr="003E76E7">
        <w:rPr>
          <w:vertAlign w:val="superscript"/>
        </w:rPr>
        <w:t>[a] [b]</w:t>
      </w:r>
    </w:p>
    <w:p w14:paraId="31B7A870" w14:textId="403E1991" w:rsidR="00BF718B" w:rsidRPr="003E76E7" w:rsidRDefault="00271881" w:rsidP="00C4292D">
      <w:pPr>
        <w:pStyle w:val="BodyText"/>
      </w:pPr>
      <w:r w:rsidRPr="00271881">
        <w:rPr>
          <w:noProof/>
          <w:lang w:val="en-AU"/>
        </w:rPr>
        <w:drawing>
          <wp:inline distT="0" distB="0" distL="0" distR="0" wp14:anchorId="24723F39" wp14:editId="7323EA54">
            <wp:extent cx="5472430" cy="3539140"/>
            <wp:effectExtent l="0" t="0" r="0" b="444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472430" cy="3539140"/>
                    </a:xfrm>
                    <a:prstGeom prst="rect">
                      <a:avLst/>
                    </a:prstGeom>
                    <a:noFill/>
                    <a:ln>
                      <a:noFill/>
                    </a:ln>
                  </pic:spPr>
                </pic:pic>
              </a:graphicData>
            </a:graphic>
          </wp:inline>
        </w:drawing>
      </w:r>
    </w:p>
    <w:p w14:paraId="1989DEBA" w14:textId="145B1009" w:rsidR="009677F7" w:rsidRPr="003E76E7" w:rsidRDefault="009677F7" w:rsidP="00C4292D">
      <w:pPr>
        <w:pStyle w:val="BodyText"/>
        <w:spacing w:before="0" w:after="0"/>
        <w:rPr>
          <w:rFonts w:ascii="Arial" w:hAnsi="Arial"/>
          <w:b/>
          <w:sz w:val="14"/>
          <w:szCs w:val="14"/>
        </w:rPr>
      </w:pPr>
      <w:r w:rsidRPr="003E76E7">
        <w:rPr>
          <w:rFonts w:ascii="Arial" w:hAnsi="Arial"/>
          <w:b/>
          <w:sz w:val="14"/>
          <w:szCs w:val="14"/>
        </w:rPr>
        <w:t>Note</w:t>
      </w:r>
      <w:r w:rsidR="00367817" w:rsidRPr="003E76E7">
        <w:rPr>
          <w:rFonts w:ascii="Arial" w:hAnsi="Arial"/>
          <w:b/>
          <w:sz w:val="14"/>
          <w:szCs w:val="14"/>
        </w:rPr>
        <w:t>s</w:t>
      </w:r>
    </w:p>
    <w:p w14:paraId="60CC1661" w14:textId="5B72A9EB" w:rsidR="009677F7" w:rsidRPr="003E76E7" w:rsidRDefault="009677F7" w:rsidP="00C4292D">
      <w:pPr>
        <w:pStyle w:val="BodyText"/>
        <w:spacing w:before="0" w:after="0"/>
        <w:ind w:left="284" w:hanging="284"/>
        <w:rPr>
          <w:rFonts w:ascii="Arial" w:hAnsi="Arial"/>
          <w:sz w:val="14"/>
          <w:szCs w:val="14"/>
        </w:rPr>
      </w:pPr>
      <w:r w:rsidRPr="003E76E7">
        <w:rPr>
          <w:rFonts w:ascii="Arial" w:hAnsi="Arial"/>
          <w:sz w:val="14"/>
          <w:szCs w:val="14"/>
        </w:rPr>
        <w:t>a.</w:t>
      </w:r>
      <w:r w:rsidRPr="003E76E7">
        <w:rPr>
          <w:rFonts w:ascii="Arial" w:hAnsi="Arial"/>
          <w:sz w:val="14"/>
          <w:szCs w:val="14"/>
        </w:rPr>
        <w:tab/>
        <w:t>Prepared on Australian Accounting Standards basis.</w:t>
      </w:r>
      <w:r w:rsidRPr="003E76E7">
        <w:rPr>
          <w:rFonts w:ascii="Arial" w:hAnsi="Arial"/>
          <w:sz w:val="14"/>
          <w:szCs w:val="14"/>
        </w:rPr>
        <w:tab/>
      </w:r>
      <w:r w:rsidRPr="003E76E7">
        <w:rPr>
          <w:rFonts w:ascii="Arial" w:hAnsi="Arial"/>
          <w:sz w:val="14"/>
          <w:szCs w:val="14"/>
        </w:rPr>
        <w:tab/>
      </w:r>
      <w:r w:rsidRPr="003E76E7">
        <w:rPr>
          <w:rFonts w:ascii="Arial" w:hAnsi="Arial"/>
          <w:sz w:val="14"/>
          <w:szCs w:val="14"/>
        </w:rPr>
        <w:tab/>
      </w:r>
      <w:r w:rsidRPr="003E76E7">
        <w:rPr>
          <w:rFonts w:ascii="Arial" w:hAnsi="Arial"/>
          <w:sz w:val="14"/>
          <w:szCs w:val="14"/>
        </w:rPr>
        <w:tab/>
      </w:r>
      <w:r w:rsidRPr="003E76E7">
        <w:rPr>
          <w:rFonts w:ascii="Arial" w:hAnsi="Arial"/>
          <w:sz w:val="14"/>
          <w:szCs w:val="14"/>
        </w:rPr>
        <w:tab/>
      </w:r>
    </w:p>
    <w:p w14:paraId="10838113" w14:textId="2D95770C" w:rsidR="009677F7" w:rsidRPr="003E76E7" w:rsidRDefault="009677F7" w:rsidP="00C4292D">
      <w:pPr>
        <w:pStyle w:val="BodyText"/>
        <w:spacing w:before="0" w:after="0"/>
        <w:ind w:left="284" w:hanging="284"/>
        <w:rPr>
          <w:rFonts w:ascii="Arial" w:hAnsi="Arial"/>
          <w:sz w:val="14"/>
          <w:szCs w:val="14"/>
        </w:rPr>
      </w:pPr>
      <w:r w:rsidRPr="003E76E7">
        <w:rPr>
          <w:rFonts w:ascii="Arial" w:hAnsi="Arial"/>
          <w:sz w:val="14"/>
          <w:szCs w:val="14"/>
        </w:rPr>
        <w:t>b.</w:t>
      </w:r>
      <w:r w:rsidRPr="003E76E7">
        <w:rPr>
          <w:rFonts w:ascii="Arial" w:hAnsi="Arial"/>
          <w:sz w:val="14"/>
          <w:szCs w:val="14"/>
        </w:rPr>
        <w:tab/>
        <w:t>Annual appropriation amounts reported are inclusive of Supply Bill arrangements.</w:t>
      </w:r>
      <w:r w:rsidRPr="003E76E7">
        <w:rPr>
          <w:rFonts w:ascii="Arial" w:hAnsi="Arial"/>
          <w:sz w:val="14"/>
          <w:szCs w:val="14"/>
        </w:rPr>
        <w:tab/>
      </w:r>
      <w:r w:rsidRPr="003E76E7">
        <w:rPr>
          <w:rFonts w:ascii="Arial" w:hAnsi="Arial"/>
          <w:sz w:val="14"/>
          <w:szCs w:val="14"/>
        </w:rPr>
        <w:tab/>
      </w:r>
      <w:r w:rsidRPr="003E76E7">
        <w:rPr>
          <w:rFonts w:ascii="Arial" w:hAnsi="Arial"/>
          <w:sz w:val="14"/>
          <w:szCs w:val="14"/>
        </w:rPr>
        <w:tab/>
      </w:r>
      <w:r w:rsidRPr="003E76E7">
        <w:rPr>
          <w:rFonts w:ascii="Arial" w:hAnsi="Arial"/>
          <w:sz w:val="14"/>
          <w:szCs w:val="14"/>
        </w:rPr>
        <w:tab/>
      </w:r>
      <w:r w:rsidRPr="003E76E7">
        <w:rPr>
          <w:rFonts w:ascii="Arial" w:hAnsi="Arial"/>
          <w:sz w:val="14"/>
          <w:szCs w:val="14"/>
        </w:rPr>
        <w:tab/>
      </w:r>
    </w:p>
    <w:p w14:paraId="0926A91F" w14:textId="561B647C" w:rsidR="009677F7" w:rsidRPr="003E76E7" w:rsidRDefault="009677F7" w:rsidP="00C4292D">
      <w:pPr>
        <w:pStyle w:val="BodyText"/>
        <w:spacing w:before="0" w:after="0"/>
        <w:ind w:left="284" w:hanging="284"/>
        <w:rPr>
          <w:rFonts w:ascii="Arial" w:hAnsi="Arial"/>
          <w:sz w:val="14"/>
          <w:szCs w:val="14"/>
        </w:rPr>
      </w:pPr>
      <w:r w:rsidRPr="003E76E7">
        <w:rPr>
          <w:rFonts w:ascii="Arial" w:hAnsi="Arial"/>
          <w:sz w:val="14"/>
          <w:szCs w:val="14"/>
        </w:rPr>
        <w:t>c.</w:t>
      </w:r>
      <w:r w:rsidR="00367817" w:rsidRPr="003E76E7">
        <w:rPr>
          <w:rFonts w:ascii="Arial" w:hAnsi="Arial"/>
          <w:sz w:val="14"/>
          <w:szCs w:val="14"/>
        </w:rPr>
        <w:tab/>
      </w:r>
      <w:r w:rsidRPr="003E76E7">
        <w:rPr>
          <w:rFonts w:ascii="Arial" w:hAnsi="Arial"/>
          <w:sz w:val="14"/>
          <w:szCs w:val="14"/>
        </w:rPr>
        <w:t>Includes purchases from current and previous years' Departmental Capital Budgets (DCBs).</w:t>
      </w:r>
      <w:r w:rsidRPr="003E76E7">
        <w:rPr>
          <w:rFonts w:ascii="Arial" w:hAnsi="Arial"/>
          <w:sz w:val="14"/>
          <w:szCs w:val="14"/>
        </w:rPr>
        <w:tab/>
      </w:r>
      <w:r w:rsidRPr="003E76E7">
        <w:rPr>
          <w:rFonts w:ascii="Arial" w:hAnsi="Arial"/>
          <w:sz w:val="14"/>
          <w:szCs w:val="14"/>
        </w:rPr>
        <w:tab/>
      </w:r>
      <w:r w:rsidRPr="003E76E7">
        <w:rPr>
          <w:rFonts w:ascii="Arial" w:hAnsi="Arial"/>
          <w:sz w:val="14"/>
          <w:szCs w:val="14"/>
        </w:rPr>
        <w:tab/>
      </w:r>
      <w:r w:rsidRPr="003E76E7">
        <w:rPr>
          <w:rFonts w:ascii="Arial" w:hAnsi="Arial"/>
          <w:sz w:val="14"/>
          <w:szCs w:val="14"/>
        </w:rPr>
        <w:tab/>
      </w:r>
      <w:r w:rsidRPr="003E76E7">
        <w:rPr>
          <w:rFonts w:ascii="Arial" w:hAnsi="Arial"/>
          <w:sz w:val="14"/>
          <w:szCs w:val="14"/>
        </w:rPr>
        <w:tab/>
      </w:r>
    </w:p>
    <w:p w14:paraId="0AFC2F54" w14:textId="77777777" w:rsidR="009677F7" w:rsidRPr="003E76E7" w:rsidRDefault="009677F7" w:rsidP="00C4292D">
      <w:pPr>
        <w:pStyle w:val="BodyText"/>
      </w:pPr>
    </w:p>
    <w:p w14:paraId="6DC5AC53" w14:textId="77777777" w:rsidR="00BF718B" w:rsidRPr="003E76E7" w:rsidRDefault="00BF718B" w:rsidP="00C4292D">
      <w:pPr>
        <w:spacing w:before="0" w:after="0"/>
        <w:rPr>
          <w:rFonts w:ascii="Arial" w:hAnsi="Arial" w:cs="Times New Roman"/>
          <w:b/>
          <w:bCs/>
          <w:sz w:val="22"/>
          <w:szCs w:val="28"/>
        </w:rPr>
      </w:pPr>
      <w:r w:rsidRPr="003E76E7">
        <w:br w:type="page"/>
      </w:r>
    </w:p>
    <w:p w14:paraId="5C6B509C" w14:textId="7A27AD06" w:rsidR="00ED4EF4" w:rsidRPr="003E76E7" w:rsidRDefault="00ED4EF4" w:rsidP="00C4292D">
      <w:pPr>
        <w:pStyle w:val="Heading4level5"/>
        <w:spacing w:before="120" w:after="120"/>
      </w:pPr>
      <w:r w:rsidRPr="003E76E7">
        <w:lastRenderedPageBreak/>
        <w:t>3.2.2 Notes to the Budgeted Financial Statements</w:t>
      </w:r>
    </w:p>
    <w:p w14:paraId="66304B95" w14:textId="7714B207" w:rsidR="00ED4EF4" w:rsidRPr="003E76E7" w:rsidRDefault="00ED4EF4" w:rsidP="00C4292D">
      <w:pPr>
        <w:spacing w:before="60" w:after="60" w:line="256" w:lineRule="auto"/>
      </w:pPr>
      <w:r w:rsidRPr="003E76E7">
        <w:t>The budgeted financial statements have been prepared in accordance with the Australian Accounting Standards and the Public Governance, Performance and Accountability (Financial Reporting) Rule 2015 (FRR).</w:t>
      </w:r>
    </w:p>
    <w:p w14:paraId="7F2C269C" w14:textId="0A681D33" w:rsidR="00F93DCB" w:rsidRPr="003E76E7" w:rsidRDefault="00F93DCB" w:rsidP="00C4292D">
      <w:pPr>
        <w:sectPr w:rsidR="00F93DCB" w:rsidRPr="003E76E7" w:rsidSect="00FF46AE">
          <w:headerReference w:type="even" r:id="rId219"/>
          <w:headerReference w:type="default" r:id="rId220"/>
          <w:footerReference w:type="even" r:id="rId221"/>
          <w:footerReference w:type="default" r:id="rId222"/>
          <w:pgSz w:w="11907" w:h="16840" w:code="9"/>
          <w:pgMar w:top="1701" w:right="1361" w:bottom="1701" w:left="1928" w:header="720" w:footer="720" w:gutter="0"/>
          <w:cols w:space="720"/>
          <w:noEndnote/>
        </w:sectPr>
      </w:pPr>
    </w:p>
    <w:p w14:paraId="3F430A9A" w14:textId="77777777" w:rsidR="002B42B9" w:rsidRPr="003E76E7" w:rsidRDefault="002B42B9" w:rsidP="00C4292D">
      <w:pPr>
        <w:pStyle w:val="Heading2"/>
        <w:spacing w:before="0" w:after="100"/>
        <w:rPr>
          <w:rFonts w:ascii="Arial Bold" w:hAnsi="Arial Bold"/>
          <w:b/>
          <w:sz w:val="36"/>
          <w:szCs w:val="36"/>
        </w:rPr>
      </w:pPr>
      <w:bookmarkStart w:id="2459" w:name="_Toc476581176"/>
      <w:bookmarkStart w:id="2460" w:name="_Toc501442191"/>
      <w:bookmarkStart w:id="2461" w:name="_Toc503861132"/>
      <w:bookmarkStart w:id="2462" w:name="_Toc534886365"/>
      <w:bookmarkStart w:id="2463" w:name="_Toc534886558"/>
      <w:bookmarkStart w:id="2464" w:name="_Toc534908485"/>
      <w:bookmarkStart w:id="2465" w:name="_Toc23502321"/>
      <w:bookmarkStart w:id="2466" w:name="_Toc56431426"/>
      <w:bookmarkStart w:id="2467" w:name="_Toc56431541"/>
      <w:bookmarkStart w:id="2468" w:name="_Toc62822961"/>
      <w:bookmarkStart w:id="2469" w:name="_Toc62823057"/>
      <w:bookmarkStart w:id="2470" w:name="_Toc62823218"/>
      <w:bookmarkStart w:id="2471" w:name="_Toc93329745"/>
      <w:bookmarkStart w:id="2472" w:name="_Toc93330413"/>
      <w:bookmarkStart w:id="2473" w:name="_Toc93331407"/>
      <w:bookmarkStart w:id="2474" w:name="_Toc149060158"/>
      <w:bookmarkStart w:id="2475" w:name="_Toc149116042"/>
      <w:bookmarkStart w:id="2476" w:name="_Toc149233155"/>
      <w:bookmarkStart w:id="2477" w:name="_Toc155955171"/>
      <w:bookmarkStart w:id="2478" w:name="_Toc218594968"/>
      <w:bookmarkStart w:id="2479" w:name="_Toc218596352"/>
      <w:bookmarkStart w:id="2480" w:name="_Toc218596705"/>
      <w:bookmarkStart w:id="2481" w:name="_Toc218596844"/>
      <w:bookmarkStart w:id="2482" w:name="_Toc218597088"/>
      <w:bookmarkStart w:id="2483" w:name="_Toc218597224"/>
      <w:bookmarkStart w:id="2484" w:name="_Toc218597729"/>
      <w:bookmarkStart w:id="2485" w:name="_Toc218597866"/>
      <w:bookmarkStart w:id="2486" w:name="_Toc218761761"/>
      <w:bookmarkStart w:id="2487" w:name="_Toc218765493"/>
      <w:bookmarkStart w:id="2488" w:name="_Toc218765573"/>
      <w:bookmarkStart w:id="2489" w:name="_Toc219290712"/>
      <w:bookmarkStart w:id="2490" w:name="_Toc222129995"/>
      <w:bookmarkStart w:id="2491" w:name="_Toc222148416"/>
      <w:bookmarkStart w:id="2492" w:name="_Toc225848044"/>
      <w:bookmarkStart w:id="2493" w:name="_Toc225848127"/>
      <w:bookmarkStart w:id="2494" w:name="_Toc225848210"/>
      <w:bookmarkStart w:id="2495" w:name="_Toc225848280"/>
      <w:bookmarkStart w:id="2496" w:name="_Toc225848549"/>
      <w:bookmarkStart w:id="2497" w:name="_Toc225941618"/>
      <w:bookmarkStart w:id="2498" w:name="_Toc225942625"/>
      <w:bookmarkStart w:id="2499" w:name="_Toc227334434"/>
      <w:bookmarkStart w:id="2500" w:name="_Toc229072510"/>
      <w:bookmarkStart w:id="2501" w:name="_Toc229072682"/>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r w:rsidRPr="003E76E7">
        <w:rPr>
          <w:rFonts w:ascii="Arial Bold" w:hAnsi="Arial Bold"/>
          <w:b/>
          <w:sz w:val="36"/>
          <w:szCs w:val="36"/>
        </w:rPr>
        <w:lastRenderedPageBreak/>
        <w:t>Glossary</w:t>
      </w:r>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p>
    <w:tbl>
      <w:tblPr>
        <w:tblW w:w="5001" w:type="pct"/>
        <w:tblLayout w:type="fixed"/>
        <w:tblCellMar>
          <w:top w:w="20" w:type="dxa"/>
          <w:left w:w="100" w:type="dxa"/>
          <w:bottom w:w="4" w:type="dxa"/>
          <w:right w:w="100" w:type="dxa"/>
        </w:tblCellMar>
        <w:tblLook w:val="0000" w:firstRow="0" w:lastRow="0" w:firstColumn="0" w:lastColumn="0" w:noHBand="0" w:noVBand="0"/>
      </w:tblPr>
      <w:tblGrid>
        <w:gridCol w:w="1854"/>
        <w:gridCol w:w="6756"/>
      </w:tblGrid>
      <w:tr w:rsidR="002B42B9" w:rsidRPr="003E76E7" w14:paraId="2E79FBF1" w14:textId="77777777" w:rsidTr="000E1A17">
        <w:trPr>
          <w:cantSplit/>
          <w:trHeight w:val="387"/>
          <w:tblHeader/>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vAlign w:val="center"/>
          </w:tcPr>
          <w:p w14:paraId="09FA8C31" w14:textId="77777777" w:rsidR="002B42B9" w:rsidRPr="003E76E7" w:rsidRDefault="002B42B9" w:rsidP="00C4292D">
            <w:pPr>
              <w:pStyle w:val="HeadingRunIn"/>
              <w:keepNext w:val="0"/>
              <w:suppressAutoHyphens/>
              <w:spacing w:before="10" w:after="48" w:line="220" w:lineRule="atLeast"/>
              <w:rPr>
                <w:rFonts w:ascii="Arial" w:hAnsi="Arial" w:cs="Arial"/>
                <w:bCs w:val="0"/>
                <w:w w:val="100"/>
                <w:sz w:val="18"/>
                <w:szCs w:val="18"/>
                <w:lang w:val="en-AU"/>
              </w:rPr>
            </w:pPr>
            <w:r w:rsidRPr="003E76E7">
              <w:rPr>
                <w:rFonts w:ascii="Arial" w:hAnsi="Arial" w:cs="Arial"/>
                <w:bCs w:val="0"/>
                <w:w w:val="100"/>
                <w:sz w:val="18"/>
                <w:szCs w:val="18"/>
                <w:lang w:val="en-AU"/>
              </w:rPr>
              <w:t>Term</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vAlign w:val="center"/>
          </w:tcPr>
          <w:p w14:paraId="6BE0E9E6" w14:textId="77777777" w:rsidR="002B42B9" w:rsidRPr="003E76E7" w:rsidRDefault="002B42B9" w:rsidP="00C4292D">
            <w:pPr>
              <w:pStyle w:val="HeadingRunIn"/>
              <w:keepNext w:val="0"/>
              <w:suppressAutoHyphens/>
              <w:spacing w:before="10" w:after="48" w:line="220" w:lineRule="atLeast"/>
              <w:rPr>
                <w:rFonts w:ascii="Arial" w:hAnsi="Arial" w:cs="Arial"/>
                <w:bCs w:val="0"/>
                <w:w w:val="100"/>
                <w:sz w:val="18"/>
                <w:szCs w:val="18"/>
                <w:lang w:val="en-AU"/>
              </w:rPr>
            </w:pPr>
            <w:r w:rsidRPr="003E76E7">
              <w:rPr>
                <w:rFonts w:ascii="Arial" w:hAnsi="Arial" w:cs="Arial"/>
                <w:bCs w:val="0"/>
                <w:w w:val="100"/>
                <w:sz w:val="18"/>
                <w:szCs w:val="18"/>
                <w:lang w:val="en-AU"/>
              </w:rPr>
              <w:t>Meaning</w:t>
            </w:r>
          </w:p>
        </w:tc>
      </w:tr>
      <w:tr w:rsidR="002B42B9" w:rsidRPr="003E76E7" w14:paraId="3AA28C78" w14:textId="77777777" w:rsidTr="0085357D">
        <w:trPr>
          <w:cantSplit/>
          <w:trHeight w:val="50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18C308DF"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Accumulated depreciation</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0D380EF5"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The aggregate depreciation recorded for a particular depreciating asset.</w:t>
            </w:r>
          </w:p>
        </w:tc>
      </w:tr>
      <w:tr w:rsidR="002B42B9" w:rsidRPr="003E76E7" w14:paraId="28CCF672" w14:textId="77777777" w:rsidTr="0085357D">
        <w:trPr>
          <w:cantSplit/>
          <w:trHeight w:val="50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08F3ABAB"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Additional estimates</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070D6AF5"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Where amounts appropriated at Budget time are required to change, Parliament may make adjustments to portfolios through the Additional Estimates Acts.</w:t>
            </w:r>
          </w:p>
        </w:tc>
      </w:tr>
      <w:tr w:rsidR="002B42B9" w:rsidRPr="003E76E7" w14:paraId="1EF49CF9" w14:textId="77777777" w:rsidTr="0085357D">
        <w:trPr>
          <w:cantSplit/>
          <w:trHeight w:val="72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5A174B27"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Administered appropriation</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4AAB0BE8"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Revenue, expenses, assets and liabilities administered by an agency for the Commonwealth (such as taxes, benefits payments and public debt) that are not concerned with running the agency or its commercial activities.</w:t>
            </w:r>
          </w:p>
        </w:tc>
      </w:tr>
      <w:tr w:rsidR="002B42B9" w:rsidRPr="003E76E7" w14:paraId="79A8E4CC" w14:textId="77777777" w:rsidTr="0085357D">
        <w:trPr>
          <w:cantSplit/>
          <w:trHeight w:val="94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2936C032"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Administered items</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3477F96F"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Expenses, revenues, assets or liabilities managed by an agency on behalf of the Commonwealth. Agencies do not control administered items. Administered expenses include subsidies and benefits. In many cases, administered expenses fund the delivery of third party outputs.</w:t>
            </w:r>
          </w:p>
        </w:tc>
      </w:tr>
      <w:tr w:rsidR="002B42B9" w:rsidRPr="003E76E7" w14:paraId="5053EFD6" w14:textId="77777777" w:rsidTr="0085357D">
        <w:trPr>
          <w:cantSplit/>
          <w:trHeight w:val="50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5F5E5F44"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Agency</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4279A8F7"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Assets, liabilities, revenues and expenses that are controlled by Defence or a subsidiary. Includes officials allocated to the organisation.</w:t>
            </w:r>
          </w:p>
        </w:tc>
      </w:tr>
      <w:tr w:rsidR="002B42B9" w:rsidRPr="003E76E7" w14:paraId="4657B33B" w14:textId="77777777" w:rsidTr="0085357D">
        <w:trPr>
          <w:cantSplit/>
          <w:trHeight w:val="72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3F24B1FE"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Amortisation</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7DCD4186"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A term used interchangeably with depreciation, except that it applies to a non-current physical asset under finance lease, or a non-current intangible asset, over its limited useful life.</w:t>
            </w:r>
          </w:p>
        </w:tc>
      </w:tr>
      <w:tr w:rsidR="002B42B9" w:rsidRPr="003E76E7" w14:paraId="17C6528F" w14:textId="77777777" w:rsidTr="0085357D">
        <w:trPr>
          <w:cantSplit/>
          <w:trHeight w:val="50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2D83BA86" w14:textId="77777777" w:rsidR="002B42B9" w:rsidRPr="003E76E7" w:rsidRDefault="002B42B9" w:rsidP="00C4292D">
            <w:pPr>
              <w:pStyle w:val="HeadingRunIn"/>
              <w:keepNext w:val="0"/>
              <w:suppressAutoHyphens/>
              <w:spacing w:before="10" w:after="48" w:line="220" w:lineRule="atLeast"/>
              <w:rPr>
                <w:rFonts w:ascii="Arial" w:hAnsi="Arial" w:cs="Arial"/>
                <w:b w:val="0"/>
                <w:bCs w:val="0"/>
                <w:w w:val="100"/>
                <w:sz w:val="18"/>
                <w:szCs w:val="18"/>
                <w:lang w:val="en-AU"/>
              </w:rPr>
            </w:pPr>
            <w:r w:rsidRPr="003E76E7">
              <w:rPr>
                <w:rFonts w:ascii="Arial" w:hAnsi="Arial" w:cs="Arial"/>
                <w:b w:val="0"/>
                <w:bCs w:val="0"/>
                <w:w w:val="100"/>
                <w:sz w:val="18"/>
                <w:szCs w:val="18"/>
                <w:lang w:val="en-AU"/>
              </w:rPr>
              <w:t>Annual appropriation</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31976339" w14:textId="77777777" w:rsidR="002B42B9" w:rsidRPr="003E76E7" w:rsidRDefault="002B42B9" w:rsidP="00C4292D">
            <w:pPr>
              <w:pStyle w:val="HeadingRunIn"/>
              <w:keepNext w:val="0"/>
              <w:suppressAutoHyphens/>
              <w:spacing w:before="10" w:after="48" w:line="220" w:lineRule="atLeast"/>
              <w:rPr>
                <w:rFonts w:ascii="Arial" w:hAnsi="Arial" w:cs="Arial"/>
                <w:b w:val="0"/>
                <w:bCs w:val="0"/>
                <w:w w:val="100"/>
                <w:sz w:val="18"/>
                <w:szCs w:val="18"/>
                <w:lang w:val="en-AU"/>
              </w:rPr>
            </w:pPr>
            <w:r w:rsidRPr="003E76E7">
              <w:rPr>
                <w:rFonts w:ascii="Arial" w:hAnsi="Arial" w:cs="Arial"/>
                <w:b w:val="0"/>
                <w:bCs w:val="0"/>
                <w:w w:val="100"/>
                <w:sz w:val="18"/>
                <w:szCs w:val="18"/>
                <w:lang w:val="en-AU"/>
              </w:rPr>
              <w:t>Two Appropriation Bills are introduced into Parliament in May and comprise the Budget for the financial year beginning 1 July. Further Bills are introduced later in the financial year as part of the Additional Estimates.</w:t>
            </w:r>
          </w:p>
        </w:tc>
      </w:tr>
      <w:tr w:rsidR="002B42B9" w:rsidRPr="003E76E7" w14:paraId="3D30CD01" w14:textId="77777777" w:rsidTr="0085357D">
        <w:trPr>
          <w:cantSplit/>
          <w:trHeight w:val="50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2E59EB0D"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Appropriation</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4A9B26EA"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An authorisation by Parliament to spend money from the Consolidated Revenue Fund (the principal working fund of the Commonwealth) for a particular purpose.</w:t>
            </w:r>
          </w:p>
        </w:tc>
      </w:tr>
      <w:tr w:rsidR="002B42B9" w:rsidRPr="003E76E7" w14:paraId="1B28BFBC" w14:textId="77777777" w:rsidTr="0085357D">
        <w:trPr>
          <w:cantSplit/>
          <w:trHeight w:val="72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14356BB8"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Asset</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607228D7" w14:textId="77777777" w:rsidR="002B42B9" w:rsidRPr="003E76E7" w:rsidRDefault="002B42B9" w:rsidP="00C4292D">
            <w:pPr>
              <w:pStyle w:val="HeadingRunIn"/>
              <w:keepNext w:val="0"/>
              <w:suppressAutoHyphens/>
              <w:spacing w:before="10" w:line="220" w:lineRule="atLeast"/>
              <w:rPr>
                <w:rFonts w:ascii="Arial" w:hAnsi="Arial" w:cs="Arial"/>
                <w:b w:val="0"/>
                <w:bCs w:val="0"/>
                <w:w w:val="100"/>
                <w:sz w:val="18"/>
                <w:szCs w:val="18"/>
                <w:lang w:val="en-AU"/>
              </w:rPr>
            </w:pPr>
            <w:r w:rsidRPr="003E76E7">
              <w:rPr>
                <w:rFonts w:ascii="Arial" w:hAnsi="Arial" w:cs="Arial"/>
                <w:b w:val="0"/>
                <w:bCs w:val="0"/>
                <w:w w:val="100"/>
                <w:sz w:val="18"/>
                <w:szCs w:val="18"/>
                <w:lang w:val="en-AU"/>
              </w:rPr>
              <w:t>An asset is a resource:</w:t>
            </w:r>
          </w:p>
          <w:p w14:paraId="1695A663" w14:textId="77777777" w:rsidR="002B42B9" w:rsidRPr="003E76E7" w:rsidRDefault="002B42B9" w:rsidP="00C4292D">
            <w:pPr>
              <w:pStyle w:val="HeadingRunIn"/>
              <w:numPr>
                <w:ilvl w:val="0"/>
                <w:numId w:val="27"/>
              </w:numPr>
              <w:suppressAutoHyphens/>
              <w:spacing w:before="60" w:after="60" w:line="220" w:lineRule="atLeast"/>
              <w:ind w:left="272" w:hanging="272"/>
              <w:rPr>
                <w:rFonts w:ascii="Arial" w:hAnsi="Arial" w:cs="Arial"/>
                <w:b w:val="0"/>
                <w:bCs w:val="0"/>
                <w:w w:val="100"/>
                <w:sz w:val="18"/>
                <w:szCs w:val="18"/>
                <w:lang w:val="en-AU"/>
              </w:rPr>
            </w:pPr>
            <w:r w:rsidRPr="003E76E7">
              <w:rPr>
                <w:rFonts w:ascii="Arial" w:hAnsi="Arial" w:cs="Arial"/>
                <w:b w:val="0"/>
                <w:bCs w:val="0"/>
                <w:w w:val="100"/>
                <w:sz w:val="18"/>
                <w:szCs w:val="18"/>
                <w:lang w:val="en-AU"/>
              </w:rPr>
              <w:t xml:space="preserve"> controlled by an entity as a result of a past event.</w:t>
            </w:r>
          </w:p>
          <w:p w14:paraId="061CD51F" w14:textId="77777777" w:rsidR="002B42B9" w:rsidRPr="003E76E7" w:rsidRDefault="002B42B9" w:rsidP="00C4292D">
            <w:pPr>
              <w:pStyle w:val="HeadingRunIn"/>
              <w:numPr>
                <w:ilvl w:val="0"/>
                <w:numId w:val="27"/>
              </w:numPr>
              <w:suppressAutoHyphens/>
              <w:spacing w:before="60" w:after="60" w:line="220" w:lineRule="atLeast"/>
              <w:ind w:left="272" w:hanging="272"/>
              <w:rPr>
                <w:rFonts w:ascii="Arial" w:hAnsi="Arial" w:cs="Arial"/>
                <w:b w:val="0"/>
                <w:bCs w:val="0"/>
                <w:sz w:val="18"/>
                <w:szCs w:val="18"/>
                <w:lang w:val="en-AU"/>
              </w:rPr>
            </w:pPr>
            <w:r w:rsidRPr="003E76E7">
              <w:rPr>
                <w:rFonts w:ascii="Arial" w:hAnsi="Arial" w:cs="Arial"/>
                <w:b w:val="0"/>
                <w:bCs w:val="0"/>
                <w:w w:val="100"/>
                <w:sz w:val="18"/>
                <w:szCs w:val="18"/>
                <w:lang w:val="en-AU"/>
              </w:rPr>
              <w:t xml:space="preserve"> from which future economic benefits are expected to flow to the entity.</w:t>
            </w:r>
          </w:p>
        </w:tc>
      </w:tr>
      <w:tr w:rsidR="002B42B9" w:rsidRPr="003E76E7" w14:paraId="29B49484" w14:textId="77777777" w:rsidTr="0085357D">
        <w:trPr>
          <w:cantSplit/>
          <w:trHeight w:val="94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05504EFD"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Assets under construction</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74F30285"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Assets under construction by Defence for Defence, or for the use of another entity, according to a construction contract where Defence controls the asset until completion, or assets under construction or otherwise being made ready by another entity for use by Defence.</w:t>
            </w:r>
          </w:p>
        </w:tc>
      </w:tr>
      <w:tr w:rsidR="002B42B9" w:rsidRPr="003E76E7" w14:paraId="7B63C80E" w14:textId="77777777" w:rsidTr="0085357D">
        <w:trPr>
          <w:cantSplit/>
          <w:trHeight w:val="72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0FB24A86"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Australian Accounting Standards</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45E19D7E"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Specify techniques of accounting practice and the method of presenting financial information about a reporting entity.</w:t>
            </w:r>
          </w:p>
        </w:tc>
      </w:tr>
      <w:tr w:rsidR="002B42B9" w:rsidRPr="003E76E7" w14:paraId="31D823FF" w14:textId="77777777" w:rsidTr="0085357D">
        <w:trPr>
          <w:cantSplit/>
          <w:trHeight w:val="50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3DFEC6C2"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Average funded strength</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721BDC1C"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A budgetary measure used to count the average number of Australian Defence Force members paid on a full-time equivalent basis during a financial year.</w:t>
            </w:r>
          </w:p>
        </w:tc>
      </w:tr>
      <w:tr w:rsidR="002B42B9" w:rsidRPr="003E76E7" w14:paraId="04292678" w14:textId="77777777" w:rsidTr="0085357D">
        <w:trPr>
          <w:cantSplit/>
          <w:trHeight w:val="50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4BE9B0FF"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Capability</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5F380BCA"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The combination of military equipment, personnel, logistics support, training, resources, etc. that provides Defence with the ability to achieve its operational aims.</w:t>
            </w:r>
          </w:p>
        </w:tc>
      </w:tr>
      <w:tr w:rsidR="002B42B9" w:rsidRPr="003E76E7" w14:paraId="0A5CD105" w14:textId="77777777" w:rsidTr="0085357D">
        <w:trPr>
          <w:cantSplit/>
          <w:trHeight w:val="94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39B57427"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Capability Manager</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0135DC9B" w14:textId="00AAB5D3"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 xml:space="preserve">A Capability Manager is responsible for raising, training and sustaining capabilities as directed by the Secretary and the Chief of the Defence Force. Capability Managers include the Vice Chief of the Defence Force, Associate Secretary, Director-General Australian Signals Directorate, Director-General Australian Submarine Agency, Chief </w:t>
            </w:r>
            <w:r w:rsidR="009968D5" w:rsidRPr="003E76E7">
              <w:rPr>
                <w:rFonts w:ascii="Arial" w:hAnsi="Arial" w:cs="Arial"/>
                <w:b w:val="0"/>
                <w:bCs w:val="0"/>
                <w:w w:val="100"/>
                <w:sz w:val="18"/>
                <w:szCs w:val="18"/>
                <w:lang w:val="en-AU"/>
              </w:rPr>
              <w:t xml:space="preserve">of </w:t>
            </w:r>
            <w:r w:rsidRPr="003E76E7">
              <w:rPr>
                <w:rFonts w:ascii="Arial" w:hAnsi="Arial" w:cs="Arial"/>
                <w:b w:val="0"/>
                <w:bCs w:val="0"/>
                <w:w w:val="100"/>
                <w:sz w:val="18"/>
                <w:szCs w:val="18"/>
                <w:lang w:val="en-AU"/>
              </w:rPr>
              <w:t>Joint Capabilities, Chief of Defence Intelligence, the Service Chiefs, Chief Information Officer, Deputy Secretary Security and Estate, and Chief Defence Scientist.</w:t>
            </w:r>
          </w:p>
        </w:tc>
      </w:tr>
      <w:tr w:rsidR="002B42B9" w:rsidRPr="003E76E7" w14:paraId="00A618F4" w14:textId="77777777" w:rsidTr="0085357D">
        <w:trPr>
          <w:cantSplit/>
          <w:trHeight w:val="50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25CB74D3"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lastRenderedPageBreak/>
              <w:t>Capital budget</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094D96FD"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All proposed capital expenditure funded by appropriation for outcomes, by equity injections or loans and/or appropriations for administered capital, or by other sources.</w:t>
            </w:r>
          </w:p>
        </w:tc>
      </w:tr>
      <w:tr w:rsidR="002B42B9" w:rsidRPr="003E76E7" w14:paraId="2A39F972" w14:textId="77777777" w:rsidTr="0085357D">
        <w:trPr>
          <w:cantSplit/>
          <w:trHeight w:val="28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7F180AD6"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Capital expenditure</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5864B328"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Expenditure by an agency on capital projects, for example purchasing a building.</w:t>
            </w:r>
          </w:p>
        </w:tc>
      </w:tr>
      <w:tr w:rsidR="002B42B9" w:rsidRPr="003E76E7" w14:paraId="6ADAD704" w14:textId="77777777" w:rsidTr="0085357D">
        <w:trPr>
          <w:cantSplit/>
          <w:trHeight w:val="50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0D23642E"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Coalition</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21C7036B"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Countries including Australia who provide troops, logistical support or assistance in military operations, peacekeeping or reconstruction efforts.</w:t>
            </w:r>
          </w:p>
        </w:tc>
      </w:tr>
      <w:tr w:rsidR="002B42B9" w:rsidRPr="003E76E7" w14:paraId="618A1E25" w14:textId="77777777" w:rsidTr="0085357D">
        <w:trPr>
          <w:cantSplit/>
          <w:trHeight w:val="50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6877A8AA"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rPr>
              <w:t>Combined exercise or operation</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518E7778"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rPr>
              <w:t>An exercise or operation activity involving one or more Services of the ADF with the forces of other countries.</w:t>
            </w:r>
          </w:p>
        </w:tc>
      </w:tr>
      <w:tr w:rsidR="002B42B9" w:rsidRPr="003E76E7" w14:paraId="35C09AE0" w14:textId="77777777" w:rsidTr="0085357D">
        <w:trPr>
          <w:cantSplit/>
          <w:trHeight w:val="72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0AB34C55"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Consolidated Revenue Fund</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1B841905"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Section 81 of the Constitution stipulates that all revenue raised or money received by the Commonwealth forms the one consolidated revenue fund. The fund is not a bank account. The Official Public Account reflects most of the operations of the fund.</w:t>
            </w:r>
          </w:p>
        </w:tc>
      </w:tr>
      <w:tr w:rsidR="002B42B9" w:rsidRPr="003E76E7" w14:paraId="59292F5A" w14:textId="77777777" w:rsidTr="0085357D">
        <w:trPr>
          <w:cantSplit/>
          <w:trHeight w:val="50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390256D9"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Corporate governance</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29CA83A6"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The process by which agencies are directed and controlled. It is generally understood to encompass authority, accountability, stewardship, leadership, direction and control.</w:t>
            </w:r>
          </w:p>
        </w:tc>
      </w:tr>
      <w:tr w:rsidR="002B42B9" w:rsidRPr="003E76E7" w14:paraId="296E6DE0" w14:textId="77777777" w:rsidTr="0085357D">
        <w:trPr>
          <w:cantSplit/>
          <w:trHeight w:val="94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1C0A6471"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Defence information environment</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55BC073C"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Encompasses all of Defence’s computing and communication capabilities at all classification levels. It supports all Defence warfighting functions, including overseas deployed elements and connection to Coalition networks, as well as day-to-day business functions.</w:t>
            </w:r>
          </w:p>
        </w:tc>
      </w:tr>
      <w:tr w:rsidR="002B42B9" w:rsidRPr="003E76E7" w14:paraId="41747F33" w14:textId="77777777" w:rsidTr="0085357D">
        <w:trPr>
          <w:cantSplit/>
          <w:trHeight w:val="204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0C7A057E"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Defence Management and Finance Plan</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40316174"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 xml:space="preserve">The Defence Management and Finance Plan provides Ministers and central agencies with clear oversight of Defence planning and financing strategies. It describes the strategies agreed through the </w:t>
            </w:r>
            <w:r w:rsidRPr="003E76E7">
              <w:rPr>
                <w:rFonts w:ascii="Arial" w:hAnsi="Arial" w:cs="Arial"/>
                <w:b w:val="0"/>
                <w:bCs w:val="0"/>
                <w:i/>
                <w:w w:val="100"/>
                <w:sz w:val="18"/>
                <w:szCs w:val="18"/>
                <w:lang w:val="en-AU"/>
              </w:rPr>
              <w:t>2016 Defence White Paper</w:t>
            </w:r>
            <w:r w:rsidRPr="003E76E7">
              <w:rPr>
                <w:rFonts w:ascii="Arial" w:hAnsi="Arial" w:cs="Arial"/>
                <w:b w:val="0"/>
                <w:bCs w:val="0"/>
                <w:w w:val="100"/>
                <w:sz w:val="18"/>
                <w:szCs w:val="18"/>
                <w:lang w:val="en-AU"/>
              </w:rPr>
              <w:t xml:space="preserve"> and other policy direction. As a compendium of information attached to Defence’s annual Portfolio Budget Submission, it is intended to help Ministers make informed strategic and budgetary decisions on Defence, by bringing into one document the expected financial position of the portfolio taking into account existing commitments and proposed new investments. The Plan also provides the Government with the information necessary to ensure that its investment in Defence is both affordable and sustainable.</w:t>
            </w:r>
          </w:p>
        </w:tc>
      </w:tr>
      <w:tr w:rsidR="002B42B9" w:rsidRPr="003E76E7" w14:paraId="2896B155" w14:textId="77777777" w:rsidTr="0085357D">
        <w:trPr>
          <w:cantSplit/>
          <w:trHeight w:val="94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2D409C1F"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Departmental items</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22B22DE0"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Assets, liabilities, revenues and expenses that are controlled by the agency in providing its outputs. Departmental items would generally include computers, plant and equipment assets used by agencies in providing goods and services and most employee expenses, supplier costs and other administrative expenses incurred.</w:t>
            </w:r>
          </w:p>
        </w:tc>
      </w:tr>
      <w:tr w:rsidR="002B42B9" w:rsidRPr="003E76E7" w14:paraId="78A01593" w14:textId="77777777" w:rsidTr="0085357D">
        <w:trPr>
          <w:cantSplit/>
          <w:trHeight w:val="50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381DE43E"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Depreciation</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6DC9FA9C"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Apportionment of an asset’s capital value as an expense over its estimated useful life to take account of normal usage, obsolescence, or the passage of time.</w:t>
            </w:r>
          </w:p>
        </w:tc>
      </w:tr>
      <w:tr w:rsidR="002B42B9" w:rsidRPr="003E76E7" w14:paraId="3E219A91" w14:textId="77777777" w:rsidTr="0085357D">
        <w:trPr>
          <w:cantSplit/>
          <w:trHeight w:val="72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30689F9D"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Employee</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38C02393"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Any Defence official who receives a salary or wage, along with other benefits, for the provision of services whether on a full-time, part-time, permanent, casual or temporary basis.</w:t>
            </w:r>
          </w:p>
        </w:tc>
      </w:tr>
      <w:tr w:rsidR="002B42B9" w:rsidRPr="003E76E7" w14:paraId="151D5B1A" w14:textId="77777777" w:rsidTr="0085357D">
        <w:trPr>
          <w:cantSplit/>
          <w:trHeight w:val="94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2A337030"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Employee expenses</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1263AE2B"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Include, but are not limited to, benefits provided to employees in the form of salaries and wages, performance pay, senior officers’ allowances, leave, and superannuation, but does not include amounts paid or owed to employees as reimbursement of out-of-pocket expenses.</w:t>
            </w:r>
          </w:p>
        </w:tc>
      </w:tr>
      <w:tr w:rsidR="002B42B9" w:rsidRPr="003E76E7" w14:paraId="70868B16" w14:textId="77777777" w:rsidTr="0085357D">
        <w:trPr>
          <w:cantSplit/>
          <w:trHeight w:val="50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223C9FC2"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Equity injection</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0AC98882"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An additional contribution over and above the cost of outputs. Equity injections form part of the Commonwealth’s investment in Defence.</w:t>
            </w:r>
          </w:p>
        </w:tc>
      </w:tr>
      <w:tr w:rsidR="002B42B9" w:rsidRPr="003E76E7" w14:paraId="55B51DA2" w14:textId="77777777" w:rsidTr="0085357D">
        <w:trPr>
          <w:cantSplit/>
          <w:trHeight w:val="72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7492BD1B"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lastRenderedPageBreak/>
              <w:t>Expense</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3C6DA73A"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Total value of all of the resources consumed in producing goods and services or the loss of future economic benefits in the form of reductions in assets or increases in liabilities of an entity.</w:t>
            </w:r>
          </w:p>
        </w:tc>
      </w:tr>
      <w:tr w:rsidR="002B42B9" w:rsidRPr="003E76E7" w14:paraId="434ACF74" w14:textId="77777777" w:rsidTr="0085357D">
        <w:trPr>
          <w:cantSplit/>
          <w:trHeight w:val="94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203EA738"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Fair value</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1EA1E13E"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The amount for which an asset could be exchanged, or a liability settled, between knowledgeable and willing parties in an arm’s length transaction. The fair value can be affected by the conditions of the sale, market conditions and the intentions of the asset holder.</w:t>
            </w:r>
          </w:p>
        </w:tc>
      </w:tr>
      <w:tr w:rsidR="002B42B9" w:rsidRPr="003E76E7" w14:paraId="2E1C69F5" w14:textId="77777777" w:rsidTr="0085357D">
        <w:trPr>
          <w:cantSplit/>
          <w:trHeight w:val="50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28057D5E"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Force element</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75A74C06"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A component of a unit, a unit or an association of units having common prime objectives and activities.</w:t>
            </w:r>
          </w:p>
        </w:tc>
      </w:tr>
      <w:tr w:rsidR="002B42B9" w:rsidRPr="003E76E7" w14:paraId="4C769F4D" w14:textId="77777777" w:rsidTr="0085357D">
        <w:trPr>
          <w:cantSplit/>
          <w:trHeight w:val="50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1319A583"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Force element group</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59EF4D55"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A grouping of force elements with an appropriate command and control structure for a specified role or roles (e.g. the Navy Submarine Group).</w:t>
            </w:r>
          </w:p>
        </w:tc>
      </w:tr>
      <w:tr w:rsidR="002B42B9" w:rsidRPr="003E76E7" w14:paraId="376EF472" w14:textId="77777777" w:rsidTr="0085357D">
        <w:trPr>
          <w:cantSplit/>
          <w:trHeight w:val="94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7DCA3C9D"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Forward Estimates</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5284459A"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The level of proposed expenditure for future years, based on relevant demographic, economic and other future forecasting assumptions. The Government requires Forward Estimates for the following three financial years to be published in each annual Federal Budget paper.</w:t>
            </w:r>
          </w:p>
        </w:tc>
      </w:tr>
      <w:tr w:rsidR="002B42B9" w:rsidRPr="003E76E7" w14:paraId="46ED018B" w14:textId="77777777" w:rsidTr="0085357D">
        <w:trPr>
          <w:cantSplit/>
          <w:trHeight w:val="72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36A4888A"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Garrison Support Services</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6116E8C7"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Includes a range of base support services such as ground maintenance, hospitality, training area management, base security, transport, air support and firefighting and rescue services.</w:t>
            </w:r>
          </w:p>
        </w:tc>
      </w:tr>
      <w:tr w:rsidR="002B42B9" w:rsidRPr="003E76E7" w14:paraId="3A9FB8E2" w14:textId="77777777" w:rsidTr="0085357D">
        <w:trPr>
          <w:cantSplit/>
          <w:trHeight w:val="72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0D6116E1" w14:textId="77777777" w:rsidR="002B42B9" w:rsidRPr="003E76E7" w:rsidRDefault="002B42B9" w:rsidP="00C4292D">
            <w:pPr>
              <w:pStyle w:val="HeadingRunIn"/>
              <w:keepNext w:val="0"/>
              <w:suppressAutoHyphens/>
              <w:spacing w:before="10" w:after="48" w:line="220" w:lineRule="atLeast"/>
              <w:rPr>
                <w:rFonts w:ascii="Arial" w:hAnsi="Arial" w:cs="Arial"/>
                <w:b w:val="0"/>
                <w:bCs w:val="0"/>
                <w:w w:val="100"/>
                <w:sz w:val="18"/>
                <w:szCs w:val="18"/>
                <w:lang w:val="en-AU"/>
              </w:rPr>
            </w:pPr>
            <w:r w:rsidRPr="003E76E7">
              <w:rPr>
                <w:rFonts w:ascii="Arial" w:hAnsi="Arial" w:cs="Arial"/>
                <w:b w:val="0"/>
                <w:bCs w:val="0"/>
                <w:w w:val="100"/>
                <w:sz w:val="18"/>
                <w:szCs w:val="18"/>
                <w:lang w:val="en-AU"/>
              </w:rPr>
              <w:t>Grant</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60B75FFF" w14:textId="77777777" w:rsidR="002B42B9" w:rsidRPr="003E76E7" w:rsidRDefault="002B42B9" w:rsidP="00C4292D">
            <w:pPr>
              <w:pStyle w:val="HeadingRunIn"/>
              <w:numPr>
                <w:ilvl w:val="0"/>
                <w:numId w:val="27"/>
              </w:numPr>
              <w:tabs>
                <w:tab w:val="left" w:pos="344"/>
              </w:tabs>
              <w:suppressAutoHyphens/>
              <w:spacing w:before="10" w:after="48" w:line="220" w:lineRule="atLeast"/>
              <w:ind w:left="360" w:hanging="283"/>
              <w:rPr>
                <w:rFonts w:ascii="Arial" w:hAnsi="Arial" w:cs="Arial"/>
                <w:b w:val="0"/>
                <w:bCs w:val="0"/>
                <w:w w:val="100"/>
                <w:sz w:val="18"/>
                <w:szCs w:val="18"/>
                <w:lang w:val="en-AU"/>
              </w:rPr>
            </w:pPr>
            <w:r w:rsidRPr="003E76E7">
              <w:rPr>
                <w:rFonts w:ascii="Arial" w:hAnsi="Arial" w:cs="Arial"/>
                <w:b w:val="0"/>
                <w:bCs w:val="0"/>
                <w:w w:val="100"/>
                <w:sz w:val="18"/>
                <w:szCs w:val="18"/>
                <w:lang w:val="en-AU"/>
              </w:rPr>
              <w:t>an arrangement for the provision of financial assistance by the Commonwealth or on behalf of the Commonwealth:</w:t>
            </w:r>
          </w:p>
          <w:p w14:paraId="75EAA48E" w14:textId="77777777" w:rsidR="002B42B9" w:rsidRPr="003E76E7" w:rsidRDefault="002B42B9" w:rsidP="00C4292D">
            <w:pPr>
              <w:pStyle w:val="HeadingRunIn"/>
              <w:numPr>
                <w:ilvl w:val="0"/>
                <w:numId w:val="27"/>
              </w:numPr>
              <w:tabs>
                <w:tab w:val="left" w:pos="344"/>
              </w:tabs>
              <w:suppressAutoHyphens/>
              <w:spacing w:before="10" w:after="48" w:line="220" w:lineRule="atLeast"/>
              <w:ind w:left="360" w:hanging="283"/>
              <w:rPr>
                <w:rFonts w:ascii="Arial" w:hAnsi="Arial" w:cs="Arial"/>
                <w:b w:val="0"/>
                <w:bCs w:val="0"/>
                <w:w w:val="100"/>
                <w:sz w:val="18"/>
                <w:szCs w:val="18"/>
                <w:lang w:val="en-AU"/>
              </w:rPr>
            </w:pPr>
            <w:r w:rsidRPr="003E76E7">
              <w:rPr>
                <w:rFonts w:ascii="Arial" w:hAnsi="Arial" w:cs="Arial"/>
                <w:b w:val="0"/>
                <w:bCs w:val="0"/>
                <w:w w:val="100"/>
                <w:sz w:val="18"/>
                <w:szCs w:val="18"/>
                <w:lang w:val="en-AU"/>
              </w:rPr>
              <w:t>under which Commonwealth funds are to be paid to a grantee other than the Commonwealth.</w:t>
            </w:r>
          </w:p>
          <w:p w14:paraId="45B7E381" w14:textId="77777777" w:rsidR="002B42B9" w:rsidRPr="003E76E7" w:rsidRDefault="002B42B9" w:rsidP="00C4292D">
            <w:pPr>
              <w:pStyle w:val="HeadingRunIn"/>
              <w:numPr>
                <w:ilvl w:val="0"/>
                <w:numId w:val="27"/>
              </w:numPr>
              <w:tabs>
                <w:tab w:val="left" w:pos="344"/>
              </w:tabs>
              <w:suppressAutoHyphens/>
              <w:spacing w:before="10" w:after="48" w:line="220" w:lineRule="atLeast"/>
              <w:ind w:left="360" w:hanging="283"/>
              <w:rPr>
                <w:rFonts w:ascii="Arial" w:hAnsi="Arial" w:cs="Arial"/>
                <w:b w:val="0"/>
                <w:bCs w:val="0"/>
                <w:w w:val="100"/>
                <w:sz w:val="18"/>
                <w:szCs w:val="18"/>
                <w:lang w:val="en-AU"/>
              </w:rPr>
            </w:pPr>
            <w:r w:rsidRPr="003E76E7">
              <w:rPr>
                <w:rFonts w:ascii="Arial" w:hAnsi="Arial" w:cs="Arial"/>
                <w:b w:val="0"/>
                <w:bCs w:val="0"/>
                <w:w w:val="100"/>
                <w:sz w:val="18"/>
                <w:szCs w:val="18"/>
                <w:lang w:val="en-AU"/>
              </w:rPr>
              <w:t>which is intended to help address one or more of the Australian Government’s policy outcomes while assisting the grantee achieve its objectives.</w:t>
            </w:r>
          </w:p>
        </w:tc>
      </w:tr>
      <w:tr w:rsidR="002B42B9" w:rsidRPr="003E76E7" w14:paraId="046C4C07" w14:textId="77777777" w:rsidTr="0085357D">
        <w:trPr>
          <w:cantSplit/>
          <w:trHeight w:val="72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1C849AF5"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Group</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26396F37"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A high-level organisational grouping of functions and activities used by the Defence Executive as its primary management grouping (e.g. the Strategy, Policy &amp; Industry Group).</w:t>
            </w:r>
          </w:p>
        </w:tc>
      </w:tr>
      <w:tr w:rsidR="002B42B9" w:rsidRPr="003E76E7" w14:paraId="37509E5E" w14:textId="77777777" w:rsidTr="0085357D">
        <w:trPr>
          <w:cantSplit/>
          <w:trHeight w:val="116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49AD611D" w14:textId="77777777" w:rsidR="002B42B9" w:rsidRPr="003E76E7" w:rsidRDefault="002B42B9" w:rsidP="00C4292D">
            <w:pPr>
              <w:pStyle w:val="HeadingRunIn"/>
              <w:keepNext w:val="0"/>
              <w:suppressAutoHyphens/>
              <w:spacing w:before="10" w:after="48" w:line="220" w:lineRule="atLeast"/>
              <w:rPr>
                <w:rFonts w:ascii="Arial" w:hAnsi="Arial" w:cs="Arial"/>
                <w:b w:val="0"/>
                <w:bCs w:val="0"/>
                <w:w w:val="100"/>
                <w:sz w:val="18"/>
                <w:szCs w:val="18"/>
                <w:lang w:val="en-AU"/>
              </w:rPr>
            </w:pPr>
            <w:r w:rsidRPr="003E76E7">
              <w:rPr>
                <w:rFonts w:ascii="Arial" w:hAnsi="Arial" w:cs="Arial"/>
                <w:b w:val="0"/>
                <w:bCs w:val="0"/>
                <w:w w:val="100"/>
                <w:sz w:val="18"/>
                <w:szCs w:val="18"/>
                <w:lang w:val="en-AU"/>
              </w:rPr>
              <w:t>Infrastructure</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1B7374B2" w14:textId="77777777" w:rsidR="002B42B9" w:rsidRPr="003E76E7" w:rsidRDefault="002B42B9" w:rsidP="00C4292D">
            <w:pPr>
              <w:pStyle w:val="HeadingRunIn"/>
              <w:keepNext w:val="0"/>
              <w:suppressAutoHyphens/>
              <w:spacing w:before="10" w:after="48" w:line="220" w:lineRule="atLeast"/>
              <w:rPr>
                <w:rFonts w:ascii="Arial" w:hAnsi="Arial" w:cs="Arial"/>
                <w:b w:val="0"/>
                <w:bCs w:val="0"/>
                <w:w w:val="100"/>
                <w:sz w:val="18"/>
                <w:szCs w:val="18"/>
                <w:lang w:val="en-AU"/>
              </w:rPr>
            </w:pPr>
            <w:r w:rsidRPr="003E76E7">
              <w:rPr>
                <w:rFonts w:ascii="Arial" w:hAnsi="Arial" w:cs="Arial"/>
                <w:b w:val="0"/>
                <w:bCs w:val="0"/>
                <w:w w:val="100"/>
                <w:sz w:val="18"/>
                <w:szCs w:val="18"/>
                <w:lang w:val="en-AU"/>
              </w:rPr>
              <w:t>Items owned, leased or otherwise under the control of Defence in support of activities on land and within buildings. Infrastructure includes items such as runways, roads, car parks, parade grounds, ovals, lighting, water, sewerage and other general service related items. It does not include land upon which, or within which, it is constructed or those fixed items integral to, and under, buildings.</w:t>
            </w:r>
          </w:p>
        </w:tc>
      </w:tr>
      <w:tr w:rsidR="002B42B9" w:rsidRPr="003E76E7" w14:paraId="6DFD9745" w14:textId="77777777" w:rsidTr="0085357D">
        <w:trPr>
          <w:cantSplit/>
          <w:trHeight w:val="116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2AD83D7D" w14:textId="77777777" w:rsidR="002B42B9" w:rsidRPr="003E76E7" w:rsidRDefault="002B42B9" w:rsidP="00C4292D">
            <w:pPr>
              <w:pStyle w:val="HeadingRunIn"/>
              <w:keepNext w:val="0"/>
              <w:suppressAutoHyphens/>
              <w:spacing w:before="10" w:after="48" w:line="220" w:lineRule="atLeast"/>
              <w:rPr>
                <w:rFonts w:ascii="Arial" w:hAnsi="Arial" w:cs="Arial"/>
                <w:b w:val="0"/>
                <w:bCs w:val="0"/>
                <w:w w:val="100"/>
                <w:sz w:val="18"/>
                <w:szCs w:val="18"/>
                <w:lang w:val="en-AU"/>
              </w:rPr>
            </w:pPr>
            <w:r w:rsidRPr="003E76E7">
              <w:rPr>
                <w:rFonts w:ascii="Arial" w:hAnsi="Arial" w:cs="Arial"/>
                <w:b w:val="0"/>
                <w:bCs w:val="0"/>
                <w:w w:val="100"/>
                <w:sz w:val="18"/>
                <w:szCs w:val="18"/>
                <w:lang w:val="en-AU"/>
              </w:rPr>
              <w:t>Integrated Investment Program</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44BBA6DF" w14:textId="77777777" w:rsidR="002B42B9" w:rsidRPr="003E76E7" w:rsidRDefault="002B42B9" w:rsidP="00C4292D">
            <w:pPr>
              <w:pStyle w:val="HeadingRunIn"/>
              <w:keepNext w:val="0"/>
              <w:suppressAutoHyphens/>
              <w:spacing w:before="10" w:after="48" w:line="220" w:lineRule="atLeast"/>
              <w:rPr>
                <w:rFonts w:ascii="Arial" w:hAnsi="Arial" w:cs="Arial"/>
                <w:b w:val="0"/>
                <w:bCs w:val="0"/>
                <w:w w:val="100"/>
                <w:sz w:val="18"/>
                <w:szCs w:val="18"/>
                <w:lang w:val="en-AU"/>
              </w:rPr>
            </w:pPr>
            <w:r w:rsidRPr="003E76E7">
              <w:rPr>
                <w:rFonts w:ascii="Arial" w:hAnsi="Arial" w:cs="Arial"/>
                <w:b w:val="0"/>
                <w:bCs w:val="0"/>
                <w:w w:val="100"/>
                <w:sz w:val="18"/>
                <w:szCs w:val="18"/>
                <w:lang w:val="en-AU"/>
              </w:rPr>
              <w:t xml:space="preserve">The Integrated Investment Program is a costed, detailed development plan for the Australian Defence capabilities to be delivered through implementation of the </w:t>
            </w:r>
            <w:r w:rsidRPr="003E76E7">
              <w:rPr>
                <w:rFonts w:ascii="Arial" w:hAnsi="Arial" w:cs="Arial"/>
                <w:b w:val="0"/>
                <w:bCs w:val="0"/>
                <w:i/>
                <w:w w:val="100"/>
                <w:sz w:val="18"/>
                <w:szCs w:val="18"/>
                <w:lang w:val="en-AU"/>
              </w:rPr>
              <w:t>Defence White Paper</w:t>
            </w:r>
            <w:r w:rsidRPr="003E76E7">
              <w:rPr>
                <w:rFonts w:ascii="Arial" w:hAnsi="Arial" w:cs="Arial"/>
                <w:b w:val="0"/>
                <w:bCs w:val="0"/>
                <w:w w:val="100"/>
                <w:sz w:val="18"/>
                <w:szCs w:val="18"/>
                <w:lang w:val="en-AU"/>
              </w:rPr>
              <w:t>. The program is reviewed regularly to take account of changing strategic circumstances, new technologies and changed priorities, in the context of the overall Defence budget.</w:t>
            </w:r>
          </w:p>
        </w:tc>
      </w:tr>
      <w:tr w:rsidR="002B42B9" w:rsidRPr="003E76E7" w14:paraId="1B22C5B2" w14:textId="77777777" w:rsidTr="0085357D">
        <w:trPr>
          <w:cantSplit/>
          <w:trHeight w:val="72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34A11F3D"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Interoperability</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243833AA"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The ability of systems, units or forces to provide the services to, and accept services from, other systems, units or forces and to use the services so exchanged to enable them to operate effectively together.</w:t>
            </w:r>
          </w:p>
        </w:tc>
      </w:tr>
      <w:tr w:rsidR="002B42B9" w:rsidRPr="003E76E7" w14:paraId="5892A004" w14:textId="77777777" w:rsidTr="0085357D">
        <w:trPr>
          <w:cantSplit/>
          <w:trHeight w:val="116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2006F557"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Inventory</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45FEBC82"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Inventory is comprised of consumable stores and supplies, fuel and explosive ordnance used in the delivery of Defence services. These are items which are consumed in normal use, lose their identity during periods of use by incorporation into, or attachment upon, another assembly, as a result of wear and tear, cannot be reconditioned because their design does not make it possible, or their specific values do not justify it.</w:t>
            </w:r>
          </w:p>
        </w:tc>
      </w:tr>
      <w:tr w:rsidR="002B42B9" w:rsidRPr="003E76E7" w14:paraId="7DB64617" w14:textId="77777777" w:rsidTr="0085357D">
        <w:trPr>
          <w:cantSplit/>
          <w:trHeight w:val="28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0C119CA9"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rPr>
              <w:lastRenderedPageBreak/>
              <w:t>Joint exercise or operation</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1AB3C5C1"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rPr>
              <w:t>An exercise or operation involving two or more Services of the ADF.</w:t>
            </w:r>
          </w:p>
        </w:tc>
      </w:tr>
      <w:tr w:rsidR="002B42B9" w:rsidRPr="003E76E7" w14:paraId="73B7F09C" w14:textId="77777777" w:rsidTr="0085357D">
        <w:trPr>
          <w:cantSplit/>
          <w:trHeight w:val="50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54ABDD69"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Liabilities</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6059E520"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Sacrifices of future economic benefits that Defence is presently obliged to make to other entities as a result of past transactions or other past events.</w:t>
            </w:r>
          </w:p>
        </w:tc>
      </w:tr>
      <w:tr w:rsidR="002B42B9" w:rsidRPr="003E76E7" w14:paraId="0F729AA4" w14:textId="77777777" w:rsidTr="0085357D">
        <w:trPr>
          <w:cantSplit/>
          <w:trHeight w:val="50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729697C4" w14:textId="77777777" w:rsidR="002B42B9" w:rsidRPr="003E76E7" w:rsidRDefault="002B42B9" w:rsidP="00C4292D">
            <w:pPr>
              <w:pStyle w:val="HeadingRunIn"/>
              <w:keepNext w:val="0"/>
              <w:suppressAutoHyphens/>
              <w:spacing w:before="10" w:after="48" w:line="220" w:lineRule="atLeast"/>
              <w:rPr>
                <w:rFonts w:ascii="Arial" w:hAnsi="Arial" w:cs="Arial"/>
                <w:b w:val="0"/>
                <w:bCs w:val="0"/>
                <w:w w:val="100"/>
                <w:sz w:val="18"/>
                <w:szCs w:val="18"/>
                <w:lang w:val="en-AU"/>
              </w:rPr>
            </w:pPr>
            <w:r w:rsidRPr="003E76E7">
              <w:rPr>
                <w:rFonts w:ascii="Arial" w:hAnsi="Arial" w:cs="Arial"/>
                <w:b w:val="0"/>
                <w:bCs w:val="0"/>
                <w:w w:val="100"/>
                <w:sz w:val="18"/>
                <w:szCs w:val="18"/>
                <w:lang w:val="en-AU"/>
              </w:rPr>
              <w:t>Listed entity</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1649273A" w14:textId="77777777" w:rsidR="002B42B9" w:rsidRPr="003E76E7" w:rsidRDefault="002B42B9" w:rsidP="00C4292D">
            <w:pPr>
              <w:pStyle w:val="HeadingRunIn"/>
              <w:keepNext w:val="0"/>
              <w:suppressAutoHyphens/>
              <w:spacing w:before="10" w:after="48" w:line="220" w:lineRule="atLeast"/>
              <w:rPr>
                <w:rFonts w:ascii="Arial" w:hAnsi="Arial" w:cs="Arial"/>
                <w:b w:val="0"/>
                <w:bCs w:val="0"/>
                <w:w w:val="100"/>
                <w:sz w:val="18"/>
                <w:szCs w:val="18"/>
                <w:lang w:val="en-AU"/>
              </w:rPr>
            </w:pPr>
            <w:r w:rsidRPr="003E76E7">
              <w:rPr>
                <w:rFonts w:ascii="Arial" w:hAnsi="Arial" w:cs="Arial"/>
                <w:b w:val="0"/>
                <w:bCs w:val="0"/>
                <w:w w:val="100"/>
                <w:sz w:val="18"/>
                <w:szCs w:val="18"/>
                <w:lang w:val="en-AU"/>
              </w:rPr>
              <w:t>An entity established by regulation under the</w:t>
            </w:r>
            <w:r w:rsidRPr="003E76E7">
              <w:rPr>
                <w:rFonts w:ascii="Arial" w:hAnsi="Arial" w:cs="Arial"/>
                <w:b w:val="0"/>
                <w:bCs w:val="0"/>
                <w:i/>
                <w:iCs/>
                <w:w w:val="100"/>
                <w:sz w:val="18"/>
                <w:szCs w:val="18"/>
                <w:lang w:val="en-AU"/>
              </w:rPr>
              <w:t xml:space="preserve"> </w:t>
            </w:r>
            <w:r w:rsidRPr="003E76E7">
              <w:rPr>
                <w:rFonts w:ascii="Arial" w:hAnsi="Arial" w:cs="Arial"/>
                <w:b w:val="0"/>
                <w:bCs w:val="0"/>
                <w:i/>
                <w:color w:val="auto"/>
                <w:w w:val="100"/>
                <w:sz w:val="18"/>
                <w:szCs w:val="18"/>
                <w:lang w:val="en-AU"/>
              </w:rPr>
              <w:t xml:space="preserve">Public Governance, Performance and Accountability Act 2013. </w:t>
            </w:r>
            <w:r w:rsidRPr="003E76E7">
              <w:rPr>
                <w:rFonts w:ascii="Arial" w:hAnsi="Arial" w:cs="Arial"/>
                <w:b w:val="0"/>
                <w:bCs w:val="0"/>
                <w:w w:val="100"/>
                <w:sz w:val="18"/>
                <w:szCs w:val="18"/>
                <w:lang w:val="en-AU"/>
              </w:rPr>
              <w:t>The Act provides financial management authority to, and requires accountability by the Accountable Authority of an entity.</w:t>
            </w:r>
            <w:r w:rsidRPr="003E76E7">
              <w:rPr>
                <w:rFonts w:ascii="Arial" w:hAnsi="Arial" w:cs="Arial"/>
                <w:b w:val="0"/>
                <w:bCs w:val="0"/>
                <w:i/>
                <w:color w:val="auto"/>
                <w:w w:val="100"/>
                <w:sz w:val="18"/>
                <w:szCs w:val="18"/>
                <w:lang w:val="en-AU"/>
              </w:rPr>
              <w:t xml:space="preserve"> </w:t>
            </w:r>
            <w:r w:rsidRPr="003E76E7">
              <w:rPr>
                <w:rFonts w:ascii="Arial" w:hAnsi="Arial" w:cs="Arial"/>
                <w:b w:val="0"/>
                <w:bCs w:val="0"/>
                <w:color w:val="auto"/>
                <w:w w:val="100"/>
                <w:sz w:val="18"/>
                <w:szCs w:val="18"/>
                <w:lang w:val="en-AU"/>
              </w:rPr>
              <w:t>This used to be called ‘Prescribed agency’ under the former</w:t>
            </w:r>
            <w:r w:rsidRPr="003E76E7">
              <w:rPr>
                <w:rFonts w:ascii="Arial" w:hAnsi="Arial" w:cs="Arial"/>
                <w:b w:val="0"/>
                <w:bCs w:val="0"/>
                <w:i/>
                <w:color w:val="auto"/>
                <w:w w:val="100"/>
                <w:sz w:val="18"/>
                <w:szCs w:val="18"/>
                <w:lang w:val="en-AU"/>
              </w:rPr>
              <w:t xml:space="preserve"> </w:t>
            </w:r>
            <w:r w:rsidRPr="003E76E7">
              <w:rPr>
                <w:rFonts w:ascii="Arial" w:hAnsi="Arial" w:cs="Arial"/>
                <w:b w:val="0"/>
                <w:bCs w:val="0"/>
                <w:i/>
                <w:iCs/>
                <w:w w:val="100"/>
                <w:sz w:val="18"/>
                <w:szCs w:val="18"/>
                <w:lang w:val="en-AU"/>
              </w:rPr>
              <w:t>Financial Management and Accountability Act 1997</w:t>
            </w:r>
            <w:r w:rsidRPr="003E76E7">
              <w:rPr>
                <w:rFonts w:ascii="Arial" w:hAnsi="Arial" w:cs="Arial"/>
                <w:b w:val="0"/>
                <w:bCs w:val="0"/>
                <w:w w:val="100"/>
                <w:sz w:val="18"/>
                <w:szCs w:val="18"/>
                <w:lang w:val="en-AU"/>
              </w:rPr>
              <w:t>.</w:t>
            </w:r>
          </w:p>
        </w:tc>
      </w:tr>
      <w:tr w:rsidR="002B42B9" w:rsidRPr="003E76E7" w14:paraId="6C11C757" w14:textId="77777777" w:rsidTr="0085357D">
        <w:trPr>
          <w:cantSplit/>
          <w:trHeight w:val="50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3AA32C64"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Materiel Acquisition Agreements</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20EAD59E"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Materiel Acquisition Agreements cover the Capability Acquisition and Sustainment Group’s (formerly known as Defence Materiel Organisation) acquisition services to Defence for both major and minor capital equipment.</w:t>
            </w:r>
          </w:p>
        </w:tc>
      </w:tr>
      <w:tr w:rsidR="002B42B9" w:rsidRPr="003E76E7" w14:paraId="0E62C3A7" w14:textId="77777777" w:rsidTr="0085357D">
        <w:trPr>
          <w:cantSplit/>
          <w:trHeight w:val="94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0119569C" w14:textId="77777777" w:rsidR="002B42B9" w:rsidRPr="003E76E7" w:rsidRDefault="002B42B9" w:rsidP="00C4292D">
            <w:pPr>
              <w:pStyle w:val="HeadingRunIn"/>
              <w:keepNext w:val="0"/>
              <w:suppressAutoHyphens/>
              <w:spacing w:before="10" w:after="48" w:line="220" w:lineRule="atLeast"/>
              <w:rPr>
                <w:rFonts w:ascii="Arial" w:hAnsi="Arial" w:cs="Arial"/>
                <w:b w:val="0"/>
                <w:bCs w:val="0"/>
                <w:w w:val="100"/>
                <w:sz w:val="18"/>
                <w:szCs w:val="18"/>
                <w:lang w:val="en-AU"/>
              </w:rPr>
            </w:pPr>
            <w:r w:rsidRPr="003E76E7">
              <w:rPr>
                <w:rFonts w:ascii="Arial" w:hAnsi="Arial" w:cs="Arial"/>
                <w:b w:val="0"/>
                <w:bCs w:val="0"/>
                <w:w w:val="100"/>
                <w:sz w:val="18"/>
                <w:szCs w:val="18"/>
                <w:lang w:val="en-AU"/>
              </w:rPr>
              <w:t>Materiel Sustainment Agreements</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441C57D8" w14:textId="77777777" w:rsidR="002B42B9" w:rsidRPr="003E76E7" w:rsidRDefault="002B42B9" w:rsidP="00C4292D">
            <w:pPr>
              <w:pStyle w:val="HeadingRunIn"/>
              <w:keepNext w:val="0"/>
              <w:suppressAutoHyphens/>
              <w:spacing w:before="10" w:after="48" w:line="220" w:lineRule="atLeast"/>
              <w:rPr>
                <w:rFonts w:ascii="Arial" w:hAnsi="Arial" w:cs="Arial"/>
                <w:b w:val="0"/>
                <w:bCs w:val="0"/>
                <w:w w:val="100"/>
                <w:sz w:val="18"/>
                <w:szCs w:val="18"/>
                <w:lang w:val="en-AU"/>
              </w:rPr>
            </w:pPr>
            <w:r w:rsidRPr="003E76E7">
              <w:rPr>
                <w:rFonts w:ascii="Arial" w:hAnsi="Arial" w:cs="Arial"/>
                <w:b w:val="0"/>
                <w:bCs w:val="0"/>
                <w:w w:val="100"/>
                <w:sz w:val="18"/>
                <w:szCs w:val="18"/>
                <w:lang w:val="en-AU"/>
              </w:rPr>
              <w:t>Materiel Sustainment Agreements are between the Capability Managers and the Deputy Secretary Capability Acquisition and Sustainment. These agreements cover the sustainment of current capability, including good and services such as repairs, maintenance, fuel and explosive ordnance.</w:t>
            </w:r>
          </w:p>
        </w:tc>
      </w:tr>
      <w:tr w:rsidR="002B42B9" w:rsidRPr="003E76E7" w14:paraId="6815E31C" w14:textId="77777777" w:rsidTr="0085357D">
        <w:trPr>
          <w:cantSplit/>
          <w:trHeight w:val="50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7DF895DC"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Military response options</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449A21F7"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A set of generic tasks that describe the range of military options the Government could consider as a basis for a response to a particular situation or contingency.</w:t>
            </w:r>
          </w:p>
        </w:tc>
      </w:tr>
      <w:tr w:rsidR="002B42B9" w:rsidRPr="003E76E7" w14:paraId="4CA3921C" w14:textId="77777777" w:rsidTr="0085357D">
        <w:trPr>
          <w:cantSplit/>
          <w:trHeight w:val="28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23FC65F6" w14:textId="77777777" w:rsidR="002B42B9" w:rsidRPr="003E76E7" w:rsidRDefault="002B42B9" w:rsidP="00C4292D">
            <w:pPr>
              <w:pStyle w:val="HeadingRunIn"/>
              <w:keepNext w:val="0"/>
              <w:suppressAutoHyphens/>
              <w:spacing w:before="10" w:after="48" w:line="220" w:lineRule="atLeast"/>
              <w:rPr>
                <w:rFonts w:ascii="Arial" w:hAnsi="Arial" w:cs="Arial"/>
                <w:b w:val="0"/>
                <w:bCs w:val="0"/>
                <w:w w:val="100"/>
                <w:sz w:val="18"/>
                <w:szCs w:val="18"/>
                <w:lang w:val="en-AU"/>
              </w:rPr>
            </w:pPr>
            <w:r w:rsidRPr="003E76E7">
              <w:rPr>
                <w:rFonts w:ascii="Arial" w:hAnsi="Arial" w:cs="Arial"/>
                <w:b w:val="0"/>
                <w:bCs w:val="0"/>
                <w:w w:val="100"/>
                <w:sz w:val="18"/>
                <w:szCs w:val="18"/>
                <w:lang w:val="en-AU"/>
              </w:rPr>
              <w:t>Net Cash Funding</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24E05181" w14:textId="77777777" w:rsidR="002B42B9" w:rsidRPr="003E76E7" w:rsidRDefault="002B42B9" w:rsidP="00C4292D">
            <w:pPr>
              <w:pStyle w:val="HeadingRunIn"/>
              <w:keepNext w:val="0"/>
              <w:suppressAutoHyphens/>
              <w:spacing w:before="10" w:after="48" w:line="220" w:lineRule="atLeast"/>
              <w:rPr>
                <w:rFonts w:ascii="Arial" w:hAnsi="Arial" w:cs="Arial"/>
                <w:b w:val="0"/>
                <w:bCs w:val="0"/>
                <w:w w:val="100"/>
                <w:sz w:val="18"/>
                <w:szCs w:val="18"/>
                <w:lang w:val="en-AU"/>
              </w:rPr>
            </w:pPr>
            <w:r w:rsidRPr="003E76E7">
              <w:rPr>
                <w:rFonts w:ascii="Arial" w:hAnsi="Arial" w:cs="Arial"/>
                <w:b w:val="0"/>
                <w:bCs w:val="0"/>
                <w:w w:val="100"/>
                <w:sz w:val="18"/>
                <w:szCs w:val="18"/>
                <w:lang w:val="en-AU"/>
              </w:rPr>
              <w:t>Under the net cash appropriation framework, Defence receives an operating appropriation to meet budgeted expenses (including repayment of lease liabilities and excluding asset depreciation, consumption and impairment) and equity injections to fund capital and inventory additions.</w:t>
            </w:r>
          </w:p>
        </w:tc>
      </w:tr>
      <w:tr w:rsidR="002B42B9" w:rsidRPr="003E76E7" w14:paraId="4637CC29" w14:textId="77777777" w:rsidTr="0085357D">
        <w:trPr>
          <w:cantSplit/>
          <w:trHeight w:val="28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3A292A9E"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Operating result</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5854BF32"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Equals revenue less expense.</w:t>
            </w:r>
          </w:p>
        </w:tc>
      </w:tr>
      <w:tr w:rsidR="002B42B9" w:rsidRPr="003E76E7" w14:paraId="6073690D" w14:textId="77777777" w:rsidTr="0085357D">
        <w:trPr>
          <w:cantSplit/>
          <w:trHeight w:val="138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65A0296B"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Operational tempo</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4C61D69F"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The rate at which the ADF is able to deliver its operations effects, for example, the rate at which forces are dispatched and the time in which they are turned around for their next task. At the local level, this might translate to the crew of an aircraft spending a very small amount of time on the ground before it is re-tasked for its next mission. At the organisational level, this translates to available fighting forces spending very little time at home before they are deployed again for their next operation.</w:t>
            </w:r>
          </w:p>
        </w:tc>
      </w:tr>
      <w:tr w:rsidR="002B42B9" w:rsidRPr="003E76E7" w14:paraId="5C49FEB6" w14:textId="77777777" w:rsidTr="0085357D">
        <w:trPr>
          <w:cantSplit/>
          <w:trHeight w:val="613"/>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46920904"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Outcomes</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6B70AA81"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The impact that Government seeks from Defence, and are achieved by the successful delivery of its outcomes, to the standards set in the Portfolio Budget Statements. For more information, see Section 2 - Planned Outcome Performance.</w:t>
            </w:r>
          </w:p>
        </w:tc>
      </w:tr>
      <w:tr w:rsidR="002B42B9" w:rsidRPr="003E76E7" w14:paraId="0152F8D2" w14:textId="77777777" w:rsidTr="0085357D">
        <w:trPr>
          <w:cantSplit/>
          <w:trHeight w:val="28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1DBD8308"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Permanent forces</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0A588780"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The permanent Navy, the regular Army and the permanent Air Force.</w:t>
            </w:r>
          </w:p>
        </w:tc>
      </w:tr>
      <w:tr w:rsidR="002B42B9" w:rsidRPr="003E76E7" w14:paraId="3916B7FC" w14:textId="77777777" w:rsidTr="0085357D">
        <w:trPr>
          <w:cantSplit/>
          <w:trHeight w:val="50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6720300E"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Platforms</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58E089E3"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Refers to air, land, surface or sub-surface assets that are discrete and taskable elements within the ADF.</w:t>
            </w:r>
          </w:p>
        </w:tc>
      </w:tr>
      <w:tr w:rsidR="002B42B9" w:rsidRPr="003E76E7" w14:paraId="72C3D416" w14:textId="77777777" w:rsidTr="0085357D">
        <w:trPr>
          <w:cantSplit/>
          <w:trHeight w:val="72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379D1551"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Portfolio Additional Estimates Statements</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204784F1"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Similar to the portfolio budget statements and prepared at Additional Estimates time to support and update on the Government’s original annual budget for Defence.</w:t>
            </w:r>
          </w:p>
        </w:tc>
      </w:tr>
      <w:tr w:rsidR="002B42B9" w:rsidRPr="003E76E7" w14:paraId="55A0655D" w14:textId="77777777" w:rsidTr="0085357D">
        <w:trPr>
          <w:cantSplit/>
          <w:trHeight w:val="116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5DAC3538"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Portfolio Budget Statements</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32828E78"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The document presented by the Minister for Defence to Parliament to inform Senators and Members of the basis for the Defence budget appropriations in support of the provisions in Appropriations Bills 1 and 2. The statements summarise the Defence budget and provide detail of outcome performance forecasts and resources in order to justify expenditure for Defence.</w:t>
            </w:r>
          </w:p>
        </w:tc>
      </w:tr>
      <w:tr w:rsidR="002B42B9" w:rsidRPr="003E76E7" w14:paraId="0B95AC59" w14:textId="77777777" w:rsidTr="0085357D">
        <w:trPr>
          <w:cantSplit/>
          <w:trHeight w:val="50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055D7D7A"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lastRenderedPageBreak/>
              <w:t>Price</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6EA358E1"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One of the three key efficiency indicators. The amount the Government or the community pays for the delivery of agreed outputs.</w:t>
            </w:r>
          </w:p>
        </w:tc>
      </w:tr>
      <w:tr w:rsidR="002B42B9" w:rsidRPr="003E76E7" w14:paraId="21285378" w14:textId="77777777" w:rsidTr="0085357D">
        <w:trPr>
          <w:cantSplit/>
          <w:trHeight w:val="50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08018882" w14:textId="77777777" w:rsidR="002B42B9" w:rsidRPr="003E76E7" w:rsidRDefault="002B42B9" w:rsidP="00C4292D">
            <w:pPr>
              <w:pStyle w:val="HeadingRunIn"/>
              <w:keepNext w:val="0"/>
              <w:suppressAutoHyphens/>
              <w:spacing w:before="10" w:after="48" w:line="220" w:lineRule="atLeast"/>
              <w:rPr>
                <w:rFonts w:ascii="Arial" w:hAnsi="Arial" w:cs="Arial"/>
                <w:b w:val="0"/>
                <w:bCs w:val="0"/>
                <w:i/>
                <w:color w:val="auto"/>
                <w:w w:val="100"/>
                <w:sz w:val="18"/>
                <w:szCs w:val="18"/>
                <w:lang w:val="en-AU"/>
              </w:rPr>
            </w:pPr>
            <w:r w:rsidRPr="003E76E7">
              <w:rPr>
                <w:rFonts w:ascii="Arial" w:hAnsi="Arial" w:cs="Arial"/>
                <w:b w:val="0"/>
                <w:bCs w:val="0"/>
                <w:i/>
                <w:color w:val="auto"/>
                <w:w w:val="100"/>
                <w:sz w:val="18"/>
                <w:szCs w:val="18"/>
                <w:lang w:val="en-AU"/>
              </w:rPr>
              <w:t>Public Governance, Performance and Accountability Act 2013</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3DDEA337" w14:textId="77777777" w:rsidR="002B42B9" w:rsidRPr="003E76E7" w:rsidRDefault="002B42B9" w:rsidP="00C4292D">
            <w:pPr>
              <w:pStyle w:val="HeadingRunIn"/>
              <w:keepNext w:val="0"/>
              <w:suppressAutoHyphens/>
              <w:spacing w:before="10" w:after="48" w:line="220" w:lineRule="atLeast"/>
              <w:rPr>
                <w:rFonts w:ascii="Arial" w:hAnsi="Arial" w:cs="Arial"/>
                <w:b w:val="0"/>
                <w:bCs w:val="0"/>
                <w:w w:val="100"/>
                <w:sz w:val="18"/>
                <w:szCs w:val="18"/>
                <w:lang w:val="en-AU"/>
              </w:rPr>
            </w:pPr>
            <w:r w:rsidRPr="003E76E7">
              <w:rPr>
                <w:rFonts w:ascii="Arial" w:hAnsi="Arial" w:cs="Arial"/>
                <w:b w:val="0"/>
                <w:bCs w:val="0"/>
                <w:w w:val="100"/>
                <w:sz w:val="18"/>
                <w:szCs w:val="18"/>
                <w:lang w:val="en-AU"/>
              </w:rPr>
              <w:t>The</w:t>
            </w:r>
            <w:r w:rsidRPr="003E76E7">
              <w:rPr>
                <w:rFonts w:ascii="Arial" w:hAnsi="Arial" w:cs="Arial"/>
                <w:b w:val="0"/>
                <w:bCs w:val="0"/>
                <w:i/>
                <w:w w:val="100"/>
                <w:sz w:val="18"/>
                <w:szCs w:val="18"/>
                <w:lang w:val="en-AU"/>
              </w:rPr>
              <w:t xml:space="preserve"> Public Governance, Performance and Accountability Act 2013 </w:t>
            </w:r>
            <w:r w:rsidRPr="003E76E7">
              <w:rPr>
                <w:rFonts w:ascii="Arial" w:hAnsi="Arial" w:cs="Arial"/>
                <w:b w:val="0"/>
                <w:bCs w:val="0"/>
                <w:w w:val="100"/>
                <w:sz w:val="18"/>
                <w:szCs w:val="18"/>
                <w:lang w:val="en-AU"/>
              </w:rPr>
              <w:t>(PGPA Act)</w:t>
            </w:r>
            <w:r w:rsidRPr="003E76E7">
              <w:rPr>
                <w:rFonts w:ascii="Arial" w:hAnsi="Arial" w:cs="Arial"/>
                <w:b w:val="0"/>
                <w:bCs w:val="0"/>
                <w:i/>
                <w:w w:val="100"/>
                <w:sz w:val="18"/>
                <w:szCs w:val="18"/>
                <w:lang w:val="en-AU"/>
              </w:rPr>
              <w:t xml:space="preserve"> </w:t>
            </w:r>
            <w:r w:rsidRPr="003E76E7">
              <w:rPr>
                <w:rFonts w:ascii="Arial" w:hAnsi="Arial" w:cs="Arial"/>
                <w:b w:val="0"/>
                <w:bCs w:val="0"/>
                <w:w w:val="100"/>
                <w:sz w:val="18"/>
                <w:szCs w:val="18"/>
                <w:lang w:val="en-AU"/>
              </w:rPr>
              <w:t xml:space="preserve">replaced the </w:t>
            </w:r>
            <w:r w:rsidRPr="003E76E7">
              <w:rPr>
                <w:rFonts w:ascii="Arial" w:hAnsi="Arial" w:cs="Arial"/>
                <w:b w:val="0"/>
                <w:bCs w:val="0"/>
                <w:i/>
                <w:w w:val="100"/>
                <w:sz w:val="18"/>
                <w:szCs w:val="18"/>
                <w:lang w:val="en-AU"/>
              </w:rPr>
              <w:t xml:space="preserve">Financial Management and Accountability Act 1997 </w:t>
            </w:r>
            <w:r w:rsidRPr="003E76E7">
              <w:rPr>
                <w:rFonts w:ascii="Arial" w:hAnsi="Arial" w:cs="Arial"/>
                <w:b w:val="0"/>
                <w:bCs w:val="0"/>
                <w:w w:val="100"/>
                <w:sz w:val="18"/>
                <w:szCs w:val="18"/>
                <w:lang w:val="en-AU"/>
              </w:rPr>
              <w:t xml:space="preserve">and the </w:t>
            </w:r>
            <w:r w:rsidRPr="003E76E7">
              <w:rPr>
                <w:rFonts w:ascii="Arial" w:hAnsi="Arial" w:cs="Arial"/>
                <w:b w:val="0"/>
                <w:bCs w:val="0"/>
                <w:i/>
                <w:w w:val="100"/>
                <w:sz w:val="18"/>
                <w:szCs w:val="18"/>
                <w:lang w:val="en-AU"/>
              </w:rPr>
              <w:t>Commonwealth Authorities and Companies Act 1997</w:t>
            </w:r>
            <w:r w:rsidRPr="003E76E7">
              <w:rPr>
                <w:rFonts w:ascii="Arial" w:hAnsi="Arial" w:cs="Arial"/>
                <w:b w:val="0"/>
                <w:bCs w:val="0"/>
                <w:w w:val="100"/>
                <w:sz w:val="18"/>
                <w:szCs w:val="18"/>
                <w:lang w:val="en-AU"/>
              </w:rPr>
              <w:t>. The PGPA Act seeks to improve the standard of planning and performance reporting for all Commonwealth entities so that Parliament and the Australian community can better understand how public resources are being used to meet Government policy direction.</w:t>
            </w:r>
          </w:p>
        </w:tc>
      </w:tr>
      <w:tr w:rsidR="002B42B9" w:rsidRPr="003E76E7" w14:paraId="151C4247" w14:textId="77777777" w:rsidTr="0085357D">
        <w:trPr>
          <w:cantSplit/>
          <w:trHeight w:val="72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2316D7F2"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Purchaser-provider arrangements</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3E671EFA"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Arrangements under which the outputs of one entity are purchased by another entity to contribute to outcomes. Purchaser-provider arrangements can occur between Commonwealth agencies and state/territory government or private sector bodies.</w:t>
            </w:r>
          </w:p>
        </w:tc>
      </w:tr>
      <w:tr w:rsidR="002B42B9" w:rsidRPr="003E76E7" w14:paraId="42EDE454" w14:textId="77777777" w:rsidTr="0085357D">
        <w:trPr>
          <w:cantSplit/>
          <w:trHeight w:val="94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78274F05"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Quality</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170F599F"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One of the three key efficiency indicators. Relates to the characteristics by which customers or stakeholders judge an organisation, product or service. Assessment of quality involves use of information gathered from interested parties to identify differences between user's expectations and experiences.</w:t>
            </w:r>
          </w:p>
        </w:tc>
      </w:tr>
      <w:tr w:rsidR="002B42B9" w:rsidRPr="003E76E7" w14:paraId="3F5B06B1" w14:textId="77777777" w:rsidTr="0085357D">
        <w:trPr>
          <w:cantSplit/>
          <w:trHeight w:val="50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3B5D53DE"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Quantity</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06672DF7"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One of the three key efficiency indicators. Examples include: the size of an output; count or volume measures; how many or how much.</w:t>
            </w:r>
          </w:p>
        </w:tc>
      </w:tr>
      <w:tr w:rsidR="002B42B9" w:rsidRPr="003E76E7" w14:paraId="6C712AE2" w14:textId="77777777" w:rsidTr="0085357D">
        <w:trPr>
          <w:cantSplit/>
          <w:trHeight w:val="72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221C835A"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Readiness</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3AE7DF60"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The readiness of forces to be committed to operations within a specified time, dependent on the availability and proficiency of personnel, equipment, facilities and consumables.</w:t>
            </w:r>
          </w:p>
        </w:tc>
      </w:tr>
      <w:tr w:rsidR="002B42B9" w:rsidRPr="003E76E7" w14:paraId="712059CD" w14:textId="77777777" w:rsidTr="0085357D">
        <w:trPr>
          <w:cantSplit/>
          <w:trHeight w:val="28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4C87051B"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Reserves</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72DBB0F3"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The Naval Reserve, the Army Reserve and the Air Force Reserve.</w:t>
            </w:r>
          </w:p>
        </w:tc>
      </w:tr>
      <w:tr w:rsidR="002B42B9" w:rsidRPr="003E76E7" w14:paraId="68C0F9D4" w14:textId="77777777" w:rsidTr="0085357D">
        <w:trPr>
          <w:cantSplit/>
          <w:trHeight w:val="94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012213AC"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Revenues</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13596D40"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Inflows or other enhancements, or savings in outflows, of future economic benefits in the form of increases in assets or reductions in liabilities of Defence, other than those relating to contributions by the Commonwealth, that result in an increase in equity during the reporting period.</w:t>
            </w:r>
          </w:p>
        </w:tc>
      </w:tr>
      <w:tr w:rsidR="002B42B9" w:rsidRPr="003E76E7" w14:paraId="6A535833" w14:textId="77777777" w:rsidTr="0085357D">
        <w:trPr>
          <w:cantSplit/>
          <w:trHeight w:val="72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4E3D2D98"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Risk management</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1C0AEDD9"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At the highest level, involves the identification and mitigation of those risks that have the potential to adversely affect the achievement of agreed outcome performance at the agreed outcome price.</w:t>
            </w:r>
          </w:p>
        </w:tc>
      </w:tr>
      <w:tr w:rsidR="002B42B9" w:rsidRPr="003E76E7" w14:paraId="0F3DDF25" w14:textId="77777777" w:rsidTr="0085357D">
        <w:trPr>
          <w:cantSplit/>
          <w:trHeight w:val="551"/>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1A6B897A"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rPr>
            </w:pPr>
            <w:r w:rsidRPr="003E76E7">
              <w:rPr>
                <w:rFonts w:ascii="Arial" w:hAnsi="Arial" w:cs="Arial"/>
                <w:b w:val="0"/>
                <w:bCs w:val="0"/>
                <w:sz w:val="18"/>
                <w:szCs w:val="18"/>
              </w:rPr>
              <w:t>Service</w:t>
            </w:r>
          </w:p>
          <w:p w14:paraId="2A85C4D8" w14:textId="77777777" w:rsidR="002B42B9" w:rsidRPr="003E76E7" w:rsidRDefault="002B42B9" w:rsidP="00C4292D">
            <w:pPr>
              <w:pStyle w:val="HeadingRunIn"/>
              <w:keepNext w:val="0"/>
              <w:suppressAutoHyphens/>
              <w:spacing w:before="10" w:after="48" w:line="220" w:lineRule="atLeast"/>
              <w:rPr>
                <w:rFonts w:ascii="Arial" w:hAnsi="Arial" w:cs="Arial"/>
                <w:b w:val="0"/>
                <w:bCs w:val="0"/>
                <w:w w:val="100"/>
                <w:sz w:val="18"/>
                <w:szCs w:val="18"/>
                <w:lang w:val="en-AU"/>
              </w:rPr>
            </w:pPr>
            <w:r w:rsidRPr="003E76E7">
              <w:rPr>
                <w:rFonts w:ascii="Arial" w:hAnsi="Arial" w:cs="Arial"/>
                <w:b w:val="0"/>
                <w:bCs w:val="0"/>
                <w:sz w:val="18"/>
                <w:szCs w:val="18"/>
              </w:rPr>
              <w:t>Category 2</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68DD5CCC" w14:textId="77777777" w:rsidR="002B42B9" w:rsidRPr="003E76E7" w:rsidRDefault="002B42B9" w:rsidP="00C4292D">
            <w:pPr>
              <w:pStyle w:val="HeadingRunIn"/>
              <w:keepNext w:val="0"/>
              <w:suppressAutoHyphens/>
              <w:spacing w:before="10" w:after="48" w:line="220" w:lineRule="atLeast"/>
              <w:rPr>
                <w:rFonts w:ascii="Arial" w:hAnsi="Arial" w:cs="Arial"/>
                <w:b w:val="0"/>
                <w:w w:val="100"/>
                <w:sz w:val="18"/>
                <w:szCs w:val="18"/>
                <w:lang w:val="en-AU"/>
              </w:rPr>
            </w:pPr>
            <w:r w:rsidRPr="003E76E7">
              <w:rPr>
                <w:rFonts w:ascii="Arial" w:hAnsi="Arial" w:cs="Arial"/>
                <w:b w:val="0"/>
                <w:bCs w:val="0"/>
                <w:sz w:val="18"/>
                <w:szCs w:val="18"/>
              </w:rPr>
              <w:t>Reserve members who do not render service, although retain a liability to be ‘called out’ in specific circumstances, should this be required.</w:t>
            </w:r>
          </w:p>
        </w:tc>
      </w:tr>
      <w:tr w:rsidR="002B42B9" w:rsidRPr="003E76E7" w14:paraId="2FE52482" w14:textId="77777777" w:rsidTr="0085357D">
        <w:trPr>
          <w:cantSplit/>
          <w:trHeight w:val="367"/>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53A64A88"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rPr>
            </w:pPr>
            <w:r w:rsidRPr="003E76E7">
              <w:rPr>
                <w:rFonts w:ascii="Arial" w:hAnsi="Arial" w:cs="Arial"/>
                <w:b w:val="0"/>
                <w:bCs w:val="0"/>
                <w:sz w:val="18"/>
                <w:szCs w:val="18"/>
              </w:rPr>
              <w:t>Service</w:t>
            </w:r>
          </w:p>
          <w:p w14:paraId="2D86372C" w14:textId="77777777" w:rsidR="002B42B9" w:rsidRPr="003E76E7" w:rsidRDefault="002B42B9" w:rsidP="00C4292D">
            <w:pPr>
              <w:pStyle w:val="HeadingRunIn"/>
              <w:keepNext w:val="0"/>
              <w:suppressAutoHyphens/>
              <w:spacing w:before="10" w:after="48" w:line="220" w:lineRule="atLeast"/>
              <w:rPr>
                <w:rFonts w:ascii="Arial" w:hAnsi="Arial" w:cs="Arial"/>
                <w:b w:val="0"/>
                <w:bCs w:val="0"/>
                <w:w w:val="100"/>
                <w:sz w:val="18"/>
                <w:szCs w:val="18"/>
                <w:lang w:val="en-AU"/>
              </w:rPr>
            </w:pPr>
            <w:r w:rsidRPr="003E76E7">
              <w:rPr>
                <w:rFonts w:ascii="Arial" w:hAnsi="Arial" w:cs="Arial"/>
                <w:b w:val="0"/>
                <w:bCs w:val="0"/>
                <w:sz w:val="18"/>
                <w:szCs w:val="18"/>
              </w:rPr>
              <w:t>Category 3</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10FF5ED1" w14:textId="77777777" w:rsidR="002B42B9" w:rsidRPr="003E76E7" w:rsidRDefault="002B42B9" w:rsidP="00C4292D">
            <w:pPr>
              <w:pStyle w:val="HeadingRunIn"/>
              <w:keepNext w:val="0"/>
              <w:suppressAutoHyphens/>
              <w:spacing w:before="10" w:after="48" w:line="220" w:lineRule="atLeast"/>
              <w:rPr>
                <w:rFonts w:ascii="Arial" w:hAnsi="Arial" w:cs="Arial"/>
                <w:b w:val="0"/>
                <w:w w:val="100"/>
                <w:sz w:val="18"/>
                <w:szCs w:val="18"/>
                <w:lang w:val="en-AU"/>
              </w:rPr>
            </w:pPr>
            <w:r w:rsidRPr="003E76E7">
              <w:rPr>
                <w:rFonts w:ascii="Arial" w:hAnsi="Arial" w:cs="Arial"/>
                <w:b w:val="0"/>
                <w:bCs w:val="0"/>
                <w:sz w:val="18"/>
                <w:szCs w:val="18"/>
              </w:rPr>
              <w:t>Reserve members who are available for voluntary service, or are rendering service. This category applies to Reservists who provide service to undertake a specified tasking, normally for short tenures and generally within a financial year.</w:t>
            </w:r>
          </w:p>
        </w:tc>
      </w:tr>
      <w:tr w:rsidR="002B42B9" w:rsidRPr="003E76E7" w14:paraId="5575C8D7" w14:textId="77777777" w:rsidTr="0085357D">
        <w:trPr>
          <w:cantSplit/>
          <w:trHeight w:val="383"/>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04B66BFE"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rPr>
            </w:pPr>
            <w:r w:rsidRPr="003E76E7">
              <w:rPr>
                <w:rFonts w:ascii="Arial" w:hAnsi="Arial" w:cs="Arial"/>
                <w:b w:val="0"/>
                <w:bCs w:val="0"/>
                <w:sz w:val="18"/>
                <w:szCs w:val="18"/>
              </w:rPr>
              <w:t>Service</w:t>
            </w:r>
          </w:p>
          <w:p w14:paraId="65599DCD" w14:textId="77777777" w:rsidR="002B42B9" w:rsidRPr="003E76E7" w:rsidRDefault="002B42B9" w:rsidP="00C4292D">
            <w:pPr>
              <w:pStyle w:val="HeadingRunIn"/>
              <w:keepNext w:val="0"/>
              <w:suppressAutoHyphens/>
              <w:spacing w:before="10" w:after="48" w:line="220" w:lineRule="atLeast"/>
              <w:rPr>
                <w:rFonts w:ascii="Arial" w:hAnsi="Arial" w:cs="Arial"/>
                <w:b w:val="0"/>
                <w:bCs w:val="0"/>
                <w:w w:val="100"/>
                <w:sz w:val="18"/>
                <w:szCs w:val="18"/>
                <w:lang w:val="en-AU"/>
              </w:rPr>
            </w:pPr>
            <w:r w:rsidRPr="003E76E7">
              <w:rPr>
                <w:rFonts w:ascii="Arial" w:hAnsi="Arial" w:cs="Arial"/>
                <w:b w:val="0"/>
                <w:bCs w:val="0"/>
                <w:sz w:val="18"/>
                <w:szCs w:val="18"/>
              </w:rPr>
              <w:t>Category 4</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3A07B9F5" w14:textId="77777777" w:rsidR="002B42B9" w:rsidRPr="003E76E7" w:rsidRDefault="002B42B9" w:rsidP="00C4292D">
            <w:pPr>
              <w:pStyle w:val="HeadingRunIn"/>
              <w:keepNext w:val="0"/>
              <w:suppressAutoHyphens/>
              <w:spacing w:before="10" w:after="48" w:line="220" w:lineRule="atLeast"/>
              <w:rPr>
                <w:rFonts w:ascii="Arial" w:hAnsi="Arial" w:cs="Arial"/>
                <w:b w:val="0"/>
                <w:w w:val="100"/>
                <w:sz w:val="18"/>
                <w:szCs w:val="18"/>
                <w:lang w:val="en-AU"/>
              </w:rPr>
            </w:pPr>
            <w:r w:rsidRPr="003E76E7">
              <w:rPr>
                <w:rFonts w:ascii="Arial" w:hAnsi="Arial" w:cs="Arial"/>
                <w:b w:val="0"/>
                <w:bCs w:val="0"/>
                <w:sz w:val="18"/>
                <w:szCs w:val="18"/>
              </w:rPr>
              <w:t>Reserve members who are available for voluntary service at short notice. This service category replaces the High Readiness Reserve.</w:t>
            </w:r>
          </w:p>
        </w:tc>
      </w:tr>
      <w:tr w:rsidR="002B42B9" w:rsidRPr="003E76E7" w14:paraId="383662CD" w14:textId="77777777" w:rsidTr="0085357D">
        <w:trPr>
          <w:cantSplit/>
          <w:trHeight w:val="547"/>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22A6BBF8"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rPr>
            </w:pPr>
            <w:r w:rsidRPr="003E76E7">
              <w:rPr>
                <w:rFonts w:ascii="Arial" w:hAnsi="Arial" w:cs="Arial"/>
                <w:b w:val="0"/>
                <w:bCs w:val="0"/>
                <w:sz w:val="18"/>
                <w:szCs w:val="18"/>
              </w:rPr>
              <w:t>Service</w:t>
            </w:r>
          </w:p>
          <w:p w14:paraId="7185E717" w14:textId="77777777" w:rsidR="002B42B9" w:rsidRPr="003E76E7" w:rsidRDefault="002B42B9" w:rsidP="00C4292D">
            <w:pPr>
              <w:pStyle w:val="HeadingRunIn"/>
              <w:keepNext w:val="0"/>
              <w:suppressAutoHyphens/>
              <w:spacing w:before="10" w:after="48" w:line="220" w:lineRule="atLeast"/>
              <w:rPr>
                <w:rFonts w:ascii="Arial" w:hAnsi="Arial" w:cs="Arial"/>
                <w:b w:val="0"/>
                <w:bCs w:val="0"/>
                <w:w w:val="100"/>
                <w:sz w:val="18"/>
                <w:szCs w:val="18"/>
                <w:lang w:val="en-AU"/>
              </w:rPr>
            </w:pPr>
            <w:r w:rsidRPr="003E76E7">
              <w:rPr>
                <w:rFonts w:ascii="Arial" w:hAnsi="Arial" w:cs="Arial"/>
                <w:b w:val="0"/>
                <w:bCs w:val="0"/>
                <w:sz w:val="18"/>
                <w:szCs w:val="18"/>
              </w:rPr>
              <w:t>Category 5</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38FF60EE" w14:textId="77777777" w:rsidR="002B42B9" w:rsidRPr="003E76E7" w:rsidRDefault="002B42B9" w:rsidP="00C4292D">
            <w:pPr>
              <w:pStyle w:val="HeadingRunIn"/>
              <w:keepNext w:val="0"/>
              <w:suppressAutoHyphens/>
              <w:spacing w:before="10" w:after="48" w:line="220" w:lineRule="atLeast"/>
              <w:rPr>
                <w:rFonts w:ascii="Arial" w:hAnsi="Arial" w:cs="Arial"/>
                <w:b w:val="0"/>
                <w:w w:val="100"/>
                <w:sz w:val="18"/>
                <w:szCs w:val="18"/>
                <w:lang w:val="en-AU"/>
              </w:rPr>
            </w:pPr>
            <w:r w:rsidRPr="003E76E7">
              <w:rPr>
                <w:rFonts w:ascii="Arial" w:hAnsi="Arial" w:cs="Arial"/>
                <w:b w:val="0"/>
                <w:bCs w:val="0"/>
                <w:sz w:val="18"/>
                <w:szCs w:val="18"/>
              </w:rPr>
              <w:t>Reservists who are providing voluntary service characterised by stability in terms of a specific pattern of service and the number of days to be served.</w:t>
            </w:r>
          </w:p>
        </w:tc>
      </w:tr>
      <w:tr w:rsidR="002B42B9" w:rsidRPr="003E76E7" w14:paraId="4AA6592E" w14:textId="77777777" w:rsidTr="0085357D">
        <w:trPr>
          <w:cantSplit/>
          <w:trHeight w:val="313"/>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1979323C"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rPr>
            </w:pPr>
            <w:r w:rsidRPr="003E76E7">
              <w:rPr>
                <w:rFonts w:ascii="Arial" w:hAnsi="Arial" w:cs="Arial"/>
                <w:b w:val="0"/>
                <w:bCs w:val="0"/>
                <w:sz w:val="18"/>
                <w:szCs w:val="18"/>
              </w:rPr>
              <w:t>Service Categories</w:t>
            </w:r>
          </w:p>
          <w:p w14:paraId="5988E084" w14:textId="7286CE29" w:rsidR="002B42B9" w:rsidRPr="003E76E7" w:rsidRDefault="00025EEA" w:rsidP="00C4292D">
            <w:pPr>
              <w:pStyle w:val="HeadingRunIn"/>
              <w:keepNext w:val="0"/>
              <w:suppressAutoHyphens/>
              <w:spacing w:before="10" w:line="220" w:lineRule="atLeast"/>
              <w:rPr>
                <w:rFonts w:ascii="Arial" w:hAnsi="Arial" w:cs="Arial"/>
                <w:b w:val="0"/>
                <w:bCs w:val="0"/>
                <w:w w:val="100"/>
                <w:sz w:val="18"/>
                <w:szCs w:val="18"/>
                <w:lang w:val="en-AU"/>
              </w:rPr>
            </w:pPr>
            <w:r>
              <w:rPr>
                <w:rFonts w:ascii="Arial" w:hAnsi="Arial" w:cs="Arial"/>
                <w:b w:val="0"/>
                <w:bCs w:val="0"/>
                <w:sz w:val="18"/>
                <w:szCs w:val="18"/>
              </w:rPr>
              <w:t>6 and 7</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731A150C" w14:textId="77777777" w:rsidR="002B42B9" w:rsidRPr="003E76E7" w:rsidRDefault="002B42B9" w:rsidP="00C4292D">
            <w:pPr>
              <w:pStyle w:val="HeadingRunIn"/>
              <w:keepNext w:val="0"/>
              <w:suppressAutoHyphens/>
              <w:spacing w:before="10" w:line="220" w:lineRule="atLeast"/>
              <w:rPr>
                <w:rFonts w:ascii="Arial" w:hAnsi="Arial" w:cs="Arial"/>
                <w:b w:val="0"/>
                <w:w w:val="100"/>
                <w:sz w:val="18"/>
                <w:szCs w:val="18"/>
                <w:lang w:val="en-AU"/>
              </w:rPr>
            </w:pPr>
            <w:r w:rsidRPr="003E76E7">
              <w:rPr>
                <w:rFonts w:ascii="Arial" w:hAnsi="Arial" w:cs="Arial"/>
                <w:b w:val="0"/>
                <w:bCs w:val="0"/>
                <w:sz w:val="18"/>
                <w:szCs w:val="18"/>
              </w:rPr>
              <w:t>Permanent ADF personnel with Service Category 6 being a permanent part time service option.</w:t>
            </w:r>
          </w:p>
        </w:tc>
      </w:tr>
      <w:tr w:rsidR="002B42B9" w:rsidRPr="003E76E7" w14:paraId="4BE71227" w14:textId="77777777" w:rsidTr="0085357D">
        <w:trPr>
          <w:cantSplit/>
          <w:trHeight w:val="794"/>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6AB8223C" w14:textId="77777777" w:rsidR="002B42B9" w:rsidRPr="003E76E7" w:rsidRDefault="002B42B9" w:rsidP="00C4292D">
            <w:pPr>
              <w:pStyle w:val="HeadingRunIn"/>
              <w:keepNext w:val="0"/>
              <w:suppressAutoHyphens/>
              <w:spacing w:before="10" w:after="48" w:line="220" w:lineRule="atLeast"/>
              <w:rPr>
                <w:rFonts w:ascii="Arial" w:hAnsi="Arial" w:cs="Arial"/>
                <w:b w:val="0"/>
                <w:bCs w:val="0"/>
                <w:w w:val="100"/>
                <w:sz w:val="18"/>
                <w:szCs w:val="18"/>
                <w:lang w:val="en-AU"/>
              </w:rPr>
            </w:pPr>
            <w:r w:rsidRPr="003E76E7">
              <w:rPr>
                <w:rFonts w:ascii="Arial" w:hAnsi="Arial" w:cs="Arial"/>
                <w:b w:val="0"/>
                <w:bCs w:val="0"/>
                <w:sz w:val="18"/>
                <w:szCs w:val="18"/>
              </w:rPr>
              <w:lastRenderedPageBreak/>
              <w:t>Service Options</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3506408C" w14:textId="77777777" w:rsidR="002B42B9" w:rsidRPr="003E76E7" w:rsidRDefault="002B42B9" w:rsidP="00C4292D">
            <w:pPr>
              <w:pStyle w:val="HeadingRunIn"/>
              <w:keepNext w:val="0"/>
              <w:suppressAutoHyphens/>
              <w:spacing w:before="10" w:after="48" w:line="220" w:lineRule="atLeast"/>
              <w:rPr>
                <w:rFonts w:ascii="Arial" w:hAnsi="Arial" w:cs="Arial"/>
                <w:b w:val="0"/>
                <w:w w:val="100"/>
                <w:sz w:val="18"/>
                <w:szCs w:val="18"/>
                <w:lang w:val="en-AU"/>
              </w:rPr>
            </w:pPr>
            <w:r w:rsidRPr="003E76E7">
              <w:rPr>
                <w:rFonts w:ascii="Arial" w:hAnsi="Arial" w:cs="Arial"/>
                <w:b w:val="0"/>
                <w:bCs w:val="0"/>
                <w:sz w:val="18"/>
                <w:szCs w:val="18"/>
              </w:rPr>
              <w:t>Group members who provide capabilities where differentiated service arrangements or conditions of service are required. For example, a Reservist undertaking continuous full time service under the Total Workforce Model now has their service in Service Category 3, 4 or 5 ‘modified’ by Service Option C (rendering continuous full time service) and personnel undertaking the ADF Gap Year program would have their service classified by Service Option G.</w:t>
            </w:r>
          </w:p>
        </w:tc>
      </w:tr>
      <w:tr w:rsidR="002B42B9" w:rsidRPr="003E76E7" w14:paraId="5D42D447" w14:textId="77777777" w:rsidTr="0085357D">
        <w:trPr>
          <w:cantSplit/>
          <w:trHeight w:val="454"/>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7AB02D18" w14:textId="211E6AA8"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 xml:space="preserve">Special </w:t>
            </w:r>
            <w:r w:rsidR="00645FDF" w:rsidRPr="003E76E7">
              <w:rPr>
                <w:rFonts w:ascii="Arial" w:hAnsi="Arial" w:cs="Arial"/>
                <w:b w:val="0"/>
                <w:bCs w:val="0"/>
                <w:w w:val="100"/>
                <w:sz w:val="18"/>
                <w:szCs w:val="18"/>
                <w:lang w:val="en-AU"/>
              </w:rPr>
              <w:t>A</w:t>
            </w:r>
            <w:r w:rsidRPr="003E76E7">
              <w:rPr>
                <w:rFonts w:ascii="Arial" w:hAnsi="Arial" w:cs="Arial"/>
                <w:b w:val="0"/>
                <w:bCs w:val="0"/>
                <w:w w:val="100"/>
                <w:sz w:val="18"/>
                <w:szCs w:val="18"/>
                <w:lang w:val="en-AU"/>
              </w:rPr>
              <w:t>ccount</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53BEE422" w14:textId="77777777" w:rsidR="002B42B9" w:rsidRPr="003E76E7" w:rsidRDefault="002B42B9" w:rsidP="00C4292D">
            <w:pPr>
              <w:pStyle w:val="HeadingRunIn"/>
              <w:keepNext w:val="0"/>
              <w:suppressAutoHyphens/>
              <w:spacing w:before="10" w:after="48" w:line="220" w:lineRule="atLeast"/>
              <w:rPr>
                <w:rFonts w:ascii="Arial" w:hAnsi="Arial" w:cs="Arial"/>
                <w:b w:val="0"/>
                <w:bCs w:val="0"/>
                <w:w w:val="100"/>
                <w:sz w:val="18"/>
                <w:szCs w:val="18"/>
                <w:lang w:val="en-AU"/>
              </w:rPr>
            </w:pPr>
            <w:r w:rsidRPr="003E76E7">
              <w:rPr>
                <w:rFonts w:ascii="Arial" w:hAnsi="Arial" w:cs="Arial"/>
                <w:b w:val="0"/>
                <w:w w:val="100"/>
                <w:sz w:val="18"/>
                <w:szCs w:val="18"/>
                <w:lang w:val="en-AU"/>
              </w:rPr>
              <w:t>Special Accounts are an appropriation mechanism to draw money from the Consolidated Revenue Fund for particular purposes. They are not bank accounts.</w:t>
            </w:r>
          </w:p>
        </w:tc>
      </w:tr>
      <w:tr w:rsidR="002B42B9" w:rsidRPr="003E76E7" w14:paraId="7653FD12" w14:textId="77777777" w:rsidTr="0085357D">
        <w:trPr>
          <w:cantSplit/>
          <w:trHeight w:val="160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67D67F28"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Special Appropriations (including Standing Appropriations)</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2AD919CB" w14:textId="77777777" w:rsidR="002B42B9" w:rsidRPr="003E76E7" w:rsidRDefault="002B42B9" w:rsidP="00C4292D">
            <w:pPr>
              <w:pStyle w:val="HeadingRunIn"/>
              <w:keepNext w:val="0"/>
              <w:suppressAutoHyphens/>
              <w:spacing w:before="10" w:after="48" w:line="220" w:lineRule="atLeast"/>
              <w:rPr>
                <w:rFonts w:ascii="Arial" w:hAnsi="Arial" w:cs="Arial"/>
                <w:b w:val="0"/>
                <w:bCs w:val="0"/>
                <w:w w:val="100"/>
                <w:sz w:val="18"/>
                <w:szCs w:val="18"/>
                <w:lang w:val="en-AU"/>
              </w:rPr>
            </w:pPr>
            <w:r w:rsidRPr="003E76E7">
              <w:rPr>
                <w:rFonts w:ascii="Arial" w:hAnsi="Arial" w:cs="Arial"/>
                <w:b w:val="0"/>
                <w:bCs w:val="0"/>
                <w:w w:val="100"/>
                <w:sz w:val="18"/>
                <w:szCs w:val="18"/>
                <w:lang w:val="en-AU"/>
              </w:rPr>
              <w:t>An amount of money appropriated by a particular Act of Parliament for a specific purpose and number of years. For special appropriations the authority to withdraw funds from the Consolidated Revenue Fund does not generally cease at the end of the financial year.</w:t>
            </w:r>
          </w:p>
          <w:p w14:paraId="65BF48AD"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Standing appropriations are a sub</w:t>
            </w:r>
            <w:r w:rsidRPr="003E76E7">
              <w:rPr>
                <w:rFonts w:ascii="Arial" w:hAnsi="Arial" w:cs="Arial"/>
                <w:b w:val="0"/>
                <w:bCs w:val="0"/>
                <w:w w:val="100"/>
                <w:sz w:val="18"/>
                <w:szCs w:val="18"/>
                <w:lang w:val="en-AU"/>
              </w:rPr>
              <w:noBreakHyphen/>
              <w:t>category consisting of ongoing special appropriations - the amount appropriated will depend on circumstances specified in the legislation.</w:t>
            </w:r>
          </w:p>
        </w:tc>
      </w:tr>
      <w:tr w:rsidR="002B42B9" w:rsidRPr="003E76E7" w14:paraId="2C9C4BB6" w14:textId="77777777" w:rsidTr="0085357D">
        <w:trPr>
          <w:cantSplit/>
          <w:trHeight w:val="72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0F208EC8"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Specialist military equipment</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6F125037"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Assets of a military nature used for a specific military purpose. This includes military equipment and commercial items that have had major modifications to convert/fit them for a military purpose.</w:t>
            </w:r>
          </w:p>
        </w:tc>
      </w:tr>
      <w:tr w:rsidR="002B42B9" w:rsidRPr="003E76E7" w14:paraId="66C2F79C" w14:textId="77777777" w:rsidTr="0085357D">
        <w:trPr>
          <w:cantSplit/>
          <w:trHeight w:val="327"/>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0311572B" w14:textId="77777777" w:rsidR="002B42B9" w:rsidRPr="003E76E7" w:rsidRDefault="002B42B9" w:rsidP="00C4292D">
            <w:pPr>
              <w:pStyle w:val="HeadingRunIn"/>
              <w:keepNext w:val="0"/>
              <w:suppressAutoHyphens/>
              <w:spacing w:before="10" w:after="48" w:line="220" w:lineRule="atLeast"/>
              <w:rPr>
                <w:rFonts w:ascii="Arial" w:hAnsi="Arial" w:cs="Arial"/>
                <w:b w:val="0"/>
                <w:bCs w:val="0"/>
                <w:w w:val="100"/>
                <w:sz w:val="18"/>
                <w:szCs w:val="18"/>
              </w:rPr>
            </w:pPr>
            <w:r w:rsidRPr="003E76E7">
              <w:rPr>
                <w:rFonts w:ascii="Arial" w:hAnsi="Arial" w:cs="Arial"/>
                <w:b w:val="0"/>
                <w:bCs w:val="0"/>
                <w:w w:val="100"/>
                <w:sz w:val="18"/>
                <w:szCs w:val="18"/>
              </w:rPr>
              <w:t>SSN</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vAlign w:val="center"/>
          </w:tcPr>
          <w:p w14:paraId="4B49BC20" w14:textId="77777777" w:rsidR="002B42B9" w:rsidRPr="003E76E7" w:rsidRDefault="002B42B9" w:rsidP="00C4292D">
            <w:pPr>
              <w:autoSpaceDE w:val="0"/>
              <w:autoSpaceDN w:val="0"/>
              <w:spacing w:after="0"/>
              <w:rPr>
                <w:rFonts w:ascii="Arial" w:hAnsi="Arial"/>
                <w:b/>
                <w:bCs/>
                <w:sz w:val="18"/>
                <w:szCs w:val="18"/>
              </w:rPr>
            </w:pPr>
            <w:r w:rsidRPr="003E76E7">
              <w:rPr>
                <w:rFonts w:ascii="Arial" w:hAnsi="Arial"/>
                <w:color w:val="000000"/>
                <w:sz w:val="18"/>
                <w:szCs w:val="18"/>
                <w:lang w:val="en-AU"/>
              </w:rPr>
              <w:t>SSN is the US Navy hull classification symbol for nuclear-powered general-purpose attack submarines.</w:t>
            </w:r>
          </w:p>
        </w:tc>
      </w:tr>
      <w:tr w:rsidR="002B42B9" w:rsidRPr="003E76E7" w14:paraId="0A9897FD" w14:textId="77777777" w:rsidTr="0085357D">
        <w:trPr>
          <w:cantSplit/>
          <w:trHeight w:val="72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60A2004D"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rPr>
              <w:t>System Program Office</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41F261A4"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rPr>
              <w:t>The office of the Program Manager. It serves as the single point of contact with industry, government agencies, and other activities participating in the acquisition process of a given system.</w:t>
            </w:r>
          </w:p>
        </w:tc>
      </w:tr>
      <w:tr w:rsidR="002B42B9" w:rsidRPr="003E76E7" w14:paraId="1F2815D0" w14:textId="77777777" w:rsidTr="0085357D">
        <w:trPr>
          <w:cantSplit/>
          <w:trHeight w:val="28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1B0B7C5C"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rPr>
              <w:t>Theatre</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22AE98C9"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rPr>
              <w:t>The area in which military operations and activities take place.</w:t>
            </w:r>
          </w:p>
        </w:tc>
      </w:tr>
      <w:tr w:rsidR="002B42B9" w:rsidRPr="003E76E7" w14:paraId="46D8F6B3" w14:textId="77777777" w:rsidTr="0085357D">
        <w:trPr>
          <w:cantSplit/>
          <w:trHeight w:val="50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5FD98847"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rPr>
              <w:t>Two-pass approval process</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374E0314"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rPr>
              <w:t>The process by which major capital investment proposals are developed for consideration and approval by the Government.</w:t>
            </w:r>
          </w:p>
        </w:tc>
      </w:tr>
      <w:tr w:rsidR="002B42B9" w:rsidRPr="003E76E7" w14:paraId="007B95FA" w14:textId="77777777" w:rsidTr="0085357D">
        <w:trPr>
          <w:cantSplit/>
          <w:trHeight w:val="717"/>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0C7D021A"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Unit Availability Days</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32C66774"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A Unit Availability Day is a day when a unit is materielly ready and its personnel state and level of competence enables the unit to safely perform tasks in the unit’s normal operating environment, immediately.</w:t>
            </w:r>
          </w:p>
        </w:tc>
      </w:tr>
      <w:tr w:rsidR="002B42B9" w:rsidRPr="003E76E7" w14:paraId="6B4183F9" w14:textId="77777777" w:rsidTr="0085357D">
        <w:trPr>
          <w:cantSplit/>
          <w:trHeight w:val="1472"/>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20353A37"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rPr>
              <w:t>Weighted average cost</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350711C5"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rPr>
              <w:t>An inventory valuation method which considers the fluctuating prices and quantities of acquired goods in computing of the cost of inventory. The weighted average method takes the prices of units at the beginning inventory and the varying prices of purchases made and are weighted by the number of units to determine the weighted average cost per unit. It may be computed as the weighted average cost of all available goods present in a given period, or as a weighted moving average cost adjusted when new goods are delivered.</w:t>
            </w:r>
          </w:p>
        </w:tc>
      </w:tr>
      <w:tr w:rsidR="002B42B9" w:rsidRPr="003E76E7" w14:paraId="0AD66AC2" w14:textId="77777777" w:rsidTr="0085357D">
        <w:trPr>
          <w:cantSplit/>
          <w:trHeight w:val="28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4B70E200"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Write-downs</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449B09DE" w14:textId="77777777" w:rsidR="002B42B9" w:rsidRPr="003E76E7" w:rsidRDefault="002B42B9" w:rsidP="00C4292D">
            <w:pPr>
              <w:pStyle w:val="HeadingRunIn"/>
              <w:keepNext w:val="0"/>
              <w:suppressAutoHyphens/>
              <w:spacing w:before="10" w:after="48" w:line="220" w:lineRule="atLeast"/>
              <w:rPr>
                <w:rFonts w:ascii="Arial" w:hAnsi="Arial" w:cs="Arial"/>
                <w:b w:val="0"/>
                <w:bCs w:val="0"/>
                <w:sz w:val="18"/>
                <w:szCs w:val="18"/>
                <w:lang w:val="en-AU"/>
              </w:rPr>
            </w:pPr>
            <w:r w:rsidRPr="003E76E7">
              <w:rPr>
                <w:rFonts w:ascii="Arial" w:hAnsi="Arial" w:cs="Arial"/>
                <w:b w:val="0"/>
                <w:bCs w:val="0"/>
                <w:w w:val="100"/>
                <w:sz w:val="18"/>
                <w:szCs w:val="18"/>
                <w:lang w:val="en-AU"/>
              </w:rPr>
              <w:t>The reduction in the value of assets.</w:t>
            </w:r>
          </w:p>
        </w:tc>
      </w:tr>
    </w:tbl>
    <w:p w14:paraId="5ECA5789" w14:textId="77777777" w:rsidR="002B42B9" w:rsidRPr="003E76E7" w:rsidRDefault="002B42B9" w:rsidP="00C4292D">
      <w:pPr>
        <w:rPr>
          <w:sz w:val="18"/>
          <w:szCs w:val="18"/>
          <w:lang w:val="en-AU"/>
        </w:rPr>
      </w:pPr>
    </w:p>
    <w:p w14:paraId="138D126A" w14:textId="77777777" w:rsidR="002B42B9" w:rsidRPr="003E76E7" w:rsidRDefault="002B42B9" w:rsidP="00C4292D">
      <w:pPr>
        <w:pStyle w:val="Heading1"/>
        <w:rPr>
          <w:rFonts w:ascii="Book Antiqua" w:hAnsi="Book Antiqua"/>
          <w:sz w:val="20"/>
          <w:szCs w:val="20"/>
          <w:lang w:val="en-AU"/>
        </w:rPr>
        <w:sectPr w:rsidR="002B42B9" w:rsidRPr="003E76E7" w:rsidSect="00FF46AE">
          <w:headerReference w:type="even" r:id="rId223"/>
          <w:headerReference w:type="default" r:id="rId224"/>
          <w:footerReference w:type="even" r:id="rId225"/>
          <w:footerReference w:type="default" r:id="rId226"/>
          <w:headerReference w:type="first" r:id="rId227"/>
          <w:pgSz w:w="11907" w:h="16840" w:code="9"/>
          <w:pgMar w:top="1701" w:right="1361" w:bottom="1701" w:left="1928" w:header="720" w:footer="720" w:gutter="0"/>
          <w:cols w:space="720"/>
          <w:noEndnote/>
        </w:sectPr>
      </w:pPr>
      <w:bookmarkStart w:id="2502" w:name="_Toc353889443"/>
      <w:bookmarkStart w:id="2503" w:name="_Toc354470999"/>
    </w:p>
    <w:p w14:paraId="260838B6" w14:textId="77777777" w:rsidR="002B42B9" w:rsidRPr="003E76E7" w:rsidRDefault="002B42B9" w:rsidP="00C4292D">
      <w:pPr>
        <w:pStyle w:val="Heading2"/>
        <w:rPr>
          <w:b/>
          <w:sz w:val="36"/>
        </w:rPr>
      </w:pPr>
      <w:bookmarkStart w:id="2504" w:name="_Toc354565598"/>
      <w:bookmarkStart w:id="2505" w:name="_Toc354580521"/>
      <w:bookmarkStart w:id="2506" w:name="_Toc354591427"/>
      <w:bookmarkStart w:id="2507" w:name="_Toc354734151"/>
      <w:bookmarkStart w:id="2508" w:name="_Toc355020253"/>
      <w:bookmarkStart w:id="2509" w:name="_Toc355262927"/>
      <w:bookmarkStart w:id="2510" w:name="_Toc355271282"/>
      <w:bookmarkStart w:id="2511" w:name="_Toc355343351"/>
      <w:bookmarkStart w:id="2512" w:name="_Toc355620839"/>
      <w:bookmarkStart w:id="2513" w:name="_Toc359245808"/>
      <w:bookmarkStart w:id="2514" w:name="_Toc374969067"/>
      <w:bookmarkStart w:id="2515" w:name="_Toc375310580"/>
      <w:bookmarkStart w:id="2516" w:name="_Toc384298254"/>
      <w:bookmarkStart w:id="2517" w:name="_Toc441089260"/>
      <w:bookmarkStart w:id="2518" w:name="_Toc476581177"/>
      <w:bookmarkStart w:id="2519" w:name="_Toc501442192"/>
      <w:bookmarkStart w:id="2520" w:name="_Toc503861133"/>
      <w:bookmarkStart w:id="2521" w:name="_Toc534886366"/>
      <w:bookmarkStart w:id="2522" w:name="_Toc534886559"/>
      <w:bookmarkStart w:id="2523" w:name="_Toc534908486"/>
      <w:bookmarkStart w:id="2524" w:name="_Toc23502322"/>
      <w:bookmarkStart w:id="2525" w:name="_Toc56431427"/>
      <w:bookmarkStart w:id="2526" w:name="_Toc56431542"/>
      <w:bookmarkStart w:id="2527" w:name="_Toc62822962"/>
      <w:bookmarkStart w:id="2528" w:name="_Toc62823058"/>
      <w:bookmarkStart w:id="2529" w:name="_Toc62823219"/>
      <w:bookmarkStart w:id="2530" w:name="_Toc93329746"/>
      <w:bookmarkStart w:id="2531" w:name="_Toc93330414"/>
      <w:bookmarkStart w:id="2532" w:name="_Toc93331408"/>
      <w:bookmarkStart w:id="2533" w:name="_Toc149060159"/>
      <w:bookmarkStart w:id="2534" w:name="_Toc149116043"/>
      <w:bookmarkStart w:id="2535" w:name="_Toc149233156"/>
      <w:bookmarkStart w:id="2536" w:name="_Toc155955172"/>
      <w:bookmarkStart w:id="2537" w:name="_Toc218594969"/>
      <w:bookmarkStart w:id="2538" w:name="_Toc218596353"/>
      <w:bookmarkStart w:id="2539" w:name="_Toc218596706"/>
      <w:bookmarkStart w:id="2540" w:name="_Toc218596845"/>
      <w:bookmarkStart w:id="2541" w:name="_Toc218597089"/>
      <w:bookmarkStart w:id="2542" w:name="_Toc218597225"/>
      <w:bookmarkStart w:id="2543" w:name="_Toc218597730"/>
      <w:bookmarkStart w:id="2544" w:name="_Toc218597867"/>
      <w:bookmarkStart w:id="2545" w:name="_Toc218761762"/>
      <w:bookmarkStart w:id="2546" w:name="_Toc218765494"/>
      <w:bookmarkStart w:id="2547" w:name="_Toc218765574"/>
      <w:bookmarkStart w:id="2548" w:name="_Toc219290713"/>
      <w:bookmarkStart w:id="2549" w:name="_Toc222129996"/>
      <w:bookmarkStart w:id="2550" w:name="_Toc222148417"/>
      <w:bookmarkStart w:id="2551" w:name="_Toc225848045"/>
      <w:bookmarkStart w:id="2552" w:name="_Toc225848128"/>
      <w:bookmarkStart w:id="2553" w:name="_Toc225848211"/>
      <w:bookmarkStart w:id="2554" w:name="_Toc225848281"/>
      <w:bookmarkStart w:id="2555" w:name="_Toc225848550"/>
      <w:bookmarkStart w:id="2556" w:name="_Toc225941619"/>
      <w:bookmarkStart w:id="2557" w:name="_Toc225942626"/>
      <w:bookmarkStart w:id="2558" w:name="_Toc227334435"/>
      <w:bookmarkStart w:id="2559" w:name="_Toc229072511"/>
      <w:bookmarkStart w:id="2560" w:name="_Toc229072683"/>
      <w:r w:rsidRPr="003E76E7">
        <w:rPr>
          <w:b/>
          <w:sz w:val="36"/>
        </w:rPr>
        <w:lastRenderedPageBreak/>
        <w:t>Acronyms</w:t>
      </w:r>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p>
    <w:p w14:paraId="24746D8B" w14:textId="77777777" w:rsidR="002B42B9" w:rsidRPr="003E76E7" w:rsidRDefault="002B42B9" w:rsidP="00C4292D">
      <w:pPr>
        <w:pStyle w:val="HeadingRunIn"/>
        <w:keepNext w:val="0"/>
        <w:tabs>
          <w:tab w:val="left" w:pos="280"/>
        </w:tabs>
        <w:spacing w:before="100" w:after="100" w:line="240" w:lineRule="auto"/>
        <w:rPr>
          <w:rFonts w:ascii="Arial" w:hAnsi="Arial" w:cs="Arial"/>
          <w:smallCaps/>
          <w:color w:val="auto"/>
          <w:w w:val="100"/>
          <w:sz w:val="26"/>
          <w:szCs w:val="26"/>
          <w:lang w:val="en-AU"/>
        </w:rPr>
      </w:pPr>
      <w:r w:rsidRPr="003E76E7">
        <w:rPr>
          <w:rFonts w:ascii="Arial" w:hAnsi="Arial" w:cs="Arial"/>
          <w:smallCaps/>
          <w:color w:val="auto"/>
          <w:w w:val="100"/>
          <w:sz w:val="26"/>
          <w:szCs w:val="26"/>
          <w:lang w:val="en-AU"/>
        </w:rPr>
        <w:t>A</w:t>
      </w:r>
    </w:p>
    <w:p w14:paraId="219B35A7" w14:textId="77777777" w:rsidR="002B42B9" w:rsidRPr="003E76E7" w:rsidRDefault="002B42B9" w:rsidP="00C4292D">
      <w:pPr>
        <w:spacing w:before="60" w:after="60"/>
        <w:ind w:left="1134" w:hanging="1134"/>
      </w:pPr>
      <w:r w:rsidRPr="003E76E7">
        <w:t>AACAP</w:t>
      </w:r>
      <w:r w:rsidRPr="003E76E7">
        <w:tab/>
        <w:t>Army Aboriginal Community Assistance Program</w:t>
      </w:r>
    </w:p>
    <w:p w14:paraId="5A661E6F" w14:textId="77777777" w:rsidR="002B42B9" w:rsidRPr="003E76E7" w:rsidRDefault="002B42B9" w:rsidP="00C4292D">
      <w:pPr>
        <w:spacing w:before="60" w:after="60"/>
        <w:ind w:left="1134" w:hanging="1134"/>
      </w:pPr>
      <w:r w:rsidRPr="003E76E7">
        <w:t>AAF</w:t>
      </w:r>
      <w:r w:rsidRPr="003E76E7">
        <w:tab/>
      </w:r>
      <w:r w:rsidRPr="003E76E7">
        <w:tab/>
      </w:r>
      <w:r w:rsidRPr="003E76E7">
        <w:tab/>
      </w:r>
      <w:r w:rsidRPr="003E76E7">
        <w:tab/>
      </w:r>
      <w:r w:rsidRPr="003E76E7">
        <w:tab/>
      </w:r>
      <w:r w:rsidRPr="003E76E7">
        <w:tab/>
      </w:r>
      <w:r w:rsidRPr="003E76E7">
        <w:tab/>
      </w:r>
      <w:r w:rsidRPr="003E76E7">
        <w:tab/>
      </w:r>
      <w:r w:rsidRPr="003E76E7">
        <w:tab/>
      </w:r>
      <w:r w:rsidRPr="003E76E7">
        <w:tab/>
      </w:r>
      <w:r w:rsidRPr="003E76E7">
        <w:tab/>
      </w:r>
      <w:r w:rsidRPr="003E76E7">
        <w:tab/>
      </w:r>
      <w:r w:rsidRPr="003E76E7">
        <w:tab/>
      </w:r>
      <w:r w:rsidRPr="003E76E7">
        <w:tab/>
      </w:r>
      <w:r w:rsidRPr="003E76E7">
        <w:tab/>
      </w:r>
      <w:r w:rsidRPr="003E76E7">
        <w:tab/>
      </w:r>
      <w:r w:rsidRPr="003E76E7">
        <w:tab/>
        <w:t>Army Amenities Fund</w:t>
      </w:r>
    </w:p>
    <w:p w14:paraId="1AAA6F34" w14:textId="7372C894" w:rsidR="002B42B9" w:rsidRPr="003E76E7" w:rsidRDefault="002B42B9" w:rsidP="00C4292D">
      <w:pPr>
        <w:spacing w:before="60" w:after="60"/>
        <w:ind w:left="1134" w:hanging="1134"/>
      </w:pPr>
      <w:r w:rsidRPr="003E76E7">
        <w:t>AAFCANS</w:t>
      </w:r>
      <w:r w:rsidRPr="003E76E7">
        <w:tab/>
        <w:t>Army and Air Force Canteen Service</w:t>
      </w:r>
    </w:p>
    <w:p w14:paraId="1585D572" w14:textId="13524868" w:rsidR="00EB376B" w:rsidRPr="003E76E7" w:rsidRDefault="00EB376B" w:rsidP="00C4292D">
      <w:pPr>
        <w:spacing w:before="60" w:after="60"/>
        <w:ind w:left="1134" w:hanging="1134"/>
      </w:pPr>
      <w:r w:rsidRPr="003E76E7">
        <w:t>AASB</w:t>
      </w:r>
      <w:r w:rsidRPr="003E76E7">
        <w:tab/>
        <w:t>Australian Accounting Standards Board</w:t>
      </w:r>
    </w:p>
    <w:p w14:paraId="1778E06E" w14:textId="77777777" w:rsidR="002B42B9" w:rsidRPr="003E76E7" w:rsidRDefault="002B42B9" w:rsidP="00C4292D">
      <w:pPr>
        <w:spacing w:before="60" w:after="60"/>
        <w:ind w:left="1134" w:hanging="1134"/>
      </w:pPr>
      <w:r w:rsidRPr="003E76E7">
        <w:t>AC</w:t>
      </w:r>
      <w:r w:rsidRPr="003E76E7">
        <w:tab/>
        <w:t>Companion of the Order of Australia</w:t>
      </w:r>
    </w:p>
    <w:p w14:paraId="13469AD4" w14:textId="252560B5" w:rsidR="002B42B9" w:rsidRPr="003E76E7" w:rsidRDefault="002B42B9" w:rsidP="00C4292D">
      <w:pPr>
        <w:spacing w:before="60" w:after="60"/>
        <w:ind w:left="1134" w:hanging="1134"/>
      </w:pPr>
      <w:r w:rsidRPr="003E76E7">
        <w:t>ACC</w:t>
      </w:r>
      <w:r w:rsidRPr="003E76E7">
        <w:tab/>
        <w:t>Air Combat Capability</w:t>
      </w:r>
    </w:p>
    <w:p w14:paraId="25FBC4C4" w14:textId="7302E9B0" w:rsidR="009A08B9" w:rsidRPr="003E76E7" w:rsidRDefault="009A08B9" w:rsidP="00C4292D">
      <w:pPr>
        <w:spacing w:before="60" w:after="60"/>
        <w:ind w:left="1134" w:hanging="1134"/>
      </w:pPr>
      <w:r w:rsidRPr="003E76E7">
        <w:t>ACMA</w:t>
      </w:r>
      <w:r w:rsidRPr="003E76E7">
        <w:tab/>
        <w:t>Australia Communications and Media Authority</w:t>
      </w:r>
    </w:p>
    <w:p w14:paraId="16AE79B4" w14:textId="77777777" w:rsidR="002B42B9" w:rsidRPr="003E76E7" w:rsidRDefault="002B42B9" w:rsidP="00C4292D">
      <w:pPr>
        <w:spacing w:before="60" w:after="60"/>
        <w:ind w:left="1134" w:hanging="1134"/>
      </w:pPr>
      <w:r w:rsidRPr="003E76E7">
        <w:t>ACMC</w:t>
      </w:r>
      <w:r w:rsidRPr="003E76E7">
        <w:tab/>
        <w:t>Australian Civil-Military Centre</w:t>
      </w:r>
    </w:p>
    <w:p w14:paraId="3E7FBB31" w14:textId="77777777" w:rsidR="002B42B9" w:rsidRPr="003E76E7" w:rsidRDefault="002B42B9" w:rsidP="00C4292D">
      <w:pPr>
        <w:spacing w:before="60" w:after="60"/>
        <w:ind w:left="1134" w:hanging="1134"/>
      </w:pPr>
      <w:r w:rsidRPr="003E76E7">
        <w:t>ACPB</w:t>
      </w:r>
      <w:r w:rsidRPr="003E76E7">
        <w:tab/>
        <w:t>Armidale Class Patrol Boats</w:t>
      </w:r>
    </w:p>
    <w:p w14:paraId="453D279C" w14:textId="77777777" w:rsidR="002B42B9" w:rsidRPr="003E76E7" w:rsidRDefault="002B42B9" w:rsidP="00C4292D">
      <w:pPr>
        <w:spacing w:before="60" w:after="60"/>
        <w:ind w:left="1134" w:hanging="1134"/>
      </w:pPr>
      <w:r w:rsidRPr="003E76E7">
        <w:t>ACS</w:t>
      </w:r>
      <w:r w:rsidRPr="003E76E7">
        <w:tab/>
        <w:t>Aegis Combat System</w:t>
      </w:r>
    </w:p>
    <w:p w14:paraId="56255939" w14:textId="77777777" w:rsidR="002B42B9" w:rsidRPr="003E76E7" w:rsidRDefault="002B42B9" w:rsidP="00C4292D">
      <w:pPr>
        <w:spacing w:before="60" w:after="60"/>
        <w:ind w:left="1134" w:hanging="1134"/>
      </w:pPr>
      <w:r w:rsidRPr="003E76E7">
        <w:t>ADF</w:t>
      </w:r>
      <w:r w:rsidRPr="003E76E7">
        <w:tab/>
        <w:t>Australian Defence Force</w:t>
      </w:r>
    </w:p>
    <w:p w14:paraId="71DCB978" w14:textId="77777777" w:rsidR="002B42B9" w:rsidRPr="003E76E7" w:rsidRDefault="002B42B9" w:rsidP="00C4292D">
      <w:pPr>
        <w:spacing w:before="60" w:after="60"/>
        <w:ind w:left="1134" w:hanging="1134"/>
      </w:pPr>
      <w:r w:rsidRPr="003E76E7">
        <w:t>AEWC</w:t>
      </w:r>
      <w:r w:rsidRPr="003E76E7">
        <w:tab/>
        <w:t>Airborne Early Warning and Control</w:t>
      </w:r>
      <w:r w:rsidRPr="003E76E7">
        <w:tab/>
      </w:r>
      <w:r w:rsidRPr="003E76E7">
        <w:tab/>
      </w:r>
      <w:r w:rsidRPr="003E76E7">
        <w:tab/>
      </w:r>
      <w:r w:rsidRPr="003E76E7">
        <w:tab/>
      </w:r>
    </w:p>
    <w:p w14:paraId="3BC421A9" w14:textId="4ADC81BA" w:rsidR="002B42B9" w:rsidRPr="003E76E7" w:rsidRDefault="002B42B9" w:rsidP="00C4292D">
      <w:pPr>
        <w:spacing w:before="60" w:after="60"/>
        <w:ind w:left="1134" w:hanging="1134"/>
      </w:pPr>
      <w:r w:rsidRPr="003E76E7">
        <w:t>ADGE</w:t>
      </w:r>
      <w:r w:rsidRPr="003E76E7">
        <w:tab/>
        <w:t>Air Defence Ground Environment</w:t>
      </w:r>
    </w:p>
    <w:p w14:paraId="0869A147" w14:textId="1EABBD5F" w:rsidR="00F83B51" w:rsidRPr="003E76E7" w:rsidRDefault="00F83B51" w:rsidP="00C4292D">
      <w:pPr>
        <w:spacing w:before="60" w:after="60"/>
        <w:ind w:left="1134" w:hanging="1134"/>
      </w:pPr>
      <w:r w:rsidRPr="003E76E7">
        <w:t>AFP</w:t>
      </w:r>
      <w:r w:rsidRPr="003E76E7">
        <w:tab/>
        <w:t>Australian Federal Police</w:t>
      </w:r>
    </w:p>
    <w:p w14:paraId="6E4C2DFA" w14:textId="77777777" w:rsidR="002B42B9" w:rsidRPr="003E76E7" w:rsidRDefault="002B42B9" w:rsidP="00C4292D">
      <w:pPr>
        <w:spacing w:before="60" w:after="60"/>
        <w:ind w:left="1134" w:hanging="1134"/>
      </w:pPr>
      <w:r w:rsidRPr="003E76E7">
        <w:t>AFV</w:t>
      </w:r>
      <w:r w:rsidRPr="003E76E7">
        <w:tab/>
        <w:t>Armoured Fighting Vehicle</w:t>
      </w:r>
    </w:p>
    <w:p w14:paraId="7B8CCB00" w14:textId="77777777" w:rsidR="002B42B9" w:rsidRPr="003E76E7" w:rsidRDefault="002B42B9" w:rsidP="00C4292D">
      <w:pPr>
        <w:spacing w:before="60" w:after="60"/>
        <w:ind w:left="1134" w:hanging="1134"/>
      </w:pPr>
      <w:r w:rsidRPr="003E76E7">
        <w:t>AGSVA</w:t>
      </w:r>
      <w:r w:rsidRPr="003E76E7">
        <w:tab/>
        <w:t>Australian Government Security Vetting Agency</w:t>
      </w:r>
    </w:p>
    <w:p w14:paraId="6354B084" w14:textId="028981CC" w:rsidR="002B42B9" w:rsidRPr="003E76E7" w:rsidRDefault="002B42B9" w:rsidP="00C4292D">
      <w:pPr>
        <w:spacing w:before="60" w:after="60"/>
        <w:ind w:left="1134" w:hanging="1134"/>
      </w:pPr>
      <w:r w:rsidRPr="003E76E7">
        <w:t>AHO</w:t>
      </w:r>
      <w:r w:rsidRPr="003E76E7">
        <w:tab/>
        <w:t>Australian Hydrographic Office</w:t>
      </w:r>
    </w:p>
    <w:p w14:paraId="7045189E" w14:textId="4077FAAD" w:rsidR="004D41C2" w:rsidRPr="003E76E7" w:rsidRDefault="004D41C2" w:rsidP="00C4292D">
      <w:pPr>
        <w:spacing w:before="60" w:after="60"/>
        <w:ind w:left="1134" w:hanging="1134"/>
      </w:pPr>
      <w:r w:rsidRPr="003E76E7">
        <w:t>AI</w:t>
      </w:r>
      <w:r w:rsidRPr="003E76E7">
        <w:tab/>
        <w:t>Artificial Intelligence</w:t>
      </w:r>
    </w:p>
    <w:p w14:paraId="430498FC" w14:textId="77777777" w:rsidR="002B42B9" w:rsidRPr="003E76E7" w:rsidRDefault="002B42B9" w:rsidP="00C4292D">
      <w:pPr>
        <w:spacing w:before="60" w:after="60"/>
        <w:ind w:left="1134" w:hanging="1134"/>
      </w:pPr>
      <w:r w:rsidRPr="003E76E7">
        <w:t>AM</w:t>
      </w:r>
      <w:r w:rsidRPr="003E76E7">
        <w:tab/>
        <w:t>Member of the Order of Australia</w:t>
      </w:r>
    </w:p>
    <w:p w14:paraId="226DDE01" w14:textId="77777777" w:rsidR="002B42B9" w:rsidRPr="003E76E7" w:rsidRDefault="002B42B9" w:rsidP="00C4292D">
      <w:pPr>
        <w:spacing w:before="60" w:after="60"/>
        <w:ind w:left="1134" w:hanging="1134"/>
      </w:pPr>
      <w:r w:rsidRPr="003E76E7">
        <w:t>AMFRTF</w:t>
      </w:r>
      <w:r w:rsidRPr="003E76E7">
        <w:tab/>
      </w:r>
      <w:r w:rsidRPr="003E76E7">
        <w:rPr>
          <w:rFonts w:cs="PalatinoLinotype-Roman"/>
          <w:szCs w:val="20"/>
          <w:lang w:val="en-AU"/>
        </w:rPr>
        <w:t>Australian Military Forces Relief Trust Fund</w:t>
      </w:r>
    </w:p>
    <w:p w14:paraId="6BEA99C3" w14:textId="77777777" w:rsidR="002B42B9" w:rsidRPr="003E76E7" w:rsidRDefault="002B42B9" w:rsidP="00C4292D">
      <w:pPr>
        <w:spacing w:before="60" w:after="60"/>
        <w:ind w:left="1134" w:hanging="1134"/>
      </w:pPr>
      <w:r w:rsidRPr="003E76E7">
        <w:t>AMSA</w:t>
      </w:r>
      <w:r w:rsidRPr="003E76E7">
        <w:tab/>
        <w:t>Australian Maritime Safety Authority</w:t>
      </w:r>
    </w:p>
    <w:p w14:paraId="2219C008" w14:textId="77777777" w:rsidR="002B42B9" w:rsidRPr="003E76E7" w:rsidRDefault="002B42B9" w:rsidP="00C4292D">
      <w:pPr>
        <w:spacing w:before="60" w:after="60"/>
        <w:ind w:left="1134" w:hanging="1134"/>
      </w:pPr>
      <w:r w:rsidRPr="003E76E7">
        <w:t>ANNPSR</w:t>
      </w:r>
      <w:r w:rsidRPr="003E76E7">
        <w:tab/>
        <w:t>Australian Naval Nuclear Power Safety Regulator</w:t>
      </w:r>
    </w:p>
    <w:p w14:paraId="50E8C5DA" w14:textId="77777777" w:rsidR="002B42B9" w:rsidRPr="003E76E7" w:rsidRDefault="002B42B9" w:rsidP="00C4292D">
      <w:pPr>
        <w:spacing w:before="60" w:after="60"/>
        <w:ind w:left="1134" w:hanging="1134"/>
      </w:pPr>
      <w:r w:rsidRPr="003E76E7">
        <w:t>ANSTO</w:t>
      </w:r>
      <w:r w:rsidRPr="003E76E7">
        <w:tab/>
        <w:t>Australian Nuclear Science and Technology Organisation</w:t>
      </w:r>
      <w:r w:rsidRPr="003E76E7">
        <w:tab/>
      </w:r>
    </w:p>
    <w:p w14:paraId="0CFB18F6" w14:textId="77777777" w:rsidR="002B42B9" w:rsidRPr="003E76E7" w:rsidRDefault="002B42B9" w:rsidP="00C4292D">
      <w:pPr>
        <w:spacing w:before="60" w:after="60"/>
        <w:ind w:left="1134" w:hanging="1134"/>
      </w:pPr>
      <w:r w:rsidRPr="003E76E7">
        <w:rPr>
          <w:lang w:eastAsia="en-US"/>
        </w:rPr>
        <w:t>ARPANSA   Australian Radiation Protection and Nuclear Safety Agency</w:t>
      </w:r>
    </w:p>
    <w:p w14:paraId="17F943E7" w14:textId="77777777" w:rsidR="002B42B9" w:rsidRPr="003E76E7" w:rsidRDefault="002B42B9" w:rsidP="00C4292D">
      <w:pPr>
        <w:spacing w:before="60" w:after="60"/>
        <w:ind w:left="1134" w:hanging="1134"/>
      </w:pPr>
      <w:r w:rsidRPr="003E76E7">
        <w:t>AO</w:t>
      </w:r>
      <w:r w:rsidRPr="003E76E7">
        <w:tab/>
        <w:t>Officer of the Order of Australia</w:t>
      </w:r>
    </w:p>
    <w:p w14:paraId="50AEA0AD" w14:textId="77777777" w:rsidR="002B42B9" w:rsidRPr="003E76E7" w:rsidRDefault="002B42B9" w:rsidP="00C4292D">
      <w:pPr>
        <w:spacing w:before="60" w:after="60"/>
        <w:ind w:left="1134" w:hanging="1134"/>
      </w:pPr>
      <w:r w:rsidRPr="003E76E7">
        <w:t>AOR</w:t>
      </w:r>
      <w:r w:rsidRPr="003E76E7">
        <w:tab/>
        <w:t>Auxiliary Oiler Replenishment</w:t>
      </w:r>
    </w:p>
    <w:p w14:paraId="5656E9AF" w14:textId="77777777" w:rsidR="002B42B9" w:rsidRPr="003E76E7" w:rsidRDefault="002B42B9" w:rsidP="00C4292D">
      <w:pPr>
        <w:spacing w:before="60" w:after="60"/>
        <w:ind w:left="1134" w:hanging="1134"/>
      </w:pPr>
      <w:r w:rsidRPr="003E76E7">
        <w:t>APS</w:t>
      </w:r>
      <w:r w:rsidRPr="003E76E7">
        <w:tab/>
        <w:t>Australian Public Service</w:t>
      </w:r>
    </w:p>
    <w:p w14:paraId="5F4FBA6F" w14:textId="77777777" w:rsidR="002B42B9" w:rsidRPr="003E76E7" w:rsidRDefault="002B42B9" w:rsidP="00C4292D">
      <w:pPr>
        <w:spacing w:before="60" w:after="60"/>
        <w:ind w:left="1134" w:hanging="1134"/>
      </w:pPr>
      <w:r w:rsidRPr="003E76E7">
        <w:t>ARH</w:t>
      </w:r>
      <w:r w:rsidRPr="003E76E7">
        <w:tab/>
        <w:t>Armed Reconnaissance Helicopter</w:t>
      </w:r>
    </w:p>
    <w:p w14:paraId="10B028B1" w14:textId="60865163" w:rsidR="002B42B9" w:rsidRPr="003E76E7" w:rsidRDefault="002B42B9" w:rsidP="00C4292D">
      <w:pPr>
        <w:spacing w:before="60" w:after="60"/>
        <w:ind w:left="1134" w:hanging="1134"/>
      </w:pPr>
      <w:r w:rsidRPr="003E76E7">
        <w:t>ASA</w:t>
      </w:r>
      <w:r w:rsidRPr="003E76E7">
        <w:tab/>
        <w:t>Australian Submarine Agency</w:t>
      </w:r>
    </w:p>
    <w:p w14:paraId="1BED213A" w14:textId="462550DB" w:rsidR="005E06E6" w:rsidRPr="003E76E7" w:rsidRDefault="005E06E6" w:rsidP="00C4292D">
      <w:pPr>
        <w:spacing w:before="60" w:after="60"/>
        <w:ind w:left="1134" w:hanging="1134"/>
      </w:pPr>
      <w:r w:rsidRPr="003E76E7">
        <w:t>ASC</w:t>
      </w:r>
      <w:r w:rsidRPr="003E76E7">
        <w:tab/>
        <w:t>Australian Submarine Corporation</w:t>
      </w:r>
    </w:p>
    <w:p w14:paraId="5115C526" w14:textId="77777777" w:rsidR="002B42B9" w:rsidRPr="003E76E7" w:rsidRDefault="002B42B9" w:rsidP="00C4292D">
      <w:pPr>
        <w:spacing w:before="60" w:after="60"/>
        <w:ind w:left="1134" w:hanging="1134"/>
      </w:pPr>
      <w:r w:rsidRPr="003E76E7">
        <w:t>ASCA</w:t>
      </w:r>
      <w:r w:rsidRPr="003E76E7">
        <w:tab/>
        <w:t>Advanced Strategic Capabilities Accelerator</w:t>
      </w:r>
    </w:p>
    <w:p w14:paraId="4B391B25" w14:textId="77777777" w:rsidR="002B42B9" w:rsidRPr="003E76E7" w:rsidRDefault="002B42B9" w:rsidP="00C4292D">
      <w:pPr>
        <w:spacing w:before="60" w:after="60"/>
        <w:ind w:left="1134" w:hanging="1134"/>
      </w:pPr>
      <w:r w:rsidRPr="003E76E7">
        <w:t>ASD</w:t>
      </w:r>
      <w:r w:rsidRPr="003E76E7">
        <w:tab/>
        <w:t>Australian Signals Directorate</w:t>
      </w:r>
    </w:p>
    <w:p w14:paraId="046AB80E" w14:textId="77777777" w:rsidR="00E821DC" w:rsidRPr="003E76E7" w:rsidRDefault="00E821DC" w:rsidP="00C4292D">
      <w:pPr>
        <w:pStyle w:val="HeadingRunIn"/>
        <w:keepNext w:val="0"/>
        <w:tabs>
          <w:tab w:val="left" w:pos="280"/>
        </w:tabs>
        <w:spacing w:before="100" w:after="100" w:line="240" w:lineRule="auto"/>
      </w:pPr>
      <w:r w:rsidRPr="003E76E7">
        <w:rPr>
          <w:rFonts w:ascii="Arial" w:hAnsi="Arial" w:cs="Arial"/>
          <w:smallCaps/>
          <w:color w:val="auto"/>
          <w:w w:val="100"/>
          <w:sz w:val="26"/>
          <w:szCs w:val="26"/>
          <w:lang w:val="en-AU"/>
        </w:rPr>
        <w:lastRenderedPageBreak/>
        <w:t>A</w:t>
      </w:r>
    </w:p>
    <w:p w14:paraId="68D33A33" w14:textId="5E005FB0" w:rsidR="002B42B9" w:rsidRPr="003E76E7" w:rsidRDefault="002B42B9" w:rsidP="00C4292D">
      <w:pPr>
        <w:spacing w:before="60" w:after="60"/>
        <w:ind w:left="1134" w:hanging="1134"/>
        <w:rPr>
          <w:szCs w:val="20"/>
          <w:lang w:val="en-AU"/>
        </w:rPr>
      </w:pPr>
      <w:r w:rsidRPr="003E76E7">
        <w:rPr>
          <w:szCs w:val="20"/>
          <w:lang w:val="en-AU"/>
        </w:rPr>
        <w:t>ASEAN</w:t>
      </w:r>
      <w:r w:rsidRPr="003E76E7">
        <w:rPr>
          <w:szCs w:val="20"/>
          <w:lang w:val="en-AU"/>
        </w:rPr>
        <w:tab/>
        <w:t>Association of Southeast Asian Nations</w:t>
      </w:r>
    </w:p>
    <w:p w14:paraId="4F63D9FF" w14:textId="760E9CF9" w:rsidR="00735E90" w:rsidRPr="003E76E7" w:rsidRDefault="00735E90" w:rsidP="00C4292D">
      <w:pPr>
        <w:spacing w:before="60" w:after="60"/>
        <w:ind w:left="1134" w:hanging="1134"/>
      </w:pPr>
      <w:r w:rsidRPr="003E76E7">
        <w:rPr>
          <w:szCs w:val="20"/>
          <w:lang w:val="en-AU"/>
        </w:rPr>
        <w:t>ASIS</w:t>
      </w:r>
      <w:r w:rsidRPr="003E76E7">
        <w:rPr>
          <w:szCs w:val="20"/>
          <w:lang w:val="en-AU"/>
        </w:rPr>
        <w:tab/>
        <w:t>Australian Secret Intelligence Service</w:t>
      </w:r>
    </w:p>
    <w:p w14:paraId="0A6C959D" w14:textId="77777777" w:rsidR="002B42B9" w:rsidRPr="003E76E7" w:rsidRDefault="002B42B9" w:rsidP="00C4292D">
      <w:pPr>
        <w:spacing w:before="60" w:after="60"/>
        <w:ind w:left="1134" w:hanging="1134"/>
      </w:pPr>
      <w:r w:rsidRPr="003E76E7">
        <w:t>ASIO</w:t>
      </w:r>
      <w:r w:rsidRPr="003E76E7">
        <w:tab/>
        <w:t>Australian Security Intelligence Organisation</w:t>
      </w:r>
    </w:p>
    <w:p w14:paraId="5F0A4106" w14:textId="77777777" w:rsidR="002B42B9" w:rsidRPr="003E76E7" w:rsidRDefault="002B42B9" w:rsidP="00C4292D">
      <w:pPr>
        <w:spacing w:before="60" w:after="60"/>
        <w:ind w:left="1134" w:hanging="1134"/>
      </w:pPr>
      <w:r w:rsidRPr="003E76E7">
        <w:t>ASPI</w:t>
      </w:r>
      <w:r w:rsidRPr="003E76E7">
        <w:tab/>
        <w:t>Australian Strategic Policy Institute</w:t>
      </w:r>
    </w:p>
    <w:p w14:paraId="4D83E50C" w14:textId="77777777" w:rsidR="00992C17" w:rsidRPr="003E76E7" w:rsidRDefault="002B42B9" w:rsidP="00C4292D">
      <w:pPr>
        <w:spacing w:before="60" w:after="60"/>
        <w:ind w:left="1134" w:hanging="1134"/>
        <w:rPr>
          <w:lang w:val="en-AU"/>
        </w:rPr>
      </w:pPr>
      <w:r w:rsidRPr="003E76E7">
        <w:t>ATSB</w:t>
      </w:r>
      <w:r w:rsidRPr="003E76E7">
        <w:tab/>
      </w:r>
      <w:r w:rsidRPr="003E76E7">
        <w:rPr>
          <w:lang w:val="en-AU"/>
        </w:rPr>
        <w:t>Australian Transport Safety Burea</w:t>
      </w:r>
      <w:r w:rsidR="00992C17" w:rsidRPr="003E76E7">
        <w:rPr>
          <w:lang w:val="en-AU"/>
        </w:rPr>
        <w:t>u</w:t>
      </w:r>
    </w:p>
    <w:p w14:paraId="7EF9BE22" w14:textId="44E99D05" w:rsidR="00992C17" w:rsidRPr="003E76E7" w:rsidRDefault="00992C17" w:rsidP="00C4292D">
      <w:pPr>
        <w:spacing w:before="60" w:after="60"/>
        <w:ind w:left="1134" w:hanging="1134"/>
        <w:rPr>
          <w:lang w:val="en-AU"/>
        </w:rPr>
      </w:pPr>
      <w:r w:rsidRPr="003E76E7">
        <w:t>ATTE</w:t>
      </w:r>
      <w:r w:rsidRPr="003E76E7">
        <w:tab/>
      </w:r>
      <w:r w:rsidRPr="003E76E7">
        <w:rPr>
          <w:lang w:val="en-AU"/>
        </w:rPr>
        <w:t>Advanced Test and Training Environment</w:t>
      </w:r>
    </w:p>
    <w:p w14:paraId="2BC6F846" w14:textId="04096B2D" w:rsidR="002B42B9" w:rsidRPr="003E76E7" w:rsidRDefault="002B42B9" w:rsidP="00C4292D">
      <w:pPr>
        <w:spacing w:before="60" w:after="60"/>
        <w:ind w:left="1134" w:hanging="1134"/>
      </w:pPr>
      <w:r w:rsidRPr="003E76E7">
        <w:t>AUKUS</w:t>
      </w:r>
      <w:r w:rsidRPr="003E76E7">
        <w:tab/>
        <w:t>Australia, the United Kingdom and the United States</w:t>
      </w:r>
    </w:p>
    <w:p w14:paraId="34AD08AC" w14:textId="77777777" w:rsidR="002B42B9" w:rsidRPr="003E76E7" w:rsidRDefault="002B42B9" w:rsidP="00C4292D">
      <w:pPr>
        <w:spacing w:before="60" w:after="60"/>
        <w:ind w:left="1134" w:hanging="1134"/>
      </w:pPr>
      <w:r w:rsidRPr="003E76E7">
        <w:t>AUSMIN</w:t>
      </w:r>
      <w:r w:rsidRPr="003E76E7">
        <w:tab/>
      </w:r>
      <w:r w:rsidRPr="003E76E7">
        <w:rPr>
          <w:szCs w:val="20"/>
          <w:lang w:val="en-AU"/>
        </w:rPr>
        <w:t>Australia</w:t>
      </w:r>
      <w:r w:rsidRPr="003E76E7">
        <w:rPr>
          <w:szCs w:val="20"/>
          <w:lang w:val="en-AU"/>
        </w:rPr>
        <w:noBreakHyphen/>
        <w:t>US Ministerial Consultations</w:t>
      </w:r>
    </w:p>
    <w:p w14:paraId="6D327DFB" w14:textId="77777777" w:rsidR="002B42B9" w:rsidRPr="003E76E7" w:rsidRDefault="002B42B9" w:rsidP="00C4292D">
      <w:pPr>
        <w:spacing w:before="60" w:after="60"/>
        <w:ind w:left="1134" w:hanging="1134"/>
      </w:pPr>
      <w:r w:rsidRPr="003E76E7">
        <w:t>AVM</w:t>
      </w:r>
      <w:r w:rsidRPr="003E76E7">
        <w:tab/>
      </w:r>
      <w:r w:rsidRPr="003E76E7">
        <w:tab/>
        <w:t>Air Vice-Marshal</w:t>
      </w:r>
    </w:p>
    <w:p w14:paraId="4517FBAC" w14:textId="77777777" w:rsidR="002B42B9" w:rsidRPr="003E76E7" w:rsidRDefault="002B42B9" w:rsidP="00C4292D">
      <w:pPr>
        <w:spacing w:before="60" w:after="60"/>
        <w:ind w:left="1134" w:hanging="1134"/>
      </w:pPr>
      <w:r w:rsidRPr="003E76E7">
        <w:t>AWD</w:t>
      </w:r>
      <w:r w:rsidRPr="003E76E7">
        <w:tab/>
        <w:t>Air Warfare Destroyer</w:t>
      </w:r>
    </w:p>
    <w:p w14:paraId="441EC821" w14:textId="77777777" w:rsidR="002B42B9" w:rsidRPr="003E76E7" w:rsidRDefault="002B42B9" w:rsidP="00C4292D">
      <w:pPr>
        <w:pStyle w:val="HeadingRunIn"/>
        <w:keepNext w:val="0"/>
        <w:tabs>
          <w:tab w:val="left" w:pos="280"/>
        </w:tabs>
        <w:spacing w:before="100" w:after="100" w:line="240" w:lineRule="auto"/>
        <w:rPr>
          <w:rFonts w:ascii="Arial" w:hAnsi="Arial" w:cs="Arial"/>
          <w:smallCaps/>
          <w:color w:val="auto"/>
          <w:w w:val="100"/>
          <w:sz w:val="26"/>
          <w:szCs w:val="26"/>
          <w:lang w:val="en-AU"/>
        </w:rPr>
      </w:pPr>
      <w:r w:rsidRPr="003E76E7">
        <w:rPr>
          <w:rFonts w:ascii="Arial" w:hAnsi="Arial" w:cs="Arial"/>
          <w:smallCaps/>
          <w:color w:val="auto"/>
          <w:w w:val="100"/>
          <w:sz w:val="26"/>
          <w:szCs w:val="26"/>
          <w:lang w:val="en-AU"/>
        </w:rPr>
        <w:t>B</w:t>
      </w:r>
    </w:p>
    <w:p w14:paraId="049AE68B" w14:textId="77777777" w:rsidR="002B42B9" w:rsidRPr="003E76E7" w:rsidRDefault="002B42B9" w:rsidP="00C4292D">
      <w:pPr>
        <w:spacing w:before="60"/>
        <w:ind w:left="1134" w:hanging="1134"/>
      </w:pPr>
      <w:r w:rsidRPr="003E76E7">
        <w:t>BRIG</w:t>
      </w:r>
      <w:r w:rsidRPr="003E76E7">
        <w:tab/>
        <w:t>Brigadier</w:t>
      </w:r>
    </w:p>
    <w:p w14:paraId="458B0CD5" w14:textId="77777777" w:rsidR="002B42B9" w:rsidRPr="003E76E7" w:rsidRDefault="002B42B9" w:rsidP="00C4292D">
      <w:pPr>
        <w:pStyle w:val="HeadingRunIn"/>
        <w:keepNext w:val="0"/>
        <w:tabs>
          <w:tab w:val="left" w:pos="280"/>
        </w:tabs>
        <w:spacing w:before="0" w:after="100" w:line="240" w:lineRule="auto"/>
        <w:rPr>
          <w:rFonts w:ascii="Arial" w:hAnsi="Arial" w:cs="Arial"/>
          <w:smallCaps/>
          <w:color w:val="auto"/>
          <w:w w:val="100"/>
          <w:sz w:val="26"/>
          <w:szCs w:val="26"/>
          <w:lang w:val="en-AU"/>
        </w:rPr>
      </w:pPr>
      <w:r w:rsidRPr="003E76E7">
        <w:rPr>
          <w:rFonts w:ascii="Arial" w:hAnsi="Arial" w:cs="Arial"/>
          <w:smallCaps/>
          <w:color w:val="auto"/>
          <w:w w:val="100"/>
          <w:sz w:val="26"/>
          <w:szCs w:val="26"/>
          <w:lang w:val="en-AU"/>
        </w:rPr>
        <w:t>C</w:t>
      </w:r>
    </w:p>
    <w:p w14:paraId="027812E9" w14:textId="77777777" w:rsidR="002B42B9" w:rsidRPr="003E76E7" w:rsidRDefault="002B42B9" w:rsidP="00C4292D">
      <w:pPr>
        <w:spacing w:before="60" w:after="60"/>
        <w:ind w:left="1134" w:hanging="1134"/>
      </w:pPr>
      <w:r w:rsidRPr="003E76E7">
        <w:t>C4ISR</w:t>
      </w:r>
      <w:r w:rsidRPr="003E76E7">
        <w:tab/>
        <w:t>Command, Control, Communications, Computing, Intelligence, Surveillance, and Reconnaissance</w:t>
      </w:r>
    </w:p>
    <w:p w14:paraId="537A2BB7" w14:textId="77777777" w:rsidR="002B42B9" w:rsidRPr="003E76E7" w:rsidRDefault="002B42B9" w:rsidP="00C4292D">
      <w:pPr>
        <w:spacing w:before="60" w:after="60"/>
        <w:ind w:left="1134" w:hanging="1134"/>
      </w:pPr>
      <w:r w:rsidRPr="003E76E7">
        <w:t>CAF</w:t>
      </w:r>
      <w:r w:rsidRPr="003E76E7">
        <w:tab/>
        <w:t>Chief of Air Force</w:t>
      </w:r>
    </w:p>
    <w:p w14:paraId="10EBF8BB" w14:textId="77777777" w:rsidR="002B42B9" w:rsidRPr="003E76E7" w:rsidRDefault="002B42B9" w:rsidP="00C4292D">
      <w:pPr>
        <w:spacing w:before="60" w:after="60"/>
        <w:ind w:left="1134" w:hanging="1134"/>
      </w:pPr>
      <w:r w:rsidRPr="003E76E7">
        <w:t>CBRND</w:t>
      </w:r>
      <w:r w:rsidRPr="003E76E7">
        <w:tab/>
        <w:t>Chemical Biological Radiological Nuclear Defence</w:t>
      </w:r>
    </w:p>
    <w:p w14:paraId="47B1E1F8" w14:textId="77777777" w:rsidR="002B42B9" w:rsidRPr="003E76E7" w:rsidRDefault="002B42B9" w:rsidP="00C4292D">
      <w:pPr>
        <w:spacing w:before="60" w:after="60"/>
        <w:ind w:left="1134" w:hanging="1134"/>
      </w:pPr>
      <w:r w:rsidRPr="003E76E7">
        <w:t>CCPB</w:t>
      </w:r>
      <w:r w:rsidRPr="003E76E7">
        <w:tab/>
      </w:r>
      <w:r w:rsidRPr="003E76E7">
        <w:tab/>
      </w:r>
      <w:r w:rsidRPr="003E76E7">
        <w:tab/>
      </w:r>
      <w:r w:rsidRPr="003E76E7">
        <w:tab/>
        <w:t>Cape Class Patrol Boat</w:t>
      </w:r>
    </w:p>
    <w:p w14:paraId="0E36BE3D" w14:textId="77777777" w:rsidR="002B42B9" w:rsidRPr="003E76E7" w:rsidRDefault="002B42B9" w:rsidP="00C4292D">
      <w:pPr>
        <w:spacing w:before="60" w:after="60"/>
        <w:ind w:left="1134" w:hanging="1134"/>
      </w:pPr>
      <w:r w:rsidRPr="003E76E7">
        <w:t>CCSM</w:t>
      </w:r>
      <w:r w:rsidRPr="003E76E7">
        <w:tab/>
        <w:t>Collins Class Submarine</w:t>
      </w:r>
    </w:p>
    <w:p w14:paraId="652CE726" w14:textId="77777777" w:rsidR="002B42B9" w:rsidRPr="003E76E7" w:rsidRDefault="002B42B9" w:rsidP="00C4292D">
      <w:pPr>
        <w:spacing w:before="60" w:after="60"/>
        <w:ind w:left="1134" w:hanging="1134"/>
      </w:pPr>
      <w:r w:rsidRPr="003E76E7">
        <w:t>CSM</w:t>
      </w:r>
      <w:r w:rsidRPr="003E76E7">
        <w:tab/>
        <w:t>Conspicuous Service Medal</w:t>
      </w:r>
    </w:p>
    <w:p w14:paraId="06AC9777" w14:textId="77777777" w:rsidR="002B42B9" w:rsidRPr="003E76E7" w:rsidRDefault="002B42B9" w:rsidP="00C4292D">
      <w:pPr>
        <w:spacing w:before="60" w:after="60"/>
        <w:ind w:left="1134" w:hanging="1134"/>
      </w:pPr>
      <w:r w:rsidRPr="003E76E7">
        <w:t>CDF</w:t>
      </w:r>
      <w:r w:rsidRPr="003E76E7">
        <w:tab/>
        <w:t>Chief of the Defence Force</w:t>
      </w:r>
    </w:p>
    <w:p w14:paraId="5169B189" w14:textId="77777777" w:rsidR="002B42B9" w:rsidRPr="003E76E7" w:rsidRDefault="002B42B9" w:rsidP="00C4292D">
      <w:pPr>
        <w:spacing w:before="60" w:after="60"/>
        <w:ind w:left="1134" w:hanging="1134"/>
      </w:pPr>
      <w:r w:rsidRPr="003E76E7">
        <w:t>CERT</w:t>
      </w:r>
      <w:r w:rsidRPr="003E76E7">
        <w:tab/>
        <w:t>Computer Emergency Response Teams</w:t>
      </w:r>
    </w:p>
    <w:p w14:paraId="5ECCADA2" w14:textId="77777777" w:rsidR="002B42B9" w:rsidRPr="003E76E7" w:rsidRDefault="002B42B9" w:rsidP="00C4292D">
      <w:pPr>
        <w:spacing w:before="60" w:after="60"/>
        <w:ind w:left="1134" w:hanging="1134"/>
      </w:pPr>
      <w:r w:rsidRPr="003E76E7">
        <w:t>CIRP</w:t>
      </w:r>
      <w:r w:rsidRPr="003E76E7">
        <w:tab/>
      </w:r>
      <w:r w:rsidRPr="003E76E7">
        <w:tab/>
      </w:r>
      <w:r w:rsidRPr="003E76E7">
        <w:tab/>
      </w:r>
      <w:r w:rsidRPr="003E76E7">
        <w:tab/>
        <w:t>Critical Infrastructure Recovery Project</w:t>
      </w:r>
    </w:p>
    <w:p w14:paraId="6D2E0A06" w14:textId="77777777" w:rsidR="002B42B9" w:rsidRPr="003E76E7" w:rsidRDefault="002B42B9" w:rsidP="00C4292D">
      <w:pPr>
        <w:spacing w:before="60" w:after="60"/>
        <w:ind w:left="1134" w:hanging="1134"/>
      </w:pPr>
      <w:r w:rsidRPr="003E76E7">
        <w:t>CMATS</w:t>
      </w:r>
      <w:r w:rsidRPr="003E76E7">
        <w:tab/>
        <w:t>Civil Military Air Traffic System</w:t>
      </w:r>
    </w:p>
    <w:p w14:paraId="1A4370C8" w14:textId="77777777" w:rsidR="002B42B9" w:rsidRPr="003E76E7" w:rsidRDefault="002B42B9" w:rsidP="00C4292D">
      <w:pPr>
        <w:spacing w:before="60" w:after="60"/>
        <w:ind w:left="1134" w:hanging="1134"/>
      </w:pPr>
      <w:r w:rsidRPr="003E76E7">
        <w:t>COMSEC</w:t>
      </w:r>
      <w:r w:rsidRPr="003E76E7">
        <w:tab/>
        <w:t>Communications Security</w:t>
      </w:r>
    </w:p>
    <w:p w14:paraId="4B04B043" w14:textId="77777777" w:rsidR="002B42B9" w:rsidRPr="003E76E7" w:rsidRDefault="002B42B9" w:rsidP="00C4292D">
      <w:pPr>
        <w:spacing w:before="60" w:after="60"/>
        <w:ind w:left="1134" w:hanging="1134"/>
      </w:pPr>
      <w:r w:rsidRPr="003E76E7">
        <w:t>CPI</w:t>
      </w:r>
      <w:r w:rsidRPr="003E76E7">
        <w:tab/>
        <w:t>Consumer Price Index</w:t>
      </w:r>
    </w:p>
    <w:p w14:paraId="0DEAC5A5" w14:textId="77777777" w:rsidR="002B42B9" w:rsidRPr="003E76E7" w:rsidRDefault="002B42B9" w:rsidP="00C4292D">
      <w:pPr>
        <w:spacing w:before="60" w:after="60"/>
        <w:ind w:left="1134" w:hanging="1134"/>
      </w:pPr>
      <w:r w:rsidRPr="003E76E7">
        <w:t>CSC</w:t>
      </w:r>
      <w:r w:rsidRPr="003E76E7">
        <w:tab/>
        <w:t xml:space="preserve">Commonwealth Superannuation Corporation / </w:t>
      </w:r>
      <w:r w:rsidRPr="003E76E7">
        <w:tab/>
        <w:t>Conspicuous Service Cross</w:t>
      </w:r>
    </w:p>
    <w:p w14:paraId="02AD137A" w14:textId="77777777" w:rsidR="002B42B9" w:rsidRPr="003E76E7" w:rsidRDefault="002B42B9" w:rsidP="00C4292D">
      <w:pPr>
        <w:pStyle w:val="HeadingRunIn"/>
        <w:keepNext w:val="0"/>
        <w:tabs>
          <w:tab w:val="left" w:pos="280"/>
        </w:tabs>
        <w:spacing w:before="100" w:after="60" w:line="240" w:lineRule="auto"/>
        <w:rPr>
          <w:rFonts w:ascii="Arial" w:hAnsi="Arial" w:cs="Arial"/>
          <w:smallCaps/>
          <w:color w:val="auto"/>
          <w:w w:val="100"/>
          <w:sz w:val="26"/>
          <w:szCs w:val="26"/>
          <w:lang w:val="en-AU"/>
        </w:rPr>
      </w:pPr>
      <w:r w:rsidRPr="003E76E7">
        <w:rPr>
          <w:rFonts w:ascii="Arial" w:hAnsi="Arial" w:cs="Arial"/>
          <w:smallCaps/>
          <w:color w:val="auto"/>
          <w:w w:val="100"/>
          <w:sz w:val="26"/>
          <w:szCs w:val="26"/>
          <w:lang w:val="en-AU"/>
        </w:rPr>
        <w:t>D</w:t>
      </w:r>
    </w:p>
    <w:p w14:paraId="44D0DC34" w14:textId="77777777" w:rsidR="002B42B9" w:rsidRPr="003E76E7" w:rsidRDefault="002B42B9" w:rsidP="00C4292D">
      <w:pPr>
        <w:spacing w:before="60" w:after="60"/>
        <w:ind w:left="1134" w:hanging="1134"/>
      </w:pPr>
      <w:r w:rsidRPr="003E76E7">
        <w:t>DACC</w:t>
      </w:r>
      <w:r w:rsidRPr="003E76E7">
        <w:tab/>
        <w:t>Defence Assistance to the Civil Community</w:t>
      </w:r>
    </w:p>
    <w:p w14:paraId="1B9C892B" w14:textId="77777777" w:rsidR="002B42B9" w:rsidRPr="003E76E7" w:rsidRDefault="002B42B9" w:rsidP="00C4292D">
      <w:pPr>
        <w:spacing w:before="60" w:after="60"/>
        <w:ind w:left="1134" w:hanging="1134"/>
      </w:pPr>
      <w:r w:rsidRPr="003E76E7">
        <w:t>DCB</w:t>
      </w:r>
      <w:r w:rsidRPr="003E76E7">
        <w:tab/>
        <w:t>Defence Capital Budget</w:t>
      </w:r>
    </w:p>
    <w:p w14:paraId="5F46EBAB" w14:textId="77777777" w:rsidR="002B42B9" w:rsidRPr="003E76E7" w:rsidRDefault="002B42B9" w:rsidP="00C4292D">
      <w:pPr>
        <w:spacing w:before="60" w:after="60"/>
        <w:ind w:left="1134" w:hanging="1134"/>
      </w:pPr>
      <w:r w:rsidRPr="003E76E7">
        <w:t>DCP</w:t>
      </w:r>
      <w:r w:rsidRPr="003E76E7">
        <w:tab/>
        <w:t>Defence Cooperation Program</w:t>
      </w:r>
    </w:p>
    <w:p w14:paraId="5569B4CF" w14:textId="78312B34" w:rsidR="00BF2B12" w:rsidRPr="003E76E7" w:rsidRDefault="00BF2B12" w:rsidP="00C4292D">
      <w:pPr>
        <w:spacing w:before="60" w:after="60"/>
        <w:ind w:left="1134" w:hanging="1134"/>
      </w:pPr>
      <w:r w:rsidRPr="003E76E7">
        <w:t>DDA</w:t>
      </w:r>
      <w:r w:rsidRPr="003E76E7">
        <w:tab/>
        <w:t>Defence Delivery Agency</w:t>
      </w:r>
    </w:p>
    <w:p w14:paraId="3ECBF00A" w14:textId="4619589F" w:rsidR="002B42B9" w:rsidRPr="003E76E7" w:rsidRDefault="002B42B9" w:rsidP="00C4292D">
      <w:pPr>
        <w:spacing w:before="60" w:after="60"/>
        <w:ind w:left="1134" w:hanging="1134"/>
      </w:pPr>
      <w:r w:rsidRPr="003E76E7">
        <w:t>DDG</w:t>
      </w:r>
      <w:r w:rsidRPr="003E76E7">
        <w:tab/>
        <w:t>Hobart Class Air Warfare Destroyers</w:t>
      </w:r>
      <w:r w:rsidR="009A08B9" w:rsidRPr="003E76E7">
        <w:t xml:space="preserve"> / Deputy-Director General</w:t>
      </w:r>
    </w:p>
    <w:p w14:paraId="0E38EADF" w14:textId="01A52207" w:rsidR="0040709E" w:rsidRPr="003E76E7" w:rsidRDefault="0040709E" w:rsidP="00C4292D">
      <w:pPr>
        <w:spacing w:before="60" w:after="60"/>
        <w:ind w:left="1134" w:hanging="1134"/>
      </w:pPr>
      <w:r w:rsidRPr="003E76E7">
        <w:t>DEWR</w:t>
      </w:r>
      <w:r w:rsidRPr="003E76E7">
        <w:tab/>
        <w:t>Department of Employment and Workplace Relations</w:t>
      </w:r>
    </w:p>
    <w:p w14:paraId="065B4BFB" w14:textId="77777777" w:rsidR="00E821DC" w:rsidRPr="003E76E7" w:rsidRDefault="00E821DC" w:rsidP="00C4292D">
      <w:pPr>
        <w:pStyle w:val="HeadingRunIn"/>
        <w:keepNext w:val="0"/>
        <w:tabs>
          <w:tab w:val="left" w:pos="280"/>
        </w:tabs>
        <w:spacing w:before="100" w:after="60" w:line="240" w:lineRule="auto"/>
        <w:rPr>
          <w:rFonts w:ascii="Arial" w:hAnsi="Arial" w:cs="Arial"/>
          <w:smallCaps/>
          <w:color w:val="auto"/>
          <w:w w:val="100"/>
          <w:sz w:val="26"/>
          <w:szCs w:val="26"/>
          <w:lang w:val="en-AU"/>
        </w:rPr>
      </w:pPr>
      <w:r w:rsidRPr="003E76E7">
        <w:rPr>
          <w:rFonts w:ascii="Arial" w:hAnsi="Arial" w:cs="Arial"/>
          <w:smallCaps/>
          <w:color w:val="auto"/>
          <w:w w:val="100"/>
          <w:sz w:val="26"/>
          <w:szCs w:val="26"/>
          <w:lang w:val="en-AU"/>
        </w:rPr>
        <w:lastRenderedPageBreak/>
        <w:t>D</w:t>
      </w:r>
    </w:p>
    <w:p w14:paraId="02D5F691" w14:textId="41C696BE" w:rsidR="00735E90" w:rsidRPr="003E76E7" w:rsidRDefault="002B42B9" w:rsidP="00C4292D">
      <w:pPr>
        <w:spacing w:before="60" w:after="60"/>
        <w:ind w:left="1134" w:hanging="1134"/>
      </w:pPr>
      <w:r w:rsidRPr="003E76E7">
        <w:t>DFRB</w:t>
      </w:r>
      <w:r w:rsidRPr="003E76E7">
        <w:tab/>
        <w:t>Defence Force Retirement Benefits</w:t>
      </w:r>
    </w:p>
    <w:p w14:paraId="7D50EA58" w14:textId="77777777" w:rsidR="002B42B9" w:rsidRPr="003E76E7" w:rsidRDefault="002B42B9" w:rsidP="00C4292D">
      <w:pPr>
        <w:spacing w:before="60" w:after="60"/>
        <w:ind w:left="1134" w:hanging="1134"/>
      </w:pPr>
      <w:r w:rsidRPr="003E76E7">
        <w:t>DFRDB</w:t>
      </w:r>
      <w:r w:rsidRPr="003E76E7">
        <w:tab/>
        <w:t>Defence Force Retirement and Death Benefits Scheme</w:t>
      </w:r>
    </w:p>
    <w:p w14:paraId="7048315C" w14:textId="390EE0AA" w:rsidR="00F665DF" w:rsidRPr="003E76E7" w:rsidRDefault="00F665DF" w:rsidP="00C4292D">
      <w:pPr>
        <w:spacing w:before="60" w:after="60"/>
        <w:ind w:left="1134" w:hanging="1134"/>
      </w:pPr>
      <w:r w:rsidRPr="003E76E7">
        <w:t>DGS</w:t>
      </w:r>
      <w:r w:rsidRPr="003E76E7">
        <w:tab/>
        <w:t>Distributed Ground Station</w:t>
      </w:r>
    </w:p>
    <w:p w14:paraId="243B26DC" w14:textId="5F30DAD6" w:rsidR="002B42B9" w:rsidRPr="003E76E7" w:rsidRDefault="002B42B9" w:rsidP="00C4292D">
      <w:pPr>
        <w:spacing w:before="60" w:after="60"/>
        <w:ind w:left="1134" w:hanging="1134"/>
      </w:pPr>
      <w:r w:rsidRPr="003E76E7">
        <w:t>DGST</w:t>
      </w:r>
      <w:r w:rsidRPr="003E76E7">
        <w:tab/>
        <w:t>Deployable Geospatial Support</w:t>
      </w:r>
    </w:p>
    <w:p w14:paraId="17D3DCF0" w14:textId="060D5EB7" w:rsidR="00F665DF" w:rsidRPr="003E76E7" w:rsidRDefault="002B42B9" w:rsidP="00C4292D">
      <w:pPr>
        <w:spacing w:before="60" w:after="60"/>
        <w:ind w:left="1134" w:hanging="1134"/>
      </w:pPr>
      <w:r w:rsidRPr="003E76E7">
        <w:t>DHA</w:t>
      </w:r>
      <w:r w:rsidRPr="003E76E7">
        <w:tab/>
        <w:t>Defence Housing Australia</w:t>
      </w:r>
    </w:p>
    <w:p w14:paraId="3BA4F7EE" w14:textId="77777777" w:rsidR="002B42B9" w:rsidRPr="003E76E7" w:rsidRDefault="002B42B9" w:rsidP="00C4292D">
      <w:pPr>
        <w:spacing w:before="60" w:after="60"/>
        <w:ind w:left="1134" w:hanging="1134"/>
      </w:pPr>
      <w:r w:rsidRPr="003E76E7">
        <w:t>DHOAS</w:t>
      </w:r>
      <w:r w:rsidRPr="003E76E7">
        <w:tab/>
        <w:t>Defence Home Ownership Assistance Scheme</w:t>
      </w:r>
    </w:p>
    <w:p w14:paraId="42C847D8" w14:textId="747F9249" w:rsidR="002B42B9" w:rsidRPr="003E76E7" w:rsidRDefault="002B42B9" w:rsidP="00C4292D">
      <w:pPr>
        <w:spacing w:before="60" w:after="60"/>
        <w:ind w:left="1134" w:hanging="1134"/>
      </w:pPr>
      <w:r w:rsidRPr="003E76E7">
        <w:t>DISR</w:t>
      </w:r>
      <w:r w:rsidRPr="003E76E7">
        <w:tab/>
        <w:t>Department of Industry, Science and Resources</w:t>
      </w:r>
    </w:p>
    <w:p w14:paraId="1878EFE7" w14:textId="77777777" w:rsidR="002B42B9" w:rsidRPr="003E76E7" w:rsidRDefault="002B42B9" w:rsidP="00C4292D">
      <w:pPr>
        <w:spacing w:before="60" w:after="60"/>
        <w:ind w:left="1134" w:hanging="1134"/>
      </w:pPr>
      <w:r w:rsidRPr="003E76E7">
        <w:t>DITC</w:t>
      </w:r>
      <w:r w:rsidRPr="003E76E7">
        <w:tab/>
        <w:t>Defence International Training Centre</w:t>
      </w:r>
    </w:p>
    <w:p w14:paraId="55FD5738" w14:textId="77777777" w:rsidR="002B42B9" w:rsidRPr="003E76E7" w:rsidRDefault="002B42B9" w:rsidP="00C4292D">
      <w:pPr>
        <w:spacing w:before="60" w:after="60"/>
        <w:ind w:left="1134" w:hanging="1134"/>
      </w:pPr>
      <w:r w:rsidRPr="003E76E7">
        <w:t>DMFS</w:t>
      </w:r>
      <w:r w:rsidRPr="003E76E7">
        <w:tab/>
        <w:t>Defence Member and Family Support Branch</w:t>
      </w:r>
    </w:p>
    <w:p w14:paraId="4F9B2C4E" w14:textId="77777777" w:rsidR="002B42B9" w:rsidRPr="003E76E7" w:rsidRDefault="002B42B9" w:rsidP="00C4292D">
      <w:pPr>
        <w:spacing w:before="60" w:after="60"/>
        <w:ind w:left="1134" w:hanging="1134"/>
      </w:pPr>
      <w:r w:rsidRPr="003E76E7">
        <w:t>DSC</w:t>
      </w:r>
      <w:r w:rsidRPr="003E76E7">
        <w:tab/>
        <w:t>Distinguished Service Cross</w:t>
      </w:r>
    </w:p>
    <w:p w14:paraId="0EFF831B" w14:textId="52D6DA85" w:rsidR="002B42B9" w:rsidRPr="003E76E7" w:rsidRDefault="002B42B9" w:rsidP="00C4292D">
      <w:pPr>
        <w:spacing w:before="60" w:after="60"/>
        <w:ind w:left="1134" w:hanging="1134"/>
      </w:pPr>
      <w:r w:rsidRPr="003E76E7">
        <w:t>DSM</w:t>
      </w:r>
      <w:r w:rsidRPr="003E76E7">
        <w:tab/>
        <w:t>Distinguished Service Medal</w:t>
      </w:r>
    </w:p>
    <w:p w14:paraId="178A0D6A" w14:textId="6B441933" w:rsidR="00126E5C" w:rsidRPr="003E76E7" w:rsidRDefault="00126E5C" w:rsidP="00C4292D">
      <w:pPr>
        <w:spacing w:before="60" w:after="60"/>
        <w:ind w:left="1134" w:hanging="1134"/>
      </w:pPr>
      <w:r w:rsidRPr="003E76E7">
        <w:t>DSN</w:t>
      </w:r>
      <w:r w:rsidRPr="003E76E7">
        <w:tab/>
        <w:t>Defence Secret Network</w:t>
      </w:r>
    </w:p>
    <w:p w14:paraId="15D029B1" w14:textId="3FF59892" w:rsidR="002B42B9" w:rsidRPr="003E76E7" w:rsidRDefault="002B42B9" w:rsidP="00C4292D">
      <w:pPr>
        <w:spacing w:before="60" w:after="60"/>
        <w:ind w:left="1134" w:hanging="1134"/>
      </w:pPr>
      <w:r w:rsidRPr="003E76E7">
        <w:t>DSR</w:t>
      </w:r>
      <w:r w:rsidRPr="003E76E7">
        <w:tab/>
        <w:t>Defence Strategic Review</w:t>
      </w:r>
    </w:p>
    <w:p w14:paraId="6DDC2A2A" w14:textId="77777777" w:rsidR="002B42B9" w:rsidRPr="003E76E7" w:rsidRDefault="002B42B9" w:rsidP="00C4292D">
      <w:pPr>
        <w:spacing w:before="60" w:after="60"/>
        <w:ind w:left="1134" w:hanging="1134"/>
      </w:pPr>
      <w:r w:rsidRPr="003E76E7">
        <w:t>DVA</w:t>
      </w:r>
      <w:r w:rsidRPr="003E76E7">
        <w:tab/>
        <w:t>Department of Veterans’ Affairs</w:t>
      </w:r>
    </w:p>
    <w:p w14:paraId="324A764F" w14:textId="77777777" w:rsidR="002B42B9" w:rsidRPr="003E76E7" w:rsidRDefault="002B42B9" w:rsidP="00C4292D">
      <w:pPr>
        <w:spacing w:before="60" w:after="60"/>
        <w:ind w:left="1134" w:hanging="1134"/>
      </w:pPr>
      <w:r w:rsidRPr="003E76E7">
        <w:t>DVSC</w:t>
      </w:r>
      <w:r w:rsidRPr="003E76E7">
        <w:tab/>
        <w:t>Defence and Veterans’ Service Commission</w:t>
      </w:r>
    </w:p>
    <w:p w14:paraId="6DA981A6" w14:textId="77777777" w:rsidR="002B42B9" w:rsidRPr="003E76E7" w:rsidRDefault="002B42B9" w:rsidP="00C4292D">
      <w:pPr>
        <w:pStyle w:val="HeadingRunIn"/>
        <w:keepNext w:val="0"/>
        <w:tabs>
          <w:tab w:val="left" w:pos="280"/>
        </w:tabs>
        <w:spacing w:before="100" w:after="60" w:line="240" w:lineRule="auto"/>
        <w:rPr>
          <w:rFonts w:ascii="Arial" w:hAnsi="Arial" w:cs="Arial"/>
          <w:smallCaps/>
          <w:color w:val="auto"/>
          <w:w w:val="100"/>
          <w:sz w:val="26"/>
          <w:szCs w:val="26"/>
          <w:lang w:val="en-AU"/>
        </w:rPr>
      </w:pPr>
      <w:r w:rsidRPr="003E76E7">
        <w:rPr>
          <w:rFonts w:ascii="Arial" w:hAnsi="Arial" w:cs="Arial"/>
          <w:smallCaps/>
          <w:color w:val="auto"/>
          <w:w w:val="100"/>
          <w:sz w:val="26"/>
          <w:szCs w:val="26"/>
          <w:lang w:val="en-AU"/>
        </w:rPr>
        <w:t>E</w:t>
      </w:r>
    </w:p>
    <w:p w14:paraId="1ADFAC0D" w14:textId="77777777" w:rsidR="002B42B9" w:rsidRPr="003E76E7" w:rsidRDefault="002B42B9" w:rsidP="00C4292D">
      <w:pPr>
        <w:spacing w:before="60" w:after="60"/>
        <w:ind w:left="1134" w:hanging="1134"/>
      </w:pPr>
      <w:r w:rsidRPr="003E76E7">
        <w:t>EDHFC</w:t>
      </w:r>
      <w:r w:rsidRPr="003E76E7">
        <w:tab/>
        <w:t>Enhanced Defence High-Frequency Communications</w:t>
      </w:r>
    </w:p>
    <w:p w14:paraId="11D8342F" w14:textId="77777777" w:rsidR="002B42B9" w:rsidRPr="003E76E7" w:rsidRDefault="002B42B9" w:rsidP="00C4292D">
      <w:pPr>
        <w:spacing w:before="60" w:after="60"/>
        <w:ind w:left="1134" w:hanging="1134"/>
      </w:pPr>
      <w:r w:rsidRPr="003E76E7">
        <w:t>EEIP</w:t>
      </w:r>
      <w:r w:rsidRPr="003E76E7">
        <w:tab/>
        <w:t>Enterprise Estate and Infrastructure Program</w:t>
      </w:r>
    </w:p>
    <w:p w14:paraId="2E56B12A" w14:textId="77777777" w:rsidR="002B42B9" w:rsidRPr="003E76E7" w:rsidRDefault="002B42B9" w:rsidP="00C4292D">
      <w:pPr>
        <w:spacing w:before="60" w:after="60"/>
        <w:ind w:left="1134" w:hanging="1134"/>
      </w:pPr>
      <w:r w:rsidRPr="003E76E7">
        <w:t>ELF</w:t>
      </w:r>
      <w:r w:rsidRPr="003E76E7">
        <w:tab/>
        <w:t>Enhanced Land Force</w:t>
      </w:r>
    </w:p>
    <w:p w14:paraId="4ED753AD" w14:textId="5B95E909" w:rsidR="002B42B9" w:rsidRPr="003E76E7" w:rsidRDefault="002B42B9" w:rsidP="00C4292D">
      <w:pPr>
        <w:spacing w:before="60" w:after="60"/>
        <w:ind w:left="1134" w:hanging="1134"/>
      </w:pPr>
      <w:r w:rsidRPr="003E76E7">
        <w:t>ERP</w:t>
      </w:r>
      <w:r w:rsidRPr="003E76E7">
        <w:tab/>
        <w:t>Enterprise Resource Planning</w:t>
      </w:r>
    </w:p>
    <w:p w14:paraId="2119F3E9" w14:textId="242F2C5F" w:rsidR="00D57302" w:rsidRPr="003E76E7" w:rsidRDefault="00D57302" w:rsidP="00C4292D">
      <w:pPr>
        <w:spacing w:before="60" w:after="60"/>
        <w:ind w:left="1134" w:hanging="1134"/>
      </w:pPr>
      <w:r w:rsidRPr="003E76E7">
        <w:t>ESG</w:t>
      </w:r>
      <w:r w:rsidRPr="003E76E7">
        <w:tab/>
        <w:t>Environment, Social, Governance</w:t>
      </w:r>
    </w:p>
    <w:p w14:paraId="35B1EF43" w14:textId="77777777" w:rsidR="002B42B9" w:rsidRPr="003E76E7" w:rsidRDefault="002B42B9" w:rsidP="00C4292D">
      <w:pPr>
        <w:spacing w:before="60" w:after="60"/>
        <w:ind w:left="1134" w:hanging="1134"/>
      </w:pPr>
      <w:r w:rsidRPr="003E76E7">
        <w:t>EW</w:t>
      </w:r>
      <w:r w:rsidRPr="003E76E7">
        <w:tab/>
        <w:t>Electronic Warfare</w:t>
      </w:r>
    </w:p>
    <w:p w14:paraId="0634A7E6" w14:textId="77777777" w:rsidR="002B42B9" w:rsidRPr="003E76E7" w:rsidRDefault="002B42B9" w:rsidP="00C4292D">
      <w:pPr>
        <w:pStyle w:val="HeadingRunIn"/>
        <w:keepNext w:val="0"/>
        <w:tabs>
          <w:tab w:val="left" w:pos="280"/>
        </w:tabs>
        <w:spacing w:after="60" w:line="240" w:lineRule="auto"/>
        <w:rPr>
          <w:rFonts w:ascii="Arial" w:hAnsi="Arial" w:cs="Arial"/>
          <w:smallCaps/>
          <w:color w:val="auto"/>
          <w:w w:val="100"/>
          <w:sz w:val="26"/>
          <w:szCs w:val="26"/>
          <w:lang w:val="en-AU"/>
        </w:rPr>
      </w:pPr>
      <w:r w:rsidRPr="003E76E7">
        <w:rPr>
          <w:rFonts w:ascii="Arial" w:hAnsi="Arial" w:cs="Arial"/>
          <w:smallCaps/>
          <w:color w:val="auto"/>
          <w:w w:val="100"/>
          <w:sz w:val="26"/>
          <w:szCs w:val="26"/>
          <w:lang w:val="en-AU"/>
        </w:rPr>
        <w:t>F</w:t>
      </w:r>
    </w:p>
    <w:p w14:paraId="2D19CBC4" w14:textId="77777777" w:rsidR="002B42B9" w:rsidRPr="003E76E7" w:rsidRDefault="002B42B9" w:rsidP="00C4292D">
      <w:pPr>
        <w:spacing w:before="60" w:after="60"/>
        <w:ind w:left="1134" w:hanging="1134"/>
        <w:rPr>
          <w:lang w:val="en-AU"/>
        </w:rPr>
      </w:pPr>
      <w:r w:rsidRPr="003E76E7">
        <w:rPr>
          <w:lang w:val="en-AU"/>
        </w:rPr>
        <w:t>FAICD</w:t>
      </w:r>
      <w:r w:rsidRPr="003E76E7">
        <w:tab/>
      </w:r>
      <w:r w:rsidRPr="003E76E7">
        <w:rPr>
          <w:lang w:val="en-AU"/>
        </w:rPr>
        <w:t>Fellow of the Australian Institute of Company Directors</w:t>
      </w:r>
    </w:p>
    <w:p w14:paraId="51AAF44C" w14:textId="77777777" w:rsidR="002B42B9" w:rsidRPr="003E76E7" w:rsidRDefault="002B42B9" w:rsidP="00C4292D">
      <w:pPr>
        <w:spacing w:before="60" w:after="60"/>
        <w:ind w:left="1134" w:hanging="1134"/>
        <w:rPr>
          <w:lang w:val="en-AU"/>
        </w:rPr>
      </w:pPr>
      <w:r w:rsidRPr="003E76E7">
        <w:rPr>
          <w:lang w:val="en-AU"/>
        </w:rPr>
        <w:t>FCA</w:t>
      </w:r>
      <w:r w:rsidRPr="003E76E7">
        <w:rPr>
          <w:lang w:val="en-AU"/>
        </w:rPr>
        <w:tab/>
        <w:t>Fellow Chartered Accountant</w:t>
      </w:r>
    </w:p>
    <w:p w14:paraId="266AD623" w14:textId="77777777" w:rsidR="002B42B9" w:rsidRPr="003E76E7" w:rsidRDefault="002B42B9" w:rsidP="00C4292D">
      <w:pPr>
        <w:spacing w:before="60" w:after="60"/>
        <w:ind w:left="1134" w:hanging="1134"/>
      </w:pPr>
      <w:r w:rsidRPr="003E76E7">
        <w:t>FFH</w:t>
      </w:r>
      <w:r w:rsidRPr="003E76E7">
        <w:tab/>
        <w:t>Fast Frigate Helicopter / Helicopter Capable Frigate - Anzac Class Frigate</w:t>
      </w:r>
    </w:p>
    <w:p w14:paraId="6BA5BDFA" w14:textId="77777777" w:rsidR="002B42B9" w:rsidRPr="003E76E7" w:rsidRDefault="002B42B9" w:rsidP="00C4292D">
      <w:pPr>
        <w:spacing w:before="60" w:after="60"/>
        <w:ind w:left="1134" w:hanging="1134"/>
      </w:pPr>
      <w:r w:rsidRPr="003E76E7">
        <w:t>FMS</w:t>
      </w:r>
      <w:r w:rsidRPr="003E76E7">
        <w:tab/>
        <w:t>Foreign Military Sales</w:t>
      </w:r>
    </w:p>
    <w:p w14:paraId="507601AD" w14:textId="77777777" w:rsidR="002B42B9" w:rsidRPr="003E76E7" w:rsidRDefault="002B42B9" w:rsidP="00C4292D">
      <w:pPr>
        <w:spacing w:before="60" w:after="60"/>
        <w:ind w:left="1134" w:hanging="1134"/>
      </w:pPr>
      <w:r w:rsidRPr="003E76E7">
        <w:t>FOC</w:t>
      </w:r>
      <w:r w:rsidRPr="003E76E7">
        <w:tab/>
        <w:t>Final Operational Capability</w:t>
      </w:r>
    </w:p>
    <w:p w14:paraId="5A2B2C61" w14:textId="77777777" w:rsidR="002B42B9" w:rsidRPr="003E76E7" w:rsidRDefault="002B42B9" w:rsidP="00C4292D">
      <w:pPr>
        <w:spacing w:before="60" w:after="60"/>
        <w:ind w:left="1134" w:hanging="1134"/>
      </w:pPr>
      <w:r w:rsidRPr="003E76E7">
        <w:t>FTE</w:t>
      </w:r>
      <w:r w:rsidRPr="003E76E7">
        <w:tab/>
        <w:t>Full Time Equivalent</w:t>
      </w:r>
    </w:p>
    <w:p w14:paraId="4552599C" w14:textId="77777777" w:rsidR="002B42B9" w:rsidRPr="003E76E7" w:rsidRDefault="002B42B9" w:rsidP="00C4292D">
      <w:pPr>
        <w:pStyle w:val="HeadingRunIn"/>
        <w:keepNext w:val="0"/>
        <w:tabs>
          <w:tab w:val="left" w:pos="280"/>
        </w:tabs>
        <w:spacing w:after="60" w:line="240" w:lineRule="auto"/>
        <w:rPr>
          <w:rFonts w:ascii="Arial" w:hAnsi="Arial" w:cs="Arial"/>
          <w:smallCaps/>
          <w:color w:val="auto"/>
          <w:w w:val="100"/>
          <w:sz w:val="26"/>
          <w:szCs w:val="26"/>
          <w:lang w:val="en-AU"/>
        </w:rPr>
      </w:pPr>
      <w:r w:rsidRPr="003E76E7">
        <w:rPr>
          <w:rFonts w:ascii="Arial" w:hAnsi="Arial" w:cs="Arial"/>
          <w:smallCaps/>
          <w:color w:val="auto"/>
          <w:w w:val="100"/>
          <w:sz w:val="26"/>
          <w:szCs w:val="26"/>
          <w:lang w:val="en-AU"/>
        </w:rPr>
        <w:t>G</w:t>
      </w:r>
    </w:p>
    <w:p w14:paraId="03447D62" w14:textId="77777777" w:rsidR="002B42B9" w:rsidRPr="003E76E7" w:rsidRDefault="002B42B9" w:rsidP="00C4292D">
      <w:pPr>
        <w:spacing w:before="60" w:after="60"/>
        <w:ind w:left="1134" w:hanging="1134"/>
      </w:pPr>
      <w:r w:rsidRPr="003E76E7">
        <w:t>GA</w:t>
      </w:r>
      <w:r w:rsidRPr="003E76E7">
        <w:tab/>
        <w:t>Geoscience Australia</w:t>
      </w:r>
    </w:p>
    <w:p w14:paraId="758AC58E" w14:textId="77777777" w:rsidR="002B42B9" w:rsidRPr="003E76E7" w:rsidRDefault="002B42B9" w:rsidP="00C4292D">
      <w:pPr>
        <w:spacing w:before="60" w:after="60"/>
        <w:ind w:left="1134" w:hanging="1134"/>
      </w:pPr>
      <w:r w:rsidRPr="003E76E7">
        <w:t>GBE</w:t>
      </w:r>
      <w:r w:rsidRPr="003E76E7">
        <w:tab/>
        <w:t>Government Business Enterprise</w:t>
      </w:r>
    </w:p>
    <w:p w14:paraId="67C9D830" w14:textId="77777777" w:rsidR="002B42B9" w:rsidRPr="003E76E7" w:rsidRDefault="002B42B9" w:rsidP="00C4292D">
      <w:pPr>
        <w:spacing w:before="60" w:after="60"/>
        <w:ind w:left="1134" w:hanging="1134"/>
      </w:pPr>
      <w:r w:rsidRPr="003E76E7">
        <w:t>GOCO</w:t>
      </w:r>
      <w:r w:rsidRPr="003E76E7">
        <w:tab/>
        <w:t>Government Owned Contractor Operated</w:t>
      </w:r>
    </w:p>
    <w:p w14:paraId="4577A718" w14:textId="77777777" w:rsidR="002B42B9" w:rsidRPr="003E76E7" w:rsidRDefault="002B42B9" w:rsidP="00C4292D">
      <w:pPr>
        <w:spacing w:before="60" w:after="60"/>
        <w:ind w:left="1134" w:hanging="1134"/>
      </w:pPr>
      <w:r w:rsidRPr="003E76E7">
        <w:t>GST</w:t>
      </w:r>
      <w:r w:rsidRPr="003E76E7">
        <w:tab/>
        <w:t>Good and Services Tax</w:t>
      </w:r>
    </w:p>
    <w:p w14:paraId="1A520EA6" w14:textId="77777777" w:rsidR="002B42B9" w:rsidRPr="003E76E7" w:rsidRDefault="002B42B9" w:rsidP="00C4292D">
      <w:pPr>
        <w:pStyle w:val="HeadingRunIn"/>
        <w:keepNext w:val="0"/>
        <w:tabs>
          <w:tab w:val="left" w:pos="280"/>
        </w:tabs>
        <w:spacing w:after="60" w:line="240" w:lineRule="auto"/>
        <w:rPr>
          <w:rFonts w:ascii="Arial" w:hAnsi="Arial" w:cs="Arial"/>
          <w:smallCaps/>
          <w:color w:val="auto"/>
          <w:w w:val="100"/>
          <w:sz w:val="26"/>
          <w:szCs w:val="26"/>
          <w:lang w:val="en-AU"/>
        </w:rPr>
      </w:pPr>
      <w:r w:rsidRPr="003E76E7">
        <w:rPr>
          <w:rFonts w:ascii="Arial" w:hAnsi="Arial" w:cs="Arial"/>
          <w:smallCaps/>
          <w:color w:val="auto"/>
          <w:w w:val="100"/>
          <w:sz w:val="26"/>
          <w:szCs w:val="26"/>
          <w:lang w:val="en-AU"/>
        </w:rPr>
        <w:lastRenderedPageBreak/>
        <w:t>H</w:t>
      </w:r>
    </w:p>
    <w:p w14:paraId="5908C25B" w14:textId="4872C0EA" w:rsidR="002B42B9" w:rsidRPr="003E76E7" w:rsidRDefault="002B42B9" w:rsidP="00C4292D">
      <w:pPr>
        <w:spacing w:before="60" w:after="60"/>
        <w:ind w:left="1134" w:hanging="1134"/>
      </w:pPr>
      <w:r w:rsidRPr="003E76E7">
        <w:t>HIPP</w:t>
      </w:r>
      <w:r w:rsidRPr="003E76E7">
        <w:tab/>
        <w:t>HydroScheme Industry Partnership Program</w:t>
      </w:r>
    </w:p>
    <w:p w14:paraId="149E1B9B" w14:textId="3A6BA04D" w:rsidR="006A5C8C" w:rsidRPr="003E76E7" w:rsidRDefault="006A5C8C" w:rsidP="00C4292D">
      <w:pPr>
        <w:spacing w:before="60" w:after="60"/>
        <w:ind w:left="1134" w:hanging="1134"/>
      </w:pPr>
      <w:r w:rsidRPr="003E76E7">
        <w:t>HIMARS</w:t>
      </w:r>
      <w:r w:rsidRPr="003E76E7">
        <w:tab/>
        <w:t>High Mobility Artillery Rocket Systems</w:t>
      </w:r>
    </w:p>
    <w:p w14:paraId="401504E9" w14:textId="77777777" w:rsidR="002B42B9" w:rsidRPr="003E76E7" w:rsidRDefault="002B42B9" w:rsidP="00C4292D">
      <w:pPr>
        <w:spacing w:before="60" w:after="60"/>
        <w:ind w:left="1134" w:hanging="1134"/>
      </w:pPr>
      <w:r w:rsidRPr="003E76E7">
        <w:t>HKM</w:t>
      </w:r>
      <w:r w:rsidRPr="003E76E7">
        <w:tab/>
        <w:t>Health Knowledge Management</w:t>
      </w:r>
    </w:p>
    <w:p w14:paraId="016A2F0C" w14:textId="77777777" w:rsidR="002B42B9" w:rsidRPr="003E76E7" w:rsidRDefault="002B42B9" w:rsidP="00C4292D">
      <w:pPr>
        <w:spacing w:before="60" w:after="60"/>
        <w:ind w:left="1134" w:hanging="1134"/>
      </w:pPr>
      <w:r w:rsidRPr="003E76E7">
        <w:t>HS</w:t>
      </w:r>
      <w:r w:rsidRPr="003E76E7">
        <w:tab/>
        <w:t>Hydrographic ship</w:t>
      </w:r>
    </w:p>
    <w:p w14:paraId="619B8F03" w14:textId="426F443E" w:rsidR="002B42B9" w:rsidRPr="003E76E7" w:rsidRDefault="002B42B9" w:rsidP="00C4292D">
      <w:pPr>
        <w:spacing w:before="60" w:after="60"/>
        <w:ind w:left="1134" w:hanging="1134"/>
      </w:pPr>
      <w:r w:rsidRPr="003E76E7">
        <w:t>HMAS</w:t>
      </w:r>
      <w:r w:rsidRPr="003E76E7">
        <w:tab/>
        <w:t>H</w:t>
      </w:r>
      <w:r w:rsidR="00FC055B">
        <w:t>is</w:t>
      </w:r>
      <w:r w:rsidRPr="003E76E7">
        <w:t xml:space="preserve"> Majesty's Australian Ship</w:t>
      </w:r>
    </w:p>
    <w:p w14:paraId="1805C7F1" w14:textId="1FCCA880" w:rsidR="002B42B9" w:rsidRPr="003E76E7" w:rsidRDefault="002B42B9" w:rsidP="00C4292D">
      <w:pPr>
        <w:pStyle w:val="HeadingRunIn"/>
        <w:keepNext w:val="0"/>
        <w:tabs>
          <w:tab w:val="left" w:pos="280"/>
        </w:tabs>
        <w:spacing w:after="60" w:line="240" w:lineRule="auto"/>
        <w:rPr>
          <w:rFonts w:ascii="Arial" w:hAnsi="Arial" w:cs="Arial"/>
          <w:smallCaps/>
          <w:color w:val="auto"/>
          <w:w w:val="100"/>
          <w:sz w:val="26"/>
          <w:szCs w:val="26"/>
          <w:lang w:val="en-AU"/>
        </w:rPr>
      </w:pPr>
      <w:r w:rsidRPr="003E76E7">
        <w:rPr>
          <w:rFonts w:ascii="Arial" w:hAnsi="Arial" w:cs="Arial"/>
          <w:smallCaps/>
          <w:color w:val="auto"/>
          <w:w w:val="100"/>
          <w:sz w:val="26"/>
          <w:szCs w:val="26"/>
          <w:lang w:val="en-AU"/>
        </w:rPr>
        <w:t>I</w:t>
      </w:r>
    </w:p>
    <w:p w14:paraId="30D41BA7" w14:textId="77777777" w:rsidR="002B42B9" w:rsidRPr="003E76E7" w:rsidRDefault="002B42B9" w:rsidP="00C4292D">
      <w:pPr>
        <w:spacing w:before="60" w:after="60"/>
        <w:ind w:left="1134" w:hanging="1134"/>
      </w:pPr>
      <w:r w:rsidRPr="003E76E7">
        <w:t>IAEA</w:t>
      </w:r>
      <w:r w:rsidRPr="003E76E7">
        <w:tab/>
        <w:t>International Atomic Energy Agency</w:t>
      </w:r>
    </w:p>
    <w:p w14:paraId="5435AADC" w14:textId="77777777" w:rsidR="002B42B9" w:rsidRPr="003E76E7" w:rsidRDefault="002B42B9" w:rsidP="00C4292D">
      <w:pPr>
        <w:spacing w:before="60" w:after="60"/>
        <w:ind w:left="1134" w:hanging="1134"/>
      </w:pPr>
      <w:r w:rsidRPr="003E76E7">
        <w:t>IAGDP</w:t>
      </w:r>
      <w:r w:rsidRPr="003E76E7">
        <w:tab/>
        <w:t>Indigenous Australian Government Development Program</w:t>
      </w:r>
    </w:p>
    <w:p w14:paraId="29E8A7EB" w14:textId="77777777" w:rsidR="002B42B9" w:rsidRPr="003E76E7" w:rsidRDefault="002B42B9" w:rsidP="00C4292D">
      <w:pPr>
        <w:spacing w:before="60" w:after="60"/>
        <w:ind w:left="1134" w:hanging="1134"/>
      </w:pPr>
      <w:r w:rsidRPr="003E76E7">
        <w:t>ICT</w:t>
      </w:r>
      <w:r w:rsidRPr="003E76E7">
        <w:tab/>
        <w:t>Information and Communications Technology</w:t>
      </w:r>
    </w:p>
    <w:p w14:paraId="5D7EAEB9" w14:textId="729A72E4" w:rsidR="002B42B9" w:rsidRPr="003E76E7" w:rsidRDefault="002B42B9" w:rsidP="00C4292D">
      <w:pPr>
        <w:spacing w:before="60" w:after="60"/>
        <w:ind w:left="1134" w:hanging="1134"/>
        <w:rPr>
          <w:szCs w:val="20"/>
          <w:lang w:val="en-AU"/>
        </w:rPr>
      </w:pPr>
      <w:r w:rsidRPr="003E76E7">
        <w:t>IED</w:t>
      </w:r>
      <w:r w:rsidRPr="003E76E7">
        <w:tab/>
      </w:r>
      <w:r w:rsidRPr="003E76E7">
        <w:rPr>
          <w:szCs w:val="20"/>
          <w:lang w:val="en-AU"/>
        </w:rPr>
        <w:t>Improvised Explosive Device</w:t>
      </w:r>
    </w:p>
    <w:p w14:paraId="2A3694A8" w14:textId="1351E3D2" w:rsidR="00126E5C" w:rsidRPr="003E76E7" w:rsidRDefault="00126E5C" w:rsidP="00C4292D">
      <w:pPr>
        <w:spacing w:before="60" w:after="60"/>
        <w:ind w:left="1134" w:hanging="1134"/>
        <w:rPr>
          <w:szCs w:val="20"/>
        </w:rPr>
      </w:pPr>
      <w:r w:rsidRPr="003E76E7">
        <w:rPr>
          <w:szCs w:val="20"/>
          <w:lang w:val="en-AU"/>
        </w:rPr>
        <w:t>IIP</w:t>
      </w:r>
      <w:r w:rsidRPr="003E76E7">
        <w:rPr>
          <w:szCs w:val="20"/>
          <w:lang w:val="en-AU"/>
        </w:rPr>
        <w:tab/>
        <w:t>Integrated Investment Program</w:t>
      </w:r>
    </w:p>
    <w:p w14:paraId="6001CC91" w14:textId="77777777" w:rsidR="002B42B9" w:rsidRPr="003E76E7" w:rsidRDefault="002B42B9" w:rsidP="00C4292D">
      <w:pPr>
        <w:spacing w:before="60" w:after="60"/>
        <w:ind w:left="1134" w:hanging="1134"/>
      </w:pPr>
      <w:r w:rsidRPr="003E76E7">
        <w:t>IOC</w:t>
      </w:r>
      <w:r w:rsidRPr="003E76E7">
        <w:tab/>
        <w:t>Initial Operational Capability</w:t>
      </w:r>
    </w:p>
    <w:p w14:paraId="0362C8E0" w14:textId="59B783EC" w:rsidR="00F665DF" w:rsidRPr="003E76E7" w:rsidRDefault="002B42B9" w:rsidP="00C4292D">
      <w:pPr>
        <w:spacing w:before="60" w:after="60"/>
        <w:ind w:left="1134" w:hanging="1134"/>
      </w:pPr>
      <w:r w:rsidRPr="003E76E7">
        <w:t>IPP</w:t>
      </w:r>
      <w:r w:rsidRPr="003E76E7">
        <w:tab/>
        <w:t>Indigenous Procurement Policy</w:t>
      </w:r>
    </w:p>
    <w:p w14:paraId="704CDC95" w14:textId="0DB5EFC3" w:rsidR="00DE6E33" w:rsidRPr="003E76E7" w:rsidRDefault="00DE6E33" w:rsidP="00C4292D">
      <w:pPr>
        <w:spacing w:before="60" w:after="60"/>
        <w:ind w:left="1134" w:hanging="1134"/>
      </w:pPr>
      <w:r w:rsidRPr="003E76E7">
        <w:t>ISR</w:t>
      </w:r>
      <w:r w:rsidRPr="003E76E7">
        <w:tab/>
        <w:t>Intelligence, Surveillance and Reconnaissance</w:t>
      </w:r>
    </w:p>
    <w:p w14:paraId="038AB429" w14:textId="77777777" w:rsidR="002B42B9" w:rsidRPr="003E76E7" w:rsidRDefault="002B42B9" w:rsidP="00C4292D">
      <w:pPr>
        <w:spacing w:before="60" w:after="60"/>
        <w:ind w:left="1134" w:hanging="1134"/>
      </w:pPr>
      <w:r w:rsidRPr="003E76E7">
        <w:t>ISREW</w:t>
      </w:r>
      <w:r w:rsidRPr="003E76E7">
        <w:tab/>
      </w:r>
      <w:r w:rsidRPr="003E76E7">
        <w:tab/>
      </w:r>
      <w:r w:rsidRPr="003E76E7">
        <w:tab/>
      </w:r>
      <w:r w:rsidRPr="003E76E7">
        <w:tab/>
      </w:r>
      <w:r w:rsidRPr="003E76E7">
        <w:tab/>
        <w:t>Intelligence Surveillance Reconnaissance and Electronic Warfare</w:t>
      </w:r>
    </w:p>
    <w:p w14:paraId="7B2E425C" w14:textId="77777777" w:rsidR="002B42B9" w:rsidRPr="003E76E7" w:rsidRDefault="002B42B9" w:rsidP="00C4292D">
      <w:pPr>
        <w:pStyle w:val="HeadingRunIn"/>
        <w:keepNext w:val="0"/>
        <w:tabs>
          <w:tab w:val="left" w:pos="280"/>
        </w:tabs>
        <w:spacing w:before="100" w:after="60" w:line="240" w:lineRule="auto"/>
        <w:rPr>
          <w:rFonts w:ascii="Arial" w:hAnsi="Arial" w:cs="Arial"/>
          <w:smallCaps/>
          <w:color w:val="auto"/>
          <w:w w:val="100"/>
          <w:sz w:val="26"/>
          <w:szCs w:val="26"/>
          <w:lang w:val="en-AU"/>
        </w:rPr>
      </w:pPr>
      <w:r w:rsidRPr="003E76E7">
        <w:rPr>
          <w:rFonts w:ascii="Arial" w:hAnsi="Arial" w:cs="Arial"/>
          <w:smallCaps/>
          <w:color w:val="auto"/>
          <w:w w:val="100"/>
          <w:sz w:val="26"/>
          <w:szCs w:val="26"/>
          <w:lang w:val="en-AU"/>
        </w:rPr>
        <w:t>J</w:t>
      </w:r>
    </w:p>
    <w:p w14:paraId="38B4CFD7" w14:textId="77777777" w:rsidR="002B42B9" w:rsidRPr="003E76E7" w:rsidRDefault="002B42B9" w:rsidP="00C4292D">
      <w:pPr>
        <w:spacing w:before="60" w:after="60"/>
        <w:ind w:left="1134" w:hanging="1134"/>
      </w:pPr>
      <w:r w:rsidRPr="003E76E7">
        <w:t>JORN</w:t>
      </w:r>
      <w:r w:rsidRPr="003E76E7">
        <w:tab/>
        <w:t>Jindalee Operational Radar Network</w:t>
      </w:r>
    </w:p>
    <w:p w14:paraId="0B962DDF" w14:textId="77777777" w:rsidR="002B42B9" w:rsidRPr="003E76E7" w:rsidRDefault="002B42B9" w:rsidP="00C4292D">
      <w:pPr>
        <w:spacing w:before="60" w:after="60"/>
        <w:ind w:left="1134" w:hanging="1134"/>
      </w:pPr>
      <w:r w:rsidRPr="003E76E7">
        <w:t>JTA</w:t>
      </w:r>
      <w:r w:rsidRPr="003E76E7">
        <w:tab/>
        <w:t>Joint Transition Authority</w:t>
      </w:r>
    </w:p>
    <w:p w14:paraId="1B6A716C" w14:textId="77777777" w:rsidR="002B42B9" w:rsidRPr="003E76E7" w:rsidRDefault="002B42B9" w:rsidP="00C4292D">
      <w:pPr>
        <w:spacing w:before="60" w:after="60"/>
        <w:ind w:left="1134" w:hanging="1134"/>
      </w:pPr>
      <w:r w:rsidRPr="003E76E7">
        <w:t>JP</w:t>
      </w:r>
      <w:r w:rsidRPr="003E76E7">
        <w:tab/>
        <w:t>Joint Project</w:t>
      </w:r>
    </w:p>
    <w:p w14:paraId="5D8DF28E" w14:textId="77777777" w:rsidR="002B42B9" w:rsidRPr="003E76E7" w:rsidRDefault="002B42B9" w:rsidP="00C4292D">
      <w:pPr>
        <w:pStyle w:val="HeadingRunIn"/>
        <w:keepNext w:val="0"/>
        <w:tabs>
          <w:tab w:val="left" w:pos="280"/>
        </w:tabs>
        <w:spacing w:before="100" w:after="60" w:line="240" w:lineRule="auto"/>
        <w:rPr>
          <w:rFonts w:ascii="Arial" w:hAnsi="Arial" w:cs="Arial"/>
          <w:smallCaps/>
          <w:color w:val="auto"/>
          <w:w w:val="100"/>
          <w:sz w:val="26"/>
          <w:szCs w:val="26"/>
          <w:lang w:val="en-AU"/>
        </w:rPr>
      </w:pPr>
      <w:r w:rsidRPr="003E76E7">
        <w:rPr>
          <w:rFonts w:ascii="Arial" w:hAnsi="Arial" w:cs="Arial"/>
          <w:smallCaps/>
          <w:color w:val="auto"/>
          <w:w w:val="100"/>
          <w:sz w:val="26"/>
          <w:szCs w:val="26"/>
          <w:lang w:val="en-AU"/>
        </w:rPr>
        <w:t>L</w:t>
      </w:r>
    </w:p>
    <w:p w14:paraId="299F25E0" w14:textId="77777777" w:rsidR="002B42B9" w:rsidRPr="003E76E7" w:rsidRDefault="002B42B9" w:rsidP="00C4292D">
      <w:pPr>
        <w:spacing w:before="60" w:after="60"/>
        <w:ind w:left="1134" w:hanging="1134"/>
      </w:pPr>
      <w:r w:rsidRPr="003E76E7">
        <w:t>LHD</w:t>
      </w:r>
      <w:r w:rsidRPr="003E76E7">
        <w:tab/>
        <w:t>Landing Helicopter Dock</w:t>
      </w:r>
    </w:p>
    <w:p w14:paraId="597CD89E" w14:textId="77777777" w:rsidR="002B42B9" w:rsidRPr="003E76E7" w:rsidRDefault="002B42B9" w:rsidP="00C4292D">
      <w:pPr>
        <w:spacing w:before="60" w:after="60"/>
        <w:ind w:left="1134" w:hanging="1134"/>
      </w:pPr>
      <w:r w:rsidRPr="003E76E7">
        <w:t>LSD</w:t>
      </w:r>
      <w:r w:rsidRPr="003E76E7">
        <w:tab/>
        <w:t>Landing Ship Dock</w:t>
      </w:r>
    </w:p>
    <w:p w14:paraId="258F01DD" w14:textId="77777777" w:rsidR="002B42B9" w:rsidRPr="003E76E7" w:rsidRDefault="002B42B9" w:rsidP="00C4292D">
      <w:pPr>
        <w:spacing w:before="60" w:after="60"/>
        <w:ind w:left="1134" w:hanging="1134"/>
      </w:pPr>
      <w:r w:rsidRPr="003E76E7">
        <w:t>LOTE</w:t>
      </w:r>
      <w:r w:rsidRPr="003E76E7">
        <w:tab/>
        <w:t>Life of Type Extension</w:t>
      </w:r>
    </w:p>
    <w:p w14:paraId="7A47344D" w14:textId="77777777" w:rsidR="002B42B9" w:rsidRPr="003E76E7" w:rsidRDefault="002B42B9" w:rsidP="00C4292D">
      <w:pPr>
        <w:pStyle w:val="HeadingRunIn"/>
        <w:keepNext w:val="0"/>
        <w:tabs>
          <w:tab w:val="left" w:pos="280"/>
        </w:tabs>
        <w:spacing w:after="60" w:line="240" w:lineRule="auto"/>
        <w:rPr>
          <w:rFonts w:ascii="Arial" w:hAnsi="Arial" w:cs="Arial"/>
          <w:smallCaps/>
          <w:color w:val="auto"/>
          <w:w w:val="100"/>
          <w:sz w:val="26"/>
          <w:szCs w:val="26"/>
          <w:lang w:val="en-AU"/>
        </w:rPr>
      </w:pPr>
      <w:r w:rsidRPr="003E76E7">
        <w:rPr>
          <w:rFonts w:ascii="Arial" w:hAnsi="Arial" w:cs="Arial"/>
          <w:smallCaps/>
          <w:color w:val="auto"/>
          <w:w w:val="100"/>
          <w:sz w:val="26"/>
          <w:szCs w:val="26"/>
          <w:lang w:val="en-AU"/>
        </w:rPr>
        <w:t>M</w:t>
      </w:r>
    </w:p>
    <w:p w14:paraId="18AE76F2" w14:textId="346A57CC" w:rsidR="002B42B9" w:rsidRPr="003E76E7" w:rsidRDefault="002B42B9" w:rsidP="00C4292D">
      <w:pPr>
        <w:spacing w:before="60" w:after="60"/>
        <w:ind w:left="1134" w:hanging="1134"/>
      </w:pPr>
      <w:r w:rsidRPr="003E76E7">
        <w:t>MAJGEN</w:t>
      </w:r>
      <w:r w:rsidRPr="003E76E7">
        <w:tab/>
        <w:t>Major General</w:t>
      </w:r>
    </w:p>
    <w:p w14:paraId="6EB6EDEB" w14:textId="74A0C6C7" w:rsidR="00A37D48" w:rsidRPr="003E76E7" w:rsidRDefault="00A37D48" w:rsidP="00C4292D">
      <w:pPr>
        <w:spacing w:before="60" w:after="60"/>
        <w:ind w:left="1134" w:hanging="1134"/>
      </w:pPr>
      <w:r w:rsidRPr="003E76E7">
        <w:t>MASS</w:t>
      </w:r>
      <w:r w:rsidRPr="003E76E7">
        <w:tab/>
        <w:t>Multi-Ammunition Softkill System</w:t>
      </w:r>
    </w:p>
    <w:p w14:paraId="7815D6E3" w14:textId="77777777" w:rsidR="002B42B9" w:rsidRPr="003E76E7" w:rsidRDefault="002B42B9" w:rsidP="00C4292D">
      <w:pPr>
        <w:spacing w:before="60" w:after="60"/>
        <w:ind w:left="1134" w:hanging="1134"/>
      </w:pPr>
      <w:r w:rsidRPr="003E76E7">
        <w:t>METOC</w:t>
      </w:r>
      <w:r w:rsidRPr="003E76E7">
        <w:tab/>
        <w:t>Mobile Meteorological and Oceanographic</w:t>
      </w:r>
    </w:p>
    <w:p w14:paraId="78E1AC69" w14:textId="77777777" w:rsidR="002B42B9" w:rsidRPr="003E76E7" w:rsidRDefault="002B42B9" w:rsidP="00C4292D">
      <w:pPr>
        <w:spacing w:before="60" w:after="60"/>
        <w:ind w:left="1134" w:hanging="1134"/>
      </w:pPr>
      <w:r w:rsidRPr="003E76E7">
        <w:t>MHC</w:t>
      </w:r>
      <w:r w:rsidRPr="003E76E7">
        <w:tab/>
        <w:t xml:space="preserve">Mine Hunter Coastal - Coastal Mine Hunter / </w:t>
      </w:r>
      <w:r w:rsidRPr="003E76E7">
        <w:tab/>
        <w:t>Medium Heavy Capability</w:t>
      </w:r>
    </w:p>
    <w:p w14:paraId="04A0325B" w14:textId="77777777" w:rsidR="002B42B9" w:rsidRPr="003E76E7" w:rsidRDefault="002B42B9" w:rsidP="00C4292D">
      <w:pPr>
        <w:spacing w:before="60" w:after="60"/>
        <w:ind w:left="1134" w:hanging="1134"/>
      </w:pPr>
      <w:r w:rsidRPr="003E76E7">
        <w:t xml:space="preserve">MMT </w:t>
      </w:r>
      <w:r w:rsidRPr="003E76E7">
        <w:tab/>
        <w:t>Mobile Meteorological Team</w:t>
      </w:r>
    </w:p>
    <w:p w14:paraId="10B88A6E" w14:textId="77777777" w:rsidR="002B42B9" w:rsidRPr="003E76E7" w:rsidRDefault="002B42B9" w:rsidP="00C4292D">
      <w:pPr>
        <w:spacing w:before="60" w:after="60"/>
        <w:ind w:left="1134" w:hanging="1134"/>
      </w:pPr>
      <w:r w:rsidRPr="003E76E7">
        <w:t>MOU</w:t>
      </w:r>
      <w:r w:rsidRPr="003E76E7">
        <w:tab/>
        <w:t>Memorandum of Understanding</w:t>
      </w:r>
    </w:p>
    <w:p w14:paraId="12A34860" w14:textId="77777777" w:rsidR="002B42B9" w:rsidRPr="003E76E7" w:rsidRDefault="002B42B9" w:rsidP="00C4292D">
      <w:pPr>
        <w:spacing w:before="60" w:after="60"/>
        <w:ind w:left="1134" w:hanging="1134"/>
      </w:pPr>
      <w:r w:rsidRPr="003E76E7">
        <w:t>MP</w:t>
      </w:r>
      <w:r w:rsidRPr="003E76E7">
        <w:tab/>
        <w:t>Member of Parliament</w:t>
      </w:r>
    </w:p>
    <w:p w14:paraId="1D1C3703" w14:textId="77777777" w:rsidR="002B42B9" w:rsidRPr="003E76E7" w:rsidRDefault="002B42B9" w:rsidP="00C4292D">
      <w:pPr>
        <w:spacing w:before="60" w:after="60"/>
        <w:ind w:left="1134" w:hanging="1134"/>
      </w:pPr>
      <w:r w:rsidRPr="003E76E7">
        <w:t>MRH</w:t>
      </w:r>
      <w:r w:rsidRPr="003E76E7">
        <w:tab/>
        <w:t>Multi-Role Helicopter</w:t>
      </w:r>
    </w:p>
    <w:p w14:paraId="5E77210A" w14:textId="77777777" w:rsidR="002B42B9" w:rsidRPr="003E76E7" w:rsidRDefault="002B42B9" w:rsidP="00C4292D">
      <w:pPr>
        <w:spacing w:before="60" w:after="60"/>
        <w:ind w:left="1134" w:hanging="1134"/>
      </w:pPr>
      <w:r w:rsidRPr="003E76E7">
        <w:t>MRTT</w:t>
      </w:r>
      <w:r w:rsidRPr="003E76E7">
        <w:tab/>
        <w:t>Multi-Role Tanker Transport</w:t>
      </w:r>
    </w:p>
    <w:p w14:paraId="1B3B6A41" w14:textId="77777777" w:rsidR="002B42B9" w:rsidRPr="003E76E7" w:rsidRDefault="002B42B9" w:rsidP="00C4292D">
      <w:pPr>
        <w:spacing w:before="60" w:after="60"/>
        <w:ind w:left="1134" w:hanging="1134"/>
      </w:pPr>
      <w:r w:rsidRPr="003E76E7">
        <w:t>MSBS</w:t>
      </w:r>
      <w:r w:rsidRPr="003E76E7">
        <w:tab/>
        <w:t>Military Superannuation and Benefits Scheme</w:t>
      </w:r>
    </w:p>
    <w:p w14:paraId="37F4EBF6" w14:textId="7B67E562" w:rsidR="00FC055B" w:rsidRPr="00FC055B" w:rsidRDefault="00FC055B" w:rsidP="00FC055B">
      <w:pPr>
        <w:pStyle w:val="HeadingRunIn"/>
        <w:keepNext w:val="0"/>
        <w:tabs>
          <w:tab w:val="left" w:pos="280"/>
        </w:tabs>
        <w:spacing w:after="60" w:line="240" w:lineRule="auto"/>
        <w:rPr>
          <w:rFonts w:ascii="Arial" w:hAnsi="Arial" w:cs="Arial"/>
          <w:smallCaps/>
          <w:color w:val="auto"/>
          <w:w w:val="100"/>
          <w:sz w:val="26"/>
          <w:szCs w:val="26"/>
          <w:lang w:val="en-AU"/>
        </w:rPr>
      </w:pPr>
      <w:r>
        <w:rPr>
          <w:rFonts w:ascii="Arial" w:hAnsi="Arial" w:cs="Arial"/>
          <w:smallCaps/>
          <w:color w:val="auto"/>
          <w:w w:val="100"/>
          <w:sz w:val="26"/>
          <w:szCs w:val="26"/>
          <w:lang w:val="en-AU"/>
        </w:rPr>
        <w:lastRenderedPageBreak/>
        <w:t>M</w:t>
      </w:r>
    </w:p>
    <w:p w14:paraId="51680F7C" w14:textId="110CED36" w:rsidR="002B42B9" w:rsidRPr="003E76E7" w:rsidRDefault="002B42B9" w:rsidP="00C4292D">
      <w:pPr>
        <w:spacing w:before="60" w:after="60"/>
        <w:ind w:left="1134" w:hanging="1134"/>
      </w:pPr>
      <w:r w:rsidRPr="003E76E7">
        <w:t>MSU</w:t>
      </w:r>
      <w:r w:rsidRPr="003E76E7">
        <w:tab/>
      </w:r>
      <w:r w:rsidRPr="003E76E7">
        <w:tab/>
        <w:t>Maritime Safety Updates</w:t>
      </w:r>
    </w:p>
    <w:p w14:paraId="5196CF07" w14:textId="73CEC8C3" w:rsidR="00735E90" w:rsidRPr="003E76E7" w:rsidRDefault="002B42B9" w:rsidP="00C4292D">
      <w:pPr>
        <w:spacing w:before="60" w:after="60"/>
        <w:ind w:left="1134" w:hanging="1134"/>
        <w:rPr>
          <w:lang w:val="en-AU"/>
        </w:rPr>
      </w:pPr>
      <w:r w:rsidRPr="003E76E7">
        <w:t>MWD</w:t>
      </w:r>
      <w:r w:rsidRPr="003E76E7">
        <w:tab/>
        <w:t>Members with Dependents</w:t>
      </w:r>
    </w:p>
    <w:p w14:paraId="750EAFE5" w14:textId="77777777" w:rsidR="002B42B9" w:rsidRPr="003E76E7" w:rsidRDefault="002B42B9" w:rsidP="00C4292D">
      <w:pPr>
        <w:spacing w:before="60" w:after="60"/>
        <w:ind w:left="1134" w:hanging="1134"/>
      </w:pPr>
      <w:r w:rsidRPr="003E76E7">
        <w:t>MWOD</w:t>
      </w:r>
      <w:r w:rsidRPr="003E76E7">
        <w:tab/>
      </w:r>
      <w:r w:rsidRPr="003E76E7">
        <w:tab/>
        <w:t>Members without Dependents</w:t>
      </w:r>
    </w:p>
    <w:p w14:paraId="4F7EDE53" w14:textId="77777777" w:rsidR="002B42B9" w:rsidRPr="003E76E7" w:rsidRDefault="002B42B9" w:rsidP="00C4292D">
      <w:pPr>
        <w:spacing w:before="60" w:after="60"/>
        <w:ind w:left="1134" w:hanging="1134"/>
      </w:pPr>
      <w:r w:rsidRPr="003E76E7">
        <w:t>MWD(U)</w:t>
      </w:r>
      <w:r w:rsidRPr="003E76E7">
        <w:tab/>
      </w:r>
      <w:r w:rsidRPr="003E76E7">
        <w:tab/>
        <w:t>Members with Dependents (Unaccompanied)</w:t>
      </w:r>
    </w:p>
    <w:p w14:paraId="5840A75E" w14:textId="65D4BF5F" w:rsidR="004D41C2" w:rsidRPr="003E76E7" w:rsidRDefault="002B42B9" w:rsidP="00C4292D">
      <w:pPr>
        <w:spacing w:before="60" w:after="60"/>
        <w:ind w:left="1134" w:hanging="1134"/>
        <w:rPr>
          <w:lang w:val="en-AU"/>
        </w:rPr>
      </w:pPr>
      <w:r w:rsidRPr="003E76E7">
        <w:t>MYEFO</w:t>
      </w:r>
      <w:r w:rsidRPr="003E76E7">
        <w:tab/>
        <w:t>Mid-Year Economic and Fiscal Outlook</w:t>
      </w:r>
    </w:p>
    <w:p w14:paraId="6B2DAFC5" w14:textId="27E6B1D3" w:rsidR="002B42B9" w:rsidRPr="003E76E7" w:rsidRDefault="002B42B9" w:rsidP="00C4292D">
      <w:pPr>
        <w:pStyle w:val="HeadingRunIn"/>
        <w:keepNext w:val="0"/>
        <w:tabs>
          <w:tab w:val="left" w:pos="280"/>
        </w:tabs>
        <w:spacing w:after="60" w:line="240" w:lineRule="auto"/>
        <w:rPr>
          <w:rFonts w:ascii="Arial" w:hAnsi="Arial" w:cs="Arial"/>
          <w:smallCaps/>
          <w:color w:val="auto"/>
          <w:w w:val="100"/>
          <w:sz w:val="26"/>
          <w:szCs w:val="26"/>
          <w:lang w:val="en-AU"/>
        </w:rPr>
      </w:pPr>
      <w:r w:rsidRPr="003E76E7">
        <w:rPr>
          <w:rFonts w:ascii="Arial" w:hAnsi="Arial" w:cs="Arial"/>
          <w:smallCaps/>
          <w:color w:val="auto"/>
          <w:w w:val="100"/>
          <w:sz w:val="26"/>
          <w:szCs w:val="26"/>
          <w:lang w:val="en-AU"/>
        </w:rPr>
        <w:t>N</w:t>
      </w:r>
    </w:p>
    <w:p w14:paraId="52BD0CEE" w14:textId="510FC4CC" w:rsidR="002B42B9" w:rsidRPr="003E76E7" w:rsidRDefault="002B42B9" w:rsidP="00C4292D">
      <w:pPr>
        <w:spacing w:before="60" w:after="60"/>
        <w:ind w:left="1134" w:hanging="1134"/>
      </w:pPr>
      <w:r w:rsidRPr="003E76E7">
        <w:t>NACC</w:t>
      </w:r>
      <w:r w:rsidRPr="003E76E7">
        <w:tab/>
        <w:t>New Air Combat Capability</w:t>
      </w:r>
    </w:p>
    <w:p w14:paraId="64FD9EAC" w14:textId="2BED860D" w:rsidR="00903ED5" w:rsidRPr="003E76E7" w:rsidRDefault="00903ED5" w:rsidP="00C4292D">
      <w:pPr>
        <w:spacing w:before="60" w:after="60"/>
        <w:ind w:left="1134" w:hanging="1134"/>
      </w:pPr>
      <w:r w:rsidRPr="003E76E7">
        <w:t>NACCHO</w:t>
      </w:r>
      <w:r w:rsidR="00FC055B">
        <w:tab/>
      </w:r>
      <w:r w:rsidR="00FC055B" w:rsidRPr="003E76E7">
        <w:t>National Aboriginal Community Controlled Health Organisation</w:t>
      </w:r>
    </w:p>
    <w:p w14:paraId="39A5E3BF" w14:textId="78006028" w:rsidR="002B42B9" w:rsidRPr="003E76E7" w:rsidRDefault="002B42B9" w:rsidP="00C4292D">
      <w:pPr>
        <w:spacing w:before="60" w:after="60"/>
        <w:ind w:left="1134" w:hanging="1134"/>
      </w:pPr>
      <w:r w:rsidRPr="003E76E7">
        <w:t>NATO</w:t>
      </w:r>
      <w:r w:rsidRPr="003E76E7">
        <w:tab/>
        <w:t xml:space="preserve">North Atlantic Treaty Organization </w:t>
      </w:r>
    </w:p>
    <w:p w14:paraId="4175DAEA" w14:textId="08B24FDD" w:rsidR="00C524FF" w:rsidRPr="003E76E7" w:rsidRDefault="00C524FF" w:rsidP="00C4292D">
      <w:pPr>
        <w:spacing w:before="60" w:after="60"/>
        <w:ind w:left="1134" w:hanging="1134"/>
      </w:pPr>
      <w:r w:rsidRPr="003E76E7">
        <w:t>NFP</w:t>
      </w:r>
      <w:r w:rsidRPr="003E76E7">
        <w:tab/>
        <w:t>Not For Publication</w:t>
      </w:r>
    </w:p>
    <w:p w14:paraId="3BAE7CF8" w14:textId="3DC6DE9B" w:rsidR="00992C17" w:rsidRPr="003E76E7" w:rsidRDefault="00992C17" w:rsidP="00C4292D">
      <w:pPr>
        <w:spacing w:before="60" w:after="60"/>
        <w:ind w:left="1134" w:hanging="1134"/>
      </w:pPr>
      <w:r w:rsidRPr="003E76E7">
        <w:t>NSW</w:t>
      </w:r>
      <w:r w:rsidRPr="003E76E7">
        <w:tab/>
        <w:t>New South Wales</w:t>
      </w:r>
    </w:p>
    <w:p w14:paraId="2C1EF5B2" w14:textId="03AEE1A9" w:rsidR="002B42B9" w:rsidRPr="003E76E7" w:rsidRDefault="002B42B9" w:rsidP="00C4292D">
      <w:pPr>
        <w:pStyle w:val="HeadingRunIn"/>
        <w:keepNext w:val="0"/>
        <w:tabs>
          <w:tab w:val="left" w:pos="280"/>
        </w:tabs>
        <w:spacing w:after="60" w:line="240" w:lineRule="auto"/>
        <w:rPr>
          <w:rFonts w:ascii="Arial" w:hAnsi="Arial" w:cs="Arial"/>
          <w:smallCaps/>
          <w:color w:val="auto"/>
          <w:w w:val="100"/>
          <w:sz w:val="26"/>
          <w:szCs w:val="26"/>
          <w:lang w:val="en-AU"/>
        </w:rPr>
      </w:pPr>
      <w:r w:rsidRPr="003E76E7">
        <w:rPr>
          <w:rFonts w:ascii="Arial" w:hAnsi="Arial" w:cs="Arial"/>
          <w:smallCaps/>
          <w:color w:val="auto"/>
          <w:w w:val="100"/>
          <w:sz w:val="26"/>
          <w:szCs w:val="26"/>
          <w:lang w:val="en-AU"/>
        </w:rPr>
        <w:t>O</w:t>
      </w:r>
    </w:p>
    <w:p w14:paraId="1AFDA063" w14:textId="01AC5E91" w:rsidR="009A08B9" w:rsidRPr="003E76E7" w:rsidRDefault="009A08B9" w:rsidP="00C4292D">
      <w:pPr>
        <w:spacing w:before="60" w:after="60"/>
        <w:ind w:left="1134" w:hanging="1134"/>
      </w:pPr>
      <w:r w:rsidRPr="003E76E7">
        <w:t>OAM</w:t>
      </w:r>
      <w:r w:rsidR="00683912" w:rsidRPr="003E76E7">
        <w:tab/>
        <w:t>Medal of the Order of Australia</w:t>
      </w:r>
    </w:p>
    <w:p w14:paraId="3AC4894D" w14:textId="0A8E952D" w:rsidR="002B42B9" w:rsidRPr="003E76E7" w:rsidRDefault="002B42B9" w:rsidP="00C4292D">
      <w:pPr>
        <w:spacing w:before="60" w:after="60"/>
        <w:ind w:left="1134" w:hanging="1134"/>
      </w:pPr>
      <w:r w:rsidRPr="003E76E7">
        <w:t>ODIS</w:t>
      </w:r>
      <w:r w:rsidRPr="003E76E7">
        <w:tab/>
        <w:t>Office of Defence Industry Support</w:t>
      </w:r>
    </w:p>
    <w:p w14:paraId="20D42E6F" w14:textId="77777777" w:rsidR="002B42B9" w:rsidRPr="003E76E7" w:rsidRDefault="002B42B9" w:rsidP="00C4292D">
      <w:pPr>
        <w:spacing w:before="60" w:after="60"/>
        <w:ind w:left="1134" w:hanging="1134"/>
      </w:pPr>
      <w:r w:rsidRPr="003E76E7">
        <w:t>OPA</w:t>
      </w:r>
      <w:r w:rsidRPr="003E76E7">
        <w:tab/>
        <w:t>Official Public Account</w:t>
      </w:r>
    </w:p>
    <w:p w14:paraId="07061B8A" w14:textId="77777777" w:rsidR="002B42B9" w:rsidRPr="003E76E7" w:rsidRDefault="002B42B9" w:rsidP="00C4292D">
      <w:pPr>
        <w:spacing w:before="60" w:after="60"/>
        <w:ind w:left="1134" w:hanging="1134"/>
      </w:pPr>
      <w:r w:rsidRPr="003E76E7">
        <w:t>OPV</w:t>
      </w:r>
      <w:r w:rsidRPr="003E76E7">
        <w:tab/>
        <w:t>Offshore Patrol Vessel</w:t>
      </w:r>
    </w:p>
    <w:p w14:paraId="105B2DFD" w14:textId="77777777" w:rsidR="002B42B9" w:rsidRPr="003E76E7" w:rsidRDefault="002B42B9" w:rsidP="00C4292D">
      <w:pPr>
        <w:spacing w:before="60" w:after="60"/>
        <w:ind w:left="1134" w:hanging="1134"/>
      </w:pPr>
      <w:r w:rsidRPr="003E76E7">
        <w:t>OTHR</w:t>
      </w:r>
      <w:r w:rsidRPr="003E76E7">
        <w:tab/>
        <w:t>Over the Horizon Radar</w:t>
      </w:r>
    </w:p>
    <w:p w14:paraId="150006E0" w14:textId="77777777" w:rsidR="002B42B9" w:rsidRPr="003E76E7" w:rsidRDefault="002B42B9" w:rsidP="00C4292D">
      <w:pPr>
        <w:pStyle w:val="HeadingRunIn"/>
        <w:keepNext w:val="0"/>
        <w:tabs>
          <w:tab w:val="left" w:pos="280"/>
        </w:tabs>
        <w:spacing w:after="60" w:line="240" w:lineRule="auto"/>
        <w:rPr>
          <w:rFonts w:ascii="Arial" w:hAnsi="Arial" w:cs="Arial"/>
          <w:smallCaps/>
          <w:color w:val="auto"/>
          <w:w w:val="100"/>
          <w:sz w:val="26"/>
          <w:szCs w:val="26"/>
          <w:lang w:val="en-AU"/>
        </w:rPr>
      </w:pPr>
      <w:r w:rsidRPr="003E76E7">
        <w:rPr>
          <w:rFonts w:ascii="Arial" w:hAnsi="Arial" w:cs="Arial"/>
          <w:smallCaps/>
          <w:color w:val="auto"/>
          <w:w w:val="100"/>
          <w:sz w:val="26"/>
          <w:szCs w:val="26"/>
          <w:lang w:val="en-AU"/>
        </w:rPr>
        <w:t>P</w:t>
      </w:r>
    </w:p>
    <w:p w14:paraId="3D14692F" w14:textId="77777777" w:rsidR="002B42B9" w:rsidRPr="003E76E7" w:rsidRDefault="002B42B9" w:rsidP="00C4292D">
      <w:pPr>
        <w:spacing w:before="60" w:after="60"/>
        <w:ind w:left="1134" w:hanging="1134"/>
      </w:pPr>
      <w:r w:rsidRPr="003E76E7">
        <w:t>PAES</w:t>
      </w:r>
      <w:r w:rsidRPr="003E76E7">
        <w:tab/>
        <w:t>Portfolio Additional Estimates Statements</w:t>
      </w:r>
    </w:p>
    <w:p w14:paraId="5314178D" w14:textId="77777777" w:rsidR="002B42B9" w:rsidRPr="003E76E7" w:rsidRDefault="002B42B9" w:rsidP="00C4292D">
      <w:pPr>
        <w:spacing w:before="60" w:after="60"/>
        <w:ind w:left="1134" w:hanging="1134"/>
      </w:pPr>
      <w:r w:rsidRPr="003E76E7">
        <w:t xml:space="preserve">PB </w:t>
      </w:r>
    </w:p>
    <w:p w14:paraId="44D85024" w14:textId="000AB4D6" w:rsidR="002B42B9" w:rsidRPr="003E76E7" w:rsidRDefault="002B42B9" w:rsidP="00C4292D">
      <w:pPr>
        <w:spacing w:before="60" w:after="60"/>
        <w:ind w:left="1134" w:hanging="1134"/>
      </w:pPr>
      <w:r w:rsidRPr="003E76E7">
        <w:t xml:space="preserve">Statements </w:t>
      </w:r>
      <w:r w:rsidRPr="003E76E7">
        <w:tab/>
        <w:t>Portfolio Budget Statements</w:t>
      </w:r>
    </w:p>
    <w:p w14:paraId="35C8234D" w14:textId="04C39C11" w:rsidR="00F665DF" w:rsidRPr="003E76E7" w:rsidRDefault="00F665DF" w:rsidP="00C4292D">
      <w:pPr>
        <w:spacing w:before="60" w:after="60"/>
        <w:ind w:left="1134" w:hanging="1134"/>
      </w:pPr>
      <w:r w:rsidRPr="003E76E7">
        <w:t>PED</w:t>
      </w:r>
      <w:r w:rsidRPr="003E76E7">
        <w:tab/>
        <w:t>Processing</w:t>
      </w:r>
      <w:r w:rsidR="000C6189" w:rsidRPr="003E76E7">
        <w:t>,</w:t>
      </w:r>
      <w:r w:rsidRPr="003E76E7">
        <w:t xml:space="preserve"> Exploitation and Dissemination</w:t>
      </w:r>
    </w:p>
    <w:p w14:paraId="196F4214" w14:textId="32E608D2" w:rsidR="002B42B9" w:rsidRPr="003E76E7" w:rsidRDefault="002B42B9" w:rsidP="00C4292D">
      <w:pPr>
        <w:spacing w:before="60" w:after="60"/>
        <w:ind w:left="1134" w:hanging="1134"/>
      </w:pPr>
      <w:r w:rsidRPr="003E76E7">
        <w:t>PEFO</w:t>
      </w:r>
      <w:r w:rsidRPr="003E76E7">
        <w:tab/>
        <w:t>Pre-</w:t>
      </w:r>
      <w:r w:rsidR="00622654" w:rsidRPr="003E76E7">
        <w:t>E</w:t>
      </w:r>
      <w:r w:rsidRPr="003E76E7">
        <w:t>lection Fiscal Outlook</w:t>
      </w:r>
    </w:p>
    <w:p w14:paraId="5C46A9E5" w14:textId="77777777" w:rsidR="002B42B9" w:rsidRPr="003E76E7" w:rsidRDefault="002B42B9" w:rsidP="00C4292D">
      <w:pPr>
        <w:spacing w:before="60" w:after="60"/>
        <w:ind w:left="1134" w:hanging="1134"/>
      </w:pPr>
      <w:r w:rsidRPr="003E76E7">
        <w:t>PGPA</w:t>
      </w:r>
      <w:r w:rsidRPr="003E76E7">
        <w:tab/>
        <w:t>Public Governance, Performance and Accountability</w:t>
      </w:r>
    </w:p>
    <w:p w14:paraId="1DF08B9D" w14:textId="77777777" w:rsidR="002B42B9" w:rsidRPr="003E76E7" w:rsidRDefault="002B42B9" w:rsidP="00C4292D">
      <w:pPr>
        <w:spacing w:before="60" w:after="60"/>
        <w:ind w:left="1134" w:hanging="1134"/>
      </w:pPr>
      <w:r w:rsidRPr="003E76E7">
        <w:t>PMICA</w:t>
      </w:r>
      <w:r w:rsidRPr="003E76E7">
        <w:tab/>
        <w:t>Protected Mobility Integrated Capability Assurance</w:t>
      </w:r>
    </w:p>
    <w:p w14:paraId="3028BC36" w14:textId="77777777" w:rsidR="002B42B9" w:rsidRPr="003E76E7" w:rsidRDefault="002B42B9" w:rsidP="00C4292D">
      <w:pPr>
        <w:spacing w:before="60" w:after="60"/>
        <w:ind w:left="1134" w:hanging="1134"/>
      </w:pPr>
      <w:r w:rsidRPr="003E76E7">
        <w:t>PMSP</w:t>
      </w:r>
      <w:r w:rsidRPr="003E76E7">
        <w:tab/>
        <w:t>Pacific Maritime Security Program</w:t>
      </w:r>
    </w:p>
    <w:p w14:paraId="25C9239C" w14:textId="77777777" w:rsidR="002B42B9" w:rsidRPr="003E76E7" w:rsidRDefault="002B42B9" w:rsidP="00C4292D">
      <w:pPr>
        <w:spacing w:before="60" w:after="60"/>
        <w:ind w:left="1134" w:hanging="1134"/>
      </w:pPr>
      <w:r w:rsidRPr="003E76E7">
        <w:t>PMV-L</w:t>
      </w:r>
      <w:r w:rsidRPr="003E76E7">
        <w:tab/>
        <w:t>Protected Mobility Vehicle</w:t>
      </w:r>
    </w:p>
    <w:p w14:paraId="3067CFCB" w14:textId="77777777" w:rsidR="002B42B9" w:rsidRPr="003E76E7" w:rsidRDefault="002B42B9" w:rsidP="00C4292D">
      <w:pPr>
        <w:spacing w:before="60" w:after="60"/>
        <w:ind w:left="1134" w:hanging="1134"/>
      </w:pPr>
      <w:r w:rsidRPr="003E76E7">
        <w:t>PNG</w:t>
      </w:r>
      <w:r w:rsidRPr="003E76E7">
        <w:tab/>
        <w:t>Papua New Guinea</w:t>
      </w:r>
    </w:p>
    <w:p w14:paraId="199B7A76" w14:textId="77777777" w:rsidR="002B42B9" w:rsidRPr="003E76E7" w:rsidRDefault="002B42B9" w:rsidP="00C4292D">
      <w:pPr>
        <w:spacing w:before="60" w:after="60"/>
        <w:ind w:left="1134" w:hanging="1134"/>
      </w:pPr>
      <w:r w:rsidRPr="003E76E7">
        <w:t>PSM</w:t>
      </w:r>
      <w:r w:rsidRPr="003E76E7">
        <w:tab/>
        <w:t>Public Service Medal</w:t>
      </w:r>
    </w:p>
    <w:p w14:paraId="7CB5C0ED" w14:textId="7F631ACA" w:rsidR="002B42B9" w:rsidRPr="003E76E7" w:rsidRDefault="002B42B9" w:rsidP="00C4292D">
      <w:pPr>
        <w:spacing w:before="60" w:after="60"/>
        <w:ind w:left="1134" w:hanging="1134"/>
      </w:pPr>
      <w:r w:rsidRPr="003E76E7">
        <w:t>PWC</w:t>
      </w:r>
      <w:r w:rsidRPr="003E76E7">
        <w:tab/>
        <w:t>Parliamentary Standing Committee on Public Works</w:t>
      </w:r>
    </w:p>
    <w:p w14:paraId="7BC9FAEF" w14:textId="156A99D8" w:rsidR="00992C17" w:rsidRPr="003E76E7" w:rsidRDefault="00992C17" w:rsidP="00C4292D">
      <w:pPr>
        <w:pStyle w:val="HeadingRunIn"/>
        <w:keepNext w:val="0"/>
        <w:tabs>
          <w:tab w:val="left" w:pos="280"/>
        </w:tabs>
        <w:spacing w:after="60" w:line="240" w:lineRule="auto"/>
        <w:rPr>
          <w:rFonts w:ascii="Arial" w:hAnsi="Arial" w:cs="Arial"/>
          <w:smallCaps/>
          <w:color w:val="auto"/>
          <w:w w:val="100"/>
          <w:sz w:val="26"/>
          <w:szCs w:val="26"/>
          <w:lang w:val="en-AU"/>
        </w:rPr>
      </w:pPr>
      <w:r w:rsidRPr="003E76E7">
        <w:rPr>
          <w:rFonts w:ascii="Arial" w:hAnsi="Arial" w:cs="Arial"/>
          <w:smallCaps/>
          <w:color w:val="auto"/>
          <w:w w:val="100"/>
          <w:sz w:val="26"/>
          <w:szCs w:val="26"/>
          <w:lang w:val="en-AU"/>
        </w:rPr>
        <w:t>Q</w:t>
      </w:r>
    </w:p>
    <w:p w14:paraId="1807A288" w14:textId="781418EE" w:rsidR="00992C17" w:rsidRPr="003E76E7" w:rsidRDefault="00992C17" w:rsidP="00C4292D">
      <w:pPr>
        <w:spacing w:before="60" w:after="60"/>
        <w:ind w:left="1134" w:hanging="1134"/>
      </w:pPr>
      <w:r w:rsidRPr="003E76E7">
        <w:t>QLD</w:t>
      </w:r>
      <w:r w:rsidRPr="003E76E7">
        <w:tab/>
        <w:t>Queensland</w:t>
      </w:r>
    </w:p>
    <w:p w14:paraId="57B26823" w14:textId="77777777" w:rsidR="00A37D48" w:rsidRPr="003E76E7" w:rsidRDefault="00A37D48" w:rsidP="00C4292D">
      <w:pPr>
        <w:spacing w:before="0" w:after="0"/>
        <w:rPr>
          <w:rFonts w:ascii="Arial" w:hAnsi="Arial"/>
          <w:b/>
          <w:bCs/>
          <w:smallCaps/>
          <w:sz w:val="26"/>
          <w:szCs w:val="26"/>
          <w:lang w:val="en-AU"/>
        </w:rPr>
      </w:pPr>
      <w:r w:rsidRPr="003E76E7">
        <w:rPr>
          <w:rFonts w:ascii="Arial" w:hAnsi="Arial"/>
          <w:smallCaps/>
          <w:sz w:val="26"/>
          <w:szCs w:val="26"/>
          <w:lang w:val="en-AU"/>
        </w:rPr>
        <w:br w:type="page"/>
      </w:r>
    </w:p>
    <w:p w14:paraId="63B74FE9" w14:textId="63087D0E" w:rsidR="002B42B9" w:rsidRPr="003E76E7" w:rsidRDefault="002B42B9" w:rsidP="00C4292D">
      <w:pPr>
        <w:pStyle w:val="HeadingRunIn"/>
        <w:keepNext w:val="0"/>
        <w:tabs>
          <w:tab w:val="left" w:pos="280"/>
        </w:tabs>
        <w:spacing w:after="60" w:line="240" w:lineRule="auto"/>
        <w:rPr>
          <w:rFonts w:ascii="Arial" w:hAnsi="Arial" w:cs="Arial"/>
          <w:smallCaps/>
          <w:color w:val="auto"/>
          <w:w w:val="100"/>
          <w:sz w:val="26"/>
          <w:szCs w:val="26"/>
          <w:lang w:val="en-AU"/>
        </w:rPr>
      </w:pPr>
      <w:r w:rsidRPr="003E76E7">
        <w:rPr>
          <w:rFonts w:ascii="Arial" w:hAnsi="Arial" w:cs="Arial"/>
          <w:smallCaps/>
          <w:color w:val="auto"/>
          <w:w w:val="100"/>
          <w:sz w:val="26"/>
          <w:szCs w:val="26"/>
          <w:lang w:val="en-AU"/>
        </w:rPr>
        <w:lastRenderedPageBreak/>
        <w:t>R</w:t>
      </w:r>
    </w:p>
    <w:p w14:paraId="0A819BC1" w14:textId="77777777" w:rsidR="002B42B9" w:rsidRPr="003E76E7" w:rsidRDefault="002B42B9" w:rsidP="00C4292D">
      <w:pPr>
        <w:spacing w:before="60" w:after="60"/>
        <w:ind w:left="1134" w:hanging="1134"/>
      </w:pPr>
      <w:r w:rsidRPr="003E76E7">
        <w:t>RAAF</w:t>
      </w:r>
      <w:r w:rsidRPr="003E76E7">
        <w:tab/>
        <w:t>Royal Australian Air Force</w:t>
      </w:r>
    </w:p>
    <w:p w14:paraId="2940E320" w14:textId="77777777" w:rsidR="002B42B9" w:rsidRPr="003E76E7" w:rsidRDefault="002B42B9" w:rsidP="00C4292D">
      <w:pPr>
        <w:spacing w:before="60" w:after="60"/>
        <w:ind w:left="1134" w:hanging="1134"/>
      </w:pPr>
      <w:r w:rsidRPr="003E76E7">
        <w:t>RADM</w:t>
      </w:r>
      <w:r w:rsidRPr="003E76E7">
        <w:tab/>
        <w:t>Rear Admiral</w:t>
      </w:r>
    </w:p>
    <w:p w14:paraId="39561C51" w14:textId="77777777" w:rsidR="002B42B9" w:rsidRPr="003E76E7" w:rsidRDefault="002B42B9" w:rsidP="00C4292D">
      <w:pPr>
        <w:spacing w:before="60" w:after="60"/>
        <w:ind w:left="1134" w:hanging="1134"/>
      </w:pPr>
      <w:r w:rsidRPr="003E76E7">
        <w:t>RAN</w:t>
      </w:r>
      <w:r w:rsidRPr="003E76E7">
        <w:tab/>
        <w:t>Royal Australian Navy</w:t>
      </w:r>
    </w:p>
    <w:p w14:paraId="37891329" w14:textId="77777777" w:rsidR="002B42B9" w:rsidRPr="003E76E7" w:rsidRDefault="002B42B9" w:rsidP="00C4292D">
      <w:pPr>
        <w:spacing w:before="60" w:after="60"/>
        <w:ind w:left="1134" w:hanging="1134"/>
      </w:pPr>
      <w:r w:rsidRPr="003E76E7">
        <w:t>RANCCB</w:t>
      </w:r>
      <w:r w:rsidRPr="003E76E7">
        <w:tab/>
        <w:t>Royal Australian Navy Central Canteens Board</w:t>
      </w:r>
    </w:p>
    <w:p w14:paraId="20B0ED87" w14:textId="77777777" w:rsidR="002B42B9" w:rsidRPr="003E76E7" w:rsidRDefault="002B42B9" w:rsidP="00C4292D">
      <w:pPr>
        <w:spacing w:before="60" w:after="60"/>
        <w:ind w:left="1134" w:hanging="1134"/>
      </w:pPr>
      <w:r w:rsidRPr="003E76E7">
        <w:t>RA</w:t>
      </w:r>
      <w:r w:rsidRPr="003E76E7">
        <w:tab/>
        <w:t>Rent Allowance</w:t>
      </w:r>
    </w:p>
    <w:p w14:paraId="3E952185" w14:textId="77777777" w:rsidR="002B42B9" w:rsidRPr="003E76E7" w:rsidRDefault="002B42B9" w:rsidP="00C4292D">
      <w:pPr>
        <w:spacing w:before="60" w:after="60"/>
        <w:ind w:left="1134" w:hanging="1134"/>
      </w:pPr>
      <w:r w:rsidRPr="003E76E7">
        <w:t>RCDVS</w:t>
      </w:r>
      <w:r w:rsidRPr="003E76E7">
        <w:tab/>
        <w:t>Royal Commission into Defence and Veteran Suicide</w:t>
      </w:r>
    </w:p>
    <w:p w14:paraId="1F0492CC" w14:textId="3DED4059" w:rsidR="00735E90" w:rsidRPr="003E76E7" w:rsidRDefault="002B42B9" w:rsidP="00C4292D">
      <w:pPr>
        <w:spacing w:before="60" w:after="60"/>
        <w:ind w:left="1134" w:hanging="1134"/>
        <w:rPr>
          <w:lang w:val="en-AU"/>
        </w:rPr>
      </w:pPr>
      <w:r w:rsidRPr="003E76E7">
        <w:rPr>
          <w:rFonts w:cs="Book Antiqua"/>
          <w:color w:val="000000"/>
          <w:szCs w:val="20"/>
          <w:lang w:val="en-AU"/>
        </w:rPr>
        <w:t>REDSPICE</w:t>
      </w:r>
      <w:r w:rsidRPr="003E76E7">
        <w:rPr>
          <w:rFonts w:cs="Book Antiqua"/>
          <w:color w:val="000000"/>
          <w:szCs w:val="20"/>
          <w:lang w:val="en-AU"/>
        </w:rPr>
        <w:tab/>
        <w:t>Resilience, Effects, Defence, Space, Intelligence, Cyber, and Enablers</w:t>
      </w:r>
    </w:p>
    <w:p w14:paraId="6405FF8E" w14:textId="544FE60A" w:rsidR="002B42B9" w:rsidRPr="003E76E7" w:rsidRDefault="002B42B9" w:rsidP="00C4292D">
      <w:pPr>
        <w:spacing w:before="60" w:after="60"/>
        <w:ind w:left="1134" w:hanging="1134"/>
      </w:pPr>
      <w:r w:rsidRPr="003E76E7">
        <w:t>RMG</w:t>
      </w:r>
      <w:r w:rsidRPr="003E76E7">
        <w:tab/>
        <w:t>Resource Management Guide</w:t>
      </w:r>
    </w:p>
    <w:p w14:paraId="5529E252" w14:textId="77777777" w:rsidR="002B42B9" w:rsidRPr="003E76E7" w:rsidRDefault="002B42B9" w:rsidP="00C4292D">
      <w:pPr>
        <w:spacing w:before="60" w:after="60"/>
        <w:ind w:left="1134" w:hanging="1134"/>
      </w:pPr>
      <w:r w:rsidRPr="003E76E7">
        <w:t>ROU</w:t>
      </w:r>
      <w:r w:rsidRPr="003E76E7">
        <w:tab/>
      </w:r>
      <w:r w:rsidRPr="003E76E7">
        <w:tab/>
        <w:t>Right of Use</w:t>
      </w:r>
    </w:p>
    <w:p w14:paraId="42DC47AB" w14:textId="77777777" w:rsidR="002B42B9" w:rsidRPr="003E76E7" w:rsidRDefault="002B42B9" w:rsidP="00C4292D">
      <w:pPr>
        <w:spacing w:before="60" w:after="60"/>
        <w:ind w:left="1134" w:hanging="1134"/>
      </w:pPr>
      <w:r w:rsidRPr="003E76E7">
        <w:t>RMC</w:t>
      </w:r>
      <w:r w:rsidRPr="003E76E7">
        <w:tab/>
        <w:t>Royal Military College</w:t>
      </w:r>
    </w:p>
    <w:p w14:paraId="17B649D5" w14:textId="77777777" w:rsidR="002B42B9" w:rsidRPr="003E76E7" w:rsidRDefault="002B42B9" w:rsidP="00C4292D">
      <w:pPr>
        <w:spacing w:before="60" w:after="60"/>
        <w:ind w:left="1134" w:hanging="1134"/>
      </w:pPr>
      <w:r w:rsidRPr="003E76E7">
        <w:t>RSC</w:t>
      </w:r>
      <w:r w:rsidRPr="003E76E7">
        <w:tab/>
        <w:t>Recruiting Services Contract</w:t>
      </w:r>
    </w:p>
    <w:p w14:paraId="473B3AA2" w14:textId="77777777" w:rsidR="002B42B9" w:rsidRPr="003E76E7" w:rsidRDefault="002B42B9" w:rsidP="00C4292D">
      <w:pPr>
        <w:pStyle w:val="HeadingRunIn"/>
        <w:keepNext w:val="0"/>
        <w:tabs>
          <w:tab w:val="left" w:pos="280"/>
        </w:tabs>
        <w:spacing w:after="60" w:line="240" w:lineRule="auto"/>
        <w:rPr>
          <w:rFonts w:ascii="Arial" w:hAnsi="Arial" w:cs="Arial"/>
          <w:smallCaps/>
          <w:color w:val="auto"/>
          <w:w w:val="100"/>
          <w:sz w:val="26"/>
          <w:szCs w:val="26"/>
          <w:lang w:val="en-AU"/>
        </w:rPr>
      </w:pPr>
      <w:r w:rsidRPr="003E76E7">
        <w:rPr>
          <w:rFonts w:ascii="Arial" w:hAnsi="Arial" w:cs="Arial"/>
          <w:smallCaps/>
          <w:color w:val="auto"/>
          <w:w w:val="100"/>
          <w:sz w:val="26"/>
          <w:szCs w:val="26"/>
          <w:lang w:val="en-AU"/>
        </w:rPr>
        <w:t>S</w:t>
      </w:r>
    </w:p>
    <w:p w14:paraId="1F39CCDF" w14:textId="40896B15" w:rsidR="00992C17" w:rsidRPr="003E76E7" w:rsidRDefault="00992C17" w:rsidP="00C4292D">
      <w:pPr>
        <w:spacing w:before="60" w:after="60"/>
        <w:ind w:left="1134" w:hanging="1134"/>
      </w:pPr>
      <w:r w:rsidRPr="003E76E7">
        <w:t>SA</w:t>
      </w:r>
      <w:r w:rsidRPr="003E76E7">
        <w:tab/>
        <w:t>South Australia</w:t>
      </w:r>
    </w:p>
    <w:p w14:paraId="72DDEAFA" w14:textId="44BA42F0" w:rsidR="00F812FC" w:rsidRPr="003E76E7" w:rsidRDefault="00F812FC" w:rsidP="00C4292D">
      <w:pPr>
        <w:spacing w:before="60" w:after="60"/>
        <w:ind w:left="1134" w:hanging="1134"/>
      </w:pPr>
      <w:r w:rsidRPr="003E76E7">
        <w:t>SAR</w:t>
      </w:r>
      <w:r w:rsidRPr="003E76E7">
        <w:tab/>
        <w:t>Search and Rescue</w:t>
      </w:r>
    </w:p>
    <w:p w14:paraId="464532EA" w14:textId="265B7F92" w:rsidR="002B42B9" w:rsidRPr="003E76E7" w:rsidRDefault="002B42B9" w:rsidP="00C4292D">
      <w:pPr>
        <w:spacing w:before="60" w:after="60"/>
        <w:ind w:left="1134" w:hanging="1134"/>
      </w:pPr>
      <w:r w:rsidRPr="003E76E7">
        <w:t>SERCAT</w:t>
      </w:r>
      <w:r w:rsidRPr="003E76E7">
        <w:tab/>
        <w:t>Service Category</w:t>
      </w:r>
      <w:r w:rsidRPr="003E76E7">
        <w:tab/>
      </w:r>
      <w:r w:rsidRPr="003E76E7">
        <w:tab/>
      </w:r>
    </w:p>
    <w:p w14:paraId="2A784485" w14:textId="6713BD93" w:rsidR="002B42B9" w:rsidRPr="003E76E7" w:rsidRDefault="002B42B9" w:rsidP="00C4292D">
      <w:pPr>
        <w:spacing w:before="60" w:after="60"/>
        <w:ind w:left="1134" w:hanging="1134"/>
      </w:pPr>
      <w:r w:rsidRPr="003E76E7">
        <w:t>SES</w:t>
      </w:r>
      <w:r w:rsidRPr="003E76E7">
        <w:tab/>
        <w:t>Senior Executive Service</w:t>
      </w:r>
    </w:p>
    <w:p w14:paraId="30BA6E4F" w14:textId="77777777" w:rsidR="002B42B9" w:rsidRPr="003E76E7" w:rsidRDefault="002B42B9" w:rsidP="00C4292D">
      <w:pPr>
        <w:spacing w:before="60" w:after="60"/>
        <w:ind w:left="1134" w:hanging="1134"/>
      </w:pPr>
      <w:r w:rsidRPr="003E76E7">
        <w:t>SME</w:t>
      </w:r>
      <w:r w:rsidRPr="003E76E7">
        <w:tab/>
        <w:t>Specialist Military Equipment / School of Military Engineering / Small Medium Enterprise</w:t>
      </w:r>
    </w:p>
    <w:p w14:paraId="7B26A795" w14:textId="77777777" w:rsidR="002B42B9" w:rsidRPr="003E76E7" w:rsidRDefault="002B42B9" w:rsidP="00C4292D">
      <w:pPr>
        <w:spacing w:before="60" w:after="60"/>
        <w:ind w:left="1134" w:hanging="1134"/>
      </w:pPr>
      <w:r w:rsidRPr="003E76E7">
        <w:t>SML</w:t>
      </w:r>
      <w:r w:rsidRPr="003E76E7">
        <w:tab/>
        <w:t>Survey Motor Launch</w:t>
      </w:r>
    </w:p>
    <w:p w14:paraId="14F80BFF" w14:textId="62BA4B2C" w:rsidR="002B42B9" w:rsidRPr="003E76E7" w:rsidRDefault="002B42B9" w:rsidP="00C4292D">
      <w:pPr>
        <w:spacing w:before="60" w:after="60"/>
        <w:ind w:left="1134" w:hanging="1134"/>
      </w:pPr>
      <w:r w:rsidRPr="003E76E7">
        <w:t>SPM</w:t>
      </w:r>
      <w:r w:rsidRPr="003E76E7">
        <w:tab/>
        <w:t>Special Public Monies</w:t>
      </w:r>
    </w:p>
    <w:p w14:paraId="1FE2BC71" w14:textId="524B410E" w:rsidR="006A5C8C" w:rsidRPr="003E76E7" w:rsidRDefault="006A5C8C" w:rsidP="00C4292D">
      <w:pPr>
        <w:spacing w:before="60" w:after="60"/>
        <w:ind w:left="1134" w:hanging="1134"/>
      </w:pPr>
      <w:r w:rsidRPr="003E76E7">
        <w:t>SRF</w:t>
      </w:r>
      <w:r w:rsidRPr="003E76E7">
        <w:tab/>
        <w:t>Submarine Rotational Force</w:t>
      </w:r>
    </w:p>
    <w:p w14:paraId="0AF0FBB3" w14:textId="77777777" w:rsidR="002B42B9" w:rsidRPr="003E76E7" w:rsidRDefault="002B42B9" w:rsidP="00C4292D">
      <w:pPr>
        <w:spacing w:before="60" w:after="60"/>
        <w:ind w:left="1134" w:hanging="1134"/>
      </w:pPr>
      <w:r w:rsidRPr="003E76E7">
        <w:t>STEM</w:t>
      </w:r>
      <w:r w:rsidRPr="003E76E7">
        <w:tab/>
        <w:t>Science, Technology, Engineering and Mathematics</w:t>
      </w:r>
    </w:p>
    <w:p w14:paraId="59F4AF22" w14:textId="77777777" w:rsidR="002B42B9" w:rsidRPr="003E76E7" w:rsidRDefault="002B42B9" w:rsidP="00C4292D">
      <w:pPr>
        <w:pStyle w:val="HeadingRunIn"/>
        <w:keepNext w:val="0"/>
        <w:tabs>
          <w:tab w:val="left" w:pos="280"/>
        </w:tabs>
        <w:spacing w:after="60" w:line="240" w:lineRule="auto"/>
        <w:rPr>
          <w:rFonts w:ascii="Arial" w:hAnsi="Arial" w:cs="Arial"/>
          <w:smallCaps/>
          <w:color w:val="auto"/>
          <w:w w:val="100"/>
          <w:sz w:val="26"/>
          <w:szCs w:val="26"/>
          <w:lang w:val="en-AU"/>
        </w:rPr>
      </w:pPr>
      <w:r w:rsidRPr="003E76E7">
        <w:rPr>
          <w:rFonts w:ascii="Arial" w:hAnsi="Arial" w:cs="Arial"/>
          <w:smallCaps/>
          <w:color w:val="auto"/>
          <w:w w:val="100"/>
          <w:sz w:val="26"/>
          <w:szCs w:val="26"/>
          <w:lang w:val="en-AU"/>
        </w:rPr>
        <w:t>T</w:t>
      </w:r>
    </w:p>
    <w:p w14:paraId="1AEF9288" w14:textId="77777777" w:rsidR="002B42B9" w:rsidRPr="003E76E7" w:rsidRDefault="002B42B9" w:rsidP="00C4292D">
      <w:pPr>
        <w:spacing w:before="60" w:after="60"/>
        <w:ind w:left="1134" w:hanging="1134"/>
      </w:pPr>
      <w:r w:rsidRPr="003E76E7">
        <w:t>TAS</w:t>
      </w:r>
      <w:r w:rsidRPr="003E76E7">
        <w:tab/>
        <w:t>Trusted Autonomous Systems / Tasmania</w:t>
      </w:r>
    </w:p>
    <w:p w14:paraId="73D52373" w14:textId="77777777" w:rsidR="002B42B9" w:rsidRPr="003E76E7" w:rsidRDefault="002B42B9" w:rsidP="00C4292D">
      <w:pPr>
        <w:pStyle w:val="HeadingRunIn"/>
        <w:keepNext w:val="0"/>
        <w:tabs>
          <w:tab w:val="left" w:pos="280"/>
        </w:tabs>
        <w:spacing w:after="60" w:line="240" w:lineRule="auto"/>
        <w:rPr>
          <w:rFonts w:ascii="Arial" w:hAnsi="Arial" w:cs="Arial"/>
          <w:smallCaps/>
          <w:color w:val="auto"/>
          <w:w w:val="100"/>
          <w:sz w:val="26"/>
          <w:szCs w:val="26"/>
          <w:lang w:val="en-AU"/>
        </w:rPr>
      </w:pPr>
      <w:r w:rsidRPr="003E76E7">
        <w:rPr>
          <w:rFonts w:ascii="Arial" w:hAnsi="Arial" w:cs="Arial"/>
          <w:smallCaps/>
          <w:color w:val="auto"/>
          <w:w w:val="100"/>
          <w:sz w:val="26"/>
          <w:szCs w:val="26"/>
          <w:lang w:val="en-AU"/>
        </w:rPr>
        <w:t>U</w:t>
      </w:r>
    </w:p>
    <w:p w14:paraId="52BDEDE2" w14:textId="329D71A5" w:rsidR="002B42B9" w:rsidRPr="003E76E7" w:rsidRDefault="002B42B9" w:rsidP="00C4292D">
      <w:pPr>
        <w:spacing w:before="60" w:after="60"/>
        <w:ind w:left="1134" w:hanging="1134"/>
      </w:pPr>
      <w:r w:rsidRPr="003E76E7">
        <w:t>UAD</w:t>
      </w:r>
      <w:r w:rsidRPr="003E76E7">
        <w:tab/>
        <w:t>Unit Availability Days</w:t>
      </w:r>
    </w:p>
    <w:p w14:paraId="5D1D9BE9" w14:textId="29B7AF64" w:rsidR="00683912" w:rsidRPr="003E76E7" w:rsidRDefault="00683912" w:rsidP="00C4292D">
      <w:pPr>
        <w:spacing w:before="60" w:after="60"/>
        <w:ind w:left="1134" w:hanging="1134"/>
      </w:pPr>
      <w:r w:rsidRPr="003E76E7">
        <w:t>UK</w:t>
      </w:r>
      <w:r w:rsidRPr="003E76E7">
        <w:tab/>
        <w:t>United Kingdom</w:t>
      </w:r>
    </w:p>
    <w:p w14:paraId="5B5BE1B9" w14:textId="77777777" w:rsidR="002B42B9" w:rsidRPr="003E76E7" w:rsidRDefault="002B42B9" w:rsidP="00C4292D">
      <w:pPr>
        <w:tabs>
          <w:tab w:val="left" w:pos="567"/>
          <w:tab w:val="left" w:pos="1134"/>
        </w:tabs>
      </w:pPr>
      <w:r w:rsidRPr="003E76E7">
        <w:rPr>
          <w:lang w:val="en-AU"/>
        </w:rPr>
        <w:t>UNDOF</w:t>
      </w:r>
      <w:r w:rsidRPr="003E76E7">
        <w:rPr>
          <w:lang w:val="en-AU"/>
        </w:rPr>
        <w:tab/>
      </w:r>
      <w:r w:rsidRPr="003E76E7">
        <w:rPr>
          <w:lang w:val="en-AU"/>
        </w:rPr>
        <w:tab/>
      </w:r>
      <w:r w:rsidRPr="003E76E7">
        <w:rPr>
          <w:lang w:val="en-AU"/>
        </w:rPr>
        <w:tab/>
      </w:r>
      <w:r w:rsidRPr="003E76E7">
        <w:rPr>
          <w:lang w:val="en-AU"/>
        </w:rPr>
        <w:tab/>
      </w:r>
      <w:r w:rsidRPr="003E76E7">
        <w:rPr>
          <w:lang w:val="en-AU"/>
        </w:rPr>
        <w:tab/>
      </w:r>
      <w:r w:rsidRPr="003E76E7">
        <w:rPr>
          <w:lang w:val="en-AU"/>
        </w:rPr>
        <w:tab/>
      </w:r>
      <w:r w:rsidRPr="003E76E7">
        <w:rPr>
          <w:lang w:val="en-AU"/>
        </w:rPr>
        <w:tab/>
      </w:r>
      <w:r w:rsidRPr="003E76E7">
        <w:rPr>
          <w:lang w:val="en-AU"/>
        </w:rPr>
        <w:tab/>
        <w:t>United Nations Disengagement Observer Force</w:t>
      </w:r>
    </w:p>
    <w:p w14:paraId="6EEF6240" w14:textId="77777777" w:rsidR="002B42B9" w:rsidRPr="003E76E7" w:rsidRDefault="002B42B9" w:rsidP="00C4292D">
      <w:pPr>
        <w:pStyle w:val="HeadingRunIn"/>
        <w:keepNext w:val="0"/>
        <w:tabs>
          <w:tab w:val="left" w:pos="1120"/>
        </w:tabs>
        <w:suppressAutoHyphens/>
        <w:spacing w:before="60" w:after="60"/>
        <w:ind w:left="1120" w:hanging="1120"/>
        <w:rPr>
          <w:rFonts w:ascii="Book Antiqua" w:hAnsi="Book Antiqua" w:cs="Book Antiqua"/>
          <w:b w:val="0"/>
          <w:bCs w:val="0"/>
          <w:color w:val="auto"/>
          <w:w w:val="100"/>
          <w:sz w:val="20"/>
          <w:szCs w:val="20"/>
        </w:rPr>
      </w:pPr>
      <w:r w:rsidRPr="003E76E7">
        <w:rPr>
          <w:rFonts w:ascii="Book Antiqua" w:hAnsi="Book Antiqua" w:cs="Book Antiqua"/>
          <w:b w:val="0"/>
          <w:bCs w:val="0"/>
          <w:color w:val="auto"/>
          <w:w w:val="100"/>
          <w:sz w:val="20"/>
          <w:szCs w:val="20"/>
        </w:rPr>
        <w:t>UNSCR</w:t>
      </w:r>
      <w:r w:rsidRPr="003E76E7">
        <w:rPr>
          <w:rFonts w:ascii="Book Antiqua" w:hAnsi="Book Antiqua" w:cs="Book Antiqua"/>
          <w:b w:val="0"/>
          <w:bCs w:val="0"/>
          <w:color w:val="auto"/>
          <w:w w:val="100"/>
          <w:sz w:val="20"/>
          <w:szCs w:val="20"/>
        </w:rPr>
        <w:tab/>
        <w:t>United Nations Security Council Resolutions</w:t>
      </w:r>
    </w:p>
    <w:p w14:paraId="70992E9A" w14:textId="77777777" w:rsidR="002B42B9" w:rsidRPr="003E76E7" w:rsidRDefault="002B42B9" w:rsidP="00C4292D">
      <w:pPr>
        <w:pStyle w:val="HeadingRunIn"/>
        <w:keepNext w:val="0"/>
        <w:tabs>
          <w:tab w:val="left" w:pos="1120"/>
        </w:tabs>
        <w:suppressAutoHyphens/>
        <w:spacing w:before="60" w:after="60"/>
        <w:ind w:left="1120" w:hanging="1120"/>
        <w:rPr>
          <w:rFonts w:ascii="Book Antiqua" w:hAnsi="Book Antiqua" w:cs="Book Antiqua"/>
          <w:b w:val="0"/>
          <w:bCs w:val="0"/>
          <w:color w:val="auto"/>
          <w:w w:val="100"/>
          <w:sz w:val="20"/>
          <w:szCs w:val="20"/>
        </w:rPr>
      </w:pPr>
      <w:r w:rsidRPr="003E76E7">
        <w:rPr>
          <w:rFonts w:ascii="Book Antiqua" w:hAnsi="Book Antiqua" w:cs="Book Antiqua"/>
          <w:b w:val="0"/>
          <w:bCs w:val="0"/>
          <w:color w:val="auto"/>
          <w:w w:val="100"/>
          <w:sz w:val="20"/>
          <w:szCs w:val="20"/>
        </w:rPr>
        <w:t>US</w:t>
      </w:r>
      <w:r w:rsidRPr="003E76E7">
        <w:rPr>
          <w:rFonts w:ascii="Book Antiqua" w:hAnsi="Book Antiqua" w:cs="Book Antiqua"/>
          <w:b w:val="0"/>
          <w:bCs w:val="0"/>
          <w:color w:val="auto"/>
          <w:w w:val="100"/>
          <w:sz w:val="20"/>
          <w:szCs w:val="20"/>
        </w:rPr>
        <w:tab/>
        <w:t>United States</w:t>
      </w:r>
    </w:p>
    <w:p w14:paraId="776AB3A4" w14:textId="5A3260FD" w:rsidR="00992C17" w:rsidRPr="003E76E7" w:rsidRDefault="002B42B9" w:rsidP="00C4292D">
      <w:pPr>
        <w:pStyle w:val="HeadingRunIn"/>
        <w:keepNext w:val="0"/>
        <w:tabs>
          <w:tab w:val="left" w:pos="1120"/>
        </w:tabs>
        <w:suppressAutoHyphens/>
        <w:spacing w:before="60" w:after="60"/>
        <w:ind w:left="1120" w:hanging="1120"/>
        <w:rPr>
          <w:rFonts w:ascii="Book Antiqua" w:hAnsi="Book Antiqua" w:cs="Book Antiqua"/>
          <w:b w:val="0"/>
          <w:bCs w:val="0"/>
          <w:color w:val="auto"/>
          <w:w w:val="100"/>
          <w:sz w:val="20"/>
          <w:szCs w:val="20"/>
        </w:rPr>
      </w:pPr>
      <w:r w:rsidRPr="003E76E7">
        <w:rPr>
          <w:rFonts w:ascii="Book Antiqua" w:hAnsi="Book Antiqua" w:cs="Book Antiqua"/>
          <w:b w:val="0"/>
          <w:bCs w:val="0"/>
          <w:color w:val="auto"/>
          <w:w w:val="100"/>
          <w:sz w:val="20"/>
          <w:szCs w:val="20"/>
        </w:rPr>
        <w:t>USFPI</w:t>
      </w:r>
      <w:r w:rsidRPr="003E76E7">
        <w:rPr>
          <w:rFonts w:ascii="Book Antiqua" w:hAnsi="Book Antiqua" w:cs="Book Antiqua"/>
          <w:b w:val="0"/>
          <w:bCs w:val="0"/>
          <w:color w:val="auto"/>
          <w:w w:val="100"/>
          <w:sz w:val="20"/>
          <w:szCs w:val="20"/>
        </w:rPr>
        <w:tab/>
        <w:t>United States Force Posture Initiatives</w:t>
      </w:r>
    </w:p>
    <w:p w14:paraId="59BFA4A6" w14:textId="30C3EB88" w:rsidR="00992C17" w:rsidRPr="003E76E7" w:rsidRDefault="00992C17" w:rsidP="00C4292D">
      <w:pPr>
        <w:pStyle w:val="HeadingRunIn"/>
        <w:keepNext w:val="0"/>
        <w:tabs>
          <w:tab w:val="left" w:pos="280"/>
        </w:tabs>
        <w:spacing w:after="60" w:line="240" w:lineRule="auto"/>
        <w:rPr>
          <w:rFonts w:ascii="Arial" w:hAnsi="Arial" w:cs="Arial"/>
          <w:smallCaps/>
          <w:color w:val="auto"/>
          <w:w w:val="100"/>
          <w:sz w:val="26"/>
          <w:szCs w:val="26"/>
          <w:lang w:val="en-AU"/>
        </w:rPr>
      </w:pPr>
      <w:r w:rsidRPr="003E76E7">
        <w:rPr>
          <w:rFonts w:ascii="Arial" w:hAnsi="Arial" w:cs="Arial"/>
          <w:smallCaps/>
          <w:color w:val="auto"/>
          <w:w w:val="100"/>
          <w:sz w:val="26"/>
          <w:szCs w:val="26"/>
          <w:lang w:val="en-AU"/>
        </w:rPr>
        <w:t>V</w:t>
      </w:r>
    </w:p>
    <w:p w14:paraId="221E3EBE" w14:textId="41F39004" w:rsidR="00992C17" w:rsidRPr="003E76E7" w:rsidRDefault="00992C17" w:rsidP="00C4292D">
      <w:pPr>
        <w:pStyle w:val="HeadingRunIn"/>
        <w:keepNext w:val="0"/>
        <w:tabs>
          <w:tab w:val="left" w:pos="1120"/>
        </w:tabs>
        <w:suppressAutoHyphens/>
        <w:spacing w:before="60" w:after="60"/>
        <w:ind w:left="1120" w:hanging="1120"/>
        <w:rPr>
          <w:rFonts w:ascii="Book Antiqua" w:hAnsi="Book Antiqua" w:cs="Book Antiqua"/>
          <w:b w:val="0"/>
          <w:bCs w:val="0"/>
          <w:color w:val="auto"/>
          <w:w w:val="100"/>
          <w:sz w:val="20"/>
          <w:szCs w:val="20"/>
        </w:rPr>
      </w:pPr>
      <w:r w:rsidRPr="003E76E7">
        <w:rPr>
          <w:rFonts w:ascii="Book Antiqua" w:hAnsi="Book Antiqua" w:cs="Book Antiqua"/>
          <w:b w:val="0"/>
          <w:bCs w:val="0"/>
          <w:color w:val="auto"/>
          <w:w w:val="100"/>
          <w:sz w:val="20"/>
          <w:szCs w:val="20"/>
        </w:rPr>
        <w:t>VIC</w:t>
      </w:r>
      <w:r w:rsidRPr="003E76E7">
        <w:rPr>
          <w:rFonts w:ascii="Book Antiqua" w:hAnsi="Book Antiqua" w:cs="Book Antiqua"/>
          <w:b w:val="0"/>
          <w:bCs w:val="0"/>
          <w:color w:val="auto"/>
          <w:w w:val="100"/>
          <w:sz w:val="20"/>
          <w:szCs w:val="20"/>
        </w:rPr>
        <w:tab/>
        <w:t>Victoria</w:t>
      </w:r>
    </w:p>
    <w:p w14:paraId="0B2DB68B" w14:textId="60CCF10C" w:rsidR="00992C17" w:rsidRPr="003E76E7" w:rsidRDefault="00992C17" w:rsidP="00C4292D">
      <w:pPr>
        <w:pStyle w:val="HeadingRunIn"/>
        <w:keepNext w:val="0"/>
        <w:tabs>
          <w:tab w:val="left" w:pos="280"/>
        </w:tabs>
        <w:spacing w:after="60" w:line="240" w:lineRule="auto"/>
        <w:rPr>
          <w:rFonts w:ascii="Arial" w:hAnsi="Arial" w:cs="Arial"/>
          <w:smallCaps/>
          <w:color w:val="auto"/>
          <w:w w:val="100"/>
          <w:sz w:val="26"/>
          <w:szCs w:val="26"/>
          <w:lang w:val="en-AU"/>
        </w:rPr>
      </w:pPr>
      <w:r w:rsidRPr="003E76E7">
        <w:rPr>
          <w:rFonts w:ascii="Arial" w:hAnsi="Arial" w:cs="Arial"/>
          <w:smallCaps/>
          <w:color w:val="auto"/>
          <w:w w:val="100"/>
          <w:sz w:val="26"/>
          <w:szCs w:val="26"/>
          <w:lang w:val="en-AU"/>
        </w:rPr>
        <w:lastRenderedPageBreak/>
        <w:t>W</w:t>
      </w:r>
    </w:p>
    <w:p w14:paraId="23109652" w14:textId="39705D7E" w:rsidR="006D184D" w:rsidRDefault="00992C17" w:rsidP="00C4292D">
      <w:pPr>
        <w:spacing w:before="60" w:after="60"/>
        <w:ind w:left="1134" w:hanging="1134"/>
      </w:pPr>
      <w:r w:rsidRPr="003E76E7">
        <w:t>WA</w:t>
      </w:r>
      <w:r w:rsidRPr="003E76E7">
        <w:tab/>
        <w:t>Western Australia</w:t>
      </w:r>
    </w:p>
    <w:p w14:paraId="26BF7BC6" w14:textId="77777777" w:rsidR="006D184D" w:rsidRDefault="006D184D">
      <w:pPr>
        <w:spacing w:before="0" w:after="0"/>
      </w:pPr>
      <w:r>
        <w:br w:type="page"/>
      </w:r>
    </w:p>
    <w:p w14:paraId="726B6ADA" w14:textId="77777777" w:rsidR="006D184D" w:rsidRPr="003E76E7" w:rsidRDefault="006D184D" w:rsidP="006D184D">
      <w:pPr>
        <w:ind w:left="2" w:firstLine="1"/>
        <w:jc w:val="center"/>
        <w:rPr>
          <w:lang w:val="en-AU"/>
        </w:rPr>
      </w:pPr>
    </w:p>
    <w:p w14:paraId="1DEF2A54" w14:textId="77777777" w:rsidR="006D184D" w:rsidRPr="003E76E7" w:rsidRDefault="006D184D" w:rsidP="006D184D">
      <w:pPr>
        <w:ind w:left="2" w:firstLine="1"/>
        <w:jc w:val="center"/>
        <w:rPr>
          <w:lang w:val="en-AU"/>
        </w:rPr>
      </w:pPr>
    </w:p>
    <w:p w14:paraId="7B37992D" w14:textId="77777777" w:rsidR="006D184D" w:rsidRPr="003E76E7" w:rsidRDefault="006D184D" w:rsidP="006D184D">
      <w:pPr>
        <w:ind w:left="2" w:firstLine="1"/>
        <w:jc w:val="center"/>
        <w:rPr>
          <w:lang w:val="en-AU"/>
        </w:rPr>
      </w:pPr>
    </w:p>
    <w:p w14:paraId="1EFC4A30" w14:textId="77777777" w:rsidR="006D184D" w:rsidRPr="003E76E7" w:rsidRDefault="006D184D" w:rsidP="006D184D">
      <w:pPr>
        <w:ind w:left="2" w:firstLine="1"/>
        <w:jc w:val="center"/>
        <w:rPr>
          <w:lang w:val="en-AU"/>
        </w:rPr>
      </w:pPr>
    </w:p>
    <w:p w14:paraId="4FB6CA36" w14:textId="77777777" w:rsidR="006D184D" w:rsidRPr="003E76E7" w:rsidRDefault="006D184D" w:rsidP="006D184D">
      <w:pPr>
        <w:ind w:left="2" w:firstLine="1"/>
        <w:jc w:val="center"/>
        <w:rPr>
          <w:lang w:val="en-AU"/>
        </w:rPr>
      </w:pPr>
    </w:p>
    <w:p w14:paraId="32784AFE" w14:textId="77777777" w:rsidR="006D184D" w:rsidRPr="003E76E7" w:rsidRDefault="006D184D" w:rsidP="006D184D">
      <w:pPr>
        <w:ind w:left="2" w:firstLine="1"/>
        <w:jc w:val="center"/>
        <w:rPr>
          <w:lang w:val="en-AU"/>
        </w:rPr>
      </w:pPr>
    </w:p>
    <w:p w14:paraId="4BE1AFCA" w14:textId="77777777" w:rsidR="006D184D" w:rsidRPr="003E76E7" w:rsidRDefault="006D184D" w:rsidP="006D184D">
      <w:pPr>
        <w:ind w:left="2" w:firstLine="1"/>
        <w:jc w:val="center"/>
        <w:rPr>
          <w:lang w:val="en-AU"/>
        </w:rPr>
      </w:pPr>
    </w:p>
    <w:p w14:paraId="2C21B718" w14:textId="77777777" w:rsidR="006D184D" w:rsidRPr="003E76E7" w:rsidRDefault="006D184D" w:rsidP="006D184D">
      <w:pPr>
        <w:ind w:left="2" w:firstLine="1"/>
        <w:jc w:val="center"/>
        <w:rPr>
          <w:lang w:val="en-AU"/>
        </w:rPr>
      </w:pPr>
    </w:p>
    <w:p w14:paraId="2479DDFA" w14:textId="77777777" w:rsidR="006D184D" w:rsidRPr="003E76E7" w:rsidRDefault="006D184D" w:rsidP="006D184D">
      <w:pPr>
        <w:ind w:left="2" w:firstLine="1"/>
        <w:jc w:val="center"/>
        <w:rPr>
          <w:lang w:val="en-AU"/>
        </w:rPr>
      </w:pPr>
    </w:p>
    <w:p w14:paraId="72457385" w14:textId="77777777" w:rsidR="006D184D" w:rsidRPr="003E76E7" w:rsidRDefault="006D184D" w:rsidP="006D184D">
      <w:pPr>
        <w:ind w:left="2" w:firstLine="1"/>
        <w:jc w:val="center"/>
        <w:rPr>
          <w:lang w:val="en-AU"/>
        </w:rPr>
      </w:pPr>
    </w:p>
    <w:p w14:paraId="6D6D9BE4" w14:textId="77777777" w:rsidR="006D184D" w:rsidRPr="003E76E7" w:rsidRDefault="006D184D" w:rsidP="006D184D">
      <w:pPr>
        <w:ind w:left="2" w:firstLine="1"/>
        <w:jc w:val="center"/>
        <w:rPr>
          <w:lang w:val="en-AU"/>
        </w:rPr>
      </w:pPr>
    </w:p>
    <w:p w14:paraId="21026D4B" w14:textId="77777777" w:rsidR="006D184D" w:rsidRPr="003E76E7" w:rsidRDefault="006D184D" w:rsidP="006D184D">
      <w:pPr>
        <w:ind w:left="2" w:firstLine="1"/>
        <w:jc w:val="center"/>
        <w:rPr>
          <w:lang w:val="en-AU"/>
        </w:rPr>
      </w:pPr>
    </w:p>
    <w:p w14:paraId="7527ACA3" w14:textId="77777777" w:rsidR="006D184D" w:rsidRPr="003E76E7" w:rsidRDefault="006D184D" w:rsidP="006D184D">
      <w:pPr>
        <w:ind w:left="2" w:firstLine="1"/>
        <w:jc w:val="center"/>
        <w:rPr>
          <w:lang w:val="en-AU"/>
        </w:rPr>
      </w:pPr>
    </w:p>
    <w:p w14:paraId="0E16D39E" w14:textId="77777777" w:rsidR="006D184D" w:rsidRPr="003E76E7" w:rsidRDefault="006D184D" w:rsidP="006D184D">
      <w:pPr>
        <w:ind w:left="2" w:firstLine="1"/>
        <w:jc w:val="center"/>
        <w:rPr>
          <w:lang w:val="en-AU"/>
        </w:rPr>
      </w:pPr>
    </w:p>
    <w:p w14:paraId="1CC1052E" w14:textId="77777777" w:rsidR="006D184D" w:rsidRPr="003E76E7" w:rsidRDefault="006D184D" w:rsidP="006D184D">
      <w:pPr>
        <w:ind w:left="2" w:firstLine="1"/>
        <w:jc w:val="center"/>
        <w:rPr>
          <w:lang w:val="en-AU"/>
        </w:rPr>
      </w:pPr>
      <w:r w:rsidRPr="003E76E7">
        <w:rPr>
          <w:lang w:val="en-AU"/>
        </w:rPr>
        <w:t>This page intentionally left blank.</w:t>
      </w:r>
    </w:p>
    <w:p w14:paraId="7907C07C" w14:textId="77777777" w:rsidR="00992C17" w:rsidRPr="0057211C" w:rsidRDefault="00992C17" w:rsidP="00C4292D">
      <w:pPr>
        <w:spacing w:before="60" w:after="60"/>
        <w:ind w:left="1134" w:hanging="1134"/>
      </w:pPr>
      <w:bookmarkStart w:id="2561" w:name="_GoBack"/>
      <w:bookmarkEnd w:id="2561"/>
    </w:p>
    <w:sectPr w:rsidR="00992C17" w:rsidRPr="0057211C" w:rsidSect="00FF46AE">
      <w:headerReference w:type="even" r:id="rId228"/>
      <w:headerReference w:type="default" r:id="rId229"/>
      <w:footerReference w:type="even" r:id="rId230"/>
      <w:footerReference w:type="default" r:id="rId231"/>
      <w:headerReference w:type="first" r:id="rId232"/>
      <w:pgSz w:w="11907" w:h="16840" w:code="9"/>
      <w:pgMar w:top="1701" w:right="1361" w:bottom="1701" w:left="1928"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73811C" w14:textId="77777777" w:rsidR="00AD70C0" w:rsidRDefault="00AD70C0">
      <w:r>
        <w:separator/>
      </w:r>
    </w:p>
  </w:endnote>
  <w:endnote w:type="continuationSeparator" w:id="0">
    <w:p w14:paraId="3C3BF20A" w14:textId="77777777" w:rsidR="00AD70C0" w:rsidRDefault="00AD70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9999999">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MetaNormalLF-Roman">
    <w:altName w:val="MetaNormalLF-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PalatinoLinotype-Roman">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CIDFont+F1">
    <w:panose1 w:val="00000000000000000000"/>
    <w:charset w:val="00"/>
    <w:family w:val="auto"/>
    <w:notTrueType/>
    <w:pitch w:val="default"/>
    <w:sig w:usb0="00000003" w:usb1="00000000" w:usb2="00000000" w:usb3="00000000" w:csb0="00000001" w:csb1="00000000"/>
  </w:font>
  <w:font w:name="BookAntiqua">
    <w:panose1 w:val="00000000000000000000"/>
    <w:charset w:val="00"/>
    <w:family w:val="roman"/>
    <w:notTrueType/>
    <w:pitch w:val="default"/>
    <w:sig w:usb0="00000003" w:usb1="00000000"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306E95" w14:textId="77777777" w:rsidR="00CA309D" w:rsidRDefault="00CA309D" w:rsidP="007E7D35"/>
  <w:p w14:paraId="324BCF5F" w14:textId="1DBABDA3" w:rsidR="00CA309D" w:rsidRPr="000E1A17" w:rsidRDefault="00CA309D" w:rsidP="000E1A17">
    <w:pPr>
      <w:pStyle w:val="FooterOdd"/>
      <w:jc w:val="left"/>
      <w:rPr>
        <w:b/>
      </w:rPr>
    </w:pPr>
    <w:r w:rsidRPr="0066112F">
      <w:rPr>
        <w:rStyle w:val="PageNumber"/>
        <w:b/>
        <w:bCs/>
      </w:rPr>
      <w:t xml:space="preserve">Page </w:t>
    </w:r>
    <w:r>
      <w:rPr>
        <w:rStyle w:val="PageNumber"/>
        <w:b/>
        <w:bCs/>
      </w:rPr>
      <w:fldChar w:fldCharType="begin"/>
    </w:r>
    <w:r>
      <w:rPr>
        <w:rStyle w:val="PageNumber"/>
        <w:b/>
        <w:bCs/>
      </w:rPr>
      <w:instrText xml:space="preserve"> PAGE  \* roman </w:instrText>
    </w:r>
    <w:r>
      <w:rPr>
        <w:rStyle w:val="PageNumber"/>
        <w:b/>
        <w:bCs/>
      </w:rPr>
      <w:fldChar w:fldCharType="separate"/>
    </w:r>
    <w:r w:rsidR="00CE69B0">
      <w:rPr>
        <w:rStyle w:val="PageNumber"/>
        <w:b/>
        <w:bCs/>
        <w:noProof/>
      </w:rPr>
      <w:t>iv</w:t>
    </w:r>
    <w:r>
      <w:rPr>
        <w:rStyle w:val="PageNumber"/>
        <w:b/>
        <w:bCs/>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CA4BF" w14:textId="6C8C39BC" w:rsidR="00CA309D" w:rsidRPr="00787DB2" w:rsidRDefault="00CA309D" w:rsidP="00A211F5">
    <w:pPr>
      <w:pStyle w:val="FooterEven"/>
      <w:rPr>
        <w:rStyle w:val="PageNumber"/>
        <w:b/>
        <w:szCs w:val="18"/>
      </w:rPr>
    </w:pPr>
    <w:r w:rsidRPr="003E174E">
      <w:rPr>
        <w:rStyle w:val="PageNumber"/>
        <w:b/>
      </w:rPr>
      <w:t>Page</w:t>
    </w:r>
    <w:r w:rsidRPr="00787DB2">
      <w:rPr>
        <w:rStyle w:val="PageNumber"/>
        <w:b/>
        <w:szCs w:val="18"/>
      </w:rPr>
      <w:t xml:space="preserve"> </w:t>
    </w:r>
    <w:r w:rsidRPr="00787DB2">
      <w:rPr>
        <w:rStyle w:val="PageNumber"/>
        <w:b/>
        <w:szCs w:val="18"/>
      </w:rPr>
      <w:fldChar w:fldCharType="begin"/>
    </w:r>
    <w:r w:rsidRPr="00787DB2">
      <w:rPr>
        <w:rStyle w:val="PageNumber"/>
        <w:b/>
        <w:szCs w:val="18"/>
      </w:rPr>
      <w:instrText xml:space="preserve">PAGE  </w:instrText>
    </w:r>
    <w:r w:rsidRPr="00787DB2">
      <w:rPr>
        <w:rStyle w:val="PageNumber"/>
        <w:b/>
        <w:szCs w:val="18"/>
      </w:rPr>
      <w:fldChar w:fldCharType="separate"/>
    </w:r>
    <w:r w:rsidR="00CE69B0">
      <w:rPr>
        <w:rStyle w:val="PageNumber"/>
        <w:b/>
        <w:noProof/>
        <w:szCs w:val="18"/>
      </w:rPr>
      <w:t>xii</w:t>
    </w:r>
    <w:r w:rsidRPr="00787DB2">
      <w:rPr>
        <w:rStyle w:val="PageNumber"/>
        <w:b/>
        <w:szCs w:val="18"/>
      </w:rPr>
      <w:fldChar w:fldCharType="end"/>
    </w:r>
    <w:r w:rsidRPr="001D6B09">
      <w:rPr>
        <w:rStyle w:val="PageNumber"/>
        <w:szCs w:val="18"/>
      </w:rPr>
      <w:t xml:space="preserve"> |</w:t>
    </w:r>
    <w:r w:rsidRPr="004268EE">
      <w:rPr>
        <w:rStyle w:val="PageNumber"/>
        <w:szCs w:val="18"/>
      </w:rPr>
      <w:t xml:space="preserve"> </w:t>
    </w:r>
    <w:r>
      <w:rPr>
        <w:rStyle w:val="PageNumber"/>
        <w:szCs w:val="18"/>
      </w:rPr>
      <w:t>Table of Contents</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BC6417" w14:textId="1380B5EA" w:rsidR="00CA309D" w:rsidRPr="00A211F5" w:rsidRDefault="00CA309D" w:rsidP="00A211F5">
    <w:pPr>
      <w:pStyle w:val="FooterEven"/>
      <w:jc w:val="right"/>
      <w:rPr>
        <w:rStyle w:val="PageNumber"/>
      </w:rPr>
    </w:pPr>
    <w:r w:rsidRPr="00A211F5">
      <w:rPr>
        <w:rStyle w:val="PageNumber"/>
      </w:rPr>
      <w:t xml:space="preserve">Table of Contents | Page </w:t>
    </w:r>
    <w:r w:rsidRPr="00A211F5">
      <w:rPr>
        <w:rStyle w:val="PageNumber"/>
      </w:rPr>
      <w:fldChar w:fldCharType="begin"/>
    </w:r>
    <w:r w:rsidRPr="00A211F5">
      <w:rPr>
        <w:rStyle w:val="PageNumber"/>
      </w:rPr>
      <w:instrText xml:space="preserve"> PAGE   \* MERGEFORMAT </w:instrText>
    </w:r>
    <w:r w:rsidRPr="00A211F5">
      <w:rPr>
        <w:rStyle w:val="PageNumber"/>
      </w:rPr>
      <w:fldChar w:fldCharType="separate"/>
    </w:r>
    <w:r w:rsidR="00CE69B0" w:rsidRPr="00CE69B0">
      <w:rPr>
        <w:rStyle w:val="PageNumber"/>
        <w:b/>
        <w:noProof/>
      </w:rPr>
      <w:t>xi</w:t>
    </w:r>
    <w:r w:rsidRPr="00A211F5">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11135F" w14:textId="2BFD1426" w:rsidR="00CA309D" w:rsidRPr="00673DF1" w:rsidRDefault="00CA309D" w:rsidP="00A211F5">
    <w:pPr>
      <w:pStyle w:val="FooterEven"/>
      <w:rPr>
        <w:b/>
        <w:szCs w:val="18"/>
      </w:rPr>
    </w:pPr>
    <w:r w:rsidRPr="00787DB2">
      <w:rPr>
        <w:rStyle w:val="PageNumber"/>
        <w:b/>
        <w:szCs w:val="18"/>
      </w:rPr>
      <w:t xml:space="preserve">Page </w:t>
    </w:r>
    <w:r w:rsidRPr="00787DB2">
      <w:rPr>
        <w:rStyle w:val="PageNumber"/>
        <w:b/>
        <w:szCs w:val="18"/>
      </w:rPr>
      <w:fldChar w:fldCharType="begin"/>
    </w:r>
    <w:r w:rsidRPr="00787DB2">
      <w:rPr>
        <w:rStyle w:val="PageNumber"/>
        <w:b/>
        <w:szCs w:val="18"/>
      </w:rPr>
      <w:instrText xml:space="preserve">PAGE  </w:instrText>
    </w:r>
    <w:r w:rsidRPr="00787DB2">
      <w:rPr>
        <w:rStyle w:val="PageNumber"/>
        <w:b/>
        <w:szCs w:val="18"/>
      </w:rPr>
      <w:fldChar w:fldCharType="separate"/>
    </w:r>
    <w:r w:rsidR="00CE69B0">
      <w:rPr>
        <w:rStyle w:val="PageNumber"/>
        <w:b/>
        <w:noProof/>
        <w:szCs w:val="18"/>
      </w:rPr>
      <w:t>8</w:t>
    </w:r>
    <w:r w:rsidRPr="00787DB2">
      <w:rPr>
        <w:rStyle w:val="PageNumber"/>
        <w:b/>
        <w:szCs w:val="18"/>
      </w:rPr>
      <w:fldChar w:fldCharType="end"/>
    </w:r>
    <w:r w:rsidRPr="001D6B09">
      <w:rPr>
        <w:rStyle w:val="PageNumber"/>
        <w:szCs w:val="18"/>
      </w:rPr>
      <w:t xml:space="preserve"> |</w:t>
    </w:r>
    <w:r w:rsidRPr="004268EE">
      <w:rPr>
        <w:rStyle w:val="PageNumber"/>
        <w:szCs w:val="18"/>
      </w:rPr>
      <w:t xml:space="preserve"> </w:t>
    </w:r>
    <w:r>
      <w:rPr>
        <w:rStyle w:val="PageNumber"/>
        <w:szCs w:val="18"/>
      </w:rPr>
      <w:t>Portfolio Overview</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8E3D75" w14:textId="39ECC0FE" w:rsidR="00CA309D" w:rsidRPr="00673DF1" w:rsidRDefault="00CA309D" w:rsidP="00A211F5">
    <w:pPr>
      <w:pStyle w:val="FooterEven"/>
      <w:jc w:val="right"/>
      <w:rPr>
        <w:szCs w:val="18"/>
      </w:rPr>
    </w:pPr>
    <w:r w:rsidRPr="006E0B00">
      <w:rPr>
        <w:rStyle w:val="PageNumber"/>
        <w:szCs w:val="18"/>
      </w:rPr>
      <w:t xml:space="preserve">Portfolio </w:t>
    </w:r>
    <w:r w:rsidRPr="003E174E">
      <w:rPr>
        <w:rStyle w:val="PageNumber"/>
      </w:rPr>
      <w:t>Overview</w:t>
    </w:r>
    <w:r w:rsidRPr="006E0B00">
      <w:rPr>
        <w:rStyle w:val="PageNumber"/>
        <w:szCs w:val="18"/>
      </w:rPr>
      <w:t xml:space="preserve"> | </w:t>
    </w:r>
    <w:r w:rsidRPr="006E0B00">
      <w:rPr>
        <w:rStyle w:val="PageNumber"/>
        <w:b/>
        <w:szCs w:val="18"/>
      </w:rPr>
      <w:t xml:space="preserve">Page </w:t>
    </w:r>
    <w:r w:rsidRPr="006E0B00">
      <w:rPr>
        <w:rStyle w:val="PageNumber"/>
        <w:b/>
        <w:szCs w:val="18"/>
      </w:rPr>
      <w:fldChar w:fldCharType="begin"/>
    </w:r>
    <w:r w:rsidRPr="006E0B00">
      <w:rPr>
        <w:rStyle w:val="PageNumber"/>
        <w:b/>
        <w:szCs w:val="18"/>
      </w:rPr>
      <w:instrText xml:space="preserve"> PAGE </w:instrText>
    </w:r>
    <w:r w:rsidRPr="006E0B00">
      <w:rPr>
        <w:rStyle w:val="PageNumber"/>
        <w:b/>
        <w:szCs w:val="18"/>
      </w:rPr>
      <w:fldChar w:fldCharType="separate"/>
    </w:r>
    <w:r w:rsidR="00CE69B0">
      <w:rPr>
        <w:rStyle w:val="PageNumber"/>
        <w:b/>
        <w:noProof/>
        <w:szCs w:val="18"/>
      </w:rPr>
      <w:t>7</w:t>
    </w:r>
    <w:r w:rsidRPr="006E0B00">
      <w:rPr>
        <w:rStyle w:val="PageNumber"/>
        <w:b/>
        <w:szCs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F18E1F" w14:textId="64E2557B" w:rsidR="00CA309D" w:rsidRPr="00CC47BF" w:rsidRDefault="00CA309D" w:rsidP="00CC47BF">
    <w:pPr>
      <w:pStyle w:val="FooterEven"/>
      <w:rPr>
        <w:b/>
        <w:szCs w:val="18"/>
      </w:rPr>
    </w:pPr>
    <w:r w:rsidRPr="00787DB2">
      <w:rPr>
        <w:rStyle w:val="PageNumber"/>
        <w:b/>
        <w:szCs w:val="18"/>
      </w:rPr>
      <w:t xml:space="preserve">Page </w:t>
    </w:r>
    <w:r w:rsidRPr="00787DB2">
      <w:rPr>
        <w:rStyle w:val="PageNumber"/>
        <w:b/>
        <w:szCs w:val="18"/>
      </w:rPr>
      <w:fldChar w:fldCharType="begin"/>
    </w:r>
    <w:r w:rsidRPr="00787DB2">
      <w:rPr>
        <w:rStyle w:val="PageNumber"/>
        <w:b/>
        <w:szCs w:val="18"/>
      </w:rPr>
      <w:instrText xml:space="preserve">PAGE  </w:instrText>
    </w:r>
    <w:r w:rsidRPr="00787DB2">
      <w:rPr>
        <w:rStyle w:val="PageNumber"/>
        <w:b/>
        <w:szCs w:val="18"/>
      </w:rPr>
      <w:fldChar w:fldCharType="separate"/>
    </w:r>
    <w:r w:rsidR="00CE69B0">
      <w:rPr>
        <w:rStyle w:val="PageNumber"/>
        <w:b/>
        <w:noProof/>
        <w:szCs w:val="18"/>
      </w:rPr>
      <w:t>16</w:t>
    </w:r>
    <w:r w:rsidRPr="00787DB2">
      <w:rPr>
        <w:rStyle w:val="PageNumber"/>
        <w:b/>
        <w:szCs w:val="18"/>
      </w:rPr>
      <w:fldChar w:fldCharType="end"/>
    </w:r>
    <w:r w:rsidRPr="001D6B09">
      <w:rPr>
        <w:rStyle w:val="PageNumber"/>
        <w:szCs w:val="18"/>
      </w:rPr>
      <w:t xml:space="preserve"> |</w:t>
    </w:r>
    <w:r w:rsidRPr="004268EE">
      <w:rPr>
        <w:rStyle w:val="PageNumber"/>
        <w:szCs w:val="18"/>
      </w:rPr>
      <w:t xml:space="preserve"> </w:t>
    </w:r>
    <w:r>
      <w:rPr>
        <w:rStyle w:val="PageNumber"/>
        <w:szCs w:val="18"/>
      </w:rPr>
      <w:t>Defence</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4150B6" w14:textId="594F6A0A" w:rsidR="00CA309D" w:rsidRPr="006E0B00" w:rsidRDefault="00CA309D" w:rsidP="00CC47BF">
    <w:pPr>
      <w:pStyle w:val="FooterEven"/>
      <w:jc w:val="right"/>
      <w:rPr>
        <w:rStyle w:val="PageNumber"/>
        <w:szCs w:val="18"/>
      </w:rPr>
    </w:pPr>
    <w:r>
      <w:rPr>
        <w:rStyle w:val="PageNumber"/>
        <w:szCs w:val="18"/>
      </w:rPr>
      <w:t>Defence</w:t>
    </w:r>
    <w:r w:rsidRPr="006E0B00">
      <w:rPr>
        <w:rStyle w:val="PageNumber"/>
        <w:szCs w:val="18"/>
      </w:rPr>
      <w:t xml:space="preserve"> | </w:t>
    </w:r>
    <w:r w:rsidRPr="006E0B00">
      <w:rPr>
        <w:rStyle w:val="PageNumber"/>
        <w:b/>
        <w:szCs w:val="18"/>
      </w:rPr>
      <w:t xml:space="preserve">Page </w:t>
    </w:r>
    <w:r w:rsidRPr="006E0B00">
      <w:rPr>
        <w:rStyle w:val="PageNumber"/>
        <w:b/>
        <w:szCs w:val="18"/>
      </w:rPr>
      <w:fldChar w:fldCharType="begin"/>
    </w:r>
    <w:r w:rsidRPr="006E0B00">
      <w:rPr>
        <w:rStyle w:val="PageNumber"/>
        <w:b/>
        <w:szCs w:val="18"/>
      </w:rPr>
      <w:instrText xml:space="preserve"> PAGE </w:instrText>
    </w:r>
    <w:r w:rsidRPr="006E0B00">
      <w:rPr>
        <w:rStyle w:val="PageNumber"/>
        <w:b/>
        <w:szCs w:val="18"/>
      </w:rPr>
      <w:fldChar w:fldCharType="separate"/>
    </w:r>
    <w:r w:rsidR="00CE69B0">
      <w:rPr>
        <w:rStyle w:val="PageNumber"/>
        <w:b/>
        <w:noProof/>
        <w:szCs w:val="18"/>
      </w:rPr>
      <w:t>17</w:t>
    </w:r>
    <w:r w:rsidRPr="006E0B00">
      <w:rPr>
        <w:rStyle w:val="PageNumber"/>
        <w:b/>
        <w:szCs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6FDC0" w14:textId="50EC6F5F" w:rsidR="00CA309D" w:rsidRPr="00CC47BF" w:rsidRDefault="00CA309D" w:rsidP="00357ADC">
    <w:pPr>
      <w:pStyle w:val="FooterEven"/>
      <w:pBdr>
        <w:top w:val="none" w:sz="0" w:space="0" w:color="auto"/>
      </w:pBdr>
      <w:rPr>
        <w:b/>
        <w:szCs w:val="18"/>
      </w:rP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D7EF60" w14:textId="08F4FBC5" w:rsidR="00CA309D" w:rsidRPr="006E0B00" w:rsidRDefault="00CA309D" w:rsidP="00357ADC">
    <w:pPr>
      <w:pStyle w:val="FooterEven"/>
      <w:pBdr>
        <w:top w:val="none" w:sz="0" w:space="0" w:color="auto"/>
      </w:pBdr>
      <w:jc w:val="right"/>
      <w:rPr>
        <w:rStyle w:val="PageNumber"/>
        <w:szCs w:val="18"/>
      </w:rPr>
    </w:pPr>
    <w:r w:rsidRPr="00806763">
      <w:rPr>
        <w:noProof/>
      </w:rPr>
      <mc:AlternateContent>
        <mc:Choice Requires="wps">
          <w:drawing>
            <wp:anchor distT="0" distB="0" distL="114300" distR="114300" simplePos="0" relativeHeight="251670528" behindDoc="0" locked="0" layoutInCell="0" allowOverlap="1" wp14:anchorId="1EE17E0D" wp14:editId="4BAD7304">
              <wp:simplePos x="0" y="0"/>
              <wp:positionH relativeFrom="page">
                <wp:posOffset>132080</wp:posOffset>
              </wp:positionH>
              <wp:positionV relativeFrom="page">
                <wp:posOffset>1193165</wp:posOffset>
              </wp:positionV>
              <wp:extent cx="688340" cy="5416521"/>
              <wp:effectExtent l="0" t="0" r="0" b="0"/>
              <wp:wrapNone/>
              <wp:docPr id="8550" name="Rectangle 8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340" cy="54165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9802CD" w14:textId="77777777" w:rsidR="00CA309D" w:rsidRPr="006247E2" w:rsidRDefault="00CA309D" w:rsidP="00357ADC">
                          <w:pPr>
                            <w:pStyle w:val="Footer"/>
                            <w:pBdr>
                              <w:top w:val="single" w:sz="4" w:space="1" w:color="auto"/>
                            </w:pBdr>
                            <w:jc w:val="right"/>
                            <w:rPr>
                              <w:rStyle w:val="PageNumber"/>
                              <w:rFonts w:ascii="Arial" w:hAnsi="Arial"/>
                              <w:sz w:val="2"/>
                              <w:szCs w:val="18"/>
                            </w:rPr>
                          </w:pPr>
                        </w:p>
                        <w:p w14:paraId="50B05407" w14:textId="3B068C33" w:rsidR="00CA309D" w:rsidRPr="006E0B00" w:rsidRDefault="00CA309D" w:rsidP="00357ADC">
                          <w:pPr>
                            <w:pStyle w:val="Footer"/>
                            <w:pBdr>
                              <w:top w:val="single" w:sz="4" w:space="1" w:color="auto"/>
                            </w:pBdr>
                            <w:jc w:val="right"/>
                            <w:rPr>
                              <w:rStyle w:val="PageNumber"/>
                              <w:rFonts w:ascii="Arial" w:hAnsi="Arial"/>
                              <w:sz w:val="18"/>
                              <w:szCs w:val="18"/>
                            </w:rPr>
                          </w:pPr>
                          <w:r w:rsidRPr="003E559F">
                            <w:rPr>
                              <w:rStyle w:val="PageNumber"/>
                              <w:rFonts w:ascii="Arial" w:hAnsi="Arial"/>
                              <w:sz w:val="18"/>
                              <w:szCs w:val="18"/>
                            </w:rPr>
                            <w:t xml:space="preserve">Defence | </w:t>
                          </w:r>
                          <w:r w:rsidRPr="003E559F">
                            <w:rPr>
                              <w:rStyle w:val="PageNumber"/>
                              <w:rFonts w:ascii="Arial" w:hAnsi="Arial"/>
                              <w:b/>
                              <w:sz w:val="18"/>
                              <w:szCs w:val="18"/>
                            </w:rPr>
                            <w:t xml:space="preserve">Page </w:t>
                          </w:r>
                          <w:r w:rsidRPr="003E559F">
                            <w:rPr>
                              <w:rStyle w:val="PageNumber"/>
                              <w:rFonts w:ascii="Arial" w:hAnsi="Arial"/>
                              <w:b/>
                              <w:sz w:val="18"/>
                              <w:szCs w:val="18"/>
                            </w:rPr>
                            <w:fldChar w:fldCharType="begin"/>
                          </w:r>
                          <w:r w:rsidRPr="003E559F">
                            <w:rPr>
                              <w:rStyle w:val="PageNumber"/>
                              <w:rFonts w:ascii="Arial" w:hAnsi="Arial"/>
                              <w:b/>
                              <w:sz w:val="18"/>
                              <w:szCs w:val="18"/>
                            </w:rPr>
                            <w:instrText xml:space="preserve"> PAGE </w:instrText>
                          </w:r>
                          <w:r w:rsidRPr="003E559F">
                            <w:rPr>
                              <w:rStyle w:val="PageNumber"/>
                              <w:rFonts w:ascii="Arial" w:hAnsi="Arial"/>
                              <w:b/>
                              <w:sz w:val="18"/>
                              <w:szCs w:val="18"/>
                            </w:rPr>
                            <w:fldChar w:fldCharType="separate"/>
                          </w:r>
                          <w:r w:rsidR="00CE69B0">
                            <w:rPr>
                              <w:rStyle w:val="PageNumber"/>
                              <w:rFonts w:ascii="Arial" w:hAnsi="Arial"/>
                              <w:b/>
                              <w:noProof/>
                              <w:sz w:val="18"/>
                              <w:szCs w:val="18"/>
                            </w:rPr>
                            <w:t>19</w:t>
                          </w:r>
                          <w:r w:rsidRPr="003E559F">
                            <w:rPr>
                              <w:rStyle w:val="PageNumber"/>
                              <w:rFonts w:ascii="Arial" w:hAnsi="Arial"/>
                              <w:b/>
                              <w:sz w:val="18"/>
                              <w:szCs w:val="18"/>
                            </w:rPr>
                            <w:fldChar w:fldCharType="end"/>
                          </w:r>
                        </w:p>
                        <w:p w14:paraId="17947D6B" w14:textId="77777777" w:rsidR="00CA309D" w:rsidRPr="006275F9" w:rsidRDefault="00CA309D" w:rsidP="00357ADC">
                          <w:pPr>
                            <w:pStyle w:val="Footer"/>
                            <w:rPr>
                              <w:rFonts w:ascii="Calibri Light" w:hAnsi="Calibri Light" w:cs="Times New Roman"/>
                              <w:szCs w:val="20"/>
                            </w:rPr>
                          </w:pPr>
                        </w:p>
                      </w:txbxContent>
                    </wps:txbx>
                    <wps:bodyPr rot="0" vert="vert"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1EE17E0D" id="Rectangle 8550" o:spid="_x0000_s1108" style="position:absolute;left:0;text-align:left;margin-left:10.4pt;margin-top:93.95pt;width:54.2pt;height:426.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" o:allowincell="f" stroked="f">
              <v:textbox style="layout-flow:vertical">
                <w:txbxContent>
                  <w:p w14:paraId="469802CD" w14:textId="77777777" w:rsidR="00CA309D" w:rsidRPr="006247E2" w:rsidRDefault="00CA309D" w:rsidP="00357ADC">
                    <w:pPr>
                      <w:pStyle w:val="Footer"/>
                      <w:pBdr>
                        <w:top w:val="single" w:sz="4" w:space="1" w:color="auto"/>
                      </w:pBdr>
                      <w:jc w:val="right"/>
                      <w:rPr>
                        <w:rStyle w:val="PageNumber"/>
                        <w:rFonts w:ascii="Arial" w:hAnsi="Arial"/>
                        <w:sz w:val="2"/>
                        <w:szCs w:val="18"/>
                      </w:rPr>
                    </w:pPr>
                  </w:p>
                  <w:p w14:paraId="50B05407" w14:textId="3B068C33" w:rsidR="00CA309D" w:rsidRPr="006E0B00" w:rsidRDefault="00CA309D" w:rsidP="00357ADC">
                    <w:pPr>
                      <w:pStyle w:val="Footer"/>
                      <w:pBdr>
                        <w:top w:val="single" w:sz="4" w:space="1" w:color="auto"/>
                      </w:pBdr>
                      <w:jc w:val="right"/>
                      <w:rPr>
                        <w:rStyle w:val="PageNumber"/>
                        <w:rFonts w:ascii="Arial" w:hAnsi="Arial"/>
                        <w:sz w:val="18"/>
                        <w:szCs w:val="18"/>
                      </w:rPr>
                    </w:pPr>
                    <w:r w:rsidRPr="003E559F">
                      <w:rPr>
                        <w:rStyle w:val="PageNumber"/>
                        <w:rFonts w:ascii="Arial" w:hAnsi="Arial"/>
                        <w:sz w:val="18"/>
                        <w:szCs w:val="18"/>
                      </w:rPr>
                      <w:t xml:space="preserve">Defence | </w:t>
                    </w:r>
                    <w:r w:rsidRPr="003E559F">
                      <w:rPr>
                        <w:rStyle w:val="PageNumber"/>
                        <w:rFonts w:ascii="Arial" w:hAnsi="Arial"/>
                        <w:b/>
                        <w:sz w:val="18"/>
                        <w:szCs w:val="18"/>
                      </w:rPr>
                      <w:t xml:space="preserve">Page </w:t>
                    </w:r>
                    <w:r w:rsidRPr="003E559F">
                      <w:rPr>
                        <w:rStyle w:val="PageNumber"/>
                        <w:rFonts w:ascii="Arial" w:hAnsi="Arial"/>
                        <w:b/>
                        <w:sz w:val="18"/>
                        <w:szCs w:val="18"/>
                      </w:rPr>
                      <w:fldChar w:fldCharType="begin"/>
                    </w:r>
                    <w:r w:rsidRPr="003E559F">
                      <w:rPr>
                        <w:rStyle w:val="PageNumber"/>
                        <w:rFonts w:ascii="Arial" w:hAnsi="Arial"/>
                        <w:b/>
                        <w:sz w:val="18"/>
                        <w:szCs w:val="18"/>
                      </w:rPr>
                      <w:instrText xml:space="preserve"> PAGE </w:instrText>
                    </w:r>
                    <w:r w:rsidRPr="003E559F">
                      <w:rPr>
                        <w:rStyle w:val="PageNumber"/>
                        <w:rFonts w:ascii="Arial" w:hAnsi="Arial"/>
                        <w:b/>
                        <w:sz w:val="18"/>
                        <w:szCs w:val="18"/>
                      </w:rPr>
                      <w:fldChar w:fldCharType="separate"/>
                    </w:r>
                    <w:r w:rsidR="00CE69B0">
                      <w:rPr>
                        <w:rStyle w:val="PageNumber"/>
                        <w:rFonts w:ascii="Arial" w:hAnsi="Arial"/>
                        <w:b/>
                        <w:noProof/>
                        <w:sz w:val="18"/>
                        <w:szCs w:val="18"/>
                      </w:rPr>
                      <w:t>19</w:t>
                    </w:r>
                    <w:r w:rsidRPr="003E559F">
                      <w:rPr>
                        <w:rStyle w:val="PageNumber"/>
                        <w:rFonts w:ascii="Arial" w:hAnsi="Arial"/>
                        <w:b/>
                        <w:sz w:val="18"/>
                        <w:szCs w:val="18"/>
                      </w:rPr>
                      <w:fldChar w:fldCharType="end"/>
                    </w:r>
                  </w:p>
                  <w:p w14:paraId="17947D6B" w14:textId="77777777" w:rsidR="00CA309D" w:rsidRPr="006275F9" w:rsidRDefault="00CA309D" w:rsidP="00357ADC">
                    <w:pPr>
                      <w:pStyle w:val="Footer"/>
                      <w:rPr>
                        <w:rFonts w:ascii="Calibri Light" w:hAnsi="Calibri Light" w:cs="Times New Roman"/>
                        <w:szCs w:val="20"/>
                      </w:rPr>
                    </w:pPr>
                  </w:p>
                </w:txbxContent>
              </v:textbox>
              <w10:wrap anchorx="page" anchory="page"/>
            </v:rect>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3E5613" w14:textId="0950DCE7" w:rsidR="00CA309D" w:rsidRPr="00CC47BF" w:rsidRDefault="00CA309D" w:rsidP="00CC47BF">
    <w:pPr>
      <w:pStyle w:val="FooterEven"/>
      <w:rPr>
        <w:b/>
        <w:szCs w:val="18"/>
      </w:rPr>
    </w:pPr>
    <w:r w:rsidRPr="00787DB2">
      <w:rPr>
        <w:rStyle w:val="PageNumber"/>
        <w:b/>
        <w:szCs w:val="18"/>
      </w:rPr>
      <w:t xml:space="preserve">Page </w:t>
    </w:r>
    <w:r w:rsidRPr="00787DB2">
      <w:rPr>
        <w:rStyle w:val="PageNumber"/>
        <w:b/>
        <w:szCs w:val="18"/>
      </w:rPr>
      <w:fldChar w:fldCharType="begin"/>
    </w:r>
    <w:r w:rsidRPr="00787DB2">
      <w:rPr>
        <w:rStyle w:val="PageNumber"/>
        <w:b/>
        <w:szCs w:val="18"/>
      </w:rPr>
      <w:instrText xml:space="preserve">PAGE  </w:instrText>
    </w:r>
    <w:r w:rsidRPr="00787DB2">
      <w:rPr>
        <w:rStyle w:val="PageNumber"/>
        <w:b/>
        <w:szCs w:val="18"/>
      </w:rPr>
      <w:fldChar w:fldCharType="separate"/>
    </w:r>
    <w:r w:rsidR="00CE69B0">
      <w:rPr>
        <w:rStyle w:val="PageNumber"/>
        <w:b/>
        <w:noProof/>
        <w:szCs w:val="18"/>
      </w:rPr>
      <w:t>38</w:t>
    </w:r>
    <w:r w:rsidRPr="00787DB2">
      <w:rPr>
        <w:rStyle w:val="PageNumber"/>
        <w:b/>
        <w:szCs w:val="18"/>
      </w:rPr>
      <w:fldChar w:fldCharType="end"/>
    </w:r>
    <w:r w:rsidRPr="001D6B09">
      <w:rPr>
        <w:rStyle w:val="PageNumber"/>
        <w:szCs w:val="18"/>
      </w:rPr>
      <w:t xml:space="preserve"> |</w:t>
    </w:r>
    <w:r w:rsidRPr="004268EE">
      <w:rPr>
        <w:rStyle w:val="PageNumber"/>
        <w:szCs w:val="18"/>
      </w:rPr>
      <w:t xml:space="preserve"> </w:t>
    </w:r>
    <w:r>
      <w:rPr>
        <w:rStyle w:val="PageNumber"/>
        <w:szCs w:val="18"/>
      </w:rPr>
      <w:t>Defence</w: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1A3801" w14:textId="583FEF97" w:rsidR="00CA309D" w:rsidRPr="006E0B00" w:rsidRDefault="00CA309D" w:rsidP="00CC47BF">
    <w:pPr>
      <w:pStyle w:val="FooterEven"/>
      <w:jc w:val="right"/>
      <w:rPr>
        <w:rStyle w:val="PageNumber"/>
        <w:szCs w:val="18"/>
      </w:rPr>
    </w:pPr>
    <w:r>
      <w:rPr>
        <w:rStyle w:val="PageNumber"/>
        <w:szCs w:val="18"/>
      </w:rPr>
      <w:t>Defence</w:t>
    </w:r>
    <w:r w:rsidRPr="006E0B00">
      <w:rPr>
        <w:rStyle w:val="PageNumber"/>
        <w:szCs w:val="18"/>
      </w:rPr>
      <w:t xml:space="preserve"> | </w:t>
    </w:r>
    <w:r w:rsidRPr="006E0B00">
      <w:rPr>
        <w:rStyle w:val="PageNumber"/>
        <w:b/>
        <w:szCs w:val="18"/>
      </w:rPr>
      <w:t xml:space="preserve">Page </w:t>
    </w:r>
    <w:r w:rsidRPr="006E0B00">
      <w:rPr>
        <w:rStyle w:val="PageNumber"/>
        <w:b/>
        <w:szCs w:val="18"/>
      </w:rPr>
      <w:fldChar w:fldCharType="begin"/>
    </w:r>
    <w:r w:rsidRPr="006E0B00">
      <w:rPr>
        <w:rStyle w:val="PageNumber"/>
        <w:b/>
        <w:szCs w:val="18"/>
      </w:rPr>
      <w:instrText xml:space="preserve"> PAGE </w:instrText>
    </w:r>
    <w:r w:rsidRPr="006E0B00">
      <w:rPr>
        <w:rStyle w:val="PageNumber"/>
        <w:b/>
        <w:szCs w:val="18"/>
      </w:rPr>
      <w:fldChar w:fldCharType="separate"/>
    </w:r>
    <w:r w:rsidR="00CE69B0">
      <w:rPr>
        <w:rStyle w:val="PageNumber"/>
        <w:b/>
        <w:noProof/>
        <w:szCs w:val="18"/>
      </w:rPr>
      <w:t>37</w:t>
    </w:r>
    <w:r w:rsidRPr="006E0B00">
      <w:rPr>
        <w:rStyle w:val="PageNumber"/>
        <w:b/>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B1FDF2" w14:textId="77777777" w:rsidR="00CA309D" w:rsidRDefault="00CA309D" w:rsidP="007E7D35"/>
  <w:p w14:paraId="5DE46682" w14:textId="5F4EC240" w:rsidR="00CA309D" w:rsidRPr="000E1A17" w:rsidRDefault="00CA309D" w:rsidP="000E1A17">
    <w:pPr>
      <w:pStyle w:val="FooterOdd"/>
    </w:pPr>
    <w:r w:rsidRPr="0066112F">
      <w:rPr>
        <w:rStyle w:val="PageNumber"/>
        <w:b/>
        <w:bCs/>
      </w:rPr>
      <w:t xml:space="preserve">Page </w:t>
    </w:r>
    <w:r>
      <w:rPr>
        <w:rStyle w:val="PageNumber"/>
        <w:b/>
        <w:bCs/>
      </w:rPr>
      <w:fldChar w:fldCharType="begin"/>
    </w:r>
    <w:r>
      <w:rPr>
        <w:rStyle w:val="PageNumber"/>
        <w:b/>
        <w:bCs/>
      </w:rPr>
      <w:instrText xml:space="preserve"> PAGE  \* roman </w:instrText>
    </w:r>
    <w:r>
      <w:rPr>
        <w:rStyle w:val="PageNumber"/>
        <w:b/>
        <w:bCs/>
      </w:rPr>
      <w:fldChar w:fldCharType="separate"/>
    </w:r>
    <w:r w:rsidR="00CE69B0">
      <w:rPr>
        <w:rStyle w:val="PageNumber"/>
        <w:b/>
        <w:bCs/>
        <w:noProof/>
      </w:rPr>
      <w:t>iii</w:t>
    </w:r>
    <w:r>
      <w:rPr>
        <w:rStyle w:val="PageNumber"/>
        <w:b/>
        <w:bCs/>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85F05F" w14:textId="084ED545" w:rsidR="00CA309D" w:rsidRPr="009440B7" w:rsidRDefault="00CA309D" w:rsidP="00525BD0">
    <w:pPr>
      <w:pStyle w:val="FooterEven"/>
      <w:pBdr>
        <w:top w:val="none" w:sz="0" w:space="0" w:color="auto"/>
      </w:pBdr>
      <w:rPr>
        <w:b/>
        <w:szCs w:val="18"/>
      </w:rP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36251" w14:textId="013B707C" w:rsidR="00CA309D" w:rsidRDefault="00CA309D">
    <w:pPr>
      <w:pStyle w:val="Footer"/>
      <w:jc w:val="right"/>
      <w:rPr>
        <w:rStyle w:val="PageNumber"/>
      </w:rPr>
    </w:pPr>
    <w:r w:rsidRPr="00921C1E">
      <w:rPr>
        <w:rStyle w:val="PageNumber"/>
        <w:rFonts w:ascii="Arial" w:hAnsi="Arial"/>
        <w:sz w:val="18"/>
        <w:szCs w:val="18"/>
      </w:rPr>
      <w:t xml:space="preserve">Defence | </w:t>
    </w:r>
    <w:r w:rsidRPr="00921C1E">
      <w:rPr>
        <w:rStyle w:val="PageNumber"/>
        <w:rFonts w:ascii="Arial" w:hAnsi="Arial"/>
        <w:b/>
        <w:sz w:val="18"/>
        <w:szCs w:val="18"/>
      </w:rPr>
      <w:t xml:space="preserve">Page </w:t>
    </w:r>
    <w:r w:rsidRPr="00921C1E">
      <w:rPr>
        <w:rStyle w:val="PageNumber"/>
        <w:rFonts w:ascii="Arial" w:hAnsi="Arial"/>
        <w:b/>
        <w:sz w:val="18"/>
        <w:szCs w:val="18"/>
      </w:rPr>
      <w:fldChar w:fldCharType="begin"/>
    </w:r>
    <w:r w:rsidRPr="00921C1E">
      <w:rPr>
        <w:rStyle w:val="PageNumber"/>
        <w:rFonts w:ascii="Arial" w:hAnsi="Arial"/>
        <w:b/>
        <w:sz w:val="18"/>
        <w:szCs w:val="18"/>
      </w:rPr>
      <w:instrText xml:space="preserve"> PAGE </w:instrText>
    </w:r>
    <w:r w:rsidRPr="00921C1E">
      <w:rPr>
        <w:rStyle w:val="PageNumber"/>
        <w:rFonts w:ascii="Arial" w:hAnsi="Arial"/>
        <w:b/>
        <w:sz w:val="18"/>
        <w:szCs w:val="18"/>
      </w:rPr>
      <w:fldChar w:fldCharType="separate"/>
    </w:r>
    <w:r>
      <w:rPr>
        <w:rStyle w:val="PageNumber"/>
        <w:rFonts w:ascii="Arial" w:hAnsi="Arial"/>
        <w:b/>
        <w:noProof/>
        <w:sz w:val="18"/>
        <w:szCs w:val="18"/>
      </w:rPr>
      <w:t>111</w:t>
    </w:r>
    <w:r w:rsidRPr="00921C1E">
      <w:rPr>
        <w:rStyle w:val="PageNumber"/>
        <w:rFonts w:ascii="Arial" w:hAnsi="Arial"/>
        <w:b/>
        <w:sz w:val="18"/>
        <w:szCs w:val="1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A42E65" w14:textId="688D3281" w:rsidR="00CA309D" w:rsidRPr="009440B7" w:rsidRDefault="00CA309D" w:rsidP="009440B7">
    <w:pPr>
      <w:pStyle w:val="FooterEven"/>
      <w:rPr>
        <w:rStyle w:val="PageNumber"/>
        <w:b/>
        <w:szCs w:val="18"/>
      </w:rPr>
    </w:pPr>
    <w:r w:rsidRPr="00787DB2">
      <w:rPr>
        <w:rStyle w:val="PageNumber"/>
        <w:b/>
        <w:szCs w:val="18"/>
      </w:rPr>
      <w:t xml:space="preserve">Page </w:t>
    </w:r>
    <w:r w:rsidRPr="00787DB2">
      <w:rPr>
        <w:rStyle w:val="PageNumber"/>
        <w:b/>
        <w:szCs w:val="18"/>
      </w:rPr>
      <w:fldChar w:fldCharType="begin"/>
    </w:r>
    <w:r w:rsidRPr="00787DB2">
      <w:rPr>
        <w:rStyle w:val="PageNumber"/>
        <w:b/>
        <w:szCs w:val="18"/>
      </w:rPr>
      <w:instrText xml:space="preserve">PAGE  </w:instrText>
    </w:r>
    <w:r w:rsidRPr="00787DB2">
      <w:rPr>
        <w:rStyle w:val="PageNumber"/>
        <w:b/>
        <w:szCs w:val="18"/>
      </w:rPr>
      <w:fldChar w:fldCharType="separate"/>
    </w:r>
    <w:r w:rsidR="00CE69B0">
      <w:rPr>
        <w:rStyle w:val="PageNumber"/>
        <w:b/>
        <w:noProof/>
        <w:szCs w:val="18"/>
      </w:rPr>
      <w:t>116</w:t>
    </w:r>
    <w:r w:rsidRPr="00787DB2">
      <w:rPr>
        <w:rStyle w:val="PageNumber"/>
        <w:b/>
        <w:szCs w:val="18"/>
      </w:rPr>
      <w:fldChar w:fldCharType="end"/>
    </w:r>
    <w:r w:rsidRPr="001D6B09">
      <w:rPr>
        <w:rStyle w:val="PageNumber"/>
        <w:szCs w:val="18"/>
      </w:rPr>
      <w:t xml:space="preserve"> |</w:t>
    </w:r>
    <w:r w:rsidRPr="004268EE">
      <w:rPr>
        <w:rStyle w:val="PageNumber"/>
        <w:szCs w:val="18"/>
      </w:rPr>
      <w:t xml:space="preserve"> </w:t>
    </w:r>
    <w:r>
      <w:rPr>
        <w:rStyle w:val="PageNumber"/>
        <w:szCs w:val="18"/>
      </w:rPr>
      <w:t>Defence</w: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DD7343" w14:textId="761EB2AF" w:rsidR="00CA309D" w:rsidRPr="009440B7" w:rsidRDefault="00CA309D" w:rsidP="009440B7">
    <w:pPr>
      <w:pStyle w:val="FooterEven"/>
      <w:jc w:val="right"/>
      <w:rPr>
        <w:rStyle w:val="PageNumber"/>
        <w:szCs w:val="18"/>
      </w:rPr>
    </w:pPr>
    <w:r>
      <w:rPr>
        <w:rStyle w:val="PageNumber"/>
        <w:szCs w:val="18"/>
      </w:rPr>
      <w:t>Defence</w:t>
    </w:r>
    <w:r w:rsidRPr="006E0B00">
      <w:rPr>
        <w:rStyle w:val="PageNumber"/>
        <w:szCs w:val="18"/>
      </w:rPr>
      <w:t xml:space="preserve"> | </w:t>
    </w:r>
    <w:r w:rsidRPr="006E0B00">
      <w:rPr>
        <w:rStyle w:val="PageNumber"/>
        <w:b/>
        <w:szCs w:val="18"/>
      </w:rPr>
      <w:t xml:space="preserve">Page </w:t>
    </w:r>
    <w:r w:rsidRPr="006E0B00">
      <w:rPr>
        <w:rStyle w:val="PageNumber"/>
        <w:b/>
        <w:szCs w:val="18"/>
      </w:rPr>
      <w:fldChar w:fldCharType="begin"/>
    </w:r>
    <w:r w:rsidRPr="006E0B00">
      <w:rPr>
        <w:rStyle w:val="PageNumber"/>
        <w:b/>
        <w:szCs w:val="18"/>
      </w:rPr>
      <w:instrText xml:space="preserve"> PAGE </w:instrText>
    </w:r>
    <w:r w:rsidRPr="006E0B00">
      <w:rPr>
        <w:rStyle w:val="PageNumber"/>
        <w:b/>
        <w:szCs w:val="18"/>
      </w:rPr>
      <w:fldChar w:fldCharType="separate"/>
    </w:r>
    <w:r w:rsidR="00CE69B0">
      <w:rPr>
        <w:rStyle w:val="PageNumber"/>
        <w:b/>
        <w:noProof/>
        <w:szCs w:val="18"/>
      </w:rPr>
      <w:t>111</w:t>
    </w:r>
    <w:r w:rsidRPr="006E0B00">
      <w:rPr>
        <w:rStyle w:val="PageNumber"/>
        <w:b/>
        <w:szCs w:val="18"/>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6DAEAB" w14:textId="77777777" w:rsidR="00CA309D" w:rsidRDefault="00CA309D" w:rsidP="00264B42">
    <w:pPr>
      <w:pStyle w:val="Footer"/>
      <w:tabs>
        <w:tab w:val="clear" w:pos="4153"/>
        <w:tab w:val="clear" w:pos="8306"/>
        <w:tab w:val="left" w:pos="495"/>
      </w:tabs>
      <w:ind w:right="360"/>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CCEF0C" w14:textId="5478D409" w:rsidR="00CA309D" w:rsidRDefault="00CA309D" w:rsidP="00CA0308">
    <w:pPr>
      <w:pStyle w:val="Footer"/>
      <w:jc w:val="right"/>
      <w:rPr>
        <w:rStyle w:val="PageNumber"/>
      </w:rP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367559" w14:textId="4EF0EB0F" w:rsidR="00CA309D" w:rsidRPr="009440B7" w:rsidRDefault="00CA309D" w:rsidP="009440B7">
    <w:pPr>
      <w:pStyle w:val="FooterEven"/>
      <w:rPr>
        <w:rStyle w:val="PageNumber"/>
        <w:b/>
        <w:szCs w:val="18"/>
      </w:rPr>
    </w:pPr>
    <w:r w:rsidRPr="00787DB2">
      <w:rPr>
        <w:rStyle w:val="PageNumber"/>
        <w:b/>
        <w:szCs w:val="18"/>
      </w:rPr>
      <w:t xml:space="preserve">Page </w:t>
    </w:r>
    <w:r w:rsidRPr="00787DB2">
      <w:rPr>
        <w:rStyle w:val="PageNumber"/>
        <w:b/>
        <w:szCs w:val="18"/>
      </w:rPr>
      <w:fldChar w:fldCharType="begin"/>
    </w:r>
    <w:r w:rsidRPr="00787DB2">
      <w:rPr>
        <w:rStyle w:val="PageNumber"/>
        <w:b/>
        <w:szCs w:val="18"/>
      </w:rPr>
      <w:instrText xml:space="preserve">PAGE  </w:instrText>
    </w:r>
    <w:r w:rsidRPr="00787DB2">
      <w:rPr>
        <w:rStyle w:val="PageNumber"/>
        <w:b/>
        <w:szCs w:val="18"/>
      </w:rPr>
      <w:fldChar w:fldCharType="separate"/>
    </w:r>
    <w:r w:rsidR="00CE69B0">
      <w:rPr>
        <w:rStyle w:val="PageNumber"/>
        <w:b/>
        <w:noProof/>
        <w:szCs w:val="18"/>
      </w:rPr>
      <w:t>154</w:t>
    </w:r>
    <w:r w:rsidRPr="00787DB2">
      <w:rPr>
        <w:rStyle w:val="PageNumber"/>
        <w:b/>
        <w:szCs w:val="18"/>
      </w:rPr>
      <w:fldChar w:fldCharType="end"/>
    </w:r>
    <w:r w:rsidRPr="001D6B09">
      <w:rPr>
        <w:rStyle w:val="PageNumber"/>
        <w:szCs w:val="18"/>
      </w:rPr>
      <w:t xml:space="preserve"> |</w:t>
    </w:r>
    <w:r w:rsidRPr="004268EE">
      <w:rPr>
        <w:rStyle w:val="PageNumber"/>
        <w:szCs w:val="18"/>
      </w:rPr>
      <w:t xml:space="preserve"> </w:t>
    </w:r>
    <w:r>
      <w:rPr>
        <w:rStyle w:val="PageNumber"/>
        <w:szCs w:val="18"/>
      </w:rPr>
      <w:t>Defence</w: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C05A5B" w14:textId="5B5EBBA4" w:rsidR="00CA309D" w:rsidRPr="009440B7" w:rsidRDefault="00CA309D" w:rsidP="009440B7">
    <w:pPr>
      <w:pStyle w:val="FooterEven"/>
      <w:jc w:val="right"/>
      <w:rPr>
        <w:rStyle w:val="PageNumber"/>
        <w:szCs w:val="18"/>
      </w:rPr>
    </w:pPr>
    <w:r>
      <w:rPr>
        <w:rStyle w:val="PageNumber"/>
        <w:szCs w:val="18"/>
      </w:rPr>
      <w:t>Defence</w:t>
    </w:r>
    <w:r w:rsidRPr="006E0B00">
      <w:rPr>
        <w:rStyle w:val="PageNumber"/>
        <w:szCs w:val="18"/>
      </w:rPr>
      <w:t xml:space="preserve"> | </w:t>
    </w:r>
    <w:r w:rsidRPr="006E0B00">
      <w:rPr>
        <w:rStyle w:val="PageNumber"/>
        <w:b/>
        <w:szCs w:val="18"/>
      </w:rPr>
      <w:t xml:space="preserve">Page </w:t>
    </w:r>
    <w:r w:rsidRPr="006E0B00">
      <w:rPr>
        <w:rStyle w:val="PageNumber"/>
        <w:b/>
        <w:szCs w:val="18"/>
      </w:rPr>
      <w:fldChar w:fldCharType="begin"/>
    </w:r>
    <w:r w:rsidRPr="006E0B00">
      <w:rPr>
        <w:rStyle w:val="PageNumber"/>
        <w:b/>
        <w:szCs w:val="18"/>
      </w:rPr>
      <w:instrText xml:space="preserve"> PAGE </w:instrText>
    </w:r>
    <w:r w:rsidRPr="006E0B00">
      <w:rPr>
        <w:rStyle w:val="PageNumber"/>
        <w:b/>
        <w:szCs w:val="18"/>
      </w:rPr>
      <w:fldChar w:fldCharType="separate"/>
    </w:r>
    <w:r w:rsidR="00CE69B0">
      <w:rPr>
        <w:rStyle w:val="PageNumber"/>
        <w:b/>
        <w:noProof/>
        <w:szCs w:val="18"/>
      </w:rPr>
      <w:t>155</w:t>
    </w:r>
    <w:r w:rsidRPr="006E0B00">
      <w:rPr>
        <w:rStyle w:val="PageNumber"/>
        <w:b/>
        <w:szCs w:val="18"/>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9B72E3" w14:textId="37C94CC0" w:rsidR="00CA309D" w:rsidRPr="009440B7" w:rsidRDefault="00CA309D" w:rsidP="009440B7">
    <w:pPr>
      <w:pStyle w:val="FooterEven"/>
      <w:rPr>
        <w:rStyle w:val="PageNumber"/>
        <w:b/>
        <w:szCs w:val="18"/>
      </w:rPr>
    </w:pPr>
    <w:r w:rsidRPr="00787DB2">
      <w:rPr>
        <w:rStyle w:val="PageNumber"/>
        <w:b/>
        <w:szCs w:val="18"/>
      </w:rPr>
      <w:t xml:space="preserve">Page </w:t>
    </w:r>
    <w:r w:rsidRPr="00787DB2">
      <w:rPr>
        <w:rStyle w:val="PageNumber"/>
        <w:b/>
        <w:szCs w:val="18"/>
      </w:rPr>
      <w:fldChar w:fldCharType="begin"/>
    </w:r>
    <w:r w:rsidRPr="00787DB2">
      <w:rPr>
        <w:rStyle w:val="PageNumber"/>
        <w:b/>
        <w:szCs w:val="18"/>
      </w:rPr>
      <w:instrText xml:space="preserve">PAGE  </w:instrText>
    </w:r>
    <w:r w:rsidRPr="00787DB2">
      <w:rPr>
        <w:rStyle w:val="PageNumber"/>
        <w:b/>
        <w:szCs w:val="18"/>
      </w:rPr>
      <w:fldChar w:fldCharType="separate"/>
    </w:r>
    <w:r w:rsidR="00CE69B0">
      <w:rPr>
        <w:rStyle w:val="PageNumber"/>
        <w:b/>
        <w:noProof/>
        <w:szCs w:val="18"/>
      </w:rPr>
      <w:t>156</w:t>
    </w:r>
    <w:r w:rsidRPr="00787DB2">
      <w:rPr>
        <w:rStyle w:val="PageNumber"/>
        <w:b/>
        <w:szCs w:val="18"/>
      </w:rPr>
      <w:fldChar w:fldCharType="end"/>
    </w:r>
    <w:r w:rsidRPr="001D6B09">
      <w:rPr>
        <w:rStyle w:val="PageNumber"/>
        <w:szCs w:val="18"/>
      </w:rPr>
      <w:t xml:space="preserve"> |</w:t>
    </w:r>
    <w:r w:rsidRPr="00784854">
      <w:rPr>
        <w:rStyle w:val="PageNumber"/>
        <w:szCs w:val="18"/>
      </w:rPr>
      <w:t xml:space="preserve"> </w:t>
    </w:r>
    <w:r>
      <w:rPr>
        <w:rStyle w:val="PageNumber"/>
        <w:szCs w:val="18"/>
      </w:rPr>
      <w:t>Defence</w: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42E547" w14:textId="45D997F5" w:rsidR="00CA309D" w:rsidRPr="009440B7" w:rsidRDefault="00CA309D" w:rsidP="009440B7">
    <w:pPr>
      <w:pStyle w:val="FooterEven"/>
      <w:jc w:val="right"/>
      <w:rPr>
        <w:rStyle w:val="PageNumber"/>
        <w:szCs w:val="18"/>
      </w:rPr>
    </w:pPr>
    <w:r>
      <w:rPr>
        <w:rStyle w:val="PageNumber"/>
        <w:szCs w:val="18"/>
      </w:rPr>
      <w:t>Defence</w:t>
    </w:r>
    <w:r w:rsidRPr="006E0B00">
      <w:rPr>
        <w:rStyle w:val="PageNumber"/>
        <w:szCs w:val="18"/>
      </w:rPr>
      <w:t xml:space="preserve"> | </w:t>
    </w:r>
    <w:r w:rsidRPr="006E0B00">
      <w:rPr>
        <w:rStyle w:val="PageNumber"/>
        <w:b/>
        <w:szCs w:val="18"/>
      </w:rPr>
      <w:t xml:space="preserve">Page </w:t>
    </w:r>
    <w:r w:rsidRPr="006E0B00">
      <w:rPr>
        <w:rStyle w:val="PageNumber"/>
        <w:b/>
        <w:szCs w:val="18"/>
      </w:rPr>
      <w:fldChar w:fldCharType="begin"/>
    </w:r>
    <w:r w:rsidRPr="006E0B00">
      <w:rPr>
        <w:rStyle w:val="PageNumber"/>
        <w:b/>
        <w:szCs w:val="18"/>
      </w:rPr>
      <w:instrText xml:space="preserve"> PAGE </w:instrText>
    </w:r>
    <w:r w:rsidRPr="006E0B00">
      <w:rPr>
        <w:rStyle w:val="PageNumber"/>
        <w:b/>
        <w:szCs w:val="18"/>
      </w:rPr>
      <w:fldChar w:fldCharType="separate"/>
    </w:r>
    <w:r w:rsidR="00CE69B0">
      <w:rPr>
        <w:rStyle w:val="PageNumber"/>
        <w:b/>
        <w:noProof/>
        <w:szCs w:val="18"/>
      </w:rPr>
      <w:t>157</w:t>
    </w:r>
    <w:r w:rsidRPr="006E0B00">
      <w:rPr>
        <w:rStyle w:val="PageNumber"/>
        <w:b/>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87868" w14:textId="77777777" w:rsidR="00CA309D" w:rsidRDefault="00CA309D">
    <w:pPr>
      <w:pStyle w:val="Footer"/>
      <w:jc w:val="right"/>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579946" w14:textId="6A721506" w:rsidR="00CA309D" w:rsidRPr="009440B7" w:rsidRDefault="00CA309D" w:rsidP="004A01AB">
    <w:pPr>
      <w:pStyle w:val="FooterEven"/>
      <w:pBdr>
        <w:top w:val="none" w:sz="0" w:space="0" w:color="auto"/>
      </w:pBdr>
      <w:rPr>
        <w:rStyle w:val="PageNumber"/>
        <w:b/>
        <w:szCs w:val="18"/>
      </w:rP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53E696" w14:textId="041D0C32" w:rsidR="00CA309D" w:rsidRDefault="00CA309D" w:rsidP="00D40245">
    <w:pPr>
      <w:pStyle w:val="Footer"/>
      <w:jc w:val="right"/>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50F3C" w14:textId="35E22B38" w:rsidR="00CA309D" w:rsidRPr="009440B7" w:rsidRDefault="00CA309D" w:rsidP="004A01AB">
    <w:pPr>
      <w:pStyle w:val="FooterEven"/>
      <w:rPr>
        <w:rStyle w:val="PageNumber"/>
        <w:b/>
        <w:szCs w:val="18"/>
      </w:rPr>
    </w:pPr>
    <w:r w:rsidRPr="00787DB2">
      <w:rPr>
        <w:rStyle w:val="PageNumber"/>
        <w:b/>
        <w:szCs w:val="18"/>
      </w:rPr>
      <w:t xml:space="preserve">Page </w:t>
    </w:r>
    <w:r w:rsidRPr="00787DB2">
      <w:rPr>
        <w:rStyle w:val="PageNumber"/>
        <w:b/>
        <w:szCs w:val="18"/>
      </w:rPr>
      <w:fldChar w:fldCharType="begin"/>
    </w:r>
    <w:r w:rsidRPr="00787DB2">
      <w:rPr>
        <w:rStyle w:val="PageNumber"/>
        <w:b/>
        <w:szCs w:val="18"/>
      </w:rPr>
      <w:instrText xml:space="preserve">PAGE  </w:instrText>
    </w:r>
    <w:r w:rsidRPr="00787DB2">
      <w:rPr>
        <w:rStyle w:val="PageNumber"/>
        <w:b/>
        <w:szCs w:val="18"/>
      </w:rPr>
      <w:fldChar w:fldCharType="separate"/>
    </w:r>
    <w:r w:rsidR="00CE69B0">
      <w:rPr>
        <w:rStyle w:val="PageNumber"/>
        <w:b/>
        <w:noProof/>
        <w:szCs w:val="18"/>
      </w:rPr>
      <w:t>162</w:t>
    </w:r>
    <w:r w:rsidRPr="00787DB2">
      <w:rPr>
        <w:rStyle w:val="PageNumber"/>
        <w:b/>
        <w:szCs w:val="18"/>
      </w:rPr>
      <w:fldChar w:fldCharType="end"/>
    </w:r>
    <w:r w:rsidRPr="001D6B09">
      <w:rPr>
        <w:rStyle w:val="PageNumber"/>
        <w:szCs w:val="18"/>
      </w:rPr>
      <w:t xml:space="preserve"> |</w:t>
    </w:r>
    <w:r w:rsidRPr="00784854">
      <w:rPr>
        <w:rStyle w:val="PageNumber"/>
        <w:szCs w:val="18"/>
      </w:rPr>
      <w:t xml:space="preserve"> </w:t>
    </w:r>
    <w:r>
      <w:rPr>
        <w:rStyle w:val="PageNumber"/>
        <w:szCs w:val="18"/>
      </w:rPr>
      <w:t>Defence</w: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0F7FBE" w14:textId="27041451" w:rsidR="00CA309D" w:rsidRPr="009440B7" w:rsidRDefault="00CA309D" w:rsidP="009440B7">
    <w:pPr>
      <w:pStyle w:val="FooterEven"/>
      <w:jc w:val="right"/>
      <w:rPr>
        <w:szCs w:val="18"/>
      </w:rPr>
    </w:pPr>
    <w:r>
      <w:rPr>
        <w:rStyle w:val="PageNumber"/>
        <w:szCs w:val="18"/>
      </w:rPr>
      <w:t>Defence</w:t>
    </w:r>
    <w:r w:rsidRPr="006E0B00">
      <w:rPr>
        <w:rStyle w:val="PageNumber"/>
        <w:szCs w:val="18"/>
      </w:rPr>
      <w:t xml:space="preserve"> | </w:t>
    </w:r>
    <w:r w:rsidRPr="006E0B00">
      <w:rPr>
        <w:rStyle w:val="PageNumber"/>
        <w:b/>
        <w:szCs w:val="18"/>
      </w:rPr>
      <w:t xml:space="preserve">Page </w:t>
    </w:r>
    <w:r w:rsidRPr="006E0B00">
      <w:rPr>
        <w:rStyle w:val="PageNumber"/>
        <w:b/>
        <w:szCs w:val="18"/>
      </w:rPr>
      <w:fldChar w:fldCharType="begin"/>
    </w:r>
    <w:r w:rsidRPr="006E0B00">
      <w:rPr>
        <w:rStyle w:val="PageNumber"/>
        <w:b/>
        <w:szCs w:val="18"/>
      </w:rPr>
      <w:instrText xml:space="preserve"> PAGE </w:instrText>
    </w:r>
    <w:r w:rsidRPr="006E0B00">
      <w:rPr>
        <w:rStyle w:val="PageNumber"/>
        <w:b/>
        <w:szCs w:val="18"/>
      </w:rPr>
      <w:fldChar w:fldCharType="separate"/>
    </w:r>
    <w:r w:rsidR="00CE69B0">
      <w:rPr>
        <w:rStyle w:val="PageNumber"/>
        <w:b/>
        <w:noProof/>
        <w:szCs w:val="18"/>
      </w:rPr>
      <w:t>161</w:t>
    </w:r>
    <w:r w:rsidRPr="006E0B00">
      <w:rPr>
        <w:rStyle w:val="PageNumber"/>
        <w:b/>
        <w:szCs w:val="18"/>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45C847" w14:textId="72D804C7" w:rsidR="00CA309D" w:rsidRDefault="00CA309D" w:rsidP="00FF46AE">
    <w:pPr>
      <w:pStyle w:val="FooterEven"/>
    </w:pPr>
    <w:r w:rsidRPr="00787DB2">
      <w:rPr>
        <w:rStyle w:val="PageNumber"/>
        <w:b/>
        <w:szCs w:val="18"/>
      </w:rPr>
      <w:t xml:space="preserve">Page </w:t>
    </w:r>
    <w:r w:rsidRPr="00787DB2">
      <w:rPr>
        <w:rStyle w:val="PageNumber"/>
        <w:b/>
        <w:szCs w:val="18"/>
      </w:rPr>
      <w:fldChar w:fldCharType="begin"/>
    </w:r>
    <w:r w:rsidRPr="00787DB2">
      <w:rPr>
        <w:rStyle w:val="PageNumber"/>
        <w:b/>
        <w:szCs w:val="18"/>
      </w:rPr>
      <w:instrText xml:space="preserve">PAGE  </w:instrText>
    </w:r>
    <w:r w:rsidRPr="00787DB2">
      <w:rPr>
        <w:rStyle w:val="PageNumber"/>
        <w:b/>
        <w:szCs w:val="18"/>
      </w:rPr>
      <w:fldChar w:fldCharType="separate"/>
    </w:r>
    <w:r w:rsidR="00CE69B0">
      <w:rPr>
        <w:rStyle w:val="PageNumber"/>
        <w:b/>
        <w:noProof/>
        <w:szCs w:val="18"/>
      </w:rPr>
      <w:t>184</w:t>
    </w:r>
    <w:r w:rsidRPr="00787DB2">
      <w:rPr>
        <w:rStyle w:val="PageNumber"/>
        <w:b/>
        <w:szCs w:val="18"/>
      </w:rPr>
      <w:fldChar w:fldCharType="end"/>
    </w:r>
    <w:r w:rsidRPr="001D6B09">
      <w:rPr>
        <w:rStyle w:val="PageNumber"/>
        <w:szCs w:val="18"/>
      </w:rPr>
      <w:t xml:space="preserve"> |</w:t>
    </w:r>
    <w:r w:rsidRPr="004268EE">
      <w:rPr>
        <w:rStyle w:val="PageNumber"/>
        <w:szCs w:val="18"/>
      </w:rPr>
      <w:t xml:space="preserve"> </w:t>
    </w:r>
    <w:r>
      <w:rPr>
        <w:rStyle w:val="PageNumber"/>
        <w:szCs w:val="18"/>
      </w:rPr>
      <w:t>Australian Signals Directorate</w: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5AEA8" w14:textId="36BDFA26" w:rsidR="00CA309D" w:rsidRPr="009440B7" w:rsidRDefault="00CA309D" w:rsidP="009440B7">
    <w:pPr>
      <w:pStyle w:val="FooterEven"/>
      <w:jc w:val="right"/>
      <w:rPr>
        <w:szCs w:val="18"/>
      </w:rPr>
    </w:pPr>
    <w:r>
      <w:rPr>
        <w:rStyle w:val="PageNumber"/>
        <w:szCs w:val="18"/>
      </w:rPr>
      <w:t>Australian Signals Directorate</w:t>
    </w:r>
    <w:r w:rsidRPr="006E0B00">
      <w:rPr>
        <w:rStyle w:val="PageNumber"/>
        <w:szCs w:val="18"/>
      </w:rPr>
      <w:t xml:space="preserve"> | </w:t>
    </w:r>
    <w:r w:rsidRPr="006E0B00">
      <w:rPr>
        <w:rStyle w:val="PageNumber"/>
        <w:b/>
        <w:szCs w:val="18"/>
      </w:rPr>
      <w:t xml:space="preserve">Page </w:t>
    </w:r>
    <w:r w:rsidRPr="006E0B00">
      <w:rPr>
        <w:rStyle w:val="PageNumber"/>
        <w:b/>
        <w:szCs w:val="18"/>
      </w:rPr>
      <w:fldChar w:fldCharType="begin"/>
    </w:r>
    <w:r w:rsidRPr="006E0B00">
      <w:rPr>
        <w:rStyle w:val="PageNumber"/>
        <w:b/>
        <w:szCs w:val="18"/>
      </w:rPr>
      <w:instrText xml:space="preserve"> PAGE </w:instrText>
    </w:r>
    <w:r w:rsidRPr="006E0B00">
      <w:rPr>
        <w:rStyle w:val="PageNumber"/>
        <w:b/>
        <w:szCs w:val="18"/>
      </w:rPr>
      <w:fldChar w:fldCharType="separate"/>
    </w:r>
    <w:r w:rsidR="00CE69B0">
      <w:rPr>
        <w:rStyle w:val="PageNumber"/>
        <w:b/>
        <w:noProof/>
        <w:szCs w:val="18"/>
      </w:rPr>
      <w:t>183</w:t>
    </w:r>
    <w:r w:rsidRPr="006E0B00">
      <w:rPr>
        <w:rStyle w:val="PageNumber"/>
        <w:b/>
        <w:szCs w:val="18"/>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7DCF83" w14:textId="039E132D" w:rsidR="00CA309D" w:rsidRPr="00787DB2" w:rsidRDefault="00CA309D" w:rsidP="00FF46AE">
    <w:pPr>
      <w:pStyle w:val="FooterEven"/>
      <w:rPr>
        <w:rStyle w:val="PageNumber"/>
        <w:b/>
        <w:szCs w:val="18"/>
      </w:rPr>
    </w:pPr>
    <w:r w:rsidRPr="00787DB2">
      <w:rPr>
        <w:rStyle w:val="PageNumber"/>
        <w:b/>
        <w:szCs w:val="18"/>
      </w:rPr>
      <w:t xml:space="preserve">Page </w:t>
    </w:r>
    <w:r w:rsidRPr="00787DB2">
      <w:rPr>
        <w:rStyle w:val="PageNumber"/>
        <w:b/>
        <w:szCs w:val="18"/>
      </w:rPr>
      <w:fldChar w:fldCharType="begin"/>
    </w:r>
    <w:r w:rsidRPr="00787DB2">
      <w:rPr>
        <w:rStyle w:val="PageNumber"/>
        <w:b/>
        <w:szCs w:val="18"/>
      </w:rPr>
      <w:instrText xml:space="preserve">PAGE  </w:instrText>
    </w:r>
    <w:r w:rsidRPr="00787DB2">
      <w:rPr>
        <w:rStyle w:val="PageNumber"/>
        <w:b/>
        <w:szCs w:val="18"/>
      </w:rPr>
      <w:fldChar w:fldCharType="separate"/>
    </w:r>
    <w:r w:rsidR="00CE69B0">
      <w:rPr>
        <w:rStyle w:val="PageNumber"/>
        <w:b/>
        <w:noProof/>
        <w:szCs w:val="18"/>
      </w:rPr>
      <w:t>206</w:t>
    </w:r>
    <w:r w:rsidRPr="00787DB2">
      <w:rPr>
        <w:rStyle w:val="PageNumber"/>
        <w:b/>
        <w:szCs w:val="18"/>
      </w:rPr>
      <w:fldChar w:fldCharType="end"/>
    </w:r>
    <w:r w:rsidRPr="001D6B09">
      <w:rPr>
        <w:rStyle w:val="PageNumber"/>
        <w:szCs w:val="18"/>
      </w:rPr>
      <w:t xml:space="preserve"> |</w:t>
    </w:r>
    <w:r w:rsidRPr="004268EE">
      <w:rPr>
        <w:rStyle w:val="PageNumber"/>
        <w:szCs w:val="18"/>
      </w:rPr>
      <w:t xml:space="preserve"> </w:t>
    </w:r>
    <w:r>
      <w:rPr>
        <w:rStyle w:val="PageNumber"/>
        <w:szCs w:val="18"/>
      </w:rPr>
      <w:t>Australian Submarine Agency</w: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D89C69" w14:textId="0629C545" w:rsidR="00CA309D" w:rsidRPr="006E0B00" w:rsidRDefault="00CA309D" w:rsidP="00FF46AE">
    <w:pPr>
      <w:pStyle w:val="FooterEven"/>
      <w:jc w:val="right"/>
      <w:rPr>
        <w:rStyle w:val="PageNumber"/>
        <w:szCs w:val="18"/>
      </w:rPr>
    </w:pPr>
    <w:r>
      <w:rPr>
        <w:rStyle w:val="PageNumber"/>
        <w:szCs w:val="18"/>
      </w:rPr>
      <w:t>Australian Submarine Agency</w:t>
    </w:r>
    <w:r w:rsidRPr="006E0B00">
      <w:rPr>
        <w:rStyle w:val="PageNumber"/>
        <w:szCs w:val="18"/>
      </w:rPr>
      <w:t xml:space="preserve"> | </w:t>
    </w:r>
    <w:r w:rsidRPr="006E0B00">
      <w:rPr>
        <w:rStyle w:val="PageNumber"/>
        <w:b/>
        <w:szCs w:val="18"/>
      </w:rPr>
      <w:t xml:space="preserve">Page </w:t>
    </w:r>
    <w:r w:rsidRPr="006E0B00">
      <w:rPr>
        <w:rStyle w:val="PageNumber"/>
        <w:b/>
        <w:szCs w:val="18"/>
      </w:rPr>
      <w:fldChar w:fldCharType="begin"/>
    </w:r>
    <w:r w:rsidRPr="006E0B00">
      <w:rPr>
        <w:rStyle w:val="PageNumber"/>
        <w:b/>
        <w:szCs w:val="18"/>
      </w:rPr>
      <w:instrText xml:space="preserve"> PAGE </w:instrText>
    </w:r>
    <w:r w:rsidRPr="006E0B00">
      <w:rPr>
        <w:rStyle w:val="PageNumber"/>
        <w:b/>
        <w:szCs w:val="18"/>
      </w:rPr>
      <w:fldChar w:fldCharType="separate"/>
    </w:r>
    <w:r w:rsidR="00CE69B0">
      <w:rPr>
        <w:rStyle w:val="PageNumber"/>
        <w:b/>
        <w:noProof/>
        <w:szCs w:val="18"/>
      </w:rPr>
      <w:t>205</w:t>
    </w:r>
    <w:r w:rsidRPr="006E0B00">
      <w:rPr>
        <w:rStyle w:val="PageNumber"/>
        <w:b/>
        <w:szCs w:val="18"/>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6E2486" w14:textId="051B652C" w:rsidR="00CA309D" w:rsidRPr="00787DB2" w:rsidRDefault="00CA309D" w:rsidP="00FF46AE">
    <w:pPr>
      <w:pStyle w:val="FooterEven"/>
      <w:rPr>
        <w:rStyle w:val="PageNumber"/>
        <w:b/>
        <w:szCs w:val="18"/>
      </w:rPr>
    </w:pPr>
    <w:r w:rsidRPr="00787DB2">
      <w:rPr>
        <w:rStyle w:val="PageNumber"/>
        <w:b/>
        <w:szCs w:val="18"/>
      </w:rPr>
      <w:t xml:space="preserve">Page </w:t>
    </w:r>
    <w:r w:rsidRPr="00787DB2">
      <w:rPr>
        <w:rStyle w:val="PageNumber"/>
        <w:b/>
        <w:szCs w:val="18"/>
      </w:rPr>
      <w:fldChar w:fldCharType="begin"/>
    </w:r>
    <w:r w:rsidRPr="00787DB2">
      <w:rPr>
        <w:rStyle w:val="PageNumber"/>
        <w:b/>
        <w:szCs w:val="18"/>
      </w:rPr>
      <w:instrText xml:space="preserve">PAGE  </w:instrText>
    </w:r>
    <w:r w:rsidRPr="00787DB2">
      <w:rPr>
        <w:rStyle w:val="PageNumber"/>
        <w:b/>
        <w:szCs w:val="18"/>
      </w:rPr>
      <w:fldChar w:fldCharType="separate"/>
    </w:r>
    <w:r w:rsidR="00CE69B0">
      <w:rPr>
        <w:rStyle w:val="PageNumber"/>
        <w:b/>
        <w:noProof/>
        <w:szCs w:val="18"/>
      </w:rPr>
      <w:t>224</w:t>
    </w:r>
    <w:r w:rsidRPr="00787DB2">
      <w:rPr>
        <w:rStyle w:val="PageNumber"/>
        <w:b/>
        <w:szCs w:val="18"/>
      </w:rPr>
      <w:fldChar w:fldCharType="end"/>
    </w:r>
    <w:r w:rsidRPr="001D6B09">
      <w:rPr>
        <w:rStyle w:val="PageNumber"/>
        <w:szCs w:val="18"/>
      </w:rPr>
      <w:t xml:space="preserve"> |</w:t>
    </w:r>
    <w:r w:rsidRPr="004268EE">
      <w:rPr>
        <w:rStyle w:val="PageNumber"/>
        <w:szCs w:val="18"/>
      </w:rPr>
      <w:t xml:space="preserve"> </w:t>
    </w:r>
    <w:r>
      <w:rPr>
        <w:rStyle w:val="PageNumber"/>
        <w:szCs w:val="18"/>
      </w:rPr>
      <w:t>Defence Housing Australia</w:t>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9B1EE3" w14:textId="3BB84486" w:rsidR="00CA309D" w:rsidRPr="006E0B00" w:rsidRDefault="00CA309D" w:rsidP="00FF46AE">
    <w:pPr>
      <w:pStyle w:val="FooterEven"/>
      <w:jc w:val="right"/>
      <w:rPr>
        <w:rStyle w:val="PageNumber"/>
        <w:szCs w:val="18"/>
      </w:rPr>
    </w:pPr>
    <w:r>
      <w:rPr>
        <w:rStyle w:val="PageNumber"/>
        <w:szCs w:val="18"/>
      </w:rPr>
      <w:t>Defence Housing Australia</w:t>
    </w:r>
    <w:r w:rsidRPr="006E0B00">
      <w:rPr>
        <w:rStyle w:val="PageNumber"/>
        <w:szCs w:val="18"/>
      </w:rPr>
      <w:t xml:space="preserve"> | </w:t>
    </w:r>
    <w:r w:rsidRPr="006E0B00">
      <w:rPr>
        <w:rStyle w:val="PageNumber"/>
        <w:b/>
        <w:szCs w:val="18"/>
      </w:rPr>
      <w:t xml:space="preserve">Page </w:t>
    </w:r>
    <w:r w:rsidRPr="006E0B00">
      <w:rPr>
        <w:rStyle w:val="PageNumber"/>
        <w:b/>
        <w:szCs w:val="18"/>
      </w:rPr>
      <w:fldChar w:fldCharType="begin"/>
    </w:r>
    <w:r w:rsidRPr="006E0B00">
      <w:rPr>
        <w:rStyle w:val="PageNumber"/>
        <w:b/>
        <w:szCs w:val="18"/>
      </w:rPr>
      <w:instrText xml:space="preserve"> PAGE </w:instrText>
    </w:r>
    <w:r w:rsidRPr="006E0B00">
      <w:rPr>
        <w:rStyle w:val="PageNumber"/>
        <w:b/>
        <w:szCs w:val="18"/>
      </w:rPr>
      <w:fldChar w:fldCharType="separate"/>
    </w:r>
    <w:r w:rsidR="00CE69B0">
      <w:rPr>
        <w:rStyle w:val="PageNumber"/>
        <w:b/>
        <w:noProof/>
        <w:szCs w:val="18"/>
      </w:rPr>
      <w:t>223</w:t>
    </w:r>
    <w:r w:rsidRPr="006E0B00">
      <w:rPr>
        <w:rStyle w:val="PageNumber"/>
        <w:b/>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BACDE" w14:textId="318C5728" w:rsidR="00CA309D" w:rsidRDefault="00CA309D" w:rsidP="007E7D35"/>
  <w:p w14:paraId="456ED984" w14:textId="6E0D65B1" w:rsidR="00CA309D" w:rsidRDefault="00CA309D" w:rsidP="00A211F5">
    <w:pPr>
      <w:pStyle w:val="FooterOdd"/>
      <w:jc w:val="left"/>
      <w:rPr>
        <w:rStyle w:val="PageNumber"/>
        <w:b/>
        <w:szCs w:val="18"/>
      </w:rPr>
    </w:pPr>
    <w:r w:rsidRPr="0066112F">
      <w:rPr>
        <w:rStyle w:val="PageNumber"/>
        <w:b/>
        <w:bCs/>
      </w:rPr>
      <w:t xml:space="preserve">Page </w:t>
    </w:r>
    <w:r>
      <w:rPr>
        <w:rStyle w:val="PageNumber"/>
        <w:b/>
        <w:bCs/>
      </w:rPr>
      <w:fldChar w:fldCharType="begin"/>
    </w:r>
    <w:r>
      <w:rPr>
        <w:rStyle w:val="PageNumber"/>
        <w:b/>
        <w:bCs/>
      </w:rPr>
      <w:instrText xml:space="preserve"> PAGE  \* roman </w:instrText>
    </w:r>
    <w:r>
      <w:rPr>
        <w:rStyle w:val="PageNumber"/>
        <w:b/>
        <w:bCs/>
      </w:rPr>
      <w:fldChar w:fldCharType="separate"/>
    </w:r>
    <w:r w:rsidR="00CE69B0">
      <w:rPr>
        <w:rStyle w:val="PageNumber"/>
        <w:b/>
        <w:bCs/>
        <w:noProof/>
      </w:rPr>
      <w:t>vi</w:t>
    </w:r>
    <w:r>
      <w:rPr>
        <w:rStyle w:val="PageNumber"/>
        <w:b/>
        <w:bCs/>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7BAE9" w14:textId="5358CB3A" w:rsidR="00CA309D" w:rsidRPr="00787DB2" w:rsidRDefault="00CA309D" w:rsidP="00AD7B6B">
    <w:pPr>
      <w:pStyle w:val="FooterEven"/>
      <w:rPr>
        <w:rStyle w:val="PageNumber"/>
        <w:b/>
        <w:szCs w:val="18"/>
      </w:rPr>
    </w:pPr>
    <w:r w:rsidRPr="00787DB2">
      <w:rPr>
        <w:rStyle w:val="PageNumber"/>
        <w:b/>
        <w:szCs w:val="18"/>
      </w:rPr>
      <w:t xml:space="preserve">Page </w:t>
    </w:r>
    <w:r w:rsidRPr="00787DB2">
      <w:rPr>
        <w:rStyle w:val="PageNumber"/>
        <w:b/>
        <w:szCs w:val="18"/>
      </w:rPr>
      <w:fldChar w:fldCharType="begin"/>
    </w:r>
    <w:r w:rsidRPr="00787DB2">
      <w:rPr>
        <w:rStyle w:val="PageNumber"/>
        <w:b/>
        <w:szCs w:val="18"/>
      </w:rPr>
      <w:instrText xml:space="preserve">PAGE  </w:instrText>
    </w:r>
    <w:r w:rsidRPr="00787DB2">
      <w:rPr>
        <w:rStyle w:val="PageNumber"/>
        <w:b/>
        <w:szCs w:val="18"/>
      </w:rPr>
      <w:fldChar w:fldCharType="separate"/>
    </w:r>
    <w:r w:rsidR="00CE69B0">
      <w:rPr>
        <w:rStyle w:val="PageNumber"/>
        <w:b/>
        <w:noProof/>
        <w:szCs w:val="18"/>
      </w:rPr>
      <w:t>242</w:t>
    </w:r>
    <w:r w:rsidRPr="00787DB2">
      <w:rPr>
        <w:rStyle w:val="PageNumber"/>
        <w:b/>
        <w:szCs w:val="18"/>
      </w:rPr>
      <w:fldChar w:fldCharType="end"/>
    </w:r>
    <w:r w:rsidRPr="001D6B09">
      <w:rPr>
        <w:rStyle w:val="PageNumber"/>
        <w:szCs w:val="18"/>
      </w:rPr>
      <w:t xml:space="preserve"> |</w:t>
    </w:r>
    <w:r w:rsidRPr="004268EE">
      <w:rPr>
        <w:rStyle w:val="PageNumber"/>
        <w:szCs w:val="18"/>
      </w:rPr>
      <w:t xml:space="preserve"> </w:t>
    </w:r>
    <w:r w:rsidRPr="00F93DCB">
      <w:rPr>
        <w:rStyle w:val="PageNumber"/>
        <w:szCs w:val="18"/>
      </w:rPr>
      <w:t xml:space="preserve">Australian Naval Nuclear </w:t>
    </w:r>
    <w:r>
      <w:rPr>
        <w:rStyle w:val="PageNumber"/>
        <w:szCs w:val="18"/>
      </w:rPr>
      <w:t xml:space="preserve">Power </w:t>
    </w:r>
    <w:r w:rsidRPr="00F93DCB">
      <w:rPr>
        <w:rStyle w:val="PageNumber"/>
        <w:szCs w:val="18"/>
      </w:rPr>
      <w:t>Safety Regulator</w:t>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D12D3" w14:textId="79F57B8F" w:rsidR="00CA309D" w:rsidRPr="006E0B00" w:rsidRDefault="00CA309D" w:rsidP="00AD7B6B">
    <w:pPr>
      <w:pStyle w:val="FooterEven"/>
      <w:jc w:val="right"/>
      <w:rPr>
        <w:rStyle w:val="PageNumber"/>
        <w:szCs w:val="18"/>
      </w:rPr>
    </w:pPr>
    <w:r>
      <w:rPr>
        <w:rStyle w:val="PageNumber"/>
        <w:szCs w:val="18"/>
      </w:rPr>
      <w:t xml:space="preserve">Australian Naval Nuclear Power Safety Regulator </w:t>
    </w:r>
    <w:r w:rsidRPr="006E0B00">
      <w:rPr>
        <w:rStyle w:val="PageNumber"/>
        <w:szCs w:val="18"/>
      </w:rPr>
      <w:t xml:space="preserve">| </w:t>
    </w:r>
    <w:r w:rsidRPr="006E0B00">
      <w:rPr>
        <w:rStyle w:val="PageNumber"/>
        <w:b/>
        <w:szCs w:val="18"/>
      </w:rPr>
      <w:t xml:space="preserve">Page </w:t>
    </w:r>
    <w:r w:rsidRPr="006E0B00">
      <w:rPr>
        <w:rStyle w:val="PageNumber"/>
        <w:b/>
        <w:szCs w:val="18"/>
      </w:rPr>
      <w:fldChar w:fldCharType="begin"/>
    </w:r>
    <w:r w:rsidRPr="006E0B00">
      <w:rPr>
        <w:rStyle w:val="PageNumber"/>
        <w:b/>
        <w:szCs w:val="18"/>
      </w:rPr>
      <w:instrText xml:space="preserve"> PAGE </w:instrText>
    </w:r>
    <w:r w:rsidRPr="006E0B00">
      <w:rPr>
        <w:rStyle w:val="PageNumber"/>
        <w:b/>
        <w:szCs w:val="18"/>
      </w:rPr>
      <w:fldChar w:fldCharType="separate"/>
    </w:r>
    <w:r w:rsidR="00CE69B0">
      <w:rPr>
        <w:rStyle w:val="PageNumber"/>
        <w:b/>
        <w:noProof/>
        <w:szCs w:val="18"/>
      </w:rPr>
      <w:t>241</w:t>
    </w:r>
    <w:r w:rsidRPr="006E0B00">
      <w:rPr>
        <w:rStyle w:val="PageNumber"/>
        <w:b/>
        <w:szCs w:val="18"/>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32E6CA" w14:textId="4872BC7A" w:rsidR="00CA309D" w:rsidRPr="00787DB2" w:rsidRDefault="00CA309D" w:rsidP="00AD7B6B">
    <w:pPr>
      <w:pStyle w:val="FooterEven"/>
      <w:rPr>
        <w:rStyle w:val="PageNumber"/>
        <w:b/>
        <w:szCs w:val="18"/>
      </w:rPr>
    </w:pPr>
    <w:r w:rsidRPr="00787DB2">
      <w:rPr>
        <w:rStyle w:val="PageNumber"/>
        <w:b/>
        <w:szCs w:val="18"/>
      </w:rPr>
      <w:t xml:space="preserve">Page </w:t>
    </w:r>
    <w:r w:rsidRPr="00787DB2">
      <w:rPr>
        <w:rStyle w:val="PageNumber"/>
        <w:b/>
        <w:szCs w:val="18"/>
      </w:rPr>
      <w:fldChar w:fldCharType="begin"/>
    </w:r>
    <w:r w:rsidRPr="00787DB2">
      <w:rPr>
        <w:rStyle w:val="PageNumber"/>
        <w:b/>
        <w:szCs w:val="18"/>
      </w:rPr>
      <w:instrText xml:space="preserve">PAGE  </w:instrText>
    </w:r>
    <w:r w:rsidRPr="00787DB2">
      <w:rPr>
        <w:rStyle w:val="PageNumber"/>
        <w:b/>
        <w:szCs w:val="18"/>
      </w:rPr>
      <w:fldChar w:fldCharType="separate"/>
    </w:r>
    <w:r w:rsidR="003B415B">
      <w:rPr>
        <w:rStyle w:val="PageNumber"/>
        <w:b/>
        <w:noProof/>
        <w:szCs w:val="18"/>
      </w:rPr>
      <w:t>260</w:t>
    </w:r>
    <w:r w:rsidRPr="00787DB2">
      <w:rPr>
        <w:rStyle w:val="PageNumber"/>
        <w:b/>
        <w:szCs w:val="18"/>
      </w:rPr>
      <w:fldChar w:fldCharType="end"/>
    </w:r>
    <w:r w:rsidRPr="001D6B09">
      <w:rPr>
        <w:rStyle w:val="PageNumber"/>
        <w:szCs w:val="18"/>
      </w:rPr>
      <w:t xml:space="preserve"> |</w:t>
    </w:r>
    <w:r w:rsidRPr="004268EE">
      <w:rPr>
        <w:rStyle w:val="PageNumber"/>
        <w:szCs w:val="18"/>
      </w:rPr>
      <w:t xml:space="preserve"> </w:t>
    </w:r>
    <w:r>
      <w:rPr>
        <w:rStyle w:val="PageNumber"/>
        <w:szCs w:val="18"/>
      </w:rPr>
      <w:t>Defence and Veterans’ Service Commission</w:t>
    </w:r>
    <w:r w:rsidRPr="006E0B00">
      <w:rPr>
        <w:rStyle w:val="PageNumber"/>
        <w:szCs w:val="18"/>
      </w:rPr>
      <w:t xml:space="preserve"> </w:t>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8D76DC" w14:textId="2C90E7A2" w:rsidR="00CA309D" w:rsidRPr="006E0B00" w:rsidRDefault="00CA309D" w:rsidP="00AD7B6B">
    <w:pPr>
      <w:pStyle w:val="FooterEven"/>
      <w:jc w:val="right"/>
      <w:rPr>
        <w:rStyle w:val="PageNumber"/>
        <w:szCs w:val="18"/>
      </w:rPr>
    </w:pPr>
    <w:r>
      <w:rPr>
        <w:rStyle w:val="PageNumber"/>
        <w:szCs w:val="18"/>
      </w:rPr>
      <w:t>Defence and Veterans’ Service Commission</w:t>
    </w:r>
    <w:r w:rsidRPr="006E0B00">
      <w:rPr>
        <w:rStyle w:val="PageNumber"/>
        <w:szCs w:val="18"/>
      </w:rPr>
      <w:t xml:space="preserve"> | </w:t>
    </w:r>
    <w:r w:rsidRPr="006E0B00">
      <w:rPr>
        <w:rStyle w:val="PageNumber"/>
        <w:b/>
        <w:szCs w:val="18"/>
      </w:rPr>
      <w:t xml:space="preserve">Page </w:t>
    </w:r>
    <w:r w:rsidRPr="006E0B00">
      <w:rPr>
        <w:rStyle w:val="PageNumber"/>
        <w:b/>
        <w:szCs w:val="18"/>
      </w:rPr>
      <w:fldChar w:fldCharType="begin"/>
    </w:r>
    <w:r w:rsidRPr="006E0B00">
      <w:rPr>
        <w:rStyle w:val="PageNumber"/>
        <w:b/>
        <w:szCs w:val="18"/>
      </w:rPr>
      <w:instrText xml:space="preserve"> PAGE </w:instrText>
    </w:r>
    <w:r w:rsidRPr="006E0B00">
      <w:rPr>
        <w:rStyle w:val="PageNumber"/>
        <w:b/>
        <w:szCs w:val="18"/>
      </w:rPr>
      <w:fldChar w:fldCharType="separate"/>
    </w:r>
    <w:r w:rsidR="003B415B">
      <w:rPr>
        <w:rStyle w:val="PageNumber"/>
        <w:b/>
        <w:noProof/>
        <w:szCs w:val="18"/>
      </w:rPr>
      <w:t>259</w:t>
    </w:r>
    <w:r w:rsidRPr="006E0B00">
      <w:rPr>
        <w:rStyle w:val="PageNumber"/>
        <w:b/>
        <w:szCs w:val="18"/>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33F4AB" w14:textId="7E5F91AD" w:rsidR="00CA309D" w:rsidRDefault="00CA309D" w:rsidP="0085357D">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sidR="003B415B">
      <w:rPr>
        <w:b/>
        <w:bCs w:val="0"/>
        <w:noProof/>
      </w:rPr>
      <w:t>266</w:t>
    </w:r>
    <w:r w:rsidRPr="006E442F">
      <w:rPr>
        <w:b/>
        <w:bCs w:val="0"/>
        <w:noProof/>
      </w:rPr>
      <w:fldChar w:fldCharType="end"/>
    </w:r>
    <w:r>
      <w:rPr>
        <w:noProof/>
      </w:rPr>
      <w:t xml:space="preserve"> | Glossary</w:t>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1E4FE" w14:textId="47AB24BA" w:rsidR="00CA309D" w:rsidRPr="002C5119" w:rsidRDefault="00CA309D" w:rsidP="0085357D">
    <w:pPr>
      <w:pStyle w:val="FooterOdd"/>
      <w:rPr>
        <w:rStyle w:val="PageNumber"/>
        <w:b/>
        <w:bCs/>
      </w:rPr>
    </w:pPr>
    <w:r>
      <w:rPr>
        <w:rStyle w:val="PageNumber"/>
        <w:lang w:val="en-AU"/>
      </w:rPr>
      <w:t xml:space="preserve">Glossary </w:t>
    </w:r>
    <w:r>
      <w:rPr>
        <w:lang w:val="en-AU"/>
      </w:rPr>
      <w:t xml:space="preserve">| </w:t>
    </w:r>
    <w:r w:rsidRPr="006E442F">
      <w:rPr>
        <w:b/>
        <w:bCs/>
        <w:lang w:val="en-AU"/>
      </w:rPr>
      <w:t xml:space="preserve">Page </w:t>
    </w:r>
    <w:r w:rsidRPr="006E442F">
      <w:rPr>
        <w:b/>
        <w:bCs/>
      </w:rPr>
      <w:fldChar w:fldCharType="begin"/>
    </w:r>
    <w:r w:rsidRPr="006E442F">
      <w:rPr>
        <w:b/>
        <w:bCs/>
      </w:rPr>
      <w:instrText xml:space="preserve"> PAGE   \* MERGEFORMAT </w:instrText>
    </w:r>
    <w:r w:rsidRPr="006E442F">
      <w:rPr>
        <w:b/>
        <w:bCs/>
      </w:rPr>
      <w:fldChar w:fldCharType="separate"/>
    </w:r>
    <w:r w:rsidR="003B415B">
      <w:rPr>
        <w:b/>
        <w:bCs/>
        <w:noProof/>
      </w:rPr>
      <w:t>265</w:t>
    </w:r>
    <w:r w:rsidRPr="006E442F">
      <w:rPr>
        <w:b/>
        <w:bCs/>
        <w:noProof/>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AD6935" w14:textId="2BD4B962" w:rsidR="00CA309D" w:rsidRDefault="00CA309D" w:rsidP="004D20D0">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sidR="003B415B">
      <w:rPr>
        <w:b/>
        <w:bCs w:val="0"/>
        <w:noProof/>
      </w:rPr>
      <w:t>272</w:t>
    </w:r>
    <w:r w:rsidRPr="006E442F">
      <w:rPr>
        <w:b/>
        <w:bCs w:val="0"/>
        <w:noProof/>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0D472" w14:textId="07C6E9F6" w:rsidR="00CA309D" w:rsidRPr="002C5119" w:rsidRDefault="00CA309D" w:rsidP="004D20D0">
    <w:pPr>
      <w:pStyle w:val="FooterOdd"/>
      <w:rPr>
        <w:rStyle w:val="PageNumber"/>
        <w:b/>
        <w:bCs/>
      </w:rPr>
    </w:pPr>
    <w:r>
      <w:rPr>
        <w:rStyle w:val="PageNumber"/>
        <w:lang w:val="en-AU"/>
      </w:rPr>
      <w:t xml:space="preserve">Acronyms </w:t>
    </w:r>
    <w:r>
      <w:rPr>
        <w:lang w:val="en-AU"/>
      </w:rPr>
      <w:t xml:space="preserve">| </w:t>
    </w:r>
    <w:r w:rsidRPr="006E442F">
      <w:rPr>
        <w:b/>
        <w:bCs/>
        <w:lang w:val="en-AU"/>
      </w:rPr>
      <w:t xml:space="preserve">Page </w:t>
    </w:r>
    <w:r w:rsidRPr="006E442F">
      <w:rPr>
        <w:b/>
        <w:bCs/>
      </w:rPr>
      <w:fldChar w:fldCharType="begin"/>
    </w:r>
    <w:r w:rsidRPr="006E442F">
      <w:rPr>
        <w:b/>
        <w:bCs/>
      </w:rPr>
      <w:instrText xml:space="preserve"> PAGE   \* MERGEFORMAT </w:instrText>
    </w:r>
    <w:r w:rsidRPr="006E442F">
      <w:rPr>
        <w:b/>
        <w:bCs/>
      </w:rPr>
      <w:fldChar w:fldCharType="separate"/>
    </w:r>
    <w:r w:rsidR="003B415B">
      <w:rPr>
        <w:b/>
        <w:bCs/>
        <w:noProof/>
      </w:rPr>
      <w:t>273</w:t>
    </w:r>
    <w:r w:rsidRPr="006E442F">
      <w:rPr>
        <w:b/>
        <w:bCs/>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274C1" w14:textId="353ADC62" w:rsidR="00CA309D" w:rsidRPr="0066112F" w:rsidRDefault="00CA309D" w:rsidP="00CF10DD">
    <w:pPr>
      <w:pStyle w:val="FooterEven"/>
    </w:pPr>
    <w:r w:rsidRPr="0066112F">
      <w:rPr>
        <w:rStyle w:val="PageNumber"/>
        <w:b/>
      </w:rPr>
      <w:t xml:space="preserve">Page </w:t>
    </w:r>
    <w:r w:rsidRPr="0066112F">
      <w:rPr>
        <w:rStyle w:val="PageNumber"/>
        <w:b/>
        <w:bCs w:val="0"/>
      </w:rPr>
      <w:fldChar w:fldCharType="begin"/>
    </w:r>
    <w:r w:rsidRPr="0066112F">
      <w:rPr>
        <w:rStyle w:val="PageNumber"/>
        <w:b/>
      </w:rPr>
      <w:instrText xml:space="preserve"> PAGE </w:instrText>
    </w:r>
    <w:r w:rsidRPr="0066112F">
      <w:rPr>
        <w:rStyle w:val="PageNumber"/>
        <w:b/>
        <w:bCs w:val="0"/>
      </w:rPr>
      <w:fldChar w:fldCharType="separate"/>
    </w:r>
    <w:r w:rsidR="00CE69B0">
      <w:rPr>
        <w:rStyle w:val="PageNumber"/>
        <w:b/>
        <w:noProof/>
      </w:rPr>
      <w:t>viii</w:t>
    </w:r>
    <w:r w:rsidRPr="0066112F">
      <w:rPr>
        <w:rStyle w:val="PageNumber"/>
        <w:b/>
        <w:bCs w:val="0"/>
      </w:rPr>
      <w:fldChar w:fldCharType="end"/>
    </w:r>
    <w:r>
      <w:t xml:space="preserve"> </w:t>
    </w:r>
    <w:r w:rsidRPr="0066112F">
      <w:t>|</w:t>
    </w:r>
    <w:r w:rsidRPr="005F59D0">
      <w:rPr>
        <w:rStyle w:val="PageNumber"/>
      </w:rPr>
      <w:fldChar w:fldCharType="begin"/>
    </w:r>
    <w:r w:rsidRPr="005F59D0">
      <w:rPr>
        <w:rStyle w:val="PageNumber"/>
      </w:rPr>
      <w:instrText xml:space="preserve"> STYLEREF  "Part Heading"  \* MERGEFORMAT </w:instrText>
    </w:r>
    <w:r w:rsidRPr="005F59D0">
      <w:rPr>
        <w:rStyle w:val="PageNumber"/>
      </w:rPr>
      <w:fldChar w:fldCharType="end"/>
    </w:r>
    <w:r w:rsidRPr="0066112F">
      <w:rPr>
        <w:rStyle w:val="PageNumber"/>
      </w:rPr>
      <w:t xml:space="preserve"> </w:t>
    </w:r>
    <w:r>
      <w:rPr>
        <w:rStyle w:val="PageNumber"/>
      </w:rPr>
      <w:t>User Guide</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0F4B98" w14:textId="63B4B5D7" w:rsidR="00CA309D" w:rsidRPr="00A211F5" w:rsidRDefault="00CA309D" w:rsidP="00A211F5">
    <w:pPr>
      <w:pStyle w:val="FooterEven"/>
      <w:jc w:val="right"/>
      <w:rPr>
        <w:rStyle w:val="PageNumber"/>
        <w:b/>
      </w:rPr>
    </w:pPr>
    <w:r w:rsidRPr="00A211F5">
      <w:rPr>
        <w:rStyle w:val="PageNumber"/>
      </w:rPr>
      <w:t>User Guide</w:t>
    </w:r>
    <w:r w:rsidRPr="00A211F5">
      <w:rPr>
        <w:rStyle w:val="PageNumber"/>
        <w:b/>
      </w:rPr>
      <w:fldChar w:fldCharType="begin"/>
    </w:r>
    <w:r w:rsidRPr="00A211F5">
      <w:rPr>
        <w:rStyle w:val="PageNumber"/>
        <w:b/>
      </w:rPr>
      <w:instrText xml:space="preserve"> STYLEREF  "Part Heading"  \* MERGEFORMAT </w:instrText>
    </w:r>
    <w:r w:rsidRPr="00A211F5">
      <w:rPr>
        <w:rStyle w:val="PageNumber"/>
        <w:b/>
      </w:rPr>
      <w:fldChar w:fldCharType="end"/>
    </w:r>
    <w:r w:rsidRPr="00A211F5">
      <w:rPr>
        <w:rStyle w:val="PageNumber"/>
      </w:rPr>
      <w:t xml:space="preserve"> </w:t>
    </w:r>
    <w:r w:rsidRPr="00A211F5">
      <w:rPr>
        <w:rStyle w:val="PageNumber"/>
        <w:b/>
      </w:rPr>
      <w:t xml:space="preserve">| </w:t>
    </w:r>
    <w:r w:rsidRPr="0066112F">
      <w:rPr>
        <w:rStyle w:val="PageNumber"/>
        <w:b/>
      </w:rPr>
      <w:t xml:space="preserve">Page </w:t>
    </w:r>
    <w:r w:rsidRPr="000E448A">
      <w:rPr>
        <w:rStyle w:val="PageNumber"/>
        <w:b/>
      </w:rPr>
      <w:fldChar w:fldCharType="begin"/>
    </w:r>
    <w:r>
      <w:rPr>
        <w:rStyle w:val="PageNumber"/>
        <w:b/>
      </w:rPr>
      <w:instrText xml:space="preserve"> PAGE  \* roman </w:instrText>
    </w:r>
    <w:r w:rsidRPr="000E448A">
      <w:rPr>
        <w:rStyle w:val="PageNumber"/>
        <w:b/>
      </w:rPr>
      <w:fldChar w:fldCharType="separate"/>
    </w:r>
    <w:r w:rsidR="00CE69B0">
      <w:rPr>
        <w:rStyle w:val="PageNumber"/>
        <w:b/>
        <w:noProof/>
      </w:rPr>
      <w:t>ix</w:t>
    </w:r>
    <w:r w:rsidRPr="000E448A">
      <w:rPr>
        <w:rStyle w:val="PageNumber"/>
        <w:b/>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9DD66E" w14:textId="201F19EE" w:rsidR="00CA309D" w:rsidRPr="003F0C8B" w:rsidRDefault="00CA309D" w:rsidP="00CF10DD">
    <w:pPr>
      <w:pStyle w:val="FooterEven"/>
      <w:rPr>
        <w:rStyle w:val="PageNumber"/>
      </w:rPr>
    </w:pPr>
    <w:r w:rsidRPr="0066112F">
      <w:rPr>
        <w:rStyle w:val="PageNumber"/>
        <w:b/>
      </w:rPr>
      <w:t xml:space="preserve">Page </w:t>
    </w:r>
    <w:r w:rsidRPr="0066112F">
      <w:rPr>
        <w:rStyle w:val="PageNumber"/>
        <w:b/>
        <w:bCs w:val="0"/>
      </w:rPr>
      <w:fldChar w:fldCharType="begin"/>
    </w:r>
    <w:r w:rsidRPr="0066112F">
      <w:rPr>
        <w:rStyle w:val="PageNumber"/>
        <w:b/>
      </w:rPr>
      <w:instrText xml:space="preserve"> PAGE </w:instrText>
    </w:r>
    <w:r w:rsidRPr="0066112F">
      <w:rPr>
        <w:rStyle w:val="PageNumber"/>
        <w:b/>
        <w:bCs w:val="0"/>
      </w:rPr>
      <w:fldChar w:fldCharType="separate"/>
    </w:r>
    <w:r>
      <w:rPr>
        <w:rStyle w:val="PageNumber"/>
        <w:b/>
        <w:noProof/>
      </w:rPr>
      <w:t>x</w:t>
    </w:r>
    <w:r w:rsidRPr="0066112F">
      <w:rPr>
        <w:rStyle w:val="PageNumber"/>
        <w:b/>
        <w:bCs w:val="0"/>
      </w:rPr>
      <w:fldChar w:fldCharType="end"/>
    </w:r>
    <w:r w:rsidRPr="0066112F">
      <w:t> | </w:t>
    </w:r>
    <w:r>
      <w:rPr>
        <w:rStyle w:val="PageNumber"/>
      </w:rPr>
      <w:fldChar w:fldCharType="begin"/>
    </w:r>
    <w:r>
      <w:rPr>
        <w:rStyle w:val="PageNumber"/>
      </w:rPr>
      <w:instrText xml:space="preserve"> STYLEREF  "Part Heading"  \* MERGEFORMAT </w:instrText>
    </w:r>
    <w:r>
      <w:rPr>
        <w:rStyle w:val="PageNumber"/>
      </w:rPr>
      <w:fldChar w:fldCharType="end"/>
    </w:r>
    <w:r w:rsidRPr="0066112F">
      <w:rPr>
        <w:rStyle w:val="PageNumber"/>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373E55" w14:textId="02F0DF01" w:rsidR="00CA309D" w:rsidRPr="008731ED" w:rsidRDefault="00CA309D" w:rsidP="00CF10DD">
    <w:pPr>
      <w:pStyle w:val="FooterOdd"/>
      <w:rPr>
        <w:rStyle w:val="PageNumber"/>
        <w:color w:val="000000"/>
      </w:rPr>
    </w:pPr>
    <w:r>
      <w:fldChar w:fldCharType="begin"/>
    </w:r>
    <w:r>
      <w:instrText xml:space="preserve"> STYLEREF  "Part Heading"  \* MERGEFORMAT </w:instrText>
    </w:r>
    <w:r>
      <w:rPr>
        <w:noProof/>
      </w:rPr>
      <w:fldChar w:fldCharType="end"/>
    </w:r>
    <w:r w:rsidRPr="0066112F">
      <w:t> | </w:t>
    </w:r>
    <w:r w:rsidRPr="0066112F">
      <w:rPr>
        <w:rStyle w:val="PageNumber"/>
        <w:b/>
        <w:bCs/>
      </w:rPr>
      <w:t xml:space="preserve">Page </w:t>
    </w:r>
    <w:r w:rsidRPr="0066112F">
      <w:rPr>
        <w:rStyle w:val="PageNumber"/>
        <w:b/>
        <w:bCs/>
      </w:rPr>
      <w:fldChar w:fldCharType="begin"/>
    </w:r>
    <w:r w:rsidRPr="0066112F">
      <w:rPr>
        <w:rStyle w:val="PageNumber"/>
        <w:b/>
        <w:bCs/>
      </w:rPr>
      <w:instrText xml:space="preserve"> PAGE  \* Arabic </w:instrText>
    </w:r>
    <w:r w:rsidRPr="0066112F">
      <w:rPr>
        <w:rStyle w:val="PageNumber"/>
        <w:b/>
        <w:bCs/>
      </w:rPr>
      <w:fldChar w:fldCharType="separate"/>
    </w:r>
    <w:r w:rsidRPr="0066112F">
      <w:rPr>
        <w:rStyle w:val="PageNumber"/>
        <w:b/>
        <w:bCs/>
      </w:rPr>
      <w:t>1</w:t>
    </w:r>
    <w:r w:rsidRPr="0066112F">
      <w:rPr>
        <w:rStyle w:val="PageNumber"/>
        <w:b/>
        <w:bCs/>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E9739" w14:textId="77777777" w:rsidR="00CA309D" w:rsidRPr="00CD706E" w:rsidRDefault="00CA309D" w:rsidP="00CF10DD">
    <w:pPr>
      <w:pStyle w:val="FooterOdd"/>
    </w:pPr>
    <w:r w:rsidRPr="0066112F">
      <w:rPr>
        <w:rStyle w:val="PageNumber"/>
        <w:b/>
        <w:bCs/>
      </w:rPr>
      <w:t xml:space="preserve">Page </w:t>
    </w:r>
    <w:r>
      <w:rPr>
        <w:rStyle w:val="PageNumber"/>
        <w:b/>
        <w:bCs/>
      </w:rPr>
      <w:fldChar w:fldCharType="begin"/>
    </w:r>
    <w:r>
      <w:rPr>
        <w:rStyle w:val="PageNumber"/>
        <w:b/>
        <w:bCs/>
      </w:rPr>
      <w:instrText xml:space="preserve"> PAGE  \* roman </w:instrText>
    </w:r>
    <w:r>
      <w:rPr>
        <w:rStyle w:val="PageNumber"/>
        <w:b/>
        <w:bCs/>
      </w:rPr>
      <w:fldChar w:fldCharType="separate"/>
    </w:r>
    <w:r>
      <w:rPr>
        <w:rStyle w:val="PageNumber"/>
        <w:b/>
        <w:bCs/>
        <w:noProof/>
      </w:rPr>
      <w:t>ix</w:t>
    </w:r>
    <w:r>
      <w:rPr>
        <w:rStyle w:val="PageNumbe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E427C9" w14:textId="77777777" w:rsidR="00AD70C0" w:rsidRDefault="00AD70C0">
      <w:r>
        <w:separator/>
      </w:r>
    </w:p>
  </w:footnote>
  <w:footnote w:type="continuationSeparator" w:id="0">
    <w:p w14:paraId="20C40964" w14:textId="77777777" w:rsidR="00AD70C0" w:rsidRDefault="00AD70C0">
      <w:r>
        <w:continuationSeparator/>
      </w:r>
    </w:p>
  </w:footnote>
  <w:footnote w:id="1">
    <w:p w14:paraId="45189048" w14:textId="77777777" w:rsidR="00CA309D" w:rsidRDefault="00CA309D" w:rsidP="00147F58">
      <w:pPr>
        <w:pStyle w:val="FootnoteText"/>
        <w:rPr>
          <w:i/>
          <w:lang w:val="en-AU"/>
        </w:rPr>
      </w:pPr>
      <w:r>
        <w:rPr>
          <w:rStyle w:val="FootnoteReference"/>
          <w:i/>
        </w:rPr>
        <w:footnoteRef/>
      </w:r>
      <w:r>
        <w:rPr>
          <w:i/>
        </w:rPr>
        <w:t xml:space="preserve"> </w:t>
      </w:r>
      <w:r>
        <w:rPr>
          <w:rFonts w:ascii="Arial" w:hAnsi="Arial"/>
          <w:i/>
          <w:sz w:val="14"/>
          <w:szCs w:val="14"/>
        </w:rPr>
        <w:t>. Royal Commission into Defence and Veteran Suicide, Final Report Volume 6, Chapter 30, p. 280.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7E472D" w14:textId="77777777" w:rsidR="00CA309D" w:rsidRPr="00787DB2" w:rsidRDefault="00CA309D" w:rsidP="00787DB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10"/>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tblGrid>
    <w:tr w:rsidR="00CA309D" w:rsidRPr="00561D85" w14:paraId="5A6027F1" w14:textId="77777777" w:rsidTr="00CF10DD">
      <w:trPr>
        <w:trHeight w:hRule="exact" w:val="340"/>
      </w:trPr>
      <w:tc>
        <w:tcPr>
          <w:tcW w:w="7797" w:type="dxa"/>
        </w:tcPr>
        <w:p w14:paraId="5B580261" w14:textId="19F50C08" w:rsidR="00CA309D" w:rsidRPr="00561D85" w:rsidRDefault="00CA309D" w:rsidP="00CF10DD">
          <w:pPr>
            <w:pStyle w:val="HeaderEven"/>
          </w:pPr>
          <w:r w:rsidRPr="00561D85">
            <w:rPr>
              <w:noProof/>
              <w:position w:val="-8"/>
            </w:rPr>
            <w:drawing>
              <wp:inline distT="0" distB="0" distL="0" distR="0" wp14:anchorId="6570166A" wp14:editId="1818CDC2">
                <wp:extent cx="859038" cy="197999"/>
                <wp:effectExtent l="0" t="0" r="0" b="0"/>
                <wp:docPr id="22" name="Picture 2">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414522" name="Picture 2">
                          <a:extLst>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59038" cy="197999"/>
                        </a:xfrm>
                        <a:prstGeom prst="rect">
                          <a:avLst/>
                        </a:prstGeom>
                      </pic:spPr>
                    </pic:pic>
                  </a:graphicData>
                </a:graphic>
              </wp:inline>
            </w:drawing>
          </w:r>
          <w:r w:rsidRPr="00561D85">
            <w:t> | </w:t>
          </w:r>
          <w:r w:rsidR="00AD70C0">
            <w:fldChar w:fldCharType="begin"/>
          </w:r>
          <w:r w:rsidR="00AD70C0">
            <w:instrText xml:space="preserve"> TITLE   \* MERGEFORMAT </w:instrText>
          </w:r>
          <w:r w:rsidR="00AD70C0">
            <w:fldChar w:fldCharType="separate"/>
          </w:r>
          <w:r w:rsidR="00E00C37">
            <w:t>PORTFOLIO ADDITIONAL</w:t>
          </w:r>
          <w:r w:rsidR="00AD70C0">
            <w:fldChar w:fldCharType="end"/>
          </w:r>
        </w:p>
      </w:tc>
    </w:tr>
  </w:tbl>
  <w:p w14:paraId="35E92730" w14:textId="77777777" w:rsidR="00CA309D" w:rsidRPr="00CD706E" w:rsidRDefault="00CA309D" w:rsidP="00CF10DD">
    <w:pPr>
      <w:pStyle w:val="GhostLine"/>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tblGrid>
    <w:tr w:rsidR="00CA309D" w14:paraId="62191487" w14:textId="77777777" w:rsidTr="00CF10DD">
      <w:trPr>
        <w:trHeight w:hRule="exact" w:val="340"/>
      </w:trPr>
      <w:tc>
        <w:tcPr>
          <w:tcW w:w="7797" w:type="dxa"/>
          <w:tcMar>
            <w:left w:w="108" w:type="dxa"/>
            <w:right w:w="108" w:type="dxa"/>
          </w:tcMar>
        </w:tcPr>
        <w:bookmarkStart w:id="348" w:name="_Hlk221874026"/>
        <w:p w14:paraId="767ADA64" w14:textId="3DCDE3F0" w:rsidR="00CA309D" w:rsidRPr="00D13BF9" w:rsidRDefault="00CA309D" w:rsidP="00CF10DD">
          <w:pPr>
            <w:pStyle w:val="HeaderOdd"/>
          </w:pPr>
          <w:r>
            <w:fldChar w:fldCharType="begin"/>
          </w:r>
          <w:r>
            <w:instrText xml:space="preserve"> TITLE   \* MERGEFORMAT </w:instrText>
          </w:r>
          <w:r>
            <w:fldChar w:fldCharType="separate"/>
          </w:r>
          <w:r w:rsidR="00E00C37">
            <w:t>PORTFOLIO ADDITIONAL</w:t>
          </w:r>
          <w:r>
            <w:fldChar w:fldCharType="end"/>
          </w:r>
          <w:bookmarkEnd w:id="348"/>
          <w:r w:rsidRPr="00081542">
            <w:t> | </w:t>
          </w:r>
          <w:r w:rsidRPr="002709D2">
            <w:rPr>
              <w:noProof/>
              <w:position w:val="-8"/>
              <w:vertAlign w:val="subscript"/>
            </w:rPr>
            <w:drawing>
              <wp:inline distT="0" distB="0" distL="0" distR="0" wp14:anchorId="0A9A3883" wp14:editId="5976B36F">
                <wp:extent cx="859038" cy="197999"/>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4530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59038" cy="197999"/>
                        </a:xfrm>
                        <a:prstGeom prst="rect">
                          <a:avLst/>
                        </a:prstGeom>
                      </pic:spPr>
                    </pic:pic>
                  </a:graphicData>
                </a:graphic>
              </wp:inline>
            </w:drawing>
          </w:r>
        </w:p>
      </w:tc>
    </w:tr>
  </w:tbl>
  <w:p w14:paraId="773575F3" w14:textId="77777777" w:rsidR="00CA309D" w:rsidRPr="006F7660" w:rsidRDefault="00CA309D" w:rsidP="00CF10DD">
    <w:pPr>
      <w:pStyle w:val="GhostLine"/>
    </w:pPr>
  </w:p>
  <w:p w14:paraId="58FAF598" w14:textId="77777777" w:rsidR="00CA309D" w:rsidRDefault="00CA309D" w:rsidP="00CF10DD">
    <w:pPr>
      <w:pStyle w:val="GhostLine"/>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CD200" w14:textId="77777777" w:rsidR="00CA309D" w:rsidRDefault="00CA309D" w:rsidP="00CF10DD">
    <w:pPr>
      <w:pStyle w:val="HeaderEven"/>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05F1A8" w14:textId="4DEC2569" w:rsidR="00CA309D" w:rsidRPr="00842D21" w:rsidRDefault="00CA309D" w:rsidP="00787DB2">
    <w:pPr>
      <w:pStyle w:val="Header"/>
      <w:rPr>
        <w:rFonts w:ascii="Arial" w:hAnsi="Arial"/>
        <w:sz w:val="18"/>
        <w:szCs w:val="18"/>
      </w:rPr>
    </w:pPr>
    <w:r w:rsidRPr="00CD1A91">
      <w:rPr>
        <w:rFonts w:ascii="Arial" w:hAnsi="Arial"/>
        <w:b/>
        <w:sz w:val="18"/>
        <w:szCs w:val="18"/>
      </w:rPr>
      <w:t>Budget</w:t>
    </w:r>
    <w:r w:rsidRPr="00CD1A91">
      <w:rPr>
        <w:rFonts w:ascii="Arial" w:hAnsi="Arial"/>
        <w:sz w:val="18"/>
        <w:szCs w:val="18"/>
      </w:rPr>
      <w:t xml:space="preserve"> 2026-27</w:t>
    </w:r>
    <w:r>
      <w:rPr>
        <w:rFonts w:ascii="Arial" w:hAnsi="Arial"/>
        <w:sz w:val="18"/>
        <w:szCs w:val="18"/>
      </w:rPr>
      <w:t xml:space="preserve"> </w:t>
    </w:r>
    <w:r w:rsidRPr="00A01209">
      <w:rPr>
        <w:rFonts w:ascii="Arial" w:hAnsi="Arial"/>
        <w:sz w:val="18"/>
        <w:szCs w:val="18"/>
      </w:rPr>
      <w:t>| Portfolio Budget Statements</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3D1AE4" w14:textId="31692CF0" w:rsidR="00CA309D" w:rsidRPr="00842D21" w:rsidRDefault="00CA309D" w:rsidP="006E0B00">
    <w:pPr>
      <w:pStyle w:val="Header"/>
      <w:jc w:val="right"/>
      <w:rPr>
        <w:rFonts w:ascii="Arial" w:hAnsi="Arial"/>
        <w:sz w:val="18"/>
        <w:szCs w:val="18"/>
      </w:rPr>
    </w:pPr>
    <w:r w:rsidRPr="00A01209">
      <w:rPr>
        <w:rFonts w:ascii="Arial" w:hAnsi="Arial"/>
        <w:sz w:val="18"/>
        <w:szCs w:val="18"/>
      </w:rPr>
      <w:t>Portfolio Budget Statements |</w:t>
    </w:r>
    <w:r w:rsidRPr="00A01209">
      <w:rPr>
        <w:rFonts w:ascii="Arial" w:hAnsi="Arial"/>
        <w:b/>
        <w:sz w:val="18"/>
        <w:szCs w:val="18"/>
      </w:rPr>
      <w:t xml:space="preserve"> </w:t>
    </w:r>
    <w:r w:rsidRPr="00CD1A91">
      <w:rPr>
        <w:rFonts w:ascii="Arial" w:hAnsi="Arial"/>
        <w:b/>
        <w:sz w:val="18"/>
        <w:szCs w:val="18"/>
      </w:rPr>
      <w:t>Budget</w:t>
    </w:r>
    <w:r w:rsidRPr="00CD1A91">
      <w:rPr>
        <w:rFonts w:ascii="Arial" w:hAnsi="Arial"/>
        <w:sz w:val="18"/>
        <w:szCs w:val="18"/>
      </w:rPr>
      <w:t xml:space="preserve"> 2026-27</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2B40D0" w14:textId="77777777" w:rsidR="00CA309D" w:rsidRPr="00673DF1" w:rsidRDefault="00CA309D" w:rsidP="00673DF1">
    <w:pPr>
      <w:pStyle w:val="Header"/>
      <w:rPr>
        <w:rFonts w:ascii="Arial" w:hAnsi="Arial"/>
        <w:sz w:val="18"/>
        <w:szCs w:val="18"/>
      </w:rPr>
    </w:pPr>
    <w:r w:rsidRPr="00A01209">
      <w:rPr>
        <w:rFonts w:ascii="Arial" w:hAnsi="Arial"/>
        <w:b/>
        <w:sz w:val="18"/>
        <w:szCs w:val="18"/>
      </w:rPr>
      <w:t>Budget</w:t>
    </w:r>
    <w:r>
      <w:rPr>
        <w:rFonts w:ascii="Arial" w:hAnsi="Arial"/>
        <w:sz w:val="18"/>
        <w:szCs w:val="18"/>
      </w:rPr>
      <w:t xml:space="preserve"> </w:t>
    </w:r>
    <w:r w:rsidRPr="00CD1A91">
      <w:rPr>
        <w:rFonts w:ascii="Arial" w:hAnsi="Arial"/>
        <w:sz w:val="18"/>
        <w:szCs w:val="18"/>
      </w:rPr>
      <w:t>2026-27</w:t>
    </w:r>
    <w:r>
      <w:rPr>
        <w:rFonts w:ascii="Arial" w:hAnsi="Arial"/>
        <w:sz w:val="18"/>
        <w:szCs w:val="18"/>
      </w:rPr>
      <w:t xml:space="preserve"> </w:t>
    </w:r>
    <w:r w:rsidRPr="00A01209">
      <w:rPr>
        <w:rFonts w:ascii="Arial" w:hAnsi="Arial"/>
        <w:sz w:val="18"/>
        <w:szCs w:val="18"/>
      </w:rPr>
      <w:t>| Portfolio Budget Statements</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FFCC4A" w14:textId="77777777" w:rsidR="00CA309D" w:rsidRPr="00673DF1" w:rsidRDefault="00CA309D" w:rsidP="00673DF1">
    <w:pPr>
      <w:pStyle w:val="Header"/>
      <w:jc w:val="right"/>
      <w:rPr>
        <w:rFonts w:ascii="Arial" w:hAnsi="Arial"/>
        <w:sz w:val="18"/>
        <w:szCs w:val="18"/>
      </w:rPr>
    </w:pPr>
    <w:r w:rsidRPr="00A01209">
      <w:rPr>
        <w:rFonts w:ascii="Arial" w:hAnsi="Arial"/>
        <w:sz w:val="18"/>
        <w:szCs w:val="18"/>
      </w:rPr>
      <w:t>Portfolio Budget Statements</w:t>
    </w:r>
    <w:r>
      <w:rPr>
        <w:rFonts w:ascii="Arial" w:hAnsi="Arial"/>
        <w:sz w:val="18"/>
        <w:szCs w:val="18"/>
      </w:rPr>
      <w:t xml:space="preserve"> </w:t>
    </w:r>
    <w:r w:rsidRPr="00A01209">
      <w:rPr>
        <w:rFonts w:ascii="Arial" w:hAnsi="Arial"/>
        <w:sz w:val="18"/>
        <w:szCs w:val="18"/>
      </w:rPr>
      <w:t>|</w:t>
    </w:r>
    <w:r w:rsidRPr="000D7A2C">
      <w:rPr>
        <w:rFonts w:ascii="Arial" w:hAnsi="Arial"/>
        <w:sz w:val="18"/>
        <w:szCs w:val="18"/>
      </w:rPr>
      <w:t xml:space="preserve"> </w:t>
    </w:r>
    <w:r w:rsidRPr="00A01209">
      <w:rPr>
        <w:rFonts w:ascii="Arial" w:hAnsi="Arial"/>
        <w:b/>
        <w:sz w:val="18"/>
        <w:szCs w:val="18"/>
      </w:rPr>
      <w:t>Budget</w:t>
    </w:r>
    <w:r w:rsidRPr="00A01209">
      <w:rPr>
        <w:rFonts w:ascii="Arial" w:hAnsi="Arial"/>
        <w:sz w:val="18"/>
        <w:szCs w:val="18"/>
      </w:rPr>
      <w:t xml:space="preserve"> </w:t>
    </w:r>
    <w:r w:rsidRPr="00CD1A91">
      <w:rPr>
        <w:rFonts w:ascii="Arial" w:hAnsi="Arial"/>
        <w:sz w:val="18"/>
        <w:szCs w:val="18"/>
      </w:rPr>
      <w:t>2026-27</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5CB088" w14:textId="77777777" w:rsidR="00CA309D" w:rsidRDefault="00CA309D">
    <w:pPr>
      <w:pStyle w:val="Header"/>
    </w:pPr>
  </w:p>
  <w:p w14:paraId="0EED4121" w14:textId="77777777" w:rsidR="00CA309D" w:rsidRDefault="00CA309D"/>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7DDE5" w14:textId="478D03DF" w:rsidR="00CA309D" w:rsidRPr="00842D21" w:rsidRDefault="00CA309D" w:rsidP="006E0B00">
    <w:pPr>
      <w:pStyle w:val="Header"/>
      <w:rPr>
        <w:rFonts w:ascii="Arial" w:hAnsi="Arial"/>
        <w:sz w:val="18"/>
        <w:szCs w:val="18"/>
      </w:rPr>
    </w:pPr>
    <w:r w:rsidRPr="00A01209">
      <w:rPr>
        <w:rFonts w:ascii="Arial" w:hAnsi="Arial"/>
        <w:b/>
        <w:sz w:val="18"/>
        <w:szCs w:val="18"/>
      </w:rPr>
      <w:t>Budget</w:t>
    </w:r>
    <w:r w:rsidRPr="00A01209">
      <w:rPr>
        <w:rFonts w:ascii="Arial" w:hAnsi="Arial"/>
        <w:sz w:val="18"/>
        <w:szCs w:val="18"/>
      </w:rPr>
      <w:t xml:space="preserve"> </w:t>
    </w:r>
    <w:r w:rsidRPr="00CD1A91">
      <w:rPr>
        <w:rFonts w:ascii="Arial" w:hAnsi="Arial"/>
        <w:sz w:val="18"/>
        <w:szCs w:val="18"/>
      </w:rPr>
      <w:t>2026-27</w:t>
    </w:r>
    <w:r>
      <w:rPr>
        <w:rFonts w:ascii="Arial" w:hAnsi="Arial"/>
        <w:sz w:val="18"/>
        <w:szCs w:val="18"/>
      </w:rPr>
      <w:t xml:space="preserve"> </w:t>
    </w:r>
    <w:r w:rsidRPr="00A01209">
      <w:rPr>
        <w:rFonts w:ascii="Arial" w:hAnsi="Arial"/>
        <w:sz w:val="18"/>
        <w:szCs w:val="18"/>
      </w:rPr>
      <w:t>|</w:t>
    </w:r>
    <w:r>
      <w:rPr>
        <w:rFonts w:ascii="Arial" w:hAnsi="Arial"/>
        <w:sz w:val="18"/>
        <w:szCs w:val="18"/>
      </w:rPr>
      <w:t xml:space="preserve"> </w:t>
    </w:r>
    <w:r w:rsidRPr="00A01209">
      <w:rPr>
        <w:rFonts w:ascii="Arial" w:hAnsi="Arial"/>
        <w:sz w:val="18"/>
        <w:szCs w:val="18"/>
      </w:rPr>
      <w:t>Portfolio Budget Statements</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442FAA" w14:textId="057801AC" w:rsidR="00CA309D" w:rsidRPr="00CC47BF" w:rsidRDefault="00CA309D" w:rsidP="00CC47BF">
    <w:pPr>
      <w:pStyle w:val="Header"/>
      <w:jc w:val="right"/>
      <w:rPr>
        <w:sz w:val="18"/>
        <w:szCs w:val="18"/>
      </w:rPr>
    </w:pPr>
    <w:r w:rsidRPr="00A01209">
      <w:rPr>
        <w:rFonts w:ascii="Arial" w:hAnsi="Arial"/>
        <w:sz w:val="18"/>
        <w:szCs w:val="18"/>
      </w:rPr>
      <w:t>Portfolio Budget Statements |</w:t>
    </w:r>
    <w:r w:rsidRPr="000F2409">
      <w:rPr>
        <w:rFonts w:ascii="Arial" w:hAnsi="Arial"/>
        <w:sz w:val="18"/>
        <w:szCs w:val="18"/>
      </w:rPr>
      <w:t xml:space="preserve"> </w:t>
    </w:r>
    <w:r w:rsidRPr="00A01209">
      <w:rPr>
        <w:rFonts w:ascii="Arial" w:hAnsi="Arial"/>
        <w:b/>
        <w:sz w:val="18"/>
        <w:szCs w:val="18"/>
      </w:rPr>
      <w:t>Budget</w:t>
    </w:r>
    <w:r w:rsidRPr="00A01209">
      <w:rPr>
        <w:rFonts w:ascii="Arial" w:hAnsi="Arial"/>
        <w:sz w:val="18"/>
        <w:szCs w:val="18"/>
      </w:rPr>
      <w:t xml:space="preserve"> </w:t>
    </w:r>
    <w:r w:rsidRPr="00CD1A91">
      <w:rPr>
        <w:rFonts w:ascii="Arial" w:hAnsi="Arial"/>
        <w:sz w:val="18"/>
        <w:szCs w:val="18"/>
      </w:rPr>
      <w:t>2026-27</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3FF2C" w14:textId="77777777" w:rsidR="00CA309D" w:rsidRPr="00356250" w:rsidRDefault="00CA309D" w:rsidP="00356250">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D5E33B" w14:textId="77777777" w:rsidR="00CA309D" w:rsidRDefault="00CA309D">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ED9AC3" w14:textId="3D328DEB" w:rsidR="00CA309D" w:rsidRPr="00842D21" w:rsidRDefault="00CA309D" w:rsidP="006E0B00">
    <w:pPr>
      <w:pStyle w:val="Header"/>
      <w:rPr>
        <w:rFonts w:ascii="Arial" w:hAnsi="Arial"/>
        <w:sz w:val="18"/>
        <w:szCs w:val="18"/>
      </w:rPr>
    </w:pPr>
    <w:r>
      <w:rPr>
        <w:noProof/>
        <w:lang w:val="en-AU"/>
      </w:rPr>
      <mc:AlternateContent>
        <mc:Choice Requires="wps">
          <w:drawing>
            <wp:anchor distT="0" distB="0" distL="114300" distR="114300" simplePos="0" relativeHeight="251676672" behindDoc="0" locked="0" layoutInCell="0" allowOverlap="1" wp14:anchorId="734F6699" wp14:editId="0E387B15">
              <wp:simplePos x="0" y="0"/>
              <wp:positionH relativeFrom="page">
                <wp:posOffset>9627079</wp:posOffset>
              </wp:positionH>
              <wp:positionV relativeFrom="page">
                <wp:posOffset>1086928</wp:posOffset>
              </wp:positionV>
              <wp:extent cx="657225" cy="4282033"/>
              <wp:effectExtent l="0" t="0" r="9525" b="4445"/>
              <wp:wrapNone/>
              <wp:docPr id="8556" name="Rectangle 8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42820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1B8E96" w14:textId="77777777" w:rsidR="00CA309D" w:rsidRPr="00B478A6" w:rsidRDefault="00CA309D" w:rsidP="00357ADC">
                          <w:pPr>
                            <w:pStyle w:val="Header"/>
                            <w:rPr>
                              <w:rFonts w:ascii="Arial" w:hAnsi="Arial"/>
                              <w:sz w:val="18"/>
                              <w:szCs w:val="18"/>
                            </w:rPr>
                          </w:pPr>
                          <w:r w:rsidRPr="00A01209">
                            <w:rPr>
                              <w:rFonts w:ascii="Arial" w:hAnsi="Arial"/>
                              <w:b/>
                              <w:sz w:val="18"/>
                              <w:szCs w:val="18"/>
                            </w:rPr>
                            <w:t>Budget</w:t>
                          </w:r>
                          <w:r>
                            <w:rPr>
                              <w:rFonts w:ascii="Arial" w:hAnsi="Arial"/>
                              <w:sz w:val="18"/>
                              <w:szCs w:val="18"/>
                            </w:rPr>
                            <w:t xml:space="preserve"> </w:t>
                          </w:r>
                          <w:r w:rsidRPr="00806763">
                            <w:rPr>
                              <w:rFonts w:ascii="Arial" w:hAnsi="Arial"/>
                              <w:sz w:val="18"/>
                              <w:szCs w:val="18"/>
                            </w:rPr>
                            <w:t>2026-27</w:t>
                          </w:r>
                          <w:r w:rsidRPr="00A01209">
                            <w:rPr>
                              <w:rFonts w:ascii="Arial" w:hAnsi="Arial"/>
                              <w:sz w:val="18"/>
                              <w:szCs w:val="18"/>
                            </w:rPr>
                            <w:t xml:space="preserve"> | Portfolio Budget Statements</w:t>
                          </w:r>
                        </w:p>
                        <w:p w14:paraId="4639D726" w14:textId="77777777" w:rsidR="00CA309D" w:rsidRPr="000570FA" w:rsidRDefault="00CA309D" w:rsidP="00357ADC">
                          <w:pPr>
                            <w:jc w:val="center"/>
                            <w:rPr>
                              <w:rFonts w:ascii="Arial" w:hAnsi="Arial"/>
                              <w:sz w:val="18"/>
                              <w:szCs w:val="18"/>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4F6699" id="Rectangle 8556" o:spid="_x0000_s1105" style="position:absolute;margin-left:758.05pt;margin-top:85.6pt;width:51.75pt;height:337.1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" o:allowincell="f" stroked="f">
              <v:textbox style="layout-flow:vertical">
                <w:txbxContent>
                  <w:p w14:paraId="121B8E96" w14:textId="77777777" w:rsidR="00CA309D" w:rsidRPr="00B478A6" w:rsidRDefault="00CA309D" w:rsidP="00357ADC">
                    <w:pPr>
                      <w:pStyle w:val="Header"/>
                      <w:rPr>
                        <w:rFonts w:ascii="Arial" w:hAnsi="Arial"/>
                        <w:sz w:val="18"/>
                        <w:szCs w:val="18"/>
                      </w:rPr>
                    </w:pPr>
                    <w:r w:rsidRPr="00A01209">
                      <w:rPr>
                        <w:rFonts w:ascii="Arial" w:hAnsi="Arial"/>
                        <w:b/>
                        <w:sz w:val="18"/>
                        <w:szCs w:val="18"/>
                      </w:rPr>
                      <w:t>Budget</w:t>
                    </w:r>
                    <w:r>
                      <w:rPr>
                        <w:rFonts w:ascii="Arial" w:hAnsi="Arial"/>
                        <w:sz w:val="18"/>
                        <w:szCs w:val="18"/>
                      </w:rPr>
                      <w:t xml:space="preserve"> </w:t>
                    </w:r>
                    <w:r w:rsidRPr="00806763">
                      <w:rPr>
                        <w:rFonts w:ascii="Arial" w:hAnsi="Arial"/>
                        <w:sz w:val="18"/>
                        <w:szCs w:val="18"/>
                      </w:rPr>
                      <w:t>2026-27</w:t>
                    </w:r>
                    <w:r w:rsidRPr="00A01209">
                      <w:rPr>
                        <w:rFonts w:ascii="Arial" w:hAnsi="Arial"/>
                        <w:sz w:val="18"/>
                        <w:szCs w:val="18"/>
                      </w:rPr>
                      <w:t xml:space="preserve"> | Portfolio Budget Statements</w:t>
                    </w:r>
                  </w:p>
                  <w:p w14:paraId="4639D726" w14:textId="77777777" w:rsidR="00CA309D" w:rsidRPr="000570FA" w:rsidRDefault="00CA309D" w:rsidP="00357ADC">
                    <w:pPr>
                      <w:jc w:val="center"/>
                      <w:rPr>
                        <w:rFonts w:ascii="Arial" w:hAnsi="Arial"/>
                        <w:sz w:val="18"/>
                        <w:szCs w:val="18"/>
                      </w:rPr>
                    </w:pPr>
                  </w:p>
                </w:txbxContent>
              </v:textbox>
              <w10:wrap anchorx="page" anchory="page"/>
            </v:rect>
          </w:pict>
        </mc:Fallback>
      </mc:AlternateContent>
    </w:r>
    <w:r>
      <w:rPr>
        <w:noProof/>
        <w:lang w:val="en-AU"/>
      </w:rPr>
      <mc:AlternateContent>
        <mc:Choice Requires="wps">
          <w:drawing>
            <wp:anchor distT="0" distB="0" distL="114300" distR="114300" simplePos="0" relativeHeight="251674624" behindDoc="0" locked="0" layoutInCell="0" allowOverlap="1" wp14:anchorId="70AE0843" wp14:editId="6A96F7C5">
              <wp:simplePos x="0" y="0"/>
              <wp:positionH relativeFrom="page">
                <wp:posOffset>189781</wp:posOffset>
              </wp:positionH>
              <wp:positionV relativeFrom="page">
                <wp:posOffset>1086928</wp:posOffset>
              </wp:positionV>
              <wp:extent cx="617220" cy="5483501"/>
              <wp:effectExtent l="0" t="0" r="0" b="3175"/>
              <wp:wrapNone/>
              <wp:docPr id="8554" name="Rectangle 8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 cy="54835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FB621C" w14:textId="77777777" w:rsidR="00CA309D" w:rsidRPr="001D6B09" w:rsidRDefault="00CA309D" w:rsidP="00357ADC">
                          <w:pPr>
                            <w:pStyle w:val="Footer"/>
                            <w:pBdr>
                              <w:top w:val="single" w:sz="4" w:space="1" w:color="auto"/>
                            </w:pBdr>
                            <w:rPr>
                              <w:rStyle w:val="PageNumber"/>
                              <w:rFonts w:ascii="Arial" w:hAnsi="Arial"/>
                              <w:sz w:val="2"/>
                              <w:szCs w:val="18"/>
                            </w:rPr>
                          </w:pPr>
                        </w:p>
                        <w:p w14:paraId="37EFA0C4" w14:textId="2EA9174F" w:rsidR="00CA309D" w:rsidRPr="001D6B09" w:rsidRDefault="00CA309D" w:rsidP="00357ADC">
                          <w:pPr>
                            <w:pStyle w:val="Footer"/>
                            <w:pBdr>
                              <w:top w:val="single" w:sz="4" w:space="1" w:color="auto"/>
                            </w:pBdr>
                            <w:rPr>
                              <w:rStyle w:val="PageNumber"/>
                              <w:rFonts w:ascii="Arial" w:hAnsi="Arial"/>
                              <w:sz w:val="18"/>
                              <w:szCs w:val="18"/>
                            </w:rPr>
                          </w:pPr>
                          <w:r w:rsidRPr="00784854">
                            <w:rPr>
                              <w:rStyle w:val="PageNumber"/>
                              <w:rFonts w:ascii="Arial" w:hAnsi="Arial"/>
                              <w:b/>
                              <w:sz w:val="18"/>
                              <w:szCs w:val="18"/>
                            </w:rPr>
                            <w:t>Page</w:t>
                          </w:r>
                          <w:r w:rsidRPr="001D6B09">
                            <w:rPr>
                              <w:rStyle w:val="PageNumber"/>
                              <w:rFonts w:ascii="Arial" w:hAnsi="Arial"/>
                              <w:sz w:val="18"/>
                              <w:szCs w:val="18"/>
                            </w:rPr>
                            <w:t xml:space="preserve"> </w:t>
                          </w:r>
                          <w:r w:rsidRPr="009612AE">
                            <w:rPr>
                              <w:rStyle w:val="PageNumber"/>
                              <w:rFonts w:ascii="Arial" w:hAnsi="Arial"/>
                              <w:b/>
                              <w:sz w:val="18"/>
                              <w:szCs w:val="18"/>
                            </w:rPr>
                            <w:fldChar w:fldCharType="begin"/>
                          </w:r>
                          <w:r w:rsidRPr="00784854">
                            <w:rPr>
                              <w:rStyle w:val="PageNumber"/>
                              <w:rFonts w:ascii="Arial" w:hAnsi="Arial"/>
                              <w:b/>
                              <w:sz w:val="18"/>
                              <w:szCs w:val="18"/>
                            </w:rPr>
                            <w:instrText xml:space="preserve">PAGE  </w:instrText>
                          </w:r>
                          <w:r w:rsidRPr="009612AE">
                            <w:rPr>
                              <w:rStyle w:val="PageNumber"/>
                              <w:rFonts w:ascii="Arial" w:hAnsi="Arial"/>
                              <w:b/>
                              <w:sz w:val="18"/>
                              <w:szCs w:val="18"/>
                            </w:rPr>
                            <w:fldChar w:fldCharType="separate"/>
                          </w:r>
                          <w:r w:rsidR="00CE69B0">
                            <w:rPr>
                              <w:rStyle w:val="PageNumber"/>
                              <w:rFonts w:ascii="Arial" w:hAnsi="Arial"/>
                              <w:b/>
                              <w:noProof/>
                              <w:sz w:val="18"/>
                              <w:szCs w:val="18"/>
                            </w:rPr>
                            <w:t>18</w:t>
                          </w:r>
                          <w:r w:rsidRPr="009612AE">
                            <w:rPr>
                              <w:rStyle w:val="PageNumber"/>
                              <w:rFonts w:ascii="Arial" w:hAnsi="Arial"/>
                              <w:b/>
                              <w:sz w:val="18"/>
                              <w:szCs w:val="18"/>
                            </w:rPr>
                            <w:fldChar w:fldCharType="end"/>
                          </w:r>
                          <w:r w:rsidRPr="001D6B09">
                            <w:rPr>
                              <w:rStyle w:val="PageNumber"/>
                              <w:rFonts w:ascii="Arial" w:hAnsi="Arial"/>
                              <w:sz w:val="18"/>
                              <w:szCs w:val="18"/>
                            </w:rPr>
                            <w:t xml:space="preserve"> |</w:t>
                          </w:r>
                          <w:r w:rsidRPr="00784854">
                            <w:rPr>
                              <w:rStyle w:val="PageNumber"/>
                              <w:rFonts w:ascii="Arial" w:hAnsi="Arial"/>
                              <w:sz w:val="18"/>
                              <w:szCs w:val="18"/>
                            </w:rPr>
                            <w:t xml:space="preserve"> Defence</w:t>
                          </w:r>
                        </w:p>
                        <w:p w14:paraId="7EF75BD0" w14:textId="77777777" w:rsidR="00CA309D" w:rsidRPr="00784854" w:rsidRDefault="00CA309D" w:rsidP="00357ADC">
                          <w:pPr>
                            <w:jc w:val="center"/>
                            <w:rPr>
                              <w:rFonts w:cs="Times New Roman"/>
                              <w:szCs w:val="20"/>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AE0843" id="Rectangle 8554" o:spid="_x0000_s1106" style="position:absolute;margin-left:14.95pt;margin-top:85.6pt;width:48.6pt;height:431.7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" o:allowincell="f" stroked="f">
              <v:textbox style="layout-flow:vertical">
                <w:txbxContent>
                  <w:p w14:paraId="25FB621C" w14:textId="77777777" w:rsidR="00CA309D" w:rsidRPr="001D6B09" w:rsidRDefault="00CA309D" w:rsidP="00357ADC">
                    <w:pPr>
                      <w:pStyle w:val="Footer"/>
                      <w:pBdr>
                        <w:top w:val="single" w:sz="4" w:space="1" w:color="auto"/>
                      </w:pBdr>
                      <w:rPr>
                        <w:rStyle w:val="PageNumber"/>
                        <w:rFonts w:ascii="Arial" w:hAnsi="Arial"/>
                        <w:sz w:val="2"/>
                        <w:szCs w:val="18"/>
                      </w:rPr>
                    </w:pPr>
                  </w:p>
                  <w:p w14:paraId="37EFA0C4" w14:textId="2EA9174F" w:rsidR="00CA309D" w:rsidRPr="001D6B09" w:rsidRDefault="00CA309D" w:rsidP="00357ADC">
                    <w:pPr>
                      <w:pStyle w:val="Footer"/>
                      <w:pBdr>
                        <w:top w:val="single" w:sz="4" w:space="1" w:color="auto"/>
                      </w:pBdr>
                      <w:rPr>
                        <w:rStyle w:val="PageNumber"/>
                        <w:rFonts w:ascii="Arial" w:hAnsi="Arial"/>
                        <w:sz w:val="18"/>
                        <w:szCs w:val="18"/>
                      </w:rPr>
                    </w:pPr>
                    <w:r w:rsidRPr="00784854">
                      <w:rPr>
                        <w:rStyle w:val="PageNumber"/>
                        <w:rFonts w:ascii="Arial" w:hAnsi="Arial"/>
                        <w:b/>
                        <w:sz w:val="18"/>
                        <w:szCs w:val="18"/>
                      </w:rPr>
                      <w:t>Page</w:t>
                    </w:r>
                    <w:r w:rsidRPr="001D6B09">
                      <w:rPr>
                        <w:rStyle w:val="PageNumber"/>
                        <w:rFonts w:ascii="Arial" w:hAnsi="Arial"/>
                        <w:sz w:val="18"/>
                        <w:szCs w:val="18"/>
                      </w:rPr>
                      <w:t xml:space="preserve"> </w:t>
                    </w:r>
                    <w:r w:rsidRPr="009612AE">
                      <w:rPr>
                        <w:rStyle w:val="PageNumber"/>
                        <w:rFonts w:ascii="Arial" w:hAnsi="Arial"/>
                        <w:b/>
                        <w:sz w:val="18"/>
                        <w:szCs w:val="18"/>
                      </w:rPr>
                      <w:fldChar w:fldCharType="begin"/>
                    </w:r>
                    <w:r w:rsidRPr="00784854">
                      <w:rPr>
                        <w:rStyle w:val="PageNumber"/>
                        <w:rFonts w:ascii="Arial" w:hAnsi="Arial"/>
                        <w:b/>
                        <w:sz w:val="18"/>
                        <w:szCs w:val="18"/>
                      </w:rPr>
                      <w:instrText xml:space="preserve">PAGE  </w:instrText>
                    </w:r>
                    <w:r w:rsidRPr="009612AE">
                      <w:rPr>
                        <w:rStyle w:val="PageNumber"/>
                        <w:rFonts w:ascii="Arial" w:hAnsi="Arial"/>
                        <w:b/>
                        <w:sz w:val="18"/>
                        <w:szCs w:val="18"/>
                      </w:rPr>
                      <w:fldChar w:fldCharType="separate"/>
                    </w:r>
                    <w:r w:rsidR="00CE69B0">
                      <w:rPr>
                        <w:rStyle w:val="PageNumber"/>
                        <w:rFonts w:ascii="Arial" w:hAnsi="Arial"/>
                        <w:b/>
                        <w:noProof/>
                        <w:sz w:val="18"/>
                        <w:szCs w:val="18"/>
                      </w:rPr>
                      <w:t>18</w:t>
                    </w:r>
                    <w:r w:rsidRPr="009612AE">
                      <w:rPr>
                        <w:rStyle w:val="PageNumber"/>
                        <w:rFonts w:ascii="Arial" w:hAnsi="Arial"/>
                        <w:b/>
                        <w:sz w:val="18"/>
                        <w:szCs w:val="18"/>
                      </w:rPr>
                      <w:fldChar w:fldCharType="end"/>
                    </w:r>
                    <w:r w:rsidRPr="001D6B09">
                      <w:rPr>
                        <w:rStyle w:val="PageNumber"/>
                        <w:rFonts w:ascii="Arial" w:hAnsi="Arial"/>
                        <w:sz w:val="18"/>
                        <w:szCs w:val="18"/>
                      </w:rPr>
                      <w:t xml:space="preserve"> |</w:t>
                    </w:r>
                    <w:r w:rsidRPr="00784854">
                      <w:rPr>
                        <w:rStyle w:val="PageNumber"/>
                        <w:rFonts w:ascii="Arial" w:hAnsi="Arial"/>
                        <w:sz w:val="18"/>
                        <w:szCs w:val="18"/>
                      </w:rPr>
                      <w:t xml:space="preserve"> Defence</w:t>
                    </w:r>
                  </w:p>
                  <w:p w14:paraId="7EF75BD0" w14:textId="77777777" w:rsidR="00CA309D" w:rsidRPr="00784854" w:rsidRDefault="00CA309D" w:rsidP="00357ADC">
                    <w:pPr>
                      <w:jc w:val="center"/>
                      <w:rPr>
                        <w:rFonts w:cs="Times New Roman"/>
                        <w:szCs w:val="20"/>
                      </w:rPr>
                    </w:pPr>
                  </w:p>
                </w:txbxContent>
              </v:textbox>
              <w10:wrap anchorx="page" anchory="page"/>
            </v:rect>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E06006" w14:textId="05347D1C" w:rsidR="00CA309D" w:rsidRPr="00CC47BF" w:rsidRDefault="00CA309D" w:rsidP="00CC47BF">
    <w:pPr>
      <w:pStyle w:val="Header"/>
      <w:jc w:val="right"/>
      <w:rPr>
        <w:sz w:val="18"/>
        <w:szCs w:val="18"/>
      </w:rPr>
    </w:pPr>
    <w:r>
      <w:rPr>
        <w:noProof/>
        <w:lang w:val="en-AU"/>
      </w:rPr>
      <mc:AlternateContent>
        <mc:Choice Requires="wps">
          <w:drawing>
            <wp:anchor distT="0" distB="0" distL="114300" distR="114300" simplePos="0" relativeHeight="251672576" behindDoc="0" locked="0" layoutInCell="0" allowOverlap="1" wp14:anchorId="49B053F8" wp14:editId="3713C90D">
              <wp:simplePos x="0" y="0"/>
              <wp:positionH relativeFrom="page">
                <wp:posOffset>9703639</wp:posOffset>
              </wp:positionH>
              <wp:positionV relativeFrom="page">
                <wp:posOffset>3352800</wp:posOffset>
              </wp:positionV>
              <wp:extent cx="514350" cy="3328670"/>
              <wp:effectExtent l="0" t="0" r="0" b="0"/>
              <wp:wrapNone/>
              <wp:docPr id="8552" name="Rectangle 8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328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A27D5B" w14:textId="77777777" w:rsidR="00CA309D" w:rsidRPr="00A01209" w:rsidRDefault="00CA309D" w:rsidP="00357ADC">
                          <w:pPr>
                            <w:pStyle w:val="Header"/>
                            <w:jc w:val="right"/>
                            <w:rPr>
                              <w:rFonts w:ascii="Arial" w:hAnsi="Arial"/>
                              <w:sz w:val="18"/>
                              <w:szCs w:val="18"/>
                            </w:rPr>
                          </w:pPr>
                          <w:r w:rsidRPr="00A01209">
                            <w:rPr>
                              <w:rFonts w:ascii="Arial" w:hAnsi="Arial"/>
                              <w:sz w:val="18"/>
                              <w:szCs w:val="18"/>
                            </w:rPr>
                            <w:t xml:space="preserve">Portfolio Budget Statements | </w:t>
                          </w:r>
                          <w:r w:rsidRPr="00A01209">
                            <w:rPr>
                              <w:rFonts w:ascii="Arial" w:hAnsi="Arial"/>
                              <w:b/>
                              <w:sz w:val="18"/>
                              <w:szCs w:val="18"/>
                            </w:rPr>
                            <w:t>Budget</w:t>
                          </w:r>
                          <w:r w:rsidRPr="00A01209">
                            <w:rPr>
                              <w:rFonts w:ascii="Arial" w:hAnsi="Arial"/>
                              <w:sz w:val="18"/>
                              <w:szCs w:val="18"/>
                            </w:rPr>
                            <w:t xml:space="preserve"> </w:t>
                          </w:r>
                          <w:r w:rsidRPr="00806763">
                            <w:rPr>
                              <w:rFonts w:ascii="Arial" w:hAnsi="Arial"/>
                              <w:sz w:val="18"/>
                              <w:szCs w:val="18"/>
                            </w:rPr>
                            <w:t>2026-2</w:t>
                          </w:r>
                          <w:r>
                            <w:rPr>
                              <w:rFonts w:ascii="Arial" w:hAnsi="Arial"/>
                              <w:sz w:val="18"/>
                              <w:szCs w:val="18"/>
                            </w:rPr>
                            <w:t>7</w:t>
                          </w:r>
                        </w:p>
                        <w:p w14:paraId="20AFD245" w14:textId="77777777" w:rsidR="00CA309D" w:rsidRPr="008D73F7" w:rsidRDefault="00CA309D" w:rsidP="00357ADC">
                          <w:pPr>
                            <w:pStyle w:val="Header"/>
                            <w:jc w:val="right"/>
                            <w:rPr>
                              <w:rFonts w:ascii="Arial" w:hAnsi="Arial"/>
                              <w:i/>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B053F8" id="Rectangle 8552" o:spid="_x0000_s1107" style="position:absolute;left:0;text-align:left;margin-left:764.05pt;margin-top:264pt;width:40.5pt;height:262.1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" o:allowincell="f" stroked="f">
              <v:textbox style="layout-flow:vertical">
                <w:txbxContent>
                  <w:p w14:paraId="1CA27D5B" w14:textId="77777777" w:rsidR="00CA309D" w:rsidRPr="00A01209" w:rsidRDefault="00CA309D" w:rsidP="00357ADC">
                    <w:pPr>
                      <w:pStyle w:val="Header"/>
                      <w:jc w:val="right"/>
                      <w:rPr>
                        <w:rFonts w:ascii="Arial" w:hAnsi="Arial"/>
                        <w:sz w:val="18"/>
                        <w:szCs w:val="18"/>
                      </w:rPr>
                    </w:pPr>
                    <w:r w:rsidRPr="00A01209">
                      <w:rPr>
                        <w:rFonts w:ascii="Arial" w:hAnsi="Arial"/>
                        <w:sz w:val="18"/>
                        <w:szCs w:val="18"/>
                      </w:rPr>
                      <w:t xml:space="preserve">Portfolio Budget Statements | </w:t>
                    </w:r>
                    <w:r w:rsidRPr="00A01209">
                      <w:rPr>
                        <w:rFonts w:ascii="Arial" w:hAnsi="Arial"/>
                        <w:b/>
                        <w:sz w:val="18"/>
                        <w:szCs w:val="18"/>
                      </w:rPr>
                      <w:t>Budget</w:t>
                    </w:r>
                    <w:r w:rsidRPr="00A01209">
                      <w:rPr>
                        <w:rFonts w:ascii="Arial" w:hAnsi="Arial"/>
                        <w:sz w:val="18"/>
                        <w:szCs w:val="18"/>
                      </w:rPr>
                      <w:t xml:space="preserve"> </w:t>
                    </w:r>
                    <w:r w:rsidRPr="00806763">
                      <w:rPr>
                        <w:rFonts w:ascii="Arial" w:hAnsi="Arial"/>
                        <w:sz w:val="18"/>
                        <w:szCs w:val="18"/>
                      </w:rPr>
                      <w:t>2026-2</w:t>
                    </w:r>
                    <w:r>
                      <w:rPr>
                        <w:rFonts w:ascii="Arial" w:hAnsi="Arial"/>
                        <w:sz w:val="18"/>
                        <w:szCs w:val="18"/>
                      </w:rPr>
                      <w:t>7</w:t>
                    </w:r>
                  </w:p>
                  <w:p w14:paraId="20AFD245" w14:textId="77777777" w:rsidR="00CA309D" w:rsidRPr="008D73F7" w:rsidRDefault="00CA309D" w:rsidP="00357ADC">
                    <w:pPr>
                      <w:pStyle w:val="Header"/>
                      <w:jc w:val="right"/>
                      <w:rPr>
                        <w:rFonts w:ascii="Arial" w:hAnsi="Arial"/>
                        <w:i/>
                      </w:rPr>
                    </w:pPr>
                  </w:p>
                </w:txbxContent>
              </v:textbox>
              <w10:wrap anchorx="page" anchory="page"/>
            </v:rect>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C49AD2" w14:textId="77777777" w:rsidR="00CA309D" w:rsidRPr="00842D21" w:rsidRDefault="00CA309D" w:rsidP="006E0B00">
    <w:pPr>
      <w:pStyle w:val="Header"/>
      <w:rPr>
        <w:rFonts w:ascii="Arial" w:hAnsi="Arial"/>
        <w:sz w:val="18"/>
        <w:szCs w:val="18"/>
      </w:rPr>
    </w:pPr>
    <w:r w:rsidRPr="00A01209">
      <w:rPr>
        <w:rFonts w:ascii="Arial" w:hAnsi="Arial"/>
        <w:b/>
        <w:sz w:val="18"/>
        <w:szCs w:val="18"/>
      </w:rPr>
      <w:t>Budget</w:t>
    </w:r>
    <w:r w:rsidRPr="00A01209">
      <w:rPr>
        <w:rFonts w:ascii="Arial" w:hAnsi="Arial"/>
        <w:sz w:val="18"/>
        <w:szCs w:val="18"/>
      </w:rPr>
      <w:t xml:space="preserve"> </w:t>
    </w:r>
    <w:r w:rsidRPr="00CD1A91">
      <w:rPr>
        <w:rFonts w:ascii="Arial" w:hAnsi="Arial"/>
        <w:sz w:val="18"/>
        <w:szCs w:val="18"/>
      </w:rPr>
      <w:t>2026-27</w:t>
    </w:r>
    <w:r>
      <w:rPr>
        <w:rFonts w:ascii="Arial" w:hAnsi="Arial"/>
        <w:sz w:val="18"/>
        <w:szCs w:val="18"/>
      </w:rPr>
      <w:t xml:space="preserve"> </w:t>
    </w:r>
    <w:r w:rsidRPr="00A01209">
      <w:rPr>
        <w:rFonts w:ascii="Arial" w:hAnsi="Arial"/>
        <w:sz w:val="18"/>
        <w:szCs w:val="18"/>
      </w:rPr>
      <w:t>|</w:t>
    </w:r>
    <w:r>
      <w:rPr>
        <w:rFonts w:ascii="Arial" w:hAnsi="Arial"/>
        <w:sz w:val="18"/>
        <w:szCs w:val="18"/>
      </w:rPr>
      <w:t xml:space="preserve"> </w:t>
    </w:r>
    <w:r w:rsidRPr="00A01209">
      <w:rPr>
        <w:rFonts w:ascii="Arial" w:hAnsi="Arial"/>
        <w:sz w:val="18"/>
        <w:szCs w:val="18"/>
      </w:rPr>
      <w:t>Portfolio Budget Statements</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0FB78" w14:textId="77777777" w:rsidR="00CA309D" w:rsidRPr="00CC47BF" w:rsidRDefault="00CA309D" w:rsidP="00CC47BF">
    <w:pPr>
      <w:pStyle w:val="Header"/>
      <w:jc w:val="right"/>
      <w:rPr>
        <w:sz w:val="18"/>
        <w:szCs w:val="18"/>
      </w:rPr>
    </w:pPr>
    <w:r w:rsidRPr="00A01209">
      <w:rPr>
        <w:rFonts w:ascii="Arial" w:hAnsi="Arial"/>
        <w:sz w:val="18"/>
        <w:szCs w:val="18"/>
      </w:rPr>
      <w:t>Portfolio Budget Statements |</w:t>
    </w:r>
    <w:r w:rsidRPr="000F2409">
      <w:rPr>
        <w:rFonts w:ascii="Arial" w:hAnsi="Arial"/>
        <w:sz w:val="18"/>
        <w:szCs w:val="18"/>
      </w:rPr>
      <w:t xml:space="preserve"> </w:t>
    </w:r>
    <w:r w:rsidRPr="00A01209">
      <w:rPr>
        <w:rFonts w:ascii="Arial" w:hAnsi="Arial"/>
        <w:b/>
        <w:sz w:val="18"/>
        <w:szCs w:val="18"/>
      </w:rPr>
      <w:t>Budget</w:t>
    </w:r>
    <w:r w:rsidRPr="00A01209">
      <w:rPr>
        <w:rFonts w:ascii="Arial" w:hAnsi="Arial"/>
        <w:sz w:val="18"/>
        <w:szCs w:val="18"/>
      </w:rPr>
      <w:t xml:space="preserve"> </w:t>
    </w:r>
    <w:r w:rsidRPr="00CD1A91">
      <w:rPr>
        <w:rFonts w:ascii="Arial" w:hAnsi="Arial"/>
        <w:sz w:val="18"/>
        <w:szCs w:val="18"/>
      </w:rPr>
      <w:t>2026-27</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B5C9DC" w14:textId="77777777" w:rsidR="00CA309D" w:rsidRDefault="00CA309D">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EF5FCA" w14:textId="291E5959" w:rsidR="00CA309D" w:rsidRPr="00A211F5" w:rsidRDefault="00CA309D" w:rsidP="00740A81">
    <w:pPr>
      <w:pStyle w:val="Header"/>
      <w:rPr>
        <w:rFonts w:ascii="Arial" w:hAnsi="Arial"/>
        <w:sz w:val="18"/>
        <w:szCs w:val="18"/>
      </w:rPr>
    </w:pPr>
    <w:r>
      <w:rPr>
        <w:noProof/>
        <w:lang w:val="en-AU"/>
      </w:rPr>
      <mc:AlternateContent>
        <mc:Choice Requires="wps">
          <w:drawing>
            <wp:anchor distT="0" distB="0" distL="114300" distR="114300" simplePos="0" relativeHeight="251668480" behindDoc="0" locked="0" layoutInCell="0" allowOverlap="1" wp14:anchorId="28F13EAA" wp14:editId="738F7A4B">
              <wp:simplePos x="0" y="0"/>
              <wp:positionH relativeFrom="page">
                <wp:posOffset>189781</wp:posOffset>
              </wp:positionH>
              <wp:positionV relativeFrom="page">
                <wp:posOffset>1190444</wp:posOffset>
              </wp:positionV>
              <wp:extent cx="617220" cy="5460521"/>
              <wp:effectExtent l="0" t="0" r="0" b="6985"/>
              <wp:wrapNone/>
              <wp:docPr id="24575516" name="Rectangle 24575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 cy="54605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414FF0" w14:textId="77777777" w:rsidR="00CA309D" w:rsidRPr="001D6B09" w:rsidRDefault="00CA309D" w:rsidP="00525BD0">
                          <w:pPr>
                            <w:pStyle w:val="Footer"/>
                            <w:pBdr>
                              <w:top w:val="single" w:sz="4" w:space="1" w:color="auto"/>
                            </w:pBdr>
                            <w:rPr>
                              <w:rStyle w:val="PageNumber"/>
                              <w:rFonts w:ascii="Arial" w:hAnsi="Arial"/>
                              <w:sz w:val="2"/>
                              <w:szCs w:val="18"/>
                            </w:rPr>
                          </w:pPr>
                        </w:p>
                        <w:p w14:paraId="30A48274" w14:textId="4E6FFF21" w:rsidR="00CA309D" w:rsidRPr="001D6B09" w:rsidRDefault="00CA309D" w:rsidP="00525BD0">
                          <w:pPr>
                            <w:pStyle w:val="Footer"/>
                            <w:pBdr>
                              <w:top w:val="single" w:sz="4" w:space="1" w:color="auto"/>
                            </w:pBdr>
                            <w:rPr>
                              <w:rStyle w:val="PageNumber"/>
                              <w:rFonts w:ascii="Arial" w:hAnsi="Arial"/>
                              <w:sz w:val="18"/>
                              <w:szCs w:val="18"/>
                            </w:rPr>
                          </w:pPr>
                          <w:r w:rsidRPr="00784854">
                            <w:rPr>
                              <w:rStyle w:val="PageNumber"/>
                              <w:rFonts w:ascii="Arial" w:hAnsi="Arial"/>
                              <w:b/>
                              <w:sz w:val="18"/>
                              <w:szCs w:val="18"/>
                            </w:rPr>
                            <w:t>Page</w:t>
                          </w:r>
                          <w:r w:rsidRPr="001D6B09">
                            <w:rPr>
                              <w:rStyle w:val="PageNumber"/>
                              <w:rFonts w:ascii="Arial" w:hAnsi="Arial"/>
                              <w:sz w:val="18"/>
                              <w:szCs w:val="18"/>
                            </w:rPr>
                            <w:t xml:space="preserve"> </w:t>
                          </w:r>
                          <w:r w:rsidRPr="009612AE">
                            <w:rPr>
                              <w:rStyle w:val="PageNumber"/>
                              <w:rFonts w:ascii="Arial" w:hAnsi="Arial"/>
                              <w:b/>
                              <w:sz w:val="18"/>
                              <w:szCs w:val="18"/>
                            </w:rPr>
                            <w:fldChar w:fldCharType="begin"/>
                          </w:r>
                          <w:r w:rsidRPr="00784854">
                            <w:rPr>
                              <w:rStyle w:val="PageNumber"/>
                              <w:rFonts w:ascii="Arial" w:hAnsi="Arial"/>
                              <w:b/>
                              <w:sz w:val="18"/>
                              <w:szCs w:val="18"/>
                            </w:rPr>
                            <w:instrText xml:space="preserve">PAGE  </w:instrText>
                          </w:r>
                          <w:r w:rsidRPr="009612AE">
                            <w:rPr>
                              <w:rStyle w:val="PageNumber"/>
                              <w:rFonts w:ascii="Arial" w:hAnsi="Arial"/>
                              <w:b/>
                              <w:sz w:val="18"/>
                              <w:szCs w:val="18"/>
                            </w:rPr>
                            <w:fldChar w:fldCharType="separate"/>
                          </w:r>
                          <w:r w:rsidR="00CE69B0">
                            <w:rPr>
                              <w:rStyle w:val="PageNumber"/>
                              <w:rFonts w:ascii="Arial" w:hAnsi="Arial"/>
                              <w:b/>
                              <w:noProof/>
                              <w:sz w:val="18"/>
                              <w:szCs w:val="18"/>
                            </w:rPr>
                            <w:t>110</w:t>
                          </w:r>
                          <w:r w:rsidRPr="009612AE">
                            <w:rPr>
                              <w:rStyle w:val="PageNumber"/>
                              <w:rFonts w:ascii="Arial" w:hAnsi="Arial"/>
                              <w:b/>
                              <w:sz w:val="18"/>
                              <w:szCs w:val="18"/>
                            </w:rPr>
                            <w:fldChar w:fldCharType="end"/>
                          </w:r>
                          <w:r w:rsidRPr="001D6B09">
                            <w:rPr>
                              <w:rStyle w:val="PageNumber"/>
                              <w:rFonts w:ascii="Arial" w:hAnsi="Arial"/>
                              <w:sz w:val="18"/>
                              <w:szCs w:val="18"/>
                            </w:rPr>
                            <w:t xml:space="preserve"> |</w:t>
                          </w:r>
                          <w:r w:rsidRPr="00784854">
                            <w:rPr>
                              <w:rStyle w:val="PageNumber"/>
                              <w:rFonts w:ascii="Arial" w:hAnsi="Arial"/>
                              <w:sz w:val="18"/>
                              <w:szCs w:val="18"/>
                            </w:rPr>
                            <w:t xml:space="preserve"> Defence</w:t>
                          </w:r>
                        </w:p>
                        <w:p w14:paraId="322D74EF" w14:textId="77777777" w:rsidR="00CA309D" w:rsidRPr="00784854" w:rsidRDefault="00CA309D" w:rsidP="00525BD0">
                          <w:pPr>
                            <w:jc w:val="center"/>
                            <w:rPr>
                              <w:rFonts w:cs="Times New Roman"/>
                              <w:szCs w:val="20"/>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F13EAA" id="Rectangle 24575516" o:spid="_x0000_s1109" style="position:absolute;margin-left:14.95pt;margin-top:93.75pt;width:48.6pt;height:429.9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" o:allowincell="f" stroked="f">
              <v:textbox style="layout-flow:vertical">
                <w:txbxContent>
                  <w:p w14:paraId="3C414FF0" w14:textId="77777777" w:rsidR="00CA309D" w:rsidRPr="001D6B09" w:rsidRDefault="00CA309D" w:rsidP="00525BD0">
                    <w:pPr>
                      <w:pStyle w:val="Footer"/>
                      <w:pBdr>
                        <w:top w:val="single" w:sz="4" w:space="1" w:color="auto"/>
                      </w:pBdr>
                      <w:rPr>
                        <w:rStyle w:val="PageNumber"/>
                        <w:rFonts w:ascii="Arial" w:hAnsi="Arial"/>
                        <w:sz w:val="2"/>
                        <w:szCs w:val="18"/>
                      </w:rPr>
                    </w:pPr>
                  </w:p>
                  <w:p w14:paraId="30A48274" w14:textId="4E6FFF21" w:rsidR="00CA309D" w:rsidRPr="001D6B09" w:rsidRDefault="00CA309D" w:rsidP="00525BD0">
                    <w:pPr>
                      <w:pStyle w:val="Footer"/>
                      <w:pBdr>
                        <w:top w:val="single" w:sz="4" w:space="1" w:color="auto"/>
                      </w:pBdr>
                      <w:rPr>
                        <w:rStyle w:val="PageNumber"/>
                        <w:rFonts w:ascii="Arial" w:hAnsi="Arial"/>
                        <w:sz w:val="18"/>
                        <w:szCs w:val="18"/>
                      </w:rPr>
                    </w:pPr>
                    <w:r w:rsidRPr="00784854">
                      <w:rPr>
                        <w:rStyle w:val="PageNumber"/>
                        <w:rFonts w:ascii="Arial" w:hAnsi="Arial"/>
                        <w:b/>
                        <w:sz w:val="18"/>
                        <w:szCs w:val="18"/>
                      </w:rPr>
                      <w:t>Page</w:t>
                    </w:r>
                    <w:r w:rsidRPr="001D6B09">
                      <w:rPr>
                        <w:rStyle w:val="PageNumber"/>
                        <w:rFonts w:ascii="Arial" w:hAnsi="Arial"/>
                        <w:sz w:val="18"/>
                        <w:szCs w:val="18"/>
                      </w:rPr>
                      <w:t xml:space="preserve"> </w:t>
                    </w:r>
                    <w:r w:rsidRPr="009612AE">
                      <w:rPr>
                        <w:rStyle w:val="PageNumber"/>
                        <w:rFonts w:ascii="Arial" w:hAnsi="Arial"/>
                        <w:b/>
                        <w:sz w:val="18"/>
                        <w:szCs w:val="18"/>
                      </w:rPr>
                      <w:fldChar w:fldCharType="begin"/>
                    </w:r>
                    <w:r w:rsidRPr="00784854">
                      <w:rPr>
                        <w:rStyle w:val="PageNumber"/>
                        <w:rFonts w:ascii="Arial" w:hAnsi="Arial"/>
                        <w:b/>
                        <w:sz w:val="18"/>
                        <w:szCs w:val="18"/>
                      </w:rPr>
                      <w:instrText xml:space="preserve">PAGE  </w:instrText>
                    </w:r>
                    <w:r w:rsidRPr="009612AE">
                      <w:rPr>
                        <w:rStyle w:val="PageNumber"/>
                        <w:rFonts w:ascii="Arial" w:hAnsi="Arial"/>
                        <w:b/>
                        <w:sz w:val="18"/>
                        <w:szCs w:val="18"/>
                      </w:rPr>
                      <w:fldChar w:fldCharType="separate"/>
                    </w:r>
                    <w:r w:rsidR="00CE69B0">
                      <w:rPr>
                        <w:rStyle w:val="PageNumber"/>
                        <w:rFonts w:ascii="Arial" w:hAnsi="Arial"/>
                        <w:b/>
                        <w:noProof/>
                        <w:sz w:val="18"/>
                        <w:szCs w:val="18"/>
                      </w:rPr>
                      <w:t>110</w:t>
                    </w:r>
                    <w:r w:rsidRPr="009612AE">
                      <w:rPr>
                        <w:rStyle w:val="PageNumber"/>
                        <w:rFonts w:ascii="Arial" w:hAnsi="Arial"/>
                        <w:b/>
                        <w:sz w:val="18"/>
                        <w:szCs w:val="18"/>
                      </w:rPr>
                      <w:fldChar w:fldCharType="end"/>
                    </w:r>
                    <w:r w:rsidRPr="001D6B09">
                      <w:rPr>
                        <w:rStyle w:val="PageNumber"/>
                        <w:rFonts w:ascii="Arial" w:hAnsi="Arial"/>
                        <w:sz w:val="18"/>
                        <w:szCs w:val="18"/>
                      </w:rPr>
                      <w:t xml:space="preserve"> |</w:t>
                    </w:r>
                    <w:r w:rsidRPr="00784854">
                      <w:rPr>
                        <w:rStyle w:val="PageNumber"/>
                        <w:rFonts w:ascii="Arial" w:hAnsi="Arial"/>
                        <w:sz w:val="18"/>
                        <w:szCs w:val="18"/>
                      </w:rPr>
                      <w:t xml:space="preserve"> Defence</w:t>
                    </w:r>
                  </w:p>
                  <w:p w14:paraId="322D74EF" w14:textId="77777777" w:rsidR="00CA309D" w:rsidRPr="00784854" w:rsidRDefault="00CA309D" w:rsidP="00525BD0">
                    <w:pPr>
                      <w:jc w:val="center"/>
                      <w:rPr>
                        <w:rFonts w:cs="Times New Roman"/>
                        <w:szCs w:val="20"/>
                      </w:rPr>
                    </w:pPr>
                  </w:p>
                </w:txbxContent>
              </v:textbox>
              <w10:wrap anchorx="page" anchory="page"/>
            </v:rect>
          </w:pict>
        </mc:Fallback>
      </mc:AlternateContent>
    </w:r>
    <w:r>
      <w:rPr>
        <w:noProof/>
        <w:lang w:val="en-AU"/>
      </w:rPr>
      <mc:AlternateContent>
        <mc:Choice Requires="wps">
          <w:drawing>
            <wp:anchor distT="0" distB="0" distL="114300" distR="114300" simplePos="0" relativeHeight="251652096" behindDoc="0" locked="0" layoutInCell="0" allowOverlap="1" wp14:anchorId="5F9FE9CB" wp14:editId="748BC4D0">
              <wp:simplePos x="0" y="0"/>
              <wp:positionH relativeFrom="page">
                <wp:posOffset>9834113</wp:posOffset>
              </wp:positionH>
              <wp:positionV relativeFrom="page">
                <wp:posOffset>1268083</wp:posOffset>
              </wp:positionV>
              <wp:extent cx="428625" cy="3761836"/>
              <wp:effectExtent l="0" t="0" r="9525" b="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37618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E1D5E2" w14:textId="4E1AC5E7" w:rsidR="00CA309D" w:rsidRPr="00842D21" w:rsidRDefault="00CA309D" w:rsidP="0004239F">
                          <w:pPr>
                            <w:pStyle w:val="Header"/>
                            <w:rPr>
                              <w:rFonts w:ascii="Arial" w:hAnsi="Arial"/>
                              <w:sz w:val="18"/>
                              <w:szCs w:val="18"/>
                            </w:rPr>
                          </w:pPr>
                          <w:r w:rsidRPr="00A01209">
                            <w:rPr>
                              <w:rFonts w:ascii="Arial" w:hAnsi="Arial"/>
                              <w:b/>
                              <w:sz w:val="18"/>
                              <w:szCs w:val="18"/>
                            </w:rPr>
                            <w:t>Budget</w:t>
                          </w:r>
                          <w:r w:rsidRPr="00A01209">
                            <w:rPr>
                              <w:rFonts w:ascii="Arial" w:hAnsi="Arial"/>
                              <w:sz w:val="18"/>
                              <w:szCs w:val="18"/>
                            </w:rPr>
                            <w:t xml:space="preserve"> 202</w:t>
                          </w:r>
                          <w:r>
                            <w:rPr>
                              <w:rFonts w:ascii="Arial" w:hAnsi="Arial"/>
                              <w:sz w:val="18"/>
                              <w:szCs w:val="18"/>
                            </w:rPr>
                            <w:t>6</w:t>
                          </w:r>
                          <w:r w:rsidRPr="00A01209">
                            <w:rPr>
                              <w:rFonts w:ascii="Arial" w:hAnsi="Arial"/>
                              <w:sz w:val="18"/>
                              <w:szCs w:val="18"/>
                            </w:rPr>
                            <w:t>-2</w:t>
                          </w:r>
                          <w:r>
                            <w:rPr>
                              <w:rFonts w:ascii="Arial" w:hAnsi="Arial"/>
                              <w:sz w:val="18"/>
                              <w:szCs w:val="18"/>
                            </w:rPr>
                            <w:t xml:space="preserve">7 </w:t>
                          </w:r>
                          <w:r w:rsidRPr="00A01209">
                            <w:rPr>
                              <w:rFonts w:ascii="Arial" w:hAnsi="Arial"/>
                              <w:sz w:val="18"/>
                              <w:szCs w:val="18"/>
                            </w:rPr>
                            <w:t>|</w:t>
                          </w:r>
                          <w:r>
                            <w:rPr>
                              <w:rFonts w:ascii="Arial" w:hAnsi="Arial"/>
                              <w:sz w:val="18"/>
                              <w:szCs w:val="18"/>
                            </w:rPr>
                            <w:t xml:space="preserve"> </w:t>
                          </w:r>
                          <w:r w:rsidRPr="00A01209">
                            <w:rPr>
                              <w:rFonts w:ascii="Arial" w:hAnsi="Arial"/>
                              <w:sz w:val="18"/>
                              <w:szCs w:val="18"/>
                            </w:rPr>
                            <w:t>Portfolio Budget Statements</w:t>
                          </w:r>
                        </w:p>
                        <w:p w14:paraId="5BD735C9" w14:textId="77777777" w:rsidR="00CA309D" w:rsidRPr="006275F9" w:rsidRDefault="00CA309D" w:rsidP="00F86C16">
                          <w:pPr>
                            <w:pStyle w:val="Header"/>
                            <w:spacing w:before="0"/>
                            <w:rPr>
                              <w:rFonts w:ascii="Arial" w:hAnsi="Arial"/>
                              <w:i/>
                              <w:szCs w:val="20"/>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9FE9CB" id="Rectangle 29" o:spid="_x0000_s1110" style="position:absolute;margin-left:774.35pt;margin-top:99.85pt;width:33.75pt;height:296.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" o:allowincell="f" stroked="f">
              <v:textbox style="layout-flow:vertical">
                <w:txbxContent>
                  <w:p w14:paraId="7DE1D5E2" w14:textId="4E1AC5E7" w:rsidR="00CA309D" w:rsidRPr="00842D21" w:rsidRDefault="00CA309D" w:rsidP="0004239F">
                    <w:pPr>
                      <w:pStyle w:val="Header"/>
                      <w:rPr>
                        <w:rFonts w:ascii="Arial" w:hAnsi="Arial"/>
                        <w:sz w:val="18"/>
                        <w:szCs w:val="18"/>
                      </w:rPr>
                    </w:pPr>
                    <w:r w:rsidRPr="00A01209">
                      <w:rPr>
                        <w:rFonts w:ascii="Arial" w:hAnsi="Arial"/>
                        <w:b/>
                        <w:sz w:val="18"/>
                        <w:szCs w:val="18"/>
                      </w:rPr>
                      <w:t>Budget</w:t>
                    </w:r>
                    <w:r w:rsidRPr="00A01209">
                      <w:rPr>
                        <w:rFonts w:ascii="Arial" w:hAnsi="Arial"/>
                        <w:sz w:val="18"/>
                        <w:szCs w:val="18"/>
                      </w:rPr>
                      <w:t xml:space="preserve"> 202</w:t>
                    </w:r>
                    <w:r>
                      <w:rPr>
                        <w:rFonts w:ascii="Arial" w:hAnsi="Arial"/>
                        <w:sz w:val="18"/>
                        <w:szCs w:val="18"/>
                      </w:rPr>
                      <w:t>6</w:t>
                    </w:r>
                    <w:r w:rsidRPr="00A01209">
                      <w:rPr>
                        <w:rFonts w:ascii="Arial" w:hAnsi="Arial"/>
                        <w:sz w:val="18"/>
                        <w:szCs w:val="18"/>
                      </w:rPr>
                      <w:t>-2</w:t>
                    </w:r>
                    <w:r>
                      <w:rPr>
                        <w:rFonts w:ascii="Arial" w:hAnsi="Arial"/>
                        <w:sz w:val="18"/>
                        <w:szCs w:val="18"/>
                      </w:rPr>
                      <w:t xml:space="preserve">7 </w:t>
                    </w:r>
                    <w:r w:rsidRPr="00A01209">
                      <w:rPr>
                        <w:rFonts w:ascii="Arial" w:hAnsi="Arial"/>
                        <w:sz w:val="18"/>
                        <w:szCs w:val="18"/>
                      </w:rPr>
                      <w:t>|</w:t>
                    </w:r>
                    <w:r>
                      <w:rPr>
                        <w:rFonts w:ascii="Arial" w:hAnsi="Arial"/>
                        <w:sz w:val="18"/>
                        <w:szCs w:val="18"/>
                      </w:rPr>
                      <w:t xml:space="preserve"> </w:t>
                    </w:r>
                    <w:r w:rsidRPr="00A01209">
                      <w:rPr>
                        <w:rFonts w:ascii="Arial" w:hAnsi="Arial"/>
                        <w:sz w:val="18"/>
                        <w:szCs w:val="18"/>
                      </w:rPr>
                      <w:t>Portfolio Budget Statements</w:t>
                    </w:r>
                  </w:p>
                  <w:p w14:paraId="5BD735C9" w14:textId="77777777" w:rsidR="00CA309D" w:rsidRPr="006275F9" w:rsidRDefault="00CA309D" w:rsidP="00F86C16">
                    <w:pPr>
                      <w:pStyle w:val="Header"/>
                      <w:spacing w:before="0"/>
                      <w:rPr>
                        <w:rFonts w:ascii="Arial" w:hAnsi="Arial"/>
                        <w:i/>
                        <w:szCs w:val="20"/>
                      </w:rPr>
                    </w:pPr>
                  </w:p>
                </w:txbxContent>
              </v:textbox>
              <w10:wrap anchorx="page" anchory="page"/>
            </v:rect>
          </w:pict>
        </mc:Fallback>
      </mc:AlternateContent>
    </w:r>
    <w:r>
      <w:rPr>
        <w:noProof/>
        <w:lang w:val="en-AU"/>
      </w:rPr>
      <w:t xml:space="preserve"> </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4B60EA" w14:textId="0FDDB434" w:rsidR="00CA309D" w:rsidRPr="008D73F7" w:rsidRDefault="00CA309D" w:rsidP="000E1A17">
    <w:pPr>
      <w:jc w:val="right"/>
    </w:pPr>
    <w:r w:rsidRPr="00A01209">
      <w:rPr>
        <w:rFonts w:ascii="Arial" w:hAnsi="Arial"/>
        <w:sz w:val="18"/>
        <w:szCs w:val="18"/>
      </w:rPr>
      <w:t>Portfolio Budget Statements |</w:t>
    </w:r>
    <w:r>
      <w:rPr>
        <w:rFonts w:ascii="Arial" w:hAnsi="Arial"/>
        <w:sz w:val="18"/>
        <w:szCs w:val="18"/>
      </w:rPr>
      <w:t xml:space="preserve"> </w:t>
    </w:r>
    <w:r w:rsidRPr="00A01209">
      <w:rPr>
        <w:rFonts w:ascii="Arial" w:hAnsi="Arial"/>
        <w:b/>
        <w:sz w:val="18"/>
        <w:szCs w:val="18"/>
      </w:rPr>
      <w:t>Budget</w:t>
    </w:r>
    <w:r w:rsidRPr="00A01209">
      <w:rPr>
        <w:rFonts w:ascii="Arial" w:hAnsi="Arial"/>
        <w:sz w:val="18"/>
        <w:szCs w:val="18"/>
      </w:rPr>
      <w:t xml:space="preserve"> </w:t>
    </w:r>
    <w:r w:rsidRPr="002450FA">
      <w:rPr>
        <w:rFonts w:ascii="Arial" w:hAnsi="Arial"/>
        <w:sz w:val="18"/>
        <w:szCs w:val="18"/>
      </w:rPr>
      <w:t>2026-27</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13691" w14:textId="44C53EB7" w:rsidR="00CA309D" w:rsidRPr="009440B7" w:rsidRDefault="00CA309D" w:rsidP="009440B7">
    <w:pPr>
      <w:pStyle w:val="Header"/>
      <w:rPr>
        <w:rFonts w:ascii="Arial" w:hAnsi="Arial"/>
        <w:sz w:val="18"/>
        <w:szCs w:val="18"/>
      </w:rPr>
    </w:pPr>
    <w:r w:rsidRPr="00A01209">
      <w:rPr>
        <w:rFonts w:ascii="Arial" w:hAnsi="Arial"/>
        <w:b/>
        <w:sz w:val="18"/>
        <w:szCs w:val="18"/>
      </w:rPr>
      <w:t>Budget</w:t>
    </w:r>
    <w:r w:rsidRPr="00A01209">
      <w:rPr>
        <w:rFonts w:ascii="Arial" w:hAnsi="Arial"/>
        <w:sz w:val="18"/>
        <w:szCs w:val="18"/>
      </w:rPr>
      <w:t xml:space="preserve"> </w:t>
    </w:r>
    <w:r w:rsidRPr="002450FA">
      <w:rPr>
        <w:rFonts w:ascii="Arial" w:hAnsi="Arial"/>
        <w:sz w:val="18"/>
        <w:szCs w:val="18"/>
      </w:rPr>
      <w:t>2026-27</w:t>
    </w:r>
    <w:r w:rsidRPr="00A01209">
      <w:rPr>
        <w:rFonts w:ascii="Arial" w:hAnsi="Arial"/>
        <w:sz w:val="18"/>
        <w:szCs w:val="18"/>
      </w:rPr>
      <w:t xml:space="preserve"> | Portfolio Budget Statements</w: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811B44" w14:textId="39DFB4A4" w:rsidR="00CA309D" w:rsidRDefault="00CA309D" w:rsidP="009E133F">
    <w:pPr>
      <w:pStyle w:val="Header"/>
      <w:jc w:val="right"/>
    </w:pPr>
    <w:r w:rsidRPr="00A01209">
      <w:rPr>
        <w:rFonts w:ascii="Arial" w:hAnsi="Arial"/>
        <w:sz w:val="18"/>
        <w:szCs w:val="18"/>
      </w:rPr>
      <w:t>Portfolio Budget Statements |</w:t>
    </w:r>
    <w:r>
      <w:rPr>
        <w:rFonts w:ascii="Arial" w:hAnsi="Arial"/>
        <w:sz w:val="18"/>
        <w:szCs w:val="18"/>
      </w:rPr>
      <w:t xml:space="preserve"> </w:t>
    </w:r>
    <w:r w:rsidRPr="00A01209">
      <w:rPr>
        <w:rFonts w:ascii="Arial" w:hAnsi="Arial"/>
        <w:b/>
        <w:sz w:val="18"/>
        <w:szCs w:val="18"/>
      </w:rPr>
      <w:t>Budget</w:t>
    </w:r>
    <w:r w:rsidRPr="00A01209">
      <w:rPr>
        <w:rFonts w:ascii="Arial" w:hAnsi="Arial"/>
        <w:sz w:val="18"/>
        <w:szCs w:val="18"/>
      </w:rPr>
      <w:t xml:space="preserve"> </w:t>
    </w:r>
    <w:r w:rsidRPr="002450FA">
      <w:rPr>
        <w:rFonts w:ascii="Arial" w:hAnsi="Arial"/>
        <w:sz w:val="18"/>
        <w:szCs w:val="18"/>
      </w:rPr>
      <w:t>2026-27</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E5F44" w14:textId="77777777" w:rsidR="00CA309D" w:rsidRPr="00DC3998" w:rsidRDefault="00CA309D" w:rsidP="00DC3998">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FB34C" w14:textId="5F5FC7D6" w:rsidR="00CA309D" w:rsidRPr="00740A81" w:rsidRDefault="00CA309D" w:rsidP="00740A81">
    <w:pPr>
      <w:pStyle w:val="Header"/>
    </w:pPr>
    <w:r>
      <w:rPr>
        <w:noProof/>
        <w:lang w:val="en-AU"/>
      </w:rPr>
      <mc:AlternateContent>
        <mc:Choice Requires="wps">
          <w:drawing>
            <wp:anchor distT="0" distB="0" distL="114300" distR="114300" simplePos="0" relativeHeight="251657216" behindDoc="0" locked="0" layoutInCell="0" allowOverlap="1" wp14:anchorId="2914F637" wp14:editId="406DE2C0">
              <wp:simplePos x="0" y="0"/>
              <wp:positionH relativeFrom="page">
                <wp:posOffset>188464</wp:posOffset>
              </wp:positionH>
              <wp:positionV relativeFrom="page">
                <wp:posOffset>1270388</wp:posOffset>
              </wp:positionV>
              <wp:extent cx="617744" cy="5388678"/>
              <wp:effectExtent l="0" t="0" r="0" b="2540"/>
              <wp:wrapNone/>
              <wp:docPr id="8563" name="Rectangle 8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44" cy="53886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9B6C26" w14:textId="77777777" w:rsidR="00CA309D" w:rsidRPr="001D6B09" w:rsidRDefault="00CA309D" w:rsidP="006247E2">
                          <w:pPr>
                            <w:pStyle w:val="Footer"/>
                            <w:pBdr>
                              <w:top w:val="single" w:sz="4" w:space="1" w:color="auto"/>
                            </w:pBdr>
                            <w:rPr>
                              <w:rStyle w:val="PageNumber"/>
                              <w:rFonts w:ascii="Arial" w:hAnsi="Arial"/>
                              <w:sz w:val="2"/>
                              <w:szCs w:val="18"/>
                            </w:rPr>
                          </w:pPr>
                        </w:p>
                        <w:p w14:paraId="609CA8E7" w14:textId="2926B4D3" w:rsidR="00CA309D" w:rsidRPr="001D6B09" w:rsidRDefault="00CA309D" w:rsidP="006247E2">
                          <w:pPr>
                            <w:pStyle w:val="Footer"/>
                            <w:pBdr>
                              <w:top w:val="single" w:sz="4" w:space="1" w:color="auto"/>
                            </w:pBdr>
                            <w:rPr>
                              <w:rStyle w:val="PageNumber"/>
                              <w:rFonts w:ascii="Arial" w:hAnsi="Arial"/>
                              <w:sz w:val="18"/>
                              <w:szCs w:val="18"/>
                            </w:rPr>
                          </w:pPr>
                          <w:r w:rsidRPr="00784854">
                            <w:rPr>
                              <w:rStyle w:val="PageNumber"/>
                              <w:rFonts w:ascii="Arial" w:hAnsi="Arial"/>
                              <w:b/>
                              <w:sz w:val="18"/>
                              <w:szCs w:val="18"/>
                            </w:rPr>
                            <w:t>Page</w:t>
                          </w:r>
                          <w:r w:rsidRPr="001D6B09">
                            <w:rPr>
                              <w:rStyle w:val="PageNumber"/>
                              <w:rFonts w:ascii="Arial" w:hAnsi="Arial"/>
                              <w:sz w:val="18"/>
                              <w:szCs w:val="18"/>
                            </w:rPr>
                            <w:t xml:space="preserve"> </w:t>
                          </w:r>
                          <w:r w:rsidRPr="009612AE">
                            <w:rPr>
                              <w:rStyle w:val="PageNumber"/>
                              <w:rFonts w:ascii="Arial" w:hAnsi="Arial"/>
                              <w:b/>
                              <w:sz w:val="18"/>
                              <w:szCs w:val="18"/>
                            </w:rPr>
                            <w:fldChar w:fldCharType="begin"/>
                          </w:r>
                          <w:r w:rsidRPr="00784854">
                            <w:rPr>
                              <w:rStyle w:val="PageNumber"/>
                              <w:rFonts w:ascii="Arial" w:hAnsi="Arial"/>
                              <w:b/>
                              <w:sz w:val="18"/>
                              <w:szCs w:val="18"/>
                            </w:rPr>
                            <w:instrText xml:space="preserve">PAGE  </w:instrText>
                          </w:r>
                          <w:r w:rsidRPr="009612AE">
                            <w:rPr>
                              <w:rStyle w:val="PageNumber"/>
                              <w:rFonts w:ascii="Arial" w:hAnsi="Arial"/>
                              <w:b/>
                              <w:sz w:val="18"/>
                              <w:szCs w:val="18"/>
                            </w:rPr>
                            <w:fldChar w:fldCharType="separate"/>
                          </w:r>
                          <w:r w:rsidR="00CE69B0">
                            <w:rPr>
                              <w:rStyle w:val="PageNumber"/>
                              <w:rFonts w:ascii="Arial" w:hAnsi="Arial"/>
                              <w:b/>
                              <w:noProof/>
                              <w:sz w:val="18"/>
                              <w:szCs w:val="18"/>
                            </w:rPr>
                            <w:t>120</w:t>
                          </w:r>
                          <w:r w:rsidRPr="009612AE">
                            <w:rPr>
                              <w:rStyle w:val="PageNumber"/>
                              <w:rFonts w:ascii="Arial" w:hAnsi="Arial"/>
                              <w:b/>
                              <w:sz w:val="18"/>
                              <w:szCs w:val="18"/>
                            </w:rPr>
                            <w:fldChar w:fldCharType="end"/>
                          </w:r>
                          <w:r w:rsidRPr="001D6B09">
                            <w:rPr>
                              <w:rStyle w:val="PageNumber"/>
                              <w:rFonts w:ascii="Arial" w:hAnsi="Arial"/>
                              <w:sz w:val="18"/>
                              <w:szCs w:val="18"/>
                            </w:rPr>
                            <w:t xml:space="preserve"> |</w:t>
                          </w:r>
                          <w:r w:rsidRPr="00784854">
                            <w:rPr>
                              <w:rStyle w:val="PageNumber"/>
                              <w:rFonts w:ascii="Arial" w:hAnsi="Arial"/>
                              <w:sz w:val="18"/>
                              <w:szCs w:val="18"/>
                            </w:rPr>
                            <w:t xml:space="preserve"> Defence</w:t>
                          </w:r>
                        </w:p>
                        <w:p w14:paraId="75087F74" w14:textId="77777777" w:rsidR="00CA309D" w:rsidRPr="00784854" w:rsidRDefault="00CA309D" w:rsidP="001309C9">
                          <w:pPr>
                            <w:jc w:val="center"/>
                            <w:rPr>
                              <w:rFonts w:cs="Times New Roman"/>
                              <w:szCs w:val="20"/>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14F637" id="Rectangle 8563" o:spid="_x0000_s1111" style="position:absolute;margin-left:14.85pt;margin-top:100.05pt;width:48.65pt;height:424.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" o:allowincell="f" stroked="f">
              <v:textbox style="layout-flow:vertical">
                <w:txbxContent>
                  <w:p w14:paraId="389B6C26" w14:textId="77777777" w:rsidR="00CA309D" w:rsidRPr="001D6B09" w:rsidRDefault="00CA309D" w:rsidP="006247E2">
                    <w:pPr>
                      <w:pStyle w:val="Footer"/>
                      <w:pBdr>
                        <w:top w:val="single" w:sz="4" w:space="1" w:color="auto"/>
                      </w:pBdr>
                      <w:rPr>
                        <w:rStyle w:val="PageNumber"/>
                        <w:rFonts w:ascii="Arial" w:hAnsi="Arial"/>
                        <w:sz w:val="2"/>
                        <w:szCs w:val="18"/>
                      </w:rPr>
                    </w:pPr>
                  </w:p>
                  <w:p w14:paraId="609CA8E7" w14:textId="2926B4D3" w:rsidR="00CA309D" w:rsidRPr="001D6B09" w:rsidRDefault="00CA309D" w:rsidP="006247E2">
                    <w:pPr>
                      <w:pStyle w:val="Footer"/>
                      <w:pBdr>
                        <w:top w:val="single" w:sz="4" w:space="1" w:color="auto"/>
                      </w:pBdr>
                      <w:rPr>
                        <w:rStyle w:val="PageNumber"/>
                        <w:rFonts w:ascii="Arial" w:hAnsi="Arial"/>
                        <w:sz w:val="18"/>
                        <w:szCs w:val="18"/>
                      </w:rPr>
                    </w:pPr>
                    <w:r w:rsidRPr="00784854">
                      <w:rPr>
                        <w:rStyle w:val="PageNumber"/>
                        <w:rFonts w:ascii="Arial" w:hAnsi="Arial"/>
                        <w:b/>
                        <w:sz w:val="18"/>
                        <w:szCs w:val="18"/>
                      </w:rPr>
                      <w:t>Page</w:t>
                    </w:r>
                    <w:r w:rsidRPr="001D6B09">
                      <w:rPr>
                        <w:rStyle w:val="PageNumber"/>
                        <w:rFonts w:ascii="Arial" w:hAnsi="Arial"/>
                        <w:sz w:val="18"/>
                        <w:szCs w:val="18"/>
                      </w:rPr>
                      <w:t xml:space="preserve"> </w:t>
                    </w:r>
                    <w:r w:rsidRPr="009612AE">
                      <w:rPr>
                        <w:rStyle w:val="PageNumber"/>
                        <w:rFonts w:ascii="Arial" w:hAnsi="Arial"/>
                        <w:b/>
                        <w:sz w:val="18"/>
                        <w:szCs w:val="18"/>
                      </w:rPr>
                      <w:fldChar w:fldCharType="begin"/>
                    </w:r>
                    <w:r w:rsidRPr="00784854">
                      <w:rPr>
                        <w:rStyle w:val="PageNumber"/>
                        <w:rFonts w:ascii="Arial" w:hAnsi="Arial"/>
                        <w:b/>
                        <w:sz w:val="18"/>
                        <w:szCs w:val="18"/>
                      </w:rPr>
                      <w:instrText xml:space="preserve">PAGE  </w:instrText>
                    </w:r>
                    <w:r w:rsidRPr="009612AE">
                      <w:rPr>
                        <w:rStyle w:val="PageNumber"/>
                        <w:rFonts w:ascii="Arial" w:hAnsi="Arial"/>
                        <w:b/>
                        <w:sz w:val="18"/>
                        <w:szCs w:val="18"/>
                      </w:rPr>
                      <w:fldChar w:fldCharType="separate"/>
                    </w:r>
                    <w:r w:rsidR="00CE69B0">
                      <w:rPr>
                        <w:rStyle w:val="PageNumber"/>
                        <w:rFonts w:ascii="Arial" w:hAnsi="Arial"/>
                        <w:b/>
                        <w:noProof/>
                        <w:sz w:val="18"/>
                        <w:szCs w:val="18"/>
                      </w:rPr>
                      <w:t>120</w:t>
                    </w:r>
                    <w:r w:rsidRPr="009612AE">
                      <w:rPr>
                        <w:rStyle w:val="PageNumber"/>
                        <w:rFonts w:ascii="Arial" w:hAnsi="Arial"/>
                        <w:b/>
                        <w:sz w:val="18"/>
                        <w:szCs w:val="18"/>
                      </w:rPr>
                      <w:fldChar w:fldCharType="end"/>
                    </w:r>
                    <w:r w:rsidRPr="001D6B09">
                      <w:rPr>
                        <w:rStyle w:val="PageNumber"/>
                        <w:rFonts w:ascii="Arial" w:hAnsi="Arial"/>
                        <w:sz w:val="18"/>
                        <w:szCs w:val="18"/>
                      </w:rPr>
                      <w:t xml:space="preserve"> |</w:t>
                    </w:r>
                    <w:r w:rsidRPr="00784854">
                      <w:rPr>
                        <w:rStyle w:val="PageNumber"/>
                        <w:rFonts w:ascii="Arial" w:hAnsi="Arial"/>
                        <w:sz w:val="18"/>
                        <w:szCs w:val="18"/>
                      </w:rPr>
                      <w:t xml:space="preserve"> Defence</w:t>
                    </w:r>
                  </w:p>
                  <w:p w14:paraId="75087F74" w14:textId="77777777" w:rsidR="00CA309D" w:rsidRPr="00784854" w:rsidRDefault="00CA309D" w:rsidP="001309C9">
                    <w:pPr>
                      <w:jc w:val="center"/>
                      <w:rPr>
                        <w:rFonts w:cs="Times New Roman"/>
                        <w:szCs w:val="20"/>
                      </w:rPr>
                    </w:pPr>
                  </w:p>
                </w:txbxContent>
              </v:textbox>
              <w10:wrap anchorx="page" anchory="page"/>
            </v:rect>
          </w:pict>
        </mc:Fallback>
      </mc:AlternateContent>
    </w:r>
    <w:r>
      <w:rPr>
        <w:noProof/>
        <w:lang w:val="en-AU"/>
      </w:rPr>
      <mc:AlternateContent>
        <mc:Choice Requires="wps">
          <w:drawing>
            <wp:anchor distT="0" distB="0" distL="114300" distR="114300" simplePos="0" relativeHeight="251656192" behindDoc="0" locked="0" layoutInCell="0" allowOverlap="1" wp14:anchorId="4F015954" wp14:editId="7E9939BC">
              <wp:simplePos x="0" y="0"/>
              <wp:positionH relativeFrom="page">
                <wp:posOffset>9624060</wp:posOffset>
              </wp:positionH>
              <wp:positionV relativeFrom="page">
                <wp:posOffset>1170940</wp:posOffset>
              </wp:positionV>
              <wp:extent cx="657225" cy="4144010"/>
              <wp:effectExtent l="0" t="0" r="0" b="0"/>
              <wp:wrapNone/>
              <wp:docPr id="8558" name="Rectangle 8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414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9E1D63" w14:textId="72A68D60" w:rsidR="00CA309D" w:rsidRPr="00B478A6" w:rsidRDefault="00CA309D" w:rsidP="00382629">
                          <w:pPr>
                            <w:pStyle w:val="Header"/>
                            <w:rPr>
                              <w:rFonts w:ascii="Arial" w:hAnsi="Arial"/>
                              <w:sz w:val="18"/>
                              <w:szCs w:val="18"/>
                            </w:rPr>
                          </w:pPr>
                          <w:r w:rsidRPr="00A01209">
                            <w:rPr>
                              <w:rFonts w:ascii="Arial" w:hAnsi="Arial"/>
                              <w:b/>
                              <w:sz w:val="18"/>
                              <w:szCs w:val="18"/>
                            </w:rPr>
                            <w:t>Budget</w:t>
                          </w:r>
                          <w:r>
                            <w:rPr>
                              <w:rFonts w:ascii="Arial" w:hAnsi="Arial"/>
                              <w:sz w:val="18"/>
                              <w:szCs w:val="18"/>
                            </w:rPr>
                            <w:t xml:space="preserve"> </w:t>
                          </w:r>
                          <w:r w:rsidRPr="00806763">
                            <w:rPr>
                              <w:rFonts w:ascii="Arial" w:hAnsi="Arial"/>
                              <w:sz w:val="18"/>
                              <w:szCs w:val="18"/>
                            </w:rPr>
                            <w:t>2026-27</w:t>
                          </w:r>
                          <w:r w:rsidRPr="00A01209">
                            <w:rPr>
                              <w:rFonts w:ascii="Arial" w:hAnsi="Arial"/>
                              <w:sz w:val="18"/>
                              <w:szCs w:val="18"/>
                            </w:rPr>
                            <w:t xml:space="preserve"> | Portfolio Budget Statements</w:t>
                          </w:r>
                        </w:p>
                        <w:p w14:paraId="3EDA240D" w14:textId="77777777" w:rsidR="00CA309D" w:rsidRPr="000570FA" w:rsidRDefault="00CA309D" w:rsidP="001309C9">
                          <w:pPr>
                            <w:jc w:val="center"/>
                            <w:rPr>
                              <w:rFonts w:ascii="Arial" w:hAnsi="Arial"/>
                              <w:sz w:val="18"/>
                              <w:szCs w:val="18"/>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015954" id="Rectangle 8558" o:spid="_x0000_s1112" style="position:absolute;margin-left:757.8pt;margin-top:92.2pt;width:51.75pt;height:326.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" o:allowincell="f" stroked="f">
              <v:textbox style="layout-flow:vertical">
                <w:txbxContent>
                  <w:p w14:paraId="1A9E1D63" w14:textId="72A68D60" w:rsidR="00CA309D" w:rsidRPr="00B478A6" w:rsidRDefault="00CA309D" w:rsidP="00382629">
                    <w:pPr>
                      <w:pStyle w:val="Header"/>
                      <w:rPr>
                        <w:rFonts w:ascii="Arial" w:hAnsi="Arial"/>
                        <w:sz w:val="18"/>
                        <w:szCs w:val="18"/>
                      </w:rPr>
                    </w:pPr>
                    <w:r w:rsidRPr="00A01209">
                      <w:rPr>
                        <w:rFonts w:ascii="Arial" w:hAnsi="Arial"/>
                        <w:b/>
                        <w:sz w:val="18"/>
                        <w:szCs w:val="18"/>
                      </w:rPr>
                      <w:t>Budget</w:t>
                    </w:r>
                    <w:r>
                      <w:rPr>
                        <w:rFonts w:ascii="Arial" w:hAnsi="Arial"/>
                        <w:sz w:val="18"/>
                        <w:szCs w:val="18"/>
                      </w:rPr>
                      <w:t xml:space="preserve"> </w:t>
                    </w:r>
                    <w:r w:rsidRPr="00806763">
                      <w:rPr>
                        <w:rFonts w:ascii="Arial" w:hAnsi="Arial"/>
                        <w:sz w:val="18"/>
                        <w:szCs w:val="18"/>
                      </w:rPr>
                      <w:t>2026-27</w:t>
                    </w:r>
                    <w:r w:rsidRPr="00A01209">
                      <w:rPr>
                        <w:rFonts w:ascii="Arial" w:hAnsi="Arial"/>
                        <w:sz w:val="18"/>
                        <w:szCs w:val="18"/>
                      </w:rPr>
                      <w:t xml:space="preserve"> | Portfolio Budget Statements</w:t>
                    </w:r>
                  </w:p>
                  <w:p w14:paraId="3EDA240D" w14:textId="77777777" w:rsidR="00CA309D" w:rsidRPr="000570FA" w:rsidRDefault="00CA309D" w:rsidP="001309C9">
                    <w:pPr>
                      <w:jc w:val="center"/>
                      <w:rPr>
                        <w:rFonts w:ascii="Arial" w:hAnsi="Arial"/>
                        <w:sz w:val="18"/>
                        <w:szCs w:val="18"/>
                      </w:rPr>
                    </w:pPr>
                  </w:p>
                </w:txbxContent>
              </v:textbox>
              <w10:wrap anchorx="page" anchory="page"/>
            </v:rect>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19B1C" w14:textId="4F25C3BA" w:rsidR="00CA309D" w:rsidRPr="00740A81" w:rsidRDefault="00CA309D" w:rsidP="00D40245">
    <w:pPr>
      <w:pStyle w:val="Header"/>
      <w:jc w:val="right"/>
    </w:pPr>
    <w:r>
      <w:rPr>
        <w:noProof/>
        <w:lang w:val="en-AU"/>
      </w:rPr>
      <mc:AlternateContent>
        <mc:Choice Requires="wps">
          <w:drawing>
            <wp:anchor distT="0" distB="0" distL="114300" distR="114300" simplePos="0" relativeHeight="251658240" behindDoc="0" locked="0" layoutInCell="0" allowOverlap="1" wp14:anchorId="5322DDB6" wp14:editId="10B624DB">
              <wp:simplePos x="0" y="0"/>
              <wp:positionH relativeFrom="page">
                <wp:posOffset>9772650</wp:posOffset>
              </wp:positionH>
              <wp:positionV relativeFrom="page">
                <wp:posOffset>3353303</wp:posOffset>
              </wp:positionV>
              <wp:extent cx="514350" cy="3328670"/>
              <wp:effectExtent l="0" t="0" r="0" b="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328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776EC8" w14:textId="31130319" w:rsidR="00CA309D" w:rsidRPr="00A01209" w:rsidRDefault="00CA309D" w:rsidP="00382629">
                          <w:pPr>
                            <w:pStyle w:val="Header"/>
                            <w:jc w:val="right"/>
                            <w:rPr>
                              <w:rFonts w:ascii="Arial" w:hAnsi="Arial"/>
                              <w:sz w:val="18"/>
                              <w:szCs w:val="18"/>
                            </w:rPr>
                          </w:pPr>
                          <w:r w:rsidRPr="00A01209">
                            <w:rPr>
                              <w:rFonts w:ascii="Arial" w:hAnsi="Arial"/>
                              <w:sz w:val="18"/>
                              <w:szCs w:val="18"/>
                            </w:rPr>
                            <w:t xml:space="preserve">Portfolio Budget Statements | </w:t>
                          </w:r>
                          <w:r w:rsidRPr="00A01209">
                            <w:rPr>
                              <w:rFonts w:ascii="Arial" w:hAnsi="Arial"/>
                              <w:b/>
                              <w:sz w:val="18"/>
                              <w:szCs w:val="18"/>
                            </w:rPr>
                            <w:t>Budget</w:t>
                          </w:r>
                          <w:r w:rsidRPr="00A01209">
                            <w:rPr>
                              <w:rFonts w:ascii="Arial" w:hAnsi="Arial"/>
                              <w:sz w:val="18"/>
                              <w:szCs w:val="18"/>
                            </w:rPr>
                            <w:t xml:space="preserve"> </w:t>
                          </w:r>
                          <w:r w:rsidRPr="00806763">
                            <w:rPr>
                              <w:rFonts w:ascii="Arial" w:hAnsi="Arial"/>
                              <w:sz w:val="18"/>
                              <w:szCs w:val="18"/>
                            </w:rPr>
                            <w:t>2026-2</w:t>
                          </w:r>
                          <w:r>
                            <w:rPr>
                              <w:rFonts w:ascii="Arial" w:hAnsi="Arial"/>
                              <w:sz w:val="18"/>
                              <w:szCs w:val="18"/>
                            </w:rPr>
                            <w:t>7</w:t>
                          </w:r>
                        </w:p>
                        <w:p w14:paraId="1AE1C952" w14:textId="77777777" w:rsidR="00CA309D" w:rsidRPr="008D73F7" w:rsidRDefault="00CA309D" w:rsidP="001309C9">
                          <w:pPr>
                            <w:pStyle w:val="Header"/>
                            <w:jc w:val="right"/>
                            <w:rPr>
                              <w:rFonts w:ascii="Arial" w:hAnsi="Arial"/>
                              <w:i/>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22DDB6" id="Rectangle 32" o:spid="_x0000_s1113" style="position:absolute;left:0;text-align:left;margin-left:769.5pt;margin-top:264.05pt;width:40.5pt;height:262.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" o:allowincell="f" stroked="f">
              <v:textbox style="layout-flow:vertical">
                <w:txbxContent>
                  <w:p w14:paraId="62776EC8" w14:textId="31130319" w:rsidR="00CA309D" w:rsidRPr="00A01209" w:rsidRDefault="00CA309D" w:rsidP="00382629">
                    <w:pPr>
                      <w:pStyle w:val="Header"/>
                      <w:jc w:val="right"/>
                      <w:rPr>
                        <w:rFonts w:ascii="Arial" w:hAnsi="Arial"/>
                        <w:sz w:val="18"/>
                        <w:szCs w:val="18"/>
                      </w:rPr>
                    </w:pPr>
                    <w:r w:rsidRPr="00A01209">
                      <w:rPr>
                        <w:rFonts w:ascii="Arial" w:hAnsi="Arial"/>
                        <w:sz w:val="18"/>
                        <w:szCs w:val="18"/>
                      </w:rPr>
                      <w:t xml:space="preserve">Portfolio Budget Statements | </w:t>
                    </w:r>
                    <w:r w:rsidRPr="00A01209">
                      <w:rPr>
                        <w:rFonts w:ascii="Arial" w:hAnsi="Arial"/>
                        <w:b/>
                        <w:sz w:val="18"/>
                        <w:szCs w:val="18"/>
                      </w:rPr>
                      <w:t>Budget</w:t>
                    </w:r>
                    <w:r w:rsidRPr="00A01209">
                      <w:rPr>
                        <w:rFonts w:ascii="Arial" w:hAnsi="Arial"/>
                        <w:sz w:val="18"/>
                        <w:szCs w:val="18"/>
                      </w:rPr>
                      <w:t xml:space="preserve"> </w:t>
                    </w:r>
                    <w:r w:rsidRPr="00806763">
                      <w:rPr>
                        <w:rFonts w:ascii="Arial" w:hAnsi="Arial"/>
                        <w:sz w:val="18"/>
                        <w:szCs w:val="18"/>
                      </w:rPr>
                      <w:t>2026-2</w:t>
                    </w:r>
                    <w:r>
                      <w:rPr>
                        <w:rFonts w:ascii="Arial" w:hAnsi="Arial"/>
                        <w:sz w:val="18"/>
                        <w:szCs w:val="18"/>
                      </w:rPr>
                      <w:t>7</w:t>
                    </w:r>
                  </w:p>
                  <w:p w14:paraId="1AE1C952" w14:textId="77777777" w:rsidR="00CA309D" w:rsidRPr="008D73F7" w:rsidRDefault="00CA309D" w:rsidP="001309C9">
                    <w:pPr>
                      <w:pStyle w:val="Header"/>
                      <w:jc w:val="right"/>
                      <w:rPr>
                        <w:rFonts w:ascii="Arial" w:hAnsi="Arial"/>
                        <w:i/>
                      </w:rPr>
                    </w:pPr>
                  </w:p>
                </w:txbxContent>
              </v:textbox>
              <w10:wrap anchorx="page" anchory="page"/>
            </v:rect>
          </w:pict>
        </mc:Fallback>
      </mc:AlternateContent>
    </w:r>
    <w:r w:rsidRPr="00806763">
      <w:rPr>
        <w:noProof/>
        <w:lang w:val="en-AU"/>
      </w:rPr>
      <mc:AlternateContent>
        <mc:Choice Requires="wps">
          <w:drawing>
            <wp:anchor distT="0" distB="0" distL="114300" distR="114300" simplePos="0" relativeHeight="251659264" behindDoc="0" locked="0" layoutInCell="0" allowOverlap="1" wp14:anchorId="5617D775" wp14:editId="43E63C2D">
              <wp:simplePos x="0" y="0"/>
              <wp:positionH relativeFrom="page">
                <wp:posOffset>132623</wp:posOffset>
              </wp:positionH>
              <wp:positionV relativeFrom="page">
                <wp:posOffset>1193606</wp:posOffset>
              </wp:positionV>
              <wp:extent cx="688340" cy="5416521"/>
              <wp:effectExtent l="0" t="0" r="0" b="0"/>
              <wp:wrapNone/>
              <wp:docPr id="24575519" name="Rectangle 24575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340" cy="54165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88016E" w14:textId="77777777" w:rsidR="00CA309D" w:rsidRPr="006247E2" w:rsidRDefault="00CA309D" w:rsidP="006247E2">
                          <w:pPr>
                            <w:pStyle w:val="Footer"/>
                            <w:pBdr>
                              <w:top w:val="single" w:sz="4" w:space="1" w:color="auto"/>
                            </w:pBdr>
                            <w:jc w:val="right"/>
                            <w:rPr>
                              <w:rStyle w:val="PageNumber"/>
                              <w:rFonts w:ascii="Arial" w:hAnsi="Arial"/>
                              <w:sz w:val="2"/>
                              <w:szCs w:val="18"/>
                            </w:rPr>
                          </w:pPr>
                        </w:p>
                        <w:p w14:paraId="70E84862" w14:textId="3F54A7B3" w:rsidR="00CA309D" w:rsidRPr="006E0B00" w:rsidRDefault="00CA309D" w:rsidP="006247E2">
                          <w:pPr>
                            <w:pStyle w:val="Footer"/>
                            <w:pBdr>
                              <w:top w:val="single" w:sz="4" w:space="1" w:color="auto"/>
                            </w:pBdr>
                            <w:jc w:val="right"/>
                            <w:rPr>
                              <w:rStyle w:val="PageNumber"/>
                              <w:rFonts w:ascii="Arial" w:hAnsi="Arial"/>
                              <w:sz w:val="18"/>
                              <w:szCs w:val="18"/>
                            </w:rPr>
                          </w:pPr>
                          <w:r w:rsidRPr="003E559F">
                            <w:rPr>
                              <w:rStyle w:val="PageNumber"/>
                              <w:rFonts w:ascii="Arial" w:hAnsi="Arial"/>
                              <w:sz w:val="18"/>
                              <w:szCs w:val="18"/>
                            </w:rPr>
                            <w:t xml:space="preserve">Defence | </w:t>
                          </w:r>
                          <w:r w:rsidRPr="003E559F">
                            <w:rPr>
                              <w:rStyle w:val="PageNumber"/>
                              <w:rFonts w:ascii="Arial" w:hAnsi="Arial"/>
                              <w:b/>
                              <w:sz w:val="18"/>
                              <w:szCs w:val="18"/>
                            </w:rPr>
                            <w:t xml:space="preserve">Page </w:t>
                          </w:r>
                          <w:r w:rsidRPr="003E559F">
                            <w:rPr>
                              <w:rStyle w:val="PageNumber"/>
                              <w:rFonts w:ascii="Arial" w:hAnsi="Arial"/>
                              <w:b/>
                              <w:sz w:val="18"/>
                              <w:szCs w:val="18"/>
                            </w:rPr>
                            <w:fldChar w:fldCharType="begin"/>
                          </w:r>
                          <w:r w:rsidRPr="003E559F">
                            <w:rPr>
                              <w:rStyle w:val="PageNumber"/>
                              <w:rFonts w:ascii="Arial" w:hAnsi="Arial"/>
                              <w:b/>
                              <w:sz w:val="18"/>
                              <w:szCs w:val="18"/>
                            </w:rPr>
                            <w:instrText xml:space="preserve"> PAGE </w:instrText>
                          </w:r>
                          <w:r w:rsidRPr="003E559F">
                            <w:rPr>
                              <w:rStyle w:val="PageNumber"/>
                              <w:rFonts w:ascii="Arial" w:hAnsi="Arial"/>
                              <w:b/>
                              <w:sz w:val="18"/>
                              <w:szCs w:val="18"/>
                            </w:rPr>
                            <w:fldChar w:fldCharType="separate"/>
                          </w:r>
                          <w:r w:rsidR="00CE69B0">
                            <w:rPr>
                              <w:rStyle w:val="PageNumber"/>
                              <w:rFonts w:ascii="Arial" w:hAnsi="Arial"/>
                              <w:b/>
                              <w:noProof/>
                              <w:sz w:val="18"/>
                              <w:szCs w:val="18"/>
                            </w:rPr>
                            <w:t>119</w:t>
                          </w:r>
                          <w:r w:rsidRPr="003E559F">
                            <w:rPr>
                              <w:rStyle w:val="PageNumber"/>
                              <w:rFonts w:ascii="Arial" w:hAnsi="Arial"/>
                              <w:b/>
                              <w:sz w:val="18"/>
                              <w:szCs w:val="18"/>
                            </w:rPr>
                            <w:fldChar w:fldCharType="end"/>
                          </w:r>
                        </w:p>
                        <w:p w14:paraId="1A2DD050" w14:textId="77777777" w:rsidR="00CA309D" w:rsidRPr="006275F9" w:rsidRDefault="00CA309D" w:rsidP="006A2350">
                          <w:pPr>
                            <w:pStyle w:val="Footer"/>
                            <w:rPr>
                              <w:rFonts w:ascii="Calibri Light" w:hAnsi="Calibri Light" w:cs="Times New Roman"/>
                              <w:szCs w:val="20"/>
                            </w:rPr>
                          </w:pPr>
                        </w:p>
                      </w:txbxContent>
                    </wps:txbx>
                    <wps:bodyPr rot="0" vert="vert"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5617D775" id="Rectangle 24575519" o:spid="_x0000_s1114" style="position:absolute;left:0;text-align:left;margin-left:10.45pt;margin-top:94pt;width:54.2pt;height:42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" o:allowincell="f" stroked="f">
              <v:textbox style="layout-flow:vertical">
                <w:txbxContent>
                  <w:p w14:paraId="0C88016E" w14:textId="77777777" w:rsidR="00CA309D" w:rsidRPr="006247E2" w:rsidRDefault="00CA309D" w:rsidP="006247E2">
                    <w:pPr>
                      <w:pStyle w:val="Footer"/>
                      <w:pBdr>
                        <w:top w:val="single" w:sz="4" w:space="1" w:color="auto"/>
                      </w:pBdr>
                      <w:jc w:val="right"/>
                      <w:rPr>
                        <w:rStyle w:val="PageNumber"/>
                        <w:rFonts w:ascii="Arial" w:hAnsi="Arial"/>
                        <w:sz w:val="2"/>
                        <w:szCs w:val="18"/>
                      </w:rPr>
                    </w:pPr>
                  </w:p>
                  <w:p w14:paraId="70E84862" w14:textId="3F54A7B3" w:rsidR="00CA309D" w:rsidRPr="006E0B00" w:rsidRDefault="00CA309D" w:rsidP="006247E2">
                    <w:pPr>
                      <w:pStyle w:val="Footer"/>
                      <w:pBdr>
                        <w:top w:val="single" w:sz="4" w:space="1" w:color="auto"/>
                      </w:pBdr>
                      <w:jc w:val="right"/>
                      <w:rPr>
                        <w:rStyle w:val="PageNumber"/>
                        <w:rFonts w:ascii="Arial" w:hAnsi="Arial"/>
                        <w:sz w:val="18"/>
                        <w:szCs w:val="18"/>
                      </w:rPr>
                    </w:pPr>
                    <w:r w:rsidRPr="003E559F">
                      <w:rPr>
                        <w:rStyle w:val="PageNumber"/>
                        <w:rFonts w:ascii="Arial" w:hAnsi="Arial"/>
                        <w:sz w:val="18"/>
                        <w:szCs w:val="18"/>
                      </w:rPr>
                      <w:t xml:space="preserve">Defence | </w:t>
                    </w:r>
                    <w:r w:rsidRPr="003E559F">
                      <w:rPr>
                        <w:rStyle w:val="PageNumber"/>
                        <w:rFonts w:ascii="Arial" w:hAnsi="Arial"/>
                        <w:b/>
                        <w:sz w:val="18"/>
                        <w:szCs w:val="18"/>
                      </w:rPr>
                      <w:t xml:space="preserve">Page </w:t>
                    </w:r>
                    <w:r w:rsidRPr="003E559F">
                      <w:rPr>
                        <w:rStyle w:val="PageNumber"/>
                        <w:rFonts w:ascii="Arial" w:hAnsi="Arial"/>
                        <w:b/>
                        <w:sz w:val="18"/>
                        <w:szCs w:val="18"/>
                      </w:rPr>
                      <w:fldChar w:fldCharType="begin"/>
                    </w:r>
                    <w:r w:rsidRPr="003E559F">
                      <w:rPr>
                        <w:rStyle w:val="PageNumber"/>
                        <w:rFonts w:ascii="Arial" w:hAnsi="Arial"/>
                        <w:b/>
                        <w:sz w:val="18"/>
                        <w:szCs w:val="18"/>
                      </w:rPr>
                      <w:instrText xml:space="preserve"> PAGE </w:instrText>
                    </w:r>
                    <w:r w:rsidRPr="003E559F">
                      <w:rPr>
                        <w:rStyle w:val="PageNumber"/>
                        <w:rFonts w:ascii="Arial" w:hAnsi="Arial"/>
                        <w:b/>
                        <w:sz w:val="18"/>
                        <w:szCs w:val="18"/>
                      </w:rPr>
                      <w:fldChar w:fldCharType="separate"/>
                    </w:r>
                    <w:r w:rsidR="00CE69B0">
                      <w:rPr>
                        <w:rStyle w:val="PageNumber"/>
                        <w:rFonts w:ascii="Arial" w:hAnsi="Arial"/>
                        <w:b/>
                        <w:noProof/>
                        <w:sz w:val="18"/>
                        <w:szCs w:val="18"/>
                      </w:rPr>
                      <w:t>119</w:t>
                    </w:r>
                    <w:r w:rsidRPr="003E559F">
                      <w:rPr>
                        <w:rStyle w:val="PageNumber"/>
                        <w:rFonts w:ascii="Arial" w:hAnsi="Arial"/>
                        <w:b/>
                        <w:sz w:val="18"/>
                        <w:szCs w:val="18"/>
                      </w:rPr>
                      <w:fldChar w:fldCharType="end"/>
                    </w:r>
                  </w:p>
                  <w:p w14:paraId="1A2DD050" w14:textId="77777777" w:rsidR="00CA309D" w:rsidRPr="006275F9" w:rsidRDefault="00CA309D" w:rsidP="006A2350">
                    <w:pPr>
                      <w:pStyle w:val="Footer"/>
                      <w:rPr>
                        <w:rFonts w:ascii="Calibri Light" w:hAnsi="Calibri Light" w:cs="Times New Roman"/>
                        <w:szCs w:val="20"/>
                      </w:rPr>
                    </w:pPr>
                  </w:p>
                </w:txbxContent>
              </v:textbox>
              <w10:wrap anchorx="page" anchory="page"/>
            </v:rect>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C7D4D7" w14:textId="6D0D556B" w:rsidR="00CA309D" w:rsidRPr="00B478A6" w:rsidRDefault="00CA309D" w:rsidP="00B53319">
    <w:pPr>
      <w:pStyle w:val="Header"/>
      <w:rPr>
        <w:rFonts w:ascii="Arial" w:hAnsi="Arial"/>
        <w:sz w:val="18"/>
        <w:szCs w:val="18"/>
      </w:rPr>
    </w:pPr>
    <w:r w:rsidRPr="00A01209">
      <w:rPr>
        <w:rFonts w:ascii="Arial" w:hAnsi="Arial"/>
        <w:b/>
        <w:sz w:val="18"/>
        <w:szCs w:val="18"/>
      </w:rPr>
      <w:t>Budget</w:t>
    </w:r>
    <w:r w:rsidRPr="00A01209">
      <w:rPr>
        <w:rFonts w:ascii="Arial" w:hAnsi="Arial"/>
        <w:sz w:val="18"/>
        <w:szCs w:val="18"/>
      </w:rPr>
      <w:t xml:space="preserve"> </w:t>
    </w:r>
    <w:r w:rsidRPr="00806763">
      <w:rPr>
        <w:rFonts w:ascii="Arial" w:hAnsi="Arial"/>
        <w:sz w:val="18"/>
        <w:szCs w:val="18"/>
      </w:rPr>
      <w:t>2026-27</w:t>
    </w:r>
    <w:r w:rsidRPr="00A01209">
      <w:rPr>
        <w:rFonts w:ascii="Arial" w:hAnsi="Arial"/>
        <w:sz w:val="18"/>
        <w:szCs w:val="18"/>
      </w:rPr>
      <w:t xml:space="preserve"> | Portfolio Budget Statements</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2904F" w14:textId="63259EBA" w:rsidR="00CA309D" w:rsidRPr="00EA6645" w:rsidRDefault="00CA309D" w:rsidP="00B53319">
    <w:pPr>
      <w:pStyle w:val="Header"/>
      <w:jc w:val="right"/>
      <w:rPr>
        <w:rFonts w:ascii="Arial" w:hAnsi="Arial"/>
        <w:sz w:val="18"/>
        <w:szCs w:val="18"/>
      </w:rPr>
    </w:pPr>
    <w:r w:rsidRPr="00A01209">
      <w:rPr>
        <w:rFonts w:ascii="Arial" w:hAnsi="Arial"/>
        <w:sz w:val="18"/>
        <w:szCs w:val="18"/>
      </w:rPr>
      <w:t>Portfolio Budget Statements |</w:t>
    </w:r>
    <w:r w:rsidRPr="00A01209">
      <w:rPr>
        <w:rFonts w:ascii="Arial" w:hAnsi="Arial"/>
        <w:b/>
        <w:sz w:val="18"/>
        <w:szCs w:val="18"/>
      </w:rPr>
      <w:t xml:space="preserve"> Budget</w:t>
    </w:r>
    <w:r w:rsidRPr="00A01209">
      <w:rPr>
        <w:rFonts w:ascii="Arial" w:hAnsi="Arial"/>
        <w:sz w:val="18"/>
        <w:szCs w:val="18"/>
      </w:rPr>
      <w:t xml:space="preserve"> </w:t>
    </w:r>
    <w:r w:rsidRPr="00806763">
      <w:rPr>
        <w:rFonts w:ascii="Arial" w:hAnsi="Arial"/>
        <w:sz w:val="18"/>
        <w:szCs w:val="18"/>
      </w:rPr>
      <w:t>2026-27</w: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A52EE" w14:textId="77777777" w:rsidR="00CA309D" w:rsidRPr="009440B7" w:rsidRDefault="00CA309D" w:rsidP="009440B7">
    <w:pPr>
      <w:pStyle w:val="Header"/>
      <w:rPr>
        <w:rFonts w:ascii="Arial" w:hAnsi="Arial"/>
        <w:sz w:val="18"/>
        <w:szCs w:val="18"/>
      </w:rPr>
    </w:pPr>
    <w:r w:rsidRPr="00A01209">
      <w:rPr>
        <w:rFonts w:ascii="Arial" w:hAnsi="Arial"/>
        <w:b/>
        <w:sz w:val="18"/>
        <w:szCs w:val="18"/>
      </w:rPr>
      <w:t>Budget</w:t>
    </w:r>
    <w:r w:rsidRPr="00A01209">
      <w:rPr>
        <w:rFonts w:ascii="Arial" w:hAnsi="Arial"/>
        <w:sz w:val="18"/>
        <w:szCs w:val="18"/>
      </w:rPr>
      <w:t xml:space="preserve"> </w:t>
    </w:r>
    <w:r w:rsidRPr="002450FA">
      <w:rPr>
        <w:rFonts w:ascii="Arial" w:hAnsi="Arial"/>
        <w:sz w:val="18"/>
        <w:szCs w:val="18"/>
      </w:rPr>
      <w:t>2026-27</w:t>
    </w:r>
    <w:r w:rsidRPr="00A01209">
      <w:rPr>
        <w:rFonts w:ascii="Arial" w:hAnsi="Arial"/>
        <w:sz w:val="18"/>
        <w:szCs w:val="18"/>
      </w:rPr>
      <w:t xml:space="preserve"> | Portfolio Budget Statements</w: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DBA635" w14:textId="77777777" w:rsidR="00CA309D" w:rsidRPr="000570FA" w:rsidRDefault="00CA309D" w:rsidP="00B53319">
    <w:pPr>
      <w:pStyle w:val="Header"/>
      <w:jc w:val="right"/>
      <w:rPr>
        <w:rFonts w:ascii="Arial" w:hAnsi="Arial"/>
        <w:sz w:val="18"/>
        <w:szCs w:val="18"/>
      </w:rPr>
    </w:pPr>
    <w:r w:rsidRPr="00A01209">
      <w:rPr>
        <w:rFonts w:ascii="Arial" w:hAnsi="Arial"/>
        <w:sz w:val="18"/>
        <w:szCs w:val="18"/>
      </w:rPr>
      <w:t>Portfolio Budget Statements |</w:t>
    </w:r>
    <w:r>
      <w:rPr>
        <w:rFonts w:ascii="Arial" w:hAnsi="Arial"/>
        <w:sz w:val="18"/>
        <w:szCs w:val="18"/>
      </w:rPr>
      <w:t xml:space="preserve"> </w:t>
    </w:r>
    <w:r w:rsidRPr="00A01209">
      <w:rPr>
        <w:rFonts w:ascii="Arial" w:hAnsi="Arial"/>
        <w:b/>
        <w:sz w:val="18"/>
        <w:szCs w:val="18"/>
      </w:rPr>
      <w:t>Budget</w:t>
    </w:r>
    <w:r w:rsidRPr="00A01209">
      <w:rPr>
        <w:rFonts w:ascii="Arial" w:hAnsi="Arial"/>
        <w:sz w:val="18"/>
        <w:szCs w:val="18"/>
      </w:rPr>
      <w:t xml:space="preserve"> </w:t>
    </w:r>
    <w:r w:rsidRPr="002450FA">
      <w:rPr>
        <w:rFonts w:ascii="Arial" w:hAnsi="Arial"/>
        <w:sz w:val="18"/>
        <w:szCs w:val="18"/>
      </w:rPr>
      <w:t>2026-27</w:t>
    </w:r>
  </w:p>
  <w:p w14:paraId="2F841BB7" w14:textId="77777777" w:rsidR="00CA309D" w:rsidRDefault="00CA309D"/>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04288F" w14:textId="77777777" w:rsidR="00CA309D" w:rsidRPr="00740A81" w:rsidRDefault="00CA309D" w:rsidP="00704DA3">
    <w:pPr>
      <w:pStyle w:val="Header"/>
    </w:pPr>
    <w:r>
      <w:rPr>
        <w:rFonts w:ascii="Times New Roman" w:hAnsi="Times New Roman" w:cs="Times New Roman"/>
        <w:b/>
        <w:noProof/>
        <w:sz w:val="27"/>
        <w:szCs w:val="27"/>
        <w:lang w:val="en-AU"/>
      </w:rPr>
      <mc:AlternateContent>
        <mc:Choice Requires="wps">
          <w:drawing>
            <wp:anchor distT="0" distB="0" distL="114300" distR="114300" simplePos="0" relativeHeight="251663360" behindDoc="0" locked="0" layoutInCell="0" allowOverlap="1" wp14:anchorId="1361A7CC" wp14:editId="5C1C45F4">
              <wp:simplePos x="0" y="0"/>
              <wp:positionH relativeFrom="page">
                <wp:posOffset>146583</wp:posOffset>
              </wp:positionH>
              <wp:positionV relativeFrom="page">
                <wp:posOffset>1158705</wp:posOffset>
              </wp:positionV>
              <wp:extent cx="681801" cy="5521101"/>
              <wp:effectExtent l="0" t="0" r="4445" b="3810"/>
              <wp:wrapNone/>
              <wp:docPr id="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01" cy="55211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4DE5C8" w14:textId="77777777" w:rsidR="00CA309D" w:rsidRPr="006247E2" w:rsidRDefault="00CA309D" w:rsidP="006247E2">
                          <w:pPr>
                            <w:pStyle w:val="Footer"/>
                            <w:pBdr>
                              <w:top w:val="single" w:sz="4" w:space="1" w:color="auto"/>
                            </w:pBdr>
                            <w:rPr>
                              <w:rStyle w:val="PageNumber"/>
                              <w:rFonts w:ascii="Arial" w:hAnsi="Arial"/>
                              <w:b/>
                              <w:sz w:val="2"/>
                              <w:szCs w:val="18"/>
                            </w:rPr>
                          </w:pPr>
                        </w:p>
                        <w:p w14:paraId="3159966C" w14:textId="01DCDEA4" w:rsidR="00CA309D" w:rsidRPr="006E0B00" w:rsidRDefault="00CA309D" w:rsidP="006247E2">
                          <w:pPr>
                            <w:pStyle w:val="Footer"/>
                            <w:pBdr>
                              <w:top w:val="single" w:sz="4" w:space="1" w:color="auto"/>
                            </w:pBdr>
                            <w:rPr>
                              <w:rStyle w:val="PageNumber"/>
                              <w:rFonts w:ascii="Arial" w:hAnsi="Arial"/>
                              <w:sz w:val="18"/>
                              <w:szCs w:val="18"/>
                            </w:rPr>
                          </w:pPr>
                          <w:r w:rsidRPr="003E559F">
                            <w:rPr>
                              <w:rStyle w:val="PageNumber"/>
                              <w:rFonts w:ascii="Arial" w:hAnsi="Arial"/>
                              <w:b/>
                              <w:sz w:val="18"/>
                              <w:szCs w:val="18"/>
                            </w:rPr>
                            <w:t xml:space="preserve">Page </w:t>
                          </w:r>
                          <w:r w:rsidRPr="003E559F">
                            <w:rPr>
                              <w:rStyle w:val="PageNumber"/>
                              <w:rFonts w:ascii="Arial" w:hAnsi="Arial"/>
                              <w:b/>
                              <w:sz w:val="18"/>
                              <w:szCs w:val="18"/>
                            </w:rPr>
                            <w:fldChar w:fldCharType="begin"/>
                          </w:r>
                          <w:r w:rsidRPr="003E559F">
                            <w:rPr>
                              <w:rStyle w:val="PageNumber"/>
                              <w:rFonts w:ascii="Arial" w:hAnsi="Arial"/>
                              <w:b/>
                              <w:sz w:val="18"/>
                              <w:szCs w:val="18"/>
                            </w:rPr>
                            <w:instrText xml:space="preserve"> PAGE </w:instrText>
                          </w:r>
                          <w:r w:rsidRPr="003E559F">
                            <w:rPr>
                              <w:rStyle w:val="PageNumber"/>
                              <w:rFonts w:ascii="Arial" w:hAnsi="Arial"/>
                              <w:b/>
                              <w:sz w:val="18"/>
                              <w:szCs w:val="18"/>
                            </w:rPr>
                            <w:fldChar w:fldCharType="separate"/>
                          </w:r>
                          <w:r w:rsidR="00CE69B0">
                            <w:rPr>
                              <w:rStyle w:val="PageNumber"/>
                              <w:rFonts w:ascii="Arial" w:hAnsi="Arial"/>
                              <w:b/>
                              <w:noProof/>
                              <w:sz w:val="18"/>
                              <w:szCs w:val="18"/>
                            </w:rPr>
                            <w:t>158</w:t>
                          </w:r>
                          <w:r w:rsidRPr="003E559F">
                            <w:rPr>
                              <w:rStyle w:val="PageNumber"/>
                              <w:rFonts w:ascii="Arial" w:hAnsi="Arial"/>
                              <w:b/>
                              <w:sz w:val="18"/>
                              <w:szCs w:val="18"/>
                            </w:rPr>
                            <w:fldChar w:fldCharType="end"/>
                          </w:r>
                          <w:r w:rsidRPr="003E559F">
                            <w:rPr>
                              <w:rStyle w:val="PageNumber"/>
                              <w:rFonts w:ascii="Arial" w:hAnsi="Arial"/>
                              <w:sz w:val="18"/>
                              <w:szCs w:val="18"/>
                            </w:rPr>
                            <w:t xml:space="preserve"> | </w:t>
                          </w:r>
                          <w:r>
                            <w:rPr>
                              <w:rStyle w:val="PageNumber"/>
                              <w:rFonts w:ascii="Arial" w:hAnsi="Arial"/>
                              <w:sz w:val="18"/>
                              <w:szCs w:val="18"/>
                            </w:rPr>
                            <w:t>D</w:t>
                          </w:r>
                          <w:r w:rsidRPr="003E559F">
                            <w:rPr>
                              <w:rStyle w:val="PageNumber"/>
                              <w:rFonts w:ascii="Arial" w:hAnsi="Arial"/>
                              <w:sz w:val="18"/>
                              <w:szCs w:val="18"/>
                            </w:rPr>
                            <w:t>efence</w:t>
                          </w:r>
                        </w:p>
                        <w:p w14:paraId="54EC783D" w14:textId="77777777" w:rsidR="00CA309D" w:rsidRPr="006275F9" w:rsidRDefault="00CA309D" w:rsidP="00BC20A4">
                          <w:pPr>
                            <w:pStyle w:val="Footer"/>
                            <w:rPr>
                              <w:rFonts w:ascii="Calibri Light" w:hAnsi="Calibri Light" w:cs="Times New Roman"/>
                              <w:szCs w:val="20"/>
                            </w:rPr>
                          </w:pPr>
                        </w:p>
                      </w:txbxContent>
                    </wps:txbx>
                    <wps:bodyPr rot="0" vert="vert"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1361A7CC" id="Rectangle 33" o:spid="_x0000_s1115" style="position:absolute;margin-left:11.55pt;margin-top:91.25pt;width:53.7pt;height:434.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" o:allowincell="f" stroked="f">
              <v:textbox style="layout-flow:vertical">
                <w:txbxContent>
                  <w:p w14:paraId="704DE5C8" w14:textId="77777777" w:rsidR="00CA309D" w:rsidRPr="006247E2" w:rsidRDefault="00CA309D" w:rsidP="006247E2">
                    <w:pPr>
                      <w:pStyle w:val="Footer"/>
                      <w:pBdr>
                        <w:top w:val="single" w:sz="4" w:space="1" w:color="auto"/>
                      </w:pBdr>
                      <w:rPr>
                        <w:rStyle w:val="PageNumber"/>
                        <w:rFonts w:ascii="Arial" w:hAnsi="Arial"/>
                        <w:b/>
                        <w:sz w:val="2"/>
                        <w:szCs w:val="18"/>
                      </w:rPr>
                    </w:pPr>
                  </w:p>
                  <w:p w14:paraId="3159966C" w14:textId="01DCDEA4" w:rsidR="00CA309D" w:rsidRPr="006E0B00" w:rsidRDefault="00CA309D" w:rsidP="006247E2">
                    <w:pPr>
                      <w:pStyle w:val="Footer"/>
                      <w:pBdr>
                        <w:top w:val="single" w:sz="4" w:space="1" w:color="auto"/>
                      </w:pBdr>
                      <w:rPr>
                        <w:rStyle w:val="PageNumber"/>
                        <w:rFonts w:ascii="Arial" w:hAnsi="Arial"/>
                        <w:sz w:val="18"/>
                        <w:szCs w:val="18"/>
                      </w:rPr>
                    </w:pPr>
                    <w:r w:rsidRPr="003E559F">
                      <w:rPr>
                        <w:rStyle w:val="PageNumber"/>
                        <w:rFonts w:ascii="Arial" w:hAnsi="Arial"/>
                        <w:b/>
                        <w:sz w:val="18"/>
                        <w:szCs w:val="18"/>
                      </w:rPr>
                      <w:t xml:space="preserve">Page </w:t>
                    </w:r>
                    <w:r w:rsidRPr="003E559F">
                      <w:rPr>
                        <w:rStyle w:val="PageNumber"/>
                        <w:rFonts w:ascii="Arial" w:hAnsi="Arial"/>
                        <w:b/>
                        <w:sz w:val="18"/>
                        <w:szCs w:val="18"/>
                      </w:rPr>
                      <w:fldChar w:fldCharType="begin"/>
                    </w:r>
                    <w:r w:rsidRPr="003E559F">
                      <w:rPr>
                        <w:rStyle w:val="PageNumber"/>
                        <w:rFonts w:ascii="Arial" w:hAnsi="Arial"/>
                        <w:b/>
                        <w:sz w:val="18"/>
                        <w:szCs w:val="18"/>
                      </w:rPr>
                      <w:instrText xml:space="preserve"> PAGE </w:instrText>
                    </w:r>
                    <w:r w:rsidRPr="003E559F">
                      <w:rPr>
                        <w:rStyle w:val="PageNumber"/>
                        <w:rFonts w:ascii="Arial" w:hAnsi="Arial"/>
                        <w:b/>
                        <w:sz w:val="18"/>
                        <w:szCs w:val="18"/>
                      </w:rPr>
                      <w:fldChar w:fldCharType="separate"/>
                    </w:r>
                    <w:r w:rsidR="00CE69B0">
                      <w:rPr>
                        <w:rStyle w:val="PageNumber"/>
                        <w:rFonts w:ascii="Arial" w:hAnsi="Arial"/>
                        <w:b/>
                        <w:noProof/>
                        <w:sz w:val="18"/>
                        <w:szCs w:val="18"/>
                      </w:rPr>
                      <w:t>158</w:t>
                    </w:r>
                    <w:r w:rsidRPr="003E559F">
                      <w:rPr>
                        <w:rStyle w:val="PageNumber"/>
                        <w:rFonts w:ascii="Arial" w:hAnsi="Arial"/>
                        <w:b/>
                        <w:sz w:val="18"/>
                        <w:szCs w:val="18"/>
                      </w:rPr>
                      <w:fldChar w:fldCharType="end"/>
                    </w:r>
                    <w:r w:rsidRPr="003E559F">
                      <w:rPr>
                        <w:rStyle w:val="PageNumber"/>
                        <w:rFonts w:ascii="Arial" w:hAnsi="Arial"/>
                        <w:sz w:val="18"/>
                        <w:szCs w:val="18"/>
                      </w:rPr>
                      <w:t xml:space="preserve"> | </w:t>
                    </w:r>
                    <w:r>
                      <w:rPr>
                        <w:rStyle w:val="PageNumber"/>
                        <w:rFonts w:ascii="Arial" w:hAnsi="Arial"/>
                        <w:sz w:val="18"/>
                        <w:szCs w:val="18"/>
                      </w:rPr>
                      <w:t>D</w:t>
                    </w:r>
                    <w:r w:rsidRPr="003E559F">
                      <w:rPr>
                        <w:rStyle w:val="PageNumber"/>
                        <w:rFonts w:ascii="Arial" w:hAnsi="Arial"/>
                        <w:sz w:val="18"/>
                        <w:szCs w:val="18"/>
                      </w:rPr>
                      <w:t>efence</w:t>
                    </w:r>
                  </w:p>
                  <w:p w14:paraId="54EC783D" w14:textId="77777777" w:rsidR="00CA309D" w:rsidRPr="006275F9" w:rsidRDefault="00CA309D" w:rsidP="00BC20A4">
                    <w:pPr>
                      <w:pStyle w:val="Footer"/>
                      <w:rPr>
                        <w:rFonts w:ascii="Calibri Light" w:hAnsi="Calibri Light" w:cs="Times New Roman"/>
                        <w:szCs w:val="20"/>
                      </w:rPr>
                    </w:pPr>
                  </w:p>
                </w:txbxContent>
              </v:textbox>
              <w10:wrap anchorx="page" anchory="page"/>
            </v:rect>
          </w:pict>
        </mc:Fallback>
      </mc:AlternateContent>
    </w:r>
    <w:r w:rsidRPr="00096FDA">
      <w:rPr>
        <w:rFonts w:ascii="Times New Roman" w:hAnsi="Times New Roman" w:cs="Times New Roman"/>
        <w:b/>
        <w:noProof/>
        <w:sz w:val="27"/>
        <w:szCs w:val="27"/>
        <w:lang w:val="en-AU"/>
      </w:rPr>
      <mc:AlternateContent>
        <mc:Choice Requires="wps">
          <w:drawing>
            <wp:anchor distT="0" distB="0" distL="114300" distR="114300" simplePos="0" relativeHeight="251661312" behindDoc="0" locked="0" layoutInCell="0" allowOverlap="1" wp14:anchorId="52A852C7" wp14:editId="1E7C8DA9">
              <wp:simplePos x="0" y="0"/>
              <wp:positionH relativeFrom="page">
                <wp:posOffset>8754745</wp:posOffset>
              </wp:positionH>
              <wp:positionV relativeFrom="page">
                <wp:posOffset>2583815</wp:posOffset>
              </wp:positionV>
              <wp:extent cx="3185160" cy="329565"/>
              <wp:effectExtent l="0" t="3810" r="3810" b="1905"/>
              <wp:wrapNone/>
              <wp:docPr id="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18516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FABB70" w14:textId="35CD25C4" w:rsidR="00CA309D" w:rsidRPr="006E0B00" w:rsidRDefault="00CA309D" w:rsidP="00096FDA">
                          <w:pPr>
                            <w:pStyle w:val="Header"/>
                            <w:rPr>
                              <w:rFonts w:ascii="Arial" w:hAnsi="Arial"/>
                              <w:sz w:val="18"/>
                              <w:szCs w:val="18"/>
                            </w:rPr>
                          </w:pPr>
                          <w:r w:rsidRPr="00A01209">
                            <w:rPr>
                              <w:rFonts w:ascii="Arial" w:hAnsi="Arial"/>
                              <w:b/>
                              <w:sz w:val="18"/>
                              <w:szCs w:val="18"/>
                            </w:rPr>
                            <w:t>Budget</w:t>
                          </w:r>
                          <w:r w:rsidRPr="00A01209">
                            <w:rPr>
                              <w:rFonts w:ascii="Arial" w:hAnsi="Arial"/>
                              <w:sz w:val="18"/>
                              <w:szCs w:val="18"/>
                            </w:rPr>
                            <w:t xml:space="preserve"> </w:t>
                          </w:r>
                          <w:r w:rsidRPr="00806763">
                            <w:rPr>
                              <w:rFonts w:ascii="Arial" w:hAnsi="Arial"/>
                              <w:sz w:val="18"/>
                              <w:szCs w:val="18"/>
                            </w:rPr>
                            <w:t>2026-27</w:t>
                          </w:r>
                          <w:r w:rsidRPr="00A01209">
                            <w:rPr>
                              <w:rFonts w:ascii="Arial" w:hAnsi="Arial"/>
                              <w:sz w:val="18"/>
                              <w:szCs w:val="18"/>
                            </w:rPr>
                            <w:t xml:space="preserve"> | Portfolio Budget Statements</w:t>
                          </w:r>
                        </w:p>
                        <w:p w14:paraId="73F5AED2" w14:textId="77777777" w:rsidR="00CA309D" w:rsidRDefault="00CA309D">
                          <w:pPr>
                            <w:pBdr>
                              <w:bottom w:val="single" w:sz="4" w:space="1" w:color="auto"/>
                            </w:pBdr>
                          </w:pPr>
                        </w:p>
                      </w:txbxContent>
                    </wps:txbx>
                    <wps:bodyPr rot="0" vert="vert"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52A852C7" id="Rectangle 21" o:spid="_x0000_s1116" style="position:absolute;margin-left:689.35pt;margin-top:203.45pt;width:250.8pt;height:25.95pt;rotation:90;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" o:allowincell="f" stroked="f">
              <v:textbox style="layout-flow:vertical">
                <w:txbxContent>
                  <w:p w14:paraId="7EFABB70" w14:textId="35CD25C4" w:rsidR="00CA309D" w:rsidRPr="006E0B00" w:rsidRDefault="00CA309D" w:rsidP="00096FDA">
                    <w:pPr>
                      <w:pStyle w:val="Header"/>
                      <w:rPr>
                        <w:rFonts w:ascii="Arial" w:hAnsi="Arial"/>
                        <w:sz w:val="18"/>
                        <w:szCs w:val="18"/>
                      </w:rPr>
                    </w:pPr>
                    <w:r w:rsidRPr="00A01209">
                      <w:rPr>
                        <w:rFonts w:ascii="Arial" w:hAnsi="Arial"/>
                        <w:b/>
                        <w:sz w:val="18"/>
                        <w:szCs w:val="18"/>
                      </w:rPr>
                      <w:t>Budget</w:t>
                    </w:r>
                    <w:r w:rsidRPr="00A01209">
                      <w:rPr>
                        <w:rFonts w:ascii="Arial" w:hAnsi="Arial"/>
                        <w:sz w:val="18"/>
                        <w:szCs w:val="18"/>
                      </w:rPr>
                      <w:t xml:space="preserve"> </w:t>
                    </w:r>
                    <w:r w:rsidRPr="00806763">
                      <w:rPr>
                        <w:rFonts w:ascii="Arial" w:hAnsi="Arial"/>
                        <w:sz w:val="18"/>
                        <w:szCs w:val="18"/>
                      </w:rPr>
                      <w:t>2026-27</w:t>
                    </w:r>
                    <w:r w:rsidRPr="00A01209">
                      <w:rPr>
                        <w:rFonts w:ascii="Arial" w:hAnsi="Arial"/>
                        <w:sz w:val="18"/>
                        <w:szCs w:val="18"/>
                      </w:rPr>
                      <w:t xml:space="preserve"> | Portfolio Budget Statements</w:t>
                    </w:r>
                  </w:p>
                  <w:p w14:paraId="73F5AED2" w14:textId="77777777" w:rsidR="00CA309D" w:rsidRDefault="00CA309D">
                    <w:pPr>
                      <w:pBdr>
                        <w:bottom w:val="single" w:sz="4" w:space="1" w:color="auto"/>
                      </w:pBdr>
                    </w:pPr>
                  </w:p>
                </w:txbxContent>
              </v:textbox>
              <w10:wrap anchorx="page" anchory="page"/>
            </v:rect>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4DB51" w14:textId="69697C8E" w:rsidR="00CA309D" w:rsidRPr="00740A81" w:rsidRDefault="00CA309D" w:rsidP="00D40245">
    <w:pPr>
      <w:pStyle w:val="Header"/>
      <w:jc w:val="right"/>
    </w:pPr>
    <w:r>
      <w:rPr>
        <w:noProof/>
        <w:lang w:val="en-AU"/>
      </w:rPr>
      <mc:AlternateContent>
        <mc:Choice Requires="wps">
          <w:drawing>
            <wp:anchor distT="0" distB="0" distL="114300" distR="114300" simplePos="0" relativeHeight="251660288" behindDoc="0" locked="0" layoutInCell="0" allowOverlap="1" wp14:anchorId="2C8679EF" wp14:editId="1A38CC49">
              <wp:simplePos x="0" y="0"/>
              <wp:positionH relativeFrom="page">
                <wp:posOffset>195444</wp:posOffset>
              </wp:positionH>
              <wp:positionV relativeFrom="page">
                <wp:posOffset>1256427</wp:posOffset>
              </wp:positionV>
              <wp:extent cx="744220" cy="5508301"/>
              <wp:effectExtent l="0" t="0" r="0" b="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4220" cy="55083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78BA78" w14:textId="77777777" w:rsidR="00CA309D" w:rsidRPr="006247E2" w:rsidRDefault="00CA309D" w:rsidP="006247E2">
                          <w:pPr>
                            <w:pStyle w:val="Footer"/>
                            <w:pBdr>
                              <w:top w:val="single" w:sz="4" w:space="1" w:color="auto"/>
                            </w:pBdr>
                            <w:jc w:val="right"/>
                            <w:rPr>
                              <w:rStyle w:val="PageNumber"/>
                              <w:rFonts w:ascii="Arial" w:hAnsi="Arial"/>
                              <w:sz w:val="2"/>
                              <w:szCs w:val="18"/>
                            </w:rPr>
                          </w:pPr>
                        </w:p>
                        <w:p w14:paraId="64130258" w14:textId="4DB15AF3" w:rsidR="00CA309D" w:rsidRPr="006E0B00" w:rsidRDefault="00CA309D" w:rsidP="006247E2">
                          <w:pPr>
                            <w:pStyle w:val="Footer"/>
                            <w:pBdr>
                              <w:top w:val="single" w:sz="4" w:space="1" w:color="auto"/>
                            </w:pBdr>
                            <w:jc w:val="right"/>
                            <w:rPr>
                              <w:rStyle w:val="PageNumber"/>
                              <w:rFonts w:ascii="Arial" w:hAnsi="Arial"/>
                              <w:sz w:val="18"/>
                              <w:szCs w:val="18"/>
                            </w:rPr>
                          </w:pPr>
                          <w:r w:rsidRPr="003E559F">
                            <w:rPr>
                              <w:rStyle w:val="PageNumber"/>
                              <w:rFonts w:ascii="Arial" w:hAnsi="Arial"/>
                              <w:sz w:val="18"/>
                              <w:szCs w:val="18"/>
                            </w:rPr>
                            <w:t xml:space="preserve">Defence | </w:t>
                          </w:r>
                          <w:r w:rsidRPr="003E559F">
                            <w:rPr>
                              <w:rStyle w:val="PageNumber"/>
                              <w:rFonts w:ascii="Arial" w:hAnsi="Arial"/>
                              <w:b/>
                              <w:sz w:val="18"/>
                              <w:szCs w:val="18"/>
                            </w:rPr>
                            <w:t xml:space="preserve">Page </w:t>
                          </w:r>
                          <w:r w:rsidRPr="003E559F">
                            <w:rPr>
                              <w:rStyle w:val="PageNumber"/>
                              <w:rFonts w:ascii="Arial" w:hAnsi="Arial"/>
                              <w:b/>
                              <w:sz w:val="18"/>
                              <w:szCs w:val="18"/>
                            </w:rPr>
                            <w:fldChar w:fldCharType="begin"/>
                          </w:r>
                          <w:r w:rsidRPr="003E559F">
                            <w:rPr>
                              <w:rStyle w:val="PageNumber"/>
                              <w:rFonts w:ascii="Arial" w:hAnsi="Arial"/>
                              <w:b/>
                              <w:sz w:val="18"/>
                              <w:szCs w:val="18"/>
                            </w:rPr>
                            <w:instrText xml:space="preserve"> PAGE </w:instrText>
                          </w:r>
                          <w:r w:rsidRPr="003E559F">
                            <w:rPr>
                              <w:rStyle w:val="PageNumber"/>
                              <w:rFonts w:ascii="Arial" w:hAnsi="Arial"/>
                              <w:b/>
                              <w:sz w:val="18"/>
                              <w:szCs w:val="18"/>
                            </w:rPr>
                            <w:fldChar w:fldCharType="separate"/>
                          </w:r>
                          <w:r w:rsidR="00CE69B0">
                            <w:rPr>
                              <w:rStyle w:val="PageNumber"/>
                              <w:rFonts w:ascii="Arial" w:hAnsi="Arial"/>
                              <w:b/>
                              <w:noProof/>
                              <w:sz w:val="18"/>
                              <w:szCs w:val="18"/>
                            </w:rPr>
                            <w:t>159</w:t>
                          </w:r>
                          <w:r w:rsidRPr="003E559F">
                            <w:rPr>
                              <w:rStyle w:val="PageNumber"/>
                              <w:rFonts w:ascii="Arial" w:hAnsi="Arial"/>
                              <w:b/>
                              <w:sz w:val="18"/>
                              <w:szCs w:val="18"/>
                            </w:rPr>
                            <w:fldChar w:fldCharType="end"/>
                          </w:r>
                        </w:p>
                        <w:p w14:paraId="484DC801" w14:textId="77777777" w:rsidR="00CA309D" w:rsidRPr="006275F9" w:rsidRDefault="00CA309D" w:rsidP="006A2350">
                          <w:pPr>
                            <w:pStyle w:val="Footer"/>
                            <w:rPr>
                              <w:rFonts w:ascii="Calibri Light" w:hAnsi="Calibri Light" w:cs="Times New Roman"/>
                              <w:szCs w:val="20"/>
                            </w:rPr>
                          </w:pPr>
                        </w:p>
                      </w:txbxContent>
                    </wps:txbx>
                    <wps:bodyPr rot="0" vert="vert"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2C8679EF" id="_x0000_s1117" style="position:absolute;left:0;text-align:left;margin-left:15.4pt;margin-top:98.95pt;width:58.6pt;height:433.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" o:allowincell="f" stroked="f">
              <v:textbox style="layout-flow:vertical">
                <w:txbxContent>
                  <w:p w14:paraId="5E78BA78" w14:textId="77777777" w:rsidR="00CA309D" w:rsidRPr="006247E2" w:rsidRDefault="00CA309D" w:rsidP="006247E2">
                    <w:pPr>
                      <w:pStyle w:val="Footer"/>
                      <w:pBdr>
                        <w:top w:val="single" w:sz="4" w:space="1" w:color="auto"/>
                      </w:pBdr>
                      <w:jc w:val="right"/>
                      <w:rPr>
                        <w:rStyle w:val="PageNumber"/>
                        <w:rFonts w:ascii="Arial" w:hAnsi="Arial"/>
                        <w:sz w:val="2"/>
                        <w:szCs w:val="18"/>
                      </w:rPr>
                    </w:pPr>
                  </w:p>
                  <w:p w14:paraId="64130258" w14:textId="4DB15AF3" w:rsidR="00CA309D" w:rsidRPr="006E0B00" w:rsidRDefault="00CA309D" w:rsidP="006247E2">
                    <w:pPr>
                      <w:pStyle w:val="Footer"/>
                      <w:pBdr>
                        <w:top w:val="single" w:sz="4" w:space="1" w:color="auto"/>
                      </w:pBdr>
                      <w:jc w:val="right"/>
                      <w:rPr>
                        <w:rStyle w:val="PageNumber"/>
                        <w:rFonts w:ascii="Arial" w:hAnsi="Arial"/>
                        <w:sz w:val="18"/>
                        <w:szCs w:val="18"/>
                      </w:rPr>
                    </w:pPr>
                    <w:r w:rsidRPr="003E559F">
                      <w:rPr>
                        <w:rStyle w:val="PageNumber"/>
                        <w:rFonts w:ascii="Arial" w:hAnsi="Arial"/>
                        <w:sz w:val="18"/>
                        <w:szCs w:val="18"/>
                      </w:rPr>
                      <w:t xml:space="preserve">Defence | </w:t>
                    </w:r>
                    <w:r w:rsidRPr="003E559F">
                      <w:rPr>
                        <w:rStyle w:val="PageNumber"/>
                        <w:rFonts w:ascii="Arial" w:hAnsi="Arial"/>
                        <w:b/>
                        <w:sz w:val="18"/>
                        <w:szCs w:val="18"/>
                      </w:rPr>
                      <w:t xml:space="preserve">Page </w:t>
                    </w:r>
                    <w:r w:rsidRPr="003E559F">
                      <w:rPr>
                        <w:rStyle w:val="PageNumber"/>
                        <w:rFonts w:ascii="Arial" w:hAnsi="Arial"/>
                        <w:b/>
                        <w:sz w:val="18"/>
                        <w:szCs w:val="18"/>
                      </w:rPr>
                      <w:fldChar w:fldCharType="begin"/>
                    </w:r>
                    <w:r w:rsidRPr="003E559F">
                      <w:rPr>
                        <w:rStyle w:val="PageNumber"/>
                        <w:rFonts w:ascii="Arial" w:hAnsi="Arial"/>
                        <w:b/>
                        <w:sz w:val="18"/>
                        <w:szCs w:val="18"/>
                      </w:rPr>
                      <w:instrText xml:space="preserve"> PAGE </w:instrText>
                    </w:r>
                    <w:r w:rsidRPr="003E559F">
                      <w:rPr>
                        <w:rStyle w:val="PageNumber"/>
                        <w:rFonts w:ascii="Arial" w:hAnsi="Arial"/>
                        <w:b/>
                        <w:sz w:val="18"/>
                        <w:szCs w:val="18"/>
                      </w:rPr>
                      <w:fldChar w:fldCharType="separate"/>
                    </w:r>
                    <w:r w:rsidR="00CE69B0">
                      <w:rPr>
                        <w:rStyle w:val="PageNumber"/>
                        <w:rFonts w:ascii="Arial" w:hAnsi="Arial"/>
                        <w:b/>
                        <w:noProof/>
                        <w:sz w:val="18"/>
                        <w:szCs w:val="18"/>
                      </w:rPr>
                      <w:t>159</w:t>
                    </w:r>
                    <w:r w:rsidRPr="003E559F">
                      <w:rPr>
                        <w:rStyle w:val="PageNumber"/>
                        <w:rFonts w:ascii="Arial" w:hAnsi="Arial"/>
                        <w:b/>
                        <w:sz w:val="18"/>
                        <w:szCs w:val="18"/>
                      </w:rPr>
                      <w:fldChar w:fldCharType="end"/>
                    </w:r>
                  </w:p>
                  <w:p w14:paraId="484DC801" w14:textId="77777777" w:rsidR="00CA309D" w:rsidRPr="006275F9" w:rsidRDefault="00CA309D" w:rsidP="006A2350">
                    <w:pPr>
                      <w:pStyle w:val="Footer"/>
                      <w:rPr>
                        <w:rFonts w:ascii="Calibri Light" w:hAnsi="Calibri Light" w:cs="Times New Roman"/>
                        <w:szCs w:val="20"/>
                      </w:rPr>
                    </w:pPr>
                  </w:p>
                </w:txbxContent>
              </v:textbox>
              <w10:wrap anchorx="page" anchory="page"/>
            </v:rect>
          </w:pict>
        </mc:Fallback>
      </mc:AlternateContent>
    </w:r>
    <w:r>
      <w:rPr>
        <w:noProof/>
        <w:lang w:val="en-AU"/>
      </w:rPr>
      <mc:AlternateContent>
        <mc:Choice Requires="wps">
          <w:drawing>
            <wp:anchor distT="0" distB="0" distL="114300" distR="114300" simplePos="0" relativeHeight="251655168" behindDoc="0" locked="0" layoutInCell="0" allowOverlap="1" wp14:anchorId="2B535F6B" wp14:editId="3880493D">
              <wp:simplePos x="0" y="0"/>
              <wp:positionH relativeFrom="page">
                <wp:posOffset>9705975</wp:posOffset>
              </wp:positionH>
              <wp:positionV relativeFrom="page">
                <wp:posOffset>3093720</wp:posOffset>
              </wp:positionV>
              <wp:extent cx="514350" cy="3669665"/>
              <wp:effectExtent l="0" t="0" r="0" b="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669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5EF5EF" w14:textId="67E409B9" w:rsidR="00CA309D" w:rsidRPr="00A01209" w:rsidRDefault="00CA309D" w:rsidP="00B77D89">
                          <w:pPr>
                            <w:pStyle w:val="Header"/>
                            <w:jc w:val="right"/>
                            <w:rPr>
                              <w:rFonts w:ascii="Arial" w:hAnsi="Arial"/>
                              <w:sz w:val="18"/>
                              <w:szCs w:val="18"/>
                            </w:rPr>
                          </w:pPr>
                          <w:r>
                            <w:rPr>
                              <w:rFonts w:ascii="Arial" w:hAnsi="Arial"/>
                              <w:sz w:val="18"/>
                              <w:szCs w:val="18"/>
                            </w:rPr>
                            <w:t xml:space="preserve">Portfolio Budget Statements </w:t>
                          </w:r>
                          <w:r w:rsidRPr="00A01209">
                            <w:rPr>
                              <w:rFonts w:ascii="Arial" w:hAnsi="Arial"/>
                              <w:sz w:val="18"/>
                              <w:szCs w:val="18"/>
                            </w:rPr>
                            <w:t>|</w:t>
                          </w:r>
                          <w:r>
                            <w:rPr>
                              <w:rFonts w:ascii="Arial" w:hAnsi="Arial"/>
                              <w:b/>
                              <w:sz w:val="18"/>
                              <w:szCs w:val="18"/>
                            </w:rPr>
                            <w:t xml:space="preserve"> </w:t>
                          </w:r>
                          <w:r w:rsidRPr="00A01209">
                            <w:rPr>
                              <w:rFonts w:ascii="Arial" w:hAnsi="Arial"/>
                              <w:b/>
                              <w:sz w:val="18"/>
                              <w:szCs w:val="18"/>
                            </w:rPr>
                            <w:t>Budget</w:t>
                          </w:r>
                          <w:r w:rsidRPr="00A01209">
                            <w:rPr>
                              <w:rFonts w:ascii="Arial" w:hAnsi="Arial"/>
                              <w:sz w:val="18"/>
                              <w:szCs w:val="18"/>
                            </w:rPr>
                            <w:t xml:space="preserve"> </w:t>
                          </w:r>
                          <w:r w:rsidRPr="00806763">
                            <w:rPr>
                              <w:rFonts w:ascii="Arial" w:hAnsi="Arial"/>
                              <w:sz w:val="18"/>
                              <w:szCs w:val="18"/>
                            </w:rPr>
                            <w:t>2026-27</w:t>
                          </w:r>
                        </w:p>
                        <w:p w14:paraId="200DBE2C" w14:textId="77777777" w:rsidR="00CA309D" w:rsidRPr="008D73F7" w:rsidRDefault="00CA309D" w:rsidP="0098777B">
                          <w:pPr>
                            <w:pStyle w:val="Header"/>
                            <w:jc w:val="right"/>
                            <w:rPr>
                              <w:rFonts w:ascii="Arial" w:hAnsi="Arial"/>
                              <w:i/>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535F6B" id="Rectangle 6" o:spid="_x0000_s1118" style="position:absolute;left:0;text-align:left;margin-left:764.25pt;margin-top:243.6pt;width:40.5pt;height:288.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" o:allowincell="f" stroked="f">
              <v:textbox style="layout-flow:vertical">
                <w:txbxContent>
                  <w:p w14:paraId="525EF5EF" w14:textId="67E409B9" w:rsidR="00CA309D" w:rsidRPr="00A01209" w:rsidRDefault="00CA309D" w:rsidP="00B77D89">
                    <w:pPr>
                      <w:pStyle w:val="Header"/>
                      <w:jc w:val="right"/>
                      <w:rPr>
                        <w:rFonts w:ascii="Arial" w:hAnsi="Arial"/>
                        <w:sz w:val="18"/>
                        <w:szCs w:val="18"/>
                      </w:rPr>
                    </w:pPr>
                    <w:r>
                      <w:rPr>
                        <w:rFonts w:ascii="Arial" w:hAnsi="Arial"/>
                        <w:sz w:val="18"/>
                        <w:szCs w:val="18"/>
                      </w:rPr>
                      <w:t xml:space="preserve">Portfolio Budget Statements </w:t>
                    </w:r>
                    <w:r w:rsidRPr="00A01209">
                      <w:rPr>
                        <w:rFonts w:ascii="Arial" w:hAnsi="Arial"/>
                        <w:sz w:val="18"/>
                        <w:szCs w:val="18"/>
                      </w:rPr>
                      <w:t>|</w:t>
                    </w:r>
                    <w:r>
                      <w:rPr>
                        <w:rFonts w:ascii="Arial" w:hAnsi="Arial"/>
                        <w:b/>
                        <w:sz w:val="18"/>
                        <w:szCs w:val="18"/>
                      </w:rPr>
                      <w:t xml:space="preserve"> </w:t>
                    </w:r>
                    <w:r w:rsidRPr="00A01209">
                      <w:rPr>
                        <w:rFonts w:ascii="Arial" w:hAnsi="Arial"/>
                        <w:b/>
                        <w:sz w:val="18"/>
                        <w:szCs w:val="18"/>
                      </w:rPr>
                      <w:t>Budget</w:t>
                    </w:r>
                    <w:r w:rsidRPr="00A01209">
                      <w:rPr>
                        <w:rFonts w:ascii="Arial" w:hAnsi="Arial"/>
                        <w:sz w:val="18"/>
                        <w:szCs w:val="18"/>
                      </w:rPr>
                      <w:t xml:space="preserve"> </w:t>
                    </w:r>
                    <w:r w:rsidRPr="00806763">
                      <w:rPr>
                        <w:rFonts w:ascii="Arial" w:hAnsi="Arial"/>
                        <w:sz w:val="18"/>
                        <w:szCs w:val="18"/>
                      </w:rPr>
                      <w:t>2026-27</w:t>
                    </w:r>
                  </w:p>
                  <w:p w14:paraId="200DBE2C" w14:textId="77777777" w:rsidR="00CA309D" w:rsidRPr="008D73F7" w:rsidRDefault="00CA309D" w:rsidP="0098777B">
                    <w:pPr>
                      <w:pStyle w:val="Header"/>
                      <w:jc w:val="right"/>
                      <w:rPr>
                        <w:rFonts w:ascii="Arial" w:hAnsi="Arial"/>
                        <w:i/>
                      </w:rPr>
                    </w:pPr>
                  </w:p>
                </w:txbxContent>
              </v:textbox>
              <w10:wrap anchorx="page" anchory="page"/>
            </v:rect>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8BF61" w14:textId="77777777" w:rsidR="00CA309D" w:rsidRPr="00D91D67" w:rsidRDefault="00CA309D" w:rsidP="00704DA3">
    <w:pPr>
      <w:pStyle w:val="Header"/>
      <w:rPr>
        <w:rFonts w:ascii="Arial" w:hAnsi="Arial"/>
        <w:sz w:val="18"/>
        <w:szCs w:val="18"/>
      </w:rPr>
    </w:pPr>
    <w:r w:rsidRPr="00A01209">
      <w:rPr>
        <w:rFonts w:ascii="Arial" w:hAnsi="Arial"/>
        <w:b/>
        <w:sz w:val="18"/>
        <w:szCs w:val="18"/>
      </w:rPr>
      <w:t>Budge</w:t>
    </w:r>
    <w:r w:rsidRPr="00806763">
      <w:rPr>
        <w:rFonts w:ascii="Arial" w:hAnsi="Arial"/>
        <w:b/>
        <w:sz w:val="18"/>
        <w:szCs w:val="18"/>
      </w:rPr>
      <w:t>t</w:t>
    </w:r>
    <w:r w:rsidRPr="00806763">
      <w:rPr>
        <w:rFonts w:ascii="Arial" w:hAnsi="Arial"/>
        <w:sz w:val="18"/>
        <w:szCs w:val="18"/>
      </w:rPr>
      <w:t xml:space="preserve"> 2026-27</w:t>
    </w:r>
    <w:r w:rsidRPr="00A01209">
      <w:rPr>
        <w:rFonts w:ascii="Arial" w:hAnsi="Arial"/>
        <w:sz w:val="18"/>
        <w:szCs w:val="18"/>
      </w:rPr>
      <w:t xml:space="preserve"> | Portfolio Budget Statements</w: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63B50" w14:textId="77777777" w:rsidR="00CA309D" w:rsidRPr="00740A81" w:rsidRDefault="00CA309D">
    <w:pPr>
      <w:pStyle w:val="Header"/>
      <w:jc w:val="right"/>
    </w:pPr>
    <w:r w:rsidRPr="00A01209">
      <w:rPr>
        <w:rFonts w:ascii="Arial" w:hAnsi="Arial"/>
        <w:sz w:val="18"/>
        <w:szCs w:val="18"/>
      </w:rPr>
      <w:t>Portfolio Budget Statements</w:t>
    </w:r>
    <w:r>
      <w:rPr>
        <w:rFonts w:ascii="Arial" w:hAnsi="Arial"/>
        <w:sz w:val="18"/>
        <w:szCs w:val="18"/>
      </w:rPr>
      <w:t xml:space="preserve"> </w:t>
    </w:r>
    <w:r w:rsidRPr="00A01209">
      <w:rPr>
        <w:rFonts w:ascii="Arial" w:hAnsi="Arial"/>
        <w:sz w:val="18"/>
        <w:szCs w:val="18"/>
      </w:rPr>
      <w:t>|</w:t>
    </w:r>
    <w:r>
      <w:rPr>
        <w:rFonts w:ascii="Arial" w:hAnsi="Arial"/>
        <w:sz w:val="18"/>
        <w:szCs w:val="18"/>
      </w:rPr>
      <w:t xml:space="preserve"> </w:t>
    </w:r>
    <w:r w:rsidRPr="00A01209">
      <w:rPr>
        <w:rFonts w:ascii="Arial" w:hAnsi="Arial"/>
        <w:b/>
        <w:sz w:val="18"/>
        <w:szCs w:val="18"/>
      </w:rPr>
      <w:t>Budget</w:t>
    </w:r>
    <w:r>
      <w:rPr>
        <w:rFonts w:ascii="Arial" w:hAnsi="Arial"/>
        <w:sz w:val="18"/>
        <w:szCs w:val="18"/>
      </w:rPr>
      <w:t xml:space="preserve"> </w:t>
    </w:r>
    <w:r w:rsidRPr="00806763">
      <w:rPr>
        <w:rFonts w:ascii="Arial" w:hAnsi="Arial"/>
        <w:sz w:val="18"/>
        <w:szCs w:val="18"/>
      </w:rPr>
      <w:t>2026-27</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226B68" w14:textId="77777777" w:rsidR="00CA309D" w:rsidRDefault="00CA309D">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A2D289" w14:textId="44778999" w:rsidR="00CA309D" w:rsidRPr="00B478A6" w:rsidRDefault="00CA309D" w:rsidP="00621141">
    <w:pPr>
      <w:pStyle w:val="Header"/>
      <w:rPr>
        <w:rFonts w:ascii="Arial" w:hAnsi="Arial"/>
        <w:sz w:val="18"/>
        <w:szCs w:val="18"/>
      </w:rPr>
    </w:pPr>
    <w:r w:rsidRPr="00A01209">
      <w:rPr>
        <w:rFonts w:ascii="Arial" w:hAnsi="Arial"/>
        <w:b/>
        <w:sz w:val="18"/>
        <w:szCs w:val="18"/>
      </w:rPr>
      <w:t>Budget</w:t>
    </w:r>
    <w:r w:rsidRPr="00A01209">
      <w:rPr>
        <w:rFonts w:ascii="Arial" w:hAnsi="Arial"/>
        <w:sz w:val="18"/>
        <w:szCs w:val="18"/>
      </w:rPr>
      <w:t xml:space="preserve"> </w:t>
    </w:r>
    <w:r w:rsidRPr="00C80AAE">
      <w:rPr>
        <w:rFonts w:ascii="Arial" w:hAnsi="Arial"/>
        <w:sz w:val="18"/>
        <w:szCs w:val="18"/>
      </w:rPr>
      <w:t>2026-27</w:t>
    </w:r>
    <w:r w:rsidRPr="00A01209">
      <w:rPr>
        <w:rFonts w:ascii="Arial" w:hAnsi="Arial"/>
        <w:sz w:val="18"/>
        <w:szCs w:val="18"/>
      </w:rPr>
      <w:t xml:space="preserve"> | Portfolio Budget Statements</w: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8BD3E0" w14:textId="68E020ED" w:rsidR="00CA309D" w:rsidRPr="00FB20E6" w:rsidRDefault="00CA309D" w:rsidP="00B53319">
    <w:pPr>
      <w:pStyle w:val="Header"/>
      <w:jc w:val="right"/>
      <w:rPr>
        <w:rFonts w:ascii="Arial" w:hAnsi="Arial"/>
        <w:sz w:val="18"/>
        <w:szCs w:val="18"/>
      </w:rPr>
    </w:pPr>
    <w:r w:rsidRPr="00FB20E6">
      <w:rPr>
        <w:rFonts w:ascii="Arial" w:hAnsi="Arial"/>
        <w:sz w:val="18"/>
        <w:szCs w:val="18"/>
      </w:rPr>
      <w:t>Portfolio Budget Statements |</w:t>
    </w:r>
    <w:r w:rsidRPr="00FB20E6">
      <w:rPr>
        <w:rFonts w:ascii="Arial" w:hAnsi="Arial"/>
        <w:b/>
        <w:sz w:val="18"/>
        <w:szCs w:val="18"/>
      </w:rPr>
      <w:t xml:space="preserve"> Budget</w:t>
    </w:r>
    <w:r w:rsidRPr="00FB20E6">
      <w:rPr>
        <w:rFonts w:ascii="Arial" w:hAnsi="Arial"/>
        <w:sz w:val="18"/>
        <w:szCs w:val="18"/>
      </w:rPr>
      <w:t xml:space="preserve"> </w:t>
    </w:r>
    <w:r w:rsidRPr="00C80AAE">
      <w:rPr>
        <w:rFonts w:ascii="Arial" w:hAnsi="Arial"/>
        <w:sz w:val="18"/>
        <w:szCs w:val="18"/>
      </w:rPr>
      <w:t>2026-27</w: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0BEA9C" w14:textId="56449F5D" w:rsidR="00CA309D" w:rsidRPr="00B478A6" w:rsidRDefault="00CA309D" w:rsidP="00621141">
    <w:pPr>
      <w:pStyle w:val="Header"/>
      <w:rPr>
        <w:rFonts w:ascii="Arial" w:hAnsi="Arial"/>
        <w:sz w:val="18"/>
        <w:szCs w:val="18"/>
      </w:rPr>
    </w:pPr>
    <w:r w:rsidRPr="00A01209">
      <w:rPr>
        <w:rFonts w:ascii="Arial" w:hAnsi="Arial"/>
        <w:b/>
        <w:sz w:val="18"/>
        <w:szCs w:val="18"/>
      </w:rPr>
      <w:t>Budget</w:t>
    </w:r>
    <w:r>
      <w:rPr>
        <w:rFonts w:ascii="Arial" w:hAnsi="Arial"/>
        <w:sz w:val="18"/>
        <w:szCs w:val="18"/>
      </w:rPr>
      <w:t xml:space="preserve"> </w:t>
    </w:r>
    <w:r w:rsidRPr="00C80AAE">
      <w:rPr>
        <w:rFonts w:ascii="Arial" w:hAnsi="Arial"/>
        <w:sz w:val="18"/>
        <w:szCs w:val="18"/>
      </w:rPr>
      <w:t>2026-27</w:t>
    </w:r>
    <w:r>
      <w:rPr>
        <w:rFonts w:ascii="Arial" w:hAnsi="Arial"/>
        <w:sz w:val="18"/>
        <w:szCs w:val="18"/>
      </w:rPr>
      <w:t xml:space="preserve"> |</w:t>
    </w:r>
    <w:r w:rsidRPr="00A01209">
      <w:rPr>
        <w:rFonts w:ascii="Arial" w:hAnsi="Arial"/>
        <w:sz w:val="18"/>
        <w:szCs w:val="18"/>
      </w:rPr>
      <w:t xml:space="preserve"> Portfolio Budget Statements</w: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FE41F" w14:textId="549561AE" w:rsidR="00CA309D" w:rsidRPr="00AF2ACA" w:rsidRDefault="00CA309D" w:rsidP="00621141">
    <w:pPr>
      <w:pStyle w:val="Header"/>
      <w:jc w:val="right"/>
      <w:rPr>
        <w:rFonts w:ascii="Arial" w:hAnsi="Arial"/>
        <w:sz w:val="18"/>
        <w:szCs w:val="18"/>
      </w:rPr>
    </w:pPr>
    <w:r w:rsidRPr="00A01209">
      <w:rPr>
        <w:rFonts w:ascii="Arial" w:hAnsi="Arial"/>
        <w:sz w:val="18"/>
        <w:szCs w:val="18"/>
      </w:rPr>
      <w:t>Portfolio Budget Statements |</w:t>
    </w:r>
    <w:r w:rsidRPr="00A01209">
      <w:rPr>
        <w:rFonts w:ascii="Arial" w:hAnsi="Arial"/>
        <w:b/>
        <w:sz w:val="18"/>
        <w:szCs w:val="18"/>
      </w:rPr>
      <w:t xml:space="preserve"> Budget</w:t>
    </w:r>
    <w:r w:rsidRPr="00A01209">
      <w:rPr>
        <w:rFonts w:ascii="Arial" w:hAnsi="Arial"/>
        <w:sz w:val="18"/>
        <w:szCs w:val="18"/>
      </w:rPr>
      <w:t xml:space="preserve"> </w:t>
    </w:r>
    <w:r w:rsidRPr="00C80AAE">
      <w:rPr>
        <w:rFonts w:ascii="Arial" w:hAnsi="Arial"/>
        <w:sz w:val="18"/>
        <w:szCs w:val="18"/>
      </w:rPr>
      <w:t>2026-27</w: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A6029" w14:textId="77777777" w:rsidR="00CA309D" w:rsidRPr="00B478A6" w:rsidRDefault="00CA309D" w:rsidP="00621141">
    <w:pPr>
      <w:pStyle w:val="Header"/>
      <w:rPr>
        <w:rFonts w:ascii="Arial" w:hAnsi="Arial"/>
        <w:sz w:val="18"/>
        <w:szCs w:val="18"/>
      </w:rPr>
    </w:pPr>
    <w:r w:rsidRPr="00A01209">
      <w:rPr>
        <w:rFonts w:ascii="Arial" w:hAnsi="Arial"/>
        <w:b/>
        <w:sz w:val="18"/>
        <w:szCs w:val="18"/>
      </w:rPr>
      <w:t>Budget</w:t>
    </w:r>
    <w:r w:rsidRPr="00A01209">
      <w:rPr>
        <w:rFonts w:ascii="Arial" w:hAnsi="Arial"/>
        <w:sz w:val="18"/>
        <w:szCs w:val="18"/>
      </w:rPr>
      <w:t xml:space="preserve"> </w:t>
    </w:r>
    <w:r w:rsidRPr="00C80AAE">
      <w:rPr>
        <w:rFonts w:ascii="Arial" w:hAnsi="Arial"/>
        <w:sz w:val="18"/>
        <w:szCs w:val="18"/>
      </w:rPr>
      <w:t>2026-27</w:t>
    </w:r>
    <w:r w:rsidRPr="00A01209">
      <w:rPr>
        <w:rFonts w:ascii="Arial" w:hAnsi="Arial"/>
        <w:sz w:val="18"/>
        <w:szCs w:val="18"/>
      </w:rPr>
      <w:t xml:space="preserve"> | Portfolio Budget Statements</w: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D69DA5" w14:textId="77777777" w:rsidR="00CA309D" w:rsidRPr="00FB20E6" w:rsidRDefault="00CA309D" w:rsidP="00B53319">
    <w:pPr>
      <w:pStyle w:val="Header"/>
      <w:jc w:val="right"/>
      <w:rPr>
        <w:rFonts w:ascii="Arial" w:hAnsi="Arial"/>
        <w:sz w:val="18"/>
        <w:szCs w:val="18"/>
      </w:rPr>
    </w:pPr>
    <w:r w:rsidRPr="00FB20E6">
      <w:rPr>
        <w:rFonts w:ascii="Arial" w:hAnsi="Arial"/>
        <w:sz w:val="18"/>
        <w:szCs w:val="18"/>
      </w:rPr>
      <w:t>Portfolio Budget Statements |</w:t>
    </w:r>
    <w:r w:rsidRPr="00FB20E6">
      <w:rPr>
        <w:rFonts w:ascii="Arial" w:hAnsi="Arial"/>
        <w:b/>
        <w:sz w:val="18"/>
        <w:szCs w:val="18"/>
      </w:rPr>
      <w:t xml:space="preserve"> Budget</w:t>
    </w:r>
    <w:r w:rsidRPr="00FB20E6">
      <w:rPr>
        <w:rFonts w:ascii="Arial" w:hAnsi="Arial"/>
        <w:sz w:val="18"/>
        <w:szCs w:val="18"/>
      </w:rPr>
      <w:t xml:space="preserve"> </w:t>
    </w:r>
    <w:r w:rsidRPr="00C80AAE">
      <w:rPr>
        <w:rFonts w:ascii="Arial" w:hAnsi="Arial"/>
        <w:sz w:val="18"/>
        <w:szCs w:val="18"/>
      </w:rPr>
      <w:t>2026-27</w: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D238FD" w14:textId="77777777" w:rsidR="00CA309D" w:rsidRPr="00B478A6" w:rsidRDefault="00CA309D" w:rsidP="00621141">
    <w:pPr>
      <w:pStyle w:val="Header"/>
      <w:rPr>
        <w:rFonts w:ascii="Arial" w:hAnsi="Arial"/>
        <w:sz w:val="18"/>
        <w:szCs w:val="18"/>
      </w:rPr>
    </w:pPr>
    <w:r w:rsidRPr="00A01209">
      <w:rPr>
        <w:rFonts w:ascii="Arial" w:hAnsi="Arial"/>
        <w:b/>
        <w:sz w:val="18"/>
        <w:szCs w:val="18"/>
      </w:rPr>
      <w:t>Budget</w:t>
    </w:r>
    <w:r>
      <w:rPr>
        <w:rFonts w:ascii="Arial" w:hAnsi="Arial"/>
        <w:sz w:val="18"/>
        <w:szCs w:val="18"/>
      </w:rPr>
      <w:t xml:space="preserve"> </w:t>
    </w:r>
    <w:r w:rsidRPr="00C80AAE">
      <w:rPr>
        <w:rFonts w:ascii="Arial" w:hAnsi="Arial"/>
        <w:sz w:val="18"/>
        <w:szCs w:val="18"/>
      </w:rPr>
      <w:t>2026-27</w:t>
    </w:r>
    <w:r>
      <w:rPr>
        <w:rFonts w:ascii="Arial" w:hAnsi="Arial"/>
        <w:sz w:val="18"/>
        <w:szCs w:val="18"/>
      </w:rPr>
      <w:t xml:space="preserve"> |</w:t>
    </w:r>
    <w:r w:rsidRPr="00A01209">
      <w:rPr>
        <w:rFonts w:ascii="Arial" w:hAnsi="Arial"/>
        <w:sz w:val="18"/>
        <w:szCs w:val="18"/>
      </w:rPr>
      <w:t xml:space="preserve"> Portfolio Budget Statements</w:t>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E51BB" w14:textId="77777777" w:rsidR="00CA309D" w:rsidRPr="00AF2ACA" w:rsidRDefault="00CA309D" w:rsidP="00621141">
    <w:pPr>
      <w:pStyle w:val="Header"/>
      <w:jc w:val="right"/>
      <w:rPr>
        <w:rFonts w:ascii="Arial" w:hAnsi="Arial"/>
        <w:sz w:val="18"/>
        <w:szCs w:val="18"/>
      </w:rPr>
    </w:pPr>
    <w:r w:rsidRPr="00A01209">
      <w:rPr>
        <w:rFonts w:ascii="Arial" w:hAnsi="Arial"/>
        <w:sz w:val="18"/>
        <w:szCs w:val="18"/>
      </w:rPr>
      <w:t>Portfolio Budget Statements |</w:t>
    </w:r>
    <w:r w:rsidRPr="00A01209">
      <w:rPr>
        <w:rFonts w:ascii="Arial" w:hAnsi="Arial"/>
        <w:b/>
        <w:sz w:val="18"/>
        <w:szCs w:val="18"/>
      </w:rPr>
      <w:t xml:space="preserve"> Budget</w:t>
    </w:r>
    <w:r w:rsidRPr="00A01209">
      <w:rPr>
        <w:rFonts w:ascii="Arial" w:hAnsi="Arial"/>
        <w:sz w:val="18"/>
        <w:szCs w:val="18"/>
      </w:rPr>
      <w:t xml:space="preserve"> </w:t>
    </w:r>
    <w:r w:rsidRPr="00C80AAE">
      <w:rPr>
        <w:rFonts w:ascii="Arial" w:hAnsi="Arial"/>
        <w:sz w:val="18"/>
        <w:szCs w:val="18"/>
      </w:rPr>
      <w:t>2026-27</w: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201ECB" w14:textId="00BCF71C" w:rsidR="00CA309D" w:rsidRDefault="00CA309D" w:rsidP="0085357D">
    <w:pPr>
      <w:pStyle w:val="HeaderEven"/>
      <w:ind w:left="-113"/>
      <w:rPr>
        <w:rFonts w:cs="Arial"/>
      </w:rPr>
    </w:pPr>
    <w:r w:rsidRPr="00857119">
      <w:rPr>
        <w:rFonts w:ascii="Times New Roman" w:hAnsi="Times New Roman"/>
        <w:b/>
        <w:color w:val="000000"/>
        <w:sz w:val="24"/>
        <w:szCs w:val="24"/>
      </w:rPr>
      <w:t>Budget</w:t>
    </w:r>
    <w:r w:rsidRPr="00857119">
      <w:rPr>
        <w:rFonts w:ascii="Times New Roman" w:hAnsi="Times New Roman"/>
        <w:b/>
        <w:color w:val="595959"/>
        <w:sz w:val="22"/>
        <w:szCs w:val="22"/>
      </w:rPr>
      <w:t xml:space="preserve"> </w:t>
    </w:r>
    <w:r>
      <w:rPr>
        <w:rFonts w:cs="Arial"/>
        <w:color w:val="595959"/>
        <w:szCs w:val="18"/>
      </w:rPr>
      <w:t>2026-27</w:t>
    </w:r>
    <w:r w:rsidRPr="008E596E">
      <w:rPr>
        <w:rFonts w:cs="Arial"/>
      </w:rPr>
      <w:t xml:space="preserve"> | </w:t>
    </w:r>
    <w:r>
      <w:rPr>
        <w:rFonts w:cs="Arial"/>
      </w:rPr>
      <w:t>Portfolio Budget Statements 2026-27</w:t>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DB930" w14:textId="4027785E" w:rsidR="00CA309D" w:rsidRDefault="00CA309D" w:rsidP="0085357D">
    <w:pPr>
      <w:pStyle w:val="HeaderOdd"/>
      <w:tabs>
        <w:tab w:val="left" w:pos="6720"/>
        <w:tab w:val="right" w:pos="8617"/>
      </w:tabs>
    </w:pPr>
    <w:r w:rsidRPr="00503191">
      <w:rPr>
        <w:rFonts w:cs="Arial"/>
      </w:rPr>
      <w:t xml:space="preserve">Portfolio </w:t>
    </w:r>
    <w:r>
      <w:rPr>
        <w:rFonts w:cs="Arial"/>
      </w:rPr>
      <w:t xml:space="preserve">Budget </w:t>
    </w:r>
    <w:r w:rsidRPr="00503191">
      <w:rPr>
        <w:rFonts w:cs="Arial"/>
      </w:rPr>
      <w:t xml:space="preserve">Statements </w:t>
    </w:r>
    <w:r>
      <w:rPr>
        <w:rFonts w:cs="Arial"/>
      </w:rPr>
      <w:t>2026-27</w:t>
    </w:r>
    <w:r>
      <w:t xml:space="preserve"> | </w:t>
    </w:r>
    <w:r w:rsidRPr="008E596E">
      <w:rPr>
        <w:rFonts w:ascii="Times New Roman" w:hAnsi="Times New Roman"/>
        <w:b/>
        <w:color w:val="000000"/>
        <w:sz w:val="24"/>
        <w:szCs w:val="24"/>
      </w:rPr>
      <w:t>Budget</w:t>
    </w:r>
    <w:r w:rsidRPr="008E596E">
      <w:rPr>
        <w:rFonts w:ascii="Times New Roman" w:hAnsi="Times New Roman"/>
        <w:b/>
        <w:color w:val="595959"/>
        <w:sz w:val="22"/>
        <w:szCs w:val="22"/>
      </w:rPr>
      <w:t xml:space="preserve"> </w:t>
    </w:r>
    <w:r>
      <w:rPr>
        <w:rFonts w:cs="Arial"/>
        <w:color w:val="595959"/>
        <w:szCs w:val="18"/>
      </w:rPr>
      <w:t>2026-27</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CFBD3E" w14:textId="1C6D8FC7" w:rsidR="00CA309D" w:rsidRPr="00842D21" w:rsidRDefault="00CA309D" w:rsidP="00787DB2">
    <w:pPr>
      <w:pStyle w:val="Header"/>
      <w:rPr>
        <w:rFonts w:ascii="Arial" w:hAnsi="Arial"/>
        <w:sz w:val="18"/>
        <w:szCs w:val="18"/>
      </w:rPr>
    </w:pPr>
    <w:r w:rsidRPr="00A01209">
      <w:rPr>
        <w:rFonts w:ascii="Arial" w:hAnsi="Arial"/>
        <w:b/>
        <w:sz w:val="18"/>
        <w:szCs w:val="18"/>
      </w:rPr>
      <w:t>Budget</w:t>
    </w:r>
    <w:r>
      <w:rPr>
        <w:rFonts w:ascii="Arial" w:hAnsi="Arial"/>
        <w:sz w:val="18"/>
        <w:szCs w:val="18"/>
      </w:rPr>
      <w:t xml:space="preserve"> </w:t>
    </w:r>
    <w:r w:rsidRPr="00CD1A91">
      <w:rPr>
        <w:rFonts w:ascii="Arial" w:hAnsi="Arial"/>
        <w:sz w:val="18"/>
        <w:szCs w:val="18"/>
      </w:rPr>
      <w:t>2026-27</w:t>
    </w:r>
    <w:r w:rsidRPr="00A01209">
      <w:rPr>
        <w:rFonts w:ascii="Arial" w:hAnsi="Arial"/>
        <w:sz w:val="18"/>
        <w:szCs w:val="18"/>
      </w:rPr>
      <w:t xml:space="preserve"> | Portfolio Budget Statements</w:t>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EC72F2" w14:textId="77777777" w:rsidR="00CA309D" w:rsidRDefault="00CA309D">
    <w:pPr>
      <w:pStyle w:val="Header"/>
    </w:pPr>
    <w:r>
      <w:rPr>
        <w:noProof/>
        <w:lang w:val="en-AU"/>
      </w:rPr>
      <mc:AlternateContent>
        <mc:Choice Requires="wps">
          <w:drawing>
            <wp:anchor distT="0" distB="0" distL="114300" distR="114300" simplePos="0" relativeHeight="251666432" behindDoc="0" locked="0" layoutInCell="1" allowOverlap="1" wp14:anchorId="2902C7B9" wp14:editId="6AB4D726">
              <wp:simplePos x="0" y="0"/>
              <wp:positionH relativeFrom="column">
                <wp:posOffset>0</wp:posOffset>
              </wp:positionH>
              <wp:positionV relativeFrom="paragraph">
                <wp:posOffset>0</wp:posOffset>
              </wp:positionV>
              <wp:extent cx="5142865" cy="2571115"/>
              <wp:effectExtent l="0" t="0" r="635" b="635"/>
              <wp:wrapNone/>
              <wp:docPr id="10" name="WordArt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142865" cy="257111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51F843E" id="_x0000_t202" coordsize="21600,21600" o:spt="202" path="m,l,21600r21600,l21600,xe">
              <v:stroke joinstyle="miter"/>
              <v:path gradientshapeok="t" o:connecttype="rect"/>
            </v:shapetype>
            <v:shape id="WordArt 68" o:spid="_x0000_s1026" type="#_x0000_t202" style="position:absolute;margin-left:0;margin-top:0;width:404.95pt;height:202.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" filled="f" stroked="f">
              <o:lock v:ext="edit" text="t" shapetype="t"/>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BB25A" w14:textId="75C0C5ED" w:rsidR="00CA309D" w:rsidRPr="00D11EA2" w:rsidRDefault="00CA309D" w:rsidP="00D11EA2">
    <w:pPr>
      <w:pStyle w:val="HeaderEven"/>
      <w:ind w:left="-113"/>
      <w:rPr>
        <w:rFonts w:cs="Arial"/>
      </w:rPr>
    </w:pPr>
    <w:r w:rsidRPr="00857119">
      <w:rPr>
        <w:rFonts w:ascii="Times New Roman" w:hAnsi="Times New Roman"/>
        <w:b/>
        <w:color w:val="000000"/>
        <w:sz w:val="24"/>
        <w:szCs w:val="24"/>
      </w:rPr>
      <w:t>Budget</w:t>
    </w:r>
    <w:r w:rsidRPr="00857119">
      <w:rPr>
        <w:rFonts w:ascii="Times New Roman" w:hAnsi="Times New Roman"/>
        <w:b/>
        <w:color w:val="595959"/>
        <w:sz w:val="22"/>
        <w:szCs w:val="22"/>
      </w:rPr>
      <w:t xml:space="preserve"> </w:t>
    </w:r>
    <w:r>
      <w:rPr>
        <w:rFonts w:cs="Arial"/>
        <w:color w:val="595959"/>
        <w:szCs w:val="18"/>
      </w:rPr>
      <w:t>2026-27</w:t>
    </w:r>
    <w:r w:rsidRPr="008E596E">
      <w:rPr>
        <w:rFonts w:cs="Arial"/>
      </w:rPr>
      <w:t xml:space="preserve"> | </w:t>
    </w:r>
    <w:r>
      <w:rPr>
        <w:rFonts w:cs="Arial"/>
      </w:rPr>
      <w:t>Portfolio Budget Statements 2026-27</w:t>
    </w: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07048D" w14:textId="272003BD" w:rsidR="00CA309D" w:rsidRDefault="00CA309D" w:rsidP="00D11EA2">
    <w:pPr>
      <w:pStyle w:val="HeaderOdd"/>
      <w:tabs>
        <w:tab w:val="left" w:pos="6720"/>
        <w:tab w:val="right" w:pos="8617"/>
      </w:tabs>
    </w:pPr>
    <w:r w:rsidRPr="00503191">
      <w:rPr>
        <w:rFonts w:cs="Arial"/>
      </w:rPr>
      <w:t xml:space="preserve">Portfolio </w:t>
    </w:r>
    <w:r>
      <w:rPr>
        <w:rFonts w:cs="Arial"/>
      </w:rPr>
      <w:t xml:space="preserve">Budget </w:t>
    </w:r>
    <w:r w:rsidRPr="00503191">
      <w:rPr>
        <w:rFonts w:cs="Arial"/>
      </w:rPr>
      <w:t xml:space="preserve">Statements </w:t>
    </w:r>
    <w:r>
      <w:rPr>
        <w:rFonts w:cs="Arial"/>
      </w:rPr>
      <w:t>2026-27</w:t>
    </w:r>
    <w:r>
      <w:t xml:space="preserve"> | </w:t>
    </w:r>
    <w:r w:rsidRPr="008E596E">
      <w:rPr>
        <w:rFonts w:ascii="Times New Roman" w:hAnsi="Times New Roman"/>
        <w:b/>
        <w:color w:val="000000"/>
        <w:sz w:val="24"/>
        <w:szCs w:val="24"/>
      </w:rPr>
      <w:t>Budget</w:t>
    </w:r>
    <w:r w:rsidRPr="008E596E">
      <w:rPr>
        <w:rFonts w:ascii="Times New Roman" w:hAnsi="Times New Roman"/>
        <w:b/>
        <w:color w:val="595959"/>
        <w:sz w:val="22"/>
        <w:szCs w:val="22"/>
      </w:rPr>
      <w:t xml:space="preserve"> </w:t>
    </w:r>
    <w:r>
      <w:rPr>
        <w:rFonts w:cs="Arial"/>
        <w:color w:val="595959"/>
        <w:szCs w:val="18"/>
      </w:rPr>
      <w:t>2026-27</w:t>
    </w: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901566" w14:textId="77777777" w:rsidR="00CA309D" w:rsidRDefault="00CA309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F699DE" w14:textId="77777777" w:rsidR="00CA309D" w:rsidRPr="00356250" w:rsidRDefault="00CA309D" w:rsidP="0035625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493C87" w14:textId="77777777" w:rsidR="00CA309D" w:rsidRDefault="00CA309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10"/>
      <w:tblW w:w="7797" w:type="dxa"/>
      <w:tblInd w:w="-7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tblGrid>
    <w:tr w:rsidR="00CA309D" w:rsidRPr="00561D85" w14:paraId="096122B2" w14:textId="77777777" w:rsidTr="000E1A17">
      <w:trPr>
        <w:trHeight w:hRule="exact" w:val="340"/>
      </w:trPr>
      <w:tc>
        <w:tcPr>
          <w:tcW w:w="7797" w:type="dxa"/>
          <w:vAlign w:val="center"/>
        </w:tcPr>
        <w:p w14:paraId="44B034EB" w14:textId="77777777" w:rsidR="00CA309D" w:rsidRPr="00D91D67" w:rsidRDefault="00CA309D" w:rsidP="00E5770F">
          <w:pPr>
            <w:pStyle w:val="Header"/>
            <w:rPr>
              <w:rFonts w:ascii="Arial" w:hAnsi="Arial"/>
              <w:sz w:val="18"/>
              <w:szCs w:val="18"/>
            </w:rPr>
          </w:pPr>
          <w:r w:rsidRPr="00A01209">
            <w:rPr>
              <w:rFonts w:ascii="Arial" w:hAnsi="Arial"/>
              <w:b/>
              <w:sz w:val="18"/>
              <w:szCs w:val="18"/>
            </w:rPr>
            <w:t>Budge</w:t>
          </w:r>
          <w:r w:rsidRPr="00806763">
            <w:rPr>
              <w:rFonts w:ascii="Arial" w:hAnsi="Arial"/>
              <w:b/>
              <w:sz w:val="18"/>
              <w:szCs w:val="18"/>
            </w:rPr>
            <w:t>t</w:t>
          </w:r>
          <w:r w:rsidRPr="00806763">
            <w:rPr>
              <w:rFonts w:ascii="Arial" w:hAnsi="Arial"/>
              <w:sz w:val="18"/>
              <w:szCs w:val="18"/>
            </w:rPr>
            <w:t xml:space="preserve"> 2026-27</w:t>
          </w:r>
          <w:r w:rsidRPr="00A01209">
            <w:rPr>
              <w:rFonts w:ascii="Arial" w:hAnsi="Arial"/>
              <w:sz w:val="18"/>
              <w:szCs w:val="18"/>
            </w:rPr>
            <w:t xml:space="preserve"> | Portfolio Budget Statements</w:t>
          </w:r>
        </w:p>
        <w:p w14:paraId="1BA0F845" w14:textId="584E756D" w:rsidR="00CA309D" w:rsidRPr="00561D85" w:rsidRDefault="00CA309D" w:rsidP="00E5770F">
          <w:pPr>
            <w:pStyle w:val="HeaderEven"/>
          </w:pPr>
        </w:p>
      </w:tc>
    </w:tr>
  </w:tbl>
  <w:p w14:paraId="42DB1ECB" w14:textId="77777777" w:rsidR="00CA309D" w:rsidRPr="0066112F" w:rsidRDefault="00CA309D" w:rsidP="00CF10DD">
    <w:pPr>
      <w:pStyle w:val="GhostLin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7797" w:type="dxa"/>
      <w:tblInd w:w="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tblGrid>
    <w:tr w:rsidR="00CA309D" w14:paraId="2633F38B" w14:textId="77777777" w:rsidTr="000E1A17">
      <w:trPr>
        <w:trHeight w:hRule="exact" w:val="340"/>
      </w:trPr>
      <w:tc>
        <w:tcPr>
          <w:tcW w:w="7797" w:type="dxa"/>
          <w:tcMar>
            <w:left w:w="108" w:type="dxa"/>
            <w:right w:w="108" w:type="dxa"/>
          </w:tcMar>
        </w:tcPr>
        <w:p w14:paraId="09ABFDCA" w14:textId="54FBB8E7" w:rsidR="00CA309D" w:rsidRPr="00D13BF9" w:rsidRDefault="00CA309D">
          <w:pPr>
            <w:pStyle w:val="HeaderOdd"/>
          </w:pPr>
          <w:r>
            <w:t>Portfolio Budget Statements</w:t>
          </w:r>
          <w:r w:rsidRPr="00081542">
            <w:t> | </w:t>
          </w:r>
          <w:r w:rsidRPr="002709D2">
            <w:rPr>
              <w:noProof/>
              <w:position w:val="-8"/>
              <w:vertAlign w:val="subscript"/>
            </w:rPr>
            <w:drawing>
              <wp:inline distT="0" distB="0" distL="0" distR="0" wp14:anchorId="7251FF6F" wp14:editId="4EC13737">
                <wp:extent cx="859038" cy="197999"/>
                <wp:effectExtent l="0" t="0" r="0" b="0"/>
                <wp:docPr id="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4530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59038" cy="197999"/>
                        </a:xfrm>
                        <a:prstGeom prst="rect">
                          <a:avLst/>
                        </a:prstGeom>
                      </pic:spPr>
                    </pic:pic>
                  </a:graphicData>
                </a:graphic>
              </wp:inline>
            </w:drawing>
          </w:r>
        </w:p>
      </w:tc>
    </w:tr>
  </w:tbl>
  <w:p w14:paraId="3212E813" w14:textId="77777777" w:rsidR="00CA309D" w:rsidRPr="006F7660" w:rsidRDefault="00CA309D" w:rsidP="00CF10DD">
    <w:pPr>
      <w:pStyle w:val="GhostLi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1887A64"/>
    <w:lvl w:ilvl="0">
      <w:start w:val="1"/>
      <w:numFmt w:val="decimal"/>
      <w:pStyle w:val="ListNumber5"/>
      <w:lvlText w:val="%1."/>
      <w:lvlJc w:val="left"/>
      <w:pPr>
        <w:tabs>
          <w:tab w:val="num" w:pos="-776"/>
        </w:tabs>
        <w:ind w:left="-776" w:hanging="360"/>
      </w:pPr>
    </w:lvl>
  </w:abstractNum>
  <w:abstractNum w:abstractNumId="1" w15:restartNumberingAfterBreak="0">
    <w:nsid w:val="FFFFFF7D"/>
    <w:multiLevelType w:val="singleLevel"/>
    <w:tmpl w:val="665C6B9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986F2F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7B8FB8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136BBB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28C12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53EF09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2EAAD2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430712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E5E50D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B0165C"/>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15:restartNumberingAfterBreak="0">
    <w:nsid w:val="00B97959"/>
    <w:multiLevelType w:val="hybridMultilevel"/>
    <w:tmpl w:val="922C1626"/>
    <w:lvl w:ilvl="0" w:tplc="0CD8145C">
      <w:start w:val="1"/>
      <w:numFmt w:val="lowerLetter"/>
      <w:lvlText w:val="%1."/>
      <w:lvlJc w:val="left"/>
      <w:pPr>
        <w:tabs>
          <w:tab w:val="num" w:pos="453"/>
        </w:tabs>
        <w:ind w:left="453" w:hanging="340"/>
      </w:pPr>
      <w:rPr>
        <w:rFonts w:ascii="Arial" w:eastAsia="Times New Roman" w:hAnsi="Arial" w:cs="Arial"/>
        <w:color w:val="000000"/>
        <w:sz w:val="14"/>
        <w:szCs w:val="14"/>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15:restartNumberingAfterBreak="0">
    <w:nsid w:val="01D151A3"/>
    <w:multiLevelType w:val="hybridMultilevel"/>
    <w:tmpl w:val="305EFA72"/>
    <w:lvl w:ilvl="0" w:tplc="985A5082">
      <w:start w:val="1"/>
      <w:numFmt w:val="lowerLetter"/>
      <w:lvlText w:val="%1."/>
      <w:lvlJc w:val="left"/>
      <w:pPr>
        <w:ind w:left="360" w:hanging="360"/>
      </w:pPr>
      <w:rPr>
        <w:rFonts w:ascii="Arial" w:hAnsi="Arial" w:cs="Arial" w:hint="default"/>
        <w:i w:val="0"/>
        <w:sz w:val="14"/>
        <w:szCs w:val="14"/>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13" w15:restartNumberingAfterBreak="0">
    <w:nsid w:val="02371F27"/>
    <w:multiLevelType w:val="hybridMultilevel"/>
    <w:tmpl w:val="941C58EA"/>
    <w:lvl w:ilvl="0" w:tplc="3CD07B50">
      <w:start w:val="1"/>
      <w:numFmt w:val="lowerLetter"/>
      <w:lvlText w:val="%1."/>
      <w:lvlJc w:val="left"/>
      <w:pPr>
        <w:ind w:left="36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3101B0B"/>
    <w:multiLevelType w:val="hybridMultilevel"/>
    <w:tmpl w:val="7BF4E5D6"/>
    <w:lvl w:ilvl="0" w:tplc="3CD07B50">
      <w:start w:val="1"/>
      <w:numFmt w:val="lowerLetter"/>
      <w:lvlText w:val="%1."/>
      <w:lvlJc w:val="left"/>
      <w:pPr>
        <w:ind w:left="36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3667CE8"/>
    <w:multiLevelType w:val="hybridMultilevel"/>
    <w:tmpl w:val="1624DE4E"/>
    <w:lvl w:ilvl="0" w:tplc="3CD07B50">
      <w:start w:val="1"/>
      <w:numFmt w:val="lowerLetter"/>
      <w:lvlText w:val="%1."/>
      <w:lvlJc w:val="left"/>
      <w:pPr>
        <w:ind w:left="360" w:hanging="360"/>
      </w:pPr>
      <w:rPr>
        <w:rFonts w:hint="default"/>
        <w:i w:val="0"/>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16" w15:restartNumberingAfterBreak="0">
    <w:nsid w:val="03CC59EF"/>
    <w:multiLevelType w:val="hybridMultilevel"/>
    <w:tmpl w:val="55C851F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04600947"/>
    <w:multiLevelType w:val="hybridMultilevel"/>
    <w:tmpl w:val="784C857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047412D5"/>
    <w:multiLevelType w:val="hybridMultilevel"/>
    <w:tmpl w:val="63FC4D2C"/>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07DA56A4"/>
    <w:multiLevelType w:val="hybridMultilevel"/>
    <w:tmpl w:val="1624DE4E"/>
    <w:lvl w:ilvl="0" w:tplc="3CD07B50">
      <w:start w:val="1"/>
      <w:numFmt w:val="lowerLetter"/>
      <w:lvlText w:val="%1."/>
      <w:lvlJc w:val="left"/>
      <w:pPr>
        <w:ind w:left="360" w:hanging="360"/>
      </w:pPr>
      <w:rPr>
        <w:rFonts w:hint="default"/>
        <w:i w:val="0"/>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20" w15:restartNumberingAfterBreak="0">
    <w:nsid w:val="092E574D"/>
    <w:multiLevelType w:val="hybridMultilevel"/>
    <w:tmpl w:val="5E3A299C"/>
    <w:lvl w:ilvl="0" w:tplc="0C090019">
      <w:start w:val="1"/>
      <w:numFmt w:val="lowerLetter"/>
      <w:lvlText w:val="%1."/>
      <w:lvlJc w:val="left"/>
      <w:pPr>
        <w:ind w:left="1445" w:hanging="360"/>
      </w:pPr>
    </w:lvl>
    <w:lvl w:ilvl="1" w:tplc="0C090019" w:tentative="1">
      <w:start w:val="1"/>
      <w:numFmt w:val="lowerLetter"/>
      <w:lvlText w:val="%2."/>
      <w:lvlJc w:val="left"/>
      <w:pPr>
        <w:ind w:left="2165" w:hanging="360"/>
      </w:pPr>
    </w:lvl>
    <w:lvl w:ilvl="2" w:tplc="0C09001B" w:tentative="1">
      <w:start w:val="1"/>
      <w:numFmt w:val="lowerRoman"/>
      <w:lvlText w:val="%3."/>
      <w:lvlJc w:val="right"/>
      <w:pPr>
        <w:ind w:left="2885" w:hanging="180"/>
      </w:pPr>
    </w:lvl>
    <w:lvl w:ilvl="3" w:tplc="0C09000F" w:tentative="1">
      <w:start w:val="1"/>
      <w:numFmt w:val="decimal"/>
      <w:lvlText w:val="%4."/>
      <w:lvlJc w:val="left"/>
      <w:pPr>
        <w:ind w:left="3605" w:hanging="360"/>
      </w:pPr>
    </w:lvl>
    <w:lvl w:ilvl="4" w:tplc="0C090019" w:tentative="1">
      <w:start w:val="1"/>
      <w:numFmt w:val="lowerLetter"/>
      <w:lvlText w:val="%5."/>
      <w:lvlJc w:val="left"/>
      <w:pPr>
        <w:ind w:left="4325" w:hanging="360"/>
      </w:pPr>
    </w:lvl>
    <w:lvl w:ilvl="5" w:tplc="0C09001B" w:tentative="1">
      <w:start w:val="1"/>
      <w:numFmt w:val="lowerRoman"/>
      <w:lvlText w:val="%6."/>
      <w:lvlJc w:val="right"/>
      <w:pPr>
        <w:ind w:left="5045" w:hanging="180"/>
      </w:pPr>
    </w:lvl>
    <w:lvl w:ilvl="6" w:tplc="0C09000F" w:tentative="1">
      <w:start w:val="1"/>
      <w:numFmt w:val="decimal"/>
      <w:lvlText w:val="%7."/>
      <w:lvlJc w:val="left"/>
      <w:pPr>
        <w:ind w:left="5765" w:hanging="360"/>
      </w:pPr>
    </w:lvl>
    <w:lvl w:ilvl="7" w:tplc="0C090019" w:tentative="1">
      <w:start w:val="1"/>
      <w:numFmt w:val="lowerLetter"/>
      <w:lvlText w:val="%8."/>
      <w:lvlJc w:val="left"/>
      <w:pPr>
        <w:ind w:left="6485" w:hanging="360"/>
      </w:pPr>
    </w:lvl>
    <w:lvl w:ilvl="8" w:tplc="0C09001B" w:tentative="1">
      <w:start w:val="1"/>
      <w:numFmt w:val="lowerRoman"/>
      <w:lvlText w:val="%9."/>
      <w:lvlJc w:val="right"/>
      <w:pPr>
        <w:ind w:left="7205" w:hanging="180"/>
      </w:pPr>
    </w:lvl>
  </w:abstractNum>
  <w:abstractNum w:abstractNumId="21" w15:restartNumberingAfterBreak="0">
    <w:nsid w:val="0966448F"/>
    <w:multiLevelType w:val="hybridMultilevel"/>
    <w:tmpl w:val="EA6AAD6E"/>
    <w:lvl w:ilvl="0" w:tplc="0C090001">
      <w:start w:val="1"/>
      <w:numFmt w:val="bullet"/>
      <w:lvlText w:val=""/>
      <w:lvlJc w:val="left"/>
      <w:pPr>
        <w:ind w:left="716" w:hanging="360"/>
      </w:pPr>
      <w:rPr>
        <w:rFonts w:ascii="Symbol" w:hAnsi="Symbol" w:hint="default"/>
      </w:rPr>
    </w:lvl>
    <w:lvl w:ilvl="1" w:tplc="0C090003" w:tentative="1">
      <w:start w:val="1"/>
      <w:numFmt w:val="bullet"/>
      <w:lvlText w:val="o"/>
      <w:lvlJc w:val="left"/>
      <w:pPr>
        <w:ind w:left="1436" w:hanging="360"/>
      </w:pPr>
      <w:rPr>
        <w:rFonts w:ascii="Courier New" w:hAnsi="Courier New" w:cs="Courier New" w:hint="default"/>
      </w:rPr>
    </w:lvl>
    <w:lvl w:ilvl="2" w:tplc="0C090005" w:tentative="1">
      <w:start w:val="1"/>
      <w:numFmt w:val="bullet"/>
      <w:lvlText w:val=""/>
      <w:lvlJc w:val="left"/>
      <w:pPr>
        <w:ind w:left="2156" w:hanging="360"/>
      </w:pPr>
      <w:rPr>
        <w:rFonts w:ascii="Wingdings" w:hAnsi="Wingdings" w:hint="default"/>
      </w:rPr>
    </w:lvl>
    <w:lvl w:ilvl="3" w:tplc="0C090001" w:tentative="1">
      <w:start w:val="1"/>
      <w:numFmt w:val="bullet"/>
      <w:lvlText w:val=""/>
      <w:lvlJc w:val="left"/>
      <w:pPr>
        <w:ind w:left="2876" w:hanging="360"/>
      </w:pPr>
      <w:rPr>
        <w:rFonts w:ascii="Symbol" w:hAnsi="Symbol" w:hint="default"/>
      </w:rPr>
    </w:lvl>
    <w:lvl w:ilvl="4" w:tplc="0C090003" w:tentative="1">
      <w:start w:val="1"/>
      <w:numFmt w:val="bullet"/>
      <w:lvlText w:val="o"/>
      <w:lvlJc w:val="left"/>
      <w:pPr>
        <w:ind w:left="3596" w:hanging="360"/>
      </w:pPr>
      <w:rPr>
        <w:rFonts w:ascii="Courier New" w:hAnsi="Courier New" w:cs="Courier New" w:hint="default"/>
      </w:rPr>
    </w:lvl>
    <w:lvl w:ilvl="5" w:tplc="0C090005" w:tentative="1">
      <w:start w:val="1"/>
      <w:numFmt w:val="bullet"/>
      <w:lvlText w:val=""/>
      <w:lvlJc w:val="left"/>
      <w:pPr>
        <w:ind w:left="4316" w:hanging="360"/>
      </w:pPr>
      <w:rPr>
        <w:rFonts w:ascii="Wingdings" w:hAnsi="Wingdings" w:hint="default"/>
      </w:rPr>
    </w:lvl>
    <w:lvl w:ilvl="6" w:tplc="0C090001" w:tentative="1">
      <w:start w:val="1"/>
      <w:numFmt w:val="bullet"/>
      <w:lvlText w:val=""/>
      <w:lvlJc w:val="left"/>
      <w:pPr>
        <w:ind w:left="5036" w:hanging="360"/>
      </w:pPr>
      <w:rPr>
        <w:rFonts w:ascii="Symbol" w:hAnsi="Symbol" w:hint="default"/>
      </w:rPr>
    </w:lvl>
    <w:lvl w:ilvl="7" w:tplc="0C090003" w:tentative="1">
      <w:start w:val="1"/>
      <w:numFmt w:val="bullet"/>
      <w:lvlText w:val="o"/>
      <w:lvlJc w:val="left"/>
      <w:pPr>
        <w:ind w:left="5756" w:hanging="360"/>
      </w:pPr>
      <w:rPr>
        <w:rFonts w:ascii="Courier New" w:hAnsi="Courier New" w:cs="Courier New" w:hint="default"/>
      </w:rPr>
    </w:lvl>
    <w:lvl w:ilvl="8" w:tplc="0C090005" w:tentative="1">
      <w:start w:val="1"/>
      <w:numFmt w:val="bullet"/>
      <w:lvlText w:val=""/>
      <w:lvlJc w:val="left"/>
      <w:pPr>
        <w:ind w:left="6476" w:hanging="360"/>
      </w:pPr>
      <w:rPr>
        <w:rFonts w:ascii="Wingdings" w:hAnsi="Wingdings" w:hint="default"/>
      </w:rPr>
    </w:lvl>
  </w:abstractNum>
  <w:abstractNum w:abstractNumId="22" w15:restartNumberingAfterBreak="0">
    <w:nsid w:val="09717108"/>
    <w:multiLevelType w:val="hybridMultilevel"/>
    <w:tmpl w:val="6C48633E"/>
    <w:lvl w:ilvl="0" w:tplc="973E99C2">
      <w:start w:val="1"/>
      <w:numFmt w:val="lowerLetter"/>
      <w:lvlText w:val="%1."/>
      <w:lvlJc w:val="left"/>
      <w:pPr>
        <w:ind w:left="360" w:hanging="360"/>
      </w:pPr>
      <w:rPr>
        <w:rFonts w:hint="default"/>
        <w:i w:val="0"/>
      </w:rPr>
    </w:lvl>
    <w:lvl w:ilvl="1" w:tplc="0C090019" w:tentative="1">
      <w:start w:val="1"/>
      <w:numFmt w:val="lowerLetter"/>
      <w:lvlText w:val="%2."/>
      <w:lvlJc w:val="left"/>
      <w:pPr>
        <w:ind w:left="1220" w:hanging="360"/>
      </w:pPr>
    </w:lvl>
    <w:lvl w:ilvl="2" w:tplc="0C09001B" w:tentative="1">
      <w:start w:val="1"/>
      <w:numFmt w:val="lowerRoman"/>
      <w:lvlText w:val="%3."/>
      <w:lvlJc w:val="right"/>
      <w:pPr>
        <w:ind w:left="1940" w:hanging="180"/>
      </w:pPr>
    </w:lvl>
    <w:lvl w:ilvl="3" w:tplc="0C09000F" w:tentative="1">
      <w:start w:val="1"/>
      <w:numFmt w:val="decimal"/>
      <w:lvlText w:val="%4."/>
      <w:lvlJc w:val="left"/>
      <w:pPr>
        <w:ind w:left="2660" w:hanging="360"/>
      </w:pPr>
    </w:lvl>
    <w:lvl w:ilvl="4" w:tplc="0C090019" w:tentative="1">
      <w:start w:val="1"/>
      <w:numFmt w:val="lowerLetter"/>
      <w:lvlText w:val="%5."/>
      <w:lvlJc w:val="left"/>
      <w:pPr>
        <w:ind w:left="3380" w:hanging="360"/>
      </w:pPr>
    </w:lvl>
    <w:lvl w:ilvl="5" w:tplc="0C09001B" w:tentative="1">
      <w:start w:val="1"/>
      <w:numFmt w:val="lowerRoman"/>
      <w:lvlText w:val="%6."/>
      <w:lvlJc w:val="right"/>
      <w:pPr>
        <w:ind w:left="4100" w:hanging="180"/>
      </w:pPr>
    </w:lvl>
    <w:lvl w:ilvl="6" w:tplc="0C09000F" w:tentative="1">
      <w:start w:val="1"/>
      <w:numFmt w:val="decimal"/>
      <w:lvlText w:val="%7."/>
      <w:lvlJc w:val="left"/>
      <w:pPr>
        <w:ind w:left="4820" w:hanging="360"/>
      </w:pPr>
    </w:lvl>
    <w:lvl w:ilvl="7" w:tplc="0C090019" w:tentative="1">
      <w:start w:val="1"/>
      <w:numFmt w:val="lowerLetter"/>
      <w:lvlText w:val="%8."/>
      <w:lvlJc w:val="left"/>
      <w:pPr>
        <w:ind w:left="5540" w:hanging="360"/>
      </w:pPr>
    </w:lvl>
    <w:lvl w:ilvl="8" w:tplc="0C09001B" w:tentative="1">
      <w:start w:val="1"/>
      <w:numFmt w:val="lowerRoman"/>
      <w:lvlText w:val="%9."/>
      <w:lvlJc w:val="right"/>
      <w:pPr>
        <w:ind w:left="6260" w:hanging="180"/>
      </w:pPr>
    </w:lvl>
  </w:abstractNum>
  <w:abstractNum w:abstractNumId="23" w15:restartNumberingAfterBreak="0">
    <w:nsid w:val="0A214CF0"/>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0A4B1313"/>
    <w:multiLevelType w:val="hybridMultilevel"/>
    <w:tmpl w:val="D4182E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0ADF4EC4"/>
    <w:multiLevelType w:val="hybridMultilevel"/>
    <w:tmpl w:val="ED5C9200"/>
    <w:lvl w:ilvl="0" w:tplc="EA5C714C">
      <w:start w:val="1"/>
      <w:numFmt w:val="lowerLetter"/>
      <w:lvlText w:val="%1."/>
      <w:lvlJc w:val="left"/>
      <w:pPr>
        <w:ind w:left="360" w:hanging="360"/>
      </w:pPr>
      <w:rPr>
        <w:rFonts w:hint="default"/>
        <w:i w:val="0"/>
      </w:rPr>
    </w:lvl>
    <w:lvl w:ilvl="1" w:tplc="0C090019" w:tentative="1">
      <w:start w:val="1"/>
      <w:numFmt w:val="lowerLetter"/>
      <w:lvlText w:val="%2."/>
      <w:lvlJc w:val="left"/>
      <w:pPr>
        <w:ind w:left="1223" w:hanging="360"/>
      </w:pPr>
    </w:lvl>
    <w:lvl w:ilvl="2" w:tplc="0C09001B" w:tentative="1">
      <w:start w:val="1"/>
      <w:numFmt w:val="lowerRoman"/>
      <w:lvlText w:val="%3."/>
      <w:lvlJc w:val="right"/>
      <w:pPr>
        <w:ind w:left="1943" w:hanging="180"/>
      </w:pPr>
    </w:lvl>
    <w:lvl w:ilvl="3" w:tplc="0C09000F" w:tentative="1">
      <w:start w:val="1"/>
      <w:numFmt w:val="decimal"/>
      <w:lvlText w:val="%4."/>
      <w:lvlJc w:val="left"/>
      <w:pPr>
        <w:ind w:left="2663" w:hanging="360"/>
      </w:pPr>
    </w:lvl>
    <w:lvl w:ilvl="4" w:tplc="0C090019" w:tentative="1">
      <w:start w:val="1"/>
      <w:numFmt w:val="lowerLetter"/>
      <w:lvlText w:val="%5."/>
      <w:lvlJc w:val="left"/>
      <w:pPr>
        <w:ind w:left="3383" w:hanging="360"/>
      </w:pPr>
    </w:lvl>
    <w:lvl w:ilvl="5" w:tplc="0C09001B" w:tentative="1">
      <w:start w:val="1"/>
      <w:numFmt w:val="lowerRoman"/>
      <w:lvlText w:val="%6."/>
      <w:lvlJc w:val="right"/>
      <w:pPr>
        <w:ind w:left="4103" w:hanging="180"/>
      </w:pPr>
    </w:lvl>
    <w:lvl w:ilvl="6" w:tplc="0C09000F" w:tentative="1">
      <w:start w:val="1"/>
      <w:numFmt w:val="decimal"/>
      <w:lvlText w:val="%7."/>
      <w:lvlJc w:val="left"/>
      <w:pPr>
        <w:ind w:left="4823" w:hanging="360"/>
      </w:pPr>
    </w:lvl>
    <w:lvl w:ilvl="7" w:tplc="0C090019" w:tentative="1">
      <w:start w:val="1"/>
      <w:numFmt w:val="lowerLetter"/>
      <w:lvlText w:val="%8."/>
      <w:lvlJc w:val="left"/>
      <w:pPr>
        <w:ind w:left="5543" w:hanging="360"/>
      </w:pPr>
    </w:lvl>
    <w:lvl w:ilvl="8" w:tplc="0C09001B" w:tentative="1">
      <w:start w:val="1"/>
      <w:numFmt w:val="lowerRoman"/>
      <w:lvlText w:val="%9."/>
      <w:lvlJc w:val="right"/>
      <w:pPr>
        <w:ind w:left="6263" w:hanging="180"/>
      </w:pPr>
    </w:lvl>
  </w:abstractNum>
  <w:abstractNum w:abstractNumId="26" w15:restartNumberingAfterBreak="0">
    <w:nsid w:val="0CAD6EA1"/>
    <w:multiLevelType w:val="hybridMultilevel"/>
    <w:tmpl w:val="1624DE4E"/>
    <w:lvl w:ilvl="0" w:tplc="3CD07B50">
      <w:start w:val="1"/>
      <w:numFmt w:val="lowerLetter"/>
      <w:lvlText w:val="%1."/>
      <w:lvlJc w:val="left"/>
      <w:pPr>
        <w:ind w:left="360" w:hanging="360"/>
      </w:pPr>
      <w:rPr>
        <w:rFonts w:hint="default"/>
        <w:i w:val="0"/>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27" w15:restartNumberingAfterBreak="0">
    <w:nsid w:val="0D203299"/>
    <w:multiLevelType w:val="hybridMultilevel"/>
    <w:tmpl w:val="1624DE4E"/>
    <w:lvl w:ilvl="0" w:tplc="3CD07B50">
      <w:start w:val="1"/>
      <w:numFmt w:val="lowerLetter"/>
      <w:lvlText w:val="%1."/>
      <w:lvlJc w:val="left"/>
      <w:pPr>
        <w:ind w:left="360" w:hanging="360"/>
      </w:pPr>
      <w:rPr>
        <w:rFonts w:hint="default"/>
        <w:i w:val="0"/>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28" w15:restartNumberingAfterBreak="0">
    <w:nsid w:val="0DFE7A22"/>
    <w:multiLevelType w:val="hybridMultilevel"/>
    <w:tmpl w:val="8170126E"/>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15:restartNumberingAfterBreak="0">
    <w:nsid w:val="0EFE5A2B"/>
    <w:multiLevelType w:val="hybridMultilevel"/>
    <w:tmpl w:val="D5F6C42E"/>
    <w:lvl w:ilvl="0" w:tplc="AD264050">
      <w:start w:val="1"/>
      <w:numFmt w:val="lowerLetter"/>
      <w:lvlText w:val="%1."/>
      <w:lvlJc w:val="left"/>
      <w:pPr>
        <w:ind w:left="724" w:hanging="360"/>
      </w:pPr>
      <w:rPr>
        <w:rFonts w:ascii="Arial" w:eastAsia="Times New Roman" w:hAnsi="Arial" w:cs="Arial"/>
      </w:rPr>
    </w:lvl>
    <w:lvl w:ilvl="1" w:tplc="0C090019">
      <w:start w:val="1"/>
      <w:numFmt w:val="lowerLetter"/>
      <w:lvlText w:val="%2."/>
      <w:lvlJc w:val="left"/>
      <w:pPr>
        <w:ind w:left="1444" w:hanging="360"/>
      </w:pPr>
    </w:lvl>
    <w:lvl w:ilvl="2" w:tplc="0C09001B">
      <w:start w:val="1"/>
      <w:numFmt w:val="lowerRoman"/>
      <w:lvlText w:val="%3."/>
      <w:lvlJc w:val="right"/>
      <w:pPr>
        <w:ind w:left="2164" w:hanging="180"/>
      </w:pPr>
    </w:lvl>
    <w:lvl w:ilvl="3" w:tplc="0C09000F">
      <w:start w:val="1"/>
      <w:numFmt w:val="decimal"/>
      <w:lvlText w:val="%4."/>
      <w:lvlJc w:val="left"/>
      <w:pPr>
        <w:ind w:left="2884" w:hanging="360"/>
      </w:pPr>
    </w:lvl>
    <w:lvl w:ilvl="4" w:tplc="0C090019">
      <w:start w:val="1"/>
      <w:numFmt w:val="lowerLetter"/>
      <w:lvlText w:val="%5."/>
      <w:lvlJc w:val="left"/>
      <w:pPr>
        <w:ind w:left="3604" w:hanging="360"/>
      </w:pPr>
    </w:lvl>
    <w:lvl w:ilvl="5" w:tplc="0C09001B">
      <w:start w:val="1"/>
      <w:numFmt w:val="lowerRoman"/>
      <w:lvlText w:val="%6."/>
      <w:lvlJc w:val="right"/>
      <w:pPr>
        <w:ind w:left="4324" w:hanging="180"/>
      </w:pPr>
    </w:lvl>
    <w:lvl w:ilvl="6" w:tplc="0C09000F">
      <w:start w:val="1"/>
      <w:numFmt w:val="decimal"/>
      <w:lvlText w:val="%7."/>
      <w:lvlJc w:val="left"/>
      <w:pPr>
        <w:ind w:left="5044" w:hanging="360"/>
      </w:pPr>
    </w:lvl>
    <w:lvl w:ilvl="7" w:tplc="0C090019">
      <w:start w:val="1"/>
      <w:numFmt w:val="lowerLetter"/>
      <w:lvlText w:val="%8."/>
      <w:lvlJc w:val="left"/>
      <w:pPr>
        <w:ind w:left="5764" w:hanging="360"/>
      </w:pPr>
    </w:lvl>
    <w:lvl w:ilvl="8" w:tplc="0C09001B">
      <w:start w:val="1"/>
      <w:numFmt w:val="lowerRoman"/>
      <w:lvlText w:val="%9."/>
      <w:lvlJc w:val="right"/>
      <w:pPr>
        <w:ind w:left="6484" w:hanging="180"/>
      </w:pPr>
    </w:lvl>
  </w:abstractNum>
  <w:abstractNum w:abstractNumId="30" w15:restartNumberingAfterBreak="0">
    <w:nsid w:val="0F1D7435"/>
    <w:multiLevelType w:val="hybridMultilevel"/>
    <w:tmpl w:val="F35EEEE6"/>
    <w:lvl w:ilvl="0" w:tplc="0C090019">
      <w:start w:val="1"/>
      <w:numFmt w:val="low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31" w15:restartNumberingAfterBreak="0">
    <w:nsid w:val="0F6D0DAE"/>
    <w:multiLevelType w:val="hybridMultilevel"/>
    <w:tmpl w:val="ED5C9200"/>
    <w:lvl w:ilvl="0" w:tplc="EA5C714C">
      <w:start w:val="1"/>
      <w:numFmt w:val="lowerLetter"/>
      <w:lvlText w:val="%1."/>
      <w:lvlJc w:val="left"/>
      <w:pPr>
        <w:ind w:left="503" w:hanging="360"/>
      </w:pPr>
      <w:rPr>
        <w:rFonts w:hint="default"/>
        <w:i w:val="0"/>
      </w:rPr>
    </w:lvl>
    <w:lvl w:ilvl="1" w:tplc="0C090019" w:tentative="1">
      <w:start w:val="1"/>
      <w:numFmt w:val="lowerLetter"/>
      <w:lvlText w:val="%2."/>
      <w:lvlJc w:val="left"/>
      <w:pPr>
        <w:ind w:left="1223" w:hanging="360"/>
      </w:pPr>
    </w:lvl>
    <w:lvl w:ilvl="2" w:tplc="0C09001B" w:tentative="1">
      <w:start w:val="1"/>
      <w:numFmt w:val="lowerRoman"/>
      <w:lvlText w:val="%3."/>
      <w:lvlJc w:val="right"/>
      <w:pPr>
        <w:ind w:left="1943" w:hanging="180"/>
      </w:pPr>
    </w:lvl>
    <w:lvl w:ilvl="3" w:tplc="0C09000F" w:tentative="1">
      <w:start w:val="1"/>
      <w:numFmt w:val="decimal"/>
      <w:lvlText w:val="%4."/>
      <w:lvlJc w:val="left"/>
      <w:pPr>
        <w:ind w:left="2663" w:hanging="360"/>
      </w:pPr>
    </w:lvl>
    <w:lvl w:ilvl="4" w:tplc="0C090019" w:tentative="1">
      <w:start w:val="1"/>
      <w:numFmt w:val="lowerLetter"/>
      <w:lvlText w:val="%5."/>
      <w:lvlJc w:val="left"/>
      <w:pPr>
        <w:ind w:left="3383" w:hanging="360"/>
      </w:pPr>
    </w:lvl>
    <w:lvl w:ilvl="5" w:tplc="0C09001B" w:tentative="1">
      <w:start w:val="1"/>
      <w:numFmt w:val="lowerRoman"/>
      <w:lvlText w:val="%6."/>
      <w:lvlJc w:val="right"/>
      <w:pPr>
        <w:ind w:left="4103" w:hanging="180"/>
      </w:pPr>
    </w:lvl>
    <w:lvl w:ilvl="6" w:tplc="0C09000F" w:tentative="1">
      <w:start w:val="1"/>
      <w:numFmt w:val="decimal"/>
      <w:lvlText w:val="%7."/>
      <w:lvlJc w:val="left"/>
      <w:pPr>
        <w:ind w:left="4823" w:hanging="360"/>
      </w:pPr>
    </w:lvl>
    <w:lvl w:ilvl="7" w:tplc="0C090019" w:tentative="1">
      <w:start w:val="1"/>
      <w:numFmt w:val="lowerLetter"/>
      <w:lvlText w:val="%8."/>
      <w:lvlJc w:val="left"/>
      <w:pPr>
        <w:ind w:left="5543" w:hanging="360"/>
      </w:pPr>
    </w:lvl>
    <w:lvl w:ilvl="8" w:tplc="0C09001B" w:tentative="1">
      <w:start w:val="1"/>
      <w:numFmt w:val="lowerRoman"/>
      <w:lvlText w:val="%9."/>
      <w:lvlJc w:val="right"/>
      <w:pPr>
        <w:ind w:left="6263" w:hanging="180"/>
      </w:pPr>
    </w:lvl>
  </w:abstractNum>
  <w:abstractNum w:abstractNumId="32" w15:restartNumberingAfterBreak="0">
    <w:nsid w:val="11AC37C2"/>
    <w:multiLevelType w:val="hybridMultilevel"/>
    <w:tmpl w:val="D8F6E9C2"/>
    <w:lvl w:ilvl="0" w:tplc="C3BA2FE0">
      <w:start w:val="1"/>
      <w:numFmt w:val="decimal"/>
      <w:lvlText w:val="Table %1: "/>
      <w:lvlJc w:val="left"/>
      <w:pPr>
        <w:ind w:left="1353" w:hanging="360"/>
      </w:pPr>
      <w:rPr>
        <w:rFonts w:hint="default"/>
        <w:bCs w:val="0"/>
        <w:i w:val="0"/>
        <w:iCs w:val="0"/>
        <w:caps w:val="0"/>
        <w:smallCaps w:val="0"/>
        <w:strike w:val="0"/>
        <w:dstrike w:val="0"/>
        <w:vanish w:val="0"/>
        <w:color w:val="auto"/>
        <w:spacing w:val="0"/>
        <w:kern w:val="0"/>
        <w:position w:val="0"/>
        <w:sz w:val="20"/>
        <w:u w:val="none"/>
        <w:effect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1235264E"/>
    <w:multiLevelType w:val="hybridMultilevel"/>
    <w:tmpl w:val="EF16DDB8"/>
    <w:lvl w:ilvl="0" w:tplc="C3BA2FE0">
      <w:start w:val="1"/>
      <w:numFmt w:val="decimal"/>
      <w:lvlText w:val="Table %1: "/>
      <w:lvlJc w:val="left"/>
      <w:pPr>
        <w:ind w:left="360" w:hanging="360"/>
      </w:pPr>
      <w:rPr>
        <w:rFonts w:hint="default"/>
        <w:bCs w:val="0"/>
        <w:i w:val="0"/>
        <w:iCs w:val="0"/>
        <w:caps w:val="0"/>
        <w:smallCaps w:val="0"/>
        <w:strike w:val="0"/>
        <w:dstrike w:val="0"/>
        <w:vanish w:val="0"/>
        <w:color w:val="auto"/>
        <w:spacing w:val="0"/>
        <w:kern w:val="0"/>
        <w:position w:val="0"/>
        <w:sz w:val="20"/>
        <w:u w:val="none"/>
        <w:effect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13BE057E"/>
    <w:multiLevelType w:val="hybridMultilevel"/>
    <w:tmpl w:val="834C5BE4"/>
    <w:lvl w:ilvl="0" w:tplc="A93868C4">
      <w:start w:val="1"/>
      <w:numFmt w:val="lowerLetter"/>
      <w:lvlText w:val="%1."/>
      <w:lvlJc w:val="left"/>
      <w:pPr>
        <w:ind w:left="361" w:hanging="360"/>
      </w:pPr>
      <w:rPr>
        <w:rFonts w:ascii="Arial" w:hAnsi="Arial" w:cs="Arial" w:hint="default"/>
        <w:sz w:val="14"/>
        <w:szCs w:val="14"/>
      </w:rPr>
    </w:lvl>
    <w:lvl w:ilvl="1" w:tplc="0C090019" w:tentative="1">
      <w:start w:val="1"/>
      <w:numFmt w:val="lowerLetter"/>
      <w:lvlText w:val="%2."/>
      <w:lvlJc w:val="left"/>
      <w:pPr>
        <w:ind w:left="1081" w:hanging="360"/>
      </w:pPr>
    </w:lvl>
    <w:lvl w:ilvl="2" w:tplc="0C09001B" w:tentative="1">
      <w:start w:val="1"/>
      <w:numFmt w:val="lowerRoman"/>
      <w:lvlText w:val="%3."/>
      <w:lvlJc w:val="right"/>
      <w:pPr>
        <w:ind w:left="1801" w:hanging="180"/>
      </w:pPr>
    </w:lvl>
    <w:lvl w:ilvl="3" w:tplc="0C09000F" w:tentative="1">
      <w:start w:val="1"/>
      <w:numFmt w:val="decimal"/>
      <w:lvlText w:val="%4."/>
      <w:lvlJc w:val="left"/>
      <w:pPr>
        <w:ind w:left="2521" w:hanging="360"/>
      </w:pPr>
    </w:lvl>
    <w:lvl w:ilvl="4" w:tplc="0C090019" w:tentative="1">
      <w:start w:val="1"/>
      <w:numFmt w:val="lowerLetter"/>
      <w:lvlText w:val="%5."/>
      <w:lvlJc w:val="left"/>
      <w:pPr>
        <w:ind w:left="3241" w:hanging="360"/>
      </w:pPr>
    </w:lvl>
    <w:lvl w:ilvl="5" w:tplc="0C09001B" w:tentative="1">
      <w:start w:val="1"/>
      <w:numFmt w:val="lowerRoman"/>
      <w:lvlText w:val="%6."/>
      <w:lvlJc w:val="right"/>
      <w:pPr>
        <w:ind w:left="3961" w:hanging="180"/>
      </w:pPr>
    </w:lvl>
    <w:lvl w:ilvl="6" w:tplc="0C09000F" w:tentative="1">
      <w:start w:val="1"/>
      <w:numFmt w:val="decimal"/>
      <w:lvlText w:val="%7."/>
      <w:lvlJc w:val="left"/>
      <w:pPr>
        <w:ind w:left="4681" w:hanging="360"/>
      </w:pPr>
    </w:lvl>
    <w:lvl w:ilvl="7" w:tplc="0C090019" w:tentative="1">
      <w:start w:val="1"/>
      <w:numFmt w:val="lowerLetter"/>
      <w:lvlText w:val="%8."/>
      <w:lvlJc w:val="left"/>
      <w:pPr>
        <w:ind w:left="5401" w:hanging="360"/>
      </w:pPr>
    </w:lvl>
    <w:lvl w:ilvl="8" w:tplc="0C09001B" w:tentative="1">
      <w:start w:val="1"/>
      <w:numFmt w:val="lowerRoman"/>
      <w:lvlText w:val="%9."/>
      <w:lvlJc w:val="right"/>
      <w:pPr>
        <w:ind w:left="6121" w:hanging="180"/>
      </w:pPr>
    </w:lvl>
  </w:abstractNum>
  <w:abstractNum w:abstractNumId="35" w15:restartNumberingAfterBreak="0">
    <w:nsid w:val="14275205"/>
    <w:multiLevelType w:val="hybridMultilevel"/>
    <w:tmpl w:val="C2106AF0"/>
    <w:lvl w:ilvl="0" w:tplc="2A243142">
      <w:start w:val="1"/>
      <w:numFmt w:val="decimal"/>
      <w:lvlText w:val="Table %1: "/>
      <w:lvlJc w:val="left"/>
      <w:pPr>
        <w:ind w:left="2204" w:hanging="360"/>
      </w:pPr>
      <w:rPr>
        <w:rFonts w:hint="default"/>
        <w:bCs w:val="0"/>
        <w:i w:val="0"/>
        <w:iCs w:val="0"/>
        <w:caps w:val="0"/>
        <w:smallCaps w:val="0"/>
        <w:strike w:val="0"/>
        <w:dstrike w:val="0"/>
        <w:vanish w:val="0"/>
        <w:color w:val="auto"/>
        <w:spacing w:val="0"/>
        <w:kern w:val="0"/>
        <w:position w:val="0"/>
        <w:sz w:val="20"/>
        <w:u w:val="none"/>
        <w:effect w:val="none"/>
        <w:vertAlign w:val="baseline"/>
        <w:em w:val="none"/>
      </w:rPr>
    </w:lvl>
    <w:lvl w:ilvl="1" w:tplc="0C090019" w:tentative="1">
      <w:start w:val="1"/>
      <w:numFmt w:val="lowerLetter"/>
      <w:lvlText w:val="%2."/>
      <w:lvlJc w:val="left"/>
      <w:pPr>
        <w:ind w:left="728" w:hanging="360"/>
      </w:pPr>
    </w:lvl>
    <w:lvl w:ilvl="2" w:tplc="0C09001B" w:tentative="1">
      <w:start w:val="1"/>
      <w:numFmt w:val="lowerRoman"/>
      <w:lvlText w:val="%3."/>
      <w:lvlJc w:val="right"/>
      <w:pPr>
        <w:ind w:left="1448" w:hanging="180"/>
      </w:pPr>
    </w:lvl>
    <w:lvl w:ilvl="3" w:tplc="0C09000F" w:tentative="1">
      <w:start w:val="1"/>
      <w:numFmt w:val="decimal"/>
      <w:lvlText w:val="%4."/>
      <w:lvlJc w:val="left"/>
      <w:pPr>
        <w:ind w:left="2168" w:hanging="360"/>
      </w:pPr>
    </w:lvl>
    <w:lvl w:ilvl="4" w:tplc="0C090019" w:tentative="1">
      <w:start w:val="1"/>
      <w:numFmt w:val="lowerLetter"/>
      <w:lvlText w:val="%5."/>
      <w:lvlJc w:val="left"/>
      <w:pPr>
        <w:ind w:left="2888" w:hanging="360"/>
      </w:pPr>
    </w:lvl>
    <w:lvl w:ilvl="5" w:tplc="0C09001B" w:tentative="1">
      <w:start w:val="1"/>
      <w:numFmt w:val="lowerRoman"/>
      <w:lvlText w:val="%6."/>
      <w:lvlJc w:val="right"/>
      <w:pPr>
        <w:ind w:left="3608" w:hanging="180"/>
      </w:pPr>
    </w:lvl>
    <w:lvl w:ilvl="6" w:tplc="0C09000F" w:tentative="1">
      <w:start w:val="1"/>
      <w:numFmt w:val="decimal"/>
      <w:lvlText w:val="%7."/>
      <w:lvlJc w:val="left"/>
      <w:pPr>
        <w:ind w:left="4328" w:hanging="360"/>
      </w:pPr>
    </w:lvl>
    <w:lvl w:ilvl="7" w:tplc="0C090019" w:tentative="1">
      <w:start w:val="1"/>
      <w:numFmt w:val="lowerLetter"/>
      <w:lvlText w:val="%8."/>
      <w:lvlJc w:val="left"/>
      <w:pPr>
        <w:ind w:left="5048" w:hanging="360"/>
      </w:pPr>
    </w:lvl>
    <w:lvl w:ilvl="8" w:tplc="0C09001B" w:tentative="1">
      <w:start w:val="1"/>
      <w:numFmt w:val="lowerRoman"/>
      <w:lvlText w:val="%9."/>
      <w:lvlJc w:val="right"/>
      <w:pPr>
        <w:ind w:left="5768" w:hanging="180"/>
      </w:pPr>
    </w:lvl>
  </w:abstractNum>
  <w:abstractNum w:abstractNumId="36" w15:restartNumberingAfterBreak="0">
    <w:nsid w:val="194B7FC7"/>
    <w:multiLevelType w:val="hybridMultilevel"/>
    <w:tmpl w:val="BC06E26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19C843E1"/>
    <w:multiLevelType w:val="hybridMultilevel"/>
    <w:tmpl w:val="9702CD6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19CD141C"/>
    <w:multiLevelType w:val="multilevel"/>
    <w:tmpl w:val="8312B038"/>
    <w:lvl w:ilvl="0">
      <w:start w:val="3"/>
      <w:numFmt w:val="upperLetter"/>
      <w:lvlText w:val="%1"/>
      <w:lvlJc w:val="left"/>
      <w:pPr>
        <w:ind w:left="627" w:hanging="487"/>
      </w:pPr>
      <w:rPr>
        <w:rFonts w:cs="Times New Roman"/>
      </w:rPr>
    </w:lvl>
    <w:lvl w:ilvl="1">
      <w:start w:val="17"/>
      <w:numFmt w:val="decimal"/>
      <w:lvlText w:val="%1-%2"/>
      <w:lvlJc w:val="left"/>
      <w:pPr>
        <w:ind w:left="627" w:hanging="487"/>
      </w:pPr>
      <w:rPr>
        <w:rFonts w:ascii="Arial" w:hAnsi="Arial" w:cs="Arial"/>
        <w:b w:val="0"/>
        <w:bCs w:val="0"/>
        <w:spacing w:val="-1"/>
        <w:w w:val="99"/>
        <w:sz w:val="20"/>
        <w:szCs w:val="20"/>
      </w:rPr>
    </w:lvl>
    <w:lvl w:ilvl="2">
      <w:start w:val="1"/>
      <w:numFmt w:val="lowerLetter"/>
      <w:lvlText w:val="%3."/>
      <w:lvlJc w:val="left"/>
      <w:pPr>
        <w:ind w:left="1466" w:hanging="406"/>
      </w:pPr>
      <w:rPr>
        <w:rFonts w:ascii="Arial" w:eastAsia="Times New Roman" w:hAnsi="Arial" w:cs="Arial"/>
        <w:b w:val="0"/>
        <w:bCs w:val="0"/>
        <w:color w:val="2D2333"/>
        <w:spacing w:val="-1"/>
        <w:w w:val="101"/>
        <w:sz w:val="14"/>
        <w:szCs w:val="14"/>
      </w:rPr>
    </w:lvl>
    <w:lvl w:ilvl="3">
      <w:numFmt w:val="bullet"/>
      <w:lvlText w:val="•"/>
      <w:lvlJc w:val="left"/>
      <w:pPr>
        <w:ind w:left="3376" w:hanging="406"/>
      </w:pPr>
    </w:lvl>
    <w:lvl w:ilvl="4">
      <w:numFmt w:val="bullet"/>
      <w:lvlText w:val="•"/>
      <w:lvlJc w:val="left"/>
      <w:pPr>
        <w:ind w:left="4335" w:hanging="406"/>
      </w:pPr>
    </w:lvl>
    <w:lvl w:ilvl="5">
      <w:numFmt w:val="bullet"/>
      <w:lvlText w:val="•"/>
      <w:lvlJc w:val="left"/>
      <w:pPr>
        <w:ind w:left="5293" w:hanging="406"/>
      </w:pPr>
    </w:lvl>
    <w:lvl w:ilvl="6">
      <w:numFmt w:val="bullet"/>
      <w:lvlText w:val="•"/>
      <w:lvlJc w:val="left"/>
      <w:pPr>
        <w:ind w:left="6252" w:hanging="406"/>
      </w:pPr>
    </w:lvl>
    <w:lvl w:ilvl="7">
      <w:numFmt w:val="bullet"/>
      <w:lvlText w:val="•"/>
      <w:lvlJc w:val="left"/>
      <w:pPr>
        <w:ind w:left="7210" w:hanging="406"/>
      </w:pPr>
    </w:lvl>
    <w:lvl w:ilvl="8">
      <w:numFmt w:val="bullet"/>
      <w:lvlText w:val="•"/>
      <w:lvlJc w:val="left"/>
      <w:pPr>
        <w:ind w:left="8169" w:hanging="406"/>
      </w:pPr>
    </w:lvl>
  </w:abstractNum>
  <w:abstractNum w:abstractNumId="39" w15:restartNumberingAfterBreak="0">
    <w:nsid w:val="1A0F60BB"/>
    <w:multiLevelType w:val="hybridMultilevel"/>
    <w:tmpl w:val="0DBE8752"/>
    <w:lvl w:ilvl="0" w:tplc="E8129C48">
      <w:start w:val="1"/>
      <w:numFmt w:val="bullet"/>
      <w:pStyle w:val="TableTextBullet"/>
      <w:lvlText w:val=""/>
      <w:lvlJc w:val="left"/>
      <w:pPr>
        <w:tabs>
          <w:tab w:val="num" w:pos="360"/>
        </w:tabs>
        <w:ind w:left="360" w:hanging="24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1ABB6EFC"/>
    <w:multiLevelType w:val="hybridMultilevel"/>
    <w:tmpl w:val="A8017112"/>
    <w:lvl w:ilvl="0" w:tplc="FFFFFFFF">
      <w:start w:val="1"/>
      <w:numFmt w:val="decimal"/>
      <w:lvlText w:val="%1."/>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1" w15:restartNumberingAfterBreak="0">
    <w:nsid w:val="1AD34CFE"/>
    <w:multiLevelType w:val="hybridMultilevel"/>
    <w:tmpl w:val="D9902552"/>
    <w:lvl w:ilvl="0" w:tplc="0C090019">
      <w:start w:val="1"/>
      <w:numFmt w:val="lowerLetter"/>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42" w15:restartNumberingAfterBreak="0">
    <w:nsid w:val="1D185843"/>
    <w:multiLevelType w:val="multilevel"/>
    <w:tmpl w:val="71D0949A"/>
    <w:lvl w:ilvl="0">
      <w:start w:val="1"/>
      <w:numFmt w:val="lowerLetter"/>
      <w:pStyle w:val="ChartandTableFootnoteAlpha"/>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1D950130"/>
    <w:multiLevelType w:val="hybridMultilevel"/>
    <w:tmpl w:val="BAAABB9E"/>
    <w:lvl w:ilvl="0" w:tplc="AF5A8DAE">
      <w:start w:val="1"/>
      <w:numFmt w:val="bullet"/>
      <w:pStyle w:val="BulletDash"/>
      <w:lvlText w:val=""/>
      <w:lvlJc w:val="left"/>
      <w:pPr>
        <w:tabs>
          <w:tab w:val="num" w:pos="510"/>
        </w:tabs>
        <w:ind w:left="510" w:hanging="170"/>
      </w:pPr>
      <w:rPr>
        <w:rFonts w:ascii="Symbol" w:hAnsi="Symbol" w:hint="default"/>
      </w:rPr>
    </w:lvl>
    <w:lvl w:ilvl="1" w:tplc="0C090003">
      <w:start w:val="1"/>
      <w:numFmt w:val="bullet"/>
      <w:lvlText w:val="o"/>
      <w:lvlJc w:val="left"/>
      <w:pPr>
        <w:tabs>
          <w:tab w:val="num" w:pos="1610"/>
        </w:tabs>
        <w:ind w:left="1610" w:hanging="360"/>
      </w:pPr>
      <w:rPr>
        <w:rFonts w:ascii="Courier New" w:hAnsi="Courier New" w:cs="Courier New" w:hint="default"/>
      </w:rPr>
    </w:lvl>
    <w:lvl w:ilvl="2" w:tplc="0C090005" w:tentative="1">
      <w:start w:val="1"/>
      <w:numFmt w:val="bullet"/>
      <w:lvlText w:val=""/>
      <w:lvlJc w:val="left"/>
      <w:pPr>
        <w:tabs>
          <w:tab w:val="num" w:pos="2330"/>
        </w:tabs>
        <w:ind w:left="2330" w:hanging="360"/>
      </w:pPr>
      <w:rPr>
        <w:rFonts w:ascii="Wingdings" w:hAnsi="Wingdings" w:hint="default"/>
      </w:rPr>
    </w:lvl>
    <w:lvl w:ilvl="3" w:tplc="0C090001" w:tentative="1">
      <w:start w:val="1"/>
      <w:numFmt w:val="bullet"/>
      <w:lvlText w:val=""/>
      <w:lvlJc w:val="left"/>
      <w:pPr>
        <w:tabs>
          <w:tab w:val="num" w:pos="3050"/>
        </w:tabs>
        <w:ind w:left="3050" w:hanging="360"/>
      </w:pPr>
      <w:rPr>
        <w:rFonts w:ascii="Symbol" w:hAnsi="Symbol" w:hint="default"/>
      </w:rPr>
    </w:lvl>
    <w:lvl w:ilvl="4" w:tplc="0C090003" w:tentative="1">
      <w:start w:val="1"/>
      <w:numFmt w:val="bullet"/>
      <w:lvlText w:val="o"/>
      <w:lvlJc w:val="left"/>
      <w:pPr>
        <w:tabs>
          <w:tab w:val="num" w:pos="3770"/>
        </w:tabs>
        <w:ind w:left="3770" w:hanging="360"/>
      </w:pPr>
      <w:rPr>
        <w:rFonts w:ascii="Courier New" w:hAnsi="Courier New" w:cs="Courier New" w:hint="default"/>
      </w:rPr>
    </w:lvl>
    <w:lvl w:ilvl="5" w:tplc="0C090005" w:tentative="1">
      <w:start w:val="1"/>
      <w:numFmt w:val="bullet"/>
      <w:lvlText w:val=""/>
      <w:lvlJc w:val="left"/>
      <w:pPr>
        <w:tabs>
          <w:tab w:val="num" w:pos="4490"/>
        </w:tabs>
        <w:ind w:left="4490" w:hanging="360"/>
      </w:pPr>
      <w:rPr>
        <w:rFonts w:ascii="Wingdings" w:hAnsi="Wingdings" w:hint="default"/>
      </w:rPr>
    </w:lvl>
    <w:lvl w:ilvl="6" w:tplc="0C090001" w:tentative="1">
      <w:start w:val="1"/>
      <w:numFmt w:val="bullet"/>
      <w:lvlText w:val=""/>
      <w:lvlJc w:val="left"/>
      <w:pPr>
        <w:tabs>
          <w:tab w:val="num" w:pos="5210"/>
        </w:tabs>
        <w:ind w:left="5210" w:hanging="360"/>
      </w:pPr>
      <w:rPr>
        <w:rFonts w:ascii="Symbol" w:hAnsi="Symbol" w:hint="default"/>
      </w:rPr>
    </w:lvl>
    <w:lvl w:ilvl="7" w:tplc="0C090003" w:tentative="1">
      <w:start w:val="1"/>
      <w:numFmt w:val="bullet"/>
      <w:lvlText w:val="o"/>
      <w:lvlJc w:val="left"/>
      <w:pPr>
        <w:tabs>
          <w:tab w:val="num" w:pos="5930"/>
        </w:tabs>
        <w:ind w:left="5930" w:hanging="360"/>
      </w:pPr>
      <w:rPr>
        <w:rFonts w:ascii="Courier New" w:hAnsi="Courier New" w:cs="Courier New" w:hint="default"/>
      </w:rPr>
    </w:lvl>
    <w:lvl w:ilvl="8" w:tplc="0C090005" w:tentative="1">
      <w:start w:val="1"/>
      <w:numFmt w:val="bullet"/>
      <w:lvlText w:val=""/>
      <w:lvlJc w:val="left"/>
      <w:pPr>
        <w:tabs>
          <w:tab w:val="num" w:pos="6650"/>
        </w:tabs>
        <w:ind w:left="6650" w:hanging="360"/>
      </w:pPr>
      <w:rPr>
        <w:rFonts w:ascii="Wingdings" w:hAnsi="Wingdings" w:hint="default"/>
      </w:rPr>
    </w:lvl>
  </w:abstractNum>
  <w:abstractNum w:abstractNumId="44" w15:restartNumberingAfterBreak="0">
    <w:nsid w:val="1E2A5A3C"/>
    <w:multiLevelType w:val="hybridMultilevel"/>
    <w:tmpl w:val="DA36E164"/>
    <w:lvl w:ilvl="0" w:tplc="805E0F7A">
      <w:start w:val="1"/>
      <w:numFmt w:val="lowerLetter"/>
      <w:lvlText w:val="%1."/>
      <w:lvlJc w:val="left"/>
      <w:pPr>
        <w:ind w:left="36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22861CAE"/>
    <w:multiLevelType w:val="hybridMultilevel"/>
    <w:tmpl w:val="9702CD6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22A9550A"/>
    <w:multiLevelType w:val="hybridMultilevel"/>
    <w:tmpl w:val="AA143BD2"/>
    <w:lvl w:ilvl="0" w:tplc="33269F52">
      <w:start w:val="1"/>
      <w:numFmt w:val="decimal"/>
      <w:pStyle w:val="NotesNumb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7" w15:restartNumberingAfterBreak="0">
    <w:nsid w:val="23A700B6"/>
    <w:multiLevelType w:val="hybridMultilevel"/>
    <w:tmpl w:val="9702CD6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23CA3959"/>
    <w:multiLevelType w:val="hybridMultilevel"/>
    <w:tmpl w:val="6840D1A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242D060A"/>
    <w:multiLevelType w:val="hybridMultilevel"/>
    <w:tmpl w:val="D714B740"/>
    <w:lvl w:ilvl="0" w:tplc="0C090001">
      <w:start w:val="1"/>
      <w:numFmt w:val="bullet"/>
      <w:lvlText w:val=""/>
      <w:lvlJc w:val="left"/>
      <w:pPr>
        <w:ind w:left="718" w:hanging="360"/>
      </w:pPr>
      <w:rPr>
        <w:rFonts w:ascii="Symbol" w:hAnsi="Symbol" w:hint="default"/>
      </w:rPr>
    </w:lvl>
    <w:lvl w:ilvl="1" w:tplc="0C090003" w:tentative="1">
      <w:start w:val="1"/>
      <w:numFmt w:val="bullet"/>
      <w:lvlText w:val="o"/>
      <w:lvlJc w:val="left"/>
      <w:pPr>
        <w:ind w:left="1438" w:hanging="360"/>
      </w:pPr>
      <w:rPr>
        <w:rFonts w:ascii="Courier New" w:hAnsi="Courier New" w:cs="Courier New" w:hint="default"/>
      </w:rPr>
    </w:lvl>
    <w:lvl w:ilvl="2" w:tplc="0C090005">
      <w:start w:val="1"/>
      <w:numFmt w:val="bullet"/>
      <w:lvlText w:val=""/>
      <w:lvlJc w:val="left"/>
      <w:pPr>
        <w:ind w:left="2158" w:hanging="360"/>
      </w:pPr>
      <w:rPr>
        <w:rFonts w:ascii="Wingdings" w:hAnsi="Wingdings" w:hint="default"/>
      </w:rPr>
    </w:lvl>
    <w:lvl w:ilvl="3" w:tplc="0C090001" w:tentative="1">
      <w:start w:val="1"/>
      <w:numFmt w:val="bullet"/>
      <w:lvlText w:val=""/>
      <w:lvlJc w:val="left"/>
      <w:pPr>
        <w:ind w:left="2878" w:hanging="360"/>
      </w:pPr>
      <w:rPr>
        <w:rFonts w:ascii="Symbol" w:hAnsi="Symbol" w:hint="default"/>
      </w:rPr>
    </w:lvl>
    <w:lvl w:ilvl="4" w:tplc="0C090003" w:tentative="1">
      <w:start w:val="1"/>
      <w:numFmt w:val="bullet"/>
      <w:lvlText w:val="o"/>
      <w:lvlJc w:val="left"/>
      <w:pPr>
        <w:ind w:left="3598" w:hanging="360"/>
      </w:pPr>
      <w:rPr>
        <w:rFonts w:ascii="Courier New" w:hAnsi="Courier New" w:cs="Courier New" w:hint="default"/>
      </w:rPr>
    </w:lvl>
    <w:lvl w:ilvl="5" w:tplc="0C090005" w:tentative="1">
      <w:start w:val="1"/>
      <w:numFmt w:val="bullet"/>
      <w:lvlText w:val=""/>
      <w:lvlJc w:val="left"/>
      <w:pPr>
        <w:ind w:left="4318" w:hanging="360"/>
      </w:pPr>
      <w:rPr>
        <w:rFonts w:ascii="Wingdings" w:hAnsi="Wingdings" w:hint="default"/>
      </w:rPr>
    </w:lvl>
    <w:lvl w:ilvl="6" w:tplc="0C090001" w:tentative="1">
      <w:start w:val="1"/>
      <w:numFmt w:val="bullet"/>
      <w:lvlText w:val=""/>
      <w:lvlJc w:val="left"/>
      <w:pPr>
        <w:ind w:left="5038" w:hanging="360"/>
      </w:pPr>
      <w:rPr>
        <w:rFonts w:ascii="Symbol" w:hAnsi="Symbol" w:hint="default"/>
      </w:rPr>
    </w:lvl>
    <w:lvl w:ilvl="7" w:tplc="0C090003" w:tentative="1">
      <w:start w:val="1"/>
      <w:numFmt w:val="bullet"/>
      <w:lvlText w:val="o"/>
      <w:lvlJc w:val="left"/>
      <w:pPr>
        <w:ind w:left="5758" w:hanging="360"/>
      </w:pPr>
      <w:rPr>
        <w:rFonts w:ascii="Courier New" w:hAnsi="Courier New" w:cs="Courier New" w:hint="default"/>
      </w:rPr>
    </w:lvl>
    <w:lvl w:ilvl="8" w:tplc="0C090005" w:tentative="1">
      <w:start w:val="1"/>
      <w:numFmt w:val="bullet"/>
      <w:lvlText w:val=""/>
      <w:lvlJc w:val="left"/>
      <w:pPr>
        <w:ind w:left="6478" w:hanging="360"/>
      </w:pPr>
      <w:rPr>
        <w:rFonts w:ascii="Wingdings" w:hAnsi="Wingdings" w:hint="default"/>
      </w:rPr>
    </w:lvl>
  </w:abstractNum>
  <w:abstractNum w:abstractNumId="50" w15:restartNumberingAfterBreak="0">
    <w:nsid w:val="24965709"/>
    <w:multiLevelType w:val="hybridMultilevel"/>
    <w:tmpl w:val="23B6839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27DE3038"/>
    <w:multiLevelType w:val="hybridMultilevel"/>
    <w:tmpl w:val="A554F750"/>
    <w:lvl w:ilvl="0" w:tplc="0C090019">
      <w:start w:val="1"/>
      <w:numFmt w:val="lowerLetter"/>
      <w:lvlText w:val="%1."/>
      <w:lvlJc w:val="left"/>
      <w:pPr>
        <w:ind w:left="725" w:hanging="360"/>
      </w:pPr>
      <w:rPr>
        <w:rFonts w:hint="default"/>
      </w:rPr>
    </w:lvl>
    <w:lvl w:ilvl="1" w:tplc="0C090019">
      <w:start w:val="1"/>
      <w:numFmt w:val="lowerLetter"/>
      <w:lvlText w:val="%2."/>
      <w:lvlJc w:val="left"/>
      <w:pPr>
        <w:ind w:left="1445" w:hanging="360"/>
      </w:pPr>
    </w:lvl>
    <w:lvl w:ilvl="2" w:tplc="0C09001B" w:tentative="1">
      <w:start w:val="1"/>
      <w:numFmt w:val="lowerRoman"/>
      <w:lvlText w:val="%3."/>
      <w:lvlJc w:val="right"/>
      <w:pPr>
        <w:ind w:left="2165" w:hanging="180"/>
      </w:pPr>
    </w:lvl>
    <w:lvl w:ilvl="3" w:tplc="0C09000F" w:tentative="1">
      <w:start w:val="1"/>
      <w:numFmt w:val="decimal"/>
      <w:lvlText w:val="%4."/>
      <w:lvlJc w:val="left"/>
      <w:pPr>
        <w:ind w:left="2885" w:hanging="360"/>
      </w:pPr>
    </w:lvl>
    <w:lvl w:ilvl="4" w:tplc="0C090019" w:tentative="1">
      <w:start w:val="1"/>
      <w:numFmt w:val="lowerLetter"/>
      <w:lvlText w:val="%5."/>
      <w:lvlJc w:val="left"/>
      <w:pPr>
        <w:ind w:left="3605" w:hanging="360"/>
      </w:pPr>
    </w:lvl>
    <w:lvl w:ilvl="5" w:tplc="0C09001B" w:tentative="1">
      <w:start w:val="1"/>
      <w:numFmt w:val="lowerRoman"/>
      <w:lvlText w:val="%6."/>
      <w:lvlJc w:val="right"/>
      <w:pPr>
        <w:ind w:left="4325" w:hanging="180"/>
      </w:pPr>
    </w:lvl>
    <w:lvl w:ilvl="6" w:tplc="0C09000F" w:tentative="1">
      <w:start w:val="1"/>
      <w:numFmt w:val="decimal"/>
      <w:lvlText w:val="%7."/>
      <w:lvlJc w:val="left"/>
      <w:pPr>
        <w:ind w:left="5045" w:hanging="360"/>
      </w:pPr>
    </w:lvl>
    <w:lvl w:ilvl="7" w:tplc="0C090019" w:tentative="1">
      <w:start w:val="1"/>
      <w:numFmt w:val="lowerLetter"/>
      <w:lvlText w:val="%8."/>
      <w:lvlJc w:val="left"/>
      <w:pPr>
        <w:ind w:left="5765" w:hanging="360"/>
      </w:pPr>
    </w:lvl>
    <w:lvl w:ilvl="8" w:tplc="0C09001B" w:tentative="1">
      <w:start w:val="1"/>
      <w:numFmt w:val="lowerRoman"/>
      <w:lvlText w:val="%9."/>
      <w:lvlJc w:val="right"/>
      <w:pPr>
        <w:ind w:left="6485" w:hanging="180"/>
      </w:pPr>
    </w:lvl>
  </w:abstractNum>
  <w:abstractNum w:abstractNumId="52" w15:restartNumberingAfterBreak="0">
    <w:nsid w:val="28CA7D49"/>
    <w:multiLevelType w:val="hybridMultilevel"/>
    <w:tmpl w:val="F73202C2"/>
    <w:lvl w:ilvl="0" w:tplc="FC1C4F40">
      <w:start w:val="1"/>
      <w:numFmt w:val="lowerLetter"/>
      <w:lvlText w:val="%1."/>
      <w:lvlJc w:val="left"/>
      <w:pPr>
        <w:ind w:left="36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29F56935"/>
    <w:multiLevelType w:val="hybridMultilevel"/>
    <w:tmpl w:val="C57472EA"/>
    <w:lvl w:ilvl="0" w:tplc="0C090019">
      <w:start w:val="1"/>
      <w:numFmt w:val="lowerLetter"/>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54" w15:restartNumberingAfterBreak="0">
    <w:nsid w:val="2B2E2F1C"/>
    <w:multiLevelType w:val="hybridMultilevel"/>
    <w:tmpl w:val="EB04AA6E"/>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5" w15:restartNumberingAfterBreak="0">
    <w:nsid w:val="2CBD7BBD"/>
    <w:multiLevelType w:val="multilevel"/>
    <w:tmpl w:val="8312B038"/>
    <w:lvl w:ilvl="0">
      <w:start w:val="3"/>
      <w:numFmt w:val="upperLetter"/>
      <w:lvlText w:val="%1"/>
      <w:lvlJc w:val="left"/>
      <w:pPr>
        <w:ind w:left="627" w:hanging="487"/>
      </w:pPr>
      <w:rPr>
        <w:rFonts w:cs="Times New Roman"/>
      </w:rPr>
    </w:lvl>
    <w:lvl w:ilvl="1">
      <w:start w:val="17"/>
      <w:numFmt w:val="decimal"/>
      <w:lvlText w:val="%1-%2"/>
      <w:lvlJc w:val="left"/>
      <w:pPr>
        <w:ind w:left="627" w:hanging="487"/>
      </w:pPr>
      <w:rPr>
        <w:rFonts w:ascii="Arial" w:hAnsi="Arial" w:cs="Arial"/>
        <w:b w:val="0"/>
        <w:bCs w:val="0"/>
        <w:spacing w:val="-1"/>
        <w:w w:val="99"/>
        <w:sz w:val="20"/>
        <w:szCs w:val="20"/>
      </w:rPr>
    </w:lvl>
    <w:lvl w:ilvl="2">
      <w:start w:val="1"/>
      <w:numFmt w:val="lowerLetter"/>
      <w:lvlText w:val="%3."/>
      <w:lvlJc w:val="left"/>
      <w:pPr>
        <w:ind w:left="1466" w:hanging="406"/>
      </w:pPr>
      <w:rPr>
        <w:rFonts w:ascii="Arial" w:eastAsia="Times New Roman" w:hAnsi="Arial" w:cs="Arial"/>
        <w:b w:val="0"/>
        <w:bCs w:val="0"/>
        <w:color w:val="2D2333"/>
        <w:spacing w:val="-1"/>
        <w:w w:val="101"/>
        <w:sz w:val="14"/>
        <w:szCs w:val="14"/>
      </w:rPr>
    </w:lvl>
    <w:lvl w:ilvl="3">
      <w:numFmt w:val="bullet"/>
      <w:lvlText w:val="•"/>
      <w:lvlJc w:val="left"/>
      <w:pPr>
        <w:ind w:left="3376" w:hanging="406"/>
      </w:pPr>
    </w:lvl>
    <w:lvl w:ilvl="4">
      <w:numFmt w:val="bullet"/>
      <w:lvlText w:val="•"/>
      <w:lvlJc w:val="left"/>
      <w:pPr>
        <w:ind w:left="4335" w:hanging="406"/>
      </w:pPr>
    </w:lvl>
    <w:lvl w:ilvl="5">
      <w:numFmt w:val="bullet"/>
      <w:lvlText w:val="•"/>
      <w:lvlJc w:val="left"/>
      <w:pPr>
        <w:ind w:left="5293" w:hanging="406"/>
      </w:pPr>
    </w:lvl>
    <w:lvl w:ilvl="6">
      <w:numFmt w:val="bullet"/>
      <w:lvlText w:val="•"/>
      <w:lvlJc w:val="left"/>
      <w:pPr>
        <w:ind w:left="6252" w:hanging="406"/>
      </w:pPr>
    </w:lvl>
    <w:lvl w:ilvl="7">
      <w:numFmt w:val="bullet"/>
      <w:lvlText w:val="•"/>
      <w:lvlJc w:val="left"/>
      <w:pPr>
        <w:ind w:left="7210" w:hanging="406"/>
      </w:pPr>
    </w:lvl>
    <w:lvl w:ilvl="8">
      <w:numFmt w:val="bullet"/>
      <w:lvlText w:val="•"/>
      <w:lvlJc w:val="left"/>
      <w:pPr>
        <w:ind w:left="8169" w:hanging="406"/>
      </w:pPr>
    </w:lvl>
  </w:abstractNum>
  <w:abstractNum w:abstractNumId="56" w15:restartNumberingAfterBreak="0">
    <w:nsid w:val="2CCA0581"/>
    <w:multiLevelType w:val="singleLevel"/>
    <w:tmpl w:val="13BECE60"/>
    <w:lvl w:ilvl="0">
      <w:start w:val="1"/>
      <w:numFmt w:val="lowerLetter"/>
      <w:pStyle w:val="Levela"/>
      <w:lvlText w:val="%1."/>
      <w:lvlJc w:val="left"/>
      <w:pPr>
        <w:tabs>
          <w:tab w:val="num" w:pos="1418"/>
        </w:tabs>
        <w:ind w:left="1418" w:hanging="709"/>
      </w:pPr>
      <w:rPr>
        <w:rFonts w:ascii="Arial" w:hAnsi="Arial" w:cs="Times New Roman" w:hint="default"/>
        <w:sz w:val="22"/>
      </w:rPr>
    </w:lvl>
  </w:abstractNum>
  <w:abstractNum w:abstractNumId="57" w15:restartNumberingAfterBreak="0">
    <w:nsid w:val="2DE26973"/>
    <w:multiLevelType w:val="hybridMultilevel"/>
    <w:tmpl w:val="42563810"/>
    <w:lvl w:ilvl="0" w:tplc="0C090019">
      <w:start w:val="1"/>
      <w:numFmt w:val="lowerLetter"/>
      <w:lvlText w:val="%1."/>
      <w:lvlJc w:val="left"/>
      <w:pPr>
        <w:ind w:left="719" w:hanging="360"/>
      </w:pPr>
      <w:rPr>
        <w:rFonts w:hint="default"/>
      </w:rPr>
    </w:lvl>
    <w:lvl w:ilvl="1" w:tplc="0C090019">
      <w:start w:val="1"/>
      <w:numFmt w:val="lowerLetter"/>
      <w:lvlText w:val="%2."/>
      <w:lvlJc w:val="left"/>
      <w:pPr>
        <w:ind w:left="1439" w:hanging="360"/>
      </w:pPr>
    </w:lvl>
    <w:lvl w:ilvl="2" w:tplc="0C09001B" w:tentative="1">
      <w:start w:val="1"/>
      <w:numFmt w:val="lowerRoman"/>
      <w:lvlText w:val="%3."/>
      <w:lvlJc w:val="right"/>
      <w:pPr>
        <w:ind w:left="2159" w:hanging="180"/>
      </w:pPr>
    </w:lvl>
    <w:lvl w:ilvl="3" w:tplc="0C09000F" w:tentative="1">
      <w:start w:val="1"/>
      <w:numFmt w:val="decimal"/>
      <w:lvlText w:val="%4."/>
      <w:lvlJc w:val="left"/>
      <w:pPr>
        <w:ind w:left="2879" w:hanging="360"/>
      </w:pPr>
    </w:lvl>
    <w:lvl w:ilvl="4" w:tplc="0C090019" w:tentative="1">
      <w:start w:val="1"/>
      <w:numFmt w:val="lowerLetter"/>
      <w:lvlText w:val="%5."/>
      <w:lvlJc w:val="left"/>
      <w:pPr>
        <w:ind w:left="3599" w:hanging="360"/>
      </w:pPr>
    </w:lvl>
    <w:lvl w:ilvl="5" w:tplc="0C09001B" w:tentative="1">
      <w:start w:val="1"/>
      <w:numFmt w:val="lowerRoman"/>
      <w:lvlText w:val="%6."/>
      <w:lvlJc w:val="right"/>
      <w:pPr>
        <w:ind w:left="4319" w:hanging="180"/>
      </w:pPr>
    </w:lvl>
    <w:lvl w:ilvl="6" w:tplc="0C09000F" w:tentative="1">
      <w:start w:val="1"/>
      <w:numFmt w:val="decimal"/>
      <w:lvlText w:val="%7."/>
      <w:lvlJc w:val="left"/>
      <w:pPr>
        <w:ind w:left="5039" w:hanging="360"/>
      </w:pPr>
    </w:lvl>
    <w:lvl w:ilvl="7" w:tplc="0C090019" w:tentative="1">
      <w:start w:val="1"/>
      <w:numFmt w:val="lowerLetter"/>
      <w:lvlText w:val="%8."/>
      <w:lvlJc w:val="left"/>
      <w:pPr>
        <w:ind w:left="5759" w:hanging="360"/>
      </w:pPr>
    </w:lvl>
    <w:lvl w:ilvl="8" w:tplc="0C09001B" w:tentative="1">
      <w:start w:val="1"/>
      <w:numFmt w:val="lowerRoman"/>
      <w:lvlText w:val="%9."/>
      <w:lvlJc w:val="right"/>
      <w:pPr>
        <w:ind w:left="6479" w:hanging="180"/>
      </w:pPr>
    </w:lvl>
  </w:abstractNum>
  <w:abstractNum w:abstractNumId="58" w15:restartNumberingAfterBreak="0">
    <w:nsid w:val="2F6D318E"/>
    <w:multiLevelType w:val="hybridMultilevel"/>
    <w:tmpl w:val="9702CD6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326D376F"/>
    <w:multiLevelType w:val="hybridMultilevel"/>
    <w:tmpl w:val="9958443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346533F1"/>
    <w:multiLevelType w:val="hybridMultilevel"/>
    <w:tmpl w:val="637614D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34E979FD"/>
    <w:multiLevelType w:val="hybridMultilevel"/>
    <w:tmpl w:val="4448E85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361E6ACA"/>
    <w:multiLevelType w:val="hybridMultilevel"/>
    <w:tmpl w:val="1624DE4E"/>
    <w:lvl w:ilvl="0" w:tplc="3CD07B50">
      <w:start w:val="1"/>
      <w:numFmt w:val="lowerLetter"/>
      <w:lvlText w:val="%1."/>
      <w:lvlJc w:val="left"/>
      <w:pPr>
        <w:ind w:left="360" w:hanging="360"/>
      </w:pPr>
      <w:rPr>
        <w:rFonts w:hint="default"/>
        <w:i w:val="0"/>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63" w15:restartNumberingAfterBreak="0">
    <w:nsid w:val="363C5275"/>
    <w:multiLevelType w:val="hybridMultilevel"/>
    <w:tmpl w:val="203AB3D2"/>
    <w:lvl w:ilvl="0" w:tplc="3848997E">
      <w:start w:val="1"/>
      <w:numFmt w:val="lowerLetter"/>
      <w:lvlText w:val="%1."/>
      <w:lvlJc w:val="left"/>
      <w:pPr>
        <w:ind w:left="218" w:hanging="360"/>
      </w:pPr>
      <w:rPr>
        <w:rFonts w:hint="default"/>
      </w:rPr>
    </w:lvl>
    <w:lvl w:ilvl="1" w:tplc="0C090019" w:tentative="1">
      <w:start w:val="1"/>
      <w:numFmt w:val="lowerLetter"/>
      <w:lvlText w:val="%2."/>
      <w:lvlJc w:val="left"/>
      <w:pPr>
        <w:ind w:left="938" w:hanging="360"/>
      </w:pPr>
    </w:lvl>
    <w:lvl w:ilvl="2" w:tplc="0C09001B" w:tentative="1">
      <w:start w:val="1"/>
      <w:numFmt w:val="lowerRoman"/>
      <w:lvlText w:val="%3."/>
      <w:lvlJc w:val="right"/>
      <w:pPr>
        <w:ind w:left="1658" w:hanging="180"/>
      </w:pPr>
    </w:lvl>
    <w:lvl w:ilvl="3" w:tplc="0C09000F" w:tentative="1">
      <w:start w:val="1"/>
      <w:numFmt w:val="decimal"/>
      <w:lvlText w:val="%4."/>
      <w:lvlJc w:val="left"/>
      <w:pPr>
        <w:ind w:left="2378" w:hanging="360"/>
      </w:pPr>
    </w:lvl>
    <w:lvl w:ilvl="4" w:tplc="0C090019" w:tentative="1">
      <w:start w:val="1"/>
      <w:numFmt w:val="lowerLetter"/>
      <w:lvlText w:val="%5."/>
      <w:lvlJc w:val="left"/>
      <w:pPr>
        <w:ind w:left="3098" w:hanging="360"/>
      </w:pPr>
    </w:lvl>
    <w:lvl w:ilvl="5" w:tplc="0C09001B" w:tentative="1">
      <w:start w:val="1"/>
      <w:numFmt w:val="lowerRoman"/>
      <w:lvlText w:val="%6."/>
      <w:lvlJc w:val="right"/>
      <w:pPr>
        <w:ind w:left="3818" w:hanging="180"/>
      </w:pPr>
    </w:lvl>
    <w:lvl w:ilvl="6" w:tplc="0C09000F" w:tentative="1">
      <w:start w:val="1"/>
      <w:numFmt w:val="decimal"/>
      <w:lvlText w:val="%7."/>
      <w:lvlJc w:val="left"/>
      <w:pPr>
        <w:ind w:left="4538" w:hanging="360"/>
      </w:pPr>
    </w:lvl>
    <w:lvl w:ilvl="7" w:tplc="0C090019" w:tentative="1">
      <w:start w:val="1"/>
      <w:numFmt w:val="lowerLetter"/>
      <w:lvlText w:val="%8."/>
      <w:lvlJc w:val="left"/>
      <w:pPr>
        <w:ind w:left="5258" w:hanging="360"/>
      </w:pPr>
    </w:lvl>
    <w:lvl w:ilvl="8" w:tplc="0C09001B" w:tentative="1">
      <w:start w:val="1"/>
      <w:numFmt w:val="lowerRoman"/>
      <w:lvlText w:val="%9."/>
      <w:lvlJc w:val="right"/>
      <w:pPr>
        <w:ind w:left="5978" w:hanging="180"/>
      </w:pPr>
    </w:lvl>
  </w:abstractNum>
  <w:abstractNum w:abstractNumId="64" w15:restartNumberingAfterBreak="0">
    <w:nsid w:val="36602F72"/>
    <w:multiLevelType w:val="hybridMultilevel"/>
    <w:tmpl w:val="EC7CFC7E"/>
    <w:lvl w:ilvl="0" w:tplc="0C090019">
      <w:start w:val="1"/>
      <w:numFmt w:val="lowerLetter"/>
      <w:lvlText w:val="%1."/>
      <w:lvlJc w:val="left"/>
      <w:pPr>
        <w:ind w:left="731" w:hanging="360"/>
      </w:pPr>
    </w:lvl>
    <w:lvl w:ilvl="1" w:tplc="0C090019">
      <w:start w:val="1"/>
      <w:numFmt w:val="lowerLetter"/>
      <w:lvlText w:val="%2."/>
      <w:lvlJc w:val="left"/>
      <w:pPr>
        <w:ind w:left="1451" w:hanging="360"/>
      </w:pPr>
    </w:lvl>
    <w:lvl w:ilvl="2" w:tplc="0C09001B">
      <w:start w:val="1"/>
      <w:numFmt w:val="lowerRoman"/>
      <w:lvlText w:val="%3."/>
      <w:lvlJc w:val="right"/>
      <w:pPr>
        <w:ind w:left="2171" w:hanging="180"/>
      </w:pPr>
    </w:lvl>
    <w:lvl w:ilvl="3" w:tplc="0C09000F">
      <w:start w:val="1"/>
      <w:numFmt w:val="decimal"/>
      <w:lvlText w:val="%4."/>
      <w:lvlJc w:val="left"/>
      <w:pPr>
        <w:ind w:left="2891" w:hanging="360"/>
      </w:pPr>
    </w:lvl>
    <w:lvl w:ilvl="4" w:tplc="0C090019">
      <w:start w:val="1"/>
      <w:numFmt w:val="lowerLetter"/>
      <w:lvlText w:val="%5."/>
      <w:lvlJc w:val="left"/>
      <w:pPr>
        <w:ind w:left="3611" w:hanging="360"/>
      </w:pPr>
    </w:lvl>
    <w:lvl w:ilvl="5" w:tplc="0C09001B">
      <w:start w:val="1"/>
      <w:numFmt w:val="lowerRoman"/>
      <w:lvlText w:val="%6."/>
      <w:lvlJc w:val="right"/>
      <w:pPr>
        <w:ind w:left="4331" w:hanging="180"/>
      </w:pPr>
    </w:lvl>
    <w:lvl w:ilvl="6" w:tplc="0C09000F">
      <w:start w:val="1"/>
      <w:numFmt w:val="decimal"/>
      <w:lvlText w:val="%7."/>
      <w:lvlJc w:val="left"/>
      <w:pPr>
        <w:ind w:left="5051" w:hanging="360"/>
      </w:pPr>
    </w:lvl>
    <w:lvl w:ilvl="7" w:tplc="0C090019">
      <w:start w:val="1"/>
      <w:numFmt w:val="lowerLetter"/>
      <w:lvlText w:val="%8."/>
      <w:lvlJc w:val="left"/>
      <w:pPr>
        <w:ind w:left="5771" w:hanging="360"/>
      </w:pPr>
    </w:lvl>
    <w:lvl w:ilvl="8" w:tplc="0C09001B">
      <w:start w:val="1"/>
      <w:numFmt w:val="lowerRoman"/>
      <w:lvlText w:val="%9."/>
      <w:lvlJc w:val="right"/>
      <w:pPr>
        <w:ind w:left="6491" w:hanging="180"/>
      </w:pPr>
    </w:lvl>
  </w:abstractNum>
  <w:abstractNum w:abstractNumId="65" w15:restartNumberingAfterBreak="0">
    <w:nsid w:val="3681301D"/>
    <w:multiLevelType w:val="hybridMultilevel"/>
    <w:tmpl w:val="BC8E2B10"/>
    <w:lvl w:ilvl="0" w:tplc="90BE3EBE">
      <w:start w:val="1"/>
      <w:numFmt w:val="bullet"/>
      <w:lvlText w:val=""/>
      <w:lvlJc w:val="left"/>
      <w:pPr>
        <w:tabs>
          <w:tab w:val="num" w:pos="340"/>
        </w:tabs>
        <w:ind w:left="340" w:hanging="227"/>
      </w:pPr>
      <w:rPr>
        <w:rFonts w:ascii="Symbol" w:hAnsi="Symbol" w:hint="default"/>
      </w:rPr>
    </w:lvl>
    <w:lvl w:ilvl="1" w:tplc="7DE2C00C">
      <w:start w:val="1"/>
      <w:numFmt w:val="bullet"/>
      <w:lvlText w:val="o"/>
      <w:lvlJc w:val="left"/>
      <w:pPr>
        <w:tabs>
          <w:tab w:val="num" w:pos="1440"/>
        </w:tabs>
        <w:ind w:left="1440" w:hanging="360"/>
      </w:pPr>
      <w:rPr>
        <w:rFonts w:ascii="Courier New" w:hAnsi="Courier New" w:cs="Courier New" w:hint="default"/>
      </w:rPr>
    </w:lvl>
    <w:lvl w:ilvl="2" w:tplc="0C090001"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388621EE"/>
    <w:multiLevelType w:val="hybridMultilevel"/>
    <w:tmpl w:val="2AE038BE"/>
    <w:lvl w:ilvl="0" w:tplc="5252688C">
      <w:start w:val="1"/>
      <w:numFmt w:val="lowerLetter"/>
      <w:lvlText w:val="%1."/>
      <w:lvlJc w:val="left"/>
      <w:pPr>
        <w:tabs>
          <w:tab w:val="num" w:pos="227"/>
        </w:tabs>
        <w:ind w:left="0" w:firstLine="0"/>
      </w:pPr>
      <w:rPr>
        <w:rFonts w:ascii="Arial" w:eastAsia="Times New Roman" w:hAnsi="Arial" w:cs="Arial" w:hint="default"/>
        <w:color w:val="000000"/>
        <w:sz w:val="14"/>
        <w:szCs w:val="1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3A06379E"/>
    <w:multiLevelType w:val="hybridMultilevel"/>
    <w:tmpl w:val="D0B2FBE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3A6854D0"/>
    <w:multiLevelType w:val="multilevel"/>
    <w:tmpl w:val="374A942E"/>
    <w:lvl w:ilvl="0">
      <w:start w:val="1"/>
      <w:numFmt w:val="decimal"/>
      <w:lvlText w:val="%1."/>
      <w:lvlJc w:val="left"/>
      <w:pPr>
        <w:tabs>
          <w:tab w:val="num" w:pos="720"/>
        </w:tabs>
        <w:ind w:left="720" w:hanging="360"/>
      </w:p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4096721E"/>
    <w:multiLevelType w:val="hybridMultilevel"/>
    <w:tmpl w:val="3A1817D8"/>
    <w:lvl w:ilvl="0" w:tplc="1450B876">
      <w:start w:val="1"/>
      <w:numFmt w:val="lowerLetter"/>
      <w:lvlText w:val="%1."/>
      <w:lvlJc w:val="left"/>
      <w:pPr>
        <w:ind w:left="720" w:hanging="360"/>
      </w:pPr>
      <w:rPr>
        <w:rFonts w:ascii="Arial" w:hAnsi="Arial" w:hint="default"/>
        <w:b w:val="0"/>
        <w:sz w:val="1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40E6779D"/>
    <w:multiLevelType w:val="hybridMultilevel"/>
    <w:tmpl w:val="1624DE4E"/>
    <w:lvl w:ilvl="0" w:tplc="3CD07B50">
      <w:start w:val="1"/>
      <w:numFmt w:val="lowerLetter"/>
      <w:lvlText w:val="%1."/>
      <w:lvlJc w:val="left"/>
      <w:pPr>
        <w:ind w:left="360" w:hanging="360"/>
      </w:pPr>
      <w:rPr>
        <w:rFonts w:hint="default"/>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1" w15:restartNumberingAfterBreak="0">
    <w:nsid w:val="41D24615"/>
    <w:multiLevelType w:val="hybridMultilevel"/>
    <w:tmpl w:val="9702CD6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424A4B48"/>
    <w:multiLevelType w:val="hybridMultilevel"/>
    <w:tmpl w:val="1624DE4E"/>
    <w:lvl w:ilvl="0" w:tplc="3CD07B50">
      <w:start w:val="1"/>
      <w:numFmt w:val="lowerLetter"/>
      <w:lvlText w:val="%1."/>
      <w:lvlJc w:val="left"/>
      <w:pPr>
        <w:ind w:left="360" w:hanging="360"/>
      </w:pPr>
      <w:rPr>
        <w:rFonts w:hint="default"/>
        <w:i w:val="0"/>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73" w15:restartNumberingAfterBreak="0">
    <w:nsid w:val="42FA3F15"/>
    <w:multiLevelType w:val="hybridMultilevel"/>
    <w:tmpl w:val="1624DE4E"/>
    <w:lvl w:ilvl="0" w:tplc="3CD07B50">
      <w:start w:val="1"/>
      <w:numFmt w:val="lowerLetter"/>
      <w:lvlText w:val="%1."/>
      <w:lvlJc w:val="left"/>
      <w:pPr>
        <w:ind w:left="360" w:hanging="360"/>
      </w:pPr>
      <w:rPr>
        <w:rFonts w:hint="default"/>
        <w:i w:val="0"/>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74" w15:restartNumberingAfterBreak="0">
    <w:nsid w:val="432815E9"/>
    <w:multiLevelType w:val="hybridMultilevel"/>
    <w:tmpl w:val="B4ACA6A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46572879"/>
    <w:multiLevelType w:val="hybridMultilevel"/>
    <w:tmpl w:val="1624DE4E"/>
    <w:lvl w:ilvl="0" w:tplc="3CD07B50">
      <w:start w:val="1"/>
      <w:numFmt w:val="lowerLetter"/>
      <w:lvlText w:val="%1."/>
      <w:lvlJc w:val="left"/>
      <w:pPr>
        <w:ind w:left="360" w:hanging="360"/>
      </w:pPr>
      <w:rPr>
        <w:rFonts w:hint="default"/>
        <w:i w:val="0"/>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76" w15:restartNumberingAfterBreak="0">
    <w:nsid w:val="46863CF9"/>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7" w15:restartNumberingAfterBreak="0">
    <w:nsid w:val="48AA5469"/>
    <w:multiLevelType w:val="hybridMultilevel"/>
    <w:tmpl w:val="EF16DDB8"/>
    <w:lvl w:ilvl="0" w:tplc="C3BA2FE0">
      <w:start w:val="1"/>
      <w:numFmt w:val="decimal"/>
      <w:lvlText w:val="Table %1: "/>
      <w:lvlJc w:val="left"/>
      <w:pPr>
        <w:ind w:left="1353" w:hanging="360"/>
      </w:pPr>
      <w:rPr>
        <w:rFonts w:hint="default"/>
        <w:bCs w:val="0"/>
        <w:i w:val="0"/>
        <w:iCs w:val="0"/>
        <w:caps w:val="0"/>
        <w:smallCaps w:val="0"/>
        <w:strike w:val="0"/>
        <w:dstrike w:val="0"/>
        <w:vanish w:val="0"/>
        <w:color w:val="auto"/>
        <w:spacing w:val="0"/>
        <w:kern w:val="0"/>
        <w:position w:val="0"/>
        <w:sz w:val="20"/>
        <w:u w:val="none"/>
        <w:effect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4BE66F6B"/>
    <w:multiLevelType w:val="hybridMultilevel"/>
    <w:tmpl w:val="821036BA"/>
    <w:lvl w:ilvl="0" w:tplc="F5FA3ADE">
      <w:start w:val="1"/>
      <w:numFmt w:val="lowerLetter"/>
      <w:lvlText w:val="%1."/>
      <w:lvlJc w:val="left"/>
      <w:pPr>
        <w:tabs>
          <w:tab w:val="num" w:pos="453"/>
        </w:tabs>
        <w:ind w:left="453" w:hanging="340"/>
      </w:pPr>
      <w:rPr>
        <w:rFonts w:ascii="Arial" w:eastAsia="Times New Roman" w:hAnsi="Arial" w:cs="Arial"/>
        <w:color w:val="000000"/>
        <w:sz w:val="14"/>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9" w15:restartNumberingAfterBreak="0">
    <w:nsid w:val="4DAD1F4D"/>
    <w:multiLevelType w:val="hybridMultilevel"/>
    <w:tmpl w:val="1624DE4E"/>
    <w:lvl w:ilvl="0" w:tplc="3CD07B50">
      <w:start w:val="1"/>
      <w:numFmt w:val="lowerLetter"/>
      <w:lvlText w:val="%1."/>
      <w:lvlJc w:val="left"/>
      <w:pPr>
        <w:ind w:left="363" w:hanging="360"/>
      </w:pPr>
      <w:rPr>
        <w:rFonts w:hint="default"/>
        <w:i w:val="0"/>
      </w:rPr>
    </w:lvl>
    <w:lvl w:ilvl="1" w:tplc="0C090019" w:tentative="1">
      <w:start w:val="1"/>
      <w:numFmt w:val="lowerLetter"/>
      <w:lvlText w:val="%2."/>
      <w:lvlJc w:val="left"/>
      <w:pPr>
        <w:ind w:left="1083" w:hanging="360"/>
      </w:pPr>
    </w:lvl>
    <w:lvl w:ilvl="2" w:tplc="0C09001B" w:tentative="1">
      <w:start w:val="1"/>
      <w:numFmt w:val="lowerRoman"/>
      <w:lvlText w:val="%3."/>
      <w:lvlJc w:val="right"/>
      <w:pPr>
        <w:ind w:left="1803" w:hanging="180"/>
      </w:pPr>
    </w:lvl>
    <w:lvl w:ilvl="3" w:tplc="0C09000F" w:tentative="1">
      <w:start w:val="1"/>
      <w:numFmt w:val="decimal"/>
      <w:lvlText w:val="%4."/>
      <w:lvlJc w:val="left"/>
      <w:pPr>
        <w:ind w:left="2523" w:hanging="360"/>
      </w:pPr>
    </w:lvl>
    <w:lvl w:ilvl="4" w:tplc="0C090019" w:tentative="1">
      <w:start w:val="1"/>
      <w:numFmt w:val="lowerLetter"/>
      <w:lvlText w:val="%5."/>
      <w:lvlJc w:val="left"/>
      <w:pPr>
        <w:ind w:left="3243" w:hanging="360"/>
      </w:pPr>
    </w:lvl>
    <w:lvl w:ilvl="5" w:tplc="0C09001B" w:tentative="1">
      <w:start w:val="1"/>
      <w:numFmt w:val="lowerRoman"/>
      <w:lvlText w:val="%6."/>
      <w:lvlJc w:val="right"/>
      <w:pPr>
        <w:ind w:left="3963" w:hanging="180"/>
      </w:pPr>
    </w:lvl>
    <w:lvl w:ilvl="6" w:tplc="0C09000F" w:tentative="1">
      <w:start w:val="1"/>
      <w:numFmt w:val="decimal"/>
      <w:lvlText w:val="%7."/>
      <w:lvlJc w:val="left"/>
      <w:pPr>
        <w:ind w:left="4683" w:hanging="360"/>
      </w:pPr>
    </w:lvl>
    <w:lvl w:ilvl="7" w:tplc="0C090019" w:tentative="1">
      <w:start w:val="1"/>
      <w:numFmt w:val="lowerLetter"/>
      <w:lvlText w:val="%8."/>
      <w:lvlJc w:val="left"/>
      <w:pPr>
        <w:ind w:left="5403" w:hanging="360"/>
      </w:pPr>
    </w:lvl>
    <w:lvl w:ilvl="8" w:tplc="0C09001B" w:tentative="1">
      <w:start w:val="1"/>
      <w:numFmt w:val="lowerRoman"/>
      <w:lvlText w:val="%9."/>
      <w:lvlJc w:val="right"/>
      <w:pPr>
        <w:ind w:left="6123" w:hanging="180"/>
      </w:pPr>
    </w:lvl>
  </w:abstractNum>
  <w:abstractNum w:abstractNumId="80" w15:restartNumberingAfterBreak="0">
    <w:nsid w:val="4F8905CD"/>
    <w:multiLevelType w:val="hybridMultilevel"/>
    <w:tmpl w:val="E5C07B26"/>
    <w:lvl w:ilvl="0" w:tplc="0C090019">
      <w:start w:val="5"/>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502D0C86"/>
    <w:multiLevelType w:val="hybridMultilevel"/>
    <w:tmpl w:val="5F025A7A"/>
    <w:lvl w:ilvl="0" w:tplc="0C090001">
      <w:start w:val="1"/>
      <w:numFmt w:val="bullet"/>
      <w:lvlText w:val=""/>
      <w:lvlJc w:val="left"/>
      <w:pPr>
        <w:ind w:left="720" w:hanging="360"/>
      </w:pPr>
      <w:rPr>
        <w:rFonts w:ascii="Symbol" w:hAnsi="Symbol" w:hint="default"/>
      </w:rPr>
    </w:lvl>
    <w:lvl w:ilvl="1" w:tplc="97F2A5AE">
      <w:start w:val="1"/>
      <w:numFmt w:val="bullet"/>
      <w:suff w:val="space"/>
      <w:lvlText w:val="o"/>
      <w:lvlJc w:val="left"/>
      <w:pPr>
        <w:ind w:left="1077" w:hanging="17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51277A08"/>
    <w:multiLevelType w:val="hybridMultilevel"/>
    <w:tmpl w:val="EEC0FE2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532744CA"/>
    <w:multiLevelType w:val="hybridMultilevel"/>
    <w:tmpl w:val="03E491E8"/>
    <w:lvl w:ilvl="0" w:tplc="0C090001">
      <w:start w:val="1"/>
      <w:numFmt w:val="bullet"/>
      <w:lvlText w:val=""/>
      <w:lvlJc w:val="left"/>
      <w:pPr>
        <w:ind w:left="720" w:hanging="360"/>
      </w:pPr>
      <w:rPr>
        <w:rFonts w:ascii="Symbol" w:hAnsi="Symbol" w:hint="default"/>
      </w:rPr>
    </w:lvl>
    <w:lvl w:ilvl="1" w:tplc="7CD6806E">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535C4592"/>
    <w:multiLevelType w:val="hybridMultilevel"/>
    <w:tmpl w:val="A52AF00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560B294E"/>
    <w:multiLevelType w:val="multilevel"/>
    <w:tmpl w:val="03008232"/>
    <w:lvl w:ilvl="0">
      <w:start w:val="1"/>
      <w:numFmt w:val="decimal"/>
      <w:lvlText w:val="%1"/>
      <w:lvlJc w:val="left"/>
      <w:pPr>
        <w:tabs>
          <w:tab w:val="num" w:pos="420"/>
        </w:tabs>
        <w:ind w:left="420" w:hanging="420"/>
      </w:pPr>
      <w:rPr>
        <w:rFonts w:hint="default"/>
      </w:rPr>
    </w:lvl>
    <w:lvl w:ilvl="1">
      <w:start w:val="1"/>
      <w:numFmt w:val="decimal"/>
      <w:pStyle w:val="Heading3level4"/>
      <w:lvlText w:val="%1.%2"/>
      <w:lvlJc w:val="left"/>
      <w:pPr>
        <w:tabs>
          <w:tab w:val="num" w:pos="420"/>
        </w:tabs>
        <w:ind w:left="420" w:hanging="420"/>
      </w:pPr>
      <w:rPr>
        <w:rFonts w:ascii="Arial" w:hAnsi="Arial" w:cs="Aria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6" w15:restartNumberingAfterBreak="0">
    <w:nsid w:val="578314A6"/>
    <w:multiLevelType w:val="hybridMultilevel"/>
    <w:tmpl w:val="6740785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58101827"/>
    <w:multiLevelType w:val="multilevel"/>
    <w:tmpl w:val="072C6E52"/>
    <w:lvl w:ilvl="0">
      <w:start w:val="1"/>
      <w:numFmt w:val="bullet"/>
      <w:lvlRestart w:val="0"/>
      <w:pStyle w:val="BoxBullet"/>
      <w:lvlText w:val="•"/>
      <w:lvlJc w:val="left"/>
      <w:pPr>
        <w:tabs>
          <w:tab w:val="num" w:pos="283"/>
        </w:tabs>
        <w:ind w:left="283" w:hanging="283"/>
      </w:pPr>
      <w:rPr>
        <w:rFonts w:ascii="Times New Roman" w:hAnsi="Times New Roman" w:cs="Times New Roman"/>
        <w:b w:val="0"/>
        <w:i w:val="0"/>
        <w:sz w:val="20"/>
      </w:rPr>
    </w:lvl>
    <w:lvl w:ilvl="1">
      <w:start w:val="1"/>
      <w:numFmt w:val="bullet"/>
      <w:pStyle w:val="BoxDash"/>
      <w:lvlText w:val="–"/>
      <w:lvlJc w:val="left"/>
      <w:pPr>
        <w:tabs>
          <w:tab w:val="num" w:pos="567"/>
        </w:tabs>
        <w:ind w:left="567" w:hanging="284"/>
      </w:pPr>
      <w:rPr>
        <w:b w:val="0"/>
        <w:i w:val="0"/>
      </w:rPr>
    </w:lvl>
    <w:lvl w:ilvl="2">
      <w:start w:val="1"/>
      <w:numFmt w:val="bullet"/>
      <w:pStyle w:val="Box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88" w15:restartNumberingAfterBreak="0">
    <w:nsid w:val="59AC56A7"/>
    <w:multiLevelType w:val="hybridMultilevel"/>
    <w:tmpl w:val="E592A8E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5A0D625D"/>
    <w:multiLevelType w:val="hybridMultilevel"/>
    <w:tmpl w:val="ACE2DD50"/>
    <w:lvl w:ilvl="0" w:tplc="0CB27608">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0" w15:restartNumberingAfterBreak="0">
    <w:nsid w:val="5C6F4724"/>
    <w:multiLevelType w:val="hybridMultilevel"/>
    <w:tmpl w:val="C1927B6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5CC708B8"/>
    <w:multiLevelType w:val="hybridMultilevel"/>
    <w:tmpl w:val="30162D7C"/>
    <w:lvl w:ilvl="0" w:tplc="4BD22366">
      <w:start w:val="1"/>
      <w:numFmt w:val="lowerLetter"/>
      <w:lvlText w:val="%1."/>
      <w:lvlJc w:val="left"/>
      <w:pPr>
        <w:ind w:left="720" w:hanging="360"/>
      </w:pPr>
      <w:rPr>
        <w:rFonts w:ascii="Arial" w:hAnsi="Arial" w:cs="Arial" w:hint="default"/>
        <w:sz w:val="14"/>
        <w:szCs w:val="1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5D1403AD"/>
    <w:multiLevelType w:val="hybridMultilevel"/>
    <w:tmpl w:val="B3900F84"/>
    <w:lvl w:ilvl="0" w:tplc="6E843D70">
      <w:start w:val="1"/>
      <w:numFmt w:val="decimal"/>
      <w:pStyle w:val="FigureHeading"/>
      <w:lvlText w:val="Figure %1: "/>
      <w:lvlJc w:val="left"/>
      <w:pPr>
        <w:tabs>
          <w:tab w:val="num" w:pos="280"/>
        </w:tabs>
        <w:ind w:left="640" w:hanging="360"/>
      </w:pPr>
      <w:rPr>
        <w:rFonts w:ascii="Arial Bold" w:hAnsi="Arial Bold" w:hint="default"/>
        <w:b/>
        <w:i w:val="0"/>
        <w:spacing w:val="0"/>
        <w:w w:val="100"/>
        <w:sz w:val="20"/>
      </w:rPr>
    </w:lvl>
    <w:lvl w:ilvl="1" w:tplc="0C090003" w:tentative="1">
      <w:start w:val="1"/>
      <w:numFmt w:val="lowerLetter"/>
      <w:lvlText w:val="%2."/>
      <w:lvlJc w:val="left"/>
      <w:pPr>
        <w:tabs>
          <w:tab w:val="num" w:pos="1436"/>
        </w:tabs>
        <w:ind w:left="1436" w:hanging="360"/>
      </w:pPr>
    </w:lvl>
    <w:lvl w:ilvl="2" w:tplc="0C090005" w:tentative="1">
      <w:start w:val="1"/>
      <w:numFmt w:val="lowerRoman"/>
      <w:lvlText w:val="%3."/>
      <w:lvlJc w:val="right"/>
      <w:pPr>
        <w:tabs>
          <w:tab w:val="num" w:pos="2156"/>
        </w:tabs>
        <w:ind w:left="2156" w:hanging="180"/>
      </w:pPr>
    </w:lvl>
    <w:lvl w:ilvl="3" w:tplc="0C090001" w:tentative="1">
      <w:start w:val="1"/>
      <w:numFmt w:val="decimal"/>
      <w:lvlText w:val="%4."/>
      <w:lvlJc w:val="left"/>
      <w:pPr>
        <w:tabs>
          <w:tab w:val="num" w:pos="2876"/>
        </w:tabs>
        <w:ind w:left="2876" w:hanging="360"/>
      </w:pPr>
    </w:lvl>
    <w:lvl w:ilvl="4" w:tplc="0C090003" w:tentative="1">
      <w:start w:val="1"/>
      <w:numFmt w:val="lowerLetter"/>
      <w:lvlText w:val="%5."/>
      <w:lvlJc w:val="left"/>
      <w:pPr>
        <w:tabs>
          <w:tab w:val="num" w:pos="3596"/>
        </w:tabs>
        <w:ind w:left="3596" w:hanging="360"/>
      </w:pPr>
    </w:lvl>
    <w:lvl w:ilvl="5" w:tplc="0C090005" w:tentative="1">
      <w:start w:val="1"/>
      <w:numFmt w:val="lowerRoman"/>
      <w:lvlText w:val="%6."/>
      <w:lvlJc w:val="right"/>
      <w:pPr>
        <w:tabs>
          <w:tab w:val="num" w:pos="4316"/>
        </w:tabs>
        <w:ind w:left="4316" w:hanging="180"/>
      </w:pPr>
    </w:lvl>
    <w:lvl w:ilvl="6" w:tplc="0C090001" w:tentative="1">
      <w:start w:val="1"/>
      <w:numFmt w:val="decimal"/>
      <w:lvlText w:val="%7."/>
      <w:lvlJc w:val="left"/>
      <w:pPr>
        <w:tabs>
          <w:tab w:val="num" w:pos="5036"/>
        </w:tabs>
        <w:ind w:left="5036" w:hanging="360"/>
      </w:pPr>
    </w:lvl>
    <w:lvl w:ilvl="7" w:tplc="0C090003" w:tentative="1">
      <w:start w:val="1"/>
      <w:numFmt w:val="lowerLetter"/>
      <w:lvlText w:val="%8."/>
      <w:lvlJc w:val="left"/>
      <w:pPr>
        <w:tabs>
          <w:tab w:val="num" w:pos="5756"/>
        </w:tabs>
        <w:ind w:left="5756" w:hanging="360"/>
      </w:pPr>
    </w:lvl>
    <w:lvl w:ilvl="8" w:tplc="0C090005" w:tentative="1">
      <w:start w:val="1"/>
      <w:numFmt w:val="lowerRoman"/>
      <w:lvlText w:val="%9."/>
      <w:lvlJc w:val="right"/>
      <w:pPr>
        <w:tabs>
          <w:tab w:val="num" w:pos="6476"/>
        </w:tabs>
        <w:ind w:left="6476" w:hanging="180"/>
      </w:pPr>
    </w:lvl>
  </w:abstractNum>
  <w:abstractNum w:abstractNumId="93" w15:restartNumberingAfterBreak="0">
    <w:nsid w:val="5D6244EB"/>
    <w:multiLevelType w:val="hybridMultilevel"/>
    <w:tmpl w:val="39DC033A"/>
    <w:lvl w:ilvl="0" w:tplc="378C4A38">
      <w:start w:val="1"/>
      <w:numFmt w:val="lowerLetter"/>
      <w:lvlText w:val="%1."/>
      <w:lvlJc w:val="left"/>
      <w:pPr>
        <w:ind w:left="720" w:hanging="360"/>
      </w:pPr>
      <w:rPr>
        <w:rFonts w:ascii="Arial" w:hAnsi="Arial" w:hint="default"/>
        <w:b w:val="0"/>
        <w:sz w:val="1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5D7757F8"/>
    <w:multiLevelType w:val="hybridMultilevel"/>
    <w:tmpl w:val="3552FD16"/>
    <w:lvl w:ilvl="0" w:tplc="9E827DA8">
      <w:start w:val="1"/>
      <w:numFmt w:val="bullet"/>
      <w:pStyle w:val="BulletDiamond"/>
      <w:lvlText w:val=""/>
      <w:lvlJc w:val="left"/>
      <w:pPr>
        <w:tabs>
          <w:tab w:val="num" w:pos="396"/>
        </w:tabs>
        <w:ind w:left="396" w:firstLine="114"/>
      </w:pPr>
      <w:rPr>
        <w:rFonts w:ascii="Symbol" w:hAnsi="Symbol" w:hint="default"/>
      </w:rPr>
    </w:lvl>
    <w:lvl w:ilvl="1" w:tplc="059A534E" w:tentative="1">
      <w:start w:val="1"/>
      <w:numFmt w:val="bullet"/>
      <w:lvlText w:val="o"/>
      <w:lvlJc w:val="left"/>
      <w:pPr>
        <w:tabs>
          <w:tab w:val="num" w:pos="1440"/>
        </w:tabs>
        <w:ind w:left="1440" w:hanging="360"/>
      </w:pPr>
      <w:rPr>
        <w:rFonts w:ascii="Courier New" w:hAnsi="Courier New" w:cs="Courier New" w:hint="default"/>
      </w:rPr>
    </w:lvl>
    <w:lvl w:ilvl="2" w:tplc="5E0A3486" w:tentative="1">
      <w:start w:val="1"/>
      <w:numFmt w:val="bullet"/>
      <w:lvlText w:val=""/>
      <w:lvlJc w:val="left"/>
      <w:pPr>
        <w:tabs>
          <w:tab w:val="num" w:pos="2160"/>
        </w:tabs>
        <w:ind w:left="2160" w:hanging="360"/>
      </w:pPr>
      <w:rPr>
        <w:rFonts w:ascii="Wingdings" w:hAnsi="Wingdings" w:hint="default"/>
      </w:rPr>
    </w:lvl>
    <w:lvl w:ilvl="3" w:tplc="541E5C60" w:tentative="1">
      <w:start w:val="1"/>
      <w:numFmt w:val="bullet"/>
      <w:lvlText w:val=""/>
      <w:lvlJc w:val="left"/>
      <w:pPr>
        <w:tabs>
          <w:tab w:val="num" w:pos="2880"/>
        </w:tabs>
        <w:ind w:left="2880" w:hanging="360"/>
      </w:pPr>
      <w:rPr>
        <w:rFonts w:ascii="Symbol" w:hAnsi="Symbol" w:hint="default"/>
      </w:rPr>
    </w:lvl>
    <w:lvl w:ilvl="4" w:tplc="5468947A" w:tentative="1">
      <w:start w:val="1"/>
      <w:numFmt w:val="bullet"/>
      <w:lvlText w:val="o"/>
      <w:lvlJc w:val="left"/>
      <w:pPr>
        <w:tabs>
          <w:tab w:val="num" w:pos="3600"/>
        </w:tabs>
        <w:ind w:left="3600" w:hanging="360"/>
      </w:pPr>
      <w:rPr>
        <w:rFonts w:ascii="Courier New" w:hAnsi="Courier New" w:cs="Courier New" w:hint="default"/>
      </w:rPr>
    </w:lvl>
    <w:lvl w:ilvl="5" w:tplc="ABEE55E8" w:tentative="1">
      <w:start w:val="1"/>
      <w:numFmt w:val="bullet"/>
      <w:lvlText w:val=""/>
      <w:lvlJc w:val="left"/>
      <w:pPr>
        <w:tabs>
          <w:tab w:val="num" w:pos="4320"/>
        </w:tabs>
        <w:ind w:left="4320" w:hanging="360"/>
      </w:pPr>
      <w:rPr>
        <w:rFonts w:ascii="Wingdings" w:hAnsi="Wingdings" w:hint="default"/>
      </w:rPr>
    </w:lvl>
    <w:lvl w:ilvl="6" w:tplc="F684B65C" w:tentative="1">
      <w:start w:val="1"/>
      <w:numFmt w:val="bullet"/>
      <w:lvlText w:val=""/>
      <w:lvlJc w:val="left"/>
      <w:pPr>
        <w:tabs>
          <w:tab w:val="num" w:pos="5040"/>
        </w:tabs>
        <w:ind w:left="5040" w:hanging="360"/>
      </w:pPr>
      <w:rPr>
        <w:rFonts w:ascii="Symbol" w:hAnsi="Symbol" w:hint="default"/>
      </w:rPr>
    </w:lvl>
    <w:lvl w:ilvl="7" w:tplc="798C9078" w:tentative="1">
      <w:start w:val="1"/>
      <w:numFmt w:val="bullet"/>
      <w:lvlText w:val="o"/>
      <w:lvlJc w:val="left"/>
      <w:pPr>
        <w:tabs>
          <w:tab w:val="num" w:pos="5760"/>
        </w:tabs>
        <w:ind w:left="5760" w:hanging="360"/>
      </w:pPr>
      <w:rPr>
        <w:rFonts w:ascii="Courier New" w:hAnsi="Courier New" w:cs="Courier New" w:hint="default"/>
      </w:rPr>
    </w:lvl>
    <w:lvl w:ilvl="8" w:tplc="DF22A90A"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5DE44D80"/>
    <w:multiLevelType w:val="hybridMultilevel"/>
    <w:tmpl w:val="D5EC7A3A"/>
    <w:lvl w:ilvl="0" w:tplc="3CD07B50">
      <w:start w:val="1"/>
      <w:numFmt w:val="lowerLetter"/>
      <w:lvlText w:val="%1."/>
      <w:lvlJc w:val="left"/>
      <w:pPr>
        <w:ind w:left="36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5E6D543A"/>
    <w:multiLevelType w:val="hybridMultilevel"/>
    <w:tmpl w:val="FC30631A"/>
    <w:lvl w:ilvl="0" w:tplc="0C090001">
      <w:start w:val="1"/>
      <w:numFmt w:val="bullet"/>
      <w:lvlText w:val=""/>
      <w:lvlJc w:val="left"/>
      <w:pPr>
        <w:ind w:left="0" w:firstLine="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97" w15:restartNumberingAfterBreak="0">
    <w:nsid w:val="5FD36B53"/>
    <w:multiLevelType w:val="hybridMultilevel"/>
    <w:tmpl w:val="F704FEF6"/>
    <w:lvl w:ilvl="0" w:tplc="D43CA65A">
      <w:start w:val="1"/>
      <w:numFmt w:val="lowerLetter"/>
      <w:pStyle w:val="aNotesalpha"/>
      <w:lvlText w:val="%1."/>
      <w:lvlJc w:val="left"/>
      <w:pPr>
        <w:tabs>
          <w:tab w:val="num" w:pos="453"/>
        </w:tabs>
        <w:ind w:left="453" w:hanging="340"/>
      </w:pPr>
      <w:rPr>
        <w:rFonts w:ascii="Book Antiqua" w:hAnsi="Book Antiqua" w:hint="default"/>
        <w:color w:val="000000"/>
        <w:sz w:val="16"/>
      </w:rPr>
    </w:lvl>
    <w:lvl w:ilvl="1" w:tplc="ADDAFCE0">
      <w:start w:val="1"/>
      <w:numFmt w:val="decimal"/>
      <w:lvlText w:val="%2."/>
      <w:lvlJc w:val="left"/>
      <w:pPr>
        <w:tabs>
          <w:tab w:val="num" w:pos="1440"/>
        </w:tabs>
        <w:ind w:left="1440" w:hanging="360"/>
      </w:pPr>
      <w:rPr>
        <w:rFonts w:hint="default"/>
      </w:rPr>
    </w:lvl>
    <w:lvl w:ilvl="2" w:tplc="0C090005">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98" w15:restartNumberingAfterBreak="0">
    <w:nsid w:val="60061E63"/>
    <w:multiLevelType w:val="hybridMultilevel"/>
    <w:tmpl w:val="1624DE4E"/>
    <w:lvl w:ilvl="0" w:tplc="3CD07B50">
      <w:start w:val="1"/>
      <w:numFmt w:val="lowerLetter"/>
      <w:lvlText w:val="%1."/>
      <w:lvlJc w:val="left"/>
      <w:pPr>
        <w:ind w:left="360" w:hanging="360"/>
      </w:pPr>
      <w:rPr>
        <w:rFonts w:hint="default"/>
        <w:i w:val="0"/>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99" w15:restartNumberingAfterBreak="0">
    <w:nsid w:val="607F26C7"/>
    <w:multiLevelType w:val="hybridMultilevel"/>
    <w:tmpl w:val="F35EEEE6"/>
    <w:lvl w:ilvl="0" w:tplc="0C090019">
      <w:start w:val="1"/>
      <w:numFmt w:val="low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00" w15:restartNumberingAfterBreak="0">
    <w:nsid w:val="609B5846"/>
    <w:multiLevelType w:val="hybridMultilevel"/>
    <w:tmpl w:val="ADF6411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15:restartNumberingAfterBreak="0">
    <w:nsid w:val="627455CE"/>
    <w:multiLevelType w:val="hybridMultilevel"/>
    <w:tmpl w:val="EF16DDB8"/>
    <w:lvl w:ilvl="0" w:tplc="C3BA2FE0">
      <w:start w:val="1"/>
      <w:numFmt w:val="decimal"/>
      <w:lvlText w:val="Table %1: "/>
      <w:lvlJc w:val="left"/>
      <w:pPr>
        <w:ind w:left="1353" w:hanging="360"/>
      </w:pPr>
      <w:rPr>
        <w:rFonts w:hint="default"/>
        <w:bCs w:val="0"/>
        <w:i w:val="0"/>
        <w:iCs w:val="0"/>
        <w:caps w:val="0"/>
        <w:smallCaps w:val="0"/>
        <w:strike w:val="0"/>
        <w:dstrike w:val="0"/>
        <w:vanish w:val="0"/>
        <w:color w:val="auto"/>
        <w:spacing w:val="0"/>
        <w:kern w:val="0"/>
        <w:position w:val="0"/>
        <w:sz w:val="20"/>
        <w:u w:val="none"/>
        <w:effect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2" w15:restartNumberingAfterBreak="0">
    <w:nsid w:val="62897B4D"/>
    <w:multiLevelType w:val="hybridMultilevel"/>
    <w:tmpl w:val="61928C6A"/>
    <w:lvl w:ilvl="0" w:tplc="242E3E0A">
      <w:start w:val="1"/>
      <w:numFmt w:val="lowerLetter"/>
      <w:lvlText w:val="%1."/>
      <w:lvlJc w:val="left"/>
      <w:pPr>
        <w:ind w:left="720" w:hanging="360"/>
      </w:pPr>
      <w:rPr>
        <w:rFonts w:ascii="Arial" w:hAnsi="Arial" w:cs="Arial" w:hint="default"/>
        <w:color w:val="000000" w:themeColor="text1"/>
        <w:sz w:val="14"/>
        <w:szCs w:val="1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3" w15:restartNumberingAfterBreak="0">
    <w:nsid w:val="62C3247B"/>
    <w:multiLevelType w:val="hybridMultilevel"/>
    <w:tmpl w:val="1624DE4E"/>
    <w:lvl w:ilvl="0" w:tplc="3CD07B50">
      <w:start w:val="1"/>
      <w:numFmt w:val="lowerLetter"/>
      <w:lvlText w:val="%1."/>
      <w:lvlJc w:val="left"/>
      <w:pPr>
        <w:ind w:left="360" w:hanging="360"/>
      </w:pPr>
      <w:rPr>
        <w:rFonts w:hint="default"/>
        <w:i w:val="0"/>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104" w15:restartNumberingAfterBreak="0">
    <w:nsid w:val="63A74439"/>
    <w:multiLevelType w:val="hybridMultilevel"/>
    <w:tmpl w:val="1624DE4E"/>
    <w:lvl w:ilvl="0" w:tplc="3CD07B50">
      <w:start w:val="1"/>
      <w:numFmt w:val="lowerLetter"/>
      <w:lvlText w:val="%1."/>
      <w:lvlJc w:val="left"/>
      <w:pPr>
        <w:ind w:left="360" w:hanging="360"/>
      </w:pPr>
      <w:rPr>
        <w:rFonts w:hint="default"/>
        <w:i w:val="0"/>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105" w15:restartNumberingAfterBreak="0">
    <w:nsid w:val="6440347F"/>
    <w:multiLevelType w:val="hybridMultilevel"/>
    <w:tmpl w:val="7D74655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647225ED"/>
    <w:multiLevelType w:val="hybridMultilevel"/>
    <w:tmpl w:val="FF063B8E"/>
    <w:lvl w:ilvl="0" w:tplc="973E99C2">
      <w:start w:val="1"/>
      <w:numFmt w:val="lowerLetter"/>
      <w:lvlText w:val="%1."/>
      <w:lvlJc w:val="left"/>
      <w:pPr>
        <w:ind w:left="360" w:hanging="360"/>
      </w:pPr>
      <w:rPr>
        <w:rFonts w:hint="default"/>
        <w:i w:val="0"/>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7" w15:restartNumberingAfterBreak="0">
    <w:nsid w:val="650B2EF0"/>
    <w:multiLevelType w:val="hybridMultilevel"/>
    <w:tmpl w:val="835CECF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8" w15:restartNumberingAfterBreak="0">
    <w:nsid w:val="68D44DE0"/>
    <w:multiLevelType w:val="hybridMultilevel"/>
    <w:tmpl w:val="DE2CE8B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69483043"/>
    <w:multiLevelType w:val="hybridMultilevel"/>
    <w:tmpl w:val="1624DE4E"/>
    <w:lvl w:ilvl="0" w:tplc="3CD07B50">
      <w:start w:val="1"/>
      <w:numFmt w:val="lowerLetter"/>
      <w:lvlText w:val="%1."/>
      <w:lvlJc w:val="left"/>
      <w:pPr>
        <w:ind w:left="502" w:hanging="360"/>
      </w:pPr>
      <w:rPr>
        <w:rFonts w:hint="default"/>
        <w:i w:val="0"/>
      </w:rPr>
    </w:lvl>
    <w:lvl w:ilvl="1" w:tplc="0C090019" w:tentative="1">
      <w:start w:val="1"/>
      <w:numFmt w:val="lowerLetter"/>
      <w:lvlText w:val="%2."/>
      <w:lvlJc w:val="left"/>
      <w:pPr>
        <w:ind w:left="2496" w:hanging="360"/>
      </w:pPr>
    </w:lvl>
    <w:lvl w:ilvl="2" w:tplc="0C09001B" w:tentative="1">
      <w:start w:val="1"/>
      <w:numFmt w:val="lowerRoman"/>
      <w:lvlText w:val="%3."/>
      <w:lvlJc w:val="right"/>
      <w:pPr>
        <w:ind w:left="3216" w:hanging="180"/>
      </w:pPr>
    </w:lvl>
    <w:lvl w:ilvl="3" w:tplc="0C09000F" w:tentative="1">
      <w:start w:val="1"/>
      <w:numFmt w:val="decimal"/>
      <w:lvlText w:val="%4."/>
      <w:lvlJc w:val="left"/>
      <w:pPr>
        <w:ind w:left="3936" w:hanging="360"/>
      </w:pPr>
    </w:lvl>
    <w:lvl w:ilvl="4" w:tplc="0C090019" w:tentative="1">
      <w:start w:val="1"/>
      <w:numFmt w:val="lowerLetter"/>
      <w:lvlText w:val="%5."/>
      <w:lvlJc w:val="left"/>
      <w:pPr>
        <w:ind w:left="4656" w:hanging="360"/>
      </w:pPr>
    </w:lvl>
    <w:lvl w:ilvl="5" w:tplc="0C09001B" w:tentative="1">
      <w:start w:val="1"/>
      <w:numFmt w:val="lowerRoman"/>
      <w:lvlText w:val="%6."/>
      <w:lvlJc w:val="right"/>
      <w:pPr>
        <w:ind w:left="5376" w:hanging="180"/>
      </w:pPr>
    </w:lvl>
    <w:lvl w:ilvl="6" w:tplc="0C09000F" w:tentative="1">
      <w:start w:val="1"/>
      <w:numFmt w:val="decimal"/>
      <w:lvlText w:val="%7."/>
      <w:lvlJc w:val="left"/>
      <w:pPr>
        <w:ind w:left="6096" w:hanging="360"/>
      </w:pPr>
    </w:lvl>
    <w:lvl w:ilvl="7" w:tplc="0C090019" w:tentative="1">
      <w:start w:val="1"/>
      <w:numFmt w:val="lowerLetter"/>
      <w:lvlText w:val="%8."/>
      <w:lvlJc w:val="left"/>
      <w:pPr>
        <w:ind w:left="6816" w:hanging="360"/>
      </w:pPr>
    </w:lvl>
    <w:lvl w:ilvl="8" w:tplc="0C09001B" w:tentative="1">
      <w:start w:val="1"/>
      <w:numFmt w:val="lowerRoman"/>
      <w:lvlText w:val="%9."/>
      <w:lvlJc w:val="right"/>
      <w:pPr>
        <w:ind w:left="7536" w:hanging="180"/>
      </w:pPr>
    </w:lvl>
  </w:abstractNum>
  <w:abstractNum w:abstractNumId="110" w15:restartNumberingAfterBreak="0">
    <w:nsid w:val="69646747"/>
    <w:multiLevelType w:val="hybridMultilevel"/>
    <w:tmpl w:val="511292F0"/>
    <w:lvl w:ilvl="0" w:tplc="973E99C2">
      <w:start w:val="1"/>
      <w:numFmt w:val="lowerLetter"/>
      <w:lvlText w:val="%1."/>
      <w:lvlJc w:val="left"/>
      <w:pPr>
        <w:ind w:left="360" w:hanging="360"/>
      </w:pPr>
      <w:rPr>
        <w:rFonts w:hint="default"/>
        <w:i w:val="0"/>
      </w:rPr>
    </w:lvl>
    <w:lvl w:ilvl="1" w:tplc="0C090019" w:tentative="1">
      <w:start w:val="1"/>
      <w:numFmt w:val="lowerLetter"/>
      <w:lvlText w:val="%2."/>
      <w:lvlJc w:val="left"/>
      <w:pPr>
        <w:ind w:left="1220" w:hanging="360"/>
      </w:pPr>
    </w:lvl>
    <w:lvl w:ilvl="2" w:tplc="0C09001B" w:tentative="1">
      <w:start w:val="1"/>
      <w:numFmt w:val="lowerRoman"/>
      <w:lvlText w:val="%3."/>
      <w:lvlJc w:val="right"/>
      <w:pPr>
        <w:ind w:left="1940" w:hanging="180"/>
      </w:pPr>
    </w:lvl>
    <w:lvl w:ilvl="3" w:tplc="0C09000F" w:tentative="1">
      <w:start w:val="1"/>
      <w:numFmt w:val="decimal"/>
      <w:lvlText w:val="%4."/>
      <w:lvlJc w:val="left"/>
      <w:pPr>
        <w:ind w:left="2660" w:hanging="360"/>
      </w:pPr>
    </w:lvl>
    <w:lvl w:ilvl="4" w:tplc="0C090019" w:tentative="1">
      <w:start w:val="1"/>
      <w:numFmt w:val="lowerLetter"/>
      <w:lvlText w:val="%5."/>
      <w:lvlJc w:val="left"/>
      <w:pPr>
        <w:ind w:left="3380" w:hanging="360"/>
      </w:pPr>
    </w:lvl>
    <w:lvl w:ilvl="5" w:tplc="0C09001B" w:tentative="1">
      <w:start w:val="1"/>
      <w:numFmt w:val="lowerRoman"/>
      <w:lvlText w:val="%6."/>
      <w:lvlJc w:val="right"/>
      <w:pPr>
        <w:ind w:left="4100" w:hanging="180"/>
      </w:pPr>
    </w:lvl>
    <w:lvl w:ilvl="6" w:tplc="0C09000F" w:tentative="1">
      <w:start w:val="1"/>
      <w:numFmt w:val="decimal"/>
      <w:lvlText w:val="%7."/>
      <w:lvlJc w:val="left"/>
      <w:pPr>
        <w:ind w:left="4820" w:hanging="360"/>
      </w:pPr>
    </w:lvl>
    <w:lvl w:ilvl="7" w:tplc="0C090019" w:tentative="1">
      <w:start w:val="1"/>
      <w:numFmt w:val="lowerLetter"/>
      <w:lvlText w:val="%8."/>
      <w:lvlJc w:val="left"/>
      <w:pPr>
        <w:ind w:left="5540" w:hanging="360"/>
      </w:pPr>
    </w:lvl>
    <w:lvl w:ilvl="8" w:tplc="0C09001B" w:tentative="1">
      <w:start w:val="1"/>
      <w:numFmt w:val="lowerRoman"/>
      <w:lvlText w:val="%9."/>
      <w:lvlJc w:val="right"/>
      <w:pPr>
        <w:ind w:left="6260" w:hanging="180"/>
      </w:pPr>
    </w:lvl>
  </w:abstractNum>
  <w:abstractNum w:abstractNumId="111" w15:restartNumberingAfterBreak="0">
    <w:nsid w:val="6E404BA7"/>
    <w:multiLevelType w:val="hybridMultilevel"/>
    <w:tmpl w:val="05B695B4"/>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12" w15:restartNumberingAfterBreak="0">
    <w:nsid w:val="6EAB6801"/>
    <w:multiLevelType w:val="hybridMultilevel"/>
    <w:tmpl w:val="5E3A299C"/>
    <w:lvl w:ilvl="0" w:tplc="0C090019">
      <w:start w:val="1"/>
      <w:numFmt w:val="lowerLetter"/>
      <w:lvlText w:val="%1."/>
      <w:lvlJc w:val="left"/>
      <w:pPr>
        <w:ind w:left="1445" w:hanging="360"/>
      </w:pPr>
    </w:lvl>
    <w:lvl w:ilvl="1" w:tplc="0C090019" w:tentative="1">
      <w:start w:val="1"/>
      <w:numFmt w:val="lowerLetter"/>
      <w:lvlText w:val="%2."/>
      <w:lvlJc w:val="left"/>
      <w:pPr>
        <w:ind w:left="2165" w:hanging="360"/>
      </w:pPr>
    </w:lvl>
    <w:lvl w:ilvl="2" w:tplc="0C09001B" w:tentative="1">
      <w:start w:val="1"/>
      <w:numFmt w:val="lowerRoman"/>
      <w:lvlText w:val="%3."/>
      <w:lvlJc w:val="right"/>
      <w:pPr>
        <w:ind w:left="2885" w:hanging="180"/>
      </w:pPr>
    </w:lvl>
    <w:lvl w:ilvl="3" w:tplc="0C09000F" w:tentative="1">
      <w:start w:val="1"/>
      <w:numFmt w:val="decimal"/>
      <w:lvlText w:val="%4."/>
      <w:lvlJc w:val="left"/>
      <w:pPr>
        <w:ind w:left="3605" w:hanging="360"/>
      </w:pPr>
    </w:lvl>
    <w:lvl w:ilvl="4" w:tplc="0C090019" w:tentative="1">
      <w:start w:val="1"/>
      <w:numFmt w:val="lowerLetter"/>
      <w:lvlText w:val="%5."/>
      <w:lvlJc w:val="left"/>
      <w:pPr>
        <w:ind w:left="4325" w:hanging="360"/>
      </w:pPr>
    </w:lvl>
    <w:lvl w:ilvl="5" w:tplc="0C09001B" w:tentative="1">
      <w:start w:val="1"/>
      <w:numFmt w:val="lowerRoman"/>
      <w:lvlText w:val="%6."/>
      <w:lvlJc w:val="right"/>
      <w:pPr>
        <w:ind w:left="5045" w:hanging="180"/>
      </w:pPr>
    </w:lvl>
    <w:lvl w:ilvl="6" w:tplc="0C09000F" w:tentative="1">
      <w:start w:val="1"/>
      <w:numFmt w:val="decimal"/>
      <w:lvlText w:val="%7."/>
      <w:lvlJc w:val="left"/>
      <w:pPr>
        <w:ind w:left="5765" w:hanging="360"/>
      </w:pPr>
    </w:lvl>
    <w:lvl w:ilvl="7" w:tplc="0C090019" w:tentative="1">
      <w:start w:val="1"/>
      <w:numFmt w:val="lowerLetter"/>
      <w:lvlText w:val="%8."/>
      <w:lvlJc w:val="left"/>
      <w:pPr>
        <w:ind w:left="6485" w:hanging="360"/>
      </w:pPr>
    </w:lvl>
    <w:lvl w:ilvl="8" w:tplc="0C09001B" w:tentative="1">
      <w:start w:val="1"/>
      <w:numFmt w:val="lowerRoman"/>
      <w:lvlText w:val="%9."/>
      <w:lvlJc w:val="right"/>
      <w:pPr>
        <w:ind w:left="7205" w:hanging="180"/>
      </w:pPr>
    </w:lvl>
  </w:abstractNum>
  <w:abstractNum w:abstractNumId="113" w15:restartNumberingAfterBreak="0">
    <w:nsid w:val="6FEB5B60"/>
    <w:multiLevelType w:val="hybridMultilevel"/>
    <w:tmpl w:val="6C48633E"/>
    <w:lvl w:ilvl="0" w:tplc="973E99C2">
      <w:start w:val="1"/>
      <w:numFmt w:val="lowerLetter"/>
      <w:lvlText w:val="%1."/>
      <w:lvlJc w:val="left"/>
      <w:pPr>
        <w:ind w:left="360" w:hanging="360"/>
      </w:pPr>
      <w:rPr>
        <w:rFonts w:hint="default"/>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4" w15:restartNumberingAfterBreak="0">
    <w:nsid w:val="71A7570B"/>
    <w:multiLevelType w:val="hybridMultilevel"/>
    <w:tmpl w:val="ADFC07E0"/>
    <w:lvl w:ilvl="0" w:tplc="768096B4">
      <w:start w:val="1"/>
      <w:numFmt w:val="lowerLetter"/>
      <w:lvlText w:val="%1."/>
      <w:lvlJc w:val="left"/>
      <w:pPr>
        <w:ind w:left="716" w:hanging="360"/>
      </w:pPr>
      <w:rPr>
        <w:rFonts w:ascii="Arial" w:eastAsia="Times New Roman" w:hAnsi="Arial" w:cs="Arial"/>
      </w:rPr>
    </w:lvl>
    <w:lvl w:ilvl="1" w:tplc="0C090019">
      <w:start w:val="1"/>
      <w:numFmt w:val="lowerLetter"/>
      <w:lvlText w:val="%2."/>
      <w:lvlJc w:val="left"/>
      <w:pPr>
        <w:ind w:left="360" w:hanging="360"/>
      </w:pPr>
    </w:lvl>
    <w:lvl w:ilvl="2" w:tplc="0C09001B" w:tentative="1">
      <w:start w:val="1"/>
      <w:numFmt w:val="lowerRoman"/>
      <w:lvlText w:val="%3."/>
      <w:lvlJc w:val="right"/>
      <w:pPr>
        <w:ind w:left="2156" w:hanging="180"/>
      </w:pPr>
    </w:lvl>
    <w:lvl w:ilvl="3" w:tplc="0C09000F" w:tentative="1">
      <w:start w:val="1"/>
      <w:numFmt w:val="decimal"/>
      <w:lvlText w:val="%4."/>
      <w:lvlJc w:val="left"/>
      <w:pPr>
        <w:ind w:left="2876" w:hanging="360"/>
      </w:pPr>
    </w:lvl>
    <w:lvl w:ilvl="4" w:tplc="0C090019" w:tentative="1">
      <w:start w:val="1"/>
      <w:numFmt w:val="lowerLetter"/>
      <w:lvlText w:val="%5."/>
      <w:lvlJc w:val="left"/>
      <w:pPr>
        <w:ind w:left="3596" w:hanging="360"/>
      </w:pPr>
    </w:lvl>
    <w:lvl w:ilvl="5" w:tplc="0C09001B" w:tentative="1">
      <w:start w:val="1"/>
      <w:numFmt w:val="lowerRoman"/>
      <w:lvlText w:val="%6."/>
      <w:lvlJc w:val="right"/>
      <w:pPr>
        <w:ind w:left="4316" w:hanging="180"/>
      </w:pPr>
    </w:lvl>
    <w:lvl w:ilvl="6" w:tplc="0C09000F" w:tentative="1">
      <w:start w:val="1"/>
      <w:numFmt w:val="decimal"/>
      <w:lvlText w:val="%7."/>
      <w:lvlJc w:val="left"/>
      <w:pPr>
        <w:ind w:left="5036" w:hanging="360"/>
      </w:pPr>
    </w:lvl>
    <w:lvl w:ilvl="7" w:tplc="0C090019" w:tentative="1">
      <w:start w:val="1"/>
      <w:numFmt w:val="lowerLetter"/>
      <w:lvlText w:val="%8."/>
      <w:lvlJc w:val="left"/>
      <w:pPr>
        <w:ind w:left="5756" w:hanging="360"/>
      </w:pPr>
    </w:lvl>
    <w:lvl w:ilvl="8" w:tplc="0C09001B" w:tentative="1">
      <w:start w:val="1"/>
      <w:numFmt w:val="lowerRoman"/>
      <w:lvlText w:val="%9."/>
      <w:lvlJc w:val="right"/>
      <w:pPr>
        <w:ind w:left="6476" w:hanging="180"/>
      </w:pPr>
    </w:lvl>
  </w:abstractNum>
  <w:abstractNum w:abstractNumId="115" w15:restartNumberingAfterBreak="0">
    <w:nsid w:val="732C3117"/>
    <w:multiLevelType w:val="hybridMultilevel"/>
    <w:tmpl w:val="68702D5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6" w15:restartNumberingAfterBreak="0">
    <w:nsid w:val="74CD2EB1"/>
    <w:multiLevelType w:val="multilevel"/>
    <w:tmpl w:val="34589BAE"/>
    <w:lvl w:ilvl="0">
      <w:start w:val="1"/>
      <w:numFmt w:val="decimal"/>
      <w:lvlRestart w:val="0"/>
      <w:pStyle w:val="Exampletextbullet"/>
      <w:lvlText w:val="•"/>
      <w:lvlJc w:val="left"/>
      <w:pPr>
        <w:tabs>
          <w:tab w:val="num" w:pos="284"/>
        </w:tabs>
        <w:ind w:left="284" w:hanging="284"/>
      </w:pPr>
      <w:rPr>
        <w:rFonts w:ascii="9999999" w:hAnsi="9999999" w:cs="Times New Roman"/>
        <w:b w:val="0"/>
        <w:i w:val="0"/>
        <w:color w:val="FF0000"/>
      </w:rPr>
    </w:lvl>
    <w:lvl w:ilvl="1">
      <w:start w:val="1"/>
      <w:numFmt w:val="decimal"/>
      <w:pStyle w:val="Exampletextdash"/>
      <w:lvlText w:val="–"/>
      <w:lvlJc w:val="left"/>
      <w:pPr>
        <w:tabs>
          <w:tab w:val="num" w:pos="567"/>
        </w:tabs>
        <w:ind w:left="567" w:hanging="283"/>
      </w:pPr>
      <w:rPr>
        <w:rFonts w:ascii="9999999" w:hAnsi="9999999" w:cs="Times New Roman"/>
        <w:b w:val="0"/>
        <w:i w:val="0"/>
        <w:color w:val="FF0000"/>
      </w:rPr>
    </w:lvl>
    <w:lvl w:ilvl="2">
      <w:start w:val="1"/>
      <w:numFmt w:val="decimal"/>
      <w:lvlText w:val="%3"/>
      <w:lvlJc w:val="left"/>
      <w:pPr>
        <w:tabs>
          <w:tab w:val="num" w:pos="1701"/>
        </w:tabs>
        <w:ind w:left="1701" w:hanging="567"/>
      </w:pPr>
      <w:rPr>
        <w:rFonts w:cs="Times New Roman"/>
        <w:b w:val="0"/>
        <w:i w:val="0"/>
        <w:color w:val="000000"/>
      </w:rPr>
    </w:lvl>
    <w:lvl w:ilvl="3">
      <w:start w:val="1"/>
      <w:numFmt w:val="decimal"/>
      <w:lvlText w:val="%4"/>
      <w:lvlJc w:val="left"/>
      <w:pPr>
        <w:tabs>
          <w:tab w:val="num" w:pos="2268"/>
        </w:tabs>
        <w:ind w:left="2268" w:hanging="567"/>
      </w:pPr>
      <w:rPr>
        <w:rFonts w:cs="Times New Roman"/>
        <w:b w:val="0"/>
        <w:i w:val="0"/>
        <w:color w:val="000000"/>
      </w:rPr>
    </w:lvl>
    <w:lvl w:ilvl="4">
      <w:start w:val="1"/>
      <w:numFmt w:val="decimal"/>
      <w:lvlText w:val="%5"/>
      <w:lvlJc w:val="left"/>
      <w:pPr>
        <w:tabs>
          <w:tab w:val="num" w:pos="2835"/>
        </w:tabs>
        <w:ind w:left="2835" w:hanging="567"/>
      </w:pPr>
      <w:rPr>
        <w:rFonts w:cs="Times New Roman"/>
        <w:b w:val="0"/>
        <w:i w:val="0"/>
        <w:color w:val="000000"/>
      </w:rPr>
    </w:lvl>
    <w:lvl w:ilvl="5">
      <w:start w:val="1"/>
      <w:numFmt w:val="decimal"/>
      <w:lvlText w:val="%6"/>
      <w:lvlJc w:val="left"/>
      <w:pPr>
        <w:tabs>
          <w:tab w:val="num" w:pos="3402"/>
        </w:tabs>
        <w:ind w:left="3402" w:hanging="567"/>
      </w:pPr>
      <w:rPr>
        <w:rFonts w:cs="Times New Roman"/>
        <w:b w:val="0"/>
        <w:i w:val="0"/>
        <w:color w:val="000000"/>
      </w:rPr>
    </w:lvl>
    <w:lvl w:ilvl="6">
      <w:start w:val="1"/>
      <w:numFmt w:val="decimal"/>
      <w:lvlText w:val="%7"/>
      <w:lvlJc w:val="left"/>
      <w:pPr>
        <w:tabs>
          <w:tab w:val="num" w:pos="3969"/>
        </w:tabs>
        <w:ind w:left="3969" w:hanging="567"/>
      </w:pPr>
      <w:rPr>
        <w:rFonts w:cs="Times New Roman"/>
        <w:b w:val="0"/>
        <w:i w:val="0"/>
        <w:color w:val="000000"/>
      </w:rPr>
    </w:lvl>
    <w:lvl w:ilvl="7">
      <w:start w:val="1"/>
      <w:numFmt w:val="decimal"/>
      <w:lvlText w:val="%8"/>
      <w:lvlJc w:val="left"/>
      <w:pPr>
        <w:tabs>
          <w:tab w:val="num" w:pos="4536"/>
        </w:tabs>
        <w:ind w:left="4536" w:hanging="567"/>
      </w:pPr>
      <w:rPr>
        <w:rFonts w:cs="Times New Roman"/>
        <w:b w:val="0"/>
        <w:i w:val="0"/>
        <w:color w:val="000000"/>
      </w:rPr>
    </w:lvl>
    <w:lvl w:ilvl="8">
      <w:start w:val="1"/>
      <w:numFmt w:val="decimal"/>
      <w:lvlText w:val="%9"/>
      <w:lvlJc w:val="left"/>
      <w:pPr>
        <w:tabs>
          <w:tab w:val="num" w:pos="5103"/>
        </w:tabs>
        <w:ind w:left="5103" w:hanging="567"/>
      </w:pPr>
      <w:rPr>
        <w:rFonts w:cs="Times New Roman"/>
        <w:b w:val="0"/>
        <w:i w:val="0"/>
        <w:color w:val="000000"/>
      </w:rPr>
    </w:lvl>
  </w:abstractNum>
  <w:abstractNum w:abstractNumId="117" w15:restartNumberingAfterBreak="0">
    <w:nsid w:val="750B7C2F"/>
    <w:multiLevelType w:val="hybridMultilevel"/>
    <w:tmpl w:val="ADFC07E0"/>
    <w:lvl w:ilvl="0" w:tplc="768096B4">
      <w:start w:val="1"/>
      <w:numFmt w:val="lowerLetter"/>
      <w:lvlText w:val="%1."/>
      <w:lvlJc w:val="left"/>
      <w:pPr>
        <w:ind w:left="716" w:hanging="360"/>
      </w:pPr>
      <w:rPr>
        <w:rFonts w:ascii="Arial" w:eastAsia="Times New Roman" w:hAnsi="Arial" w:cs="Arial"/>
      </w:rPr>
    </w:lvl>
    <w:lvl w:ilvl="1" w:tplc="0C090019">
      <w:start w:val="1"/>
      <w:numFmt w:val="lowerLetter"/>
      <w:lvlText w:val="%2."/>
      <w:lvlJc w:val="left"/>
      <w:pPr>
        <w:ind w:left="360" w:hanging="360"/>
      </w:pPr>
    </w:lvl>
    <w:lvl w:ilvl="2" w:tplc="0C09001B" w:tentative="1">
      <w:start w:val="1"/>
      <w:numFmt w:val="lowerRoman"/>
      <w:lvlText w:val="%3."/>
      <w:lvlJc w:val="right"/>
      <w:pPr>
        <w:ind w:left="2156" w:hanging="180"/>
      </w:pPr>
    </w:lvl>
    <w:lvl w:ilvl="3" w:tplc="0C09000F" w:tentative="1">
      <w:start w:val="1"/>
      <w:numFmt w:val="decimal"/>
      <w:lvlText w:val="%4."/>
      <w:lvlJc w:val="left"/>
      <w:pPr>
        <w:ind w:left="2876" w:hanging="360"/>
      </w:pPr>
    </w:lvl>
    <w:lvl w:ilvl="4" w:tplc="0C090019" w:tentative="1">
      <w:start w:val="1"/>
      <w:numFmt w:val="lowerLetter"/>
      <w:lvlText w:val="%5."/>
      <w:lvlJc w:val="left"/>
      <w:pPr>
        <w:ind w:left="3596" w:hanging="360"/>
      </w:pPr>
    </w:lvl>
    <w:lvl w:ilvl="5" w:tplc="0C09001B" w:tentative="1">
      <w:start w:val="1"/>
      <w:numFmt w:val="lowerRoman"/>
      <w:lvlText w:val="%6."/>
      <w:lvlJc w:val="right"/>
      <w:pPr>
        <w:ind w:left="4316" w:hanging="180"/>
      </w:pPr>
    </w:lvl>
    <w:lvl w:ilvl="6" w:tplc="0C09000F" w:tentative="1">
      <w:start w:val="1"/>
      <w:numFmt w:val="decimal"/>
      <w:lvlText w:val="%7."/>
      <w:lvlJc w:val="left"/>
      <w:pPr>
        <w:ind w:left="5036" w:hanging="360"/>
      </w:pPr>
    </w:lvl>
    <w:lvl w:ilvl="7" w:tplc="0C090019" w:tentative="1">
      <w:start w:val="1"/>
      <w:numFmt w:val="lowerLetter"/>
      <w:lvlText w:val="%8."/>
      <w:lvlJc w:val="left"/>
      <w:pPr>
        <w:ind w:left="5756" w:hanging="360"/>
      </w:pPr>
    </w:lvl>
    <w:lvl w:ilvl="8" w:tplc="0C09001B" w:tentative="1">
      <w:start w:val="1"/>
      <w:numFmt w:val="lowerRoman"/>
      <w:lvlText w:val="%9."/>
      <w:lvlJc w:val="right"/>
      <w:pPr>
        <w:ind w:left="6476" w:hanging="180"/>
      </w:pPr>
    </w:lvl>
  </w:abstractNum>
  <w:abstractNum w:abstractNumId="118" w15:restartNumberingAfterBreak="0">
    <w:nsid w:val="7583789A"/>
    <w:multiLevelType w:val="hybridMultilevel"/>
    <w:tmpl w:val="E188C2B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9" w15:restartNumberingAfterBreak="0">
    <w:nsid w:val="76223D79"/>
    <w:multiLevelType w:val="hybridMultilevel"/>
    <w:tmpl w:val="7F101CB0"/>
    <w:lvl w:ilvl="0" w:tplc="6AA0062A">
      <w:start w:val="5"/>
      <w:numFmt w:val="decimal"/>
      <w:lvlText w:val="Table %1: "/>
      <w:lvlJc w:val="left"/>
      <w:pPr>
        <w:ind w:left="360" w:hanging="360"/>
      </w:pPr>
      <w:rPr>
        <w:rFonts w:hint="default"/>
        <w:bCs w:val="0"/>
        <w:i w:val="0"/>
        <w:iCs w:val="0"/>
        <w:caps w:val="0"/>
        <w:smallCaps w:val="0"/>
        <w:strike w:val="0"/>
        <w:dstrike w:val="0"/>
        <w:vanish w:val="0"/>
        <w:color w:val="auto"/>
        <w:spacing w:val="0"/>
        <w:kern w:val="0"/>
        <w:position w:val="0"/>
        <w:sz w:val="20"/>
        <w:u w:val="none"/>
        <w:effect w:val="none"/>
        <w:vertAlign w:val="baseline"/>
        <w:em w:val="none"/>
      </w:rPr>
    </w:lvl>
    <w:lvl w:ilvl="1" w:tplc="0C090019" w:tentative="1">
      <w:start w:val="1"/>
      <w:numFmt w:val="lowerLetter"/>
      <w:lvlText w:val="%2."/>
      <w:lvlJc w:val="left"/>
      <w:pPr>
        <w:ind w:left="589" w:hanging="360"/>
      </w:pPr>
    </w:lvl>
    <w:lvl w:ilvl="2" w:tplc="0C09001B" w:tentative="1">
      <w:start w:val="1"/>
      <w:numFmt w:val="lowerRoman"/>
      <w:lvlText w:val="%3."/>
      <w:lvlJc w:val="right"/>
      <w:pPr>
        <w:ind w:left="1309" w:hanging="180"/>
      </w:pPr>
    </w:lvl>
    <w:lvl w:ilvl="3" w:tplc="0C09000F" w:tentative="1">
      <w:start w:val="1"/>
      <w:numFmt w:val="decimal"/>
      <w:lvlText w:val="%4."/>
      <w:lvlJc w:val="left"/>
      <w:pPr>
        <w:ind w:left="2029" w:hanging="360"/>
      </w:pPr>
    </w:lvl>
    <w:lvl w:ilvl="4" w:tplc="0C090019" w:tentative="1">
      <w:start w:val="1"/>
      <w:numFmt w:val="lowerLetter"/>
      <w:lvlText w:val="%5."/>
      <w:lvlJc w:val="left"/>
      <w:pPr>
        <w:ind w:left="2749" w:hanging="360"/>
      </w:pPr>
    </w:lvl>
    <w:lvl w:ilvl="5" w:tplc="0C09001B" w:tentative="1">
      <w:start w:val="1"/>
      <w:numFmt w:val="lowerRoman"/>
      <w:lvlText w:val="%6."/>
      <w:lvlJc w:val="right"/>
      <w:pPr>
        <w:ind w:left="3469" w:hanging="180"/>
      </w:pPr>
    </w:lvl>
    <w:lvl w:ilvl="6" w:tplc="0C09000F" w:tentative="1">
      <w:start w:val="1"/>
      <w:numFmt w:val="decimal"/>
      <w:lvlText w:val="%7."/>
      <w:lvlJc w:val="left"/>
      <w:pPr>
        <w:ind w:left="4189" w:hanging="360"/>
      </w:pPr>
    </w:lvl>
    <w:lvl w:ilvl="7" w:tplc="0C090019" w:tentative="1">
      <w:start w:val="1"/>
      <w:numFmt w:val="lowerLetter"/>
      <w:lvlText w:val="%8."/>
      <w:lvlJc w:val="left"/>
      <w:pPr>
        <w:ind w:left="4909" w:hanging="360"/>
      </w:pPr>
    </w:lvl>
    <w:lvl w:ilvl="8" w:tplc="0C09001B" w:tentative="1">
      <w:start w:val="1"/>
      <w:numFmt w:val="lowerRoman"/>
      <w:lvlText w:val="%9."/>
      <w:lvlJc w:val="right"/>
      <w:pPr>
        <w:ind w:left="5629" w:hanging="180"/>
      </w:pPr>
    </w:lvl>
  </w:abstractNum>
  <w:abstractNum w:abstractNumId="120" w15:restartNumberingAfterBreak="0">
    <w:nsid w:val="773A4A3C"/>
    <w:multiLevelType w:val="hybridMultilevel"/>
    <w:tmpl w:val="48B006AC"/>
    <w:lvl w:ilvl="0" w:tplc="604EEAFC">
      <w:start w:val="1"/>
      <w:numFmt w:val="lowerLetter"/>
      <w:lvlText w:val="%1."/>
      <w:lvlJc w:val="left"/>
      <w:pPr>
        <w:ind w:left="361" w:hanging="360"/>
      </w:pPr>
      <w:rPr>
        <w:rFonts w:hint="default"/>
        <w:i w:val="0"/>
      </w:rPr>
    </w:lvl>
    <w:lvl w:ilvl="1" w:tplc="0C090019" w:tentative="1">
      <w:start w:val="1"/>
      <w:numFmt w:val="lowerLetter"/>
      <w:lvlText w:val="%2."/>
      <w:lvlJc w:val="left"/>
      <w:pPr>
        <w:ind w:left="1081" w:hanging="360"/>
      </w:pPr>
    </w:lvl>
    <w:lvl w:ilvl="2" w:tplc="0C09001B" w:tentative="1">
      <w:start w:val="1"/>
      <w:numFmt w:val="lowerRoman"/>
      <w:lvlText w:val="%3."/>
      <w:lvlJc w:val="right"/>
      <w:pPr>
        <w:ind w:left="1801" w:hanging="180"/>
      </w:pPr>
    </w:lvl>
    <w:lvl w:ilvl="3" w:tplc="0C09000F" w:tentative="1">
      <w:start w:val="1"/>
      <w:numFmt w:val="decimal"/>
      <w:lvlText w:val="%4."/>
      <w:lvlJc w:val="left"/>
      <w:pPr>
        <w:ind w:left="2521" w:hanging="360"/>
      </w:pPr>
    </w:lvl>
    <w:lvl w:ilvl="4" w:tplc="0C090019" w:tentative="1">
      <w:start w:val="1"/>
      <w:numFmt w:val="lowerLetter"/>
      <w:lvlText w:val="%5."/>
      <w:lvlJc w:val="left"/>
      <w:pPr>
        <w:ind w:left="3241" w:hanging="360"/>
      </w:pPr>
    </w:lvl>
    <w:lvl w:ilvl="5" w:tplc="0C09001B" w:tentative="1">
      <w:start w:val="1"/>
      <w:numFmt w:val="lowerRoman"/>
      <w:lvlText w:val="%6."/>
      <w:lvlJc w:val="right"/>
      <w:pPr>
        <w:ind w:left="3961" w:hanging="180"/>
      </w:pPr>
    </w:lvl>
    <w:lvl w:ilvl="6" w:tplc="0C09000F" w:tentative="1">
      <w:start w:val="1"/>
      <w:numFmt w:val="decimal"/>
      <w:lvlText w:val="%7."/>
      <w:lvlJc w:val="left"/>
      <w:pPr>
        <w:ind w:left="4681" w:hanging="360"/>
      </w:pPr>
    </w:lvl>
    <w:lvl w:ilvl="7" w:tplc="0C090019" w:tentative="1">
      <w:start w:val="1"/>
      <w:numFmt w:val="lowerLetter"/>
      <w:lvlText w:val="%8."/>
      <w:lvlJc w:val="left"/>
      <w:pPr>
        <w:ind w:left="5401" w:hanging="360"/>
      </w:pPr>
    </w:lvl>
    <w:lvl w:ilvl="8" w:tplc="0C09001B" w:tentative="1">
      <w:start w:val="1"/>
      <w:numFmt w:val="lowerRoman"/>
      <w:lvlText w:val="%9."/>
      <w:lvlJc w:val="right"/>
      <w:pPr>
        <w:ind w:left="6121" w:hanging="180"/>
      </w:pPr>
    </w:lvl>
  </w:abstractNum>
  <w:abstractNum w:abstractNumId="121" w15:restartNumberingAfterBreak="0">
    <w:nsid w:val="7758401D"/>
    <w:multiLevelType w:val="hybridMultilevel"/>
    <w:tmpl w:val="F35EEEE6"/>
    <w:lvl w:ilvl="0" w:tplc="0C090019">
      <w:start w:val="1"/>
      <w:numFmt w:val="low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22" w15:restartNumberingAfterBreak="0">
    <w:nsid w:val="782D37F6"/>
    <w:multiLevelType w:val="hybridMultilevel"/>
    <w:tmpl w:val="1180B9CC"/>
    <w:lvl w:ilvl="0" w:tplc="4882395A">
      <w:start w:val="1"/>
      <w:numFmt w:val="lowerLetter"/>
      <w:lvlText w:val="%1."/>
      <w:lvlJc w:val="left"/>
      <w:pPr>
        <w:ind w:left="720" w:hanging="360"/>
      </w:pPr>
      <w:rPr>
        <w:rFonts w:ascii="Arial" w:eastAsia="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3" w15:restartNumberingAfterBreak="0">
    <w:nsid w:val="7B7A4201"/>
    <w:multiLevelType w:val="hybridMultilevel"/>
    <w:tmpl w:val="B36E39F2"/>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4" w15:restartNumberingAfterBreak="0">
    <w:nsid w:val="7B9004A3"/>
    <w:multiLevelType w:val="hybridMultilevel"/>
    <w:tmpl w:val="D924CF50"/>
    <w:lvl w:ilvl="0" w:tplc="CBF02FB2">
      <w:start w:val="1"/>
      <w:numFmt w:val="lowerLetter"/>
      <w:lvlText w:val="%1."/>
      <w:lvlJc w:val="left"/>
      <w:pPr>
        <w:ind w:left="360" w:hanging="360"/>
      </w:pPr>
      <w:rPr>
        <w:rFonts w:hint="default"/>
        <w:b w:val="0"/>
        <w:i w:val="0"/>
        <w:sz w:val="14"/>
        <w:szCs w:val="14"/>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125" w15:restartNumberingAfterBreak="0">
    <w:nsid w:val="7BAB137B"/>
    <w:multiLevelType w:val="hybridMultilevel"/>
    <w:tmpl w:val="EF16DDB8"/>
    <w:lvl w:ilvl="0" w:tplc="C3BA2FE0">
      <w:start w:val="1"/>
      <w:numFmt w:val="decimal"/>
      <w:lvlText w:val="Table %1: "/>
      <w:lvlJc w:val="left"/>
      <w:pPr>
        <w:ind w:left="1353" w:hanging="360"/>
      </w:pPr>
      <w:rPr>
        <w:rFonts w:hint="default"/>
        <w:bCs w:val="0"/>
        <w:i w:val="0"/>
        <w:iCs w:val="0"/>
        <w:caps w:val="0"/>
        <w:smallCaps w:val="0"/>
        <w:strike w:val="0"/>
        <w:dstrike w:val="0"/>
        <w:vanish w:val="0"/>
        <w:color w:val="auto"/>
        <w:spacing w:val="0"/>
        <w:kern w:val="0"/>
        <w:position w:val="0"/>
        <w:sz w:val="20"/>
        <w:u w:val="none"/>
        <w:effect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6" w15:restartNumberingAfterBreak="0">
    <w:nsid w:val="7C105308"/>
    <w:multiLevelType w:val="hybridMultilevel"/>
    <w:tmpl w:val="654EC61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7" w15:restartNumberingAfterBreak="0">
    <w:nsid w:val="7C5A5809"/>
    <w:multiLevelType w:val="multilevel"/>
    <w:tmpl w:val="19089A16"/>
    <w:lvl w:ilvl="0">
      <w:start w:val="1"/>
      <w:numFmt w:val="bullet"/>
      <w:lvlText w:val=""/>
      <w:lvlJc w:val="left"/>
      <w:pPr>
        <w:tabs>
          <w:tab w:val="num" w:pos="717"/>
        </w:tabs>
        <w:ind w:left="717" w:hanging="360"/>
      </w:pPr>
      <w:rPr>
        <w:rFonts w:ascii="Symbol" w:hAnsi="Symbol" w:hint="default"/>
        <w:sz w:val="20"/>
      </w:rPr>
    </w:lvl>
    <w:lvl w:ilvl="1">
      <w:start w:val="1"/>
      <w:numFmt w:val="bullet"/>
      <w:lvlText w:val="o"/>
      <w:lvlJc w:val="left"/>
      <w:pPr>
        <w:tabs>
          <w:tab w:val="num" w:pos="1437"/>
        </w:tabs>
        <w:ind w:left="1437" w:hanging="360"/>
      </w:pPr>
      <w:rPr>
        <w:rFonts w:ascii="Courier New" w:hAnsi="Courier New" w:cs="Times New Roman" w:hint="default"/>
        <w:sz w:val="20"/>
      </w:rPr>
    </w:lvl>
    <w:lvl w:ilvl="2">
      <w:start w:val="1"/>
      <w:numFmt w:val="bullet"/>
      <w:lvlText w:val=""/>
      <w:lvlJc w:val="left"/>
      <w:pPr>
        <w:tabs>
          <w:tab w:val="num" w:pos="2157"/>
        </w:tabs>
        <w:ind w:left="2157" w:hanging="360"/>
      </w:pPr>
      <w:rPr>
        <w:rFonts w:ascii="Wingdings" w:hAnsi="Wingdings" w:hint="default"/>
        <w:sz w:val="20"/>
      </w:rPr>
    </w:lvl>
    <w:lvl w:ilvl="3">
      <w:start w:val="1"/>
      <w:numFmt w:val="bullet"/>
      <w:lvlText w:val=""/>
      <w:lvlJc w:val="left"/>
      <w:pPr>
        <w:tabs>
          <w:tab w:val="num" w:pos="2877"/>
        </w:tabs>
        <w:ind w:left="2877" w:hanging="360"/>
      </w:pPr>
      <w:rPr>
        <w:rFonts w:ascii="Wingdings" w:hAnsi="Wingdings" w:hint="default"/>
        <w:sz w:val="20"/>
      </w:rPr>
    </w:lvl>
    <w:lvl w:ilvl="4">
      <w:start w:val="1"/>
      <w:numFmt w:val="bullet"/>
      <w:lvlText w:val=""/>
      <w:lvlJc w:val="left"/>
      <w:pPr>
        <w:tabs>
          <w:tab w:val="num" w:pos="3597"/>
        </w:tabs>
        <w:ind w:left="3597" w:hanging="360"/>
      </w:pPr>
      <w:rPr>
        <w:rFonts w:ascii="Wingdings" w:hAnsi="Wingdings" w:hint="default"/>
        <w:sz w:val="20"/>
      </w:rPr>
    </w:lvl>
    <w:lvl w:ilvl="5">
      <w:start w:val="1"/>
      <w:numFmt w:val="bullet"/>
      <w:lvlText w:val=""/>
      <w:lvlJc w:val="left"/>
      <w:pPr>
        <w:tabs>
          <w:tab w:val="num" w:pos="4317"/>
        </w:tabs>
        <w:ind w:left="4317" w:hanging="360"/>
      </w:pPr>
      <w:rPr>
        <w:rFonts w:ascii="Wingdings" w:hAnsi="Wingdings" w:hint="default"/>
        <w:sz w:val="20"/>
      </w:rPr>
    </w:lvl>
    <w:lvl w:ilvl="6">
      <w:start w:val="1"/>
      <w:numFmt w:val="bullet"/>
      <w:lvlText w:val=""/>
      <w:lvlJc w:val="left"/>
      <w:pPr>
        <w:tabs>
          <w:tab w:val="num" w:pos="5037"/>
        </w:tabs>
        <w:ind w:left="5037" w:hanging="360"/>
      </w:pPr>
      <w:rPr>
        <w:rFonts w:ascii="Wingdings" w:hAnsi="Wingdings" w:hint="default"/>
        <w:sz w:val="20"/>
      </w:rPr>
    </w:lvl>
    <w:lvl w:ilvl="7">
      <w:start w:val="1"/>
      <w:numFmt w:val="bullet"/>
      <w:lvlText w:val=""/>
      <w:lvlJc w:val="left"/>
      <w:pPr>
        <w:tabs>
          <w:tab w:val="num" w:pos="5757"/>
        </w:tabs>
        <w:ind w:left="5757" w:hanging="360"/>
      </w:pPr>
      <w:rPr>
        <w:rFonts w:ascii="Wingdings" w:hAnsi="Wingdings" w:hint="default"/>
        <w:sz w:val="20"/>
      </w:rPr>
    </w:lvl>
    <w:lvl w:ilvl="8">
      <w:start w:val="1"/>
      <w:numFmt w:val="bullet"/>
      <w:lvlText w:val=""/>
      <w:lvlJc w:val="left"/>
      <w:pPr>
        <w:tabs>
          <w:tab w:val="num" w:pos="6477"/>
        </w:tabs>
        <w:ind w:left="6477" w:hanging="360"/>
      </w:pPr>
      <w:rPr>
        <w:rFonts w:ascii="Wingdings" w:hAnsi="Wingdings" w:hint="default"/>
        <w:sz w:val="20"/>
      </w:rPr>
    </w:lvl>
  </w:abstractNum>
  <w:abstractNum w:abstractNumId="128" w15:restartNumberingAfterBreak="0">
    <w:nsid w:val="7D7D671D"/>
    <w:multiLevelType w:val="hybridMultilevel"/>
    <w:tmpl w:val="FF063B8E"/>
    <w:lvl w:ilvl="0" w:tplc="973E99C2">
      <w:start w:val="1"/>
      <w:numFmt w:val="lowerLetter"/>
      <w:lvlText w:val="%1."/>
      <w:lvlJc w:val="left"/>
      <w:pPr>
        <w:ind w:left="360" w:hanging="360"/>
      </w:pPr>
      <w:rPr>
        <w:rFonts w:hint="default"/>
        <w:i w:val="0"/>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9" w15:restartNumberingAfterBreak="0">
    <w:nsid w:val="7F4F5B6A"/>
    <w:multiLevelType w:val="hybridMultilevel"/>
    <w:tmpl w:val="0B60B0B4"/>
    <w:lvl w:ilvl="0" w:tplc="6DB2A822">
      <w:start w:val="1"/>
      <w:numFmt w:val="lowerLetter"/>
      <w:lvlText w:val="%1."/>
      <w:lvlJc w:val="left"/>
      <w:pPr>
        <w:tabs>
          <w:tab w:val="num" w:pos="227"/>
        </w:tabs>
        <w:ind w:left="0" w:firstLine="0"/>
      </w:pPr>
      <w:rPr>
        <w:rFonts w:ascii="Arial" w:eastAsia="Times New Roman" w:hAnsi="Arial" w:cs="Arial" w:hint="default"/>
        <w:color w:val="000000"/>
        <w:sz w:val="14"/>
        <w:szCs w:val="1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0"/>
  </w:num>
  <w:num w:numId="2">
    <w:abstractNumId w:val="23"/>
  </w:num>
  <w:num w:numId="3">
    <w:abstractNumId w:val="76"/>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39"/>
  </w:num>
  <w:num w:numId="15">
    <w:abstractNumId w:val="65"/>
  </w:num>
  <w:num w:numId="16">
    <w:abstractNumId w:val="43"/>
  </w:num>
  <w:num w:numId="17">
    <w:abstractNumId w:val="94"/>
  </w:num>
  <w:num w:numId="18">
    <w:abstractNumId w:val="97"/>
  </w:num>
  <w:num w:numId="19">
    <w:abstractNumId w:val="116"/>
  </w:num>
  <w:num w:numId="20">
    <w:abstractNumId w:val="56"/>
  </w:num>
  <w:num w:numId="21">
    <w:abstractNumId w:val="85"/>
  </w:num>
  <w:num w:numId="22">
    <w:abstractNumId w:val="87"/>
  </w:num>
  <w:num w:numId="23">
    <w:abstractNumId w:val="46"/>
  </w:num>
  <w:num w:numId="24">
    <w:abstractNumId w:val="92"/>
  </w:num>
  <w:num w:numId="25">
    <w:abstractNumId w:val="114"/>
  </w:num>
  <w:num w:numId="26">
    <w:abstractNumId w:val="55"/>
  </w:num>
  <w:num w:numId="27">
    <w:abstractNumId w:val="111"/>
  </w:num>
  <w:num w:numId="28">
    <w:abstractNumId w:val="49"/>
  </w:num>
  <w:num w:numId="29">
    <w:abstractNumId w:val="106"/>
  </w:num>
  <w:num w:numId="30">
    <w:abstractNumId w:val="110"/>
  </w:num>
  <w:num w:numId="31">
    <w:abstractNumId w:val="22"/>
  </w:num>
  <w:num w:numId="32">
    <w:abstractNumId w:val="68"/>
  </w:num>
  <w:num w:numId="33">
    <w:abstractNumId w:val="92"/>
    <w:lvlOverride w:ilvl="0">
      <w:startOverride w:val="1"/>
    </w:lvlOverride>
  </w:num>
  <w:num w:numId="34">
    <w:abstractNumId w:val="88"/>
  </w:num>
  <w:num w:numId="35">
    <w:abstractNumId w:val="63"/>
  </w:num>
  <w:num w:numId="36">
    <w:abstractNumId w:val="124"/>
  </w:num>
  <w:num w:numId="37">
    <w:abstractNumId w:val="75"/>
  </w:num>
  <w:num w:numId="38">
    <w:abstractNumId w:val="19"/>
  </w:num>
  <w:num w:numId="39">
    <w:abstractNumId w:val="70"/>
  </w:num>
  <w:num w:numId="40">
    <w:abstractNumId w:val="27"/>
  </w:num>
  <w:num w:numId="41">
    <w:abstractNumId w:val="51"/>
  </w:num>
  <w:num w:numId="42">
    <w:abstractNumId w:val="40"/>
  </w:num>
  <w:num w:numId="43">
    <w:abstractNumId w:val="120"/>
  </w:num>
  <w:num w:numId="44">
    <w:abstractNumId w:val="57"/>
  </w:num>
  <w:num w:numId="45">
    <w:abstractNumId w:val="92"/>
    <w:lvlOverride w:ilvl="0">
      <w:startOverride w:val="1"/>
    </w:lvlOverride>
  </w:num>
  <w:num w:numId="4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3"/>
  </w:num>
  <w:num w:numId="48">
    <w:abstractNumId w:val="25"/>
  </w:num>
  <w:num w:numId="49">
    <w:abstractNumId w:val="103"/>
  </w:num>
  <w:num w:numId="50">
    <w:abstractNumId w:val="109"/>
  </w:num>
  <w:num w:numId="51">
    <w:abstractNumId w:val="44"/>
  </w:num>
  <w:num w:numId="52">
    <w:abstractNumId w:val="123"/>
  </w:num>
  <w:num w:numId="53">
    <w:abstractNumId w:val="89"/>
  </w:num>
  <w:num w:numId="54">
    <w:abstractNumId w:val="105"/>
  </w:num>
  <w:num w:numId="55">
    <w:abstractNumId w:val="84"/>
  </w:num>
  <w:num w:numId="56">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92"/>
    <w:lvlOverride w:ilvl="0">
      <w:startOverride w:val="1"/>
    </w:lvlOverride>
  </w:num>
  <w:num w:numId="58">
    <w:abstractNumId w:val="92"/>
    <w:lvlOverride w:ilvl="0">
      <w:startOverride w:val="1"/>
    </w:lvlOverride>
  </w:num>
  <w:num w:numId="59">
    <w:abstractNumId w:val="11"/>
  </w:num>
  <w:num w:numId="60">
    <w:abstractNumId w:val="35"/>
  </w:num>
  <w:num w:numId="61">
    <w:abstractNumId w:val="119"/>
  </w:num>
  <w:num w:numId="62">
    <w:abstractNumId w:val="125"/>
  </w:num>
  <w:num w:numId="63">
    <w:abstractNumId w:val="101"/>
  </w:num>
  <w:num w:numId="64">
    <w:abstractNumId w:val="33"/>
  </w:num>
  <w:num w:numId="65">
    <w:abstractNumId w:val="92"/>
    <w:lvlOverride w:ilvl="0">
      <w:startOverride w:val="1"/>
    </w:lvlOverride>
  </w:num>
  <w:num w:numId="66">
    <w:abstractNumId w:val="32"/>
  </w:num>
  <w:num w:numId="67">
    <w:abstractNumId w:val="117"/>
  </w:num>
  <w:num w:numId="68">
    <w:abstractNumId w:val="128"/>
  </w:num>
  <w:num w:numId="69">
    <w:abstractNumId w:val="127"/>
  </w:num>
  <w:num w:numId="70">
    <w:abstractNumId w:val="96"/>
  </w:num>
  <w:num w:numId="71">
    <w:abstractNumId w:val="83"/>
  </w:num>
  <w:num w:numId="72">
    <w:abstractNumId w:val="81"/>
  </w:num>
  <w:num w:numId="73">
    <w:abstractNumId w:val="21"/>
  </w:num>
  <w:num w:numId="74">
    <w:abstractNumId w:val="38"/>
  </w:num>
  <w:num w:numId="75">
    <w:abstractNumId w:val="78"/>
  </w:num>
  <w:num w:numId="7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6"/>
  </w:num>
  <w:num w:numId="78">
    <w:abstractNumId w:val="93"/>
  </w:num>
  <w:num w:numId="79">
    <w:abstractNumId w:val="69"/>
  </w:num>
  <w:num w:numId="80">
    <w:abstractNumId w:val="42"/>
  </w:num>
  <w:num w:numId="81">
    <w:abstractNumId w:val="82"/>
  </w:num>
  <w:num w:numId="82">
    <w:abstractNumId w:val="31"/>
  </w:num>
  <w:num w:numId="83">
    <w:abstractNumId w:val="112"/>
  </w:num>
  <w:num w:numId="84">
    <w:abstractNumId w:val="80"/>
  </w:num>
  <w:num w:numId="85">
    <w:abstractNumId w:val="15"/>
  </w:num>
  <w:num w:numId="86">
    <w:abstractNumId w:val="73"/>
  </w:num>
  <w:num w:numId="87">
    <w:abstractNumId w:val="26"/>
  </w:num>
  <w:num w:numId="88">
    <w:abstractNumId w:val="62"/>
  </w:num>
  <w:num w:numId="8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30"/>
  </w:num>
  <w:num w:numId="93">
    <w:abstractNumId w:val="79"/>
  </w:num>
  <w:num w:numId="94">
    <w:abstractNumId w:val="92"/>
    <w:lvlOverride w:ilvl="0">
      <w:startOverride w:val="1"/>
    </w:lvlOverride>
  </w:num>
  <w:num w:numId="95">
    <w:abstractNumId w:val="28"/>
  </w:num>
  <w:num w:numId="96">
    <w:abstractNumId w:val="41"/>
  </w:num>
  <w:num w:numId="97">
    <w:abstractNumId w:val="99"/>
  </w:num>
  <w:num w:numId="98">
    <w:abstractNumId w:val="20"/>
  </w:num>
  <w:num w:numId="99">
    <w:abstractNumId w:val="122"/>
  </w:num>
  <w:num w:numId="100">
    <w:abstractNumId w:val="54"/>
  </w:num>
  <w:num w:numId="101">
    <w:abstractNumId w:val="77"/>
  </w:num>
  <w:num w:numId="102">
    <w:abstractNumId w:val="12"/>
  </w:num>
  <w:num w:numId="103">
    <w:abstractNumId w:val="53"/>
  </w:num>
  <w:num w:numId="104">
    <w:abstractNumId w:val="72"/>
  </w:num>
  <w:num w:numId="105">
    <w:abstractNumId w:val="90"/>
  </w:num>
  <w:num w:numId="106">
    <w:abstractNumId w:val="60"/>
  </w:num>
  <w:num w:numId="107">
    <w:abstractNumId w:val="52"/>
  </w:num>
  <w:num w:numId="108">
    <w:abstractNumId w:val="104"/>
  </w:num>
  <w:num w:numId="109">
    <w:abstractNumId w:val="13"/>
  </w:num>
  <w:num w:numId="110">
    <w:abstractNumId w:val="14"/>
  </w:num>
  <w:num w:numId="111">
    <w:abstractNumId w:val="95"/>
  </w:num>
  <w:num w:numId="112">
    <w:abstractNumId w:val="118"/>
  </w:num>
  <w:num w:numId="113">
    <w:abstractNumId w:val="126"/>
  </w:num>
  <w:num w:numId="114">
    <w:abstractNumId w:val="67"/>
  </w:num>
  <w:num w:numId="115">
    <w:abstractNumId w:val="107"/>
  </w:num>
  <w:num w:numId="116">
    <w:abstractNumId w:val="61"/>
  </w:num>
  <w:num w:numId="117">
    <w:abstractNumId w:val="100"/>
  </w:num>
  <w:num w:numId="118">
    <w:abstractNumId w:val="47"/>
  </w:num>
  <w:num w:numId="119">
    <w:abstractNumId w:val="37"/>
  </w:num>
  <w:num w:numId="120">
    <w:abstractNumId w:val="45"/>
  </w:num>
  <w:num w:numId="121">
    <w:abstractNumId w:val="58"/>
  </w:num>
  <w:num w:numId="122">
    <w:abstractNumId w:val="71"/>
  </w:num>
  <w:num w:numId="123">
    <w:abstractNumId w:val="59"/>
  </w:num>
  <w:num w:numId="124">
    <w:abstractNumId w:val="74"/>
  </w:num>
  <w:num w:numId="125">
    <w:abstractNumId w:val="17"/>
  </w:num>
  <w:num w:numId="126">
    <w:abstractNumId w:val="102"/>
  </w:num>
  <w:num w:numId="127">
    <w:abstractNumId w:val="16"/>
  </w:num>
  <w:num w:numId="128">
    <w:abstractNumId w:val="91"/>
  </w:num>
  <w:num w:numId="129">
    <w:abstractNumId w:val="24"/>
  </w:num>
  <w:num w:numId="130">
    <w:abstractNumId w:val="98"/>
  </w:num>
  <w:num w:numId="131">
    <w:abstractNumId w:val="34"/>
  </w:num>
  <w:num w:numId="132">
    <w:abstractNumId w:val="48"/>
  </w:num>
  <w:num w:numId="133">
    <w:abstractNumId w:val="50"/>
  </w:num>
  <w:num w:numId="134">
    <w:abstractNumId w:val="36"/>
  </w:num>
  <w:num w:numId="135">
    <w:abstractNumId w:val="115"/>
  </w:num>
  <w:num w:numId="136">
    <w:abstractNumId w:val="108"/>
  </w:num>
  <w:num w:numId="137">
    <w:abstractNumId w:val="18"/>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mirrorMargins/>
  <w:activeWritingStyle w:appName="MSWord" w:lang="fr-FR" w:vendorID="64" w:dllVersion="131078" w:nlCheck="1" w:checkStyle="0"/>
  <w:activeWritingStyle w:appName="MSWord" w:lang="en-AU" w:vendorID="64" w:dllVersion="131078" w:nlCheck="1" w:checkStyle="1"/>
  <w:activeWritingStyle w:appName="MSWord" w:lang="en-US" w:vendorID="64" w:dllVersion="131078" w:nlCheck="1" w:checkStyle="1"/>
  <w:activeWritingStyle w:appName="MSWord" w:lang="en-GB" w:vendorID="64" w:dllVersion="131078" w:nlCheck="1"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0"/>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70D3"/>
    <w:rsid w:val="00000111"/>
    <w:rsid w:val="00000252"/>
    <w:rsid w:val="0000055B"/>
    <w:rsid w:val="00000590"/>
    <w:rsid w:val="00000716"/>
    <w:rsid w:val="00000BD0"/>
    <w:rsid w:val="00000F51"/>
    <w:rsid w:val="00001006"/>
    <w:rsid w:val="00001175"/>
    <w:rsid w:val="00001476"/>
    <w:rsid w:val="0000159E"/>
    <w:rsid w:val="00001778"/>
    <w:rsid w:val="000018DF"/>
    <w:rsid w:val="00001BB3"/>
    <w:rsid w:val="00001BEF"/>
    <w:rsid w:val="00001CFA"/>
    <w:rsid w:val="00002148"/>
    <w:rsid w:val="00002413"/>
    <w:rsid w:val="00002470"/>
    <w:rsid w:val="000025EA"/>
    <w:rsid w:val="00002AE7"/>
    <w:rsid w:val="00002B50"/>
    <w:rsid w:val="00002BB8"/>
    <w:rsid w:val="00002F5C"/>
    <w:rsid w:val="0000307D"/>
    <w:rsid w:val="00003256"/>
    <w:rsid w:val="000035EF"/>
    <w:rsid w:val="00003699"/>
    <w:rsid w:val="00003797"/>
    <w:rsid w:val="00003874"/>
    <w:rsid w:val="00003B8B"/>
    <w:rsid w:val="00003C12"/>
    <w:rsid w:val="00003CF7"/>
    <w:rsid w:val="00003FFA"/>
    <w:rsid w:val="00004046"/>
    <w:rsid w:val="00004300"/>
    <w:rsid w:val="00004465"/>
    <w:rsid w:val="000046E2"/>
    <w:rsid w:val="00004AA8"/>
    <w:rsid w:val="00004E68"/>
    <w:rsid w:val="000055A9"/>
    <w:rsid w:val="000056B1"/>
    <w:rsid w:val="00005B27"/>
    <w:rsid w:val="00005B6C"/>
    <w:rsid w:val="00006259"/>
    <w:rsid w:val="00006482"/>
    <w:rsid w:val="00006B67"/>
    <w:rsid w:val="00006CAE"/>
    <w:rsid w:val="00007092"/>
    <w:rsid w:val="000070A3"/>
    <w:rsid w:val="000077BF"/>
    <w:rsid w:val="000077CC"/>
    <w:rsid w:val="000078AB"/>
    <w:rsid w:val="000079B5"/>
    <w:rsid w:val="00007C4E"/>
    <w:rsid w:val="00010013"/>
    <w:rsid w:val="0001003D"/>
    <w:rsid w:val="00010103"/>
    <w:rsid w:val="00010151"/>
    <w:rsid w:val="00010515"/>
    <w:rsid w:val="00010532"/>
    <w:rsid w:val="00010ADE"/>
    <w:rsid w:val="00010CA6"/>
    <w:rsid w:val="00010DD1"/>
    <w:rsid w:val="00010F74"/>
    <w:rsid w:val="00011717"/>
    <w:rsid w:val="00011A0D"/>
    <w:rsid w:val="00011FBE"/>
    <w:rsid w:val="000120FD"/>
    <w:rsid w:val="00012206"/>
    <w:rsid w:val="0001233E"/>
    <w:rsid w:val="000127C0"/>
    <w:rsid w:val="00012843"/>
    <w:rsid w:val="00012918"/>
    <w:rsid w:val="00012945"/>
    <w:rsid w:val="0001296E"/>
    <w:rsid w:val="00012A3F"/>
    <w:rsid w:val="00012B09"/>
    <w:rsid w:val="00012C08"/>
    <w:rsid w:val="00012CCA"/>
    <w:rsid w:val="00012EF3"/>
    <w:rsid w:val="00013331"/>
    <w:rsid w:val="000134D8"/>
    <w:rsid w:val="00013AB0"/>
    <w:rsid w:val="00013E7B"/>
    <w:rsid w:val="000141E1"/>
    <w:rsid w:val="000142CB"/>
    <w:rsid w:val="000146F9"/>
    <w:rsid w:val="00014733"/>
    <w:rsid w:val="000148C3"/>
    <w:rsid w:val="0001495B"/>
    <w:rsid w:val="000149F2"/>
    <w:rsid w:val="00014D4F"/>
    <w:rsid w:val="0001512D"/>
    <w:rsid w:val="000151B2"/>
    <w:rsid w:val="0001565B"/>
    <w:rsid w:val="00015664"/>
    <w:rsid w:val="00015840"/>
    <w:rsid w:val="00015B2C"/>
    <w:rsid w:val="00016011"/>
    <w:rsid w:val="00016041"/>
    <w:rsid w:val="000162BB"/>
    <w:rsid w:val="0001641A"/>
    <w:rsid w:val="0001641C"/>
    <w:rsid w:val="000164E9"/>
    <w:rsid w:val="00016562"/>
    <w:rsid w:val="00016D07"/>
    <w:rsid w:val="00016F6A"/>
    <w:rsid w:val="00017605"/>
    <w:rsid w:val="00017821"/>
    <w:rsid w:val="000178F9"/>
    <w:rsid w:val="00017A77"/>
    <w:rsid w:val="00017B56"/>
    <w:rsid w:val="00017ECC"/>
    <w:rsid w:val="0002000E"/>
    <w:rsid w:val="000202A0"/>
    <w:rsid w:val="00020516"/>
    <w:rsid w:val="000216AF"/>
    <w:rsid w:val="00021703"/>
    <w:rsid w:val="00021834"/>
    <w:rsid w:val="00021BCD"/>
    <w:rsid w:val="00022451"/>
    <w:rsid w:val="0002255C"/>
    <w:rsid w:val="000228EA"/>
    <w:rsid w:val="00022F1F"/>
    <w:rsid w:val="00022F6E"/>
    <w:rsid w:val="00023260"/>
    <w:rsid w:val="00023320"/>
    <w:rsid w:val="00023359"/>
    <w:rsid w:val="00023C12"/>
    <w:rsid w:val="00023FC9"/>
    <w:rsid w:val="00024019"/>
    <w:rsid w:val="0002418D"/>
    <w:rsid w:val="00024311"/>
    <w:rsid w:val="00024373"/>
    <w:rsid w:val="000244AA"/>
    <w:rsid w:val="000244DB"/>
    <w:rsid w:val="000246B4"/>
    <w:rsid w:val="0002483A"/>
    <w:rsid w:val="000248C2"/>
    <w:rsid w:val="00024E74"/>
    <w:rsid w:val="00024F58"/>
    <w:rsid w:val="00024FC1"/>
    <w:rsid w:val="000252F9"/>
    <w:rsid w:val="000254C7"/>
    <w:rsid w:val="000255FE"/>
    <w:rsid w:val="00025A68"/>
    <w:rsid w:val="00025CB9"/>
    <w:rsid w:val="00025EEA"/>
    <w:rsid w:val="00025F35"/>
    <w:rsid w:val="0002616E"/>
    <w:rsid w:val="0002647A"/>
    <w:rsid w:val="000267F3"/>
    <w:rsid w:val="00026BF6"/>
    <w:rsid w:val="00027165"/>
    <w:rsid w:val="000277F0"/>
    <w:rsid w:val="00027DCF"/>
    <w:rsid w:val="0003010A"/>
    <w:rsid w:val="00030A6A"/>
    <w:rsid w:val="00030DA2"/>
    <w:rsid w:val="00030F96"/>
    <w:rsid w:val="00030FBF"/>
    <w:rsid w:val="00031098"/>
    <w:rsid w:val="00031480"/>
    <w:rsid w:val="00031530"/>
    <w:rsid w:val="00031637"/>
    <w:rsid w:val="0003184C"/>
    <w:rsid w:val="000318AB"/>
    <w:rsid w:val="00031A9D"/>
    <w:rsid w:val="00031B14"/>
    <w:rsid w:val="00031E46"/>
    <w:rsid w:val="00031E67"/>
    <w:rsid w:val="000327F0"/>
    <w:rsid w:val="00032B95"/>
    <w:rsid w:val="00032BAA"/>
    <w:rsid w:val="00032C97"/>
    <w:rsid w:val="0003308F"/>
    <w:rsid w:val="00033478"/>
    <w:rsid w:val="000334F3"/>
    <w:rsid w:val="00033526"/>
    <w:rsid w:val="00033582"/>
    <w:rsid w:val="00033BB2"/>
    <w:rsid w:val="00033CEE"/>
    <w:rsid w:val="00033F1A"/>
    <w:rsid w:val="00033FC6"/>
    <w:rsid w:val="0003410C"/>
    <w:rsid w:val="0003420B"/>
    <w:rsid w:val="000345CA"/>
    <w:rsid w:val="0003476B"/>
    <w:rsid w:val="00034862"/>
    <w:rsid w:val="00034CCC"/>
    <w:rsid w:val="00034CDD"/>
    <w:rsid w:val="00034CFB"/>
    <w:rsid w:val="00034F21"/>
    <w:rsid w:val="0003501F"/>
    <w:rsid w:val="00035351"/>
    <w:rsid w:val="0003544C"/>
    <w:rsid w:val="00035748"/>
    <w:rsid w:val="000358D7"/>
    <w:rsid w:val="000359A7"/>
    <w:rsid w:val="00035D2C"/>
    <w:rsid w:val="00035D6C"/>
    <w:rsid w:val="00035FBA"/>
    <w:rsid w:val="000360C1"/>
    <w:rsid w:val="0003651F"/>
    <w:rsid w:val="0003661D"/>
    <w:rsid w:val="00036641"/>
    <w:rsid w:val="000367A1"/>
    <w:rsid w:val="0003687F"/>
    <w:rsid w:val="0003688B"/>
    <w:rsid w:val="000369AA"/>
    <w:rsid w:val="00036B0A"/>
    <w:rsid w:val="000370C3"/>
    <w:rsid w:val="00037196"/>
    <w:rsid w:val="000371E5"/>
    <w:rsid w:val="000373C1"/>
    <w:rsid w:val="00037742"/>
    <w:rsid w:val="00037761"/>
    <w:rsid w:val="00037C67"/>
    <w:rsid w:val="00037D27"/>
    <w:rsid w:val="00037FBA"/>
    <w:rsid w:val="0004042B"/>
    <w:rsid w:val="0004056B"/>
    <w:rsid w:val="00040738"/>
    <w:rsid w:val="00040747"/>
    <w:rsid w:val="0004081D"/>
    <w:rsid w:val="000409BF"/>
    <w:rsid w:val="00040A40"/>
    <w:rsid w:val="00040B05"/>
    <w:rsid w:val="00040BF9"/>
    <w:rsid w:val="00041463"/>
    <w:rsid w:val="00041DBD"/>
    <w:rsid w:val="00041E3A"/>
    <w:rsid w:val="00041EA3"/>
    <w:rsid w:val="00041FC8"/>
    <w:rsid w:val="000422B8"/>
    <w:rsid w:val="0004239F"/>
    <w:rsid w:val="000423EC"/>
    <w:rsid w:val="000424A8"/>
    <w:rsid w:val="00042759"/>
    <w:rsid w:val="00042856"/>
    <w:rsid w:val="000428E7"/>
    <w:rsid w:val="00042A95"/>
    <w:rsid w:val="00042AB3"/>
    <w:rsid w:val="00042EA3"/>
    <w:rsid w:val="00042FDF"/>
    <w:rsid w:val="00042FF0"/>
    <w:rsid w:val="0004311C"/>
    <w:rsid w:val="0004322A"/>
    <w:rsid w:val="0004324A"/>
    <w:rsid w:val="000432CB"/>
    <w:rsid w:val="000432D1"/>
    <w:rsid w:val="00043B4B"/>
    <w:rsid w:val="00044032"/>
    <w:rsid w:val="00044263"/>
    <w:rsid w:val="00044994"/>
    <w:rsid w:val="00044E6C"/>
    <w:rsid w:val="00044FBE"/>
    <w:rsid w:val="00045181"/>
    <w:rsid w:val="00045483"/>
    <w:rsid w:val="000454AF"/>
    <w:rsid w:val="000454BF"/>
    <w:rsid w:val="00045772"/>
    <w:rsid w:val="000458A4"/>
    <w:rsid w:val="000459A3"/>
    <w:rsid w:val="0004611B"/>
    <w:rsid w:val="00046392"/>
    <w:rsid w:val="000469B9"/>
    <w:rsid w:val="00046C4B"/>
    <w:rsid w:val="00046CE5"/>
    <w:rsid w:val="00046D09"/>
    <w:rsid w:val="000471C6"/>
    <w:rsid w:val="00047203"/>
    <w:rsid w:val="0004748B"/>
    <w:rsid w:val="000475A3"/>
    <w:rsid w:val="00047780"/>
    <w:rsid w:val="00047AC0"/>
    <w:rsid w:val="00047C10"/>
    <w:rsid w:val="00047CF5"/>
    <w:rsid w:val="0005016A"/>
    <w:rsid w:val="000501D8"/>
    <w:rsid w:val="000506B1"/>
    <w:rsid w:val="000509D1"/>
    <w:rsid w:val="00050BC3"/>
    <w:rsid w:val="00050D2D"/>
    <w:rsid w:val="00051036"/>
    <w:rsid w:val="0005115D"/>
    <w:rsid w:val="000512AB"/>
    <w:rsid w:val="00051647"/>
    <w:rsid w:val="00051682"/>
    <w:rsid w:val="0005174E"/>
    <w:rsid w:val="000517BE"/>
    <w:rsid w:val="00051D57"/>
    <w:rsid w:val="00051E5E"/>
    <w:rsid w:val="0005269C"/>
    <w:rsid w:val="00052AE7"/>
    <w:rsid w:val="00052F24"/>
    <w:rsid w:val="00052FD7"/>
    <w:rsid w:val="000530AF"/>
    <w:rsid w:val="000533BB"/>
    <w:rsid w:val="0005360C"/>
    <w:rsid w:val="0005365C"/>
    <w:rsid w:val="00053BF8"/>
    <w:rsid w:val="00053C32"/>
    <w:rsid w:val="00053D39"/>
    <w:rsid w:val="00053DFA"/>
    <w:rsid w:val="00053E7A"/>
    <w:rsid w:val="000540B6"/>
    <w:rsid w:val="0005434E"/>
    <w:rsid w:val="000547C9"/>
    <w:rsid w:val="0005485E"/>
    <w:rsid w:val="00054A79"/>
    <w:rsid w:val="00054E16"/>
    <w:rsid w:val="00054FF3"/>
    <w:rsid w:val="000552A6"/>
    <w:rsid w:val="00055338"/>
    <w:rsid w:val="00055631"/>
    <w:rsid w:val="0005580B"/>
    <w:rsid w:val="00055991"/>
    <w:rsid w:val="00055F34"/>
    <w:rsid w:val="000560C7"/>
    <w:rsid w:val="0005649A"/>
    <w:rsid w:val="0005651C"/>
    <w:rsid w:val="00056649"/>
    <w:rsid w:val="00056B33"/>
    <w:rsid w:val="00056BFF"/>
    <w:rsid w:val="00056CEA"/>
    <w:rsid w:val="00056D12"/>
    <w:rsid w:val="00056EB1"/>
    <w:rsid w:val="000570FA"/>
    <w:rsid w:val="000573FC"/>
    <w:rsid w:val="00057717"/>
    <w:rsid w:val="000578A4"/>
    <w:rsid w:val="00057D30"/>
    <w:rsid w:val="00057D34"/>
    <w:rsid w:val="00057E62"/>
    <w:rsid w:val="00060508"/>
    <w:rsid w:val="00060873"/>
    <w:rsid w:val="0006088F"/>
    <w:rsid w:val="00060ABE"/>
    <w:rsid w:val="00060F39"/>
    <w:rsid w:val="000610FE"/>
    <w:rsid w:val="0006124A"/>
    <w:rsid w:val="00061516"/>
    <w:rsid w:val="0006177D"/>
    <w:rsid w:val="00061D25"/>
    <w:rsid w:val="000623B5"/>
    <w:rsid w:val="0006266E"/>
    <w:rsid w:val="000627F6"/>
    <w:rsid w:val="00062933"/>
    <w:rsid w:val="0006295A"/>
    <w:rsid w:val="00062E10"/>
    <w:rsid w:val="000631D9"/>
    <w:rsid w:val="00063270"/>
    <w:rsid w:val="00063717"/>
    <w:rsid w:val="00063F33"/>
    <w:rsid w:val="00064326"/>
    <w:rsid w:val="0006447B"/>
    <w:rsid w:val="00064647"/>
    <w:rsid w:val="000647A1"/>
    <w:rsid w:val="00064A49"/>
    <w:rsid w:val="00064B3B"/>
    <w:rsid w:val="00064DA7"/>
    <w:rsid w:val="00064EC2"/>
    <w:rsid w:val="0006506A"/>
    <w:rsid w:val="000651D9"/>
    <w:rsid w:val="000659AE"/>
    <w:rsid w:val="00065A12"/>
    <w:rsid w:val="00065F34"/>
    <w:rsid w:val="00066092"/>
    <w:rsid w:val="00066544"/>
    <w:rsid w:val="000666D9"/>
    <w:rsid w:val="0006680D"/>
    <w:rsid w:val="00066D51"/>
    <w:rsid w:val="000672FC"/>
    <w:rsid w:val="000674D6"/>
    <w:rsid w:val="0006766A"/>
    <w:rsid w:val="00067716"/>
    <w:rsid w:val="00067733"/>
    <w:rsid w:val="000678EF"/>
    <w:rsid w:val="00067D23"/>
    <w:rsid w:val="00067DCA"/>
    <w:rsid w:val="00067E3E"/>
    <w:rsid w:val="00067EB0"/>
    <w:rsid w:val="0007028A"/>
    <w:rsid w:val="000707CC"/>
    <w:rsid w:val="00070EB5"/>
    <w:rsid w:val="000710D3"/>
    <w:rsid w:val="0007117E"/>
    <w:rsid w:val="00071185"/>
    <w:rsid w:val="00071439"/>
    <w:rsid w:val="00071B66"/>
    <w:rsid w:val="00071C35"/>
    <w:rsid w:val="00071D14"/>
    <w:rsid w:val="000720DA"/>
    <w:rsid w:val="00072449"/>
    <w:rsid w:val="000728C2"/>
    <w:rsid w:val="00072B33"/>
    <w:rsid w:val="00072EF9"/>
    <w:rsid w:val="00072FBE"/>
    <w:rsid w:val="00073223"/>
    <w:rsid w:val="000738A0"/>
    <w:rsid w:val="00073AFA"/>
    <w:rsid w:val="00073CF2"/>
    <w:rsid w:val="00073D16"/>
    <w:rsid w:val="000742C9"/>
    <w:rsid w:val="0007489A"/>
    <w:rsid w:val="00074A83"/>
    <w:rsid w:val="00074CEA"/>
    <w:rsid w:val="00074E68"/>
    <w:rsid w:val="00075008"/>
    <w:rsid w:val="0007519F"/>
    <w:rsid w:val="00075250"/>
    <w:rsid w:val="000755C1"/>
    <w:rsid w:val="000757D0"/>
    <w:rsid w:val="000759EC"/>
    <w:rsid w:val="000761C5"/>
    <w:rsid w:val="000761E1"/>
    <w:rsid w:val="00076630"/>
    <w:rsid w:val="0007666E"/>
    <w:rsid w:val="00076716"/>
    <w:rsid w:val="00076B84"/>
    <w:rsid w:val="00076E44"/>
    <w:rsid w:val="000770DF"/>
    <w:rsid w:val="00077480"/>
    <w:rsid w:val="000774CC"/>
    <w:rsid w:val="000776D9"/>
    <w:rsid w:val="0007774E"/>
    <w:rsid w:val="000777AA"/>
    <w:rsid w:val="000777BA"/>
    <w:rsid w:val="00077AD3"/>
    <w:rsid w:val="00077C2B"/>
    <w:rsid w:val="00077FD9"/>
    <w:rsid w:val="0008001F"/>
    <w:rsid w:val="0008009A"/>
    <w:rsid w:val="0008019D"/>
    <w:rsid w:val="000806F6"/>
    <w:rsid w:val="000809C9"/>
    <w:rsid w:val="00081034"/>
    <w:rsid w:val="00081A96"/>
    <w:rsid w:val="00081B75"/>
    <w:rsid w:val="00081CD6"/>
    <w:rsid w:val="00081D4F"/>
    <w:rsid w:val="00081F49"/>
    <w:rsid w:val="00082139"/>
    <w:rsid w:val="000828DF"/>
    <w:rsid w:val="00082A97"/>
    <w:rsid w:val="00082C26"/>
    <w:rsid w:val="00082DA2"/>
    <w:rsid w:val="00082E2C"/>
    <w:rsid w:val="00082E7D"/>
    <w:rsid w:val="000832CF"/>
    <w:rsid w:val="0008345E"/>
    <w:rsid w:val="00083563"/>
    <w:rsid w:val="000836CD"/>
    <w:rsid w:val="0008378A"/>
    <w:rsid w:val="000838DC"/>
    <w:rsid w:val="00083AAF"/>
    <w:rsid w:val="00083D71"/>
    <w:rsid w:val="00083E1C"/>
    <w:rsid w:val="00083F3B"/>
    <w:rsid w:val="00084503"/>
    <w:rsid w:val="0008463F"/>
    <w:rsid w:val="000846AE"/>
    <w:rsid w:val="000848D8"/>
    <w:rsid w:val="000848F6"/>
    <w:rsid w:val="00084B7C"/>
    <w:rsid w:val="00084CF8"/>
    <w:rsid w:val="00084DE2"/>
    <w:rsid w:val="00084F22"/>
    <w:rsid w:val="0008500C"/>
    <w:rsid w:val="0008502A"/>
    <w:rsid w:val="00085217"/>
    <w:rsid w:val="00085408"/>
    <w:rsid w:val="000857D1"/>
    <w:rsid w:val="00085B60"/>
    <w:rsid w:val="00085E39"/>
    <w:rsid w:val="00085E78"/>
    <w:rsid w:val="00086498"/>
    <w:rsid w:val="000864D4"/>
    <w:rsid w:val="00086583"/>
    <w:rsid w:val="000867F3"/>
    <w:rsid w:val="00086BCE"/>
    <w:rsid w:val="00086C03"/>
    <w:rsid w:val="00086C0F"/>
    <w:rsid w:val="00086D7E"/>
    <w:rsid w:val="00086DDD"/>
    <w:rsid w:val="00086FE6"/>
    <w:rsid w:val="0008721D"/>
    <w:rsid w:val="00087276"/>
    <w:rsid w:val="0008786D"/>
    <w:rsid w:val="0008791F"/>
    <w:rsid w:val="00087C2F"/>
    <w:rsid w:val="00087CB2"/>
    <w:rsid w:val="00090166"/>
    <w:rsid w:val="000904C2"/>
    <w:rsid w:val="0009074B"/>
    <w:rsid w:val="000908CA"/>
    <w:rsid w:val="000913C2"/>
    <w:rsid w:val="00091406"/>
    <w:rsid w:val="000916B2"/>
    <w:rsid w:val="0009187E"/>
    <w:rsid w:val="00091DAC"/>
    <w:rsid w:val="000920C4"/>
    <w:rsid w:val="0009230E"/>
    <w:rsid w:val="00092586"/>
    <w:rsid w:val="00092CCB"/>
    <w:rsid w:val="00092E8A"/>
    <w:rsid w:val="0009304A"/>
    <w:rsid w:val="000930D3"/>
    <w:rsid w:val="00093227"/>
    <w:rsid w:val="0009366C"/>
    <w:rsid w:val="00093AB0"/>
    <w:rsid w:val="00093C6C"/>
    <w:rsid w:val="00093F2E"/>
    <w:rsid w:val="00094224"/>
    <w:rsid w:val="00094225"/>
    <w:rsid w:val="0009458B"/>
    <w:rsid w:val="00094602"/>
    <w:rsid w:val="00094D25"/>
    <w:rsid w:val="00094FBA"/>
    <w:rsid w:val="000951A0"/>
    <w:rsid w:val="0009532B"/>
    <w:rsid w:val="000954A7"/>
    <w:rsid w:val="000954F7"/>
    <w:rsid w:val="000957EF"/>
    <w:rsid w:val="000958FB"/>
    <w:rsid w:val="00095936"/>
    <w:rsid w:val="00095A0F"/>
    <w:rsid w:val="00095A4F"/>
    <w:rsid w:val="00096112"/>
    <w:rsid w:val="00096549"/>
    <w:rsid w:val="0009655B"/>
    <w:rsid w:val="000965B1"/>
    <w:rsid w:val="00096736"/>
    <w:rsid w:val="000968A9"/>
    <w:rsid w:val="00096C53"/>
    <w:rsid w:val="00096CBD"/>
    <w:rsid w:val="00096E86"/>
    <w:rsid w:val="00096FDA"/>
    <w:rsid w:val="00097025"/>
    <w:rsid w:val="00097240"/>
    <w:rsid w:val="000972C9"/>
    <w:rsid w:val="00097478"/>
    <w:rsid w:val="000979E4"/>
    <w:rsid w:val="00097FA3"/>
    <w:rsid w:val="000A0051"/>
    <w:rsid w:val="000A0113"/>
    <w:rsid w:val="000A0349"/>
    <w:rsid w:val="000A0380"/>
    <w:rsid w:val="000A0639"/>
    <w:rsid w:val="000A0A6C"/>
    <w:rsid w:val="000A169A"/>
    <w:rsid w:val="000A186B"/>
    <w:rsid w:val="000A1AAD"/>
    <w:rsid w:val="000A1BC6"/>
    <w:rsid w:val="000A1E41"/>
    <w:rsid w:val="000A1EB9"/>
    <w:rsid w:val="000A2160"/>
    <w:rsid w:val="000A2288"/>
    <w:rsid w:val="000A26D2"/>
    <w:rsid w:val="000A2846"/>
    <w:rsid w:val="000A295B"/>
    <w:rsid w:val="000A2983"/>
    <w:rsid w:val="000A2C0B"/>
    <w:rsid w:val="000A2E61"/>
    <w:rsid w:val="000A303F"/>
    <w:rsid w:val="000A30FE"/>
    <w:rsid w:val="000A316E"/>
    <w:rsid w:val="000A34E3"/>
    <w:rsid w:val="000A364B"/>
    <w:rsid w:val="000A3699"/>
    <w:rsid w:val="000A381E"/>
    <w:rsid w:val="000A3925"/>
    <w:rsid w:val="000A3CF4"/>
    <w:rsid w:val="000A430D"/>
    <w:rsid w:val="000A44AC"/>
    <w:rsid w:val="000A4595"/>
    <w:rsid w:val="000A4D9D"/>
    <w:rsid w:val="000A5194"/>
    <w:rsid w:val="000A536F"/>
    <w:rsid w:val="000A5371"/>
    <w:rsid w:val="000A5549"/>
    <w:rsid w:val="000A56B5"/>
    <w:rsid w:val="000A5ACE"/>
    <w:rsid w:val="000A5BA4"/>
    <w:rsid w:val="000A5BCD"/>
    <w:rsid w:val="000A5D70"/>
    <w:rsid w:val="000A5DC3"/>
    <w:rsid w:val="000A621B"/>
    <w:rsid w:val="000A63D4"/>
    <w:rsid w:val="000A673C"/>
    <w:rsid w:val="000A69A7"/>
    <w:rsid w:val="000A726A"/>
    <w:rsid w:val="000A72D0"/>
    <w:rsid w:val="000A7C60"/>
    <w:rsid w:val="000A7E14"/>
    <w:rsid w:val="000B0344"/>
    <w:rsid w:val="000B069B"/>
    <w:rsid w:val="000B0714"/>
    <w:rsid w:val="000B0786"/>
    <w:rsid w:val="000B0906"/>
    <w:rsid w:val="000B096B"/>
    <w:rsid w:val="000B0A6F"/>
    <w:rsid w:val="000B1068"/>
    <w:rsid w:val="000B132E"/>
    <w:rsid w:val="000B1442"/>
    <w:rsid w:val="000B15EF"/>
    <w:rsid w:val="000B16B5"/>
    <w:rsid w:val="000B19B7"/>
    <w:rsid w:val="000B19C0"/>
    <w:rsid w:val="000B1D1F"/>
    <w:rsid w:val="000B1EEE"/>
    <w:rsid w:val="000B2078"/>
    <w:rsid w:val="000B212B"/>
    <w:rsid w:val="000B2241"/>
    <w:rsid w:val="000B2382"/>
    <w:rsid w:val="000B23D6"/>
    <w:rsid w:val="000B255B"/>
    <w:rsid w:val="000B29FF"/>
    <w:rsid w:val="000B2A8A"/>
    <w:rsid w:val="000B2A9E"/>
    <w:rsid w:val="000B2CB0"/>
    <w:rsid w:val="000B2EA6"/>
    <w:rsid w:val="000B2F75"/>
    <w:rsid w:val="000B31B0"/>
    <w:rsid w:val="000B3226"/>
    <w:rsid w:val="000B35BD"/>
    <w:rsid w:val="000B3633"/>
    <w:rsid w:val="000B3698"/>
    <w:rsid w:val="000B3F29"/>
    <w:rsid w:val="000B40E0"/>
    <w:rsid w:val="000B4136"/>
    <w:rsid w:val="000B41E0"/>
    <w:rsid w:val="000B447F"/>
    <w:rsid w:val="000B4797"/>
    <w:rsid w:val="000B48AD"/>
    <w:rsid w:val="000B4B68"/>
    <w:rsid w:val="000B4BD9"/>
    <w:rsid w:val="000B4C8C"/>
    <w:rsid w:val="000B4CDC"/>
    <w:rsid w:val="000B4E22"/>
    <w:rsid w:val="000B4E46"/>
    <w:rsid w:val="000B5188"/>
    <w:rsid w:val="000B55D6"/>
    <w:rsid w:val="000B5727"/>
    <w:rsid w:val="000B5742"/>
    <w:rsid w:val="000B582D"/>
    <w:rsid w:val="000B5BE0"/>
    <w:rsid w:val="000B5E98"/>
    <w:rsid w:val="000B5F82"/>
    <w:rsid w:val="000B621C"/>
    <w:rsid w:val="000B6432"/>
    <w:rsid w:val="000B6514"/>
    <w:rsid w:val="000B69C6"/>
    <w:rsid w:val="000B6A92"/>
    <w:rsid w:val="000B6B60"/>
    <w:rsid w:val="000B6DB1"/>
    <w:rsid w:val="000B6FFD"/>
    <w:rsid w:val="000B70E9"/>
    <w:rsid w:val="000B7180"/>
    <w:rsid w:val="000B721F"/>
    <w:rsid w:val="000B746C"/>
    <w:rsid w:val="000B75C0"/>
    <w:rsid w:val="000B7B1F"/>
    <w:rsid w:val="000C00E6"/>
    <w:rsid w:val="000C06A1"/>
    <w:rsid w:val="000C074A"/>
    <w:rsid w:val="000C08D9"/>
    <w:rsid w:val="000C0AB5"/>
    <w:rsid w:val="000C0D3E"/>
    <w:rsid w:val="000C0DED"/>
    <w:rsid w:val="000C1563"/>
    <w:rsid w:val="000C16AF"/>
    <w:rsid w:val="000C19A2"/>
    <w:rsid w:val="000C1E3A"/>
    <w:rsid w:val="000C1E5B"/>
    <w:rsid w:val="000C2335"/>
    <w:rsid w:val="000C3357"/>
    <w:rsid w:val="000C33F7"/>
    <w:rsid w:val="000C349C"/>
    <w:rsid w:val="000C3630"/>
    <w:rsid w:val="000C3A9B"/>
    <w:rsid w:val="000C3C2E"/>
    <w:rsid w:val="000C3F23"/>
    <w:rsid w:val="000C411B"/>
    <w:rsid w:val="000C44A4"/>
    <w:rsid w:val="000C4698"/>
    <w:rsid w:val="000C473D"/>
    <w:rsid w:val="000C54F0"/>
    <w:rsid w:val="000C54FB"/>
    <w:rsid w:val="000C5680"/>
    <w:rsid w:val="000C5B19"/>
    <w:rsid w:val="000C5CF8"/>
    <w:rsid w:val="000C5CFC"/>
    <w:rsid w:val="000C5DB1"/>
    <w:rsid w:val="000C5F9C"/>
    <w:rsid w:val="000C6189"/>
    <w:rsid w:val="000C63BF"/>
    <w:rsid w:val="000C6522"/>
    <w:rsid w:val="000C675A"/>
    <w:rsid w:val="000C6901"/>
    <w:rsid w:val="000C69B2"/>
    <w:rsid w:val="000C69E0"/>
    <w:rsid w:val="000C6E92"/>
    <w:rsid w:val="000C754E"/>
    <w:rsid w:val="000C7652"/>
    <w:rsid w:val="000C7763"/>
    <w:rsid w:val="000C77E9"/>
    <w:rsid w:val="000C78A6"/>
    <w:rsid w:val="000C7B1A"/>
    <w:rsid w:val="000D040A"/>
    <w:rsid w:val="000D0440"/>
    <w:rsid w:val="000D044D"/>
    <w:rsid w:val="000D0B3C"/>
    <w:rsid w:val="000D0E2C"/>
    <w:rsid w:val="000D191F"/>
    <w:rsid w:val="000D1BA4"/>
    <w:rsid w:val="000D1E6A"/>
    <w:rsid w:val="000D209F"/>
    <w:rsid w:val="000D21F0"/>
    <w:rsid w:val="000D2279"/>
    <w:rsid w:val="000D242F"/>
    <w:rsid w:val="000D25D3"/>
    <w:rsid w:val="000D2784"/>
    <w:rsid w:val="000D283E"/>
    <w:rsid w:val="000D2B55"/>
    <w:rsid w:val="000D2BAE"/>
    <w:rsid w:val="000D2D55"/>
    <w:rsid w:val="000D2EB8"/>
    <w:rsid w:val="000D3297"/>
    <w:rsid w:val="000D3720"/>
    <w:rsid w:val="000D39A9"/>
    <w:rsid w:val="000D3A96"/>
    <w:rsid w:val="000D3CB5"/>
    <w:rsid w:val="000D41CF"/>
    <w:rsid w:val="000D42A7"/>
    <w:rsid w:val="000D4425"/>
    <w:rsid w:val="000D44A3"/>
    <w:rsid w:val="000D45D6"/>
    <w:rsid w:val="000D48CA"/>
    <w:rsid w:val="000D50F0"/>
    <w:rsid w:val="000D5533"/>
    <w:rsid w:val="000D5701"/>
    <w:rsid w:val="000D5813"/>
    <w:rsid w:val="000D58B8"/>
    <w:rsid w:val="000D5979"/>
    <w:rsid w:val="000D5C8B"/>
    <w:rsid w:val="000D5C9C"/>
    <w:rsid w:val="000D5D30"/>
    <w:rsid w:val="000D5E5C"/>
    <w:rsid w:val="000D6233"/>
    <w:rsid w:val="000D6367"/>
    <w:rsid w:val="000D63A2"/>
    <w:rsid w:val="000D6CE6"/>
    <w:rsid w:val="000D6CF1"/>
    <w:rsid w:val="000D6F2F"/>
    <w:rsid w:val="000D7550"/>
    <w:rsid w:val="000D76A4"/>
    <w:rsid w:val="000D7721"/>
    <w:rsid w:val="000D7994"/>
    <w:rsid w:val="000D7A2C"/>
    <w:rsid w:val="000D7B4F"/>
    <w:rsid w:val="000D7BA8"/>
    <w:rsid w:val="000D7CA5"/>
    <w:rsid w:val="000D7CE9"/>
    <w:rsid w:val="000D7DE5"/>
    <w:rsid w:val="000D7E01"/>
    <w:rsid w:val="000E00EF"/>
    <w:rsid w:val="000E0518"/>
    <w:rsid w:val="000E1318"/>
    <w:rsid w:val="000E17DA"/>
    <w:rsid w:val="000E1A17"/>
    <w:rsid w:val="000E1EFD"/>
    <w:rsid w:val="000E20BB"/>
    <w:rsid w:val="000E212E"/>
    <w:rsid w:val="000E2637"/>
    <w:rsid w:val="000E2A99"/>
    <w:rsid w:val="000E2AB0"/>
    <w:rsid w:val="000E2B99"/>
    <w:rsid w:val="000E2BD2"/>
    <w:rsid w:val="000E2CA0"/>
    <w:rsid w:val="000E31B0"/>
    <w:rsid w:val="000E3725"/>
    <w:rsid w:val="000E3788"/>
    <w:rsid w:val="000E37DE"/>
    <w:rsid w:val="000E395A"/>
    <w:rsid w:val="000E3AE3"/>
    <w:rsid w:val="000E3AEC"/>
    <w:rsid w:val="000E3B06"/>
    <w:rsid w:val="000E3C92"/>
    <w:rsid w:val="000E3E44"/>
    <w:rsid w:val="000E3FD3"/>
    <w:rsid w:val="000E42FC"/>
    <w:rsid w:val="000E4381"/>
    <w:rsid w:val="000E448A"/>
    <w:rsid w:val="000E44AB"/>
    <w:rsid w:val="000E46A5"/>
    <w:rsid w:val="000E4794"/>
    <w:rsid w:val="000E4796"/>
    <w:rsid w:val="000E4956"/>
    <w:rsid w:val="000E4B26"/>
    <w:rsid w:val="000E503C"/>
    <w:rsid w:val="000E53A5"/>
    <w:rsid w:val="000E565C"/>
    <w:rsid w:val="000E5669"/>
    <w:rsid w:val="000E56E8"/>
    <w:rsid w:val="000E5950"/>
    <w:rsid w:val="000E59BE"/>
    <w:rsid w:val="000E5AFA"/>
    <w:rsid w:val="000E5B8B"/>
    <w:rsid w:val="000E6700"/>
    <w:rsid w:val="000E687C"/>
    <w:rsid w:val="000E696A"/>
    <w:rsid w:val="000E6D7B"/>
    <w:rsid w:val="000E6EC0"/>
    <w:rsid w:val="000E7039"/>
    <w:rsid w:val="000E706B"/>
    <w:rsid w:val="000E70E4"/>
    <w:rsid w:val="000E7857"/>
    <w:rsid w:val="000E78A7"/>
    <w:rsid w:val="000E7968"/>
    <w:rsid w:val="000E7AB2"/>
    <w:rsid w:val="000E7C3F"/>
    <w:rsid w:val="000E7D85"/>
    <w:rsid w:val="000E7EA5"/>
    <w:rsid w:val="000F0203"/>
    <w:rsid w:val="000F03B2"/>
    <w:rsid w:val="000F03BD"/>
    <w:rsid w:val="000F03BE"/>
    <w:rsid w:val="000F08AB"/>
    <w:rsid w:val="000F0ADF"/>
    <w:rsid w:val="000F1019"/>
    <w:rsid w:val="000F1077"/>
    <w:rsid w:val="000F119C"/>
    <w:rsid w:val="000F1262"/>
    <w:rsid w:val="000F137D"/>
    <w:rsid w:val="000F1647"/>
    <w:rsid w:val="000F164A"/>
    <w:rsid w:val="000F1885"/>
    <w:rsid w:val="000F1BC6"/>
    <w:rsid w:val="000F200A"/>
    <w:rsid w:val="000F2199"/>
    <w:rsid w:val="000F2409"/>
    <w:rsid w:val="000F24EE"/>
    <w:rsid w:val="000F2675"/>
    <w:rsid w:val="000F27F5"/>
    <w:rsid w:val="000F2B0A"/>
    <w:rsid w:val="000F2D5C"/>
    <w:rsid w:val="000F2D5F"/>
    <w:rsid w:val="000F33BF"/>
    <w:rsid w:val="000F347B"/>
    <w:rsid w:val="000F3485"/>
    <w:rsid w:val="000F34D5"/>
    <w:rsid w:val="000F3898"/>
    <w:rsid w:val="000F39B1"/>
    <w:rsid w:val="000F3A77"/>
    <w:rsid w:val="000F3BB5"/>
    <w:rsid w:val="000F3D9F"/>
    <w:rsid w:val="000F3F69"/>
    <w:rsid w:val="000F429B"/>
    <w:rsid w:val="000F44CE"/>
    <w:rsid w:val="000F4535"/>
    <w:rsid w:val="000F4A23"/>
    <w:rsid w:val="000F4B16"/>
    <w:rsid w:val="000F4CC6"/>
    <w:rsid w:val="000F532D"/>
    <w:rsid w:val="000F533D"/>
    <w:rsid w:val="000F53B2"/>
    <w:rsid w:val="000F542E"/>
    <w:rsid w:val="000F58F8"/>
    <w:rsid w:val="000F5915"/>
    <w:rsid w:val="000F59BB"/>
    <w:rsid w:val="000F5AFE"/>
    <w:rsid w:val="000F5BD0"/>
    <w:rsid w:val="000F5BDA"/>
    <w:rsid w:val="000F6392"/>
    <w:rsid w:val="000F6422"/>
    <w:rsid w:val="000F665C"/>
    <w:rsid w:val="000F66E8"/>
    <w:rsid w:val="000F6A34"/>
    <w:rsid w:val="000F6D1C"/>
    <w:rsid w:val="000F6D61"/>
    <w:rsid w:val="000F73B3"/>
    <w:rsid w:val="000F74ED"/>
    <w:rsid w:val="000F76D5"/>
    <w:rsid w:val="000F7FF3"/>
    <w:rsid w:val="00100092"/>
    <w:rsid w:val="001001E7"/>
    <w:rsid w:val="0010050B"/>
    <w:rsid w:val="00100F83"/>
    <w:rsid w:val="00100F92"/>
    <w:rsid w:val="00101000"/>
    <w:rsid w:val="001010C4"/>
    <w:rsid w:val="001011E7"/>
    <w:rsid w:val="001012EF"/>
    <w:rsid w:val="00101478"/>
    <w:rsid w:val="001016A1"/>
    <w:rsid w:val="0010184E"/>
    <w:rsid w:val="001019A1"/>
    <w:rsid w:val="00101A44"/>
    <w:rsid w:val="00101B50"/>
    <w:rsid w:val="00101E53"/>
    <w:rsid w:val="0010203E"/>
    <w:rsid w:val="0010210A"/>
    <w:rsid w:val="001021E5"/>
    <w:rsid w:val="001021E8"/>
    <w:rsid w:val="001024BD"/>
    <w:rsid w:val="00102A2B"/>
    <w:rsid w:val="00102ABA"/>
    <w:rsid w:val="00102DE5"/>
    <w:rsid w:val="00102FB0"/>
    <w:rsid w:val="00103023"/>
    <w:rsid w:val="00103451"/>
    <w:rsid w:val="0010347D"/>
    <w:rsid w:val="00103569"/>
    <w:rsid w:val="00103693"/>
    <w:rsid w:val="00103A53"/>
    <w:rsid w:val="00104527"/>
    <w:rsid w:val="0010462F"/>
    <w:rsid w:val="00104AEA"/>
    <w:rsid w:val="00104B30"/>
    <w:rsid w:val="00104E4E"/>
    <w:rsid w:val="00105533"/>
    <w:rsid w:val="00105695"/>
    <w:rsid w:val="00105D14"/>
    <w:rsid w:val="00106455"/>
    <w:rsid w:val="001068D6"/>
    <w:rsid w:val="001068FE"/>
    <w:rsid w:val="00106B6A"/>
    <w:rsid w:val="00106B90"/>
    <w:rsid w:val="00106BA1"/>
    <w:rsid w:val="00106EDB"/>
    <w:rsid w:val="00106FAF"/>
    <w:rsid w:val="0010703C"/>
    <w:rsid w:val="00107194"/>
    <w:rsid w:val="00107451"/>
    <w:rsid w:val="001074BE"/>
    <w:rsid w:val="0010763E"/>
    <w:rsid w:val="0010772C"/>
    <w:rsid w:val="00107A27"/>
    <w:rsid w:val="00107C1C"/>
    <w:rsid w:val="00107EDD"/>
    <w:rsid w:val="00107F00"/>
    <w:rsid w:val="001100A1"/>
    <w:rsid w:val="00110288"/>
    <w:rsid w:val="0011030F"/>
    <w:rsid w:val="00110325"/>
    <w:rsid w:val="00110350"/>
    <w:rsid w:val="00110738"/>
    <w:rsid w:val="0011085B"/>
    <w:rsid w:val="001108F3"/>
    <w:rsid w:val="0011093B"/>
    <w:rsid w:val="0011095F"/>
    <w:rsid w:val="00110BF4"/>
    <w:rsid w:val="001112AB"/>
    <w:rsid w:val="001112F8"/>
    <w:rsid w:val="00111430"/>
    <w:rsid w:val="001115DE"/>
    <w:rsid w:val="0011167A"/>
    <w:rsid w:val="00111824"/>
    <w:rsid w:val="001119C7"/>
    <w:rsid w:val="00111CC4"/>
    <w:rsid w:val="00111CEF"/>
    <w:rsid w:val="00111DE5"/>
    <w:rsid w:val="00111FCD"/>
    <w:rsid w:val="0011210F"/>
    <w:rsid w:val="0011242B"/>
    <w:rsid w:val="00112887"/>
    <w:rsid w:val="00112CD3"/>
    <w:rsid w:val="001133A4"/>
    <w:rsid w:val="00113624"/>
    <w:rsid w:val="0011369A"/>
    <w:rsid w:val="001137CE"/>
    <w:rsid w:val="00113820"/>
    <w:rsid w:val="001138A5"/>
    <w:rsid w:val="00113A66"/>
    <w:rsid w:val="00113D80"/>
    <w:rsid w:val="00113DC6"/>
    <w:rsid w:val="00113FA4"/>
    <w:rsid w:val="00113FC6"/>
    <w:rsid w:val="0011432E"/>
    <w:rsid w:val="001147A8"/>
    <w:rsid w:val="00114925"/>
    <w:rsid w:val="00114FE3"/>
    <w:rsid w:val="001158D8"/>
    <w:rsid w:val="00115923"/>
    <w:rsid w:val="00115A6B"/>
    <w:rsid w:val="00115A99"/>
    <w:rsid w:val="00115B8D"/>
    <w:rsid w:val="00115D63"/>
    <w:rsid w:val="00115E1F"/>
    <w:rsid w:val="00115FBB"/>
    <w:rsid w:val="00116130"/>
    <w:rsid w:val="001161B2"/>
    <w:rsid w:val="001165DA"/>
    <w:rsid w:val="00116C99"/>
    <w:rsid w:val="00116E9B"/>
    <w:rsid w:val="00116FFF"/>
    <w:rsid w:val="001170FE"/>
    <w:rsid w:val="00117233"/>
    <w:rsid w:val="00117305"/>
    <w:rsid w:val="0011739D"/>
    <w:rsid w:val="00117739"/>
    <w:rsid w:val="00117993"/>
    <w:rsid w:val="00117EB7"/>
    <w:rsid w:val="00120363"/>
    <w:rsid w:val="00120939"/>
    <w:rsid w:val="00120BC2"/>
    <w:rsid w:val="00120E28"/>
    <w:rsid w:val="0012157B"/>
    <w:rsid w:val="00121953"/>
    <w:rsid w:val="00121B90"/>
    <w:rsid w:val="00121D48"/>
    <w:rsid w:val="00122014"/>
    <w:rsid w:val="0012211F"/>
    <w:rsid w:val="00122766"/>
    <w:rsid w:val="001237FF"/>
    <w:rsid w:val="00123B57"/>
    <w:rsid w:val="00123D6D"/>
    <w:rsid w:val="00124010"/>
    <w:rsid w:val="001240EA"/>
    <w:rsid w:val="0012467F"/>
    <w:rsid w:val="001246A1"/>
    <w:rsid w:val="001246E6"/>
    <w:rsid w:val="00124C12"/>
    <w:rsid w:val="00124ED9"/>
    <w:rsid w:val="0012503C"/>
    <w:rsid w:val="001250E6"/>
    <w:rsid w:val="00125564"/>
    <w:rsid w:val="00125627"/>
    <w:rsid w:val="00125694"/>
    <w:rsid w:val="001258C8"/>
    <w:rsid w:val="00125D19"/>
    <w:rsid w:val="00125F15"/>
    <w:rsid w:val="00125FFF"/>
    <w:rsid w:val="00126610"/>
    <w:rsid w:val="00126751"/>
    <w:rsid w:val="00126B67"/>
    <w:rsid w:val="00126DE4"/>
    <w:rsid w:val="00126E5C"/>
    <w:rsid w:val="001275BA"/>
    <w:rsid w:val="0012777D"/>
    <w:rsid w:val="00127BF5"/>
    <w:rsid w:val="00127EE9"/>
    <w:rsid w:val="001301CC"/>
    <w:rsid w:val="0013021E"/>
    <w:rsid w:val="0013043F"/>
    <w:rsid w:val="0013074B"/>
    <w:rsid w:val="001309C9"/>
    <w:rsid w:val="00130F06"/>
    <w:rsid w:val="001313B1"/>
    <w:rsid w:val="001314C8"/>
    <w:rsid w:val="001315EB"/>
    <w:rsid w:val="001317CD"/>
    <w:rsid w:val="00131968"/>
    <w:rsid w:val="0013196E"/>
    <w:rsid w:val="00131C4C"/>
    <w:rsid w:val="00131E47"/>
    <w:rsid w:val="001321C9"/>
    <w:rsid w:val="001323C4"/>
    <w:rsid w:val="00132473"/>
    <w:rsid w:val="00132947"/>
    <w:rsid w:val="00132C76"/>
    <w:rsid w:val="00132EBA"/>
    <w:rsid w:val="00133225"/>
    <w:rsid w:val="00133303"/>
    <w:rsid w:val="00133710"/>
    <w:rsid w:val="0013393E"/>
    <w:rsid w:val="001339A3"/>
    <w:rsid w:val="00133A75"/>
    <w:rsid w:val="00133B6C"/>
    <w:rsid w:val="0013400A"/>
    <w:rsid w:val="00134011"/>
    <w:rsid w:val="00134145"/>
    <w:rsid w:val="00134547"/>
    <w:rsid w:val="001346C6"/>
    <w:rsid w:val="00134A2A"/>
    <w:rsid w:val="00134A90"/>
    <w:rsid w:val="0013504B"/>
    <w:rsid w:val="00135159"/>
    <w:rsid w:val="00135463"/>
    <w:rsid w:val="00135524"/>
    <w:rsid w:val="00135554"/>
    <w:rsid w:val="0013568E"/>
    <w:rsid w:val="00135814"/>
    <w:rsid w:val="00135BDE"/>
    <w:rsid w:val="00136065"/>
    <w:rsid w:val="001362A3"/>
    <w:rsid w:val="0013662A"/>
    <w:rsid w:val="00136888"/>
    <w:rsid w:val="00136A55"/>
    <w:rsid w:val="00136CC6"/>
    <w:rsid w:val="00136D31"/>
    <w:rsid w:val="00136DB1"/>
    <w:rsid w:val="0013728F"/>
    <w:rsid w:val="00137353"/>
    <w:rsid w:val="00137547"/>
    <w:rsid w:val="00137697"/>
    <w:rsid w:val="001376F7"/>
    <w:rsid w:val="001401D5"/>
    <w:rsid w:val="00140475"/>
    <w:rsid w:val="00140549"/>
    <w:rsid w:val="0014078D"/>
    <w:rsid w:val="00140A3D"/>
    <w:rsid w:val="00140B72"/>
    <w:rsid w:val="00140C61"/>
    <w:rsid w:val="00140D50"/>
    <w:rsid w:val="00140E4E"/>
    <w:rsid w:val="00140FAB"/>
    <w:rsid w:val="00141302"/>
    <w:rsid w:val="00141B33"/>
    <w:rsid w:val="00141C3B"/>
    <w:rsid w:val="00141EB4"/>
    <w:rsid w:val="0014264A"/>
    <w:rsid w:val="001428F5"/>
    <w:rsid w:val="00142D0E"/>
    <w:rsid w:val="00142DC9"/>
    <w:rsid w:val="00142E3F"/>
    <w:rsid w:val="00142F69"/>
    <w:rsid w:val="00142FA5"/>
    <w:rsid w:val="0014326A"/>
    <w:rsid w:val="00143295"/>
    <w:rsid w:val="0014331B"/>
    <w:rsid w:val="00143503"/>
    <w:rsid w:val="0014365C"/>
    <w:rsid w:val="00143C8E"/>
    <w:rsid w:val="00144198"/>
    <w:rsid w:val="001441A7"/>
    <w:rsid w:val="001441D3"/>
    <w:rsid w:val="00144519"/>
    <w:rsid w:val="001445B5"/>
    <w:rsid w:val="001445FF"/>
    <w:rsid w:val="00144D13"/>
    <w:rsid w:val="00144DFF"/>
    <w:rsid w:val="00144EDC"/>
    <w:rsid w:val="001452CE"/>
    <w:rsid w:val="00145523"/>
    <w:rsid w:val="001457B3"/>
    <w:rsid w:val="0014583D"/>
    <w:rsid w:val="0014587A"/>
    <w:rsid w:val="00145944"/>
    <w:rsid w:val="00145A9A"/>
    <w:rsid w:val="00145C50"/>
    <w:rsid w:val="00145D38"/>
    <w:rsid w:val="00145FCC"/>
    <w:rsid w:val="001460D1"/>
    <w:rsid w:val="00146323"/>
    <w:rsid w:val="00146525"/>
    <w:rsid w:val="00146A58"/>
    <w:rsid w:val="00146DBC"/>
    <w:rsid w:val="00146E2D"/>
    <w:rsid w:val="00146E32"/>
    <w:rsid w:val="00146F49"/>
    <w:rsid w:val="0014725F"/>
    <w:rsid w:val="001476D6"/>
    <w:rsid w:val="0014795B"/>
    <w:rsid w:val="00147AA9"/>
    <w:rsid w:val="00147AFE"/>
    <w:rsid w:val="00147F58"/>
    <w:rsid w:val="00147FAA"/>
    <w:rsid w:val="0015040E"/>
    <w:rsid w:val="0015051C"/>
    <w:rsid w:val="0015056E"/>
    <w:rsid w:val="0015073A"/>
    <w:rsid w:val="001508EF"/>
    <w:rsid w:val="00150C8D"/>
    <w:rsid w:val="00151176"/>
    <w:rsid w:val="00151179"/>
    <w:rsid w:val="001511DE"/>
    <w:rsid w:val="001511F1"/>
    <w:rsid w:val="00151202"/>
    <w:rsid w:val="00151452"/>
    <w:rsid w:val="0015155F"/>
    <w:rsid w:val="001515F7"/>
    <w:rsid w:val="00152282"/>
    <w:rsid w:val="0015233D"/>
    <w:rsid w:val="00152560"/>
    <w:rsid w:val="001526D7"/>
    <w:rsid w:val="0015292D"/>
    <w:rsid w:val="00152E88"/>
    <w:rsid w:val="00152EE7"/>
    <w:rsid w:val="00153259"/>
    <w:rsid w:val="0015415F"/>
    <w:rsid w:val="00154290"/>
    <w:rsid w:val="001542F8"/>
    <w:rsid w:val="0015454B"/>
    <w:rsid w:val="001547B8"/>
    <w:rsid w:val="001548D3"/>
    <w:rsid w:val="001548F3"/>
    <w:rsid w:val="0015522D"/>
    <w:rsid w:val="0015524D"/>
    <w:rsid w:val="001553E6"/>
    <w:rsid w:val="00155429"/>
    <w:rsid w:val="001556A5"/>
    <w:rsid w:val="0015594C"/>
    <w:rsid w:val="00155A26"/>
    <w:rsid w:val="00155D58"/>
    <w:rsid w:val="00155EE1"/>
    <w:rsid w:val="001561E6"/>
    <w:rsid w:val="00156468"/>
    <w:rsid w:val="0015666A"/>
    <w:rsid w:val="001568CC"/>
    <w:rsid w:val="0015699D"/>
    <w:rsid w:val="00156CAC"/>
    <w:rsid w:val="00156D81"/>
    <w:rsid w:val="0015715A"/>
    <w:rsid w:val="00157311"/>
    <w:rsid w:val="001574BD"/>
    <w:rsid w:val="001575DA"/>
    <w:rsid w:val="0015762B"/>
    <w:rsid w:val="001576D9"/>
    <w:rsid w:val="001577F2"/>
    <w:rsid w:val="00157D41"/>
    <w:rsid w:val="00157EC1"/>
    <w:rsid w:val="00160004"/>
    <w:rsid w:val="00160250"/>
    <w:rsid w:val="00160386"/>
    <w:rsid w:val="001607A2"/>
    <w:rsid w:val="001607B9"/>
    <w:rsid w:val="0016093E"/>
    <w:rsid w:val="0016104D"/>
    <w:rsid w:val="00161145"/>
    <w:rsid w:val="001611D6"/>
    <w:rsid w:val="0016176D"/>
    <w:rsid w:val="001617B7"/>
    <w:rsid w:val="00161857"/>
    <w:rsid w:val="00161AA9"/>
    <w:rsid w:val="00161E48"/>
    <w:rsid w:val="00162230"/>
    <w:rsid w:val="001625E5"/>
    <w:rsid w:val="0016277A"/>
    <w:rsid w:val="00162BE8"/>
    <w:rsid w:val="00163121"/>
    <w:rsid w:val="0016355E"/>
    <w:rsid w:val="0016359D"/>
    <w:rsid w:val="00163751"/>
    <w:rsid w:val="00163783"/>
    <w:rsid w:val="00163D4E"/>
    <w:rsid w:val="001640BC"/>
    <w:rsid w:val="0016430F"/>
    <w:rsid w:val="001643FF"/>
    <w:rsid w:val="00164590"/>
    <w:rsid w:val="00164D3D"/>
    <w:rsid w:val="001651B7"/>
    <w:rsid w:val="00165325"/>
    <w:rsid w:val="001659A5"/>
    <w:rsid w:val="00165A9E"/>
    <w:rsid w:val="00165B17"/>
    <w:rsid w:val="00165CBD"/>
    <w:rsid w:val="00165E23"/>
    <w:rsid w:val="00166561"/>
    <w:rsid w:val="001665F7"/>
    <w:rsid w:val="0016678B"/>
    <w:rsid w:val="00166C20"/>
    <w:rsid w:val="00166DB8"/>
    <w:rsid w:val="00166EA0"/>
    <w:rsid w:val="00166F75"/>
    <w:rsid w:val="001670F4"/>
    <w:rsid w:val="001671CC"/>
    <w:rsid w:val="0016761F"/>
    <w:rsid w:val="00167667"/>
    <w:rsid w:val="001677CF"/>
    <w:rsid w:val="00167919"/>
    <w:rsid w:val="0017015E"/>
    <w:rsid w:val="001702AC"/>
    <w:rsid w:val="001708B6"/>
    <w:rsid w:val="00170C1F"/>
    <w:rsid w:val="00170F79"/>
    <w:rsid w:val="00170FB9"/>
    <w:rsid w:val="001710C3"/>
    <w:rsid w:val="001716FA"/>
    <w:rsid w:val="0017204B"/>
    <w:rsid w:val="001720BF"/>
    <w:rsid w:val="0017210F"/>
    <w:rsid w:val="001723E3"/>
    <w:rsid w:val="00172471"/>
    <w:rsid w:val="001726F8"/>
    <w:rsid w:val="00172963"/>
    <w:rsid w:val="00172A95"/>
    <w:rsid w:val="00172C17"/>
    <w:rsid w:val="00172F95"/>
    <w:rsid w:val="00173112"/>
    <w:rsid w:val="00173337"/>
    <w:rsid w:val="00173453"/>
    <w:rsid w:val="001734CC"/>
    <w:rsid w:val="00173502"/>
    <w:rsid w:val="0017380A"/>
    <w:rsid w:val="001739D0"/>
    <w:rsid w:val="00173B9D"/>
    <w:rsid w:val="00173D21"/>
    <w:rsid w:val="00173E1C"/>
    <w:rsid w:val="00173ED3"/>
    <w:rsid w:val="00173EFF"/>
    <w:rsid w:val="00173F8C"/>
    <w:rsid w:val="001740A7"/>
    <w:rsid w:val="0017437D"/>
    <w:rsid w:val="00174461"/>
    <w:rsid w:val="0017448C"/>
    <w:rsid w:val="001744C9"/>
    <w:rsid w:val="00174595"/>
    <w:rsid w:val="00174755"/>
    <w:rsid w:val="0017485C"/>
    <w:rsid w:val="00174B44"/>
    <w:rsid w:val="00174BDD"/>
    <w:rsid w:val="00174F9D"/>
    <w:rsid w:val="00175038"/>
    <w:rsid w:val="001755E6"/>
    <w:rsid w:val="0017566E"/>
    <w:rsid w:val="00175814"/>
    <w:rsid w:val="001759BD"/>
    <w:rsid w:val="00175DD5"/>
    <w:rsid w:val="00175FCA"/>
    <w:rsid w:val="001765FC"/>
    <w:rsid w:val="0017690F"/>
    <w:rsid w:val="00176B7A"/>
    <w:rsid w:val="00176D07"/>
    <w:rsid w:val="0017738D"/>
    <w:rsid w:val="001775FF"/>
    <w:rsid w:val="001776B4"/>
    <w:rsid w:val="00177741"/>
    <w:rsid w:val="00177AD2"/>
    <w:rsid w:val="00177BA1"/>
    <w:rsid w:val="00177C94"/>
    <w:rsid w:val="00177D57"/>
    <w:rsid w:val="00177DA1"/>
    <w:rsid w:val="00177E66"/>
    <w:rsid w:val="001801D2"/>
    <w:rsid w:val="001803B3"/>
    <w:rsid w:val="001804F2"/>
    <w:rsid w:val="00180689"/>
    <w:rsid w:val="001807A7"/>
    <w:rsid w:val="001809FC"/>
    <w:rsid w:val="00181683"/>
    <w:rsid w:val="00181A50"/>
    <w:rsid w:val="00181AD9"/>
    <w:rsid w:val="00181F5A"/>
    <w:rsid w:val="00182306"/>
    <w:rsid w:val="00182567"/>
    <w:rsid w:val="0018265C"/>
    <w:rsid w:val="001829E0"/>
    <w:rsid w:val="00182AEA"/>
    <w:rsid w:val="00182C82"/>
    <w:rsid w:val="00182DE9"/>
    <w:rsid w:val="00182E9B"/>
    <w:rsid w:val="001833C2"/>
    <w:rsid w:val="001835C6"/>
    <w:rsid w:val="001836D5"/>
    <w:rsid w:val="001836F1"/>
    <w:rsid w:val="001840B6"/>
    <w:rsid w:val="0018439D"/>
    <w:rsid w:val="00184491"/>
    <w:rsid w:val="001849D4"/>
    <w:rsid w:val="001849FF"/>
    <w:rsid w:val="00184A01"/>
    <w:rsid w:val="00184A42"/>
    <w:rsid w:val="00184B43"/>
    <w:rsid w:val="00184B46"/>
    <w:rsid w:val="00184E05"/>
    <w:rsid w:val="001852AD"/>
    <w:rsid w:val="00185621"/>
    <w:rsid w:val="00185625"/>
    <w:rsid w:val="001857C8"/>
    <w:rsid w:val="00185873"/>
    <w:rsid w:val="00185BD1"/>
    <w:rsid w:val="00186022"/>
    <w:rsid w:val="0018603D"/>
    <w:rsid w:val="00186384"/>
    <w:rsid w:val="0018682D"/>
    <w:rsid w:val="0018684D"/>
    <w:rsid w:val="00186AEC"/>
    <w:rsid w:val="00186BE0"/>
    <w:rsid w:val="00187594"/>
    <w:rsid w:val="0018761F"/>
    <w:rsid w:val="00187649"/>
    <w:rsid w:val="00187A96"/>
    <w:rsid w:val="00187E66"/>
    <w:rsid w:val="00190029"/>
    <w:rsid w:val="0019017C"/>
    <w:rsid w:val="00190251"/>
    <w:rsid w:val="00190296"/>
    <w:rsid w:val="0019054C"/>
    <w:rsid w:val="00190638"/>
    <w:rsid w:val="001906D3"/>
    <w:rsid w:val="0019098B"/>
    <w:rsid w:val="00190A21"/>
    <w:rsid w:val="00190BAA"/>
    <w:rsid w:val="00191188"/>
    <w:rsid w:val="0019134A"/>
    <w:rsid w:val="00191745"/>
    <w:rsid w:val="00191C6C"/>
    <w:rsid w:val="00191D95"/>
    <w:rsid w:val="00191E7B"/>
    <w:rsid w:val="0019218A"/>
    <w:rsid w:val="001921FD"/>
    <w:rsid w:val="001922B1"/>
    <w:rsid w:val="00192660"/>
    <w:rsid w:val="001927B2"/>
    <w:rsid w:val="0019286D"/>
    <w:rsid w:val="00192D09"/>
    <w:rsid w:val="00192F39"/>
    <w:rsid w:val="00193178"/>
    <w:rsid w:val="0019329B"/>
    <w:rsid w:val="0019329C"/>
    <w:rsid w:val="001933BD"/>
    <w:rsid w:val="001934BB"/>
    <w:rsid w:val="0019395A"/>
    <w:rsid w:val="0019395B"/>
    <w:rsid w:val="00193BC7"/>
    <w:rsid w:val="00193C16"/>
    <w:rsid w:val="00193C4C"/>
    <w:rsid w:val="00193DC1"/>
    <w:rsid w:val="00193E57"/>
    <w:rsid w:val="0019405E"/>
    <w:rsid w:val="001940F8"/>
    <w:rsid w:val="00194469"/>
    <w:rsid w:val="00194535"/>
    <w:rsid w:val="001946D6"/>
    <w:rsid w:val="00194C8A"/>
    <w:rsid w:val="00194D22"/>
    <w:rsid w:val="00194D77"/>
    <w:rsid w:val="00194EDA"/>
    <w:rsid w:val="001950F7"/>
    <w:rsid w:val="00195216"/>
    <w:rsid w:val="00195604"/>
    <w:rsid w:val="00195974"/>
    <w:rsid w:val="00195995"/>
    <w:rsid w:val="00195C4C"/>
    <w:rsid w:val="00195E07"/>
    <w:rsid w:val="00195E80"/>
    <w:rsid w:val="00196163"/>
    <w:rsid w:val="00196367"/>
    <w:rsid w:val="00196420"/>
    <w:rsid w:val="00196644"/>
    <w:rsid w:val="00196A08"/>
    <w:rsid w:val="00196E21"/>
    <w:rsid w:val="00196E56"/>
    <w:rsid w:val="00196F89"/>
    <w:rsid w:val="00197417"/>
    <w:rsid w:val="001979CE"/>
    <w:rsid w:val="00197B8C"/>
    <w:rsid w:val="00197D03"/>
    <w:rsid w:val="001A0252"/>
    <w:rsid w:val="001A04E6"/>
    <w:rsid w:val="001A04ED"/>
    <w:rsid w:val="001A0692"/>
    <w:rsid w:val="001A0A0A"/>
    <w:rsid w:val="001A0A41"/>
    <w:rsid w:val="001A0A82"/>
    <w:rsid w:val="001A0D55"/>
    <w:rsid w:val="001A1432"/>
    <w:rsid w:val="001A143B"/>
    <w:rsid w:val="001A19DB"/>
    <w:rsid w:val="001A1A2E"/>
    <w:rsid w:val="001A1F80"/>
    <w:rsid w:val="001A1FE9"/>
    <w:rsid w:val="001A209D"/>
    <w:rsid w:val="001A20AB"/>
    <w:rsid w:val="001A2168"/>
    <w:rsid w:val="001A227A"/>
    <w:rsid w:val="001A23B1"/>
    <w:rsid w:val="001A23F6"/>
    <w:rsid w:val="001A26D5"/>
    <w:rsid w:val="001A273D"/>
    <w:rsid w:val="001A27E3"/>
    <w:rsid w:val="001A2888"/>
    <w:rsid w:val="001A2B1B"/>
    <w:rsid w:val="001A2B69"/>
    <w:rsid w:val="001A2D31"/>
    <w:rsid w:val="001A2EE7"/>
    <w:rsid w:val="001A33E1"/>
    <w:rsid w:val="001A3515"/>
    <w:rsid w:val="001A3707"/>
    <w:rsid w:val="001A38A6"/>
    <w:rsid w:val="001A39E7"/>
    <w:rsid w:val="001A3CA2"/>
    <w:rsid w:val="001A3CB7"/>
    <w:rsid w:val="001A3CC1"/>
    <w:rsid w:val="001A3D97"/>
    <w:rsid w:val="001A4250"/>
    <w:rsid w:val="001A4564"/>
    <w:rsid w:val="001A47D3"/>
    <w:rsid w:val="001A48E8"/>
    <w:rsid w:val="001A4E61"/>
    <w:rsid w:val="001A4E77"/>
    <w:rsid w:val="001A507F"/>
    <w:rsid w:val="001A50FB"/>
    <w:rsid w:val="001A521F"/>
    <w:rsid w:val="001A5497"/>
    <w:rsid w:val="001A5600"/>
    <w:rsid w:val="001A56C8"/>
    <w:rsid w:val="001A59E8"/>
    <w:rsid w:val="001A5E03"/>
    <w:rsid w:val="001A5F35"/>
    <w:rsid w:val="001A5FA4"/>
    <w:rsid w:val="001A60D3"/>
    <w:rsid w:val="001A635E"/>
    <w:rsid w:val="001A6662"/>
    <w:rsid w:val="001A686F"/>
    <w:rsid w:val="001A68A9"/>
    <w:rsid w:val="001A6A19"/>
    <w:rsid w:val="001A7218"/>
    <w:rsid w:val="001A7594"/>
    <w:rsid w:val="001A7761"/>
    <w:rsid w:val="001A7840"/>
    <w:rsid w:val="001A7D66"/>
    <w:rsid w:val="001B00D0"/>
    <w:rsid w:val="001B026F"/>
    <w:rsid w:val="001B0428"/>
    <w:rsid w:val="001B05A0"/>
    <w:rsid w:val="001B07E5"/>
    <w:rsid w:val="001B09AD"/>
    <w:rsid w:val="001B09E4"/>
    <w:rsid w:val="001B0B21"/>
    <w:rsid w:val="001B1326"/>
    <w:rsid w:val="001B1560"/>
    <w:rsid w:val="001B161B"/>
    <w:rsid w:val="001B1C48"/>
    <w:rsid w:val="001B1E51"/>
    <w:rsid w:val="001B2205"/>
    <w:rsid w:val="001B2744"/>
    <w:rsid w:val="001B289E"/>
    <w:rsid w:val="001B2F4F"/>
    <w:rsid w:val="001B31DD"/>
    <w:rsid w:val="001B3220"/>
    <w:rsid w:val="001B3228"/>
    <w:rsid w:val="001B325A"/>
    <w:rsid w:val="001B32CE"/>
    <w:rsid w:val="001B3E22"/>
    <w:rsid w:val="001B3F27"/>
    <w:rsid w:val="001B4259"/>
    <w:rsid w:val="001B4380"/>
    <w:rsid w:val="001B43CF"/>
    <w:rsid w:val="001B4582"/>
    <w:rsid w:val="001B465C"/>
    <w:rsid w:val="001B482A"/>
    <w:rsid w:val="001B4892"/>
    <w:rsid w:val="001B49D3"/>
    <w:rsid w:val="001B49F5"/>
    <w:rsid w:val="001B5138"/>
    <w:rsid w:val="001B5164"/>
    <w:rsid w:val="001B5363"/>
    <w:rsid w:val="001B5380"/>
    <w:rsid w:val="001B53CB"/>
    <w:rsid w:val="001B542D"/>
    <w:rsid w:val="001B544B"/>
    <w:rsid w:val="001B5605"/>
    <w:rsid w:val="001B5A1F"/>
    <w:rsid w:val="001B5CC9"/>
    <w:rsid w:val="001B5E91"/>
    <w:rsid w:val="001B6197"/>
    <w:rsid w:val="001B652D"/>
    <w:rsid w:val="001B6F50"/>
    <w:rsid w:val="001B7268"/>
    <w:rsid w:val="001B7286"/>
    <w:rsid w:val="001B730F"/>
    <w:rsid w:val="001B732A"/>
    <w:rsid w:val="001B7610"/>
    <w:rsid w:val="001B7650"/>
    <w:rsid w:val="001B7710"/>
    <w:rsid w:val="001B7F31"/>
    <w:rsid w:val="001B7F51"/>
    <w:rsid w:val="001B7FAE"/>
    <w:rsid w:val="001B7FFA"/>
    <w:rsid w:val="001C05C1"/>
    <w:rsid w:val="001C08E3"/>
    <w:rsid w:val="001C092E"/>
    <w:rsid w:val="001C09ED"/>
    <w:rsid w:val="001C0F87"/>
    <w:rsid w:val="001C0FC9"/>
    <w:rsid w:val="001C109D"/>
    <w:rsid w:val="001C1950"/>
    <w:rsid w:val="001C1DE6"/>
    <w:rsid w:val="001C2218"/>
    <w:rsid w:val="001C22A9"/>
    <w:rsid w:val="001C2991"/>
    <w:rsid w:val="001C2C0C"/>
    <w:rsid w:val="001C2D62"/>
    <w:rsid w:val="001C2F3C"/>
    <w:rsid w:val="001C3176"/>
    <w:rsid w:val="001C3309"/>
    <w:rsid w:val="001C3457"/>
    <w:rsid w:val="001C3520"/>
    <w:rsid w:val="001C36AD"/>
    <w:rsid w:val="001C3F4B"/>
    <w:rsid w:val="001C400F"/>
    <w:rsid w:val="001C41EB"/>
    <w:rsid w:val="001C42C5"/>
    <w:rsid w:val="001C4729"/>
    <w:rsid w:val="001C487B"/>
    <w:rsid w:val="001C4935"/>
    <w:rsid w:val="001C49FC"/>
    <w:rsid w:val="001C4CB1"/>
    <w:rsid w:val="001C5302"/>
    <w:rsid w:val="001C54A9"/>
    <w:rsid w:val="001C564C"/>
    <w:rsid w:val="001C580F"/>
    <w:rsid w:val="001C5FEF"/>
    <w:rsid w:val="001C6045"/>
    <w:rsid w:val="001C6210"/>
    <w:rsid w:val="001C6293"/>
    <w:rsid w:val="001C644E"/>
    <w:rsid w:val="001C68BE"/>
    <w:rsid w:val="001C6B73"/>
    <w:rsid w:val="001C6D8B"/>
    <w:rsid w:val="001C6E00"/>
    <w:rsid w:val="001C6FE9"/>
    <w:rsid w:val="001C7205"/>
    <w:rsid w:val="001C773C"/>
    <w:rsid w:val="001C7C55"/>
    <w:rsid w:val="001C7DFF"/>
    <w:rsid w:val="001C7E22"/>
    <w:rsid w:val="001C7EC6"/>
    <w:rsid w:val="001D0140"/>
    <w:rsid w:val="001D0463"/>
    <w:rsid w:val="001D053F"/>
    <w:rsid w:val="001D07B9"/>
    <w:rsid w:val="001D0DBD"/>
    <w:rsid w:val="001D10EB"/>
    <w:rsid w:val="001D1158"/>
    <w:rsid w:val="001D1262"/>
    <w:rsid w:val="001D15E6"/>
    <w:rsid w:val="001D1654"/>
    <w:rsid w:val="001D1A3C"/>
    <w:rsid w:val="001D1AD3"/>
    <w:rsid w:val="001D1B12"/>
    <w:rsid w:val="001D2172"/>
    <w:rsid w:val="001D232A"/>
    <w:rsid w:val="001D25FB"/>
    <w:rsid w:val="001D2D59"/>
    <w:rsid w:val="001D2E48"/>
    <w:rsid w:val="001D347A"/>
    <w:rsid w:val="001D3511"/>
    <w:rsid w:val="001D39FA"/>
    <w:rsid w:val="001D4079"/>
    <w:rsid w:val="001D45A5"/>
    <w:rsid w:val="001D4C81"/>
    <w:rsid w:val="001D5539"/>
    <w:rsid w:val="001D5856"/>
    <w:rsid w:val="001D5C27"/>
    <w:rsid w:val="001D5CCF"/>
    <w:rsid w:val="001D5E9E"/>
    <w:rsid w:val="001D5F40"/>
    <w:rsid w:val="001D62C4"/>
    <w:rsid w:val="001D6420"/>
    <w:rsid w:val="001D659C"/>
    <w:rsid w:val="001D6B09"/>
    <w:rsid w:val="001D6C8B"/>
    <w:rsid w:val="001D71BD"/>
    <w:rsid w:val="001D74D1"/>
    <w:rsid w:val="001D756F"/>
    <w:rsid w:val="001D77C9"/>
    <w:rsid w:val="001D77E1"/>
    <w:rsid w:val="001D7961"/>
    <w:rsid w:val="001D7E66"/>
    <w:rsid w:val="001E030B"/>
    <w:rsid w:val="001E064D"/>
    <w:rsid w:val="001E0785"/>
    <w:rsid w:val="001E0B42"/>
    <w:rsid w:val="001E0D7F"/>
    <w:rsid w:val="001E1686"/>
    <w:rsid w:val="001E1795"/>
    <w:rsid w:val="001E183E"/>
    <w:rsid w:val="001E1B02"/>
    <w:rsid w:val="001E1BC4"/>
    <w:rsid w:val="001E1D1A"/>
    <w:rsid w:val="001E1D5D"/>
    <w:rsid w:val="001E1D69"/>
    <w:rsid w:val="001E227C"/>
    <w:rsid w:val="001E2649"/>
    <w:rsid w:val="001E268C"/>
    <w:rsid w:val="001E2892"/>
    <w:rsid w:val="001E2BB5"/>
    <w:rsid w:val="001E2E57"/>
    <w:rsid w:val="001E2F75"/>
    <w:rsid w:val="001E3297"/>
    <w:rsid w:val="001E332D"/>
    <w:rsid w:val="001E3590"/>
    <w:rsid w:val="001E3A6E"/>
    <w:rsid w:val="001E3CC4"/>
    <w:rsid w:val="001E3CDF"/>
    <w:rsid w:val="001E3E85"/>
    <w:rsid w:val="001E43A1"/>
    <w:rsid w:val="001E481F"/>
    <w:rsid w:val="001E48BE"/>
    <w:rsid w:val="001E494F"/>
    <w:rsid w:val="001E4C78"/>
    <w:rsid w:val="001E4E1B"/>
    <w:rsid w:val="001E502B"/>
    <w:rsid w:val="001E54E3"/>
    <w:rsid w:val="001E56FB"/>
    <w:rsid w:val="001E5826"/>
    <w:rsid w:val="001E6070"/>
    <w:rsid w:val="001E608A"/>
    <w:rsid w:val="001E60CF"/>
    <w:rsid w:val="001E62B9"/>
    <w:rsid w:val="001E64CA"/>
    <w:rsid w:val="001E6607"/>
    <w:rsid w:val="001E68CC"/>
    <w:rsid w:val="001E6A7C"/>
    <w:rsid w:val="001E6ABA"/>
    <w:rsid w:val="001E6BF2"/>
    <w:rsid w:val="001E6D3D"/>
    <w:rsid w:val="001E6EB3"/>
    <w:rsid w:val="001E6F93"/>
    <w:rsid w:val="001E7270"/>
    <w:rsid w:val="001E758B"/>
    <w:rsid w:val="001E7817"/>
    <w:rsid w:val="001E7925"/>
    <w:rsid w:val="001E7A6E"/>
    <w:rsid w:val="001E7C14"/>
    <w:rsid w:val="001E7FCE"/>
    <w:rsid w:val="001F0007"/>
    <w:rsid w:val="001F02E5"/>
    <w:rsid w:val="001F03D2"/>
    <w:rsid w:val="001F0C2D"/>
    <w:rsid w:val="001F0D45"/>
    <w:rsid w:val="001F1039"/>
    <w:rsid w:val="001F1227"/>
    <w:rsid w:val="001F12B2"/>
    <w:rsid w:val="001F16FE"/>
    <w:rsid w:val="001F1BFE"/>
    <w:rsid w:val="001F1D96"/>
    <w:rsid w:val="001F1F18"/>
    <w:rsid w:val="001F2213"/>
    <w:rsid w:val="001F283A"/>
    <w:rsid w:val="001F2B92"/>
    <w:rsid w:val="001F2CE2"/>
    <w:rsid w:val="001F2E15"/>
    <w:rsid w:val="001F3001"/>
    <w:rsid w:val="001F3351"/>
    <w:rsid w:val="001F34A0"/>
    <w:rsid w:val="001F355B"/>
    <w:rsid w:val="001F391A"/>
    <w:rsid w:val="001F3AC1"/>
    <w:rsid w:val="001F3E87"/>
    <w:rsid w:val="001F40AD"/>
    <w:rsid w:val="001F40EF"/>
    <w:rsid w:val="001F420C"/>
    <w:rsid w:val="001F4249"/>
    <w:rsid w:val="001F485F"/>
    <w:rsid w:val="001F48AD"/>
    <w:rsid w:val="001F51A9"/>
    <w:rsid w:val="001F52AA"/>
    <w:rsid w:val="001F5649"/>
    <w:rsid w:val="001F57F2"/>
    <w:rsid w:val="001F5947"/>
    <w:rsid w:val="001F6071"/>
    <w:rsid w:val="001F6174"/>
    <w:rsid w:val="001F639C"/>
    <w:rsid w:val="001F6771"/>
    <w:rsid w:val="001F6A71"/>
    <w:rsid w:val="001F6DFE"/>
    <w:rsid w:val="001F701B"/>
    <w:rsid w:val="001F7164"/>
    <w:rsid w:val="001F72A7"/>
    <w:rsid w:val="001F7599"/>
    <w:rsid w:val="001F767C"/>
    <w:rsid w:val="001F7873"/>
    <w:rsid w:val="001F7C31"/>
    <w:rsid w:val="00200016"/>
    <w:rsid w:val="002000AA"/>
    <w:rsid w:val="00200AE4"/>
    <w:rsid w:val="0020114D"/>
    <w:rsid w:val="0020144E"/>
    <w:rsid w:val="00201BE4"/>
    <w:rsid w:val="00201E80"/>
    <w:rsid w:val="00201EEC"/>
    <w:rsid w:val="00201F1B"/>
    <w:rsid w:val="0020207B"/>
    <w:rsid w:val="0020215C"/>
    <w:rsid w:val="00202446"/>
    <w:rsid w:val="0020294E"/>
    <w:rsid w:val="00202B56"/>
    <w:rsid w:val="00203227"/>
    <w:rsid w:val="002034B2"/>
    <w:rsid w:val="0020361A"/>
    <w:rsid w:val="00203787"/>
    <w:rsid w:val="002037E8"/>
    <w:rsid w:val="0020394D"/>
    <w:rsid w:val="00203E8B"/>
    <w:rsid w:val="0020411B"/>
    <w:rsid w:val="002041E6"/>
    <w:rsid w:val="00204309"/>
    <w:rsid w:val="00204D7B"/>
    <w:rsid w:val="0020506D"/>
    <w:rsid w:val="00205182"/>
    <w:rsid w:val="00205472"/>
    <w:rsid w:val="002054A5"/>
    <w:rsid w:val="00205518"/>
    <w:rsid w:val="00205537"/>
    <w:rsid w:val="002055A2"/>
    <w:rsid w:val="00205B25"/>
    <w:rsid w:val="00205B7D"/>
    <w:rsid w:val="00205DA0"/>
    <w:rsid w:val="00205ECD"/>
    <w:rsid w:val="002062AF"/>
    <w:rsid w:val="002065FF"/>
    <w:rsid w:val="002067AD"/>
    <w:rsid w:val="002067C8"/>
    <w:rsid w:val="00206808"/>
    <w:rsid w:val="00206A7A"/>
    <w:rsid w:val="00206AC3"/>
    <w:rsid w:val="0020710E"/>
    <w:rsid w:val="002071F3"/>
    <w:rsid w:val="002072BD"/>
    <w:rsid w:val="00207399"/>
    <w:rsid w:val="00207405"/>
    <w:rsid w:val="002074D1"/>
    <w:rsid w:val="00207742"/>
    <w:rsid w:val="0020791C"/>
    <w:rsid w:val="00207968"/>
    <w:rsid w:val="00207A36"/>
    <w:rsid w:val="00207E82"/>
    <w:rsid w:val="00210094"/>
    <w:rsid w:val="002100AE"/>
    <w:rsid w:val="00210232"/>
    <w:rsid w:val="00210391"/>
    <w:rsid w:val="0021055E"/>
    <w:rsid w:val="00210584"/>
    <w:rsid w:val="00210619"/>
    <w:rsid w:val="00210697"/>
    <w:rsid w:val="00210A9C"/>
    <w:rsid w:val="00210DF2"/>
    <w:rsid w:val="00210FB9"/>
    <w:rsid w:val="0021149B"/>
    <w:rsid w:val="002116F5"/>
    <w:rsid w:val="00211C35"/>
    <w:rsid w:val="00211E06"/>
    <w:rsid w:val="00211FF9"/>
    <w:rsid w:val="00212002"/>
    <w:rsid w:val="0021231D"/>
    <w:rsid w:val="00212766"/>
    <w:rsid w:val="002127A0"/>
    <w:rsid w:val="00212B82"/>
    <w:rsid w:val="00212B9A"/>
    <w:rsid w:val="00212C4B"/>
    <w:rsid w:val="00212CA7"/>
    <w:rsid w:val="00212F9C"/>
    <w:rsid w:val="00213443"/>
    <w:rsid w:val="0021347F"/>
    <w:rsid w:val="00213601"/>
    <w:rsid w:val="002136F5"/>
    <w:rsid w:val="00213A61"/>
    <w:rsid w:val="00213CE0"/>
    <w:rsid w:val="00213DA6"/>
    <w:rsid w:val="00214312"/>
    <w:rsid w:val="00214528"/>
    <w:rsid w:val="002145F6"/>
    <w:rsid w:val="00214AAB"/>
    <w:rsid w:val="00214BC4"/>
    <w:rsid w:val="00214F78"/>
    <w:rsid w:val="00214F9B"/>
    <w:rsid w:val="0021505F"/>
    <w:rsid w:val="002150C3"/>
    <w:rsid w:val="00215114"/>
    <w:rsid w:val="0021531F"/>
    <w:rsid w:val="00215390"/>
    <w:rsid w:val="00215442"/>
    <w:rsid w:val="00215472"/>
    <w:rsid w:val="00215B53"/>
    <w:rsid w:val="00215C1C"/>
    <w:rsid w:val="00215F26"/>
    <w:rsid w:val="00216170"/>
    <w:rsid w:val="00216206"/>
    <w:rsid w:val="00216394"/>
    <w:rsid w:val="0021662A"/>
    <w:rsid w:val="00216658"/>
    <w:rsid w:val="002166FE"/>
    <w:rsid w:val="00216E55"/>
    <w:rsid w:val="00217076"/>
    <w:rsid w:val="0021717B"/>
    <w:rsid w:val="00217180"/>
    <w:rsid w:val="00217540"/>
    <w:rsid w:val="00217646"/>
    <w:rsid w:val="0021785A"/>
    <w:rsid w:val="00217924"/>
    <w:rsid w:val="002179FB"/>
    <w:rsid w:val="00217A14"/>
    <w:rsid w:val="00217A5F"/>
    <w:rsid w:val="00217A68"/>
    <w:rsid w:val="00217AB4"/>
    <w:rsid w:val="00217C39"/>
    <w:rsid w:val="00217D24"/>
    <w:rsid w:val="00217DD6"/>
    <w:rsid w:val="00217E68"/>
    <w:rsid w:val="00217FDC"/>
    <w:rsid w:val="00220120"/>
    <w:rsid w:val="00220217"/>
    <w:rsid w:val="00220532"/>
    <w:rsid w:val="0022087C"/>
    <w:rsid w:val="002208B0"/>
    <w:rsid w:val="00220DC4"/>
    <w:rsid w:val="00220E1D"/>
    <w:rsid w:val="00221186"/>
    <w:rsid w:val="002218BC"/>
    <w:rsid w:val="0022197F"/>
    <w:rsid w:val="00222027"/>
    <w:rsid w:val="00222166"/>
    <w:rsid w:val="0022217C"/>
    <w:rsid w:val="0022246D"/>
    <w:rsid w:val="002224F8"/>
    <w:rsid w:val="002225A6"/>
    <w:rsid w:val="00222978"/>
    <w:rsid w:val="002229E9"/>
    <w:rsid w:val="00222A72"/>
    <w:rsid w:val="00222B85"/>
    <w:rsid w:val="00222DAA"/>
    <w:rsid w:val="00222F96"/>
    <w:rsid w:val="00223205"/>
    <w:rsid w:val="00223335"/>
    <w:rsid w:val="002233D9"/>
    <w:rsid w:val="00223436"/>
    <w:rsid w:val="002237CF"/>
    <w:rsid w:val="0022384E"/>
    <w:rsid w:val="00223858"/>
    <w:rsid w:val="00223ACE"/>
    <w:rsid w:val="00223B3F"/>
    <w:rsid w:val="00223CE1"/>
    <w:rsid w:val="00223F84"/>
    <w:rsid w:val="0022400C"/>
    <w:rsid w:val="00224148"/>
    <w:rsid w:val="00224156"/>
    <w:rsid w:val="0022429F"/>
    <w:rsid w:val="002243C8"/>
    <w:rsid w:val="002243FC"/>
    <w:rsid w:val="0022485C"/>
    <w:rsid w:val="00224CBE"/>
    <w:rsid w:val="00224D84"/>
    <w:rsid w:val="00224E4C"/>
    <w:rsid w:val="00225024"/>
    <w:rsid w:val="00225258"/>
    <w:rsid w:val="00225337"/>
    <w:rsid w:val="002255E4"/>
    <w:rsid w:val="002256A7"/>
    <w:rsid w:val="00225D8B"/>
    <w:rsid w:val="00225E4E"/>
    <w:rsid w:val="0022602E"/>
    <w:rsid w:val="002269BE"/>
    <w:rsid w:val="002269D3"/>
    <w:rsid w:val="00226A8F"/>
    <w:rsid w:val="00226B77"/>
    <w:rsid w:val="00226B8F"/>
    <w:rsid w:val="00226C16"/>
    <w:rsid w:val="00226C4F"/>
    <w:rsid w:val="002271CB"/>
    <w:rsid w:val="002276F8"/>
    <w:rsid w:val="00227EF2"/>
    <w:rsid w:val="0023002F"/>
    <w:rsid w:val="002301C9"/>
    <w:rsid w:val="00230525"/>
    <w:rsid w:val="002307CB"/>
    <w:rsid w:val="00230B70"/>
    <w:rsid w:val="00230C89"/>
    <w:rsid w:val="00230DD1"/>
    <w:rsid w:val="00230FA0"/>
    <w:rsid w:val="00231071"/>
    <w:rsid w:val="002311DD"/>
    <w:rsid w:val="00231214"/>
    <w:rsid w:val="00231C6C"/>
    <w:rsid w:val="00231D07"/>
    <w:rsid w:val="002323B3"/>
    <w:rsid w:val="002326AB"/>
    <w:rsid w:val="00232803"/>
    <w:rsid w:val="002328FC"/>
    <w:rsid w:val="00232BB3"/>
    <w:rsid w:val="00232C21"/>
    <w:rsid w:val="00232C65"/>
    <w:rsid w:val="00232CF2"/>
    <w:rsid w:val="00232DD3"/>
    <w:rsid w:val="00232E26"/>
    <w:rsid w:val="00232E67"/>
    <w:rsid w:val="00233491"/>
    <w:rsid w:val="002336FD"/>
    <w:rsid w:val="002337A4"/>
    <w:rsid w:val="00233BE9"/>
    <w:rsid w:val="002344F0"/>
    <w:rsid w:val="00234523"/>
    <w:rsid w:val="00234717"/>
    <w:rsid w:val="00234834"/>
    <w:rsid w:val="00234B9D"/>
    <w:rsid w:val="00234C63"/>
    <w:rsid w:val="00234CCC"/>
    <w:rsid w:val="00235216"/>
    <w:rsid w:val="00235276"/>
    <w:rsid w:val="00235446"/>
    <w:rsid w:val="00235494"/>
    <w:rsid w:val="002354C0"/>
    <w:rsid w:val="00235617"/>
    <w:rsid w:val="00235A37"/>
    <w:rsid w:val="00235AAD"/>
    <w:rsid w:val="00235D18"/>
    <w:rsid w:val="0023616E"/>
    <w:rsid w:val="00236321"/>
    <w:rsid w:val="00236797"/>
    <w:rsid w:val="002369C1"/>
    <w:rsid w:val="00236FC4"/>
    <w:rsid w:val="00237005"/>
    <w:rsid w:val="002370AA"/>
    <w:rsid w:val="002371A8"/>
    <w:rsid w:val="002371E1"/>
    <w:rsid w:val="002373E5"/>
    <w:rsid w:val="0023751F"/>
    <w:rsid w:val="00237699"/>
    <w:rsid w:val="00237B43"/>
    <w:rsid w:val="00237CB3"/>
    <w:rsid w:val="00237F7D"/>
    <w:rsid w:val="002400E7"/>
    <w:rsid w:val="002401AE"/>
    <w:rsid w:val="002401FD"/>
    <w:rsid w:val="002402E1"/>
    <w:rsid w:val="00240477"/>
    <w:rsid w:val="0024051D"/>
    <w:rsid w:val="00240BE5"/>
    <w:rsid w:val="00240C88"/>
    <w:rsid w:val="00240FC9"/>
    <w:rsid w:val="002411C3"/>
    <w:rsid w:val="002412A2"/>
    <w:rsid w:val="002413BA"/>
    <w:rsid w:val="002414D7"/>
    <w:rsid w:val="002415C0"/>
    <w:rsid w:val="002415FC"/>
    <w:rsid w:val="002418A7"/>
    <w:rsid w:val="00241939"/>
    <w:rsid w:val="00241A5F"/>
    <w:rsid w:val="00241E11"/>
    <w:rsid w:val="00241E2E"/>
    <w:rsid w:val="00241FE8"/>
    <w:rsid w:val="00242010"/>
    <w:rsid w:val="002420B2"/>
    <w:rsid w:val="002421B7"/>
    <w:rsid w:val="002423D5"/>
    <w:rsid w:val="002424EA"/>
    <w:rsid w:val="00242822"/>
    <w:rsid w:val="00242961"/>
    <w:rsid w:val="002429C7"/>
    <w:rsid w:val="00242AC2"/>
    <w:rsid w:val="00242AFF"/>
    <w:rsid w:val="00242C15"/>
    <w:rsid w:val="00242D1F"/>
    <w:rsid w:val="00242D73"/>
    <w:rsid w:val="00242D9B"/>
    <w:rsid w:val="00243042"/>
    <w:rsid w:val="002430C1"/>
    <w:rsid w:val="0024343B"/>
    <w:rsid w:val="002436F7"/>
    <w:rsid w:val="002438DD"/>
    <w:rsid w:val="00243A2A"/>
    <w:rsid w:val="00243A6C"/>
    <w:rsid w:val="00243A76"/>
    <w:rsid w:val="00243CB5"/>
    <w:rsid w:val="00243FB1"/>
    <w:rsid w:val="00244136"/>
    <w:rsid w:val="00244154"/>
    <w:rsid w:val="00244224"/>
    <w:rsid w:val="002442D8"/>
    <w:rsid w:val="002444B6"/>
    <w:rsid w:val="00244C7B"/>
    <w:rsid w:val="00244D2B"/>
    <w:rsid w:val="002450FA"/>
    <w:rsid w:val="00245325"/>
    <w:rsid w:val="00245756"/>
    <w:rsid w:val="002458B7"/>
    <w:rsid w:val="00245B89"/>
    <w:rsid w:val="00245C6E"/>
    <w:rsid w:val="002461B1"/>
    <w:rsid w:val="002461C8"/>
    <w:rsid w:val="00246507"/>
    <w:rsid w:val="002465BA"/>
    <w:rsid w:val="00246757"/>
    <w:rsid w:val="00246C53"/>
    <w:rsid w:val="00246CC6"/>
    <w:rsid w:val="0024743A"/>
    <w:rsid w:val="00247668"/>
    <w:rsid w:val="002478A0"/>
    <w:rsid w:val="00247A1A"/>
    <w:rsid w:val="00247C18"/>
    <w:rsid w:val="00247E48"/>
    <w:rsid w:val="00247EE3"/>
    <w:rsid w:val="00247EE4"/>
    <w:rsid w:val="002500AD"/>
    <w:rsid w:val="0025014F"/>
    <w:rsid w:val="00250195"/>
    <w:rsid w:val="00250580"/>
    <w:rsid w:val="00250651"/>
    <w:rsid w:val="00250922"/>
    <w:rsid w:val="00250EEE"/>
    <w:rsid w:val="00250FB6"/>
    <w:rsid w:val="0025130B"/>
    <w:rsid w:val="0025150D"/>
    <w:rsid w:val="0025193E"/>
    <w:rsid w:val="00251B79"/>
    <w:rsid w:val="00252024"/>
    <w:rsid w:val="00252058"/>
    <w:rsid w:val="00252074"/>
    <w:rsid w:val="00252093"/>
    <w:rsid w:val="00252174"/>
    <w:rsid w:val="0025251B"/>
    <w:rsid w:val="00252980"/>
    <w:rsid w:val="00252CCC"/>
    <w:rsid w:val="00252FE1"/>
    <w:rsid w:val="0025303A"/>
    <w:rsid w:val="00253179"/>
    <w:rsid w:val="0025334C"/>
    <w:rsid w:val="002533F1"/>
    <w:rsid w:val="00253B0F"/>
    <w:rsid w:val="00253B86"/>
    <w:rsid w:val="00253E0F"/>
    <w:rsid w:val="00254199"/>
    <w:rsid w:val="00254372"/>
    <w:rsid w:val="00254410"/>
    <w:rsid w:val="00254540"/>
    <w:rsid w:val="002546C2"/>
    <w:rsid w:val="00254767"/>
    <w:rsid w:val="00254A40"/>
    <w:rsid w:val="00254A88"/>
    <w:rsid w:val="00254D03"/>
    <w:rsid w:val="00255095"/>
    <w:rsid w:val="002552C6"/>
    <w:rsid w:val="00255325"/>
    <w:rsid w:val="002556C5"/>
    <w:rsid w:val="00255962"/>
    <w:rsid w:val="00255AB3"/>
    <w:rsid w:val="00255F8C"/>
    <w:rsid w:val="00256EB3"/>
    <w:rsid w:val="00257359"/>
    <w:rsid w:val="00257543"/>
    <w:rsid w:val="002578EF"/>
    <w:rsid w:val="00257BC5"/>
    <w:rsid w:val="00257D50"/>
    <w:rsid w:val="00257DE3"/>
    <w:rsid w:val="00257F1D"/>
    <w:rsid w:val="002600EF"/>
    <w:rsid w:val="0026010C"/>
    <w:rsid w:val="00260334"/>
    <w:rsid w:val="002603BF"/>
    <w:rsid w:val="00260768"/>
    <w:rsid w:val="0026126E"/>
    <w:rsid w:val="0026131E"/>
    <w:rsid w:val="002616EB"/>
    <w:rsid w:val="00261766"/>
    <w:rsid w:val="00261872"/>
    <w:rsid w:val="00261A67"/>
    <w:rsid w:val="00261A92"/>
    <w:rsid w:val="00261C6F"/>
    <w:rsid w:val="00261D16"/>
    <w:rsid w:val="00261D23"/>
    <w:rsid w:val="00261DAB"/>
    <w:rsid w:val="00262078"/>
    <w:rsid w:val="00262501"/>
    <w:rsid w:val="00262512"/>
    <w:rsid w:val="0026295F"/>
    <w:rsid w:val="00262978"/>
    <w:rsid w:val="00262A27"/>
    <w:rsid w:val="00262A5C"/>
    <w:rsid w:val="00262DB8"/>
    <w:rsid w:val="00262E0B"/>
    <w:rsid w:val="00262F50"/>
    <w:rsid w:val="00262F96"/>
    <w:rsid w:val="00263357"/>
    <w:rsid w:val="002634BF"/>
    <w:rsid w:val="00263AF4"/>
    <w:rsid w:val="00263B89"/>
    <w:rsid w:val="00263BFE"/>
    <w:rsid w:val="00263CD4"/>
    <w:rsid w:val="00263D0C"/>
    <w:rsid w:val="00263E20"/>
    <w:rsid w:val="00263EEC"/>
    <w:rsid w:val="0026418B"/>
    <w:rsid w:val="00264399"/>
    <w:rsid w:val="00264554"/>
    <w:rsid w:val="002645EA"/>
    <w:rsid w:val="002648DE"/>
    <w:rsid w:val="00264AB1"/>
    <w:rsid w:val="00264ADD"/>
    <w:rsid w:val="00264B42"/>
    <w:rsid w:val="00264F46"/>
    <w:rsid w:val="00264F89"/>
    <w:rsid w:val="00265101"/>
    <w:rsid w:val="002658CB"/>
    <w:rsid w:val="00265B95"/>
    <w:rsid w:val="00265D82"/>
    <w:rsid w:val="00265DDD"/>
    <w:rsid w:val="00265EF6"/>
    <w:rsid w:val="00266368"/>
    <w:rsid w:val="002665A2"/>
    <w:rsid w:val="00266CB2"/>
    <w:rsid w:val="00266F0C"/>
    <w:rsid w:val="00266F0E"/>
    <w:rsid w:val="00267551"/>
    <w:rsid w:val="00267A65"/>
    <w:rsid w:val="00267CE0"/>
    <w:rsid w:val="00267ED9"/>
    <w:rsid w:val="0027014F"/>
    <w:rsid w:val="00270224"/>
    <w:rsid w:val="0027024A"/>
    <w:rsid w:val="0027028D"/>
    <w:rsid w:val="0027039F"/>
    <w:rsid w:val="00270427"/>
    <w:rsid w:val="00270574"/>
    <w:rsid w:val="00270576"/>
    <w:rsid w:val="00270856"/>
    <w:rsid w:val="00270863"/>
    <w:rsid w:val="00270B5B"/>
    <w:rsid w:val="00270F0B"/>
    <w:rsid w:val="002715C9"/>
    <w:rsid w:val="002717AC"/>
    <w:rsid w:val="00271881"/>
    <w:rsid w:val="00271ADD"/>
    <w:rsid w:val="00271B76"/>
    <w:rsid w:val="00271FAE"/>
    <w:rsid w:val="00271FF3"/>
    <w:rsid w:val="00272028"/>
    <w:rsid w:val="00272265"/>
    <w:rsid w:val="00272318"/>
    <w:rsid w:val="0027232E"/>
    <w:rsid w:val="0027244E"/>
    <w:rsid w:val="002727FB"/>
    <w:rsid w:val="00272958"/>
    <w:rsid w:val="00272B57"/>
    <w:rsid w:val="002730AA"/>
    <w:rsid w:val="002730DA"/>
    <w:rsid w:val="00273375"/>
    <w:rsid w:val="0027373D"/>
    <w:rsid w:val="002738E3"/>
    <w:rsid w:val="00273A99"/>
    <w:rsid w:val="00273B8D"/>
    <w:rsid w:val="00273C63"/>
    <w:rsid w:val="0027402A"/>
    <w:rsid w:val="0027406D"/>
    <w:rsid w:val="002743AB"/>
    <w:rsid w:val="002743B9"/>
    <w:rsid w:val="00274A77"/>
    <w:rsid w:val="00274AB5"/>
    <w:rsid w:val="00274D08"/>
    <w:rsid w:val="00274DC3"/>
    <w:rsid w:val="00274E9A"/>
    <w:rsid w:val="0027515F"/>
    <w:rsid w:val="002751D2"/>
    <w:rsid w:val="00275545"/>
    <w:rsid w:val="00275577"/>
    <w:rsid w:val="00275718"/>
    <w:rsid w:val="002758D4"/>
    <w:rsid w:val="00275BEB"/>
    <w:rsid w:val="00275D97"/>
    <w:rsid w:val="00276535"/>
    <w:rsid w:val="0027665E"/>
    <w:rsid w:val="0027670F"/>
    <w:rsid w:val="00276A46"/>
    <w:rsid w:val="00276EA5"/>
    <w:rsid w:val="00276F71"/>
    <w:rsid w:val="002770E6"/>
    <w:rsid w:val="0027739D"/>
    <w:rsid w:val="00277666"/>
    <w:rsid w:val="00277870"/>
    <w:rsid w:val="00280069"/>
    <w:rsid w:val="00280633"/>
    <w:rsid w:val="00280AAF"/>
    <w:rsid w:val="0028110E"/>
    <w:rsid w:val="002812C3"/>
    <w:rsid w:val="0028130D"/>
    <w:rsid w:val="0028140A"/>
    <w:rsid w:val="00281562"/>
    <w:rsid w:val="00281848"/>
    <w:rsid w:val="00281AF0"/>
    <w:rsid w:val="00281C44"/>
    <w:rsid w:val="00281F09"/>
    <w:rsid w:val="002821C6"/>
    <w:rsid w:val="0028223C"/>
    <w:rsid w:val="00282294"/>
    <w:rsid w:val="0028230E"/>
    <w:rsid w:val="00282387"/>
    <w:rsid w:val="002823DE"/>
    <w:rsid w:val="002825BA"/>
    <w:rsid w:val="00282AE7"/>
    <w:rsid w:val="00282B0C"/>
    <w:rsid w:val="00282BD5"/>
    <w:rsid w:val="00282C32"/>
    <w:rsid w:val="00283024"/>
    <w:rsid w:val="00283028"/>
    <w:rsid w:val="0028324C"/>
    <w:rsid w:val="00283258"/>
    <w:rsid w:val="002834ED"/>
    <w:rsid w:val="00283ADB"/>
    <w:rsid w:val="00283D20"/>
    <w:rsid w:val="00283E02"/>
    <w:rsid w:val="00284168"/>
    <w:rsid w:val="00284BF3"/>
    <w:rsid w:val="00284FDD"/>
    <w:rsid w:val="002851B3"/>
    <w:rsid w:val="00285217"/>
    <w:rsid w:val="00285456"/>
    <w:rsid w:val="0028557E"/>
    <w:rsid w:val="002855E0"/>
    <w:rsid w:val="002858A0"/>
    <w:rsid w:val="00285CAD"/>
    <w:rsid w:val="00286127"/>
    <w:rsid w:val="0028652C"/>
    <w:rsid w:val="002869F6"/>
    <w:rsid w:val="00286EB1"/>
    <w:rsid w:val="0028714A"/>
    <w:rsid w:val="002878F0"/>
    <w:rsid w:val="00287938"/>
    <w:rsid w:val="00287965"/>
    <w:rsid w:val="00287B17"/>
    <w:rsid w:val="00287BE2"/>
    <w:rsid w:val="00287DC6"/>
    <w:rsid w:val="0029070A"/>
    <w:rsid w:val="00290A26"/>
    <w:rsid w:val="00290C50"/>
    <w:rsid w:val="00290CDE"/>
    <w:rsid w:val="00290D79"/>
    <w:rsid w:val="00290E70"/>
    <w:rsid w:val="00291396"/>
    <w:rsid w:val="002913A3"/>
    <w:rsid w:val="00291762"/>
    <w:rsid w:val="0029190E"/>
    <w:rsid w:val="00291B06"/>
    <w:rsid w:val="00291C07"/>
    <w:rsid w:val="00291C24"/>
    <w:rsid w:val="00291CE0"/>
    <w:rsid w:val="00291EA4"/>
    <w:rsid w:val="00291F9C"/>
    <w:rsid w:val="002920EC"/>
    <w:rsid w:val="0029213A"/>
    <w:rsid w:val="0029221B"/>
    <w:rsid w:val="00292268"/>
    <w:rsid w:val="00292BBA"/>
    <w:rsid w:val="0029305C"/>
    <w:rsid w:val="00293395"/>
    <w:rsid w:val="00293514"/>
    <w:rsid w:val="002935D5"/>
    <w:rsid w:val="00293741"/>
    <w:rsid w:val="0029388C"/>
    <w:rsid w:val="002939B0"/>
    <w:rsid w:val="00293BF6"/>
    <w:rsid w:val="00293E4E"/>
    <w:rsid w:val="00293F78"/>
    <w:rsid w:val="00294104"/>
    <w:rsid w:val="002945AF"/>
    <w:rsid w:val="002947FA"/>
    <w:rsid w:val="00294A43"/>
    <w:rsid w:val="00294BB7"/>
    <w:rsid w:val="00294BB8"/>
    <w:rsid w:val="00294CAC"/>
    <w:rsid w:val="00294DCF"/>
    <w:rsid w:val="00294EA5"/>
    <w:rsid w:val="00294F30"/>
    <w:rsid w:val="002950BD"/>
    <w:rsid w:val="002951C9"/>
    <w:rsid w:val="0029544A"/>
    <w:rsid w:val="002954F9"/>
    <w:rsid w:val="002955CC"/>
    <w:rsid w:val="00295647"/>
    <w:rsid w:val="002957B5"/>
    <w:rsid w:val="00295876"/>
    <w:rsid w:val="00295922"/>
    <w:rsid w:val="00295A04"/>
    <w:rsid w:val="00295DB7"/>
    <w:rsid w:val="00295E08"/>
    <w:rsid w:val="002960C0"/>
    <w:rsid w:val="002961E1"/>
    <w:rsid w:val="00296387"/>
    <w:rsid w:val="00296477"/>
    <w:rsid w:val="00296555"/>
    <w:rsid w:val="002967EE"/>
    <w:rsid w:val="00296848"/>
    <w:rsid w:val="00296940"/>
    <w:rsid w:val="00296DAF"/>
    <w:rsid w:val="0029755A"/>
    <w:rsid w:val="0029758C"/>
    <w:rsid w:val="00297598"/>
    <w:rsid w:val="00297671"/>
    <w:rsid w:val="0029778E"/>
    <w:rsid w:val="002A0182"/>
    <w:rsid w:val="002A01AF"/>
    <w:rsid w:val="002A01B9"/>
    <w:rsid w:val="002A063F"/>
    <w:rsid w:val="002A0AA2"/>
    <w:rsid w:val="002A0C76"/>
    <w:rsid w:val="002A0D87"/>
    <w:rsid w:val="002A0E60"/>
    <w:rsid w:val="002A0E9D"/>
    <w:rsid w:val="002A1174"/>
    <w:rsid w:val="002A1278"/>
    <w:rsid w:val="002A12DC"/>
    <w:rsid w:val="002A16BB"/>
    <w:rsid w:val="002A189B"/>
    <w:rsid w:val="002A1B51"/>
    <w:rsid w:val="002A1CED"/>
    <w:rsid w:val="002A2108"/>
    <w:rsid w:val="002A221E"/>
    <w:rsid w:val="002A233E"/>
    <w:rsid w:val="002A24DD"/>
    <w:rsid w:val="002A27D0"/>
    <w:rsid w:val="002A2A6C"/>
    <w:rsid w:val="002A2DAE"/>
    <w:rsid w:val="002A2E02"/>
    <w:rsid w:val="002A2F5D"/>
    <w:rsid w:val="002A3126"/>
    <w:rsid w:val="002A31EA"/>
    <w:rsid w:val="002A33B3"/>
    <w:rsid w:val="002A3444"/>
    <w:rsid w:val="002A388E"/>
    <w:rsid w:val="002A38F6"/>
    <w:rsid w:val="002A3A72"/>
    <w:rsid w:val="002A3B18"/>
    <w:rsid w:val="002A3EF5"/>
    <w:rsid w:val="002A3FD5"/>
    <w:rsid w:val="002A44C4"/>
    <w:rsid w:val="002A44E9"/>
    <w:rsid w:val="002A4534"/>
    <w:rsid w:val="002A45F6"/>
    <w:rsid w:val="002A485C"/>
    <w:rsid w:val="002A4A7F"/>
    <w:rsid w:val="002A4CF5"/>
    <w:rsid w:val="002A5015"/>
    <w:rsid w:val="002A517B"/>
    <w:rsid w:val="002A57EE"/>
    <w:rsid w:val="002A59C2"/>
    <w:rsid w:val="002A5A4F"/>
    <w:rsid w:val="002A5C5D"/>
    <w:rsid w:val="002A5C6D"/>
    <w:rsid w:val="002A5C7F"/>
    <w:rsid w:val="002A5D39"/>
    <w:rsid w:val="002A5E88"/>
    <w:rsid w:val="002A5EE0"/>
    <w:rsid w:val="002A5FE0"/>
    <w:rsid w:val="002A6103"/>
    <w:rsid w:val="002A61AB"/>
    <w:rsid w:val="002A63B2"/>
    <w:rsid w:val="002A63DE"/>
    <w:rsid w:val="002A65FE"/>
    <w:rsid w:val="002A6817"/>
    <w:rsid w:val="002A682D"/>
    <w:rsid w:val="002A6A37"/>
    <w:rsid w:val="002A6C6B"/>
    <w:rsid w:val="002A6E29"/>
    <w:rsid w:val="002A6F3B"/>
    <w:rsid w:val="002A7082"/>
    <w:rsid w:val="002A7804"/>
    <w:rsid w:val="002A7973"/>
    <w:rsid w:val="002A7BE2"/>
    <w:rsid w:val="002A7E8E"/>
    <w:rsid w:val="002B00F9"/>
    <w:rsid w:val="002B052D"/>
    <w:rsid w:val="002B0A8F"/>
    <w:rsid w:val="002B0D36"/>
    <w:rsid w:val="002B0FCA"/>
    <w:rsid w:val="002B1106"/>
    <w:rsid w:val="002B1243"/>
    <w:rsid w:val="002B12FA"/>
    <w:rsid w:val="002B1314"/>
    <w:rsid w:val="002B131B"/>
    <w:rsid w:val="002B1406"/>
    <w:rsid w:val="002B15E3"/>
    <w:rsid w:val="002B183E"/>
    <w:rsid w:val="002B18EF"/>
    <w:rsid w:val="002B1BCF"/>
    <w:rsid w:val="002B1CDB"/>
    <w:rsid w:val="002B1D2F"/>
    <w:rsid w:val="002B2184"/>
    <w:rsid w:val="002B25AA"/>
    <w:rsid w:val="002B2BCC"/>
    <w:rsid w:val="002B2C08"/>
    <w:rsid w:val="002B2F20"/>
    <w:rsid w:val="002B3181"/>
    <w:rsid w:val="002B37DC"/>
    <w:rsid w:val="002B398C"/>
    <w:rsid w:val="002B3D13"/>
    <w:rsid w:val="002B3F0F"/>
    <w:rsid w:val="002B3F30"/>
    <w:rsid w:val="002B3FE6"/>
    <w:rsid w:val="002B42B9"/>
    <w:rsid w:val="002B43FF"/>
    <w:rsid w:val="002B4421"/>
    <w:rsid w:val="002B48CC"/>
    <w:rsid w:val="002B496F"/>
    <w:rsid w:val="002B4A0A"/>
    <w:rsid w:val="002B4A5B"/>
    <w:rsid w:val="002B4AA4"/>
    <w:rsid w:val="002B4B42"/>
    <w:rsid w:val="002B4EA4"/>
    <w:rsid w:val="002B4F20"/>
    <w:rsid w:val="002B4F51"/>
    <w:rsid w:val="002B509A"/>
    <w:rsid w:val="002B549E"/>
    <w:rsid w:val="002B54C4"/>
    <w:rsid w:val="002B5A45"/>
    <w:rsid w:val="002B5A69"/>
    <w:rsid w:val="002B5D09"/>
    <w:rsid w:val="002B5D74"/>
    <w:rsid w:val="002B5E0A"/>
    <w:rsid w:val="002B62C9"/>
    <w:rsid w:val="002B6334"/>
    <w:rsid w:val="002B648B"/>
    <w:rsid w:val="002B65C6"/>
    <w:rsid w:val="002B69AD"/>
    <w:rsid w:val="002B6A7B"/>
    <w:rsid w:val="002B6B69"/>
    <w:rsid w:val="002B7213"/>
    <w:rsid w:val="002B7399"/>
    <w:rsid w:val="002B7468"/>
    <w:rsid w:val="002B75A8"/>
    <w:rsid w:val="002B75B2"/>
    <w:rsid w:val="002B782B"/>
    <w:rsid w:val="002B79D3"/>
    <w:rsid w:val="002B7A82"/>
    <w:rsid w:val="002B7B96"/>
    <w:rsid w:val="002C007A"/>
    <w:rsid w:val="002C0300"/>
    <w:rsid w:val="002C0778"/>
    <w:rsid w:val="002C0C88"/>
    <w:rsid w:val="002C1152"/>
    <w:rsid w:val="002C17BD"/>
    <w:rsid w:val="002C1F66"/>
    <w:rsid w:val="002C1F69"/>
    <w:rsid w:val="002C291E"/>
    <w:rsid w:val="002C3585"/>
    <w:rsid w:val="002C35BB"/>
    <w:rsid w:val="002C36AB"/>
    <w:rsid w:val="002C3827"/>
    <w:rsid w:val="002C38C6"/>
    <w:rsid w:val="002C3DDD"/>
    <w:rsid w:val="002C3F22"/>
    <w:rsid w:val="002C41E6"/>
    <w:rsid w:val="002C433D"/>
    <w:rsid w:val="002C4378"/>
    <w:rsid w:val="002C4612"/>
    <w:rsid w:val="002C4647"/>
    <w:rsid w:val="002C4A24"/>
    <w:rsid w:val="002C4C7B"/>
    <w:rsid w:val="002C4FC8"/>
    <w:rsid w:val="002C539C"/>
    <w:rsid w:val="002C5D1A"/>
    <w:rsid w:val="002C5D2A"/>
    <w:rsid w:val="002C5DF2"/>
    <w:rsid w:val="002C6324"/>
    <w:rsid w:val="002C63F8"/>
    <w:rsid w:val="002C699C"/>
    <w:rsid w:val="002C6C09"/>
    <w:rsid w:val="002C74FF"/>
    <w:rsid w:val="002C7DB5"/>
    <w:rsid w:val="002D0081"/>
    <w:rsid w:val="002D00A5"/>
    <w:rsid w:val="002D02CE"/>
    <w:rsid w:val="002D03FB"/>
    <w:rsid w:val="002D049F"/>
    <w:rsid w:val="002D0771"/>
    <w:rsid w:val="002D07F5"/>
    <w:rsid w:val="002D0895"/>
    <w:rsid w:val="002D0D5B"/>
    <w:rsid w:val="002D105C"/>
    <w:rsid w:val="002D107D"/>
    <w:rsid w:val="002D1E6E"/>
    <w:rsid w:val="002D1F70"/>
    <w:rsid w:val="002D26D1"/>
    <w:rsid w:val="002D26F5"/>
    <w:rsid w:val="002D3E96"/>
    <w:rsid w:val="002D3F30"/>
    <w:rsid w:val="002D409C"/>
    <w:rsid w:val="002D451F"/>
    <w:rsid w:val="002D453B"/>
    <w:rsid w:val="002D454E"/>
    <w:rsid w:val="002D4B4A"/>
    <w:rsid w:val="002D4C80"/>
    <w:rsid w:val="002D4D2A"/>
    <w:rsid w:val="002D4D81"/>
    <w:rsid w:val="002D5663"/>
    <w:rsid w:val="002D577D"/>
    <w:rsid w:val="002D5F62"/>
    <w:rsid w:val="002D6481"/>
    <w:rsid w:val="002D66FF"/>
    <w:rsid w:val="002D69E1"/>
    <w:rsid w:val="002D6ADB"/>
    <w:rsid w:val="002D6CDF"/>
    <w:rsid w:val="002D6EAC"/>
    <w:rsid w:val="002D6EC5"/>
    <w:rsid w:val="002D6EFA"/>
    <w:rsid w:val="002D7031"/>
    <w:rsid w:val="002D70BD"/>
    <w:rsid w:val="002D72FA"/>
    <w:rsid w:val="002D7771"/>
    <w:rsid w:val="002D7875"/>
    <w:rsid w:val="002D7971"/>
    <w:rsid w:val="002D7A39"/>
    <w:rsid w:val="002D7BC7"/>
    <w:rsid w:val="002E008D"/>
    <w:rsid w:val="002E01C3"/>
    <w:rsid w:val="002E0223"/>
    <w:rsid w:val="002E0893"/>
    <w:rsid w:val="002E0B83"/>
    <w:rsid w:val="002E0FDC"/>
    <w:rsid w:val="002E1131"/>
    <w:rsid w:val="002E1703"/>
    <w:rsid w:val="002E182F"/>
    <w:rsid w:val="002E1A65"/>
    <w:rsid w:val="002E1EE1"/>
    <w:rsid w:val="002E1EFF"/>
    <w:rsid w:val="002E2165"/>
    <w:rsid w:val="002E24C1"/>
    <w:rsid w:val="002E288D"/>
    <w:rsid w:val="002E2FAF"/>
    <w:rsid w:val="002E3457"/>
    <w:rsid w:val="002E3856"/>
    <w:rsid w:val="002E39F8"/>
    <w:rsid w:val="002E3E90"/>
    <w:rsid w:val="002E3F9D"/>
    <w:rsid w:val="002E4155"/>
    <w:rsid w:val="002E41A7"/>
    <w:rsid w:val="002E4357"/>
    <w:rsid w:val="002E4671"/>
    <w:rsid w:val="002E470D"/>
    <w:rsid w:val="002E478D"/>
    <w:rsid w:val="002E4B5D"/>
    <w:rsid w:val="002E4D98"/>
    <w:rsid w:val="002E4E86"/>
    <w:rsid w:val="002E4F76"/>
    <w:rsid w:val="002E4FA4"/>
    <w:rsid w:val="002E5001"/>
    <w:rsid w:val="002E55CE"/>
    <w:rsid w:val="002E55F1"/>
    <w:rsid w:val="002E598B"/>
    <w:rsid w:val="002E5D3A"/>
    <w:rsid w:val="002E6858"/>
    <w:rsid w:val="002E6DFC"/>
    <w:rsid w:val="002E71AE"/>
    <w:rsid w:val="002E71D7"/>
    <w:rsid w:val="002E71EE"/>
    <w:rsid w:val="002E79EC"/>
    <w:rsid w:val="002F0097"/>
    <w:rsid w:val="002F0201"/>
    <w:rsid w:val="002F059C"/>
    <w:rsid w:val="002F06B0"/>
    <w:rsid w:val="002F0A3A"/>
    <w:rsid w:val="002F0B84"/>
    <w:rsid w:val="002F0E87"/>
    <w:rsid w:val="002F0F3C"/>
    <w:rsid w:val="002F116C"/>
    <w:rsid w:val="002F12E3"/>
    <w:rsid w:val="002F15B1"/>
    <w:rsid w:val="002F16B8"/>
    <w:rsid w:val="002F17D3"/>
    <w:rsid w:val="002F198A"/>
    <w:rsid w:val="002F19F6"/>
    <w:rsid w:val="002F1B60"/>
    <w:rsid w:val="002F1B8E"/>
    <w:rsid w:val="002F1CE4"/>
    <w:rsid w:val="002F2585"/>
    <w:rsid w:val="002F284B"/>
    <w:rsid w:val="002F2877"/>
    <w:rsid w:val="002F28EF"/>
    <w:rsid w:val="002F2CBC"/>
    <w:rsid w:val="002F3313"/>
    <w:rsid w:val="002F37BA"/>
    <w:rsid w:val="002F389F"/>
    <w:rsid w:val="002F3943"/>
    <w:rsid w:val="002F3E07"/>
    <w:rsid w:val="002F404A"/>
    <w:rsid w:val="002F483F"/>
    <w:rsid w:val="002F4950"/>
    <w:rsid w:val="002F4DFE"/>
    <w:rsid w:val="002F4EAC"/>
    <w:rsid w:val="002F516A"/>
    <w:rsid w:val="002F5346"/>
    <w:rsid w:val="002F56BA"/>
    <w:rsid w:val="002F594D"/>
    <w:rsid w:val="002F5ACF"/>
    <w:rsid w:val="002F5EBA"/>
    <w:rsid w:val="002F5EDD"/>
    <w:rsid w:val="002F6040"/>
    <w:rsid w:val="002F604E"/>
    <w:rsid w:val="002F6299"/>
    <w:rsid w:val="002F62D4"/>
    <w:rsid w:val="002F666D"/>
    <w:rsid w:val="002F6730"/>
    <w:rsid w:val="002F6839"/>
    <w:rsid w:val="002F6CE0"/>
    <w:rsid w:val="002F6E41"/>
    <w:rsid w:val="002F6EDF"/>
    <w:rsid w:val="002F7423"/>
    <w:rsid w:val="002F77CE"/>
    <w:rsid w:val="002F7894"/>
    <w:rsid w:val="002F7A69"/>
    <w:rsid w:val="002F7F4F"/>
    <w:rsid w:val="0030017C"/>
    <w:rsid w:val="003001BF"/>
    <w:rsid w:val="0030027B"/>
    <w:rsid w:val="00300342"/>
    <w:rsid w:val="003006CA"/>
    <w:rsid w:val="00300885"/>
    <w:rsid w:val="003009E6"/>
    <w:rsid w:val="00300C19"/>
    <w:rsid w:val="0030110C"/>
    <w:rsid w:val="00301134"/>
    <w:rsid w:val="00301149"/>
    <w:rsid w:val="003012DB"/>
    <w:rsid w:val="00301510"/>
    <w:rsid w:val="00301820"/>
    <w:rsid w:val="00301986"/>
    <w:rsid w:val="00301A97"/>
    <w:rsid w:val="00301BE5"/>
    <w:rsid w:val="00301E78"/>
    <w:rsid w:val="003022AE"/>
    <w:rsid w:val="003025E4"/>
    <w:rsid w:val="00302955"/>
    <w:rsid w:val="003029EE"/>
    <w:rsid w:val="00302B73"/>
    <w:rsid w:val="00302BD0"/>
    <w:rsid w:val="00302F9E"/>
    <w:rsid w:val="0030332C"/>
    <w:rsid w:val="00303463"/>
    <w:rsid w:val="00303877"/>
    <w:rsid w:val="00303907"/>
    <w:rsid w:val="00303BCD"/>
    <w:rsid w:val="003040AD"/>
    <w:rsid w:val="003044B0"/>
    <w:rsid w:val="0030477B"/>
    <w:rsid w:val="0030490B"/>
    <w:rsid w:val="00304B59"/>
    <w:rsid w:val="00304DC6"/>
    <w:rsid w:val="00304FE5"/>
    <w:rsid w:val="003059A5"/>
    <w:rsid w:val="00305A20"/>
    <w:rsid w:val="00305F30"/>
    <w:rsid w:val="0030610D"/>
    <w:rsid w:val="00306353"/>
    <w:rsid w:val="00306377"/>
    <w:rsid w:val="0030649A"/>
    <w:rsid w:val="0030670B"/>
    <w:rsid w:val="0030678A"/>
    <w:rsid w:val="00306BE4"/>
    <w:rsid w:val="00306E0B"/>
    <w:rsid w:val="00306EAF"/>
    <w:rsid w:val="00306FC2"/>
    <w:rsid w:val="003070CD"/>
    <w:rsid w:val="003070DD"/>
    <w:rsid w:val="003074EB"/>
    <w:rsid w:val="00307709"/>
    <w:rsid w:val="00307AA2"/>
    <w:rsid w:val="00310241"/>
    <w:rsid w:val="003106B5"/>
    <w:rsid w:val="003107F6"/>
    <w:rsid w:val="003108BD"/>
    <w:rsid w:val="00310B2B"/>
    <w:rsid w:val="00310D63"/>
    <w:rsid w:val="00310D6A"/>
    <w:rsid w:val="00310EB0"/>
    <w:rsid w:val="00311464"/>
    <w:rsid w:val="00311715"/>
    <w:rsid w:val="00311E44"/>
    <w:rsid w:val="00312C5D"/>
    <w:rsid w:val="00312EFB"/>
    <w:rsid w:val="00312F38"/>
    <w:rsid w:val="00313655"/>
    <w:rsid w:val="00314011"/>
    <w:rsid w:val="0031424E"/>
    <w:rsid w:val="00314295"/>
    <w:rsid w:val="003142B8"/>
    <w:rsid w:val="00314B0C"/>
    <w:rsid w:val="003151A9"/>
    <w:rsid w:val="0031566E"/>
    <w:rsid w:val="003156E8"/>
    <w:rsid w:val="003158CE"/>
    <w:rsid w:val="00315978"/>
    <w:rsid w:val="0031603E"/>
    <w:rsid w:val="00316AC7"/>
    <w:rsid w:val="00316B5A"/>
    <w:rsid w:val="00316BAD"/>
    <w:rsid w:val="00316F76"/>
    <w:rsid w:val="0031709C"/>
    <w:rsid w:val="0031718A"/>
    <w:rsid w:val="003172D0"/>
    <w:rsid w:val="003172E8"/>
    <w:rsid w:val="003173A8"/>
    <w:rsid w:val="00317476"/>
    <w:rsid w:val="003174FD"/>
    <w:rsid w:val="0031764A"/>
    <w:rsid w:val="00317D68"/>
    <w:rsid w:val="003200F7"/>
    <w:rsid w:val="0032023C"/>
    <w:rsid w:val="003202C0"/>
    <w:rsid w:val="003204A6"/>
    <w:rsid w:val="003206F8"/>
    <w:rsid w:val="003207AB"/>
    <w:rsid w:val="00321173"/>
    <w:rsid w:val="00321534"/>
    <w:rsid w:val="00321845"/>
    <w:rsid w:val="00321AC0"/>
    <w:rsid w:val="00321D39"/>
    <w:rsid w:val="00321DBE"/>
    <w:rsid w:val="00322033"/>
    <w:rsid w:val="003220FE"/>
    <w:rsid w:val="003223DE"/>
    <w:rsid w:val="003223E0"/>
    <w:rsid w:val="003223F5"/>
    <w:rsid w:val="00322546"/>
    <w:rsid w:val="003226D8"/>
    <w:rsid w:val="00322705"/>
    <w:rsid w:val="0032282C"/>
    <w:rsid w:val="00322894"/>
    <w:rsid w:val="003229FF"/>
    <w:rsid w:val="003231A4"/>
    <w:rsid w:val="003232D9"/>
    <w:rsid w:val="0032371B"/>
    <w:rsid w:val="00323816"/>
    <w:rsid w:val="00323D59"/>
    <w:rsid w:val="00323D9F"/>
    <w:rsid w:val="00323F79"/>
    <w:rsid w:val="003241A0"/>
    <w:rsid w:val="003243E1"/>
    <w:rsid w:val="00324563"/>
    <w:rsid w:val="00324CD2"/>
    <w:rsid w:val="00324D7A"/>
    <w:rsid w:val="00324F8D"/>
    <w:rsid w:val="00325085"/>
    <w:rsid w:val="00325475"/>
    <w:rsid w:val="00325476"/>
    <w:rsid w:val="0032566F"/>
    <w:rsid w:val="0032590D"/>
    <w:rsid w:val="00325C5E"/>
    <w:rsid w:val="00325C99"/>
    <w:rsid w:val="00325E6E"/>
    <w:rsid w:val="00325E9F"/>
    <w:rsid w:val="0032617D"/>
    <w:rsid w:val="00326299"/>
    <w:rsid w:val="0032646A"/>
    <w:rsid w:val="00326638"/>
    <w:rsid w:val="003268D2"/>
    <w:rsid w:val="00326CBA"/>
    <w:rsid w:val="00327233"/>
    <w:rsid w:val="00327326"/>
    <w:rsid w:val="003274E1"/>
    <w:rsid w:val="00327717"/>
    <w:rsid w:val="00327966"/>
    <w:rsid w:val="00327D63"/>
    <w:rsid w:val="00330065"/>
    <w:rsid w:val="0033022D"/>
    <w:rsid w:val="00330501"/>
    <w:rsid w:val="00330B86"/>
    <w:rsid w:val="003310ED"/>
    <w:rsid w:val="0033139E"/>
    <w:rsid w:val="003313B6"/>
    <w:rsid w:val="00331408"/>
    <w:rsid w:val="00331545"/>
    <w:rsid w:val="003319F1"/>
    <w:rsid w:val="00331B4C"/>
    <w:rsid w:val="00331CC5"/>
    <w:rsid w:val="0033228E"/>
    <w:rsid w:val="00332310"/>
    <w:rsid w:val="00332376"/>
    <w:rsid w:val="00332706"/>
    <w:rsid w:val="00332AB7"/>
    <w:rsid w:val="00332B60"/>
    <w:rsid w:val="00332D75"/>
    <w:rsid w:val="00332E20"/>
    <w:rsid w:val="00332EBF"/>
    <w:rsid w:val="0033325A"/>
    <w:rsid w:val="00333275"/>
    <w:rsid w:val="003333E7"/>
    <w:rsid w:val="003334AA"/>
    <w:rsid w:val="00333E7F"/>
    <w:rsid w:val="0033416C"/>
    <w:rsid w:val="00334392"/>
    <w:rsid w:val="003343EB"/>
    <w:rsid w:val="00334854"/>
    <w:rsid w:val="00334A42"/>
    <w:rsid w:val="00334D1D"/>
    <w:rsid w:val="00334DEC"/>
    <w:rsid w:val="00334FDD"/>
    <w:rsid w:val="00335862"/>
    <w:rsid w:val="00335F23"/>
    <w:rsid w:val="0033602D"/>
    <w:rsid w:val="003360A0"/>
    <w:rsid w:val="0033611C"/>
    <w:rsid w:val="0033620A"/>
    <w:rsid w:val="00336230"/>
    <w:rsid w:val="003363BB"/>
    <w:rsid w:val="00336536"/>
    <w:rsid w:val="00336AD7"/>
    <w:rsid w:val="00336D2F"/>
    <w:rsid w:val="00336E19"/>
    <w:rsid w:val="00336ECB"/>
    <w:rsid w:val="00336FB1"/>
    <w:rsid w:val="003370FD"/>
    <w:rsid w:val="00337137"/>
    <w:rsid w:val="003372A6"/>
    <w:rsid w:val="003376C1"/>
    <w:rsid w:val="0033777E"/>
    <w:rsid w:val="00337D21"/>
    <w:rsid w:val="00337E65"/>
    <w:rsid w:val="00337FD6"/>
    <w:rsid w:val="0034042A"/>
    <w:rsid w:val="0034050E"/>
    <w:rsid w:val="00340579"/>
    <w:rsid w:val="0034077C"/>
    <w:rsid w:val="00340B68"/>
    <w:rsid w:val="00340D3F"/>
    <w:rsid w:val="00340F9E"/>
    <w:rsid w:val="003412C6"/>
    <w:rsid w:val="00341376"/>
    <w:rsid w:val="0034142A"/>
    <w:rsid w:val="00341873"/>
    <w:rsid w:val="00341A0B"/>
    <w:rsid w:val="00341A29"/>
    <w:rsid w:val="00341C40"/>
    <w:rsid w:val="00341F3F"/>
    <w:rsid w:val="00342305"/>
    <w:rsid w:val="003423EA"/>
    <w:rsid w:val="00342666"/>
    <w:rsid w:val="0034289D"/>
    <w:rsid w:val="00342AAC"/>
    <w:rsid w:val="00342BEB"/>
    <w:rsid w:val="00343213"/>
    <w:rsid w:val="00343437"/>
    <w:rsid w:val="003434EF"/>
    <w:rsid w:val="00343602"/>
    <w:rsid w:val="003438C2"/>
    <w:rsid w:val="0034394C"/>
    <w:rsid w:val="003439BB"/>
    <w:rsid w:val="00343F11"/>
    <w:rsid w:val="00343FDE"/>
    <w:rsid w:val="00344869"/>
    <w:rsid w:val="00344A1C"/>
    <w:rsid w:val="00344B37"/>
    <w:rsid w:val="00344C21"/>
    <w:rsid w:val="00344C30"/>
    <w:rsid w:val="00345A79"/>
    <w:rsid w:val="00345B18"/>
    <w:rsid w:val="00345B60"/>
    <w:rsid w:val="00345BEF"/>
    <w:rsid w:val="00345EA3"/>
    <w:rsid w:val="003465C5"/>
    <w:rsid w:val="0034674D"/>
    <w:rsid w:val="00346BFF"/>
    <w:rsid w:val="00346D60"/>
    <w:rsid w:val="00346EAC"/>
    <w:rsid w:val="00346ECC"/>
    <w:rsid w:val="00347373"/>
    <w:rsid w:val="003473D0"/>
    <w:rsid w:val="0034766A"/>
    <w:rsid w:val="003478B7"/>
    <w:rsid w:val="00347E2D"/>
    <w:rsid w:val="00350118"/>
    <w:rsid w:val="003501F5"/>
    <w:rsid w:val="003502C0"/>
    <w:rsid w:val="003502F6"/>
    <w:rsid w:val="0035088D"/>
    <w:rsid w:val="00350918"/>
    <w:rsid w:val="00350B3F"/>
    <w:rsid w:val="00350F80"/>
    <w:rsid w:val="0035101B"/>
    <w:rsid w:val="00351624"/>
    <w:rsid w:val="00351668"/>
    <w:rsid w:val="003519A1"/>
    <w:rsid w:val="003520F9"/>
    <w:rsid w:val="0035231F"/>
    <w:rsid w:val="003527C0"/>
    <w:rsid w:val="00352B27"/>
    <w:rsid w:val="00352C90"/>
    <w:rsid w:val="00352D16"/>
    <w:rsid w:val="00353707"/>
    <w:rsid w:val="00353D20"/>
    <w:rsid w:val="00353DC5"/>
    <w:rsid w:val="003541BB"/>
    <w:rsid w:val="003542EB"/>
    <w:rsid w:val="00354C38"/>
    <w:rsid w:val="00354DFA"/>
    <w:rsid w:val="00354FFC"/>
    <w:rsid w:val="003551CA"/>
    <w:rsid w:val="00355286"/>
    <w:rsid w:val="003554B5"/>
    <w:rsid w:val="003555E9"/>
    <w:rsid w:val="00355844"/>
    <w:rsid w:val="00355BFA"/>
    <w:rsid w:val="0035607F"/>
    <w:rsid w:val="003561A7"/>
    <w:rsid w:val="00356250"/>
    <w:rsid w:val="0035630C"/>
    <w:rsid w:val="003563E8"/>
    <w:rsid w:val="00356A93"/>
    <w:rsid w:val="00356D4E"/>
    <w:rsid w:val="00356ECC"/>
    <w:rsid w:val="00357647"/>
    <w:rsid w:val="00357729"/>
    <w:rsid w:val="00357912"/>
    <w:rsid w:val="00357ACA"/>
    <w:rsid w:val="00357ADC"/>
    <w:rsid w:val="00357BE6"/>
    <w:rsid w:val="00357CDE"/>
    <w:rsid w:val="00357D56"/>
    <w:rsid w:val="00357DF3"/>
    <w:rsid w:val="00357ED5"/>
    <w:rsid w:val="00357F8E"/>
    <w:rsid w:val="0036016C"/>
    <w:rsid w:val="003607A1"/>
    <w:rsid w:val="003607AE"/>
    <w:rsid w:val="00360883"/>
    <w:rsid w:val="003609B7"/>
    <w:rsid w:val="00360C89"/>
    <w:rsid w:val="00360EA6"/>
    <w:rsid w:val="003616C5"/>
    <w:rsid w:val="00361BAB"/>
    <w:rsid w:val="00361FE5"/>
    <w:rsid w:val="003621D6"/>
    <w:rsid w:val="00362283"/>
    <w:rsid w:val="00362417"/>
    <w:rsid w:val="00362543"/>
    <w:rsid w:val="003625B8"/>
    <w:rsid w:val="00362CD5"/>
    <w:rsid w:val="00362F71"/>
    <w:rsid w:val="00362F81"/>
    <w:rsid w:val="0036312E"/>
    <w:rsid w:val="00363526"/>
    <w:rsid w:val="00363703"/>
    <w:rsid w:val="00363AD2"/>
    <w:rsid w:val="00363FFB"/>
    <w:rsid w:val="003641F4"/>
    <w:rsid w:val="0036426A"/>
    <w:rsid w:val="003642DA"/>
    <w:rsid w:val="003647C9"/>
    <w:rsid w:val="0036481E"/>
    <w:rsid w:val="00364BB0"/>
    <w:rsid w:val="00364FFE"/>
    <w:rsid w:val="00365268"/>
    <w:rsid w:val="00365555"/>
    <w:rsid w:val="003655E5"/>
    <w:rsid w:val="003655F9"/>
    <w:rsid w:val="00365A06"/>
    <w:rsid w:val="00365C36"/>
    <w:rsid w:val="00365E15"/>
    <w:rsid w:val="0036656A"/>
    <w:rsid w:val="0036659E"/>
    <w:rsid w:val="003665BD"/>
    <w:rsid w:val="0036676C"/>
    <w:rsid w:val="00366942"/>
    <w:rsid w:val="00366960"/>
    <w:rsid w:val="00366978"/>
    <w:rsid w:val="00366A5D"/>
    <w:rsid w:val="00366C14"/>
    <w:rsid w:val="00366D6F"/>
    <w:rsid w:val="00366ED8"/>
    <w:rsid w:val="00366F82"/>
    <w:rsid w:val="0036732B"/>
    <w:rsid w:val="0036748F"/>
    <w:rsid w:val="00367748"/>
    <w:rsid w:val="00367795"/>
    <w:rsid w:val="00367801"/>
    <w:rsid w:val="00367817"/>
    <w:rsid w:val="0036790B"/>
    <w:rsid w:val="00367BBF"/>
    <w:rsid w:val="00367D5D"/>
    <w:rsid w:val="00367E79"/>
    <w:rsid w:val="00367F06"/>
    <w:rsid w:val="0037000E"/>
    <w:rsid w:val="00370152"/>
    <w:rsid w:val="00370860"/>
    <w:rsid w:val="003708CA"/>
    <w:rsid w:val="00370BB2"/>
    <w:rsid w:val="00370CCA"/>
    <w:rsid w:val="0037134D"/>
    <w:rsid w:val="00371677"/>
    <w:rsid w:val="00371B85"/>
    <w:rsid w:val="00371D9E"/>
    <w:rsid w:val="003721F8"/>
    <w:rsid w:val="003722FB"/>
    <w:rsid w:val="0037241B"/>
    <w:rsid w:val="00372595"/>
    <w:rsid w:val="003725EA"/>
    <w:rsid w:val="003726E5"/>
    <w:rsid w:val="00372BE3"/>
    <w:rsid w:val="00372D1F"/>
    <w:rsid w:val="003730D9"/>
    <w:rsid w:val="003733EE"/>
    <w:rsid w:val="00373426"/>
    <w:rsid w:val="00373479"/>
    <w:rsid w:val="0037347E"/>
    <w:rsid w:val="0037370E"/>
    <w:rsid w:val="00373726"/>
    <w:rsid w:val="0037394A"/>
    <w:rsid w:val="00373A38"/>
    <w:rsid w:val="00373E67"/>
    <w:rsid w:val="00374159"/>
    <w:rsid w:val="00374383"/>
    <w:rsid w:val="00374511"/>
    <w:rsid w:val="0037453B"/>
    <w:rsid w:val="003745CA"/>
    <w:rsid w:val="003746BF"/>
    <w:rsid w:val="00374721"/>
    <w:rsid w:val="00374736"/>
    <w:rsid w:val="003747A1"/>
    <w:rsid w:val="00374A1B"/>
    <w:rsid w:val="00374AEC"/>
    <w:rsid w:val="00374C7B"/>
    <w:rsid w:val="00374D07"/>
    <w:rsid w:val="00374DCB"/>
    <w:rsid w:val="00374F28"/>
    <w:rsid w:val="00375205"/>
    <w:rsid w:val="00375536"/>
    <w:rsid w:val="00375700"/>
    <w:rsid w:val="0037592D"/>
    <w:rsid w:val="0037594A"/>
    <w:rsid w:val="00375A2F"/>
    <w:rsid w:val="00375B57"/>
    <w:rsid w:val="00376157"/>
    <w:rsid w:val="003764F4"/>
    <w:rsid w:val="00376707"/>
    <w:rsid w:val="0037700C"/>
    <w:rsid w:val="0037726C"/>
    <w:rsid w:val="003774BF"/>
    <w:rsid w:val="003775E4"/>
    <w:rsid w:val="00377611"/>
    <w:rsid w:val="00377971"/>
    <w:rsid w:val="00377A3D"/>
    <w:rsid w:val="00377A71"/>
    <w:rsid w:val="00377B64"/>
    <w:rsid w:val="00380073"/>
    <w:rsid w:val="003805A3"/>
    <w:rsid w:val="003806E2"/>
    <w:rsid w:val="0038080D"/>
    <w:rsid w:val="00380842"/>
    <w:rsid w:val="00380A95"/>
    <w:rsid w:val="00380C58"/>
    <w:rsid w:val="00380E91"/>
    <w:rsid w:val="00380F07"/>
    <w:rsid w:val="00380F3F"/>
    <w:rsid w:val="00380FCD"/>
    <w:rsid w:val="0038112F"/>
    <w:rsid w:val="00381323"/>
    <w:rsid w:val="0038133A"/>
    <w:rsid w:val="003813AF"/>
    <w:rsid w:val="0038147F"/>
    <w:rsid w:val="00381571"/>
    <w:rsid w:val="00381640"/>
    <w:rsid w:val="003819DD"/>
    <w:rsid w:val="003819E8"/>
    <w:rsid w:val="00381D8C"/>
    <w:rsid w:val="00381ECB"/>
    <w:rsid w:val="00381EED"/>
    <w:rsid w:val="00381F2B"/>
    <w:rsid w:val="00381F76"/>
    <w:rsid w:val="00381FBD"/>
    <w:rsid w:val="003825AF"/>
    <w:rsid w:val="00382629"/>
    <w:rsid w:val="0038299D"/>
    <w:rsid w:val="00382B20"/>
    <w:rsid w:val="003835A8"/>
    <w:rsid w:val="00383D35"/>
    <w:rsid w:val="00383DB3"/>
    <w:rsid w:val="00383EC1"/>
    <w:rsid w:val="003840F7"/>
    <w:rsid w:val="0038447C"/>
    <w:rsid w:val="00384572"/>
    <w:rsid w:val="00384697"/>
    <w:rsid w:val="00384777"/>
    <w:rsid w:val="00384803"/>
    <w:rsid w:val="0038498A"/>
    <w:rsid w:val="00384A61"/>
    <w:rsid w:val="00384D70"/>
    <w:rsid w:val="00384EB4"/>
    <w:rsid w:val="00384EC0"/>
    <w:rsid w:val="00384F84"/>
    <w:rsid w:val="00385421"/>
    <w:rsid w:val="0038593D"/>
    <w:rsid w:val="00385AC8"/>
    <w:rsid w:val="00385ADF"/>
    <w:rsid w:val="00385B20"/>
    <w:rsid w:val="00385C62"/>
    <w:rsid w:val="0038625B"/>
    <w:rsid w:val="00386488"/>
    <w:rsid w:val="0038653F"/>
    <w:rsid w:val="003867A7"/>
    <w:rsid w:val="00386884"/>
    <w:rsid w:val="00386DDF"/>
    <w:rsid w:val="00386ED5"/>
    <w:rsid w:val="00386FD1"/>
    <w:rsid w:val="003872C0"/>
    <w:rsid w:val="0038784E"/>
    <w:rsid w:val="00387854"/>
    <w:rsid w:val="00387EFA"/>
    <w:rsid w:val="0039023E"/>
    <w:rsid w:val="003903F7"/>
    <w:rsid w:val="00390850"/>
    <w:rsid w:val="00390DA9"/>
    <w:rsid w:val="00390E44"/>
    <w:rsid w:val="0039113F"/>
    <w:rsid w:val="00391325"/>
    <w:rsid w:val="0039135A"/>
    <w:rsid w:val="003914B1"/>
    <w:rsid w:val="00391AC8"/>
    <w:rsid w:val="00391AEA"/>
    <w:rsid w:val="00391B9D"/>
    <w:rsid w:val="00391D3D"/>
    <w:rsid w:val="003921CB"/>
    <w:rsid w:val="003924AE"/>
    <w:rsid w:val="00392670"/>
    <w:rsid w:val="003926B7"/>
    <w:rsid w:val="00392824"/>
    <w:rsid w:val="0039293D"/>
    <w:rsid w:val="00392A24"/>
    <w:rsid w:val="00392A50"/>
    <w:rsid w:val="00392BAC"/>
    <w:rsid w:val="00393006"/>
    <w:rsid w:val="0039313F"/>
    <w:rsid w:val="00393173"/>
    <w:rsid w:val="00393496"/>
    <w:rsid w:val="00393570"/>
    <w:rsid w:val="0039372D"/>
    <w:rsid w:val="003939B4"/>
    <w:rsid w:val="00393AE1"/>
    <w:rsid w:val="00393B2D"/>
    <w:rsid w:val="00394574"/>
    <w:rsid w:val="003945BE"/>
    <w:rsid w:val="00394756"/>
    <w:rsid w:val="0039476B"/>
    <w:rsid w:val="00394AFE"/>
    <w:rsid w:val="00394BF9"/>
    <w:rsid w:val="00394C31"/>
    <w:rsid w:val="003953EE"/>
    <w:rsid w:val="00395547"/>
    <w:rsid w:val="003956A4"/>
    <w:rsid w:val="00395768"/>
    <w:rsid w:val="003957A9"/>
    <w:rsid w:val="00395ADA"/>
    <w:rsid w:val="00396163"/>
    <w:rsid w:val="00396175"/>
    <w:rsid w:val="00396288"/>
    <w:rsid w:val="00396414"/>
    <w:rsid w:val="003969CC"/>
    <w:rsid w:val="00396B53"/>
    <w:rsid w:val="00396E47"/>
    <w:rsid w:val="00396EA9"/>
    <w:rsid w:val="00396FD1"/>
    <w:rsid w:val="003970D8"/>
    <w:rsid w:val="003974A8"/>
    <w:rsid w:val="003975A2"/>
    <w:rsid w:val="00397940"/>
    <w:rsid w:val="00397C00"/>
    <w:rsid w:val="00397C1C"/>
    <w:rsid w:val="00397C3E"/>
    <w:rsid w:val="003A015A"/>
    <w:rsid w:val="003A084B"/>
    <w:rsid w:val="003A08A9"/>
    <w:rsid w:val="003A0A5A"/>
    <w:rsid w:val="003A0A8B"/>
    <w:rsid w:val="003A0C77"/>
    <w:rsid w:val="003A0F39"/>
    <w:rsid w:val="003A1051"/>
    <w:rsid w:val="003A109B"/>
    <w:rsid w:val="003A1A7C"/>
    <w:rsid w:val="003A1B33"/>
    <w:rsid w:val="003A1FF5"/>
    <w:rsid w:val="003A20B0"/>
    <w:rsid w:val="003A21A8"/>
    <w:rsid w:val="003A2380"/>
    <w:rsid w:val="003A26CA"/>
    <w:rsid w:val="003A29B9"/>
    <w:rsid w:val="003A2A3F"/>
    <w:rsid w:val="003A2C0E"/>
    <w:rsid w:val="003A2D99"/>
    <w:rsid w:val="003A2F53"/>
    <w:rsid w:val="003A3296"/>
    <w:rsid w:val="003A34CE"/>
    <w:rsid w:val="003A3686"/>
    <w:rsid w:val="003A38B6"/>
    <w:rsid w:val="003A3D90"/>
    <w:rsid w:val="003A4104"/>
    <w:rsid w:val="003A4149"/>
    <w:rsid w:val="003A4359"/>
    <w:rsid w:val="003A45FE"/>
    <w:rsid w:val="003A4A99"/>
    <w:rsid w:val="003A4EBC"/>
    <w:rsid w:val="003A523F"/>
    <w:rsid w:val="003A5342"/>
    <w:rsid w:val="003A53AE"/>
    <w:rsid w:val="003A5C37"/>
    <w:rsid w:val="003A5D57"/>
    <w:rsid w:val="003A603D"/>
    <w:rsid w:val="003A6343"/>
    <w:rsid w:val="003A692E"/>
    <w:rsid w:val="003A6D42"/>
    <w:rsid w:val="003A6DA1"/>
    <w:rsid w:val="003A7207"/>
    <w:rsid w:val="003A729A"/>
    <w:rsid w:val="003A7665"/>
    <w:rsid w:val="003A79F1"/>
    <w:rsid w:val="003A7B9C"/>
    <w:rsid w:val="003A7BE1"/>
    <w:rsid w:val="003A7CAD"/>
    <w:rsid w:val="003A7DCB"/>
    <w:rsid w:val="003B02A5"/>
    <w:rsid w:val="003B034B"/>
    <w:rsid w:val="003B03D5"/>
    <w:rsid w:val="003B04D2"/>
    <w:rsid w:val="003B097B"/>
    <w:rsid w:val="003B0BFC"/>
    <w:rsid w:val="003B0C3E"/>
    <w:rsid w:val="003B0D46"/>
    <w:rsid w:val="003B0FB9"/>
    <w:rsid w:val="003B12A8"/>
    <w:rsid w:val="003B165B"/>
    <w:rsid w:val="003B19F5"/>
    <w:rsid w:val="003B1A1C"/>
    <w:rsid w:val="003B1C07"/>
    <w:rsid w:val="003B1EFB"/>
    <w:rsid w:val="003B237F"/>
    <w:rsid w:val="003B2409"/>
    <w:rsid w:val="003B2467"/>
    <w:rsid w:val="003B2482"/>
    <w:rsid w:val="003B27C5"/>
    <w:rsid w:val="003B27F7"/>
    <w:rsid w:val="003B2CD2"/>
    <w:rsid w:val="003B3C3C"/>
    <w:rsid w:val="003B3C91"/>
    <w:rsid w:val="003B415B"/>
    <w:rsid w:val="003B421E"/>
    <w:rsid w:val="003B4294"/>
    <w:rsid w:val="003B448F"/>
    <w:rsid w:val="003B449C"/>
    <w:rsid w:val="003B464C"/>
    <w:rsid w:val="003B4834"/>
    <w:rsid w:val="003B4A8C"/>
    <w:rsid w:val="003B4D5A"/>
    <w:rsid w:val="003B50D2"/>
    <w:rsid w:val="003B534E"/>
    <w:rsid w:val="003B54E9"/>
    <w:rsid w:val="003B5745"/>
    <w:rsid w:val="003B5DFC"/>
    <w:rsid w:val="003B5E30"/>
    <w:rsid w:val="003B5F56"/>
    <w:rsid w:val="003B631C"/>
    <w:rsid w:val="003B6355"/>
    <w:rsid w:val="003B6375"/>
    <w:rsid w:val="003B63D3"/>
    <w:rsid w:val="003B6587"/>
    <w:rsid w:val="003B660A"/>
    <w:rsid w:val="003B746F"/>
    <w:rsid w:val="003B7FC4"/>
    <w:rsid w:val="003B7FDC"/>
    <w:rsid w:val="003C00F4"/>
    <w:rsid w:val="003C0162"/>
    <w:rsid w:val="003C0721"/>
    <w:rsid w:val="003C0905"/>
    <w:rsid w:val="003C0B7A"/>
    <w:rsid w:val="003C0C8B"/>
    <w:rsid w:val="003C0CF9"/>
    <w:rsid w:val="003C0DF7"/>
    <w:rsid w:val="003C0E31"/>
    <w:rsid w:val="003C0EAD"/>
    <w:rsid w:val="003C0ED5"/>
    <w:rsid w:val="003C1128"/>
    <w:rsid w:val="003C1288"/>
    <w:rsid w:val="003C13B0"/>
    <w:rsid w:val="003C167E"/>
    <w:rsid w:val="003C1A28"/>
    <w:rsid w:val="003C1CAD"/>
    <w:rsid w:val="003C1DFC"/>
    <w:rsid w:val="003C1FAB"/>
    <w:rsid w:val="003C219F"/>
    <w:rsid w:val="003C22AD"/>
    <w:rsid w:val="003C2383"/>
    <w:rsid w:val="003C250B"/>
    <w:rsid w:val="003C26CD"/>
    <w:rsid w:val="003C27CA"/>
    <w:rsid w:val="003C282F"/>
    <w:rsid w:val="003C2A1B"/>
    <w:rsid w:val="003C2CC1"/>
    <w:rsid w:val="003C2D08"/>
    <w:rsid w:val="003C2E05"/>
    <w:rsid w:val="003C3275"/>
    <w:rsid w:val="003C32D6"/>
    <w:rsid w:val="003C332B"/>
    <w:rsid w:val="003C3534"/>
    <w:rsid w:val="003C3569"/>
    <w:rsid w:val="003C35A0"/>
    <w:rsid w:val="003C3657"/>
    <w:rsid w:val="003C38E7"/>
    <w:rsid w:val="003C38F8"/>
    <w:rsid w:val="003C3A06"/>
    <w:rsid w:val="003C4341"/>
    <w:rsid w:val="003C4621"/>
    <w:rsid w:val="003C51D3"/>
    <w:rsid w:val="003C5236"/>
    <w:rsid w:val="003C5387"/>
    <w:rsid w:val="003C58B1"/>
    <w:rsid w:val="003C5962"/>
    <w:rsid w:val="003C602D"/>
    <w:rsid w:val="003C6079"/>
    <w:rsid w:val="003C65FB"/>
    <w:rsid w:val="003C666A"/>
    <w:rsid w:val="003C6C93"/>
    <w:rsid w:val="003C6DE6"/>
    <w:rsid w:val="003C6F40"/>
    <w:rsid w:val="003C6F5F"/>
    <w:rsid w:val="003C716D"/>
    <w:rsid w:val="003C7539"/>
    <w:rsid w:val="003C7866"/>
    <w:rsid w:val="003C7DDB"/>
    <w:rsid w:val="003C7DE0"/>
    <w:rsid w:val="003C7ED8"/>
    <w:rsid w:val="003D0686"/>
    <w:rsid w:val="003D0906"/>
    <w:rsid w:val="003D0EE7"/>
    <w:rsid w:val="003D1053"/>
    <w:rsid w:val="003D1066"/>
    <w:rsid w:val="003D148F"/>
    <w:rsid w:val="003D16E9"/>
    <w:rsid w:val="003D1C07"/>
    <w:rsid w:val="003D1C9D"/>
    <w:rsid w:val="003D1CAD"/>
    <w:rsid w:val="003D1EA6"/>
    <w:rsid w:val="003D20D9"/>
    <w:rsid w:val="003D22EF"/>
    <w:rsid w:val="003D2400"/>
    <w:rsid w:val="003D25A5"/>
    <w:rsid w:val="003D2702"/>
    <w:rsid w:val="003D274A"/>
    <w:rsid w:val="003D2AE7"/>
    <w:rsid w:val="003D2E8F"/>
    <w:rsid w:val="003D2F31"/>
    <w:rsid w:val="003D2F87"/>
    <w:rsid w:val="003D31EB"/>
    <w:rsid w:val="003D3573"/>
    <w:rsid w:val="003D3EB0"/>
    <w:rsid w:val="003D402D"/>
    <w:rsid w:val="003D4049"/>
    <w:rsid w:val="003D4088"/>
    <w:rsid w:val="003D4495"/>
    <w:rsid w:val="003D4C0D"/>
    <w:rsid w:val="003D52A9"/>
    <w:rsid w:val="003D5381"/>
    <w:rsid w:val="003D5485"/>
    <w:rsid w:val="003D5618"/>
    <w:rsid w:val="003D5634"/>
    <w:rsid w:val="003D58B4"/>
    <w:rsid w:val="003D5A02"/>
    <w:rsid w:val="003D5C04"/>
    <w:rsid w:val="003D5F1A"/>
    <w:rsid w:val="003D5FE8"/>
    <w:rsid w:val="003D6106"/>
    <w:rsid w:val="003D61A3"/>
    <w:rsid w:val="003D6211"/>
    <w:rsid w:val="003D6DD0"/>
    <w:rsid w:val="003D6E0A"/>
    <w:rsid w:val="003D6EA2"/>
    <w:rsid w:val="003D70E2"/>
    <w:rsid w:val="003D731C"/>
    <w:rsid w:val="003D743B"/>
    <w:rsid w:val="003D78F8"/>
    <w:rsid w:val="003D79E1"/>
    <w:rsid w:val="003D7A02"/>
    <w:rsid w:val="003D7C27"/>
    <w:rsid w:val="003E00AE"/>
    <w:rsid w:val="003E022D"/>
    <w:rsid w:val="003E0E5F"/>
    <w:rsid w:val="003E0E60"/>
    <w:rsid w:val="003E0F4B"/>
    <w:rsid w:val="003E1034"/>
    <w:rsid w:val="003E112B"/>
    <w:rsid w:val="003E11E1"/>
    <w:rsid w:val="003E152C"/>
    <w:rsid w:val="003E174E"/>
    <w:rsid w:val="003E1A81"/>
    <w:rsid w:val="003E1D95"/>
    <w:rsid w:val="003E2183"/>
    <w:rsid w:val="003E245C"/>
    <w:rsid w:val="003E2738"/>
    <w:rsid w:val="003E273F"/>
    <w:rsid w:val="003E2825"/>
    <w:rsid w:val="003E2EA7"/>
    <w:rsid w:val="003E35FD"/>
    <w:rsid w:val="003E36C1"/>
    <w:rsid w:val="003E38D1"/>
    <w:rsid w:val="003E3B54"/>
    <w:rsid w:val="003E3F25"/>
    <w:rsid w:val="003E3F77"/>
    <w:rsid w:val="003E3F94"/>
    <w:rsid w:val="003E3FCD"/>
    <w:rsid w:val="003E4A98"/>
    <w:rsid w:val="003E4AFE"/>
    <w:rsid w:val="003E4BC5"/>
    <w:rsid w:val="003E5315"/>
    <w:rsid w:val="003E5385"/>
    <w:rsid w:val="003E53CD"/>
    <w:rsid w:val="003E546F"/>
    <w:rsid w:val="003E559F"/>
    <w:rsid w:val="003E5B18"/>
    <w:rsid w:val="003E5CB4"/>
    <w:rsid w:val="003E628C"/>
    <w:rsid w:val="003E648B"/>
    <w:rsid w:val="003E68E2"/>
    <w:rsid w:val="003E6931"/>
    <w:rsid w:val="003E6932"/>
    <w:rsid w:val="003E6B61"/>
    <w:rsid w:val="003E6D61"/>
    <w:rsid w:val="003E72B0"/>
    <w:rsid w:val="003E75D6"/>
    <w:rsid w:val="003E76E7"/>
    <w:rsid w:val="003E771B"/>
    <w:rsid w:val="003E7A2A"/>
    <w:rsid w:val="003E7A6C"/>
    <w:rsid w:val="003E7AC3"/>
    <w:rsid w:val="003E7C10"/>
    <w:rsid w:val="003F0436"/>
    <w:rsid w:val="003F052A"/>
    <w:rsid w:val="003F08E0"/>
    <w:rsid w:val="003F0B97"/>
    <w:rsid w:val="003F150D"/>
    <w:rsid w:val="003F16B5"/>
    <w:rsid w:val="003F16F5"/>
    <w:rsid w:val="003F174E"/>
    <w:rsid w:val="003F1A1D"/>
    <w:rsid w:val="003F1FCA"/>
    <w:rsid w:val="003F2095"/>
    <w:rsid w:val="003F2178"/>
    <w:rsid w:val="003F2A6F"/>
    <w:rsid w:val="003F2AE7"/>
    <w:rsid w:val="003F2F9E"/>
    <w:rsid w:val="003F33F0"/>
    <w:rsid w:val="003F393A"/>
    <w:rsid w:val="003F3A50"/>
    <w:rsid w:val="003F3C60"/>
    <w:rsid w:val="003F40AD"/>
    <w:rsid w:val="003F40BA"/>
    <w:rsid w:val="003F4243"/>
    <w:rsid w:val="003F459D"/>
    <w:rsid w:val="003F49E5"/>
    <w:rsid w:val="003F4BBD"/>
    <w:rsid w:val="003F5455"/>
    <w:rsid w:val="003F555D"/>
    <w:rsid w:val="003F593A"/>
    <w:rsid w:val="003F5B55"/>
    <w:rsid w:val="003F5BE6"/>
    <w:rsid w:val="003F5E70"/>
    <w:rsid w:val="003F6064"/>
    <w:rsid w:val="003F609C"/>
    <w:rsid w:val="003F60BC"/>
    <w:rsid w:val="003F6160"/>
    <w:rsid w:val="003F63E2"/>
    <w:rsid w:val="003F63F9"/>
    <w:rsid w:val="003F665C"/>
    <w:rsid w:val="003F6998"/>
    <w:rsid w:val="003F6AAB"/>
    <w:rsid w:val="003F707C"/>
    <w:rsid w:val="003F715B"/>
    <w:rsid w:val="003F71EA"/>
    <w:rsid w:val="003F7394"/>
    <w:rsid w:val="003F7B73"/>
    <w:rsid w:val="003F7FD0"/>
    <w:rsid w:val="00400063"/>
    <w:rsid w:val="0040014B"/>
    <w:rsid w:val="004001F1"/>
    <w:rsid w:val="00400514"/>
    <w:rsid w:val="0040051A"/>
    <w:rsid w:val="00400F91"/>
    <w:rsid w:val="00400FEC"/>
    <w:rsid w:val="00401595"/>
    <w:rsid w:val="004019E2"/>
    <w:rsid w:val="00401BC5"/>
    <w:rsid w:val="00401C7D"/>
    <w:rsid w:val="0040202D"/>
    <w:rsid w:val="00402108"/>
    <w:rsid w:val="00402145"/>
    <w:rsid w:val="00402274"/>
    <w:rsid w:val="0040252B"/>
    <w:rsid w:val="00402A3B"/>
    <w:rsid w:val="00402E1B"/>
    <w:rsid w:val="0040305F"/>
    <w:rsid w:val="00403151"/>
    <w:rsid w:val="00403262"/>
    <w:rsid w:val="00403ACA"/>
    <w:rsid w:val="00403C8F"/>
    <w:rsid w:val="00403D00"/>
    <w:rsid w:val="00403EAB"/>
    <w:rsid w:val="004041D0"/>
    <w:rsid w:val="00404277"/>
    <w:rsid w:val="004042EC"/>
    <w:rsid w:val="00404857"/>
    <w:rsid w:val="00404BCF"/>
    <w:rsid w:val="00404CE7"/>
    <w:rsid w:val="00404F79"/>
    <w:rsid w:val="0040518C"/>
    <w:rsid w:val="004051F3"/>
    <w:rsid w:val="004059C2"/>
    <w:rsid w:val="004059F0"/>
    <w:rsid w:val="00405C17"/>
    <w:rsid w:val="00405F18"/>
    <w:rsid w:val="00406173"/>
    <w:rsid w:val="0040636F"/>
    <w:rsid w:val="00406619"/>
    <w:rsid w:val="004066FC"/>
    <w:rsid w:val="00406C26"/>
    <w:rsid w:val="0040709E"/>
    <w:rsid w:val="004070E4"/>
    <w:rsid w:val="004071A7"/>
    <w:rsid w:val="00407511"/>
    <w:rsid w:val="00407999"/>
    <w:rsid w:val="00407C0B"/>
    <w:rsid w:val="00407CAA"/>
    <w:rsid w:val="00410154"/>
    <w:rsid w:val="00410705"/>
    <w:rsid w:val="00410A81"/>
    <w:rsid w:val="00410AA3"/>
    <w:rsid w:val="00410E9D"/>
    <w:rsid w:val="00411058"/>
    <w:rsid w:val="00411479"/>
    <w:rsid w:val="0041160D"/>
    <w:rsid w:val="00412293"/>
    <w:rsid w:val="00412305"/>
    <w:rsid w:val="004124EF"/>
    <w:rsid w:val="004126C2"/>
    <w:rsid w:val="004127EA"/>
    <w:rsid w:val="00412962"/>
    <w:rsid w:val="00412A9C"/>
    <w:rsid w:val="00412BF7"/>
    <w:rsid w:val="00412F3F"/>
    <w:rsid w:val="00413085"/>
    <w:rsid w:val="00413174"/>
    <w:rsid w:val="00413228"/>
    <w:rsid w:val="004134BB"/>
    <w:rsid w:val="004137C2"/>
    <w:rsid w:val="0041394A"/>
    <w:rsid w:val="004139B2"/>
    <w:rsid w:val="00413BA0"/>
    <w:rsid w:val="004141A2"/>
    <w:rsid w:val="004141F4"/>
    <w:rsid w:val="0041442C"/>
    <w:rsid w:val="00414575"/>
    <w:rsid w:val="004145DF"/>
    <w:rsid w:val="00414728"/>
    <w:rsid w:val="00414A8E"/>
    <w:rsid w:val="00414C3E"/>
    <w:rsid w:val="00414E9C"/>
    <w:rsid w:val="0041535C"/>
    <w:rsid w:val="004154C7"/>
    <w:rsid w:val="004154DA"/>
    <w:rsid w:val="004155E1"/>
    <w:rsid w:val="004158DB"/>
    <w:rsid w:val="004158FC"/>
    <w:rsid w:val="004159FF"/>
    <w:rsid w:val="00415AF0"/>
    <w:rsid w:val="00415B7E"/>
    <w:rsid w:val="00415C6D"/>
    <w:rsid w:val="00415CB3"/>
    <w:rsid w:val="00415EEF"/>
    <w:rsid w:val="0041613C"/>
    <w:rsid w:val="004165F9"/>
    <w:rsid w:val="004168DC"/>
    <w:rsid w:val="00416BEE"/>
    <w:rsid w:val="00416E16"/>
    <w:rsid w:val="00416FF3"/>
    <w:rsid w:val="004175BB"/>
    <w:rsid w:val="0041780B"/>
    <w:rsid w:val="00417896"/>
    <w:rsid w:val="00417A5A"/>
    <w:rsid w:val="00417C89"/>
    <w:rsid w:val="00417D43"/>
    <w:rsid w:val="00417D6B"/>
    <w:rsid w:val="00420297"/>
    <w:rsid w:val="004208E9"/>
    <w:rsid w:val="00420BFE"/>
    <w:rsid w:val="00420FD9"/>
    <w:rsid w:val="00420FE6"/>
    <w:rsid w:val="004214B8"/>
    <w:rsid w:val="0042174E"/>
    <w:rsid w:val="00421D10"/>
    <w:rsid w:val="00421E06"/>
    <w:rsid w:val="004222B7"/>
    <w:rsid w:val="00422689"/>
    <w:rsid w:val="00422AAB"/>
    <w:rsid w:val="00422BBE"/>
    <w:rsid w:val="00422CC5"/>
    <w:rsid w:val="00422D3D"/>
    <w:rsid w:val="004230CD"/>
    <w:rsid w:val="004231F3"/>
    <w:rsid w:val="004237DC"/>
    <w:rsid w:val="004238FD"/>
    <w:rsid w:val="00423992"/>
    <w:rsid w:val="00423D17"/>
    <w:rsid w:val="00423D65"/>
    <w:rsid w:val="00423D8C"/>
    <w:rsid w:val="004243E2"/>
    <w:rsid w:val="00424950"/>
    <w:rsid w:val="00424959"/>
    <w:rsid w:val="0042495C"/>
    <w:rsid w:val="00424CB6"/>
    <w:rsid w:val="00424D2E"/>
    <w:rsid w:val="00424EEF"/>
    <w:rsid w:val="00424FF8"/>
    <w:rsid w:val="004250BF"/>
    <w:rsid w:val="0042537F"/>
    <w:rsid w:val="004256D5"/>
    <w:rsid w:val="00425C19"/>
    <w:rsid w:val="00425E45"/>
    <w:rsid w:val="004260F3"/>
    <w:rsid w:val="004262D2"/>
    <w:rsid w:val="00426685"/>
    <w:rsid w:val="00426799"/>
    <w:rsid w:val="004268EE"/>
    <w:rsid w:val="00426B3D"/>
    <w:rsid w:val="00426F26"/>
    <w:rsid w:val="00427628"/>
    <w:rsid w:val="0042765D"/>
    <w:rsid w:val="00427806"/>
    <w:rsid w:val="00427CD7"/>
    <w:rsid w:val="00430216"/>
    <w:rsid w:val="0043027F"/>
    <w:rsid w:val="004303C7"/>
    <w:rsid w:val="00430D0B"/>
    <w:rsid w:val="00430E14"/>
    <w:rsid w:val="00430E62"/>
    <w:rsid w:val="004313B0"/>
    <w:rsid w:val="00431513"/>
    <w:rsid w:val="0043151C"/>
    <w:rsid w:val="00431817"/>
    <w:rsid w:val="004318EB"/>
    <w:rsid w:val="00431BB8"/>
    <w:rsid w:val="0043204F"/>
    <w:rsid w:val="00432109"/>
    <w:rsid w:val="00432734"/>
    <w:rsid w:val="004327EB"/>
    <w:rsid w:val="00432E18"/>
    <w:rsid w:val="00433070"/>
    <w:rsid w:val="00433196"/>
    <w:rsid w:val="0043337B"/>
    <w:rsid w:val="00433482"/>
    <w:rsid w:val="00433B3D"/>
    <w:rsid w:val="00433BF2"/>
    <w:rsid w:val="00433E44"/>
    <w:rsid w:val="004341D7"/>
    <w:rsid w:val="0043420D"/>
    <w:rsid w:val="004346F9"/>
    <w:rsid w:val="004349FB"/>
    <w:rsid w:val="00434E15"/>
    <w:rsid w:val="00435413"/>
    <w:rsid w:val="00435573"/>
    <w:rsid w:val="00435606"/>
    <w:rsid w:val="00435723"/>
    <w:rsid w:val="004363D2"/>
    <w:rsid w:val="00436CAF"/>
    <w:rsid w:val="00436E0B"/>
    <w:rsid w:val="0043711D"/>
    <w:rsid w:val="00437348"/>
    <w:rsid w:val="004377C8"/>
    <w:rsid w:val="00437882"/>
    <w:rsid w:val="00437A14"/>
    <w:rsid w:val="00437BD1"/>
    <w:rsid w:val="00437DD4"/>
    <w:rsid w:val="0044041D"/>
    <w:rsid w:val="00440616"/>
    <w:rsid w:val="004407E6"/>
    <w:rsid w:val="00440A67"/>
    <w:rsid w:val="00440D47"/>
    <w:rsid w:val="00440EE4"/>
    <w:rsid w:val="00440F9C"/>
    <w:rsid w:val="00441178"/>
    <w:rsid w:val="004411F4"/>
    <w:rsid w:val="00441578"/>
    <w:rsid w:val="004417B2"/>
    <w:rsid w:val="00441833"/>
    <w:rsid w:val="00441D45"/>
    <w:rsid w:val="00441D91"/>
    <w:rsid w:val="00441FB1"/>
    <w:rsid w:val="00442077"/>
    <w:rsid w:val="0044267F"/>
    <w:rsid w:val="004426A9"/>
    <w:rsid w:val="0044282D"/>
    <w:rsid w:val="0044285E"/>
    <w:rsid w:val="004428B2"/>
    <w:rsid w:val="004429BD"/>
    <w:rsid w:val="00442D28"/>
    <w:rsid w:val="00442DAE"/>
    <w:rsid w:val="00442DDC"/>
    <w:rsid w:val="00442EA1"/>
    <w:rsid w:val="00443547"/>
    <w:rsid w:val="00443584"/>
    <w:rsid w:val="00443777"/>
    <w:rsid w:val="004438C9"/>
    <w:rsid w:val="00443AE1"/>
    <w:rsid w:val="00443EAD"/>
    <w:rsid w:val="00444852"/>
    <w:rsid w:val="00444A76"/>
    <w:rsid w:val="00444A89"/>
    <w:rsid w:val="00444B75"/>
    <w:rsid w:val="00445311"/>
    <w:rsid w:val="0044536A"/>
    <w:rsid w:val="00445554"/>
    <w:rsid w:val="00445625"/>
    <w:rsid w:val="00445923"/>
    <w:rsid w:val="004462BE"/>
    <w:rsid w:val="004464D9"/>
    <w:rsid w:val="00446A4C"/>
    <w:rsid w:val="00446B36"/>
    <w:rsid w:val="00446C1A"/>
    <w:rsid w:val="00446C3B"/>
    <w:rsid w:val="00446C8A"/>
    <w:rsid w:val="00446D73"/>
    <w:rsid w:val="00446F98"/>
    <w:rsid w:val="00447631"/>
    <w:rsid w:val="004477F3"/>
    <w:rsid w:val="00447A7B"/>
    <w:rsid w:val="00447C0B"/>
    <w:rsid w:val="004503C7"/>
    <w:rsid w:val="00450531"/>
    <w:rsid w:val="0045060D"/>
    <w:rsid w:val="0045091E"/>
    <w:rsid w:val="00450966"/>
    <w:rsid w:val="00450A06"/>
    <w:rsid w:val="00450B0F"/>
    <w:rsid w:val="00450BE5"/>
    <w:rsid w:val="00450DCB"/>
    <w:rsid w:val="00450EA8"/>
    <w:rsid w:val="00450EC2"/>
    <w:rsid w:val="004510FC"/>
    <w:rsid w:val="004511B5"/>
    <w:rsid w:val="0045143F"/>
    <w:rsid w:val="004516EC"/>
    <w:rsid w:val="00451827"/>
    <w:rsid w:val="00451A7D"/>
    <w:rsid w:val="00451CEC"/>
    <w:rsid w:val="00451F4F"/>
    <w:rsid w:val="0045208A"/>
    <w:rsid w:val="00452150"/>
    <w:rsid w:val="004521CB"/>
    <w:rsid w:val="00452E31"/>
    <w:rsid w:val="00452F4F"/>
    <w:rsid w:val="00453368"/>
    <w:rsid w:val="004535B1"/>
    <w:rsid w:val="004537A1"/>
    <w:rsid w:val="00453967"/>
    <w:rsid w:val="004541E5"/>
    <w:rsid w:val="00454223"/>
    <w:rsid w:val="00454427"/>
    <w:rsid w:val="004545A9"/>
    <w:rsid w:val="004547ED"/>
    <w:rsid w:val="0045486A"/>
    <w:rsid w:val="004548C9"/>
    <w:rsid w:val="00454A88"/>
    <w:rsid w:val="00454BE1"/>
    <w:rsid w:val="00454D12"/>
    <w:rsid w:val="004550C9"/>
    <w:rsid w:val="00455313"/>
    <w:rsid w:val="00455463"/>
    <w:rsid w:val="004554C5"/>
    <w:rsid w:val="004554EF"/>
    <w:rsid w:val="00455519"/>
    <w:rsid w:val="004556AD"/>
    <w:rsid w:val="004558B1"/>
    <w:rsid w:val="00455A18"/>
    <w:rsid w:val="00455B01"/>
    <w:rsid w:val="00455C4C"/>
    <w:rsid w:val="00455C77"/>
    <w:rsid w:val="00455D06"/>
    <w:rsid w:val="00455DC8"/>
    <w:rsid w:val="00455FC5"/>
    <w:rsid w:val="00456344"/>
    <w:rsid w:val="0045659E"/>
    <w:rsid w:val="00456742"/>
    <w:rsid w:val="00456BF8"/>
    <w:rsid w:val="00456E52"/>
    <w:rsid w:val="00456EF1"/>
    <w:rsid w:val="00456F7F"/>
    <w:rsid w:val="00457473"/>
    <w:rsid w:val="0045752B"/>
    <w:rsid w:val="0045755E"/>
    <w:rsid w:val="0045769C"/>
    <w:rsid w:val="004579AF"/>
    <w:rsid w:val="00457CFA"/>
    <w:rsid w:val="00457E54"/>
    <w:rsid w:val="004600E8"/>
    <w:rsid w:val="00460113"/>
    <w:rsid w:val="004601AD"/>
    <w:rsid w:val="00460450"/>
    <w:rsid w:val="004604E4"/>
    <w:rsid w:val="004605E5"/>
    <w:rsid w:val="00460821"/>
    <w:rsid w:val="004609DC"/>
    <w:rsid w:val="00460EA0"/>
    <w:rsid w:val="00461172"/>
    <w:rsid w:val="0046118C"/>
    <w:rsid w:val="004616F4"/>
    <w:rsid w:val="00461848"/>
    <w:rsid w:val="00461FA3"/>
    <w:rsid w:val="00461FE8"/>
    <w:rsid w:val="004621C6"/>
    <w:rsid w:val="0046226C"/>
    <w:rsid w:val="004625FA"/>
    <w:rsid w:val="00462712"/>
    <w:rsid w:val="004628FB"/>
    <w:rsid w:val="00462D9F"/>
    <w:rsid w:val="00462DBB"/>
    <w:rsid w:val="00463516"/>
    <w:rsid w:val="00463792"/>
    <w:rsid w:val="004639EB"/>
    <w:rsid w:val="00463A75"/>
    <w:rsid w:val="00463CB6"/>
    <w:rsid w:val="0046408E"/>
    <w:rsid w:val="0046412C"/>
    <w:rsid w:val="00464216"/>
    <w:rsid w:val="0046429B"/>
    <w:rsid w:val="004647A9"/>
    <w:rsid w:val="00464953"/>
    <w:rsid w:val="00464C9D"/>
    <w:rsid w:val="00464D64"/>
    <w:rsid w:val="00465008"/>
    <w:rsid w:val="004658BE"/>
    <w:rsid w:val="00465B60"/>
    <w:rsid w:val="00465FF4"/>
    <w:rsid w:val="0046666B"/>
    <w:rsid w:val="004666D3"/>
    <w:rsid w:val="00466CA4"/>
    <w:rsid w:val="00466D57"/>
    <w:rsid w:val="00466E98"/>
    <w:rsid w:val="00466ED4"/>
    <w:rsid w:val="00466F35"/>
    <w:rsid w:val="00466F3A"/>
    <w:rsid w:val="00466FB2"/>
    <w:rsid w:val="00467332"/>
    <w:rsid w:val="004676EE"/>
    <w:rsid w:val="004677C8"/>
    <w:rsid w:val="00467930"/>
    <w:rsid w:val="0047070F"/>
    <w:rsid w:val="004708DF"/>
    <w:rsid w:val="00470B56"/>
    <w:rsid w:val="0047106A"/>
    <w:rsid w:val="00471132"/>
    <w:rsid w:val="00471143"/>
    <w:rsid w:val="00471405"/>
    <w:rsid w:val="00471448"/>
    <w:rsid w:val="00471671"/>
    <w:rsid w:val="00471702"/>
    <w:rsid w:val="004717A3"/>
    <w:rsid w:val="004720E1"/>
    <w:rsid w:val="004721CD"/>
    <w:rsid w:val="00472285"/>
    <w:rsid w:val="00472354"/>
    <w:rsid w:val="00472414"/>
    <w:rsid w:val="00472B94"/>
    <w:rsid w:val="00472C20"/>
    <w:rsid w:val="00473104"/>
    <w:rsid w:val="004735F3"/>
    <w:rsid w:val="004737F2"/>
    <w:rsid w:val="00473A08"/>
    <w:rsid w:val="00473B3A"/>
    <w:rsid w:val="00473E70"/>
    <w:rsid w:val="00474304"/>
    <w:rsid w:val="00474459"/>
    <w:rsid w:val="00474AC2"/>
    <w:rsid w:val="00474AFB"/>
    <w:rsid w:val="00474EB4"/>
    <w:rsid w:val="00474EF5"/>
    <w:rsid w:val="0047508F"/>
    <w:rsid w:val="00475332"/>
    <w:rsid w:val="004755A8"/>
    <w:rsid w:val="00475EF8"/>
    <w:rsid w:val="00475F6A"/>
    <w:rsid w:val="004763ED"/>
    <w:rsid w:val="0047671C"/>
    <w:rsid w:val="0047677B"/>
    <w:rsid w:val="0047694F"/>
    <w:rsid w:val="0047697F"/>
    <w:rsid w:val="00476A6A"/>
    <w:rsid w:val="00476EB7"/>
    <w:rsid w:val="0047703E"/>
    <w:rsid w:val="004773F5"/>
    <w:rsid w:val="00477409"/>
    <w:rsid w:val="0047788A"/>
    <w:rsid w:val="004779B5"/>
    <w:rsid w:val="00477B09"/>
    <w:rsid w:val="00477B12"/>
    <w:rsid w:val="00477CB3"/>
    <w:rsid w:val="0048088F"/>
    <w:rsid w:val="00480BFA"/>
    <w:rsid w:val="00481102"/>
    <w:rsid w:val="00481270"/>
    <w:rsid w:val="00481487"/>
    <w:rsid w:val="00481493"/>
    <w:rsid w:val="004815D0"/>
    <w:rsid w:val="00481669"/>
    <w:rsid w:val="00481905"/>
    <w:rsid w:val="00481BF5"/>
    <w:rsid w:val="00481C57"/>
    <w:rsid w:val="00481CF2"/>
    <w:rsid w:val="00481DE7"/>
    <w:rsid w:val="00481F68"/>
    <w:rsid w:val="00481FA7"/>
    <w:rsid w:val="004822D9"/>
    <w:rsid w:val="00482C56"/>
    <w:rsid w:val="00482CE1"/>
    <w:rsid w:val="00482D1B"/>
    <w:rsid w:val="00482D31"/>
    <w:rsid w:val="00482E2F"/>
    <w:rsid w:val="0048317E"/>
    <w:rsid w:val="00483241"/>
    <w:rsid w:val="00483A45"/>
    <w:rsid w:val="00483C0C"/>
    <w:rsid w:val="00483CC5"/>
    <w:rsid w:val="00483FF0"/>
    <w:rsid w:val="004844B8"/>
    <w:rsid w:val="004847A3"/>
    <w:rsid w:val="0048521C"/>
    <w:rsid w:val="0048530B"/>
    <w:rsid w:val="004853DD"/>
    <w:rsid w:val="0048551B"/>
    <w:rsid w:val="0048556C"/>
    <w:rsid w:val="00485796"/>
    <w:rsid w:val="00485910"/>
    <w:rsid w:val="00485A08"/>
    <w:rsid w:val="00485B8A"/>
    <w:rsid w:val="00485D58"/>
    <w:rsid w:val="0048602A"/>
    <w:rsid w:val="004861A8"/>
    <w:rsid w:val="00486370"/>
    <w:rsid w:val="00486435"/>
    <w:rsid w:val="004864AD"/>
    <w:rsid w:val="0048650F"/>
    <w:rsid w:val="004865B8"/>
    <w:rsid w:val="00486632"/>
    <w:rsid w:val="004866CE"/>
    <w:rsid w:val="00486A6E"/>
    <w:rsid w:val="00486CFA"/>
    <w:rsid w:val="0048737C"/>
    <w:rsid w:val="00487C49"/>
    <w:rsid w:val="00487CA6"/>
    <w:rsid w:val="00487CC4"/>
    <w:rsid w:val="00487DFB"/>
    <w:rsid w:val="00487EE9"/>
    <w:rsid w:val="0049006B"/>
    <w:rsid w:val="00490308"/>
    <w:rsid w:val="00490319"/>
    <w:rsid w:val="00490655"/>
    <w:rsid w:val="004910AE"/>
    <w:rsid w:val="00491314"/>
    <w:rsid w:val="00491328"/>
    <w:rsid w:val="0049140C"/>
    <w:rsid w:val="0049146E"/>
    <w:rsid w:val="00491B69"/>
    <w:rsid w:val="00491EBA"/>
    <w:rsid w:val="00491F0A"/>
    <w:rsid w:val="00492374"/>
    <w:rsid w:val="004926B0"/>
    <w:rsid w:val="004926BB"/>
    <w:rsid w:val="004926D4"/>
    <w:rsid w:val="00492804"/>
    <w:rsid w:val="00492877"/>
    <w:rsid w:val="00493421"/>
    <w:rsid w:val="0049344B"/>
    <w:rsid w:val="00493746"/>
    <w:rsid w:val="004938E4"/>
    <w:rsid w:val="004938E7"/>
    <w:rsid w:val="00493A5E"/>
    <w:rsid w:val="00493BD6"/>
    <w:rsid w:val="00493CD4"/>
    <w:rsid w:val="00493D20"/>
    <w:rsid w:val="0049456D"/>
    <w:rsid w:val="004946D5"/>
    <w:rsid w:val="00494B56"/>
    <w:rsid w:val="00495236"/>
    <w:rsid w:val="0049540A"/>
    <w:rsid w:val="0049540C"/>
    <w:rsid w:val="00495443"/>
    <w:rsid w:val="00495811"/>
    <w:rsid w:val="00495B44"/>
    <w:rsid w:val="00495E24"/>
    <w:rsid w:val="004963B5"/>
    <w:rsid w:val="00496543"/>
    <w:rsid w:val="00496815"/>
    <w:rsid w:val="00496887"/>
    <w:rsid w:val="004968C8"/>
    <w:rsid w:val="0049690C"/>
    <w:rsid w:val="0049695F"/>
    <w:rsid w:val="00496B4C"/>
    <w:rsid w:val="00496C91"/>
    <w:rsid w:val="00496E44"/>
    <w:rsid w:val="004972EB"/>
    <w:rsid w:val="0049738A"/>
    <w:rsid w:val="0049784F"/>
    <w:rsid w:val="004978D4"/>
    <w:rsid w:val="00497C2C"/>
    <w:rsid w:val="00497D78"/>
    <w:rsid w:val="00497D85"/>
    <w:rsid w:val="00497DB2"/>
    <w:rsid w:val="00497E7C"/>
    <w:rsid w:val="004A0114"/>
    <w:rsid w:val="004A0175"/>
    <w:rsid w:val="004A01AB"/>
    <w:rsid w:val="004A0411"/>
    <w:rsid w:val="004A05B0"/>
    <w:rsid w:val="004A060B"/>
    <w:rsid w:val="004A0937"/>
    <w:rsid w:val="004A0B49"/>
    <w:rsid w:val="004A0B56"/>
    <w:rsid w:val="004A100D"/>
    <w:rsid w:val="004A106C"/>
    <w:rsid w:val="004A1083"/>
    <w:rsid w:val="004A112A"/>
    <w:rsid w:val="004A12A6"/>
    <w:rsid w:val="004A16A7"/>
    <w:rsid w:val="004A1813"/>
    <w:rsid w:val="004A18F6"/>
    <w:rsid w:val="004A1990"/>
    <w:rsid w:val="004A19DF"/>
    <w:rsid w:val="004A19F3"/>
    <w:rsid w:val="004A1A7F"/>
    <w:rsid w:val="004A1A8C"/>
    <w:rsid w:val="004A202E"/>
    <w:rsid w:val="004A20D3"/>
    <w:rsid w:val="004A2338"/>
    <w:rsid w:val="004A2401"/>
    <w:rsid w:val="004A2506"/>
    <w:rsid w:val="004A28D7"/>
    <w:rsid w:val="004A2A73"/>
    <w:rsid w:val="004A2BB9"/>
    <w:rsid w:val="004A2E60"/>
    <w:rsid w:val="004A3357"/>
    <w:rsid w:val="004A353D"/>
    <w:rsid w:val="004A3BCC"/>
    <w:rsid w:val="004A3C3A"/>
    <w:rsid w:val="004A3DC5"/>
    <w:rsid w:val="004A4149"/>
    <w:rsid w:val="004A4164"/>
    <w:rsid w:val="004A47F1"/>
    <w:rsid w:val="004A4BFE"/>
    <w:rsid w:val="004A4D30"/>
    <w:rsid w:val="004A4D70"/>
    <w:rsid w:val="004A5308"/>
    <w:rsid w:val="004A5342"/>
    <w:rsid w:val="004A566C"/>
    <w:rsid w:val="004A56B9"/>
    <w:rsid w:val="004A577E"/>
    <w:rsid w:val="004A57C6"/>
    <w:rsid w:val="004A5A42"/>
    <w:rsid w:val="004A5C81"/>
    <w:rsid w:val="004A5D9E"/>
    <w:rsid w:val="004A5FF0"/>
    <w:rsid w:val="004A6093"/>
    <w:rsid w:val="004A626B"/>
    <w:rsid w:val="004A6295"/>
    <w:rsid w:val="004A63C4"/>
    <w:rsid w:val="004A6543"/>
    <w:rsid w:val="004A662B"/>
    <w:rsid w:val="004A6687"/>
    <w:rsid w:val="004A6930"/>
    <w:rsid w:val="004A696E"/>
    <w:rsid w:val="004A6B1C"/>
    <w:rsid w:val="004A6D08"/>
    <w:rsid w:val="004A70CD"/>
    <w:rsid w:val="004A7254"/>
    <w:rsid w:val="004A7289"/>
    <w:rsid w:val="004A769C"/>
    <w:rsid w:val="004A7815"/>
    <w:rsid w:val="004A787B"/>
    <w:rsid w:val="004A7E0B"/>
    <w:rsid w:val="004A7F79"/>
    <w:rsid w:val="004A7FE1"/>
    <w:rsid w:val="004B02E1"/>
    <w:rsid w:val="004B0306"/>
    <w:rsid w:val="004B099A"/>
    <w:rsid w:val="004B09AF"/>
    <w:rsid w:val="004B0A76"/>
    <w:rsid w:val="004B0C28"/>
    <w:rsid w:val="004B1449"/>
    <w:rsid w:val="004B163C"/>
    <w:rsid w:val="004B1661"/>
    <w:rsid w:val="004B16DA"/>
    <w:rsid w:val="004B1766"/>
    <w:rsid w:val="004B1A64"/>
    <w:rsid w:val="004B1C7B"/>
    <w:rsid w:val="004B20B8"/>
    <w:rsid w:val="004B22C5"/>
    <w:rsid w:val="004B232A"/>
    <w:rsid w:val="004B2A75"/>
    <w:rsid w:val="004B2AA2"/>
    <w:rsid w:val="004B2C3F"/>
    <w:rsid w:val="004B2D31"/>
    <w:rsid w:val="004B39B3"/>
    <w:rsid w:val="004B3A37"/>
    <w:rsid w:val="004B3C5A"/>
    <w:rsid w:val="004B3CDE"/>
    <w:rsid w:val="004B3EDD"/>
    <w:rsid w:val="004B4103"/>
    <w:rsid w:val="004B42ED"/>
    <w:rsid w:val="004B4327"/>
    <w:rsid w:val="004B435A"/>
    <w:rsid w:val="004B4371"/>
    <w:rsid w:val="004B43C5"/>
    <w:rsid w:val="004B4933"/>
    <w:rsid w:val="004B49F4"/>
    <w:rsid w:val="004B4A98"/>
    <w:rsid w:val="004B50BA"/>
    <w:rsid w:val="004B5498"/>
    <w:rsid w:val="004B5600"/>
    <w:rsid w:val="004B5899"/>
    <w:rsid w:val="004B5985"/>
    <w:rsid w:val="004B5B97"/>
    <w:rsid w:val="004B5E8B"/>
    <w:rsid w:val="004B5FA2"/>
    <w:rsid w:val="004B600B"/>
    <w:rsid w:val="004B60E2"/>
    <w:rsid w:val="004B6509"/>
    <w:rsid w:val="004B6510"/>
    <w:rsid w:val="004B6896"/>
    <w:rsid w:val="004B6BEA"/>
    <w:rsid w:val="004B6DAE"/>
    <w:rsid w:val="004B6DE9"/>
    <w:rsid w:val="004B6E4B"/>
    <w:rsid w:val="004B6E56"/>
    <w:rsid w:val="004B6ED4"/>
    <w:rsid w:val="004B70CD"/>
    <w:rsid w:val="004B7168"/>
    <w:rsid w:val="004B73E8"/>
    <w:rsid w:val="004B79D1"/>
    <w:rsid w:val="004C007F"/>
    <w:rsid w:val="004C01A1"/>
    <w:rsid w:val="004C01C8"/>
    <w:rsid w:val="004C04E1"/>
    <w:rsid w:val="004C0C31"/>
    <w:rsid w:val="004C0FA8"/>
    <w:rsid w:val="004C100D"/>
    <w:rsid w:val="004C125D"/>
    <w:rsid w:val="004C12A2"/>
    <w:rsid w:val="004C1432"/>
    <w:rsid w:val="004C1471"/>
    <w:rsid w:val="004C1490"/>
    <w:rsid w:val="004C15CB"/>
    <w:rsid w:val="004C1648"/>
    <w:rsid w:val="004C1839"/>
    <w:rsid w:val="004C1A83"/>
    <w:rsid w:val="004C234A"/>
    <w:rsid w:val="004C23B9"/>
    <w:rsid w:val="004C2759"/>
    <w:rsid w:val="004C2803"/>
    <w:rsid w:val="004C2BF8"/>
    <w:rsid w:val="004C2CD0"/>
    <w:rsid w:val="004C301C"/>
    <w:rsid w:val="004C32F2"/>
    <w:rsid w:val="004C335C"/>
    <w:rsid w:val="004C386E"/>
    <w:rsid w:val="004C386F"/>
    <w:rsid w:val="004C3874"/>
    <w:rsid w:val="004C3D38"/>
    <w:rsid w:val="004C3DF5"/>
    <w:rsid w:val="004C3F0A"/>
    <w:rsid w:val="004C4350"/>
    <w:rsid w:val="004C4614"/>
    <w:rsid w:val="004C4D83"/>
    <w:rsid w:val="004C51A2"/>
    <w:rsid w:val="004C52C4"/>
    <w:rsid w:val="004C54F3"/>
    <w:rsid w:val="004C5678"/>
    <w:rsid w:val="004C60D3"/>
    <w:rsid w:val="004C65CF"/>
    <w:rsid w:val="004C6664"/>
    <w:rsid w:val="004C674B"/>
    <w:rsid w:val="004C6852"/>
    <w:rsid w:val="004C687F"/>
    <w:rsid w:val="004C69E5"/>
    <w:rsid w:val="004C6A70"/>
    <w:rsid w:val="004C6AE5"/>
    <w:rsid w:val="004C6E53"/>
    <w:rsid w:val="004C6F48"/>
    <w:rsid w:val="004C727B"/>
    <w:rsid w:val="004C730A"/>
    <w:rsid w:val="004C75C9"/>
    <w:rsid w:val="004C7855"/>
    <w:rsid w:val="004C7944"/>
    <w:rsid w:val="004C79BC"/>
    <w:rsid w:val="004C7C49"/>
    <w:rsid w:val="004C7D46"/>
    <w:rsid w:val="004D0031"/>
    <w:rsid w:val="004D0D91"/>
    <w:rsid w:val="004D0F4F"/>
    <w:rsid w:val="004D11EE"/>
    <w:rsid w:val="004D145A"/>
    <w:rsid w:val="004D14C8"/>
    <w:rsid w:val="004D1711"/>
    <w:rsid w:val="004D1816"/>
    <w:rsid w:val="004D1A0C"/>
    <w:rsid w:val="004D20D0"/>
    <w:rsid w:val="004D251B"/>
    <w:rsid w:val="004D25E3"/>
    <w:rsid w:val="004D2885"/>
    <w:rsid w:val="004D295C"/>
    <w:rsid w:val="004D2C00"/>
    <w:rsid w:val="004D2E36"/>
    <w:rsid w:val="004D2FE9"/>
    <w:rsid w:val="004D32C9"/>
    <w:rsid w:val="004D3515"/>
    <w:rsid w:val="004D360B"/>
    <w:rsid w:val="004D3C31"/>
    <w:rsid w:val="004D3C49"/>
    <w:rsid w:val="004D3EA0"/>
    <w:rsid w:val="004D400E"/>
    <w:rsid w:val="004D41BD"/>
    <w:rsid w:val="004D41C2"/>
    <w:rsid w:val="004D4261"/>
    <w:rsid w:val="004D4344"/>
    <w:rsid w:val="004D4460"/>
    <w:rsid w:val="004D4594"/>
    <w:rsid w:val="004D46B4"/>
    <w:rsid w:val="004D4818"/>
    <w:rsid w:val="004D4BC2"/>
    <w:rsid w:val="004D4E27"/>
    <w:rsid w:val="004D508E"/>
    <w:rsid w:val="004D50E2"/>
    <w:rsid w:val="004D5175"/>
    <w:rsid w:val="004D53D6"/>
    <w:rsid w:val="004D5404"/>
    <w:rsid w:val="004D5891"/>
    <w:rsid w:val="004D5A93"/>
    <w:rsid w:val="004D5B82"/>
    <w:rsid w:val="004D5C52"/>
    <w:rsid w:val="004D5DD0"/>
    <w:rsid w:val="004D6054"/>
    <w:rsid w:val="004D6076"/>
    <w:rsid w:val="004D60CB"/>
    <w:rsid w:val="004D619F"/>
    <w:rsid w:val="004D6288"/>
    <w:rsid w:val="004D63EB"/>
    <w:rsid w:val="004D64FE"/>
    <w:rsid w:val="004D655A"/>
    <w:rsid w:val="004D658E"/>
    <w:rsid w:val="004D670C"/>
    <w:rsid w:val="004D69EA"/>
    <w:rsid w:val="004D6A23"/>
    <w:rsid w:val="004D6B1A"/>
    <w:rsid w:val="004D6B53"/>
    <w:rsid w:val="004D6D6E"/>
    <w:rsid w:val="004D6FCE"/>
    <w:rsid w:val="004D6FD1"/>
    <w:rsid w:val="004D7109"/>
    <w:rsid w:val="004D73D3"/>
    <w:rsid w:val="004D74AC"/>
    <w:rsid w:val="004D7839"/>
    <w:rsid w:val="004D7989"/>
    <w:rsid w:val="004D79C9"/>
    <w:rsid w:val="004D7CBF"/>
    <w:rsid w:val="004D7CC4"/>
    <w:rsid w:val="004E0080"/>
    <w:rsid w:val="004E00DB"/>
    <w:rsid w:val="004E098C"/>
    <w:rsid w:val="004E0ACA"/>
    <w:rsid w:val="004E0B0F"/>
    <w:rsid w:val="004E1323"/>
    <w:rsid w:val="004E19BF"/>
    <w:rsid w:val="004E1A63"/>
    <w:rsid w:val="004E1B03"/>
    <w:rsid w:val="004E1C2D"/>
    <w:rsid w:val="004E1D9F"/>
    <w:rsid w:val="004E1DA2"/>
    <w:rsid w:val="004E1ED6"/>
    <w:rsid w:val="004E1EF0"/>
    <w:rsid w:val="004E1F77"/>
    <w:rsid w:val="004E1FA6"/>
    <w:rsid w:val="004E1FFF"/>
    <w:rsid w:val="004E2254"/>
    <w:rsid w:val="004E22CF"/>
    <w:rsid w:val="004E28B5"/>
    <w:rsid w:val="004E28D7"/>
    <w:rsid w:val="004E2B1E"/>
    <w:rsid w:val="004E2B47"/>
    <w:rsid w:val="004E308B"/>
    <w:rsid w:val="004E30C2"/>
    <w:rsid w:val="004E30E1"/>
    <w:rsid w:val="004E310D"/>
    <w:rsid w:val="004E3110"/>
    <w:rsid w:val="004E3117"/>
    <w:rsid w:val="004E31F2"/>
    <w:rsid w:val="004E3494"/>
    <w:rsid w:val="004E35CB"/>
    <w:rsid w:val="004E36B0"/>
    <w:rsid w:val="004E36F4"/>
    <w:rsid w:val="004E37ED"/>
    <w:rsid w:val="004E39BE"/>
    <w:rsid w:val="004E3A9D"/>
    <w:rsid w:val="004E3BF7"/>
    <w:rsid w:val="004E3D8D"/>
    <w:rsid w:val="004E40ED"/>
    <w:rsid w:val="004E4228"/>
    <w:rsid w:val="004E4267"/>
    <w:rsid w:val="004E4516"/>
    <w:rsid w:val="004E4639"/>
    <w:rsid w:val="004E48F7"/>
    <w:rsid w:val="004E511C"/>
    <w:rsid w:val="004E5145"/>
    <w:rsid w:val="004E5311"/>
    <w:rsid w:val="004E5497"/>
    <w:rsid w:val="004E55CE"/>
    <w:rsid w:val="004E5726"/>
    <w:rsid w:val="004E5797"/>
    <w:rsid w:val="004E598A"/>
    <w:rsid w:val="004E5A54"/>
    <w:rsid w:val="004E5CAA"/>
    <w:rsid w:val="004E5DA6"/>
    <w:rsid w:val="004E5FDB"/>
    <w:rsid w:val="004E60B6"/>
    <w:rsid w:val="004E6131"/>
    <w:rsid w:val="004E6580"/>
    <w:rsid w:val="004E66AA"/>
    <w:rsid w:val="004E698B"/>
    <w:rsid w:val="004E6A38"/>
    <w:rsid w:val="004E6B0D"/>
    <w:rsid w:val="004E6B81"/>
    <w:rsid w:val="004E7192"/>
    <w:rsid w:val="004E74E7"/>
    <w:rsid w:val="004E7595"/>
    <w:rsid w:val="004E75AD"/>
    <w:rsid w:val="004E7650"/>
    <w:rsid w:val="004E77FC"/>
    <w:rsid w:val="004E7AD3"/>
    <w:rsid w:val="004E7C86"/>
    <w:rsid w:val="004E7DEC"/>
    <w:rsid w:val="004E7ECF"/>
    <w:rsid w:val="004F0401"/>
    <w:rsid w:val="004F0447"/>
    <w:rsid w:val="004F04AE"/>
    <w:rsid w:val="004F08EA"/>
    <w:rsid w:val="004F0A2D"/>
    <w:rsid w:val="004F0B43"/>
    <w:rsid w:val="004F0BCA"/>
    <w:rsid w:val="004F0C28"/>
    <w:rsid w:val="004F1076"/>
    <w:rsid w:val="004F1188"/>
    <w:rsid w:val="004F152F"/>
    <w:rsid w:val="004F15CD"/>
    <w:rsid w:val="004F1748"/>
    <w:rsid w:val="004F1B2E"/>
    <w:rsid w:val="004F1B73"/>
    <w:rsid w:val="004F1D43"/>
    <w:rsid w:val="004F21A6"/>
    <w:rsid w:val="004F23B7"/>
    <w:rsid w:val="004F2478"/>
    <w:rsid w:val="004F24FF"/>
    <w:rsid w:val="004F259B"/>
    <w:rsid w:val="004F2681"/>
    <w:rsid w:val="004F26B6"/>
    <w:rsid w:val="004F2790"/>
    <w:rsid w:val="004F2B7B"/>
    <w:rsid w:val="004F2E8D"/>
    <w:rsid w:val="004F36A1"/>
    <w:rsid w:val="004F3843"/>
    <w:rsid w:val="004F39B8"/>
    <w:rsid w:val="004F3D53"/>
    <w:rsid w:val="004F3D65"/>
    <w:rsid w:val="004F3DC2"/>
    <w:rsid w:val="004F44B0"/>
    <w:rsid w:val="004F4700"/>
    <w:rsid w:val="004F48A9"/>
    <w:rsid w:val="004F4DE6"/>
    <w:rsid w:val="004F5127"/>
    <w:rsid w:val="004F5271"/>
    <w:rsid w:val="004F5402"/>
    <w:rsid w:val="004F543B"/>
    <w:rsid w:val="004F5552"/>
    <w:rsid w:val="004F59CD"/>
    <w:rsid w:val="004F647F"/>
    <w:rsid w:val="004F66C9"/>
    <w:rsid w:val="004F6926"/>
    <w:rsid w:val="004F69C7"/>
    <w:rsid w:val="004F6BBD"/>
    <w:rsid w:val="004F7269"/>
    <w:rsid w:val="004F72B8"/>
    <w:rsid w:val="004F73D5"/>
    <w:rsid w:val="004F7549"/>
    <w:rsid w:val="004F781F"/>
    <w:rsid w:val="004F785A"/>
    <w:rsid w:val="004F794B"/>
    <w:rsid w:val="004F79FE"/>
    <w:rsid w:val="004F7C4E"/>
    <w:rsid w:val="00500495"/>
    <w:rsid w:val="005004E5"/>
    <w:rsid w:val="00500661"/>
    <w:rsid w:val="005008E7"/>
    <w:rsid w:val="00500935"/>
    <w:rsid w:val="00500E2B"/>
    <w:rsid w:val="00501105"/>
    <w:rsid w:val="00501260"/>
    <w:rsid w:val="005013CA"/>
    <w:rsid w:val="005014C1"/>
    <w:rsid w:val="005014EE"/>
    <w:rsid w:val="00501597"/>
    <w:rsid w:val="00501641"/>
    <w:rsid w:val="00501659"/>
    <w:rsid w:val="005016C6"/>
    <w:rsid w:val="00501A08"/>
    <w:rsid w:val="00501A93"/>
    <w:rsid w:val="00501B7E"/>
    <w:rsid w:val="0050201B"/>
    <w:rsid w:val="00502190"/>
    <w:rsid w:val="00502331"/>
    <w:rsid w:val="0050237D"/>
    <w:rsid w:val="005024A6"/>
    <w:rsid w:val="005029EC"/>
    <w:rsid w:val="00502C4B"/>
    <w:rsid w:val="00502D0A"/>
    <w:rsid w:val="00502DA4"/>
    <w:rsid w:val="00502DB3"/>
    <w:rsid w:val="005030D5"/>
    <w:rsid w:val="0050314B"/>
    <w:rsid w:val="0050362F"/>
    <w:rsid w:val="005036C8"/>
    <w:rsid w:val="0050370B"/>
    <w:rsid w:val="0050377D"/>
    <w:rsid w:val="005039BD"/>
    <w:rsid w:val="005039DD"/>
    <w:rsid w:val="00503D83"/>
    <w:rsid w:val="00503E41"/>
    <w:rsid w:val="00503EBD"/>
    <w:rsid w:val="005043A8"/>
    <w:rsid w:val="005046EA"/>
    <w:rsid w:val="0050495B"/>
    <w:rsid w:val="00504BFB"/>
    <w:rsid w:val="00504CB5"/>
    <w:rsid w:val="00504F09"/>
    <w:rsid w:val="00505103"/>
    <w:rsid w:val="00505617"/>
    <w:rsid w:val="005057A5"/>
    <w:rsid w:val="005058F3"/>
    <w:rsid w:val="00505916"/>
    <w:rsid w:val="00505E25"/>
    <w:rsid w:val="005066E9"/>
    <w:rsid w:val="005069C9"/>
    <w:rsid w:val="005069E1"/>
    <w:rsid w:val="00507004"/>
    <w:rsid w:val="005070B8"/>
    <w:rsid w:val="005072DC"/>
    <w:rsid w:val="00507362"/>
    <w:rsid w:val="0050792B"/>
    <w:rsid w:val="005079C8"/>
    <w:rsid w:val="005079F0"/>
    <w:rsid w:val="00507A3B"/>
    <w:rsid w:val="00507A3D"/>
    <w:rsid w:val="00507ABF"/>
    <w:rsid w:val="00507C76"/>
    <w:rsid w:val="00507CB9"/>
    <w:rsid w:val="00510257"/>
    <w:rsid w:val="0051073B"/>
    <w:rsid w:val="005107DD"/>
    <w:rsid w:val="00510BF0"/>
    <w:rsid w:val="00510D5B"/>
    <w:rsid w:val="00510DCD"/>
    <w:rsid w:val="00510DEE"/>
    <w:rsid w:val="00511083"/>
    <w:rsid w:val="005114B4"/>
    <w:rsid w:val="00511791"/>
    <w:rsid w:val="00511AC7"/>
    <w:rsid w:val="00511B67"/>
    <w:rsid w:val="00511C30"/>
    <w:rsid w:val="005124D0"/>
    <w:rsid w:val="00512632"/>
    <w:rsid w:val="00512997"/>
    <w:rsid w:val="00512A9D"/>
    <w:rsid w:val="00512B48"/>
    <w:rsid w:val="00512B5F"/>
    <w:rsid w:val="00512BA4"/>
    <w:rsid w:val="00512CC2"/>
    <w:rsid w:val="00512D1D"/>
    <w:rsid w:val="00512D95"/>
    <w:rsid w:val="00512F00"/>
    <w:rsid w:val="00513053"/>
    <w:rsid w:val="0051355B"/>
    <w:rsid w:val="005139C3"/>
    <w:rsid w:val="00513B49"/>
    <w:rsid w:val="00513C37"/>
    <w:rsid w:val="00513C85"/>
    <w:rsid w:val="00513CA7"/>
    <w:rsid w:val="00514075"/>
    <w:rsid w:val="00514453"/>
    <w:rsid w:val="00514636"/>
    <w:rsid w:val="0051476F"/>
    <w:rsid w:val="005149AF"/>
    <w:rsid w:val="00514A75"/>
    <w:rsid w:val="00514B13"/>
    <w:rsid w:val="005151D1"/>
    <w:rsid w:val="00515BAF"/>
    <w:rsid w:val="00515D2A"/>
    <w:rsid w:val="00515D47"/>
    <w:rsid w:val="0051615E"/>
    <w:rsid w:val="0051634C"/>
    <w:rsid w:val="00516A49"/>
    <w:rsid w:val="00517019"/>
    <w:rsid w:val="005170EA"/>
    <w:rsid w:val="0051739B"/>
    <w:rsid w:val="00517757"/>
    <w:rsid w:val="00517846"/>
    <w:rsid w:val="00517AF9"/>
    <w:rsid w:val="00517B18"/>
    <w:rsid w:val="00517D0A"/>
    <w:rsid w:val="00517F7B"/>
    <w:rsid w:val="005200AC"/>
    <w:rsid w:val="00520262"/>
    <w:rsid w:val="0052026B"/>
    <w:rsid w:val="00520281"/>
    <w:rsid w:val="005208F4"/>
    <w:rsid w:val="00520AB1"/>
    <w:rsid w:val="00521107"/>
    <w:rsid w:val="0052138B"/>
    <w:rsid w:val="005213F7"/>
    <w:rsid w:val="005215E8"/>
    <w:rsid w:val="00521872"/>
    <w:rsid w:val="00521BC2"/>
    <w:rsid w:val="00521CC6"/>
    <w:rsid w:val="00521DEC"/>
    <w:rsid w:val="005221AC"/>
    <w:rsid w:val="00522207"/>
    <w:rsid w:val="00522212"/>
    <w:rsid w:val="005229A6"/>
    <w:rsid w:val="005232BF"/>
    <w:rsid w:val="00523513"/>
    <w:rsid w:val="00523A6E"/>
    <w:rsid w:val="00523AAD"/>
    <w:rsid w:val="00523B4E"/>
    <w:rsid w:val="00524160"/>
    <w:rsid w:val="005246EE"/>
    <w:rsid w:val="00524705"/>
    <w:rsid w:val="0052485F"/>
    <w:rsid w:val="00525063"/>
    <w:rsid w:val="005251BE"/>
    <w:rsid w:val="0052550D"/>
    <w:rsid w:val="0052573E"/>
    <w:rsid w:val="0052597F"/>
    <w:rsid w:val="00525BD0"/>
    <w:rsid w:val="00525BD9"/>
    <w:rsid w:val="00525D84"/>
    <w:rsid w:val="00525E6C"/>
    <w:rsid w:val="00525ECB"/>
    <w:rsid w:val="00525F24"/>
    <w:rsid w:val="005263DC"/>
    <w:rsid w:val="0052657F"/>
    <w:rsid w:val="00526753"/>
    <w:rsid w:val="00526790"/>
    <w:rsid w:val="00526953"/>
    <w:rsid w:val="00526B23"/>
    <w:rsid w:val="00526B71"/>
    <w:rsid w:val="00526EA7"/>
    <w:rsid w:val="00526EE6"/>
    <w:rsid w:val="0052711D"/>
    <w:rsid w:val="005271CF"/>
    <w:rsid w:val="00527489"/>
    <w:rsid w:val="005275B5"/>
    <w:rsid w:val="005279F4"/>
    <w:rsid w:val="00527C42"/>
    <w:rsid w:val="00527C9E"/>
    <w:rsid w:val="0053039B"/>
    <w:rsid w:val="005303B9"/>
    <w:rsid w:val="005304D1"/>
    <w:rsid w:val="00530761"/>
    <w:rsid w:val="005307A8"/>
    <w:rsid w:val="00530A52"/>
    <w:rsid w:val="00530A9D"/>
    <w:rsid w:val="00530ED3"/>
    <w:rsid w:val="0053175B"/>
    <w:rsid w:val="005318B7"/>
    <w:rsid w:val="00531B42"/>
    <w:rsid w:val="00531B52"/>
    <w:rsid w:val="00531BBB"/>
    <w:rsid w:val="00531CDB"/>
    <w:rsid w:val="00531DBF"/>
    <w:rsid w:val="005320EF"/>
    <w:rsid w:val="0053212F"/>
    <w:rsid w:val="005323EB"/>
    <w:rsid w:val="0053283F"/>
    <w:rsid w:val="005328E9"/>
    <w:rsid w:val="005329C7"/>
    <w:rsid w:val="00532AC5"/>
    <w:rsid w:val="00533717"/>
    <w:rsid w:val="00533949"/>
    <w:rsid w:val="00533CDB"/>
    <w:rsid w:val="00533EC2"/>
    <w:rsid w:val="005340E2"/>
    <w:rsid w:val="005342FD"/>
    <w:rsid w:val="00534370"/>
    <w:rsid w:val="00534645"/>
    <w:rsid w:val="005347FE"/>
    <w:rsid w:val="00534984"/>
    <w:rsid w:val="005349E2"/>
    <w:rsid w:val="00534AF0"/>
    <w:rsid w:val="00534BC6"/>
    <w:rsid w:val="00534D83"/>
    <w:rsid w:val="00534EAA"/>
    <w:rsid w:val="00534EFF"/>
    <w:rsid w:val="00534F82"/>
    <w:rsid w:val="005355D0"/>
    <w:rsid w:val="00535698"/>
    <w:rsid w:val="00535ABF"/>
    <w:rsid w:val="00535AF8"/>
    <w:rsid w:val="00535DE5"/>
    <w:rsid w:val="00535FBE"/>
    <w:rsid w:val="00536006"/>
    <w:rsid w:val="005361D8"/>
    <w:rsid w:val="00536635"/>
    <w:rsid w:val="00536776"/>
    <w:rsid w:val="0053677D"/>
    <w:rsid w:val="00536910"/>
    <w:rsid w:val="00536D8C"/>
    <w:rsid w:val="0053730A"/>
    <w:rsid w:val="005379F3"/>
    <w:rsid w:val="00537ACB"/>
    <w:rsid w:val="00537BD4"/>
    <w:rsid w:val="00540158"/>
    <w:rsid w:val="00540222"/>
    <w:rsid w:val="005403E1"/>
    <w:rsid w:val="00540CF9"/>
    <w:rsid w:val="00540D20"/>
    <w:rsid w:val="005410A3"/>
    <w:rsid w:val="0054134E"/>
    <w:rsid w:val="005414F9"/>
    <w:rsid w:val="00541596"/>
    <w:rsid w:val="00541AC0"/>
    <w:rsid w:val="00541AD7"/>
    <w:rsid w:val="00541D8F"/>
    <w:rsid w:val="00541DB1"/>
    <w:rsid w:val="00541DFF"/>
    <w:rsid w:val="005420FE"/>
    <w:rsid w:val="0054236B"/>
    <w:rsid w:val="00542499"/>
    <w:rsid w:val="0054255A"/>
    <w:rsid w:val="0054259D"/>
    <w:rsid w:val="00542689"/>
    <w:rsid w:val="00542D47"/>
    <w:rsid w:val="00543083"/>
    <w:rsid w:val="0054309E"/>
    <w:rsid w:val="005432F7"/>
    <w:rsid w:val="005436C7"/>
    <w:rsid w:val="00543866"/>
    <w:rsid w:val="00543E6F"/>
    <w:rsid w:val="00543F10"/>
    <w:rsid w:val="00543F51"/>
    <w:rsid w:val="00544052"/>
    <w:rsid w:val="0054452B"/>
    <w:rsid w:val="0054463B"/>
    <w:rsid w:val="00544962"/>
    <w:rsid w:val="00544D07"/>
    <w:rsid w:val="005451B7"/>
    <w:rsid w:val="00545630"/>
    <w:rsid w:val="005461A3"/>
    <w:rsid w:val="0054625A"/>
    <w:rsid w:val="00546824"/>
    <w:rsid w:val="0054685E"/>
    <w:rsid w:val="00546A66"/>
    <w:rsid w:val="00546CC1"/>
    <w:rsid w:val="00546F0E"/>
    <w:rsid w:val="00546F7E"/>
    <w:rsid w:val="00546FD1"/>
    <w:rsid w:val="00547AF7"/>
    <w:rsid w:val="00547FCA"/>
    <w:rsid w:val="005502E0"/>
    <w:rsid w:val="0055052C"/>
    <w:rsid w:val="00550658"/>
    <w:rsid w:val="00550F31"/>
    <w:rsid w:val="005510B9"/>
    <w:rsid w:val="005513D8"/>
    <w:rsid w:val="0055142D"/>
    <w:rsid w:val="005514AA"/>
    <w:rsid w:val="00551510"/>
    <w:rsid w:val="005518CF"/>
    <w:rsid w:val="005518E7"/>
    <w:rsid w:val="00551F17"/>
    <w:rsid w:val="005520B8"/>
    <w:rsid w:val="00552284"/>
    <w:rsid w:val="005523A9"/>
    <w:rsid w:val="00552453"/>
    <w:rsid w:val="00552676"/>
    <w:rsid w:val="00552819"/>
    <w:rsid w:val="00552A1B"/>
    <w:rsid w:val="00552CC4"/>
    <w:rsid w:val="0055310B"/>
    <w:rsid w:val="00553445"/>
    <w:rsid w:val="00553528"/>
    <w:rsid w:val="005536D1"/>
    <w:rsid w:val="00553885"/>
    <w:rsid w:val="005538FD"/>
    <w:rsid w:val="00553A16"/>
    <w:rsid w:val="00553A26"/>
    <w:rsid w:val="00553CA9"/>
    <w:rsid w:val="00553E9E"/>
    <w:rsid w:val="00554350"/>
    <w:rsid w:val="0055479B"/>
    <w:rsid w:val="00554CE1"/>
    <w:rsid w:val="00554CE9"/>
    <w:rsid w:val="00554D42"/>
    <w:rsid w:val="005550C7"/>
    <w:rsid w:val="00555191"/>
    <w:rsid w:val="00555339"/>
    <w:rsid w:val="0055550D"/>
    <w:rsid w:val="0055571E"/>
    <w:rsid w:val="005558D3"/>
    <w:rsid w:val="00555BA9"/>
    <w:rsid w:val="00556031"/>
    <w:rsid w:val="0055645B"/>
    <w:rsid w:val="005564E7"/>
    <w:rsid w:val="0055650C"/>
    <w:rsid w:val="005568BD"/>
    <w:rsid w:val="00556CB9"/>
    <w:rsid w:val="00556E53"/>
    <w:rsid w:val="005571D5"/>
    <w:rsid w:val="00557982"/>
    <w:rsid w:val="005579D8"/>
    <w:rsid w:val="005603F5"/>
    <w:rsid w:val="005607D9"/>
    <w:rsid w:val="005608F2"/>
    <w:rsid w:val="00560D5B"/>
    <w:rsid w:val="00560DD2"/>
    <w:rsid w:val="005610C9"/>
    <w:rsid w:val="005613E0"/>
    <w:rsid w:val="005614DF"/>
    <w:rsid w:val="0056150D"/>
    <w:rsid w:val="00561755"/>
    <w:rsid w:val="00561A7E"/>
    <w:rsid w:val="00561B42"/>
    <w:rsid w:val="0056250D"/>
    <w:rsid w:val="005627DD"/>
    <w:rsid w:val="00562A09"/>
    <w:rsid w:val="00562AF1"/>
    <w:rsid w:val="00562B47"/>
    <w:rsid w:val="00562BD4"/>
    <w:rsid w:val="00562C7A"/>
    <w:rsid w:val="00562CD5"/>
    <w:rsid w:val="00562DCE"/>
    <w:rsid w:val="00562EB9"/>
    <w:rsid w:val="005631A6"/>
    <w:rsid w:val="0056341B"/>
    <w:rsid w:val="005636CF"/>
    <w:rsid w:val="005637E0"/>
    <w:rsid w:val="005638A0"/>
    <w:rsid w:val="00563B41"/>
    <w:rsid w:val="00564559"/>
    <w:rsid w:val="00564898"/>
    <w:rsid w:val="00564963"/>
    <w:rsid w:val="005650A6"/>
    <w:rsid w:val="0056519A"/>
    <w:rsid w:val="005652AD"/>
    <w:rsid w:val="0056556A"/>
    <w:rsid w:val="0056573B"/>
    <w:rsid w:val="00565881"/>
    <w:rsid w:val="005658EE"/>
    <w:rsid w:val="0056594D"/>
    <w:rsid w:val="00565A55"/>
    <w:rsid w:val="00565AC0"/>
    <w:rsid w:val="00565C1B"/>
    <w:rsid w:val="00565D3C"/>
    <w:rsid w:val="00565EC9"/>
    <w:rsid w:val="005661C5"/>
    <w:rsid w:val="00566287"/>
    <w:rsid w:val="00566348"/>
    <w:rsid w:val="00566B89"/>
    <w:rsid w:val="00566F56"/>
    <w:rsid w:val="005670AC"/>
    <w:rsid w:val="0056710D"/>
    <w:rsid w:val="00567312"/>
    <w:rsid w:val="005676D8"/>
    <w:rsid w:val="005678AA"/>
    <w:rsid w:val="005679B9"/>
    <w:rsid w:val="005679DD"/>
    <w:rsid w:val="00567B36"/>
    <w:rsid w:val="00567BD9"/>
    <w:rsid w:val="00570097"/>
    <w:rsid w:val="005700B0"/>
    <w:rsid w:val="00570118"/>
    <w:rsid w:val="005705BA"/>
    <w:rsid w:val="005705DF"/>
    <w:rsid w:val="00570741"/>
    <w:rsid w:val="00570A8F"/>
    <w:rsid w:val="00570A95"/>
    <w:rsid w:val="00570DF8"/>
    <w:rsid w:val="00570FED"/>
    <w:rsid w:val="005711D8"/>
    <w:rsid w:val="005714E9"/>
    <w:rsid w:val="0057170B"/>
    <w:rsid w:val="005718EA"/>
    <w:rsid w:val="00571BD5"/>
    <w:rsid w:val="00571CFD"/>
    <w:rsid w:val="00571E4C"/>
    <w:rsid w:val="0057211C"/>
    <w:rsid w:val="00572387"/>
    <w:rsid w:val="005723A7"/>
    <w:rsid w:val="0057276C"/>
    <w:rsid w:val="00573223"/>
    <w:rsid w:val="00573356"/>
    <w:rsid w:val="00573367"/>
    <w:rsid w:val="0057336D"/>
    <w:rsid w:val="00573833"/>
    <w:rsid w:val="0057385F"/>
    <w:rsid w:val="005738C3"/>
    <w:rsid w:val="00573937"/>
    <w:rsid w:val="005739E0"/>
    <w:rsid w:val="00573A20"/>
    <w:rsid w:val="00573C7E"/>
    <w:rsid w:val="0057414B"/>
    <w:rsid w:val="005743D8"/>
    <w:rsid w:val="005746DC"/>
    <w:rsid w:val="0057488D"/>
    <w:rsid w:val="005749AD"/>
    <w:rsid w:val="00574BF3"/>
    <w:rsid w:val="00574CE8"/>
    <w:rsid w:val="00574D04"/>
    <w:rsid w:val="00574EEB"/>
    <w:rsid w:val="005753AF"/>
    <w:rsid w:val="00575543"/>
    <w:rsid w:val="00575CA1"/>
    <w:rsid w:val="00575CE4"/>
    <w:rsid w:val="00575CE9"/>
    <w:rsid w:val="00575F23"/>
    <w:rsid w:val="0057613B"/>
    <w:rsid w:val="00576206"/>
    <w:rsid w:val="005763AE"/>
    <w:rsid w:val="0057642C"/>
    <w:rsid w:val="005764BA"/>
    <w:rsid w:val="005765E5"/>
    <w:rsid w:val="00576988"/>
    <w:rsid w:val="00576BE1"/>
    <w:rsid w:val="00576C54"/>
    <w:rsid w:val="00576D48"/>
    <w:rsid w:val="00576FBE"/>
    <w:rsid w:val="00576FC2"/>
    <w:rsid w:val="00577269"/>
    <w:rsid w:val="0057785F"/>
    <w:rsid w:val="005778B2"/>
    <w:rsid w:val="00577949"/>
    <w:rsid w:val="00577A11"/>
    <w:rsid w:val="00577C5A"/>
    <w:rsid w:val="00577CCA"/>
    <w:rsid w:val="00577D46"/>
    <w:rsid w:val="00577FA2"/>
    <w:rsid w:val="005800C5"/>
    <w:rsid w:val="00580590"/>
    <w:rsid w:val="00580B5A"/>
    <w:rsid w:val="005810E1"/>
    <w:rsid w:val="0058138F"/>
    <w:rsid w:val="00581462"/>
    <w:rsid w:val="00581A24"/>
    <w:rsid w:val="00581A63"/>
    <w:rsid w:val="00581AB4"/>
    <w:rsid w:val="00581C71"/>
    <w:rsid w:val="00582160"/>
    <w:rsid w:val="0058223C"/>
    <w:rsid w:val="00582495"/>
    <w:rsid w:val="0058258D"/>
    <w:rsid w:val="00582697"/>
    <w:rsid w:val="00582B12"/>
    <w:rsid w:val="00582F32"/>
    <w:rsid w:val="00582F94"/>
    <w:rsid w:val="005831FF"/>
    <w:rsid w:val="00583262"/>
    <w:rsid w:val="00583805"/>
    <w:rsid w:val="0058384C"/>
    <w:rsid w:val="00583D50"/>
    <w:rsid w:val="00583D94"/>
    <w:rsid w:val="00583E64"/>
    <w:rsid w:val="00583F72"/>
    <w:rsid w:val="0058400F"/>
    <w:rsid w:val="00584088"/>
    <w:rsid w:val="00584179"/>
    <w:rsid w:val="005843A7"/>
    <w:rsid w:val="00584799"/>
    <w:rsid w:val="0058484B"/>
    <w:rsid w:val="00584881"/>
    <w:rsid w:val="00584B43"/>
    <w:rsid w:val="00584C2E"/>
    <w:rsid w:val="00584CA3"/>
    <w:rsid w:val="00585073"/>
    <w:rsid w:val="00585123"/>
    <w:rsid w:val="005851EF"/>
    <w:rsid w:val="00585274"/>
    <w:rsid w:val="005852E3"/>
    <w:rsid w:val="005854A0"/>
    <w:rsid w:val="005859B6"/>
    <w:rsid w:val="005860D2"/>
    <w:rsid w:val="005864CD"/>
    <w:rsid w:val="005865BF"/>
    <w:rsid w:val="005866A9"/>
    <w:rsid w:val="00586850"/>
    <w:rsid w:val="00586AC0"/>
    <w:rsid w:val="00586F1C"/>
    <w:rsid w:val="00587264"/>
    <w:rsid w:val="0058748D"/>
    <w:rsid w:val="005877F1"/>
    <w:rsid w:val="00587A30"/>
    <w:rsid w:val="00587B30"/>
    <w:rsid w:val="00587B9D"/>
    <w:rsid w:val="00587BB2"/>
    <w:rsid w:val="00587DB7"/>
    <w:rsid w:val="00587EE3"/>
    <w:rsid w:val="00587F3E"/>
    <w:rsid w:val="00587FFA"/>
    <w:rsid w:val="00590591"/>
    <w:rsid w:val="005906DD"/>
    <w:rsid w:val="005908C7"/>
    <w:rsid w:val="00590DC0"/>
    <w:rsid w:val="00590EF4"/>
    <w:rsid w:val="00591037"/>
    <w:rsid w:val="00591080"/>
    <w:rsid w:val="005910FB"/>
    <w:rsid w:val="0059150F"/>
    <w:rsid w:val="005919C0"/>
    <w:rsid w:val="00591B96"/>
    <w:rsid w:val="005920A6"/>
    <w:rsid w:val="00592ABF"/>
    <w:rsid w:val="00592CE3"/>
    <w:rsid w:val="00592DB8"/>
    <w:rsid w:val="00592F08"/>
    <w:rsid w:val="0059301B"/>
    <w:rsid w:val="005934A8"/>
    <w:rsid w:val="005939A9"/>
    <w:rsid w:val="005939FC"/>
    <w:rsid w:val="00593BD2"/>
    <w:rsid w:val="00593C5E"/>
    <w:rsid w:val="00593C76"/>
    <w:rsid w:val="00593CE9"/>
    <w:rsid w:val="00593F37"/>
    <w:rsid w:val="00593F44"/>
    <w:rsid w:val="00593FD1"/>
    <w:rsid w:val="00594061"/>
    <w:rsid w:val="00594070"/>
    <w:rsid w:val="0059425B"/>
    <w:rsid w:val="005942D2"/>
    <w:rsid w:val="00594448"/>
    <w:rsid w:val="00594845"/>
    <w:rsid w:val="00594A0F"/>
    <w:rsid w:val="00594A1D"/>
    <w:rsid w:val="00594BCA"/>
    <w:rsid w:val="00594F2D"/>
    <w:rsid w:val="00595399"/>
    <w:rsid w:val="00595426"/>
    <w:rsid w:val="00595A1A"/>
    <w:rsid w:val="00595A93"/>
    <w:rsid w:val="00595F7C"/>
    <w:rsid w:val="00595FB4"/>
    <w:rsid w:val="0059622E"/>
    <w:rsid w:val="0059623F"/>
    <w:rsid w:val="005963D5"/>
    <w:rsid w:val="00596895"/>
    <w:rsid w:val="00596943"/>
    <w:rsid w:val="0059697D"/>
    <w:rsid w:val="00596BBF"/>
    <w:rsid w:val="00596C40"/>
    <w:rsid w:val="0059717D"/>
    <w:rsid w:val="005971FB"/>
    <w:rsid w:val="0059731D"/>
    <w:rsid w:val="005973C0"/>
    <w:rsid w:val="00597818"/>
    <w:rsid w:val="00597C3F"/>
    <w:rsid w:val="00597CD8"/>
    <w:rsid w:val="00597D69"/>
    <w:rsid w:val="005A0371"/>
    <w:rsid w:val="005A0390"/>
    <w:rsid w:val="005A03A5"/>
    <w:rsid w:val="005A0704"/>
    <w:rsid w:val="005A09E3"/>
    <w:rsid w:val="005A0B73"/>
    <w:rsid w:val="005A0E82"/>
    <w:rsid w:val="005A0FAE"/>
    <w:rsid w:val="005A1044"/>
    <w:rsid w:val="005A130A"/>
    <w:rsid w:val="005A1882"/>
    <w:rsid w:val="005A19D2"/>
    <w:rsid w:val="005A1BA5"/>
    <w:rsid w:val="005A1C5C"/>
    <w:rsid w:val="005A1CAC"/>
    <w:rsid w:val="005A1D6A"/>
    <w:rsid w:val="005A1F0C"/>
    <w:rsid w:val="005A215E"/>
    <w:rsid w:val="005A2223"/>
    <w:rsid w:val="005A25A7"/>
    <w:rsid w:val="005A270C"/>
    <w:rsid w:val="005A29E4"/>
    <w:rsid w:val="005A2AB0"/>
    <w:rsid w:val="005A2BE2"/>
    <w:rsid w:val="005A2CA3"/>
    <w:rsid w:val="005A2CD9"/>
    <w:rsid w:val="005A2DAD"/>
    <w:rsid w:val="005A30E7"/>
    <w:rsid w:val="005A3177"/>
    <w:rsid w:val="005A3708"/>
    <w:rsid w:val="005A3BE4"/>
    <w:rsid w:val="005A3E9A"/>
    <w:rsid w:val="005A4326"/>
    <w:rsid w:val="005A49E2"/>
    <w:rsid w:val="005A49F4"/>
    <w:rsid w:val="005A4FE6"/>
    <w:rsid w:val="005A506A"/>
    <w:rsid w:val="005A50FF"/>
    <w:rsid w:val="005A5442"/>
    <w:rsid w:val="005A5449"/>
    <w:rsid w:val="005A55C9"/>
    <w:rsid w:val="005A56B0"/>
    <w:rsid w:val="005A5896"/>
    <w:rsid w:val="005A5AB7"/>
    <w:rsid w:val="005A5B20"/>
    <w:rsid w:val="005A5DF4"/>
    <w:rsid w:val="005A5FC8"/>
    <w:rsid w:val="005A611E"/>
    <w:rsid w:val="005A6141"/>
    <w:rsid w:val="005A6323"/>
    <w:rsid w:val="005A643C"/>
    <w:rsid w:val="005A6767"/>
    <w:rsid w:val="005A6954"/>
    <w:rsid w:val="005A698B"/>
    <w:rsid w:val="005A6A9D"/>
    <w:rsid w:val="005A6ADC"/>
    <w:rsid w:val="005A6B05"/>
    <w:rsid w:val="005A6E21"/>
    <w:rsid w:val="005A7028"/>
    <w:rsid w:val="005A7234"/>
    <w:rsid w:val="005A7633"/>
    <w:rsid w:val="005A77CC"/>
    <w:rsid w:val="005A79C3"/>
    <w:rsid w:val="005A79D3"/>
    <w:rsid w:val="005B0015"/>
    <w:rsid w:val="005B0227"/>
    <w:rsid w:val="005B02CD"/>
    <w:rsid w:val="005B055B"/>
    <w:rsid w:val="005B05FB"/>
    <w:rsid w:val="005B0A46"/>
    <w:rsid w:val="005B0CF4"/>
    <w:rsid w:val="005B0F93"/>
    <w:rsid w:val="005B190C"/>
    <w:rsid w:val="005B1916"/>
    <w:rsid w:val="005B199D"/>
    <w:rsid w:val="005B1C4E"/>
    <w:rsid w:val="005B237A"/>
    <w:rsid w:val="005B28EC"/>
    <w:rsid w:val="005B2FF6"/>
    <w:rsid w:val="005B302C"/>
    <w:rsid w:val="005B33BF"/>
    <w:rsid w:val="005B34AD"/>
    <w:rsid w:val="005B3528"/>
    <w:rsid w:val="005B392A"/>
    <w:rsid w:val="005B396B"/>
    <w:rsid w:val="005B3AC6"/>
    <w:rsid w:val="005B3BC1"/>
    <w:rsid w:val="005B3DCB"/>
    <w:rsid w:val="005B420B"/>
    <w:rsid w:val="005B42CD"/>
    <w:rsid w:val="005B4311"/>
    <w:rsid w:val="005B4315"/>
    <w:rsid w:val="005B4384"/>
    <w:rsid w:val="005B447A"/>
    <w:rsid w:val="005B474A"/>
    <w:rsid w:val="005B4A09"/>
    <w:rsid w:val="005B4AFC"/>
    <w:rsid w:val="005B4E32"/>
    <w:rsid w:val="005B51AE"/>
    <w:rsid w:val="005B52CB"/>
    <w:rsid w:val="005B587E"/>
    <w:rsid w:val="005B61F2"/>
    <w:rsid w:val="005B6336"/>
    <w:rsid w:val="005B638D"/>
    <w:rsid w:val="005B6CE2"/>
    <w:rsid w:val="005B7359"/>
    <w:rsid w:val="005B756D"/>
    <w:rsid w:val="005B763C"/>
    <w:rsid w:val="005B76AC"/>
    <w:rsid w:val="005B7A8C"/>
    <w:rsid w:val="005B7E6C"/>
    <w:rsid w:val="005C00A2"/>
    <w:rsid w:val="005C040A"/>
    <w:rsid w:val="005C07DC"/>
    <w:rsid w:val="005C09E8"/>
    <w:rsid w:val="005C0A50"/>
    <w:rsid w:val="005C0D1C"/>
    <w:rsid w:val="005C0D6D"/>
    <w:rsid w:val="005C1102"/>
    <w:rsid w:val="005C1335"/>
    <w:rsid w:val="005C14E7"/>
    <w:rsid w:val="005C16D5"/>
    <w:rsid w:val="005C1C91"/>
    <w:rsid w:val="005C1CB7"/>
    <w:rsid w:val="005C1CCE"/>
    <w:rsid w:val="005C1D61"/>
    <w:rsid w:val="005C1DC7"/>
    <w:rsid w:val="005C24B1"/>
    <w:rsid w:val="005C254E"/>
    <w:rsid w:val="005C2A0B"/>
    <w:rsid w:val="005C2A89"/>
    <w:rsid w:val="005C2DF1"/>
    <w:rsid w:val="005C30A4"/>
    <w:rsid w:val="005C3176"/>
    <w:rsid w:val="005C32EB"/>
    <w:rsid w:val="005C3324"/>
    <w:rsid w:val="005C3488"/>
    <w:rsid w:val="005C3992"/>
    <w:rsid w:val="005C3E4E"/>
    <w:rsid w:val="005C417E"/>
    <w:rsid w:val="005C445B"/>
    <w:rsid w:val="005C4944"/>
    <w:rsid w:val="005C4B7C"/>
    <w:rsid w:val="005C4B98"/>
    <w:rsid w:val="005C4C1E"/>
    <w:rsid w:val="005C5007"/>
    <w:rsid w:val="005C5168"/>
    <w:rsid w:val="005C576E"/>
    <w:rsid w:val="005C5813"/>
    <w:rsid w:val="005C5D4C"/>
    <w:rsid w:val="005C5D8D"/>
    <w:rsid w:val="005C6107"/>
    <w:rsid w:val="005C6184"/>
    <w:rsid w:val="005C634A"/>
    <w:rsid w:val="005C63C0"/>
    <w:rsid w:val="005C6635"/>
    <w:rsid w:val="005C667A"/>
    <w:rsid w:val="005C6725"/>
    <w:rsid w:val="005C672B"/>
    <w:rsid w:val="005C6979"/>
    <w:rsid w:val="005C6AB3"/>
    <w:rsid w:val="005C6EC8"/>
    <w:rsid w:val="005C7078"/>
    <w:rsid w:val="005C7D3F"/>
    <w:rsid w:val="005C7D83"/>
    <w:rsid w:val="005C7EB2"/>
    <w:rsid w:val="005D03E4"/>
    <w:rsid w:val="005D0533"/>
    <w:rsid w:val="005D0C8F"/>
    <w:rsid w:val="005D10FA"/>
    <w:rsid w:val="005D14CC"/>
    <w:rsid w:val="005D15F7"/>
    <w:rsid w:val="005D17E4"/>
    <w:rsid w:val="005D1A00"/>
    <w:rsid w:val="005D23C5"/>
    <w:rsid w:val="005D2457"/>
    <w:rsid w:val="005D24C5"/>
    <w:rsid w:val="005D25E8"/>
    <w:rsid w:val="005D2700"/>
    <w:rsid w:val="005D2821"/>
    <w:rsid w:val="005D28DC"/>
    <w:rsid w:val="005D29C5"/>
    <w:rsid w:val="005D2B75"/>
    <w:rsid w:val="005D2ED6"/>
    <w:rsid w:val="005D32F5"/>
    <w:rsid w:val="005D34A7"/>
    <w:rsid w:val="005D378B"/>
    <w:rsid w:val="005D37E3"/>
    <w:rsid w:val="005D3850"/>
    <w:rsid w:val="005D386E"/>
    <w:rsid w:val="005D3B3E"/>
    <w:rsid w:val="005D3C38"/>
    <w:rsid w:val="005D3F41"/>
    <w:rsid w:val="005D4008"/>
    <w:rsid w:val="005D40C0"/>
    <w:rsid w:val="005D434A"/>
    <w:rsid w:val="005D458E"/>
    <w:rsid w:val="005D4904"/>
    <w:rsid w:val="005D4FE9"/>
    <w:rsid w:val="005D50B4"/>
    <w:rsid w:val="005D55D1"/>
    <w:rsid w:val="005D5BA0"/>
    <w:rsid w:val="005D5F4D"/>
    <w:rsid w:val="005D6556"/>
    <w:rsid w:val="005D6682"/>
    <w:rsid w:val="005D6755"/>
    <w:rsid w:val="005D68A4"/>
    <w:rsid w:val="005D6A74"/>
    <w:rsid w:val="005D6B2F"/>
    <w:rsid w:val="005D6BD4"/>
    <w:rsid w:val="005D6DDB"/>
    <w:rsid w:val="005D6ECE"/>
    <w:rsid w:val="005D6FE5"/>
    <w:rsid w:val="005D72E5"/>
    <w:rsid w:val="005D7405"/>
    <w:rsid w:val="005D7462"/>
    <w:rsid w:val="005D7AD4"/>
    <w:rsid w:val="005D7C17"/>
    <w:rsid w:val="005D7C2D"/>
    <w:rsid w:val="005D7FE2"/>
    <w:rsid w:val="005E0437"/>
    <w:rsid w:val="005E043E"/>
    <w:rsid w:val="005E06E6"/>
    <w:rsid w:val="005E0825"/>
    <w:rsid w:val="005E08AF"/>
    <w:rsid w:val="005E0D01"/>
    <w:rsid w:val="005E0D0F"/>
    <w:rsid w:val="005E0D14"/>
    <w:rsid w:val="005E0D93"/>
    <w:rsid w:val="005E0F67"/>
    <w:rsid w:val="005E1108"/>
    <w:rsid w:val="005E1132"/>
    <w:rsid w:val="005E1133"/>
    <w:rsid w:val="005E124D"/>
    <w:rsid w:val="005E1259"/>
    <w:rsid w:val="005E1300"/>
    <w:rsid w:val="005E13D2"/>
    <w:rsid w:val="005E1731"/>
    <w:rsid w:val="005E1B00"/>
    <w:rsid w:val="005E1B20"/>
    <w:rsid w:val="005E1FB1"/>
    <w:rsid w:val="005E2057"/>
    <w:rsid w:val="005E2082"/>
    <w:rsid w:val="005E2265"/>
    <w:rsid w:val="005E2615"/>
    <w:rsid w:val="005E26FF"/>
    <w:rsid w:val="005E2731"/>
    <w:rsid w:val="005E2921"/>
    <w:rsid w:val="005E2B20"/>
    <w:rsid w:val="005E2B89"/>
    <w:rsid w:val="005E2DE6"/>
    <w:rsid w:val="005E2E6C"/>
    <w:rsid w:val="005E2EC5"/>
    <w:rsid w:val="005E2ECB"/>
    <w:rsid w:val="005E30AB"/>
    <w:rsid w:val="005E310C"/>
    <w:rsid w:val="005E3258"/>
    <w:rsid w:val="005E33E7"/>
    <w:rsid w:val="005E3CD3"/>
    <w:rsid w:val="005E3D34"/>
    <w:rsid w:val="005E483E"/>
    <w:rsid w:val="005E4AB9"/>
    <w:rsid w:val="005E4C47"/>
    <w:rsid w:val="005E5546"/>
    <w:rsid w:val="005E5955"/>
    <w:rsid w:val="005E5AFB"/>
    <w:rsid w:val="005E65BF"/>
    <w:rsid w:val="005E68E4"/>
    <w:rsid w:val="005E6960"/>
    <w:rsid w:val="005E6AB4"/>
    <w:rsid w:val="005E6E02"/>
    <w:rsid w:val="005E6FD8"/>
    <w:rsid w:val="005E707D"/>
    <w:rsid w:val="005E7889"/>
    <w:rsid w:val="005E7A7D"/>
    <w:rsid w:val="005F015B"/>
    <w:rsid w:val="005F0163"/>
    <w:rsid w:val="005F031D"/>
    <w:rsid w:val="005F03B6"/>
    <w:rsid w:val="005F03D4"/>
    <w:rsid w:val="005F0466"/>
    <w:rsid w:val="005F04CE"/>
    <w:rsid w:val="005F06DE"/>
    <w:rsid w:val="005F06FC"/>
    <w:rsid w:val="005F0A31"/>
    <w:rsid w:val="005F0AA8"/>
    <w:rsid w:val="005F0ADF"/>
    <w:rsid w:val="005F0DDA"/>
    <w:rsid w:val="005F0EF3"/>
    <w:rsid w:val="005F121D"/>
    <w:rsid w:val="005F156F"/>
    <w:rsid w:val="005F1AFD"/>
    <w:rsid w:val="005F1EC4"/>
    <w:rsid w:val="005F1F0D"/>
    <w:rsid w:val="005F2222"/>
    <w:rsid w:val="005F2680"/>
    <w:rsid w:val="005F27A7"/>
    <w:rsid w:val="005F2A4D"/>
    <w:rsid w:val="005F2A8F"/>
    <w:rsid w:val="005F2AB8"/>
    <w:rsid w:val="005F2B1E"/>
    <w:rsid w:val="005F2B9A"/>
    <w:rsid w:val="005F2F90"/>
    <w:rsid w:val="005F3003"/>
    <w:rsid w:val="005F33BE"/>
    <w:rsid w:val="005F3664"/>
    <w:rsid w:val="005F3839"/>
    <w:rsid w:val="005F3914"/>
    <w:rsid w:val="005F3979"/>
    <w:rsid w:val="005F39C7"/>
    <w:rsid w:val="005F3D98"/>
    <w:rsid w:val="005F3E38"/>
    <w:rsid w:val="005F3F8F"/>
    <w:rsid w:val="005F4187"/>
    <w:rsid w:val="005F4285"/>
    <w:rsid w:val="005F42B7"/>
    <w:rsid w:val="005F43F9"/>
    <w:rsid w:val="005F4F81"/>
    <w:rsid w:val="005F516D"/>
    <w:rsid w:val="005F5339"/>
    <w:rsid w:val="005F53D7"/>
    <w:rsid w:val="005F54C4"/>
    <w:rsid w:val="005F56E3"/>
    <w:rsid w:val="005F572F"/>
    <w:rsid w:val="005F5880"/>
    <w:rsid w:val="005F59DD"/>
    <w:rsid w:val="005F5AED"/>
    <w:rsid w:val="005F65C9"/>
    <w:rsid w:val="005F6887"/>
    <w:rsid w:val="005F6B73"/>
    <w:rsid w:val="005F6D51"/>
    <w:rsid w:val="005F6E73"/>
    <w:rsid w:val="005F715C"/>
    <w:rsid w:val="005F7646"/>
    <w:rsid w:val="005F77B8"/>
    <w:rsid w:val="005F7BAE"/>
    <w:rsid w:val="005F7BC3"/>
    <w:rsid w:val="005F7BD5"/>
    <w:rsid w:val="005F7C9A"/>
    <w:rsid w:val="005F7D13"/>
    <w:rsid w:val="005F7E01"/>
    <w:rsid w:val="006004A1"/>
    <w:rsid w:val="006004D7"/>
    <w:rsid w:val="00600565"/>
    <w:rsid w:val="0060094A"/>
    <w:rsid w:val="00600C40"/>
    <w:rsid w:val="00601219"/>
    <w:rsid w:val="0060179E"/>
    <w:rsid w:val="0060206A"/>
    <w:rsid w:val="00602527"/>
    <w:rsid w:val="0060278A"/>
    <w:rsid w:val="00602D43"/>
    <w:rsid w:val="00603035"/>
    <w:rsid w:val="0060326A"/>
    <w:rsid w:val="00603553"/>
    <w:rsid w:val="006037C3"/>
    <w:rsid w:val="006037F9"/>
    <w:rsid w:val="00603874"/>
    <w:rsid w:val="0060387B"/>
    <w:rsid w:val="00603B52"/>
    <w:rsid w:val="00603BF8"/>
    <w:rsid w:val="00603D07"/>
    <w:rsid w:val="0060447E"/>
    <w:rsid w:val="00604643"/>
    <w:rsid w:val="006047EC"/>
    <w:rsid w:val="0060483A"/>
    <w:rsid w:val="0060490B"/>
    <w:rsid w:val="00604A4E"/>
    <w:rsid w:val="00604C91"/>
    <w:rsid w:val="00604E85"/>
    <w:rsid w:val="00605145"/>
    <w:rsid w:val="00605423"/>
    <w:rsid w:val="00605600"/>
    <w:rsid w:val="00605834"/>
    <w:rsid w:val="0060584D"/>
    <w:rsid w:val="00605A47"/>
    <w:rsid w:val="00605A81"/>
    <w:rsid w:val="00605C24"/>
    <w:rsid w:val="00605C34"/>
    <w:rsid w:val="00605CCA"/>
    <w:rsid w:val="00605F5F"/>
    <w:rsid w:val="00605FD8"/>
    <w:rsid w:val="0060630C"/>
    <w:rsid w:val="0060640C"/>
    <w:rsid w:val="0060660A"/>
    <w:rsid w:val="00606757"/>
    <w:rsid w:val="00606B86"/>
    <w:rsid w:val="00606D0C"/>
    <w:rsid w:val="00606ECC"/>
    <w:rsid w:val="00606FDB"/>
    <w:rsid w:val="00607839"/>
    <w:rsid w:val="0060796B"/>
    <w:rsid w:val="00607BC0"/>
    <w:rsid w:val="00607D2B"/>
    <w:rsid w:val="00610018"/>
    <w:rsid w:val="006102E5"/>
    <w:rsid w:val="00610498"/>
    <w:rsid w:val="0061056C"/>
    <w:rsid w:val="0061088D"/>
    <w:rsid w:val="006109BB"/>
    <w:rsid w:val="00610B83"/>
    <w:rsid w:val="006111CC"/>
    <w:rsid w:val="0061141D"/>
    <w:rsid w:val="006114A5"/>
    <w:rsid w:val="006114BE"/>
    <w:rsid w:val="006117EF"/>
    <w:rsid w:val="006119D0"/>
    <w:rsid w:val="00611B09"/>
    <w:rsid w:val="00611BD7"/>
    <w:rsid w:val="00611C98"/>
    <w:rsid w:val="00611E4D"/>
    <w:rsid w:val="00611F7B"/>
    <w:rsid w:val="0061211C"/>
    <w:rsid w:val="0061248D"/>
    <w:rsid w:val="006124A2"/>
    <w:rsid w:val="00612A42"/>
    <w:rsid w:val="00612A65"/>
    <w:rsid w:val="00612C2E"/>
    <w:rsid w:val="00612D31"/>
    <w:rsid w:val="00612DB3"/>
    <w:rsid w:val="00612E07"/>
    <w:rsid w:val="00613033"/>
    <w:rsid w:val="006130F5"/>
    <w:rsid w:val="006132A4"/>
    <w:rsid w:val="00613518"/>
    <w:rsid w:val="00613541"/>
    <w:rsid w:val="006135F3"/>
    <w:rsid w:val="00613E82"/>
    <w:rsid w:val="00613F7A"/>
    <w:rsid w:val="006148C1"/>
    <w:rsid w:val="00614BDF"/>
    <w:rsid w:val="00614D78"/>
    <w:rsid w:val="00614FC8"/>
    <w:rsid w:val="006151B3"/>
    <w:rsid w:val="006151D9"/>
    <w:rsid w:val="006152B7"/>
    <w:rsid w:val="00615770"/>
    <w:rsid w:val="0061583B"/>
    <w:rsid w:val="00615C99"/>
    <w:rsid w:val="00616138"/>
    <w:rsid w:val="0061629D"/>
    <w:rsid w:val="00616764"/>
    <w:rsid w:val="0061691F"/>
    <w:rsid w:val="00616A60"/>
    <w:rsid w:val="00616B38"/>
    <w:rsid w:val="00616EEA"/>
    <w:rsid w:val="00616F2B"/>
    <w:rsid w:val="006177A3"/>
    <w:rsid w:val="00617A5E"/>
    <w:rsid w:val="00617A9F"/>
    <w:rsid w:val="00617B04"/>
    <w:rsid w:val="00617F10"/>
    <w:rsid w:val="006200AF"/>
    <w:rsid w:val="00620A46"/>
    <w:rsid w:val="00620C4C"/>
    <w:rsid w:val="00621141"/>
    <w:rsid w:val="006211CC"/>
    <w:rsid w:val="0062135E"/>
    <w:rsid w:val="0062151B"/>
    <w:rsid w:val="00621C8C"/>
    <w:rsid w:val="006221D2"/>
    <w:rsid w:val="0062227A"/>
    <w:rsid w:val="0062227D"/>
    <w:rsid w:val="006224C0"/>
    <w:rsid w:val="00622654"/>
    <w:rsid w:val="00622C4C"/>
    <w:rsid w:val="00622D6E"/>
    <w:rsid w:val="00622E3C"/>
    <w:rsid w:val="00622E44"/>
    <w:rsid w:val="00623023"/>
    <w:rsid w:val="006230BC"/>
    <w:rsid w:val="0062361E"/>
    <w:rsid w:val="00623688"/>
    <w:rsid w:val="00623766"/>
    <w:rsid w:val="00623A9C"/>
    <w:rsid w:val="00623C65"/>
    <w:rsid w:val="00623CD5"/>
    <w:rsid w:val="00623D32"/>
    <w:rsid w:val="00623DD5"/>
    <w:rsid w:val="00623DFE"/>
    <w:rsid w:val="00623F8E"/>
    <w:rsid w:val="006240E8"/>
    <w:rsid w:val="00624432"/>
    <w:rsid w:val="00624776"/>
    <w:rsid w:val="006247E2"/>
    <w:rsid w:val="006248F5"/>
    <w:rsid w:val="00624AC0"/>
    <w:rsid w:val="00624AC9"/>
    <w:rsid w:val="00624BB1"/>
    <w:rsid w:val="00624BCC"/>
    <w:rsid w:val="00624E17"/>
    <w:rsid w:val="006251C0"/>
    <w:rsid w:val="006257BD"/>
    <w:rsid w:val="00625A94"/>
    <w:rsid w:val="00625DDF"/>
    <w:rsid w:val="00626031"/>
    <w:rsid w:val="00626436"/>
    <w:rsid w:val="0062666B"/>
    <w:rsid w:val="0062682F"/>
    <w:rsid w:val="00626B8B"/>
    <w:rsid w:val="00626CAE"/>
    <w:rsid w:val="00626CE9"/>
    <w:rsid w:val="00626DBF"/>
    <w:rsid w:val="0062700E"/>
    <w:rsid w:val="00627271"/>
    <w:rsid w:val="006275F9"/>
    <w:rsid w:val="006275FB"/>
    <w:rsid w:val="00627828"/>
    <w:rsid w:val="00627862"/>
    <w:rsid w:val="006278E0"/>
    <w:rsid w:val="00627F3E"/>
    <w:rsid w:val="006301D4"/>
    <w:rsid w:val="0063046F"/>
    <w:rsid w:val="006305FE"/>
    <w:rsid w:val="00630D5A"/>
    <w:rsid w:val="0063101B"/>
    <w:rsid w:val="0063102E"/>
    <w:rsid w:val="00631473"/>
    <w:rsid w:val="0063157D"/>
    <w:rsid w:val="006317D4"/>
    <w:rsid w:val="00631816"/>
    <w:rsid w:val="00631865"/>
    <w:rsid w:val="00631C0A"/>
    <w:rsid w:val="00631C28"/>
    <w:rsid w:val="00631DF1"/>
    <w:rsid w:val="00631EF2"/>
    <w:rsid w:val="006323C6"/>
    <w:rsid w:val="006325FA"/>
    <w:rsid w:val="006329CB"/>
    <w:rsid w:val="00632A00"/>
    <w:rsid w:val="00632B5F"/>
    <w:rsid w:val="0063308C"/>
    <w:rsid w:val="00633162"/>
    <w:rsid w:val="00633505"/>
    <w:rsid w:val="006335C4"/>
    <w:rsid w:val="006336B8"/>
    <w:rsid w:val="00633A1F"/>
    <w:rsid w:val="00633DE1"/>
    <w:rsid w:val="00633E1D"/>
    <w:rsid w:val="00633FF2"/>
    <w:rsid w:val="006341C2"/>
    <w:rsid w:val="0063429A"/>
    <w:rsid w:val="006342C4"/>
    <w:rsid w:val="00634442"/>
    <w:rsid w:val="0063445E"/>
    <w:rsid w:val="00634633"/>
    <w:rsid w:val="00634DA0"/>
    <w:rsid w:val="00634F40"/>
    <w:rsid w:val="00634F43"/>
    <w:rsid w:val="0063505F"/>
    <w:rsid w:val="0063528E"/>
    <w:rsid w:val="0063533F"/>
    <w:rsid w:val="00635684"/>
    <w:rsid w:val="006357C7"/>
    <w:rsid w:val="00635E3E"/>
    <w:rsid w:val="00635EF8"/>
    <w:rsid w:val="00635F6C"/>
    <w:rsid w:val="006364B5"/>
    <w:rsid w:val="00636787"/>
    <w:rsid w:val="006367D4"/>
    <w:rsid w:val="006369C5"/>
    <w:rsid w:val="006369D3"/>
    <w:rsid w:val="00636A8F"/>
    <w:rsid w:val="00636C2B"/>
    <w:rsid w:val="00636F3F"/>
    <w:rsid w:val="00636F86"/>
    <w:rsid w:val="00637192"/>
    <w:rsid w:val="006376E5"/>
    <w:rsid w:val="00637729"/>
    <w:rsid w:val="00637868"/>
    <w:rsid w:val="00637B91"/>
    <w:rsid w:val="00637DAC"/>
    <w:rsid w:val="006400B5"/>
    <w:rsid w:val="0064022A"/>
    <w:rsid w:val="00640257"/>
    <w:rsid w:val="00640332"/>
    <w:rsid w:val="006405C9"/>
    <w:rsid w:val="00640997"/>
    <w:rsid w:val="00640D8E"/>
    <w:rsid w:val="0064132C"/>
    <w:rsid w:val="006413B4"/>
    <w:rsid w:val="00641544"/>
    <w:rsid w:val="00641988"/>
    <w:rsid w:val="00641AFB"/>
    <w:rsid w:val="00641B06"/>
    <w:rsid w:val="00641D85"/>
    <w:rsid w:val="006421F6"/>
    <w:rsid w:val="006423D3"/>
    <w:rsid w:val="006423EA"/>
    <w:rsid w:val="00642464"/>
    <w:rsid w:val="00642470"/>
    <w:rsid w:val="006424C3"/>
    <w:rsid w:val="00642560"/>
    <w:rsid w:val="00642769"/>
    <w:rsid w:val="0064288F"/>
    <w:rsid w:val="00642A21"/>
    <w:rsid w:val="00642D7E"/>
    <w:rsid w:val="00643268"/>
    <w:rsid w:val="006433D3"/>
    <w:rsid w:val="006436CD"/>
    <w:rsid w:val="00643909"/>
    <w:rsid w:val="00643A8F"/>
    <w:rsid w:val="00643B0F"/>
    <w:rsid w:val="00643E95"/>
    <w:rsid w:val="006440D6"/>
    <w:rsid w:val="006441A3"/>
    <w:rsid w:val="006441FF"/>
    <w:rsid w:val="00644971"/>
    <w:rsid w:val="00644EA9"/>
    <w:rsid w:val="006451A6"/>
    <w:rsid w:val="00645472"/>
    <w:rsid w:val="00645FDF"/>
    <w:rsid w:val="006464A2"/>
    <w:rsid w:val="00646569"/>
    <w:rsid w:val="00646596"/>
    <w:rsid w:val="00646783"/>
    <w:rsid w:val="006467CE"/>
    <w:rsid w:val="00646BEA"/>
    <w:rsid w:val="00646F5C"/>
    <w:rsid w:val="006472E9"/>
    <w:rsid w:val="00647354"/>
    <w:rsid w:val="006473DF"/>
    <w:rsid w:val="00647776"/>
    <w:rsid w:val="0064795B"/>
    <w:rsid w:val="00647D2D"/>
    <w:rsid w:val="00647D43"/>
    <w:rsid w:val="00647DFF"/>
    <w:rsid w:val="00647E33"/>
    <w:rsid w:val="00647F74"/>
    <w:rsid w:val="00647FBD"/>
    <w:rsid w:val="006500AD"/>
    <w:rsid w:val="006503A5"/>
    <w:rsid w:val="00650411"/>
    <w:rsid w:val="00650725"/>
    <w:rsid w:val="00650BDB"/>
    <w:rsid w:val="00650D5E"/>
    <w:rsid w:val="00650F47"/>
    <w:rsid w:val="00650F5D"/>
    <w:rsid w:val="00650FED"/>
    <w:rsid w:val="00651008"/>
    <w:rsid w:val="0065100F"/>
    <w:rsid w:val="0065120B"/>
    <w:rsid w:val="006512A5"/>
    <w:rsid w:val="00651491"/>
    <w:rsid w:val="0065152D"/>
    <w:rsid w:val="0065188C"/>
    <w:rsid w:val="006519F1"/>
    <w:rsid w:val="00651AE3"/>
    <w:rsid w:val="00651B0B"/>
    <w:rsid w:val="00651B56"/>
    <w:rsid w:val="00651ED6"/>
    <w:rsid w:val="006520FB"/>
    <w:rsid w:val="00652313"/>
    <w:rsid w:val="006525AF"/>
    <w:rsid w:val="00652C54"/>
    <w:rsid w:val="00652D7F"/>
    <w:rsid w:val="00652DC2"/>
    <w:rsid w:val="00652E8C"/>
    <w:rsid w:val="00653064"/>
    <w:rsid w:val="00653478"/>
    <w:rsid w:val="00653829"/>
    <w:rsid w:val="00653977"/>
    <w:rsid w:val="006539A5"/>
    <w:rsid w:val="00654086"/>
    <w:rsid w:val="006547EF"/>
    <w:rsid w:val="006548E8"/>
    <w:rsid w:val="00654A7C"/>
    <w:rsid w:val="00654E92"/>
    <w:rsid w:val="006558A6"/>
    <w:rsid w:val="006559B9"/>
    <w:rsid w:val="00655F35"/>
    <w:rsid w:val="006561A3"/>
    <w:rsid w:val="00656209"/>
    <w:rsid w:val="00656380"/>
    <w:rsid w:val="006564D8"/>
    <w:rsid w:val="00656669"/>
    <w:rsid w:val="006566C0"/>
    <w:rsid w:val="00656C82"/>
    <w:rsid w:val="00656D60"/>
    <w:rsid w:val="00656E01"/>
    <w:rsid w:val="00656FFF"/>
    <w:rsid w:val="006571D7"/>
    <w:rsid w:val="00657314"/>
    <w:rsid w:val="0065734E"/>
    <w:rsid w:val="006576BF"/>
    <w:rsid w:val="00657AEC"/>
    <w:rsid w:val="00657C06"/>
    <w:rsid w:val="00657DE8"/>
    <w:rsid w:val="00657EC0"/>
    <w:rsid w:val="006602B5"/>
    <w:rsid w:val="006605B7"/>
    <w:rsid w:val="00660663"/>
    <w:rsid w:val="006606C9"/>
    <w:rsid w:val="00660C42"/>
    <w:rsid w:val="00660D17"/>
    <w:rsid w:val="00660D2A"/>
    <w:rsid w:val="00660D7D"/>
    <w:rsid w:val="00661182"/>
    <w:rsid w:val="00661250"/>
    <w:rsid w:val="006615B5"/>
    <w:rsid w:val="00661657"/>
    <w:rsid w:val="00661C3F"/>
    <w:rsid w:val="00661C90"/>
    <w:rsid w:val="00661E27"/>
    <w:rsid w:val="00661EE5"/>
    <w:rsid w:val="0066202C"/>
    <w:rsid w:val="0066219B"/>
    <w:rsid w:val="006621CE"/>
    <w:rsid w:val="00662328"/>
    <w:rsid w:val="00662543"/>
    <w:rsid w:val="00662F77"/>
    <w:rsid w:val="00663355"/>
    <w:rsid w:val="0066338C"/>
    <w:rsid w:val="006633FC"/>
    <w:rsid w:val="006636AA"/>
    <w:rsid w:val="00663938"/>
    <w:rsid w:val="00663ED8"/>
    <w:rsid w:val="006642F0"/>
    <w:rsid w:val="00664657"/>
    <w:rsid w:val="00664989"/>
    <w:rsid w:val="00664A0E"/>
    <w:rsid w:val="00664EE2"/>
    <w:rsid w:val="00664F8D"/>
    <w:rsid w:val="0066504B"/>
    <w:rsid w:val="00665456"/>
    <w:rsid w:val="006657EE"/>
    <w:rsid w:val="0066585B"/>
    <w:rsid w:val="0066586B"/>
    <w:rsid w:val="0066592F"/>
    <w:rsid w:val="006665EA"/>
    <w:rsid w:val="00666B33"/>
    <w:rsid w:val="00666F6E"/>
    <w:rsid w:val="00667066"/>
    <w:rsid w:val="006671ED"/>
    <w:rsid w:val="0066723F"/>
    <w:rsid w:val="00667265"/>
    <w:rsid w:val="006675B3"/>
    <w:rsid w:val="006675CB"/>
    <w:rsid w:val="006678D3"/>
    <w:rsid w:val="00667BAE"/>
    <w:rsid w:val="00667E91"/>
    <w:rsid w:val="00667F29"/>
    <w:rsid w:val="00670475"/>
    <w:rsid w:val="006704D8"/>
    <w:rsid w:val="00670997"/>
    <w:rsid w:val="00670A33"/>
    <w:rsid w:val="00670E6F"/>
    <w:rsid w:val="00670F75"/>
    <w:rsid w:val="00670FDB"/>
    <w:rsid w:val="006714BF"/>
    <w:rsid w:val="00671662"/>
    <w:rsid w:val="0067166F"/>
    <w:rsid w:val="00671676"/>
    <w:rsid w:val="0067195F"/>
    <w:rsid w:val="006726C2"/>
    <w:rsid w:val="006728D9"/>
    <w:rsid w:val="00672C48"/>
    <w:rsid w:val="00672CED"/>
    <w:rsid w:val="00672D16"/>
    <w:rsid w:val="00673C7D"/>
    <w:rsid w:val="00673CC8"/>
    <w:rsid w:val="00673DF1"/>
    <w:rsid w:val="006743C0"/>
    <w:rsid w:val="00674601"/>
    <w:rsid w:val="00674863"/>
    <w:rsid w:val="00674A31"/>
    <w:rsid w:val="00674B0E"/>
    <w:rsid w:val="00674FB9"/>
    <w:rsid w:val="0067507F"/>
    <w:rsid w:val="006752C9"/>
    <w:rsid w:val="006753F6"/>
    <w:rsid w:val="00675454"/>
    <w:rsid w:val="0067552D"/>
    <w:rsid w:val="0067579E"/>
    <w:rsid w:val="00675999"/>
    <w:rsid w:val="00675A09"/>
    <w:rsid w:val="00676362"/>
    <w:rsid w:val="00676437"/>
    <w:rsid w:val="00676538"/>
    <w:rsid w:val="006765EB"/>
    <w:rsid w:val="00676692"/>
    <w:rsid w:val="006768B9"/>
    <w:rsid w:val="00676A1B"/>
    <w:rsid w:val="00676FE4"/>
    <w:rsid w:val="0067703D"/>
    <w:rsid w:val="00677E31"/>
    <w:rsid w:val="00680016"/>
    <w:rsid w:val="006801AA"/>
    <w:rsid w:val="006803F8"/>
    <w:rsid w:val="00680766"/>
    <w:rsid w:val="00680865"/>
    <w:rsid w:val="00680983"/>
    <w:rsid w:val="00680B8D"/>
    <w:rsid w:val="00680E2D"/>
    <w:rsid w:val="00681362"/>
    <w:rsid w:val="0068154A"/>
    <w:rsid w:val="0068172B"/>
    <w:rsid w:val="00681925"/>
    <w:rsid w:val="00681DE9"/>
    <w:rsid w:val="00681F69"/>
    <w:rsid w:val="00682081"/>
    <w:rsid w:val="006821F2"/>
    <w:rsid w:val="006823DB"/>
    <w:rsid w:val="00682428"/>
    <w:rsid w:val="006824E6"/>
    <w:rsid w:val="006827AC"/>
    <w:rsid w:val="006827C7"/>
    <w:rsid w:val="0068283A"/>
    <w:rsid w:val="0068289B"/>
    <w:rsid w:val="00682962"/>
    <w:rsid w:val="00682BDB"/>
    <w:rsid w:val="00682ECB"/>
    <w:rsid w:val="00683089"/>
    <w:rsid w:val="0068311E"/>
    <w:rsid w:val="006835F9"/>
    <w:rsid w:val="00683912"/>
    <w:rsid w:val="00683AC9"/>
    <w:rsid w:val="00683D79"/>
    <w:rsid w:val="00683E40"/>
    <w:rsid w:val="00683FB3"/>
    <w:rsid w:val="00684051"/>
    <w:rsid w:val="006840D8"/>
    <w:rsid w:val="006841C5"/>
    <w:rsid w:val="006849A4"/>
    <w:rsid w:val="00684C04"/>
    <w:rsid w:val="00684E4A"/>
    <w:rsid w:val="00684EF9"/>
    <w:rsid w:val="00685165"/>
    <w:rsid w:val="0068548E"/>
    <w:rsid w:val="0068557F"/>
    <w:rsid w:val="00685CDD"/>
    <w:rsid w:val="00685F64"/>
    <w:rsid w:val="006860D3"/>
    <w:rsid w:val="006861B0"/>
    <w:rsid w:val="0068629D"/>
    <w:rsid w:val="00686511"/>
    <w:rsid w:val="0068681F"/>
    <w:rsid w:val="006868B3"/>
    <w:rsid w:val="00686D20"/>
    <w:rsid w:val="00686FD8"/>
    <w:rsid w:val="00687012"/>
    <w:rsid w:val="0068707C"/>
    <w:rsid w:val="00687143"/>
    <w:rsid w:val="006875ED"/>
    <w:rsid w:val="00687744"/>
    <w:rsid w:val="006877C1"/>
    <w:rsid w:val="00687895"/>
    <w:rsid w:val="00687A87"/>
    <w:rsid w:val="00687B4B"/>
    <w:rsid w:val="00687DA1"/>
    <w:rsid w:val="00687F58"/>
    <w:rsid w:val="0069001A"/>
    <w:rsid w:val="00690163"/>
    <w:rsid w:val="006901BB"/>
    <w:rsid w:val="0069093A"/>
    <w:rsid w:val="00690CB7"/>
    <w:rsid w:val="0069179E"/>
    <w:rsid w:val="00691DD1"/>
    <w:rsid w:val="00691DD6"/>
    <w:rsid w:val="00691FDE"/>
    <w:rsid w:val="0069227B"/>
    <w:rsid w:val="0069231E"/>
    <w:rsid w:val="00692391"/>
    <w:rsid w:val="006923AB"/>
    <w:rsid w:val="00692514"/>
    <w:rsid w:val="006929F0"/>
    <w:rsid w:val="00692A13"/>
    <w:rsid w:val="00692B94"/>
    <w:rsid w:val="006932E1"/>
    <w:rsid w:val="00693328"/>
    <w:rsid w:val="00693AE6"/>
    <w:rsid w:val="00694119"/>
    <w:rsid w:val="006941D9"/>
    <w:rsid w:val="006942E6"/>
    <w:rsid w:val="00694325"/>
    <w:rsid w:val="00694487"/>
    <w:rsid w:val="0069452A"/>
    <w:rsid w:val="006945E3"/>
    <w:rsid w:val="0069479E"/>
    <w:rsid w:val="00694A86"/>
    <w:rsid w:val="00694CF1"/>
    <w:rsid w:val="006954E4"/>
    <w:rsid w:val="00695598"/>
    <w:rsid w:val="00695B8B"/>
    <w:rsid w:val="00696177"/>
    <w:rsid w:val="00696449"/>
    <w:rsid w:val="006964B7"/>
    <w:rsid w:val="0069692F"/>
    <w:rsid w:val="00696B7D"/>
    <w:rsid w:val="00696BA5"/>
    <w:rsid w:val="00696FDF"/>
    <w:rsid w:val="00697255"/>
    <w:rsid w:val="006972AC"/>
    <w:rsid w:val="00697317"/>
    <w:rsid w:val="00697498"/>
    <w:rsid w:val="00697B74"/>
    <w:rsid w:val="006A0259"/>
    <w:rsid w:val="006A045B"/>
    <w:rsid w:val="006A0574"/>
    <w:rsid w:val="006A0638"/>
    <w:rsid w:val="006A0646"/>
    <w:rsid w:val="006A06F9"/>
    <w:rsid w:val="006A0818"/>
    <w:rsid w:val="006A09D6"/>
    <w:rsid w:val="006A0D74"/>
    <w:rsid w:val="006A11B0"/>
    <w:rsid w:val="006A12A1"/>
    <w:rsid w:val="006A1709"/>
    <w:rsid w:val="006A1897"/>
    <w:rsid w:val="006A195F"/>
    <w:rsid w:val="006A1BD5"/>
    <w:rsid w:val="006A1BF8"/>
    <w:rsid w:val="006A2350"/>
    <w:rsid w:val="006A24A9"/>
    <w:rsid w:val="006A2909"/>
    <w:rsid w:val="006A2A93"/>
    <w:rsid w:val="006A2DA3"/>
    <w:rsid w:val="006A2E9D"/>
    <w:rsid w:val="006A2F26"/>
    <w:rsid w:val="006A34FE"/>
    <w:rsid w:val="006A3514"/>
    <w:rsid w:val="006A3590"/>
    <w:rsid w:val="006A38C8"/>
    <w:rsid w:val="006A3EB8"/>
    <w:rsid w:val="006A3FDE"/>
    <w:rsid w:val="006A407E"/>
    <w:rsid w:val="006A41E7"/>
    <w:rsid w:val="006A4218"/>
    <w:rsid w:val="006A4710"/>
    <w:rsid w:val="006A490C"/>
    <w:rsid w:val="006A4943"/>
    <w:rsid w:val="006A49A8"/>
    <w:rsid w:val="006A49E9"/>
    <w:rsid w:val="006A4BBD"/>
    <w:rsid w:val="006A4BF4"/>
    <w:rsid w:val="006A505C"/>
    <w:rsid w:val="006A5141"/>
    <w:rsid w:val="006A5192"/>
    <w:rsid w:val="006A5390"/>
    <w:rsid w:val="006A53B5"/>
    <w:rsid w:val="006A562A"/>
    <w:rsid w:val="006A5A64"/>
    <w:rsid w:val="006A5A85"/>
    <w:rsid w:val="006A5C8C"/>
    <w:rsid w:val="006A5D51"/>
    <w:rsid w:val="006A5D68"/>
    <w:rsid w:val="006A5E28"/>
    <w:rsid w:val="006A5FE4"/>
    <w:rsid w:val="006A619C"/>
    <w:rsid w:val="006A6318"/>
    <w:rsid w:val="006A674C"/>
    <w:rsid w:val="006A6B60"/>
    <w:rsid w:val="006A6E34"/>
    <w:rsid w:val="006A70FC"/>
    <w:rsid w:val="006A755C"/>
    <w:rsid w:val="006A7AFA"/>
    <w:rsid w:val="006A7C3E"/>
    <w:rsid w:val="006A7E2B"/>
    <w:rsid w:val="006B02A1"/>
    <w:rsid w:val="006B0547"/>
    <w:rsid w:val="006B0558"/>
    <w:rsid w:val="006B062D"/>
    <w:rsid w:val="006B0830"/>
    <w:rsid w:val="006B08A2"/>
    <w:rsid w:val="006B0B2A"/>
    <w:rsid w:val="006B0D10"/>
    <w:rsid w:val="006B0E99"/>
    <w:rsid w:val="006B1134"/>
    <w:rsid w:val="006B118F"/>
    <w:rsid w:val="006B140D"/>
    <w:rsid w:val="006B1587"/>
    <w:rsid w:val="006B1779"/>
    <w:rsid w:val="006B188D"/>
    <w:rsid w:val="006B1891"/>
    <w:rsid w:val="006B1B91"/>
    <w:rsid w:val="006B1BBB"/>
    <w:rsid w:val="006B20D8"/>
    <w:rsid w:val="006B22A7"/>
    <w:rsid w:val="006B22D4"/>
    <w:rsid w:val="006B2434"/>
    <w:rsid w:val="006B24E6"/>
    <w:rsid w:val="006B284F"/>
    <w:rsid w:val="006B2F0A"/>
    <w:rsid w:val="006B2F2D"/>
    <w:rsid w:val="006B2F43"/>
    <w:rsid w:val="006B32C3"/>
    <w:rsid w:val="006B3977"/>
    <w:rsid w:val="006B3EF3"/>
    <w:rsid w:val="006B3FBC"/>
    <w:rsid w:val="006B4006"/>
    <w:rsid w:val="006B4037"/>
    <w:rsid w:val="006B4306"/>
    <w:rsid w:val="006B442E"/>
    <w:rsid w:val="006B498E"/>
    <w:rsid w:val="006B4C30"/>
    <w:rsid w:val="006B4C97"/>
    <w:rsid w:val="006B4CE1"/>
    <w:rsid w:val="006B5117"/>
    <w:rsid w:val="006B515B"/>
    <w:rsid w:val="006B5203"/>
    <w:rsid w:val="006B5B8F"/>
    <w:rsid w:val="006B5BCC"/>
    <w:rsid w:val="006B5D37"/>
    <w:rsid w:val="006B5D59"/>
    <w:rsid w:val="006B5F0B"/>
    <w:rsid w:val="006B6647"/>
    <w:rsid w:val="006B66C2"/>
    <w:rsid w:val="006B66DB"/>
    <w:rsid w:val="006B6ACF"/>
    <w:rsid w:val="006B70AF"/>
    <w:rsid w:val="006B7239"/>
    <w:rsid w:val="006B73AA"/>
    <w:rsid w:val="006B78A1"/>
    <w:rsid w:val="006B7AD5"/>
    <w:rsid w:val="006B7B73"/>
    <w:rsid w:val="006B7EA8"/>
    <w:rsid w:val="006B7F3F"/>
    <w:rsid w:val="006B7F99"/>
    <w:rsid w:val="006B7FDB"/>
    <w:rsid w:val="006C06EE"/>
    <w:rsid w:val="006C08C1"/>
    <w:rsid w:val="006C0D66"/>
    <w:rsid w:val="006C0E55"/>
    <w:rsid w:val="006C0F7B"/>
    <w:rsid w:val="006C10B2"/>
    <w:rsid w:val="006C10EA"/>
    <w:rsid w:val="006C13A9"/>
    <w:rsid w:val="006C18C6"/>
    <w:rsid w:val="006C19A8"/>
    <w:rsid w:val="006C1EE6"/>
    <w:rsid w:val="006C20E6"/>
    <w:rsid w:val="006C21C1"/>
    <w:rsid w:val="006C247E"/>
    <w:rsid w:val="006C248E"/>
    <w:rsid w:val="006C259D"/>
    <w:rsid w:val="006C29A5"/>
    <w:rsid w:val="006C2A79"/>
    <w:rsid w:val="006C2AAF"/>
    <w:rsid w:val="006C2BFE"/>
    <w:rsid w:val="006C2CE9"/>
    <w:rsid w:val="006C2F52"/>
    <w:rsid w:val="006C3056"/>
    <w:rsid w:val="006C32A1"/>
    <w:rsid w:val="006C35FE"/>
    <w:rsid w:val="006C3699"/>
    <w:rsid w:val="006C3735"/>
    <w:rsid w:val="006C37DC"/>
    <w:rsid w:val="006C3802"/>
    <w:rsid w:val="006C3844"/>
    <w:rsid w:val="006C39D4"/>
    <w:rsid w:val="006C41C6"/>
    <w:rsid w:val="006C4442"/>
    <w:rsid w:val="006C4ACE"/>
    <w:rsid w:val="006C4E2D"/>
    <w:rsid w:val="006C4E7B"/>
    <w:rsid w:val="006C5442"/>
    <w:rsid w:val="006C5672"/>
    <w:rsid w:val="006C579D"/>
    <w:rsid w:val="006C5CF1"/>
    <w:rsid w:val="006C5D7D"/>
    <w:rsid w:val="006C5FDA"/>
    <w:rsid w:val="006C649C"/>
    <w:rsid w:val="006C6586"/>
    <w:rsid w:val="006C6B7B"/>
    <w:rsid w:val="006C72DB"/>
    <w:rsid w:val="006C7398"/>
    <w:rsid w:val="006C75E1"/>
    <w:rsid w:val="006C7938"/>
    <w:rsid w:val="006C7B8D"/>
    <w:rsid w:val="006C7C51"/>
    <w:rsid w:val="006C7E36"/>
    <w:rsid w:val="006C7F77"/>
    <w:rsid w:val="006D000A"/>
    <w:rsid w:val="006D058B"/>
    <w:rsid w:val="006D06B2"/>
    <w:rsid w:val="006D07CC"/>
    <w:rsid w:val="006D09AD"/>
    <w:rsid w:val="006D0B28"/>
    <w:rsid w:val="006D1165"/>
    <w:rsid w:val="006D118C"/>
    <w:rsid w:val="006D1689"/>
    <w:rsid w:val="006D184D"/>
    <w:rsid w:val="006D204F"/>
    <w:rsid w:val="006D207D"/>
    <w:rsid w:val="006D25E1"/>
    <w:rsid w:val="006D2811"/>
    <w:rsid w:val="006D2A15"/>
    <w:rsid w:val="006D2A56"/>
    <w:rsid w:val="006D2A72"/>
    <w:rsid w:val="006D3507"/>
    <w:rsid w:val="006D35EC"/>
    <w:rsid w:val="006D393A"/>
    <w:rsid w:val="006D3948"/>
    <w:rsid w:val="006D3C98"/>
    <w:rsid w:val="006D403C"/>
    <w:rsid w:val="006D42CA"/>
    <w:rsid w:val="006D4570"/>
    <w:rsid w:val="006D46F5"/>
    <w:rsid w:val="006D47DF"/>
    <w:rsid w:val="006D481A"/>
    <w:rsid w:val="006D4C30"/>
    <w:rsid w:val="006D5535"/>
    <w:rsid w:val="006D5550"/>
    <w:rsid w:val="006D555C"/>
    <w:rsid w:val="006D5735"/>
    <w:rsid w:val="006D59B0"/>
    <w:rsid w:val="006D5A02"/>
    <w:rsid w:val="006D5AEC"/>
    <w:rsid w:val="006D5FEF"/>
    <w:rsid w:val="006D6434"/>
    <w:rsid w:val="006D66A5"/>
    <w:rsid w:val="006D6A3D"/>
    <w:rsid w:val="006D6B00"/>
    <w:rsid w:val="006D6B87"/>
    <w:rsid w:val="006D6BCC"/>
    <w:rsid w:val="006D6C0B"/>
    <w:rsid w:val="006D70FA"/>
    <w:rsid w:val="006D7261"/>
    <w:rsid w:val="006D73B4"/>
    <w:rsid w:val="006D75BE"/>
    <w:rsid w:val="006D774C"/>
    <w:rsid w:val="006D7CA3"/>
    <w:rsid w:val="006D7CB1"/>
    <w:rsid w:val="006D7E8A"/>
    <w:rsid w:val="006D7EA0"/>
    <w:rsid w:val="006E000A"/>
    <w:rsid w:val="006E0B00"/>
    <w:rsid w:val="006E0C0B"/>
    <w:rsid w:val="006E0FF5"/>
    <w:rsid w:val="006E11A4"/>
    <w:rsid w:val="006E169C"/>
    <w:rsid w:val="006E1A2D"/>
    <w:rsid w:val="006E1B5D"/>
    <w:rsid w:val="006E1BA9"/>
    <w:rsid w:val="006E1C49"/>
    <w:rsid w:val="006E1EA1"/>
    <w:rsid w:val="006E23B2"/>
    <w:rsid w:val="006E3088"/>
    <w:rsid w:val="006E308A"/>
    <w:rsid w:val="006E317F"/>
    <w:rsid w:val="006E33E5"/>
    <w:rsid w:val="006E354D"/>
    <w:rsid w:val="006E361D"/>
    <w:rsid w:val="006E37BB"/>
    <w:rsid w:val="006E3AF1"/>
    <w:rsid w:val="006E3B39"/>
    <w:rsid w:val="006E3BA7"/>
    <w:rsid w:val="006E3BBB"/>
    <w:rsid w:val="006E3CA8"/>
    <w:rsid w:val="006E4162"/>
    <w:rsid w:val="006E4658"/>
    <w:rsid w:val="006E48A1"/>
    <w:rsid w:val="006E496F"/>
    <w:rsid w:val="006E4C09"/>
    <w:rsid w:val="006E4C4F"/>
    <w:rsid w:val="006E4EC4"/>
    <w:rsid w:val="006E4FA1"/>
    <w:rsid w:val="006E5122"/>
    <w:rsid w:val="006E5457"/>
    <w:rsid w:val="006E5A18"/>
    <w:rsid w:val="006E5C92"/>
    <w:rsid w:val="006E5CE8"/>
    <w:rsid w:val="006E5D4A"/>
    <w:rsid w:val="006E5FC7"/>
    <w:rsid w:val="006E645D"/>
    <w:rsid w:val="006E646B"/>
    <w:rsid w:val="006E6581"/>
    <w:rsid w:val="006E6702"/>
    <w:rsid w:val="006E6706"/>
    <w:rsid w:val="006E690E"/>
    <w:rsid w:val="006E6C74"/>
    <w:rsid w:val="006E6EC6"/>
    <w:rsid w:val="006E6ED9"/>
    <w:rsid w:val="006E6FB4"/>
    <w:rsid w:val="006E7172"/>
    <w:rsid w:val="006E761F"/>
    <w:rsid w:val="006E7CAC"/>
    <w:rsid w:val="006E7F27"/>
    <w:rsid w:val="006F042D"/>
    <w:rsid w:val="006F050D"/>
    <w:rsid w:val="006F077F"/>
    <w:rsid w:val="006F0A99"/>
    <w:rsid w:val="006F0C83"/>
    <w:rsid w:val="006F0CB4"/>
    <w:rsid w:val="006F0DD9"/>
    <w:rsid w:val="006F11DB"/>
    <w:rsid w:val="006F1512"/>
    <w:rsid w:val="006F17AC"/>
    <w:rsid w:val="006F1B3E"/>
    <w:rsid w:val="006F1C56"/>
    <w:rsid w:val="006F1CF9"/>
    <w:rsid w:val="006F1EBF"/>
    <w:rsid w:val="006F2359"/>
    <w:rsid w:val="006F249F"/>
    <w:rsid w:val="006F2501"/>
    <w:rsid w:val="006F27D7"/>
    <w:rsid w:val="006F28AD"/>
    <w:rsid w:val="006F2AC0"/>
    <w:rsid w:val="006F2E12"/>
    <w:rsid w:val="006F3158"/>
    <w:rsid w:val="006F3368"/>
    <w:rsid w:val="006F33FA"/>
    <w:rsid w:val="006F3442"/>
    <w:rsid w:val="006F3648"/>
    <w:rsid w:val="006F379B"/>
    <w:rsid w:val="006F3D2E"/>
    <w:rsid w:val="006F3D3C"/>
    <w:rsid w:val="006F3D7C"/>
    <w:rsid w:val="006F3F4C"/>
    <w:rsid w:val="006F4838"/>
    <w:rsid w:val="006F489B"/>
    <w:rsid w:val="006F48E4"/>
    <w:rsid w:val="006F4A9C"/>
    <w:rsid w:val="006F4AB4"/>
    <w:rsid w:val="006F4D62"/>
    <w:rsid w:val="006F4E1C"/>
    <w:rsid w:val="006F4E27"/>
    <w:rsid w:val="006F5093"/>
    <w:rsid w:val="006F50A0"/>
    <w:rsid w:val="006F51E1"/>
    <w:rsid w:val="006F536B"/>
    <w:rsid w:val="006F552C"/>
    <w:rsid w:val="006F5590"/>
    <w:rsid w:val="006F589B"/>
    <w:rsid w:val="006F5B22"/>
    <w:rsid w:val="006F60ED"/>
    <w:rsid w:val="006F629D"/>
    <w:rsid w:val="006F6691"/>
    <w:rsid w:val="006F696B"/>
    <w:rsid w:val="006F69F4"/>
    <w:rsid w:val="006F6EDF"/>
    <w:rsid w:val="006F70C8"/>
    <w:rsid w:val="006F7153"/>
    <w:rsid w:val="006F7174"/>
    <w:rsid w:val="006F71A4"/>
    <w:rsid w:val="006F71C9"/>
    <w:rsid w:val="006F7533"/>
    <w:rsid w:val="006F7653"/>
    <w:rsid w:val="006F772C"/>
    <w:rsid w:val="006F7765"/>
    <w:rsid w:val="006F7987"/>
    <w:rsid w:val="006F7D0A"/>
    <w:rsid w:val="006F7DB1"/>
    <w:rsid w:val="007003DB"/>
    <w:rsid w:val="007004D7"/>
    <w:rsid w:val="00700592"/>
    <w:rsid w:val="007005CE"/>
    <w:rsid w:val="00700D32"/>
    <w:rsid w:val="007015B1"/>
    <w:rsid w:val="0070180F"/>
    <w:rsid w:val="00701906"/>
    <w:rsid w:val="00701C78"/>
    <w:rsid w:val="007020B2"/>
    <w:rsid w:val="00702266"/>
    <w:rsid w:val="00702369"/>
    <w:rsid w:val="007023C5"/>
    <w:rsid w:val="0070260A"/>
    <w:rsid w:val="0070272E"/>
    <w:rsid w:val="00702951"/>
    <w:rsid w:val="00702AAF"/>
    <w:rsid w:val="00702F78"/>
    <w:rsid w:val="00703015"/>
    <w:rsid w:val="0070338A"/>
    <w:rsid w:val="007034F3"/>
    <w:rsid w:val="007035C1"/>
    <w:rsid w:val="00703E05"/>
    <w:rsid w:val="00703F49"/>
    <w:rsid w:val="00703FC4"/>
    <w:rsid w:val="00704172"/>
    <w:rsid w:val="007043F0"/>
    <w:rsid w:val="0070441A"/>
    <w:rsid w:val="00704494"/>
    <w:rsid w:val="00704728"/>
    <w:rsid w:val="00704848"/>
    <w:rsid w:val="0070494B"/>
    <w:rsid w:val="0070496E"/>
    <w:rsid w:val="007049A5"/>
    <w:rsid w:val="00704AFF"/>
    <w:rsid w:val="00704DA3"/>
    <w:rsid w:val="00704EAF"/>
    <w:rsid w:val="007057B0"/>
    <w:rsid w:val="0070583A"/>
    <w:rsid w:val="007058F0"/>
    <w:rsid w:val="00705A29"/>
    <w:rsid w:val="00705AF6"/>
    <w:rsid w:val="00705F6E"/>
    <w:rsid w:val="0070607B"/>
    <w:rsid w:val="007060AE"/>
    <w:rsid w:val="0070619C"/>
    <w:rsid w:val="00706286"/>
    <w:rsid w:val="00706713"/>
    <w:rsid w:val="007068C5"/>
    <w:rsid w:val="00706A11"/>
    <w:rsid w:val="00707037"/>
    <w:rsid w:val="0070710C"/>
    <w:rsid w:val="0070718C"/>
    <w:rsid w:val="00707313"/>
    <w:rsid w:val="007074AB"/>
    <w:rsid w:val="00707B37"/>
    <w:rsid w:val="007104EF"/>
    <w:rsid w:val="007107A8"/>
    <w:rsid w:val="007108AC"/>
    <w:rsid w:val="00710BC2"/>
    <w:rsid w:val="00710BC8"/>
    <w:rsid w:val="00710BFE"/>
    <w:rsid w:val="00710F86"/>
    <w:rsid w:val="007114F2"/>
    <w:rsid w:val="0071154E"/>
    <w:rsid w:val="0071178A"/>
    <w:rsid w:val="007117C6"/>
    <w:rsid w:val="00711AFC"/>
    <w:rsid w:val="00711C44"/>
    <w:rsid w:val="00711E12"/>
    <w:rsid w:val="00711EF8"/>
    <w:rsid w:val="00712209"/>
    <w:rsid w:val="007126ED"/>
    <w:rsid w:val="0071273C"/>
    <w:rsid w:val="007127BD"/>
    <w:rsid w:val="00712EAC"/>
    <w:rsid w:val="00713084"/>
    <w:rsid w:val="00713115"/>
    <w:rsid w:val="00713252"/>
    <w:rsid w:val="0071338D"/>
    <w:rsid w:val="00713467"/>
    <w:rsid w:val="00713556"/>
    <w:rsid w:val="0071375A"/>
    <w:rsid w:val="00713F10"/>
    <w:rsid w:val="00714406"/>
    <w:rsid w:val="00714569"/>
    <w:rsid w:val="00714C94"/>
    <w:rsid w:val="00714DB9"/>
    <w:rsid w:val="007151BD"/>
    <w:rsid w:val="007151E2"/>
    <w:rsid w:val="007152E1"/>
    <w:rsid w:val="007156C6"/>
    <w:rsid w:val="00715708"/>
    <w:rsid w:val="00715BA3"/>
    <w:rsid w:val="007160AE"/>
    <w:rsid w:val="007160C3"/>
    <w:rsid w:val="00716629"/>
    <w:rsid w:val="007166C8"/>
    <w:rsid w:val="0071671E"/>
    <w:rsid w:val="00716843"/>
    <w:rsid w:val="007168B3"/>
    <w:rsid w:val="0071699E"/>
    <w:rsid w:val="007169B8"/>
    <w:rsid w:val="00716D59"/>
    <w:rsid w:val="00716E79"/>
    <w:rsid w:val="00716F3A"/>
    <w:rsid w:val="007176E3"/>
    <w:rsid w:val="007177B7"/>
    <w:rsid w:val="00717935"/>
    <w:rsid w:val="00717946"/>
    <w:rsid w:val="00717C03"/>
    <w:rsid w:val="00717C12"/>
    <w:rsid w:val="007200D5"/>
    <w:rsid w:val="007203AB"/>
    <w:rsid w:val="007203FD"/>
    <w:rsid w:val="00720648"/>
    <w:rsid w:val="007207ED"/>
    <w:rsid w:val="00720804"/>
    <w:rsid w:val="00720813"/>
    <w:rsid w:val="00721082"/>
    <w:rsid w:val="007210BC"/>
    <w:rsid w:val="00721684"/>
    <w:rsid w:val="0072179F"/>
    <w:rsid w:val="00721A5D"/>
    <w:rsid w:val="00722019"/>
    <w:rsid w:val="0072209C"/>
    <w:rsid w:val="00722171"/>
    <w:rsid w:val="00722810"/>
    <w:rsid w:val="00722B03"/>
    <w:rsid w:val="00722B8E"/>
    <w:rsid w:val="00722DE0"/>
    <w:rsid w:val="00722E2D"/>
    <w:rsid w:val="007233B3"/>
    <w:rsid w:val="007233B9"/>
    <w:rsid w:val="007233FA"/>
    <w:rsid w:val="0072347B"/>
    <w:rsid w:val="00723501"/>
    <w:rsid w:val="007236F0"/>
    <w:rsid w:val="00724170"/>
    <w:rsid w:val="0072419D"/>
    <w:rsid w:val="007245C4"/>
    <w:rsid w:val="0072486B"/>
    <w:rsid w:val="00724AD9"/>
    <w:rsid w:val="007253DB"/>
    <w:rsid w:val="00725709"/>
    <w:rsid w:val="007259FF"/>
    <w:rsid w:val="00725C75"/>
    <w:rsid w:val="00725DD6"/>
    <w:rsid w:val="00725F04"/>
    <w:rsid w:val="00726081"/>
    <w:rsid w:val="00726161"/>
    <w:rsid w:val="0072725B"/>
    <w:rsid w:val="007275FA"/>
    <w:rsid w:val="007277C6"/>
    <w:rsid w:val="00727D0A"/>
    <w:rsid w:val="007300A1"/>
    <w:rsid w:val="00730133"/>
    <w:rsid w:val="007302B1"/>
    <w:rsid w:val="00730548"/>
    <w:rsid w:val="0073059F"/>
    <w:rsid w:val="00730D54"/>
    <w:rsid w:val="00731155"/>
    <w:rsid w:val="007311C8"/>
    <w:rsid w:val="00731610"/>
    <w:rsid w:val="00731EAF"/>
    <w:rsid w:val="0073299A"/>
    <w:rsid w:val="00732A2E"/>
    <w:rsid w:val="00732BC7"/>
    <w:rsid w:val="00732C7F"/>
    <w:rsid w:val="00732CAD"/>
    <w:rsid w:val="007330EA"/>
    <w:rsid w:val="00733211"/>
    <w:rsid w:val="007335AA"/>
    <w:rsid w:val="00733AEE"/>
    <w:rsid w:val="00733C22"/>
    <w:rsid w:val="00733DB1"/>
    <w:rsid w:val="00734621"/>
    <w:rsid w:val="00734738"/>
    <w:rsid w:val="00734844"/>
    <w:rsid w:val="0073484E"/>
    <w:rsid w:val="007348F2"/>
    <w:rsid w:val="0073496E"/>
    <w:rsid w:val="00734A92"/>
    <w:rsid w:val="00734E58"/>
    <w:rsid w:val="00734FDD"/>
    <w:rsid w:val="007351E6"/>
    <w:rsid w:val="007352B7"/>
    <w:rsid w:val="007357A9"/>
    <w:rsid w:val="007359C0"/>
    <w:rsid w:val="00735E90"/>
    <w:rsid w:val="00736330"/>
    <w:rsid w:val="007365B3"/>
    <w:rsid w:val="0073661F"/>
    <w:rsid w:val="007366A5"/>
    <w:rsid w:val="00736A0D"/>
    <w:rsid w:val="00736F81"/>
    <w:rsid w:val="0073753F"/>
    <w:rsid w:val="00737576"/>
    <w:rsid w:val="0073759D"/>
    <w:rsid w:val="00737743"/>
    <w:rsid w:val="007377E2"/>
    <w:rsid w:val="00737E3E"/>
    <w:rsid w:val="00737E67"/>
    <w:rsid w:val="00737EBD"/>
    <w:rsid w:val="00740118"/>
    <w:rsid w:val="00740189"/>
    <w:rsid w:val="0074033B"/>
    <w:rsid w:val="00740455"/>
    <w:rsid w:val="0074080E"/>
    <w:rsid w:val="00740878"/>
    <w:rsid w:val="00740A0B"/>
    <w:rsid w:val="00740A81"/>
    <w:rsid w:val="007410BA"/>
    <w:rsid w:val="00741128"/>
    <w:rsid w:val="00741158"/>
    <w:rsid w:val="007414E0"/>
    <w:rsid w:val="007416EC"/>
    <w:rsid w:val="00741CED"/>
    <w:rsid w:val="00741E19"/>
    <w:rsid w:val="00742005"/>
    <w:rsid w:val="0074256A"/>
    <w:rsid w:val="007425D8"/>
    <w:rsid w:val="0074283D"/>
    <w:rsid w:val="0074283F"/>
    <w:rsid w:val="00742B5A"/>
    <w:rsid w:val="00742B81"/>
    <w:rsid w:val="00743344"/>
    <w:rsid w:val="0074361A"/>
    <w:rsid w:val="00743622"/>
    <w:rsid w:val="00743655"/>
    <w:rsid w:val="00743851"/>
    <w:rsid w:val="00743954"/>
    <w:rsid w:val="00743E8A"/>
    <w:rsid w:val="007445C6"/>
    <w:rsid w:val="007447EB"/>
    <w:rsid w:val="00744DD2"/>
    <w:rsid w:val="0074511F"/>
    <w:rsid w:val="007454F6"/>
    <w:rsid w:val="00745787"/>
    <w:rsid w:val="00745FFF"/>
    <w:rsid w:val="007468E9"/>
    <w:rsid w:val="00746FDD"/>
    <w:rsid w:val="007470BB"/>
    <w:rsid w:val="007470E6"/>
    <w:rsid w:val="007472D0"/>
    <w:rsid w:val="007474E7"/>
    <w:rsid w:val="00747535"/>
    <w:rsid w:val="00747724"/>
    <w:rsid w:val="007478F9"/>
    <w:rsid w:val="00747C28"/>
    <w:rsid w:val="00747DA4"/>
    <w:rsid w:val="00747DB4"/>
    <w:rsid w:val="007500C4"/>
    <w:rsid w:val="00750289"/>
    <w:rsid w:val="0075092B"/>
    <w:rsid w:val="00750BDF"/>
    <w:rsid w:val="00750C28"/>
    <w:rsid w:val="00750C2D"/>
    <w:rsid w:val="00750C30"/>
    <w:rsid w:val="00750C75"/>
    <w:rsid w:val="00751292"/>
    <w:rsid w:val="00751574"/>
    <w:rsid w:val="00751CFA"/>
    <w:rsid w:val="00751DDE"/>
    <w:rsid w:val="00751F5B"/>
    <w:rsid w:val="0075217C"/>
    <w:rsid w:val="00752412"/>
    <w:rsid w:val="00752602"/>
    <w:rsid w:val="0075275B"/>
    <w:rsid w:val="007527E9"/>
    <w:rsid w:val="007528CA"/>
    <w:rsid w:val="00752949"/>
    <w:rsid w:val="007529C0"/>
    <w:rsid w:val="00752CF4"/>
    <w:rsid w:val="00752D2F"/>
    <w:rsid w:val="00752DEB"/>
    <w:rsid w:val="00752F38"/>
    <w:rsid w:val="00753047"/>
    <w:rsid w:val="0075307C"/>
    <w:rsid w:val="007536AC"/>
    <w:rsid w:val="007537D8"/>
    <w:rsid w:val="00753879"/>
    <w:rsid w:val="0075387F"/>
    <w:rsid w:val="00753BD4"/>
    <w:rsid w:val="00753DB3"/>
    <w:rsid w:val="00753EFF"/>
    <w:rsid w:val="007541B2"/>
    <w:rsid w:val="007545AA"/>
    <w:rsid w:val="007545AC"/>
    <w:rsid w:val="00754643"/>
    <w:rsid w:val="00754942"/>
    <w:rsid w:val="007549AD"/>
    <w:rsid w:val="007551C4"/>
    <w:rsid w:val="00755596"/>
    <w:rsid w:val="0075593D"/>
    <w:rsid w:val="00755AEF"/>
    <w:rsid w:val="00755CD8"/>
    <w:rsid w:val="00755EC1"/>
    <w:rsid w:val="00755FB4"/>
    <w:rsid w:val="00755FE1"/>
    <w:rsid w:val="00755FF4"/>
    <w:rsid w:val="0075619B"/>
    <w:rsid w:val="007563DC"/>
    <w:rsid w:val="0075681C"/>
    <w:rsid w:val="00756828"/>
    <w:rsid w:val="007568E7"/>
    <w:rsid w:val="00756B8C"/>
    <w:rsid w:val="00756BCC"/>
    <w:rsid w:val="00756FEA"/>
    <w:rsid w:val="0075710B"/>
    <w:rsid w:val="0075723F"/>
    <w:rsid w:val="007572D4"/>
    <w:rsid w:val="00757451"/>
    <w:rsid w:val="007574EE"/>
    <w:rsid w:val="00757825"/>
    <w:rsid w:val="00757B55"/>
    <w:rsid w:val="007602A3"/>
    <w:rsid w:val="0076030A"/>
    <w:rsid w:val="00760465"/>
    <w:rsid w:val="00760648"/>
    <w:rsid w:val="00760BD9"/>
    <w:rsid w:val="00760E2B"/>
    <w:rsid w:val="00760F61"/>
    <w:rsid w:val="00761159"/>
    <w:rsid w:val="007611BF"/>
    <w:rsid w:val="007611E6"/>
    <w:rsid w:val="0076125E"/>
    <w:rsid w:val="007613A6"/>
    <w:rsid w:val="00761447"/>
    <w:rsid w:val="00761824"/>
    <w:rsid w:val="00761B41"/>
    <w:rsid w:val="00761DBE"/>
    <w:rsid w:val="00761DF2"/>
    <w:rsid w:val="00761E3C"/>
    <w:rsid w:val="00761E62"/>
    <w:rsid w:val="007627A1"/>
    <w:rsid w:val="007628C5"/>
    <w:rsid w:val="00762D80"/>
    <w:rsid w:val="007630F5"/>
    <w:rsid w:val="007635F3"/>
    <w:rsid w:val="00763741"/>
    <w:rsid w:val="007639B8"/>
    <w:rsid w:val="00763A3B"/>
    <w:rsid w:val="0076415B"/>
    <w:rsid w:val="00764FBD"/>
    <w:rsid w:val="0076501D"/>
    <w:rsid w:val="0076508D"/>
    <w:rsid w:val="0076546C"/>
    <w:rsid w:val="007657CC"/>
    <w:rsid w:val="00765810"/>
    <w:rsid w:val="0076610E"/>
    <w:rsid w:val="007665B8"/>
    <w:rsid w:val="00766853"/>
    <w:rsid w:val="007668C7"/>
    <w:rsid w:val="00766BE1"/>
    <w:rsid w:val="00766E0D"/>
    <w:rsid w:val="00766FB2"/>
    <w:rsid w:val="00767135"/>
    <w:rsid w:val="007676B7"/>
    <w:rsid w:val="00767DF6"/>
    <w:rsid w:val="00770095"/>
    <w:rsid w:val="007703A6"/>
    <w:rsid w:val="0077065D"/>
    <w:rsid w:val="0077081E"/>
    <w:rsid w:val="00770964"/>
    <w:rsid w:val="00770984"/>
    <w:rsid w:val="00770B87"/>
    <w:rsid w:val="00770C0E"/>
    <w:rsid w:val="00770C3A"/>
    <w:rsid w:val="00770CE0"/>
    <w:rsid w:val="00771459"/>
    <w:rsid w:val="00771A9E"/>
    <w:rsid w:val="00771CE8"/>
    <w:rsid w:val="00771D08"/>
    <w:rsid w:val="00771ED9"/>
    <w:rsid w:val="00771F20"/>
    <w:rsid w:val="00772567"/>
    <w:rsid w:val="00772DD8"/>
    <w:rsid w:val="00773076"/>
    <w:rsid w:val="0077331B"/>
    <w:rsid w:val="00773354"/>
    <w:rsid w:val="0077349D"/>
    <w:rsid w:val="00773585"/>
    <w:rsid w:val="007736D3"/>
    <w:rsid w:val="00773858"/>
    <w:rsid w:val="0077391C"/>
    <w:rsid w:val="00773955"/>
    <w:rsid w:val="00773E8A"/>
    <w:rsid w:val="00774208"/>
    <w:rsid w:val="0077440C"/>
    <w:rsid w:val="00774482"/>
    <w:rsid w:val="007744EB"/>
    <w:rsid w:val="007747EF"/>
    <w:rsid w:val="00774812"/>
    <w:rsid w:val="0077490F"/>
    <w:rsid w:val="00774C39"/>
    <w:rsid w:val="00775034"/>
    <w:rsid w:val="0077506C"/>
    <w:rsid w:val="007750EC"/>
    <w:rsid w:val="00775135"/>
    <w:rsid w:val="007751F6"/>
    <w:rsid w:val="00775231"/>
    <w:rsid w:val="00775427"/>
    <w:rsid w:val="0077598E"/>
    <w:rsid w:val="00775A93"/>
    <w:rsid w:val="00775CD7"/>
    <w:rsid w:val="0077646D"/>
    <w:rsid w:val="00776A1B"/>
    <w:rsid w:val="00776A6E"/>
    <w:rsid w:val="00776B54"/>
    <w:rsid w:val="00776B85"/>
    <w:rsid w:val="00776D79"/>
    <w:rsid w:val="00776E1F"/>
    <w:rsid w:val="00777543"/>
    <w:rsid w:val="00777680"/>
    <w:rsid w:val="007778F1"/>
    <w:rsid w:val="00777BCA"/>
    <w:rsid w:val="00777CE3"/>
    <w:rsid w:val="00777D54"/>
    <w:rsid w:val="0078009A"/>
    <w:rsid w:val="007801A8"/>
    <w:rsid w:val="007807FE"/>
    <w:rsid w:val="00780CF1"/>
    <w:rsid w:val="00780DF5"/>
    <w:rsid w:val="00780ED7"/>
    <w:rsid w:val="00780FF4"/>
    <w:rsid w:val="007810A6"/>
    <w:rsid w:val="0078122F"/>
    <w:rsid w:val="00781370"/>
    <w:rsid w:val="007815AB"/>
    <w:rsid w:val="007816A0"/>
    <w:rsid w:val="00781A3C"/>
    <w:rsid w:val="00781AEA"/>
    <w:rsid w:val="00781E7F"/>
    <w:rsid w:val="007821E8"/>
    <w:rsid w:val="007822CE"/>
    <w:rsid w:val="00782664"/>
    <w:rsid w:val="007827BB"/>
    <w:rsid w:val="007830CC"/>
    <w:rsid w:val="007833CB"/>
    <w:rsid w:val="007834DD"/>
    <w:rsid w:val="0078382B"/>
    <w:rsid w:val="00783A8E"/>
    <w:rsid w:val="00783B3F"/>
    <w:rsid w:val="00783C9B"/>
    <w:rsid w:val="00784613"/>
    <w:rsid w:val="00784854"/>
    <w:rsid w:val="00784937"/>
    <w:rsid w:val="00784AA2"/>
    <w:rsid w:val="00784D23"/>
    <w:rsid w:val="007851E2"/>
    <w:rsid w:val="007859A7"/>
    <w:rsid w:val="00785AB7"/>
    <w:rsid w:val="00785AFC"/>
    <w:rsid w:val="00786757"/>
    <w:rsid w:val="00786A1B"/>
    <w:rsid w:val="00786D61"/>
    <w:rsid w:val="00786E34"/>
    <w:rsid w:val="00786EB2"/>
    <w:rsid w:val="0078711C"/>
    <w:rsid w:val="0078737F"/>
    <w:rsid w:val="00787477"/>
    <w:rsid w:val="007876AC"/>
    <w:rsid w:val="00787CE3"/>
    <w:rsid w:val="00787D31"/>
    <w:rsid w:val="00787DB2"/>
    <w:rsid w:val="00787EE0"/>
    <w:rsid w:val="0079012C"/>
    <w:rsid w:val="007905FB"/>
    <w:rsid w:val="00790A3C"/>
    <w:rsid w:val="00790B77"/>
    <w:rsid w:val="00790C82"/>
    <w:rsid w:val="00790EEA"/>
    <w:rsid w:val="0079118F"/>
    <w:rsid w:val="00791611"/>
    <w:rsid w:val="007918BD"/>
    <w:rsid w:val="007919A8"/>
    <w:rsid w:val="00791B2D"/>
    <w:rsid w:val="00791B46"/>
    <w:rsid w:val="00791BC7"/>
    <w:rsid w:val="00791CF1"/>
    <w:rsid w:val="0079200F"/>
    <w:rsid w:val="0079227D"/>
    <w:rsid w:val="0079234C"/>
    <w:rsid w:val="00792473"/>
    <w:rsid w:val="00792578"/>
    <w:rsid w:val="00792A5D"/>
    <w:rsid w:val="00792C88"/>
    <w:rsid w:val="00792F9F"/>
    <w:rsid w:val="00792FC6"/>
    <w:rsid w:val="0079301F"/>
    <w:rsid w:val="00793377"/>
    <w:rsid w:val="0079345A"/>
    <w:rsid w:val="007935EC"/>
    <w:rsid w:val="00793A7A"/>
    <w:rsid w:val="00793B74"/>
    <w:rsid w:val="00793FF8"/>
    <w:rsid w:val="0079406F"/>
    <w:rsid w:val="007940A2"/>
    <w:rsid w:val="007940BE"/>
    <w:rsid w:val="007946B4"/>
    <w:rsid w:val="00794709"/>
    <w:rsid w:val="0079492B"/>
    <w:rsid w:val="00794C13"/>
    <w:rsid w:val="00794D09"/>
    <w:rsid w:val="007950CF"/>
    <w:rsid w:val="00795112"/>
    <w:rsid w:val="00795238"/>
    <w:rsid w:val="007952BA"/>
    <w:rsid w:val="007955CB"/>
    <w:rsid w:val="00795903"/>
    <w:rsid w:val="00795A4E"/>
    <w:rsid w:val="00795A7B"/>
    <w:rsid w:val="00795B91"/>
    <w:rsid w:val="00795C95"/>
    <w:rsid w:val="00795F6E"/>
    <w:rsid w:val="00795FDE"/>
    <w:rsid w:val="007960A0"/>
    <w:rsid w:val="00796114"/>
    <w:rsid w:val="007962AE"/>
    <w:rsid w:val="007962E3"/>
    <w:rsid w:val="0079646D"/>
    <w:rsid w:val="00796669"/>
    <w:rsid w:val="00796774"/>
    <w:rsid w:val="00796AA9"/>
    <w:rsid w:val="00796E77"/>
    <w:rsid w:val="00797026"/>
    <w:rsid w:val="00797451"/>
    <w:rsid w:val="007974D2"/>
    <w:rsid w:val="0079793C"/>
    <w:rsid w:val="00797D90"/>
    <w:rsid w:val="00797E15"/>
    <w:rsid w:val="00797E95"/>
    <w:rsid w:val="007A00AE"/>
    <w:rsid w:val="007A00F3"/>
    <w:rsid w:val="007A0117"/>
    <w:rsid w:val="007A035D"/>
    <w:rsid w:val="007A09EA"/>
    <w:rsid w:val="007A0B54"/>
    <w:rsid w:val="007A1281"/>
    <w:rsid w:val="007A1307"/>
    <w:rsid w:val="007A13F1"/>
    <w:rsid w:val="007A1833"/>
    <w:rsid w:val="007A18B0"/>
    <w:rsid w:val="007A1BEF"/>
    <w:rsid w:val="007A2066"/>
    <w:rsid w:val="007A228F"/>
    <w:rsid w:val="007A22BC"/>
    <w:rsid w:val="007A26BC"/>
    <w:rsid w:val="007A2B7B"/>
    <w:rsid w:val="007A2E51"/>
    <w:rsid w:val="007A2FC6"/>
    <w:rsid w:val="007A370E"/>
    <w:rsid w:val="007A374F"/>
    <w:rsid w:val="007A38FD"/>
    <w:rsid w:val="007A3D89"/>
    <w:rsid w:val="007A3EA9"/>
    <w:rsid w:val="007A3F66"/>
    <w:rsid w:val="007A4119"/>
    <w:rsid w:val="007A4183"/>
    <w:rsid w:val="007A4277"/>
    <w:rsid w:val="007A4EEC"/>
    <w:rsid w:val="007A514E"/>
    <w:rsid w:val="007A516B"/>
    <w:rsid w:val="007A5324"/>
    <w:rsid w:val="007A5450"/>
    <w:rsid w:val="007A584A"/>
    <w:rsid w:val="007A599C"/>
    <w:rsid w:val="007A5A08"/>
    <w:rsid w:val="007A63CB"/>
    <w:rsid w:val="007A6D2E"/>
    <w:rsid w:val="007A779E"/>
    <w:rsid w:val="007A79FE"/>
    <w:rsid w:val="007A7FE6"/>
    <w:rsid w:val="007A7FE9"/>
    <w:rsid w:val="007B005F"/>
    <w:rsid w:val="007B0145"/>
    <w:rsid w:val="007B027B"/>
    <w:rsid w:val="007B02BC"/>
    <w:rsid w:val="007B03CE"/>
    <w:rsid w:val="007B0816"/>
    <w:rsid w:val="007B0AFB"/>
    <w:rsid w:val="007B0C7E"/>
    <w:rsid w:val="007B0C9F"/>
    <w:rsid w:val="007B112A"/>
    <w:rsid w:val="007B11BE"/>
    <w:rsid w:val="007B1518"/>
    <w:rsid w:val="007B1D00"/>
    <w:rsid w:val="007B1DC9"/>
    <w:rsid w:val="007B1EB3"/>
    <w:rsid w:val="007B2981"/>
    <w:rsid w:val="007B2A6F"/>
    <w:rsid w:val="007B32C7"/>
    <w:rsid w:val="007B3836"/>
    <w:rsid w:val="007B38B2"/>
    <w:rsid w:val="007B39BD"/>
    <w:rsid w:val="007B3AD4"/>
    <w:rsid w:val="007B3CF0"/>
    <w:rsid w:val="007B3F26"/>
    <w:rsid w:val="007B4083"/>
    <w:rsid w:val="007B432F"/>
    <w:rsid w:val="007B449C"/>
    <w:rsid w:val="007B4611"/>
    <w:rsid w:val="007B4718"/>
    <w:rsid w:val="007B4775"/>
    <w:rsid w:val="007B4BB9"/>
    <w:rsid w:val="007B4C97"/>
    <w:rsid w:val="007B4D61"/>
    <w:rsid w:val="007B522B"/>
    <w:rsid w:val="007B5714"/>
    <w:rsid w:val="007B5A66"/>
    <w:rsid w:val="007B5AE1"/>
    <w:rsid w:val="007B5BED"/>
    <w:rsid w:val="007B6000"/>
    <w:rsid w:val="007B6193"/>
    <w:rsid w:val="007B62C4"/>
    <w:rsid w:val="007B62CD"/>
    <w:rsid w:val="007B644B"/>
    <w:rsid w:val="007B6460"/>
    <w:rsid w:val="007B6509"/>
    <w:rsid w:val="007B66C7"/>
    <w:rsid w:val="007B6992"/>
    <w:rsid w:val="007B6BA4"/>
    <w:rsid w:val="007B6E35"/>
    <w:rsid w:val="007B727C"/>
    <w:rsid w:val="007B7466"/>
    <w:rsid w:val="007B7515"/>
    <w:rsid w:val="007B78E9"/>
    <w:rsid w:val="007B79ED"/>
    <w:rsid w:val="007B7B8B"/>
    <w:rsid w:val="007B7D16"/>
    <w:rsid w:val="007B7E09"/>
    <w:rsid w:val="007C0646"/>
    <w:rsid w:val="007C066E"/>
    <w:rsid w:val="007C0834"/>
    <w:rsid w:val="007C08DA"/>
    <w:rsid w:val="007C0971"/>
    <w:rsid w:val="007C0DE2"/>
    <w:rsid w:val="007C0E68"/>
    <w:rsid w:val="007C0EAB"/>
    <w:rsid w:val="007C110B"/>
    <w:rsid w:val="007C1275"/>
    <w:rsid w:val="007C1710"/>
    <w:rsid w:val="007C1795"/>
    <w:rsid w:val="007C17A8"/>
    <w:rsid w:val="007C17FD"/>
    <w:rsid w:val="007C1C72"/>
    <w:rsid w:val="007C2437"/>
    <w:rsid w:val="007C292E"/>
    <w:rsid w:val="007C2CDA"/>
    <w:rsid w:val="007C2D35"/>
    <w:rsid w:val="007C31A9"/>
    <w:rsid w:val="007C31B9"/>
    <w:rsid w:val="007C322F"/>
    <w:rsid w:val="007C3284"/>
    <w:rsid w:val="007C3312"/>
    <w:rsid w:val="007C339D"/>
    <w:rsid w:val="007C343D"/>
    <w:rsid w:val="007C3457"/>
    <w:rsid w:val="007C388C"/>
    <w:rsid w:val="007C38F6"/>
    <w:rsid w:val="007C3A36"/>
    <w:rsid w:val="007C3E02"/>
    <w:rsid w:val="007C3E6B"/>
    <w:rsid w:val="007C4112"/>
    <w:rsid w:val="007C444F"/>
    <w:rsid w:val="007C45AD"/>
    <w:rsid w:val="007C4607"/>
    <w:rsid w:val="007C471F"/>
    <w:rsid w:val="007C4958"/>
    <w:rsid w:val="007C4A07"/>
    <w:rsid w:val="007C4B46"/>
    <w:rsid w:val="007C4C71"/>
    <w:rsid w:val="007C5526"/>
    <w:rsid w:val="007C5602"/>
    <w:rsid w:val="007C5649"/>
    <w:rsid w:val="007C5791"/>
    <w:rsid w:val="007C5851"/>
    <w:rsid w:val="007C5B94"/>
    <w:rsid w:val="007C5BCC"/>
    <w:rsid w:val="007C5D19"/>
    <w:rsid w:val="007C5D4F"/>
    <w:rsid w:val="007C5D80"/>
    <w:rsid w:val="007C628E"/>
    <w:rsid w:val="007C6408"/>
    <w:rsid w:val="007C6A31"/>
    <w:rsid w:val="007C6C96"/>
    <w:rsid w:val="007C6D79"/>
    <w:rsid w:val="007C6DAA"/>
    <w:rsid w:val="007C6EDA"/>
    <w:rsid w:val="007C7083"/>
    <w:rsid w:val="007C71CB"/>
    <w:rsid w:val="007C75D0"/>
    <w:rsid w:val="007C798D"/>
    <w:rsid w:val="007C79AF"/>
    <w:rsid w:val="007C79E1"/>
    <w:rsid w:val="007D0271"/>
    <w:rsid w:val="007D05EE"/>
    <w:rsid w:val="007D0608"/>
    <w:rsid w:val="007D0B17"/>
    <w:rsid w:val="007D0B76"/>
    <w:rsid w:val="007D0CE5"/>
    <w:rsid w:val="007D0CFE"/>
    <w:rsid w:val="007D0EF5"/>
    <w:rsid w:val="007D0F28"/>
    <w:rsid w:val="007D0F36"/>
    <w:rsid w:val="007D0FBD"/>
    <w:rsid w:val="007D1448"/>
    <w:rsid w:val="007D15C2"/>
    <w:rsid w:val="007D1A5D"/>
    <w:rsid w:val="007D1F59"/>
    <w:rsid w:val="007D229D"/>
    <w:rsid w:val="007D259A"/>
    <w:rsid w:val="007D26A0"/>
    <w:rsid w:val="007D2CAD"/>
    <w:rsid w:val="007D2D2C"/>
    <w:rsid w:val="007D3191"/>
    <w:rsid w:val="007D338C"/>
    <w:rsid w:val="007D3483"/>
    <w:rsid w:val="007D3762"/>
    <w:rsid w:val="007D39B5"/>
    <w:rsid w:val="007D3BA2"/>
    <w:rsid w:val="007D3FA2"/>
    <w:rsid w:val="007D4084"/>
    <w:rsid w:val="007D40E8"/>
    <w:rsid w:val="007D47CB"/>
    <w:rsid w:val="007D492F"/>
    <w:rsid w:val="007D4E70"/>
    <w:rsid w:val="007D505B"/>
    <w:rsid w:val="007D5167"/>
    <w:rsid w:val="007D5498"/>
    <w:rsid w:val="007D5993"/>
    <w:rsid w:val="007D5A31"/>
    <w:rsid w:val="007D5C41"/>
    <w:rsid w:val="007D5E23"/>
    <w:rsid w:val="007D60FA"/>
    <w:rsid w:val="007D67B1"/>
    <w:rsid w:val="007D6863"/>
    <w:rsid w:val="007D6ABB"/>
    <w:rsid w:val="007D6B0D"/>
    <w:rsid w:val="007D6BE6"/>
    <w:rsid w:val="007D6D58"/>
    <w:rsid w:val="007D7251"/>
    <w:rsid w:val="007D74F4"/>
    <w:rsid w:val="007D7691"/>
    <w:rsid w:val="007D7FB6"/>
    <w:rsid w:val="007E02B5"/>
    <w:rsid w:val="007E05FE"/>
    <w:rsid w:val="007E07C4"/>
    <w:rsid w:val="007E0AD9"/>
    <w:rsid w:val="007E0C54"/>
    <w:rsid w:val="007E1224"/>
    <w:rsid w:val="007E1318"/>
    <w:rsid w:val="007E1332"/>
    <w:rsid w:val="007E133C"/>
    <w:rsid w:val="007E1383"/>
    <w:rsid w:val="007E1596"/>
    <w:rsid w:val="007E1608"/>
    <w:rsid w:val="007E16DF"/>
    <w:rsid w:val="007E17CB"/>
    <w:rsid w:val="007E1819"/>
    <w:rsid w:val="007E1846"/>
    <w:rsid w:val="007E18A8"/>
    <w:rsid w:val="007E19FC"/>
    <w:rsid w:val="007E212D"/>
    <w:rsid w:val="007E21EE"/>
    <w:rsid w:val="007E256D"/>
    <w:rsid w:val="007E267C"/>
    <w:rsid w:val="007E2713"/>
    <w:rsid w:val="007E2986"/>
    <w:rsid w:val="007E29F2"/>
    <w:rsid w:val="007E2CB8"/>
    <w:rsid w:val="007E3333"/>
    <w:rsid w:val="007E36FA"/>
    <w:rsid w:val="007E36FD"/>
    <w:rsid w:val="007E3B99"/>
    <w:rsid w:val="007E3C1D"/>
    <w:rsid w:val="007E3CC3"/>
    <w:rsid w:val="007E4239"/>
    <w:rsid w:val="007E4606"/>
    <w:rsid w:val="007E48A8"/>
    <w:rsid w:val="007E4C5A"/>
    <w:rsid w:val="007E50E6"/>
    <w:rsid w:val="007E52AD"/>
    <w:rsid w:val="007E539B"/>
    <w:rsid w:val="007E5439"/>
    <w:rsid w:val="007E54E9"/>
    <w:rsid w:val="007E599C"/>
    <w:rsid w:val="007E5B5D"/>
    <w:rsid w:val="007E5C45"/>
    <w:rsid w:val="007E5CD3"/>
    <w:rsid w:val="007E5DF0"/>
    <w:rsid w:val="007E5EB9"/>
    <w:rsid w:val="007E5EDF"/>
    <w:rsid w:val="007E617A"/>
    <w:rsid w:val="007E6683"/>
    <w:rsid w:val="007E676C"/>
    <w:rsid w:val="007E67F7"/>
    <w:rsid w:val="007E7201"/>
    <w:rsid w:val="007E74B3"/>
    <w:rsid w:val="007E7544"/>
    <w:rsid w:val="007E792A"/>
    <w:rsid w:val="007E7AF4"/>
    <w:rsid w:val="007E7BC9"/>
    <w:rsid w:val="007E7BD2"/>
    <w:rsid w:val="007E7C7E"/>
    <w:rsid w:val="007E7D35"/>
    <w:rsid w:val="007F0122"/>
    <w:rsid w:val="007F047D"/>
    <w:rsid w:val="007F09E9"/>
    <w:rsid w:val="007F0BFE"/>
    <w:rsid w:val="007F0D45"/>
    <w:rsid w:val="007F139D"/>
    <w:rsid w:val="007F149E"/>
    <w:rsid w:val="007F156D"/>
    <w:rsid w:val="007F1637"/>
    <w:rsid w:val="007F1A2C"/>
    <w:rsid w:val="007F1CFA"/>
    <w:rsid w:val="007F1D9D"/>
    <w:rsid w:val="007F1DBA"/>
    <w:rsid w:val="007F23B3"/>
    <w:rsid w:val="007F2863"/>
    <w:rsid w:val="007F2D86"/>
    <w:rsid w:val="007F2F26"/>
    <w:rsid w:val="007F32E1"/>
    <w:rsid w:val="007F3346"/>
    <w:rsid w:val="007F3383"/>
    <w:rsid w:val="007F33B9"/>
    <w:rsid w:val="007F3555"/>
    <w:rsid w:val="007F39CE"/>
    <w:rsid w:val="007F3AC4"/>
    <w:rsid w:val="007F3BD4"/>
    <w:rsid w:val="007F3C02"/>
    <w:rsid w:val="007F418A"/>
    <w:rsid w:val="007F4338"/>
    <w:rsid w:val="007F4904"/>
    <w:rsid w:val="007F49EA"/>
    <w:rsid w:val="007F4BA1"/>
    <w:rsid w:val="007F505A"/>
    <w:rsid w:val="007F5329"/>
    <w:rsid w:val="007F5342"/>
    <w:rsid w:val="007F5499"/>
    <w:rsid w:val="007F54D0"/>
    <w:rsid w:val="007F589D"/>
    <w:rsid w:val="007F59FE"/>
    <w:rsid w:val="007F5B3B"/>
    <w:rsid w:val="007F5B80"/>
    <w:rsid w:val="007F5D10"/>
    <w:rsid w:val="007F6177"/>
    <w:rsid w:val="007F6205"/>
    <w:rsid w:val="007F629F"/>
    <w:rsid w:val="007F6355"/>
    <w:rsid w:val="007F689F"/>
    <w:rsid w:val="007F68DF"/>
    <w:rsid w:val="007F6B2C"/>
    <w:rsid w:val="007F6D50"/>
    <w:rsid w:val="007F6E0E"/>
    <w:rsid w:val="007F6E3E"/>
    <w:rsid w:val="007F6E63"/>
    <w:rsid w:val="007F6FA2"/>
    <w:rsid w:val="007F706C"/>
    <w:rsid w:val="007F7385"/>
    <w:rsid w:val="007F73C7"/>
    <w:rsid w:val="007F7435"/>
    <w:rsid w:val="007F79A6"/>
    <w:rsid w:val="007F79E5"/>
    <w:rsid w:val="007F7B31"/>
    <w:rsid w:val="007F7BC0"/>
    <w:rsid w:val="007F7CD8"/>
    <w:rsid w:val="00800024"/>
    <w:rsid w:val="00800186"/>
    <w:rsid w:val="008001FF"/>
    <w:rsid w:val="00800361"/>
    <w:rsid w:val="00800435"/>
    <w:rsid w:val="008006BA"/>
    <w:rsid w:val="00800B3A"/>
    <w:rsid w:val="00800BE7"/>
    <w:rsid w:val="00800D59"/>
    <w:rsid w:val="00800E2E"/>
    <w:rsid w:val="00800E55"/>
    <w:rsid w:val="00801056"/>
    <w:rsid w:val="00801196"/>
    <w:rsid w:val="008011E5"/>
    <w:rsid w:val="00801229"/>
    <w:rsid w:val="00801361"/>
    <w:rsid w:val="00801543"/>
    <w:rsid w:val="008019E7"/>
    <w:rsid w:val="0080230F"/>
    <w:rsid w:val="008024D1"/>
    <w:rsid w:val="00802513"/>
    <w:rsid w:val="00802E2E"/>
    <w:rsid w:val="00803157"/>
    <w:rsid w:val="00803211"/>
    <w:rsid w:val="008036D7"/>
    <w:rsid w:val="00803813"/>
    <w:rsid w:val="00803880"/>
    <w:rsid w:val="00803A39"/>
    <w:rsid w:val="00803B32"/>
    <w:rsid w:val="00803B33"/>
    <w:rsid w:val="00803B8B"/>
    <w:rsid w:val="00803D8D"/>
    <w:rsid w:val="00804074"/>
    <w:rsid w:val="00804245"/>
    <w:rsid w:val="008042D7"/>
    <w:rsid w:val="0080519B"/>
    <w:rsid w:val="00805568"/>
    <w:rsid w:val="0080574F"/>
    <w:rsid w:val="00805885"/>
    <w:rsid w:val="00805995"/>
    <w:rsid w:val="00805CA4"/>
    <w:rsid w:val="00805D0E"/>
    <w:rsid w:val="00805D56"/>
    <w:rsid w:val="00805D85"/>
    <w:rsid w:val="00805F09"/>
    <w:rsid w:val="00805FA1"/>
    <w:rsid w:val="00806223"/>
    <w:rsid w:val="0080646C"/>
    <w:rsid w:val="00806575"/>
    <w:rsid w:val="00806763"/>
    <w:rsid w:val="00806924"/>
    <w:rsid w:val="00806AC6"/>
    <w:rsid w:val="00806F77"/>
    <w:rsid w:val="00807345"/>
    <w:rsid w:val="00807349"/>
    <w:rsid w:val="0080753F"/>
    <w:rsid w:val="008077CB"/>
    <w:rsid w:val="0080791E"/>
    <w:rsid w:val="00807CCA"/>
    <w:rsid w:val="00807CCC"/>
    <w:rsid w:val="00807D80"/>
    <w:rsid w:val="00807F93"/>
    <w:rsid w:val="008100B9"/>
    <w:rsid w:val="008100E6"/>
    <w:rsid w:val="008100F7"/>
    <w:rsid w:val="00810220"/>
    <w:rsid w:val="00810500"/>
    <w:rsid w:val="0081059C"/>
    <w:rsid w:val="0081063C"/>
    <w:rsid w:val="008106F6"/>
    <w:rsid w:val="00810909"/>
    <w:rsid w:val="00810AF0"/>
    <w:rsid w:val="00810D1C"/>
    <w:rsid w:val="00810E55"/>
    <w:rsid w:val="00810F7D"/>
    <w:rsid w:val="00811049"/>
    <w:rsid w:val="00811242"/>
    <w:rsid w:val="008114FC"/>
    <w:rsid w:val="00811953"/>
    <w:rsid w:val="00811A48"/>
    <w:rsid w:val="00811A90"/>
    <w:rsid w:val="00811EE9"/>
    <w:rsid w:val="00812038"/>
    <w:rsid w:val="008126B4"/>
    <w:rsid w:val="008126DF"/>
    <w:rsid w:val="00812A1A"/>
    <w:rsid w:val="00812C02"/>
    <w:rsid w:val="00812D82"/>
    <w:rsid w:val="00812E4E"/>
    <w:rsid w:val="00813AF3"/>
    <w:rsid w:val="00813EA7"/>
    <w:rsid w:val="00813EDA"/>
    <w:rsid w:val="008141D8"/>
    <w:rsid w:val="00814743"/>
    <w:rsid w:val="008148A7"/>
    <w:rsid w:val="00814991"/>
    <w:rsid w:val="00814992"/>
    <w:rsid w:val="00814CBC"/>
    <w:rsid w:val="00814DD3"/>
    <w:rsid w:val="00815073"/>
    <w:rsid w:val="00815389"/>
    <w:rsid w:val="008154BD"/>
    <w:rsid w:val="008156E1"/>
    <w:rsid w:val="008159A0"/>
    <w:rsid w:val="00815AE6"/>
    <w:rsid w:val="00816130"/>
    <w:rsid w:val="0081631B"/>
    <w:rsid w:val="00816399"/>
    <w:rsid w:val="00816434"/>
    <w:rsid w:val="00816ADB"/>
    <w:rsid w:val="00816F2F"/>
    <w:rsid w:val="008170C6"/>
    <w:rsid w:val="00817555"/>
    <w:rsid w:val="0081762F"/>
    <w:rsid w:val="008176AC"/>
    <w:rsid w:val="008177E3"/>
    <w:rsid w:val="0081784B"/>
    <w:rsid w:val="008179B8"/>
    <w:rsid w:val="008179C2"/>
    <w:rsid w:val="00817A8E"/>
    <w:rsid w:val="00817DF8"/>
    <w:rsid w:val="00817FB0"/>
    <w:rsid w:val="00820310"/>
    <w:rsid w:val="0082056B"/>
    <w:rsid w:val="0082060B"/>
    <w:rsid w:val="0082068E"/>
    <w:rsid w:val="00820BB3"/>
    <w:rsid w:val="00820C8C"/>
    <w:rsid w:val="00820D38"/>
    <w:rsid w:val="00820FC7"/>
    <w:rsid w:val="00821234"/>
    <w:rsid w:val="00821315"/>
    <w:rsid w:val="008213A8"/>
    <w:rsid w:val="00821A25"/>
    <w:rsid w:val="00821A75"/>
    <w:rsid w:val="00822315"/>
    <w:rsid w:val="00822988"/>
    <w:rsid w:val="00822D17"/>
    <w:rsid w:val="008230FD"/>
    <w:rsid w:val="0082323E"/>
    <w:rsid w:val="00823C2C"/>
    <w:rsid w:val="0082439D"/>
    <w:rsid w:val="008249D1"/>
    <w:rsid w:val="00824BF1"/>
    <w:rsid w:val="00824FEC"/>
    <w:rsid w:val="0082510C"/>
    <w:rsid w:val="0082519C"/>
    <w:rsid w:val="00825421"/>
    <w:rsid w:val="00825E69"/>
    <w:rsid w:val="00826346"/>
    <w:rsid w:val="008264B9"/>
    <w:rsid w:val="00826501"/>
    <w:rsid w:val="00826631"/>
    <w:rsid w:val="0082677A"/>
    <w:rsid w:val="008267AB"/>
    <w:rsid w:val="008267BC"/>
    <w:rsid w:val="00826A9B"/>
    <w:rsid w:val="00826DA1"/>
    <w:rsid w:val="0082703D"/>
    <w:rsid w:val="0082719E"/>
    <w:rsid w:val="00827382"/>
    <w:rsid w:val="00827416"/>
    <w:rsid w:val="00827440"/>
    <w:rsid w:val="00827805"/>
    <w:rsid w:val="00827D3D"/>
    <w:rsid w:val="00830346"/>
    <w:rsid w:val="00830934"/>
    <w:rsid w:val="00830ABC"/>
    <w:rsid w:val="00830B5A"/>
    <w:rsid w:val="00830E97"/>
    <w:rsid w:val="00831578"/>
    <w:rsid w:val="0083163D"/>
    <w:rsid w:val="00831814"/>
    <w:rsid w:val="00832279"/>
    <w:rsid w:val="008322F4"/>
    <w:rsid w:val="0083242C"/>
    <w:rsid w:val="00832502"/>
    <w:rsid w:val="00832556"/>
    <w:rsid w:val="00833298"/>
    <w:rsid w:val="00833470"/>
    <w:rsid w:val="00833A15"/>
    <w:rsid w:val="00833A88"/>
    <w:rsid w:val="00833DC8"/>
    <w:rsid w:val="00833F8E"/>
    <w:rsid w:val="00834302"/>
    <w:rsid w:val="0083434F"/>
    <w:rsid w:val="008344B4"/>
    <w:rsid w:val="0083479E"/>
    <w:rsid w:val="008347B5"/>
    <w:rsid w:val="00834B03"/>
    <w:rsid w:val="00834C2C"/>
    <w:rsid w:val="00834C77"/>
    <w:rsid w:val="00834D33"/>
    <w:rsid w:val="00834FB2"/>
    <w:rsid w:val="0083501D"/>
    <w:rsid w:val="0083513F"/>
    <w:rsid w:val="0083547B"/>
    <w:rsid w:val="00835531"/>
    <w:rsid w:val="00835784"/>
    <w:rsid w:val="008358B5"/>
    <w:rsid w:val="0083591B"/>
    <w:rsid w:val="00835E3C"/>
    <w:rsid w:val="00836067"/>
    <w:rsid w:val="0083611D"/>
    <w:rsid w:val="008366E0"/>
    <w:rsid w:val="008367A0"/>
    <w:rsid w:val="0083712F"/>
    <w:rsid w:val="00837514"/>
    <w:rsid w:val="00837542"/>
    <w:rsid w:val="00837936"/>
    <w:rsid w:val="00837BF6"/>
    <w:rsid w:val="00837E16"/>
    <w:rsid w:val="00837E85"/>
    <w:rsid w:val="00837EA9"/>
    <w:rsid w:val="00840334"/>
    <w:rsid w:val="00840A4C"/>
    <w:rsid w:val="00840ACD"/>
    <w:rsid w:val="00840C58"/>
    <w:rsid w:val="00840EF9"/>
    <w:rsid w:val="0084135C"/>
    <w:rsid w:val="0084156F"/>
    <w:rsid w:val="0084189B"/>
    <w:rsid w:val="008418E1"/>
    <w:rsid w:val="008418EB"/>
    <w:rsid w:val="00841A51"/>
    <w:rsid w:val="00841C43"/>
    <w:rsid w:val="0084216E"/>
    <w:rsid w:val="0084230A"/>
    <w:rsid w:val="008424AB"/>
    <w:rsid w:val="008425C9"/>
    <w:rsid w:val="008425D2"/>
    <w:rsid w:val="008428BC"/>
    <w:rsid w:val="0084296A"/>
    <w:rsid w:val="008429E1"/>
    <w:rsid w:val="00842CC1"/>
    <w:rsid w:val="00842D21"/>
    <w:rsid w:val="00842F94"/>
    <w:rsid w:val="00842FAE"/>
    <w:rsid w:val="0084363B"/>
    <w:rsid w:val="00843836"/>
    <w:rsid w:val="00843971"/>
    <w:rsid w:val="00843BAC"/>
    <w:rsid w:val="00843CDF"/>
    <w:rsid w:val="00843D8C"/>
    <w:rsid w:val="00843DDD"/>
    <w:rsid w:val="0084461D"/>
    <w:rsid w:val="008446EA"/>
    <w:rsid w:val="008447AB"/>
    <w:rsid w:val="00844A5B"/>
    <w:rsid w:val="00844CDC"/>
    <w:rsid w:val="00844CEF"/>
    <w:rsid w:val="00844DDD"/>
    <w:rsid w:val="0084500D"/>
    <w:rsid w:val="008452AA"/>
    <w:rsid w:val="0084551E"/>
    <w:rsid w:val="00845626"/>
    <w:rsid w:val="00845745"/>
    <w:rsid w:val="008457EB"/>
    <w:rsid w:val="008459AE"/>
    <w:rsid w:val="008461C7"/>
    <w:rsid w:val="00846322"/>
    <w:rsid w:val="00846379"/>
    <w:rsid w:val="00846904"/>
    <w:rsid w:val="00846A3A"/>
    <w:rsid w:val="0084711E"/>
    <w:rsid w:val="00847462"/>
    <w:rsid w:val="008474A8"/>
    <w:rsid w:val="00847564"/>
    <w:rsid w:val="00847890"/>
    <w:rsid w:val="0084790D"/>
    <w:rsid w:val="00847A7B"/>
    <w:rsid w:val="00847E3D"/>
    <w:rsid w:val="00847ED2"/>
    <w:rsid w:val="0085025E"/>
    <w:rsid w:val="008502AC"/>
    <w:rsid w:val="0085041C"/>
    <w:rsid w:val="00850423"/>
    <w:rsid w:val="00850447"/>
    <w:rsid w:val="008507A2"/>
    <w:rsid w:val="00850BDD"/>
    <w:rsid w:val="00851170"/>
    <w:rsid w:val="008513DA"/>
    <w:rsid w:val="0085144D"/>
    <w:rsid w:val="00851592"/>
    <w:rsid w:val="00851788"/>
    <w:rsid w:val="008519FA"/>
    <w:rsid w:val="00851C5F"/>
    <w:rsid w:val="00851D4D"/>
    <w:rsid w:val="00851E48"/>
    <w:rsid w:val="00852173"/>
    <w:rsid w:val="00852CB0"/>
    <w:rsid w:val="00852D61"/>
    <w:rsid w:val="00852E25"/>
    <w:rsid w:val="00852F8D"/>
    <w:rsid w:val="00853209"/>
    <w:rsid w:val="0085357D"/>
    <w:rsid w:val="00853633"/>
    <w:rsid w:val="008536EB"/>
    <w:rsid w:val="0085379F"/>
    <w:rsid w:val="00853B97"/>
    <w:rsid w:val="00853EA6"/>
    <w:rsid w:val="0085401F"/>
    <w:rsid w:val="008544DF"/>
    <w:rsid w:val="0085467D"/>
    <w:rsid w:val="008549FC"/>
    <w:rsid w:val="00854C5F"/>
    <w:rsid w:val="00854C98"/>
    <w:rsid w:val="00854D35"/>
    <w:rsid w:val="0085507F"/>
    <w:rsid w:val="00855370"/>
    <w:rsid w:val="00855855"/>
    <w:rsid w:val="00855A14"/>
    <w:rsid w:val="00855B52"/>
    <w:rsid w:val="00855CD3"/>
    <w:rsid w:val="00855EAF"/>
    <w:rsid w:val="008560F0"/>
    <w:rsid w:val="008562F2"/>
    <w:rsid w:val="0085680C"/>
    <w:rsid w:val="00856889"/>
    <w:rsid w:val="00856BF7"/>
    <w:rsid w:val="0085755A"/>
    <w:rsid w:val="008577E8"/>
    <w:rsid w:val="00857820"/>
    <w:rsid w:val="00857E44"/>
    <w:rsid w:val="00857E80"/>
    <w:rsid w:val="00860265"/>
    <w:rsid w:val="00860455"/>
    <w:rsid w:val="00860608"/>
    <w:rsid w:val="008607C2"/>
    <w:rsid w:val="00860A9E"/>
    <w:rsid w:val="00860E51"/>
    <w:rsid w:val="008613B5"/>
    <w:rsid w:val="00861737"/>
    <w:rsid w:val="008617B9"/>
    <w:rsid w:val="0086187D"/>
    <w:rsid w:val="008618FF"/>
    <w:rsid w:val="008619FB"/>
    <w:rsid w:val="00861ABA"/>
    <w:rsid w:val="00861C63"/>
    <w:rsid w:val="00861F38"/>
    <w:rsid w:val="0086222F"/>
    <w:rsid w:val="008623D0"/>
    <w:rsid w:val="008623E0"/>
    <w:rsid w:val="0086254E"/>
    <w:rsid w:val="008627F6"/>
    <w:rsid w:val="00862B13"/>
    <w:rsid w:val="00862B56"/>
    <w:rsid w:val="00862D32"/>
    <w:rsid w:val="00863036"/>
    <w:rsid w:val="0086316A"/>
    <w:rsid w:val="0086322E"/>
    <w:rsid w:val="00863284"/>
    <w:rsid w:val="008632CE"/>
    <w:rsid w:val="0086345B"/>
    <w:rsid w:val="00863536"/>
    <w:rsid w:val="0086379A"/>
    <w:rsid w:val="00863934"/>
    <w:rsid w:val="00863B4D"/>
    <w:rsid w:val="00863C55"/>
    <w:rsid w:val="00863D41"/>
    <w:rsid w:val="00863D71"/>
    <w:rsid w:val="00863DF8"/>
    <w:rsid w:val="00863FD3"/>
    <w:rsid w:val="0086403E"/>
    <w:rsid w:val="0086405F"/>
    <w:rsid w:val="00864097"/>
    <w:rsid w:val="0086451C"/>
    <w:rsid w:val="0086490E"/>
    <w:rsid w:val="0086499C"/>
    <w:rsid w:val="00864C07"/>
    <w:rsid w:val="00864C54"/>
    <w:rsid w:val="00865268"/>
    <w:rsid w:val="008655C0"/>
    <w:rsid w:val="00865639"/>
    <w:rsid w:val="008656C8"/>
    <w:rsid w:val="00865747"/>
    <w:rsid w:val="008657FD"/>
    <w:rsid w:val="00865A58"/>
    <w:rsid w:val="00865C2F"/>
    <w:rsid w:val="00865D35"/>
    <w:rsid w:val="0086684F"/>
    <w:rsid w:val="00866A33"/>
    <w:rsid w:val="00866C09"/>
    <w:rsid w:val="00866E94"/>
    <w:rsid w:val="0086740C"/>
    <w:rsid w:val="00867481"/>
    <w:rsid w:val="00867489"/>
    <w:rsid w:val="00867513"/>
    <w:rsid w:val="008675F0"/>
    <w:rsid w:val="00867657"/>
    <w:rsid w:val="00867796"/>
    <w:rsid w:val="00867871"/>
    <w:rsid w:val="00867A03"/>
    <w:rsid w:val="00867B5D"/>
    <w:rsid w:val="00867D95"/>
    <w:rsid w:val="00867DEF"/>
    <w:rsid w:val="00867E3B"/>
    <w:rsid w:val="0087065C"/>
    <w:rsid w:val="008706D4"/>
    <w:rsid w:val="00870828"/>
    <w:rsid w:val="00870BAE"/>
    <w:rsid w:val="00871156"/>
    <w:rsid w:val="00871186"/>
    <w:rsid w:val="00871197"/>
    <w:rsid w:val="0087134E"/>
    <w:rsid w:val="00871949"/>
    <w:rsid w:val="00871A64"/>
    <w:rsid w:val="00872520"/>
    <w:rsid w:val="00872545"/>
    <w:rsid w:val="00872F40"/>
    <w:rsid w:val="0087329B"/>
    <w:rsid w:val="00873430"/>
    <w:rsid w:val="00873854"/>
    <w:rsid w:val="008739DF"/>
    <w:rsid w:val="00873AF8"/>
    <w:rsid w:val="00873B11"/>
    <w:rsid w:val="00873B9C"/>
    <w:rsid w:val="00873D0E"/>
    <w:rsid w:val="00873F61"/>
    <w:rsid w:val="0087418B"/>
    <w:rsid w:val="0087424E"/>
    <w:rsid w:val="008742BA"/>
    <w:rsid w:val="008742C0"/>
    <w:rsid w:val="008744BA"/>
    <w:rsid w:val="00874580"/>
    <w:rsid w:val="008745DF"/>
    <w:rsid w:val="00874A0A"/>
    <w:rsid w:val="00874B4B"/>
    <w:rsid w:val="00874F17"/>
    <w:rsid w:val="0087513A"/>
    <w:rsid w:val="00875216"/>
    <w:rsid w:val="0087528E"/>
    <w:rsid w:val="008752C7"/>
    <w:rsid w:val="008753AA"/>
    <w:rsid w:val="00875954"/>
    <w:rsid w:val="00875A3B"/>
    <w:rsid w:val="00875CD5"/>
    <w:rsid w:val="00875DCA"/>
    <w:rsid w:val="00876013"/>
    <w:rsid w:val="00876320"/>
    <w:rsid w:val="008763F5"/>
    <w:rsid w:val="0087640C"/>
    <w:rsid w:val="008767E0"/>
    <w:rsid w:val="00876810"/>
    <w:rsid w:val="008769A3"/>
    <w:rsid w:val="00876A1B"/>
    <w:rsid w:val="00876B0A"/>
    <w:rsid w:val="00876B66"/>
    <w:rsid w:val="00876DC3"/>
    <w:rsid w:val="00876E80"/>
    <w:rsid w:val="00876EB4"/>
    <w:rsid w:val="0087744B"/>
    <w:rsid w:val="00877628"/>
    <w:rsid w:val="00877700"/>
    <w:rsid w:val="0087778B"/>
    <w:rsid w:val="008777F3"/>
    <w:rsid w:val="00877D88"/>
    <w:rsid w:val="00880175"/>
    <w:rsid w:val="00880275"/>
    <w:rsid w:val="00880481"/>
    <w:rsid w:val="0088049E"/>
    <w:rsid w:val="00880579"/>
    <w:rsid w:val="00880764"/>
    <w:rsid w:val="00880AB0"/>
    <w:rsid w:val="00880B57"/>
    <w:rsid w:val="00880B76"/>
    <w:rsid w:val="00880BA4"/>
    <w:rsid w:val="00880BD2"/>
    <w:rsid w:val="00880E4E"/>
    <w:rsid w:val="00881090"/>
    <w:rsid w:val="008810D0"/>
    <w:rsid w:val="008812CE"/>
    <w:rsid w:val="0088137C"/>
    <w:rsid w:val="00881439"/>
    <w:rsid w:val="008816AA"/>
    <w:rsid w:val="00881853"/>
    <w:rsid w:val="00881A8F"/>
    <w:rsid w:val="00881CEE"/>
    <w:rsid w:val="00881E37"/>
    <w:rsid w:val="00882404"/>
    <w:rsid w:val="008827F1"/>
    <w:rsid w:val="008828AA"/>
    <w:rsid w:val="0088291A"/>
    <w:rsid w:val="00882923"/>
    <w:rsid w:val="00882B45"/>
    <w:rsid w:val="00882CA0"/>
    <w:rsid w:val="00882CC7"/>
    <w:rsid w:val="00882D5A"/>
    <w:rsid w:val="00882E50"/>
    <w:rsid w:val="00882F23"/>
    <w:rsid w:val="00882FD3"/>
    <w:rsid w:val="00883404"/>
    <w:rsid w:val="00883ADB"/>
    <w:rsid w:val="00883BE8"/>
    <w:rsid w:val="00883DF0"/>
    <w:rsid w:val="00883E3E"/>
    <w:rsid w:val="00883F2D"/>
    <w:rsid w:val="0088412E"/>
    <w:rsid w:val="00884983"/>
    <w:rsid w:val="00884C55"/>
    <w:rsid w:val="00884CB6"/>
    <w:rsid w:val="00884D53"/>
    <w:rsid w:val="008851CA"/>
    <w:rsid w:val="00885270"/>
    <w:rsid w:val="00885A48"/>
    <w:rsid w:val="00885E3F"/>
    <w:rsid w:val="00885EDB"/>
    <w:rsid w:val="00885F80"/>
    <w:rsid w:val="00886122"/>
    <w:rsid w:val="008861E4"/>
    <w:rsid w:val="008865BB"/>
    <w:rsid w:val="008868A3"/>
    <w:rsid w:val="0088699A"/>
    <w:rsid w:val="00886AC5"/>
    <w:rsid w:val="00886AF4"/>
    <w:rsid w:val="00886D5D"/>
    <w:rsid w:val="00886DC7"/>
    <w:rsid w:val="008871FD"/>
    <w:rsid w:val="008873B3"/>
    <w:rsid w:val="00887458"/>
    <w:rsid w:val="00887665"/>
    <w:rsid w:val="008879DF"/>
    <w:rsid w:val="00887AAD"/>
    <w:rsid w:val="00887BCB"/>
    <w:rsid w:val="00887F7B"/>
    <w:rsid w:val="008909DC"/>
    <w:rsid w:val="00890AB6"/>
    <w:rsid w:val="0089107B"/>
    <w:rsid w:val="008911FE"/>
    <w:rsid w:val="008914AC"/>
    <w:rsid w:val="00891511"/>
    <w:rsid w:val="0089153F"/>
    <w:rsid w:val="00891615"/>
    <w:rsid w:val="008917A9"/>
    <w:rsid w:val="00891A3E"/>
    <w:rsid w:val="00891AA4"/>
    <w:rsid w:val="00891AF4"/>
    <w:rsid w:val="00891CD5"/>
    <w:rsid w:val="00891DE0"/>
    <w:rsid w:val="00891EDF"/>
    <w:rsid w:val="00892112"/>
    <w:rsid w:val="00892220"/>
    <w:rsid w:val="008922EE"/>
    <w:rsid w:val="0089230A"/>
    <w:rsid w:val="0089238A"/>
    <w:rsid w:val="0089243C"/>
    <w:rsid w:val="008929D9"/>
    <w:rsid w:val="00892AE9"/>
    <w:rsid w:val="00892CE3"/>
    <w:rsid w:val="008934F1"/>
    <w:rsid w:val="00893707"/>
    <w:rsid w:val="0089375D"/>
    <w:rsid w:val="008937C2"/>
    <w:rsid w:val="00893B7F"/>
    <w:rsid w:val="00893ED2"/>
    <w:rsid w:val="0089419F"/>
    <w:rsid w:val="00894236"/>
    <w:rsid w:val="00894406"/>
    <w:rsid w:val="00894758"/>
    <w:rsid w:val="00894910"/>
    <w:rsid w:val="00894AB6"/>
    <w:rsid w:val="00894B25"/>
    <w:rsid w:val="00894BB6"/>
    <w:rsid w:val="00894CBB"/>
    <w:rsid w:val="00894D97"/>
    <w:rsid w:val="008950B6"/>
    <w:rsid w:val="00895575"/>
    <w:rsid w:val="008956A3"/>
    <w:rsid w:val="008956EA"/>
    <w:rsid w:val="00895B44"/>
    <w:rsid w:val="00895E41"/>
    <w:rsid w:val="00896078"/>
    <w:rsid w:val="00896184"/>
    <w:rsid w:val="008966A2"/>
    <w:rsid w:val="00896736"/>
    <w:rsid w:val="00896863"/>
    <w:rsid w:val="00896A7B"/>
    <w:rsid w:val="00896B65"/>
    <w:rsid w:val="00896BCB"/>
    <w:rsid w:val="00896CF9"/>
    <w:rsid w:val="00896FF3"/>
    <w:rsid w:val="00897003"/>
    <w:rsid w:val="008970A3"/>
    <w:rsid w:val="0089726C"/>
    <w:rsid w:val="008976DF"/>
    <w:rsid w:val="008978D9"/>
    <w:rsid w:val="00897AE2"/>
    <w:rsid w:val="008A0047"/>
    <w:rsid w:val="008A00BA"/>
    <w:rsid w:val="008A00E9"/>
    <w:rsid w:val="008A0162"/>
    <w:rsid w:val="008A0292"/>
    <w:rsid w:val="008A03A3"/>
    <w:rsid w:val="008A07DE"/>
    <w:rsid w:val="008A0DF9"/>
    <w:rsid w:val="008A125B"/>
    <w:rsid w:val="008A13E5"/>
    <w:rsid w:val="008A15F6"/>
    <w:rsid w:val="008A1782"/>
    <w:rsid w:val="008A1961"/>
    <w:rsid w:val="008A1A4E"/>
    <w:rsid w:val="008A1D42"/>
    <w:rsid w:val="008A1DE1"/>
    <w:rsid w:val="008A1E08"/>
    <w:rsid w:val="008A2091"/>
    <w:rsid w:val="008A20D3"/>
    <w:rsid w:val="008A23D4"/>
    <w:rsid w:val="008A29C6"/>
    <w:rsid w:val="008A34BD"/>
    <w:rsid w:val="008A3946"/>
    <w:rsid w:val="008A3AD3"/>
    <w:rsid w:val="008A3CA3"/>
    <w:rsid w:val="008A3E79"/>
    <w:rsid w:val="008A3F93"/>
    <w:rsid w:val="008A40CC"/>
    <w:rsid w:val="008A4435"/>
    <w:rsid w:val="008A4444"/>
    <w:rsid w:val="008A470F"/>
    <w:rsid w:val="008A4836"/>
    <w:rsid w:val="008A4A10"/>
    <w:rsid w:val="008A4D18"/>
    <w:rsid w:val="008A4E74"/>
    <w:rsid w:val="008A5035"/>
    <w:rsid w:val="008A5595"/>
    <w:rsid w:val="008A56DB"/>
    <w:rsid w:val="008A577B"/>
    <w:rsid w:val="008A57D3"/>
    <w:rsid w:val="008A5A0B"/>
    <w:rsid w:val="008A5A5C"/>
    <w:rsid w:val="008A5BBA"/>
    <w:rsid w:val="008A5E92"/>
    <w:rsid w:val="008A5E95"/>
    <w:rsid w:val="008A607F"/>
    <w:rsid w:val="008A615C"/>
    <w:rsid w:val="008A626A"/>
    <w:rsid w:val="008A6284"/>
    <w:rsid w:val="008A64D4"/>
    <w:rsid w:val="008A6723"/>
    <w:rsid w:val="008A6F39"/>
    <w:rsid w:val="008A70F6"/>
    <w:rsid w:val="008A71FA"/>
    <w:rsid w:val="008A7281"/>
    <w:rsid w:val="008A754B"/>
    <w:rsid w:val="008A7ABF"/>
    <w:rsid w:val="008B0021"/>
    <w:rsid w:val="008B00F6"/>
    <w:rsid w:val="008B0172"/>
    <w:rsid w:val="008B08C7"/>
    <w:rsid w:val="008B0AE8"/>
    <w:rsid w:val="008B0EB8"/>
    <w:rsid w:val="008B1059"/>
    <w:rsid w:val="008B17C9"/>
    <w:rsid w:val="008B18A4"/>
    <w:rsid w:val="008B18DC"/>
    <w:rsid w:val="008B1DED"/>
    <w:rsid w:val="008B2188"/>
    <w:rsid w:val="008B2430"/>
    <w:rsid w:val="008B2581"/>
    <w:rsid w:val="008B25E9"/>
    <w:rsid w:val="008B2646"/>
    <w:rsid w:val="008B275A"/>
    <w:rsid w:val="008B27D3"/>
    <w:rsid w:val="008B2AB6"/>
    <w:rsid w:val="008B2CFD"/>
    <w:rsid w:val="008B2E7A"/>
    <w:rsid w:val="008B30B8"/>
    <w:rsid w:val="008B3137"/>
    <w:rsid w:val="008B320F"/>
    <w:rsid w:val="008B33A9"/>
    <w:rsid w:val="008B3479"/>
    <w:rsid w:val="008B35DC"/>
    <w:rsid w:val="008B3A60"/>
    <w:rsid w:val="008B3B63"/>
    <w:rsid w:val="008B400A"/>
    <w:rsid w:val="008B437D"/>
    <w:rsid w:val="008B45DE"/>
    <w:rsid w:val="008B4846"/>
    <w:rsid w:val="008B4CEA"/>
    <w:rsid w:val="008B4F6E"/>
    <w:rsid w:val="008B55E3"/>
    <w:rsid w:val="008B5885"/>
    <w:rsid w:val="008B58E4"/>
    <w:rsid w:val="008B59EF"/>
    <w:rsid w:val="008B5D4B"/>
    <w:rsid w:val="008B5E6B"/>
    <w:rsid w:val="008B60A3"/>
    <w:rsid w:val="008B60B0"/>
    <w:rsid w:val="008B64BB"/>
    <w:rsid w:val="008B6601"/>
    <w:rsid w:val="008B6642"/>
    <w:rsid w:val="008B6BD4"/>
    <w:rsid w:val="008B6CA4"/>
    <w:rsid w:val="008B6DA2"/>
    <w:rsid w:val="008B6DEC"/>
    <w:rsid w:val="008B743E"/>
    <w:rsid w:val="008B7585"/>
    <w:rsid w:val="008B76BA"/>
    <w:rsid w:val="008B7884"/>
    <w:rsid w:val="008B7C95"/>
    <w:rsid w:val="008B7F9C"/>
    <w:rsid w:val="008C0080"/>
    <w:rsid w:val="008C00B8"/>
    <w:rsid w:val="008C0195"/>
    <w:rsid w:val="008C0A8C"/>
    <w:rsid w:val="008C0CF2"/>
    <w:rsid w:val="008C10E5"/>
    <w:rsid w:val="008C143D"/>
    <w:rsid w:val="008C153C"/>
    <w:rsid w:val="008C17E7"/>
    <w:rsid w:val="008C1AC5"/>
    <w:rsid w:val="008C1DB6"/>
    <w:rsid w:val="008C20C1"/>
    <w:rsid w:val="008C20FD"/>
    <w:rsid w:val="008C2148"/>
    <w:rsid w:val="008C24AC"/>
    <w:rsid w:val="008C256B"/>
    <w:rsid w:val="008C266F"/>
    <w:rsid w:val="008C285F"/>
    <w:rsid w:val="008C2C01"/>
    <w:rsid w:val="008C2CD3"/>
    <w:rsid w:val="008C3572"/>
    <w:rsid w:val="008C38E9"/>
    <w:rsid w:val="008C395A"/>
    <w:rsid w:val="008C39A5"/>
    <w:rsid w:val="008C39E5"/>
    <w:rsid w:val="008C3C79"/>
    <w:rsid w:val="008C3EC3"/>
    <w:rsid w:val="008C3FCE"/>
    <w:rsid w:val="008C4250"/>
    <w:rsid w:val="008C42BF"/>
    <w:rsid w:val="008C432E"/>
    <w:rsid w:val="008C4444"/>
    <w:rsid w:val="008C4736"/>
    <w:rsid w:val="008C4D31"/>
    <w:rsid w:val="008C5364"/>
    <w:rsid w:val="008C55B5"/>
    <w:rsid w:val="008C63A2"/>
    <w:rsid w:val="008C676F"/>
    <w:rsid w:val="008C68F2"/>
    <w:rsid w:val="008C69BA"/>
    <w:rsid w:val="008C6A28"/>
    <w:rsid w:val="008C6FDE"/>
    <w:rsid w:val="008C7973"/>
    <w:rsid w:val="008C7CFD"/>
    <w:rsid w:val="008C7DDB"/>
    <w:rsid w:val="008D0086"/>
    <w:rsid w:val="008D00B4"/>
    <w:rsid w:val="008D0255"/>
    <w:rsid w:val="008D0271"/>
    <w:rsid w:val="008D0398"/>
    <w:rsid w:val="008D0719"/>
    <w:rsid w:val="008D09BC"/>
    <w:rsid w:val="008D0E3B"/>
    <w:rsid w:val="008D0F5E"/>
    <w:rsid w:val="008D11A9"/>
    <w:rsid w:val="008D11CE"/>
    <w:rsid w:val="008D14CF"/>
    <w:rsid w:val="008D1525"/>
    <w:rsid w:val="008D17FF"/>
    <w:rsid w:val="008D182B"/>
    <w:rsid w:val="008D1B15"/>
    <w:rsid w:val="008D1BB8"/>
    <w:rsid w:val="008D1CA0"/>
    <w:rsid w:val="008D1D97"/>
    <w:rsid w:val="008D1FC7"/>
    <w:rsid w:val="008D1FD8"/>
    <w:rsid w:val="008D2163"/>
    <w:rsid w:val="008D22F2"/>
    <w:rsid w:val="008D237E"/>
    <w:rsid w:val="008D2567"/>
    <w:rsid w:val="008D260E"/>
    <w:rsid w:val="008D2AA8"/>
    <w:rsid w:val="008D2B49"/>
    <w:rsid w:val="008D2C15"/>
    <w:rsid w:val="008D2E7B"/>
    <w:rsid w:val="008D300D"/>
    <w:rsid w:val="008D3346"/>
    <w:rsid w:val="008D363A"/>
    <w:rsid w:val="008D39A1"/>
    <w:rsid w:val="008D3A73"/>
    <w:rsid w:val="008D3B9F"/>
    <w:rsid w:val="008D3DBD"/>
    <w:rsid w:val="008D3E02"/>
    <w:rsid w:val="008D4013"/>
    <w:rsid w:val="008D41DB"/>
    <w:rsid w:val="008D455F"/>
    <w:rsid w:val="008D4C1E"/>
    <w:rsid w:val="008D547E"/>
    <w:rsid w:val="008D57D5"/>
    <w:rsid w:val="008D5B65"/>
    <w:rsid w:val="008D5CFE"/>
    <w:rsid w:val="008D5E5E"/>
    <w:rsid w:val="008D5E8C"/>
    <w:rsid w:val="008D5FFE"/>
    <w:rsid w:val="008D61C9"/>
    <w:rsid w:val="008D61E2"/>
    <w:rsid w:val="008D6287"/>
    <w:rsid w:val="008D629C"/>
    <w:rsid w:val="008D6820"/>
    <w:rsid w:val="008D689A"/>
    <w:rsid w:val="008D6B43"/>
    <w:rsid w:val="008D6C35"/>
    <w:rsid w:val="008D6C73"/>
    <w:rsid w:val="008D6DCF"/>
    <w:rsid w:val="008D6DF5"/>
    <w:rsid w:val="008D7191"/>
    <w:rsid w:val="008D7343"/>
    <w:rsid w:val="008D73F7"/>
    <w:rsid w:val="008D7743"/>
    <w:rsid w:val="008D782C"/>
    <w:rsid w:val="008D7AB1"/>
    <w:rsid w:val="008D7AE1"/>
    <w:rsid w:val="008D7D27"/>
    <w:rsid w:val="008D7E4A"/>
    <w:rsid w:val="008E0241"/>
    <w:rsid w:val="008E07EF"/>
    <w:rsid w:val="008E0817"/>
    <w:rsid w:val="008E0A06"/>
    <w:rsid w:val="008E0ABE"/>
    <w:rsid w:val="008E0B3D"/>
    <w:rsid w:val="008E0C00"/>
    <w:rsid w:val="008E0EC8"/>
    <w:rsid w:val="008E1479"/>
    <w:rsid w:val="008E1851"/>
    <w:rsid w:val="008E1BF3"/>
    <w:rsid w:val="008E1BF5"/>
    <w:rsid w:val="008E2043"/>
    <w:rsid w:val="008E268F"/>
    <w:rsid w:val="008E27B0"/>
    <w:rsid w:val="008E29CC"/>
    <w:rsid w:val="008E2C32"/>
    <w:rsid w:val="008E3003"/>
    <w:rsid w:val="008E31F3"/>
    <w:rsid w:val="008E338E"/>
    <w:rsid w:val="008E3A65"/>
    <w:rsid w:val="008E3AA8"/>
    <w:rsid w:val="008E3C5F"/>
    <w:rsid w:val="008E3DE2"/>
    <w:rsid w:val="008E40C6"/>
    <w:rsid w:val="008E444D"/>
    <w:rsid w:val="008E44BE"/>
    <w:rsid w:val="008E45EB"/>
    <w:rsid w:val="008E4752"/>
    <w:rsid w:val="008E47F8"/>
    <w:rsid w:val="008E4894"/>
    <w:rsid w:val="008E48B9"/>
    <w:rsid w:val="008E49D8"/>
    <w:rsid w:val="008E4A04"/>
    <w:rsid w:val="008E4A4C"/>
    <w:rsid w:val="008E5421"/>
    <w:rsid w:val="008E54FD"/>
    <w:rsid w:val="008E5C2C"/>
    <w:rsid w:val="008E5E33"/>
    <w:rsid w:val="008E6007"/>
    <w:rsid w:val="008E66F4"/>
    <w:rsid w:val="008E6712"/>
    <w:rsid w:val="008E6AAA"/>
    <w:rsid w:val="008E6E4D"/>
    <w:rsid w:val="008E6EA0"/>
    <w:rsid w:val="008E73D9"/>
    <w:rsid w:val="008E7472"/>
    <w:rsid w:val="008E750F"/>
    <w:rsid w:val="008E772A"/>
    <w:rsid w:val="008F0557"/>
    <w:rsid w:val="008F057E"/>
    <w:rsid w:val="008F073D"/>
    <w:rsid w:val="008F07A9"/>
    <w:rsid w:val="008F082F"/>
    <w:rsid w:val="008F0C26"/>
    <w:rsid w:val="008F0C40"/>
    <w:rsid w:val="008F0E1D"/>
    <w:rsid w:val="008F0F2B"/>
    <w:rsid w:val="008F1022"/>
    <w:rsid w:val="008F1242"/>
    <w:rsid w:val="008F137A"/>
    <w:rsid w:val="008F154E"/>
    <w:rsid w:val="008F1701"/>
    <w:rsid w:val="008F17CB"/>
    <w:rsid w:val="008F1D57"/>
    <w:rsid w:val="008F1D91"/>
    <w:rsid w:val="008F1FBE"/>
    <w:rsid w:val="008F212F"/>
    <w:rsid w:val="008F2688"/>
    <w:rsid w:val="008F26BF"/>
    <w:rsid w:val="008F28EA"/>
    <w:rsid w:val="008F290B"/>
    <w:rsid w:val="008F2AC9"/>
    <w:rsid w:val="008F2AD6"/>
    <w:rsid w:val="008F2B91"/>
    <w:rsid w:val="008F2CE1"/>
    <w:rsid w:val="008F2D14"/>
    <w:rsid w:val="008F2DD8"/>
    <w:rsid w:val="008F2EE6"/>
    <w:rsid w:val="008F3277"/>
    <w:rsid w:val="008F33E5"/>
    <w:rsid w:val="008F3529"/>
    <w:rsid w:val="008F394C"/>
    <w:rsid w:val="008F397B"/>
    <w:rsid w:val="008F3D23"/>
    <w:rsid w:val="008F3DF5"/>
    <w:rsid w:val="008F41B8"/>
    <w:rsid w:val="008F4255"/>
    <w:rsid w:val="008F4303"/>
    <w:rsid w:val="008F4712"/>
    <w:rsid w:val="008F49D0"/>
    <w:rsid w:val="008F4FF0"/>
    <w:rsid w:val="008F500F"/>
    <w:rsid w:val="008F5347"/>
    <w:rsid w:val="008F5682"/>
    <w:rsid w:val="008F5715"/>
    <w:rsid w:val="008F582B"/>
    <w:rsid w:val="008F5C19"/>
    <w:rsid w:val="008F5EC8"/>
    <w:rsid w:val="008F5F3A"/>
    <w:rsid w:val="008F6387"/>
    <w:rsid w:val="008F654C"/>
    <w:rsid w:val="008F65F1"/>
    <w:rsid w:val="008F68F6"/>
    <w:rsid w:val="008F69B5"/>
    <w:rsid w:val="008F6E53"/>
    <w:rsid w:val="008F6FBA"/>
    <w:rsid w:val="008F700F"/>
    <w:rsid w:val="008F7106"/>
    <w:rsid w:val="008F72E0"/>
    <w:rsid w:val="008F7508"/>
    <w:rsid w:val="008F7587"/>
    <w:rsid w:val="008F7C5C"/>
    <w:rsid w:val="008F7CE6"/>
    <w:rsid w:val="008F7D34"/>
    <w:rsid w:val="008F7E83"/>
    <w:rsid w:val="00900BC4"/>
    <w:rsid w:val="00900E65"/>
    <w:rsid w:val="00900FC6"/>
    <w:rsid w:val="009013BD"/>
    <w:rsid w:val="00901447"/>
    <w:rsid w:val="00901BD8"/>
    <w:rsid w:val="00901CF1"/>
    <w:rsid w:val="00901ED8"/>
    <w:rsid w:val="00901F66"/>
    <w:rsid w:val="009022CA"/>
    <w:rsid w:val="00902478"/>
    <w:rsid w:val="0090248F"/>
    <w:rsid w:val="009025CB"/>
    <w:rsid w:val="00902667"/>
    <w:rsid w:val="009026EF"/>
    <w:rsid w:val="0090287E"/>
    <w:rsid w:val="00902A2D"/>
    <w:rsid w:val="009030BD"/>
    <w:rsid w:val="0090325C"/>
    <w:rsid w:val="0090328A"/>
    <w:rsid w:val="00903437"/>
    <w:rsid w:val="009034CF"/>
    <w:rsid w:val="009035E4"/>
    <w:rsid w:val="009035F1"/>
    <w:rsid w:val="00903890"/>
    <w:rsid w:val="00903BF3"/>
    <w:rsid w:val="00903ED5"/>
    <w:rsid w:val="00903F2F"/>
    <w:rsid w:val="00903FAE"/>
    <w:rsid w:val="00903FCD"/>
    <w:rsid w:val="0090413A"/>
    <w:rsid w:val="00904144"/>
    <w:rsid w:val="00904536"/>
    <w:rsid w:val="009048D8"/>
    <w:rsid w:val="00904AB9"/>
    <w:rsid w:val="00904BE0"/>
    <w:rsid w:val="0090504B"/>
    <w:rsid w:val="009051B9"/>
    <w:rsid w:val="00905230"/>
    <w:rsid w:val="00905434"/>
    <w:rsid w:val="0090561C"/>
    <w:rsid w:val="00905A24"/>
    <w:rsid w:val="00905E55"/>
    <w:rsid w:val="009062A7"/>
    <w:rsid w:val="00906D5C"/>
    <w:rsid w:val="00906D5F"/>
    <w:rsid w:val="00906EA3"/>
    <w:rsid w:val="00906FBE"/>
    <w:rsid w:val="009078D3"/>
    <w:rsid w:val="00907A78"/>
    <w:rsid w:val="00907B29"/>
    <w:rsid w:val="00910175"/>
    <w:rsid w:val="00910630"/>
    <w:rsid w:val="00910A9B"/>
    <w:rsid w:val="00910D25"/>
    <w:rsid w:val="0091125B"/>
    <w:rsid w:val="009112D9"/>
    <w:rsid w:val="00911374"/>
    <w:rsid w:val="00911630"/>
    <w:rsid w:val="009118F3"/>
    <w:rsid w:val="00911918"/>
    <w:rsid w:val="00911BD2"/>
    <w:rsid w:val="00911CC4"/>
    <w:rsid w:val="00911D6F"/>
    <w:rsid w:val="0091238F"/>
    <w:rsid w:val="00912489"/>
    <w:rsid w:val="009126FE"/>
    <w:rsid w:val="009128EF"/>
    <w:rsid w:val="00912B51"/>
    <w:rsid w:val="00912BD0"/>
    <w:rsid w:val="00912C0B"/>
    <w:rsid w:val="0091310C"/>
    <w:rsid w:val="0091348F"/>
    <w:rsid w:val="00913704"/>
    <w:rsid w:val="00913B10"/>
    <w:rsid w:val="00913D5B"/>
    <w:rsid w:val="00913DBF"/>
    <w:rsid w:val="009140C8"/>
    <w:rsid w:val="0091415C"/>
    <w:rsid w:val="00914608"/>
    <w:rsid w:val="00914DAB"/>
    <w:rsid w:val="00914E65"/>
    <w:rsid w:val="009157C2"/>
    <w:rsid w:val="00915C50"/>
    <w:rsid w:val="00915DBB"/>
    <w:rsid w:val="00916734"/>
    <w:rsid w:val="00916DB1"/>
    <w:rsid w:val="00916EC7"/>
    <w:rsid w:val="00917C3C"/>
    <w:rsid w:val="00920476"/>
    <w:rsid w:val="009204C3"/>
    <w:rsid w:val="0092056F"/>
    <w:rsid w:val="00920576"/>
    <w:rsid w:val="0092069F"/>
    <w:rsid w:val="009207FD"/>
    <w:rsid w:val="009208B1"/>
    <w:rsid w:val="009209AC"/>
    <w:rsid w:val="00920CA8"/>
    <w:rsid w:val="00920D78"/>
    <w:rsid w:val="00920DB2"/>
    <w:rsid w:val="00920E91"/>
    <w:rsid w:val="009212D1"/>
    <w:rsid w:val="00921323"/>
    <w:rsid w:val="009213D0"/>
    <w:rsid w:val="00921742"/>
    <w:rsid w:val="009218A1"/>
    <w:rsid w:val="00921C1E"/>
    <w:rsid w:val="00921EF2"/>
    <w:rsid w:val="00921F42"/>
    <w:rsid w:val="00922005"/>
    <w:rsid w:val="00922078"/>
    <w:rsid w:val="00922310"/>
    <w:rsid w:val="009224AE"/>
    <w:rsid w:val="009227B1"/>
    <w:rsid w:val="00922A27"/>
    <w:rsid w:val="00922B6A"/>
    <w:rsid w:val="00922FEA"/>
    <w:rsid w:val="00923352"/>
    <w:rsid w:val="0092379A"/>
    <w:rsid w:val="00923E24"/>
    <w:rsid w:val="009240AF"/>
    <w:rsid w:val="0092418C"/>
    <w:rsid w:val="009242F4"/>
    <w:rsid w:val="009243BA"/>
    <w:rsid w:val="00924420"/>
    <w:rsid w:val="0092461A"/>
    <w:rsid w:val="00924742"/>
    <w:rsid w:val="00924AAA"/>
    <w:rsid w:val="00924E5E"/>
    <w:rsid w:val="0092525A"/>
    <w:rsid w:val="009254D0"/>
    <w:rsid w:val="009257D7"/>
    <w:rsid w:val="009259F1"/>
    <w:rsid w:val="00925A93"/>
    <w:rsid w:val="00925EF7"/>
    <w:rsid w:val="009266D1"/>
    <w:rsid w:val="00926887"/>
    <w:rsid w:val="009270A5"/>
    <w:rsid w:val="009271D9"/>
    <w:rsid w:val="0092733A"/>
    <w:rsid w:val="00927534"/>
    <w:rsid w:val="009275BE"/>
    <w:rsid w:val="0092795E"/>
    <w:rsid w:val="00927D49"/>
    <w:rsid w:val="00927D54"/>
    <w:rsid w:val="00927E68"/>
    <w:rsid w:val="00927F04"/>
    <w:rsid w:val="00930178"/>
    <w:rsid w:val="009302CC"/>
    <w:rsid w:val="0093048D"/>
    <w:rsid w:val="0093056A"/>
    <w:rsid w:val="00930860"/>
    <w:rsid w:val="009308A1"/>
    <w:rsid w:val="009309CF"/>
    <w:rsid w:val="00930A30"/>
    <w:rsid w:val="00930A6B"/>
    <w:rsid w:val="00930FC0"/>
    <w:rsid w:val="00931681"/>
    <w:rsid w:val="009317AE"/>
    <w:rsid w:val="00931AB7"/>
    <w:rsid w:val="00931E07"/>
    <w:rsid w:val="00931FA2"/>
    <w:rsid w:val="0093204A"/>
    <w:rsid w:val="00932077"/>
    <w:rsid w:val="0093219B"/>
    <w:rsid w:val="00932744"/>
    <w:rsid w:val="00932B0C"/>
    <w:rsid w:val="00933076"/>
    <w:rsid w:val="00933237"/>
    <w:rsid w:val="00933548"/>
    <w:rsid w:val="009336B7"/>
    <w:rsid w:val="00933A5C"/>
    <w:rsid w:val="00933BB2"/>
    <w:rsid w:val="00933C39"/>
    <w:rsid w:val="00933FBD"/>
    <w:rsid w:val="00934130"/>
    <w:rsid w:val="0093432B"/>
    <w:rsid w:val="009343B4"/>
    <w:rsid w:val="00934656"/>
    <w:rsid w:val="009347E3"/>
    <w:rsid w:val="009347FB"/>
    <w:rsid w:val="009349A3"/>
    <w:rsid w:val="00935197"/>
    <w:rsid w:val="00935728"/>
    <w:rsid w:val="0093585B"/>
    <w:rsid w:val="00935A39"/>
    <w:rsid w:val="00935B48"/>
    <w:rsid w:val="00935BE2"/>
    <w:rsid w:val="00935CFC"/>
    <w:rsid w:val="00935E15"/>
    <w:rsid w:val="00935E2A"/>
    <w:rsid w:val="00935FB4"/>
    <w:rsid w:val="009369E0"/>
    <w:rsid w:val="00936CB2"/>
    <w:rsid w:val="00936D99"/>
    <w:rsid w:val="00936E19"/>
    <w:rsid w:val="00937287"/>
    <w:rsid w:val="00937310"/>
    <w:rsid w:val="00937706"/>
    <w:rsid w:val="00937793"/>
    <w:rsid w:val="00937D67"/>
    <w:rsid w:val="00940047"/>
    <w:rsid w:val="0094011E"/>
    <w:rsid w:val="009401D4"/>
    <w:rsid w:val="00940328"/>
    <w:rsid w:val="009403EE"/>
    <w:rsid w:val="009406B6"/>
    <w:rsid w:val="00940972"/>
    <w:rsid w:val="00940C64"/>
    <w:rsid w:val="00940F08"/>
    <w:rsid w:val="00940FE4"/>
    <w:rsid w:val="009410A0"/>
    <w:rsid w:val="0094157A"/>
    <w:rsid w:val="009417FC"/>
    <w:rsid w:val="00941EA0"/>
    <w:rsid w:val="00941FDC"/>
    <w:rsid w:val="00941FFA"/>
    <w:rsid w:val="00942340"/>
    <w:rsid w:val="00942567"/>
    <w:rsid w:val="0094283D"/>
    <w:rsid w:val="00942C32"/>
    <w:rsid w:val="00942C5D"/>
    <w:rsid w:val="00942D15"/>
    <w:rsid w:val="00942D3C"/>
    <w:rsid w:val="00942DF5"/>
    <w:rsid w:val="00942FFC"/>
    <w:rsid w:val="009432EB"/>
    <w:rsid w:val="00943379"/>
    <w:rsid w:val="00943825"/>
    <w:rsid w:val="00943954"/>
    <w:rsid w:val="00943EDE"/>
    <w:rsid w:val="00943FAA"/>
    <w:rsid w:val="009440B7"/>
    <w:rsid w:val="00944105"/>
    <w:rsid w:val="009442C5"/>
    <w:rsid w:val="00944380"/>
    <w:rsid w:val="00944610"/>
    <w:rsid w:val="00944AEC"/>
    <w:rsid w:val="00944BBA"/>
    <w:rsid w:val="00944CAE"/>
    <w:rsid w:val="00944D1A"/>
    <w:rsid w:val="00944DF0"/>
    <w:rsid w:val="00944F9A"/>
    <w:rsid w:val="009450FA"/>
    <w:rsid w:val="00945219"/>
    <w:rsid w:val="0094536C"/>
    <w:rsid w:val="00945461"/>
    <w:rsid w:val="009456C0"/>
    <w:rsid w:val="00945758"/>
    <w:rsid w:val="00945880"/>
    <w:rsid w:val="009459D0"/>
    <w:rsid w:val="00945F65"/>
    <w:rsid w:val="0094605F"/>
    <w:rsid w:val="0094625E"/>
    <w:rsid w:val="009467CF"/>
    <w:rsid w:val="00946D56"/>
    <w:rsid w:val="00946DF0"/>
    <w:rsid w:val="00946F37"/>
    <w:rsid w:val="0094701A"/>
    <w:rsid w:val="0094707F"/>
    <w:rsid w:val="0094710F"/>
    <w:rsid w:val="00947179"/>
    <w:rsid w:val="00947321"/>
    <w:rsid w:val="009473F9"/>
    <w:rsid w:val="009474C6"/>
    <w:rsid w:val="009475D8"/>
    <w:rsid w:val="00947650"/>
    <w:rsid w:val="00947EF8"/>
    <w:rsid w:val="009502C5"/>
    <w:rsid w:val="009502E1"/>
    <w:rsid w:val="009503FA"/>
    <w:rsid w:val="0095071F"/>
    <w:rsid w:val="00950D08"/>
    <w:rsid w:val="00950ECC"/>
    <w:rsid w:val="009514FA"/>
    <w:rsid w:val="00951730"/>
    <w:rsid w:val="0095178D"/>
    <w:rsid w:val="00951E39"/>
    <w:rsid w:val="009520C3"/>
    <w:rsid w:val="009520D6"/>
    <w:rsid w:val="00952183"/>
    <w:rsid w:val="00952440"/>
    <w:rsid w:val="00952A27"/>
    <w:rsid w:val="00952C9F"/>
    <w:rsid w:val="00952DA5"/>
    <w:rsid w:val="00952F03"/>
    <w:rsid w:val="009531D6"/>
    <w:rsid w:val="00953236"/>
    <w:rsid w:val="0095324A"/>
    <w:rsid w:val="009533CB"/>
    <w:rsid w:val="009533F1"/>
    <w:rsid w:val="00953627"/>
    <w:rsid w:val="009536AB"/>
    <w:rsid w:val="00953BBA"/>
    <w:rsid w:val="00953C7E"/>
    <w:rsid w:val="00954093"/>
    <w:rsid w:val="00954644"/>
    <w:rsid w:val="00954774"/>
    <w:rsid w:val="0095493A"/>
    <w:rsid w:val="00954A9F"/>
    <w:rsid w:val="00954C72"/>
    <w:rsid w:val="00954D1C"/>
    <w:rsid w:val="00954E42"/>
    <w:rsid w:val="00955378"/>
    <w:rsid w:val="0095588E"/>
    <w:rsid w:val="00956433"/>
    <w:rsid w:val="009564DA"/>
    <w:rsid w:val="0095676E"/>
    <w:rsid w:val="009569A2"/>
    <w:rsid w:val="00956ABB"/>
    <w:rsid w:val="00956B46"/>
    <w:rsid w:val="00956D2C"/>
    <w:rsid w:val="00957035"/>
    <w:rsid w:val="009570C1"/>
    <w:rsid w:val="009571FC"/>
    <w:rsid w:val="00957858"/>
    <w:rsid w:val="0095789E"/>
    <w:rsid w:val="00957907"/>
    <w:rsid w:val="00957AA7"/>
    <w:rsid w:val="00957DB0"/>
    <w:rsid w:val="00960117"/>
    <w:rsid w:val="00960204"/>
    <w:rsid w:val="0096076E"/>
    <w:rsid w:val="009607B5"/>
    <w:rsid w:val="0096087E"/>
    <w:rsid w:val="00960A13"/>
    <w:rsid w:val="00961284"/>
    <w:rsid w:val="009612AE"/>
    <w:rsid w:val="009613F6"/>
    <w:rsid w:val="009617B2"/>
    <w:rsid w:val="00961835"/>
    <w:rsid w:val="009618FC"/>
    <w:rsid w:val="009619C3"/>
    <w:rsid w:val="00961A4A"/>
    <w:rsid w:val="00961D15"/>
    <w:rsid w:val="00961D28"/>
    <w:rsid w:val="0096239E"/>
    <w:rsid w:val="00962546"/>
    <w:rsid w:val="0096263C"/>
    <w:rsid w:val="00962BFC"/>
    <w:rsid w:val="00962CB9"/>
    <w:rsid w:val="00962DD7"/>
    <w:rsid w:val="00963101"/>
    <w:rsid w:val="009632AB"/>
    <w:rsid w:val="009635E5"/>
    <w:rsid w:val="00963851"/>
    <w:rsid w:val="009639FB"/>
    <w:rsid w:val="00963AEE"/>
    <w:rsid w:val="00963C06"/>
    <w:rsid w:val="00963D6C"/>
    <w:rsid w:val="00964252"/>
    <w:rsid w:val="0096470B"/>
    <w:rsid w:val="00964739"/>
    <w:rsid w:val="00964801"/>
    <w:rsid w:val="00964A15"/>
    <w:rsid w:val="00964D54"/>
    <w:rsid w:val="009650B1"/>
    <w:rsid w:val="009654CB"/>
    <w:rsid w:val="00965956"/>
    <w:rsid w:val="00965A27"/>
    <w:rsid w:val="0096609E"/>
    <w:rsid w:val="009661D4"/>
    <w:rsid w:val="00966268"/>
    <w:rsid w:val="009665E8"/>
    <w:rsid w:val="00966857"/>
    <w:rsid w:val="0096728D"/>
    <w:rsid w:val="009672AA"/>
    <w:rsid w:val="00967411"/>
    <w:rsid w:val="0096745F"/>
    <w:rsid w:val="00967523"/>
    <w:rsid w:val="009676AE"/>
    <w:rsid w:val="009677F7"/>
    <w:rsid w:val="00967855"/>
    <w:rsid w:val="00967877"/>
    <w:rsid w:val="00967D5B"/>
    <w:rsid w:val="00967E52"/>
    <w:rsid w:val="00967F38"/>
    <w:rsid w:val="00970010"/>
    <w:rsid w:val="009700FB"/>
    <w:rsid w:val="00970102"/>
    <w:rsid w:val="0097051E"/>
    <w:rsid w:val="0097091D"/>
    <w:rsid w:val="00970AB9"/>
    <w:rsid w:val="00971129"/>
    <w:rsid w:val="009711BE"/>
    <w:rsid w:val="0097170C"/>
    <w:rsid w:val="00971781"/>
    <w:rsid w:val="00971C1E"/>
    <w:rsid w:val="00971D93"/>
    <w:rsid w:val="009721E0"/>
    <w:rsid w:val="00972274"/>
    <w:rsid w:val="00972444"/>
    <w:rsid w:val="00972729"/>
    <w:rsid w:val="00972DE7"/>
    <w:rsid w:val="00973168"/>
    <w:rsid w:val="009735EE"/>
    <w:rsid w:val="009737EB"/>
    <w:rsid w:val="00973B4B"/>
    <w:rsid w:val="00973BC2"/>
    <w:rsid w:val="009742AA"/>
    <w:rsid w:val="00974331"/>
    <w:rsid w:val="00974503"/>
    <w:rsid w:val="00974667"/>
    <w:rsid w:val="0097499E"/>
    <w:rsid w:val="00974B25"/>
    <w:rsid w:val="00974B9A"/>
    <w:rsid w:val="00974BE0"/>
    <w:rsid w:val="0097508B"/>
    <w:rsid w:val="009750FD"/>
    <w:rsid w:val="00975661"/>
    <w:rsid w:val="0097578E"/>
    <w:rsid w:val="00975A1F"/>
    <w:rsid w:val="009763DF"/>
    <w:rsid w:val="00976576"/>
    <w:rsid w:val="00976663"/>
    <w:rsid w:val="00976B61"/>
    <w:rsid w:val="00976EE4"/>
    <w:rsid w:val="009771FE"/>
    <w:rsid w:val="00977313"/>
    <w:rsid w:val="009778B9"/>
    <w:rsid w:val="00977B9F"/>
    <w:rsid w:val="00977EE8"/>
    <w:rsid w:val="00977F96"/>
    <w:rsid w:val="00980057"/>
    <w:rsid w:val="009800E8"/>
    <w:rsid w:val="009800F8"/>
    <w:rsid w:val="00980128"/>
    <w:rsid w:val="00980182"/>
    <w:rsid w:val="00980497"/>
    <w:rsid w:val="00980577"/>
    <w:rsid w:val="009806EE"/>
    <w:rsid w:val="00980995"/>
    <w:rsid w:val="00980A45"/>
    <w:rsid w:val="00980A4F"/>
    <w:rsid w:val="009813D7"/>
    <w:rsid w:val="00981654"/>
    <w:rsid w:val="0098174D"/>
    <w:rsid w:val="00981A57"/>
    <w:rsid w:val="00981B20"/>
    <w:rsid w:val="00981FD5"/>
    <w:rsid w:val="009820C2"/>
    <w:rsid w:val="009821E6"/>
    <w:rsid w:val="0098239D"/>
    <w:rsid w:val="009825D7"/>
    <w:rsid w:val="009825F0"/>
    <w:rsid w:val="00982641"/>
    <w:rsid w:val="00982862"/>
    <w:rsid w:val="00982958"/>
    <w:rsid w:val="00982BF1"/>
    <w:rsid w:val="00983031"/>
    <w:rsid w:val="00983263"/>
    <w:rsid w:val="00983450"/>
    <w:rsid w:val="009835A6"/>
    <w:rsid w:val="009835B3"/>
    <w:rsid w:val="009836D8"/>
    <w:rsid w:val="009842A1"/>
    <w:rsid w:val="00984335"/>
    <w:rsid w:val="009844E7"/>
    <w:rsid w:val="009845F9"/>
    <w:rsid w:val="00984772"/>
    <w:rsid w:val="00984818"/>
    <w:rsid w:val="00984941"/>
    <w:rsid w:val="00984A89"/>
    <w:rsid w:val="00984D39"/>
    <w:rsid w:val="00984F5F"/>
    <w:rsid w:val="00984FB4"/>
    <w:rsid w:val="00985535"/>
    <w:rsid w:val="00985867"/>
    <w:rsid w:val="00985B08"/>
    <w:rsid w:val="00985BCE"/>
    <w:rsid w:val="00985C95"/>
    <w:rsid w:val="00985CE6"/>
    <w:rsid w:val="00985DF5"/>
    <w:rsid w:val="00985FD7"/>
    <w:rsid w:val="00986580"/>
    <w:rsid w:val="009865EE"/>
    <w:rsid w:val="00986668"/>
    <w:rsid w:val="009866D5"/>
    <w:rsid w:val="0098689A"/>
    <w:rsid w:val="00986F28"/>
    <w:rsid w:val="009871B3"/>
    <w:rsid w:val="00987606"/>
    <w:rsid w:val="00987771"/>
    <w:rsid w:val="0098777B"/>
    <w:rsid w:val="00987C39"/>
    <w:rsid w:val="00990146"/>
    <w:rsid w:val="00990317"/>
    <w:rsid w:val="0099031D"/>
    <w:rsid w:val="00990588"/>
    <w:rsid w:val="0099074F"/>
    <w:rsid w:val="00990912"/>
    <w:rsid w:val="00990926"/>
    <w:rsid w:val="00990A24"/>
    <w:rsid w:val="00990A25"/>
    <w:rsid w:val="00990AF8"/>
    <w:rsid w:val="00990E9E"/>
    <w:rsid w:val="00990F16"/>
    <w:rsid w:val="009911FD"/>
    <w:rsid w:val="00991335"/>
    <w:rsid w:val="0099144B"/>
    <w:rsid w:val="00991682"/>
    <w:rsid w:val="0099169A"/>
    <w:rsid w:val="009918BE"/>
    <w:rsid w:val="00991AE1"/>
    <w:rsid w:val="00992330"/>
    <w:rsid w:val="0099245C"/>
    <w:rsid w:val="00992768"/>
    <w:rsid w:val="00992893"/>
    <w:rsid w:val="00992C17"/>
    <w:rsid w:val="00992D30"/>
    <w:rsid w:val="00993129"/>
    <w:rsid w:val="00993700"/>
    <w:rsid w:val="009938E4"/>
    <w:rsid w:val="009938E5"/>
    <w:rsid w:val="00993AE9"/>
    <w:rsid w:val="00993C31"/>
    <w:rsid w:val="00993E3B"/>
    <w:rsid w:val="009940C0"/>
    <w:rsid w:val="0099484A"/>
    <w:rsid w:val="00994944"/>
    <w:rsid w:val="00994EF1"/>
    <w:rsid w:val="009951F8"/>
    <w:rsid w:val="00995355"/>
    <w:rsid w:val="00995658"/>
    <w:rsid w:val="009956B8"/>
    <w:rsid w:val="009958F9"/>
    <w:rsid w:val="00995ACC"/>
    <w:rsid w:val="00995CEF"/>
    <w:rsid w:val="00995D8B"/>
    <w:rsid w:val="0099605A"/>
    <w:rsid w:val="0099621C"/>
    <w:rsid w:val="0099631F"/>
    <w:rsid w:val="00996762"/>
    <w:rsid w:val="009967DF"/>
    <w:rsid w:val="00996837"/>
    <w:rsid w:val="009968D5"/>
    <w:rsid w:val="00996A2F"/>
    <w:rsid w:val="00996ADC"/>
    <w:rsid w:val="00996C7B"/>
    <w:rsid w:val="00996EE0"/>
    <w:rsid w:val="00997061"/>
    <w:rsid w:val="009971FC"/>
    <w:rsid w:val="00997313"/>
    <w:rsid w:val="009973C3"/>
    <w:rsid w:val="009974DA"/>
    <w:rsid w:val="009975E5"/>
    <w:rsid w:val="009978D8"/>
    <w:rsid w:val="009978F5"/>
    <w:rsid w:val="00997C56"/>
    <w:rsid w:val="00997DBF"/>
    <w:rsid w:val="00997E90"/>
    <w:rsid w:val="009A04C8"/>
    <w:rsid w:val="009A0523"/>
    <w:rsid w:val="009A0531"/>
    <w:rsid w:val="009A06C8"/>
    <w:rsid w:val="009A08B9"/>
    <w:rsid w:val="009A08EB"/>
    <w:rsid w:val="009A0ABE"/>
    <w:rsid w:val="009A0C3D"/>
    <w:rsid w:val="009A0D71"/>
    <w:rsid w:val="009A1184"/>
    <w:rsid w:val="009A13C3"/>
    <w:rsid w:val="009A14DA"/>
    <w:rsid w:val="009A162F"/>
    <w:rsid w:val="009A1680"/>
    <w:rsid w:val="009A2169"/>
    <w:rsid w:val="009A222F"/>
    <w:rsid w:val="009A2554"/>
    <w:rsid w:val="009A294E"/>
    <w:rsid w:val="009A2DEF"/>
    <w:rsid w:val="009A3095"/>
    <w:rsid w:val="009A31B5"/>
    <w:rsid w:val="009A32FA"/>
    <w:rsid w:val="009A358C"/>
    <w:rsid w:val="009A3A20"/>
    <w:rsid w:val="009A402E"/>
    <w:rsid w:val="009A4534"/>
    <w:rsid w:val="009A4812"/>
    <w:rsid w:val="009A4A94"/>
    <w:rsid w:val="009A4AE7"/>
    <w:rsid w:val="009A4C18"/>
    <w:rsid w:val="009A4C4E"/>
    <w:rsid w:val="009A4C67"/>
    <w:rsid w:val="009A4C68"/>
    <w:rsid w:val="009A508E"/>
    <w:rsid w:val="009A5137"/>
    <w:rsid w:val="009A54B7"/>
    <w:rsid w:val="009A558C"/>
    <w:rsid w:val="009A5812"/>
    <w:rsid w:val="009A59BF"/>
    <w:rsid w:val="009A5C08"/>
    <w:rsid w:val="009A5D1F"/>
    <w:rsid w:val="009A5F3D"/>
    <w:rsid w:val="009A6082"/>
    <w:rsid w:val="009A6B77"/>
    <w:rsid w:val="009A6FEB"/>
    <w:rsid w:val="009A7077"/>
    <w:rsid w:val="009A716D"/>
    <w:rsid w:val="009A73A6"/>
    <w:rsid w:val="009A7532"/>
    <w:rsid w:val="009A766D"/>
    <w:rsid w:val="009A7BA8"/>
    <w:rsid w:val="009A7DF2"/>
    <w:rsid w:val="009B00F0"/>
    <w:rsid w:val="009B01F2"/>
    <w:rsid w:val="009B02FE"/>
    <w:rsid w:val="009B0614"/>
    <w:rsid w:val="009B0759"/>
    <w:rsid w:val="009B07D5"/>
    <w:rsid w:val="009B08E4"/>
    <w:rsid w:val="009B0EAF"/>
    <w:rsid w:val="009B10BE"/>
    <w:rsid w:val="009B10F4"/>
    <w:rsid w:val="009B1236"/>
    <w:rsid w:val="009B15E3"/>
    <w:rsid w:val="009B17C2"/>
    <w:rsid w:val="009B1887"/>
    <w:rsid w:val="009B1985"/>
    <w:rsid w:val="009B1BAB"/>
    <w:rsid w:val="009B1EDF"/>
    <w:rsid w:val="009B2113"/>
    <w:rsid w:val="009B21B7"/>
    <w:rsid w:val="009B237E"/>
    <w:rsid w:val="009B23BD"/>
    <w:rsid w:val="009B2A47"/>
    <w:rsid w:val="009B2A64"/>
    <w:rsid w:val="009B2CE9"/>
    <w:rsid w:val="009B2D87"/>
    <w:rsid w:val="009B30F5"/>
    <w:rsid w:val="009B3196"/>
    <w:rsid w:val="009B3341"/>
    <w:rsid w:val="009B33F1"/>
    <w:rsid w:val="009B3A46"/>
    <w:rsid w:val="009B3B33"/>
    <w:rsid w:val="009B3DF2"/>
    <w:rsid w:val="009B3F75"/>
    <w:rsid w:val="009B3FA5"/>
    <w:rsid w:val="009B4008"/>
    <w:rsid w:val="009B40B2"/>
    <w:rsid w:val="009B4335"/>
    <w:rsid w:val="009B44E5"/>
    <w:rsid w:val="009B478F"/>
    <w:rsid w:val="009B4849"/>
    <w:rsid w:val="009B4923"/>
    <w:rsid w:val="009B4947"/>
    <w:rsid w:val="009B4B91"/>
    <w:rsid w:val="009B4E72"/>
    <w:rsid w:val="009B4FF1"/>
    <w:rsid w:val="009B51D2"/>
    <w:rsid w:val="009B5524"/>
    <w:rsid w:val="009B5633"/>
    <w:rsid w:val="009B5B87"/>
    <w:rsid w:val="009B5D17"/>
    <w:rsid w:val="009B6432"/>
    <w:rsid w:val="009B6685"/>
    <w:rsid w:val="009B683B"/>
    <w:rsid w:val="009B6A50"/>
    <w:rsid w:val="009B6B18"/>
    <w:rsid w:val="009B6D63"/>
    <w:rsid w:val="009B7067"/>
    <w:rsid w:val="009B7345"/>
    <w:rsid w:val="009B74AE"/>
    <w:rsid w:val="009B7559"/>
    <w:rsid w:val="009B765D"/>
    <w:rsid w:val="009B7709"/>
    <w:rsid w:val="009B786C"/>
    <w:rsid w:val="009B78DA"/>
    <w:rsid w:val="009B7950"/>
    <w:rsid w:val="009B7ABC"/>
    <w:rsid w:val="009B7BE3"/>
    <w:rsid w:val="009B7E4E"/>
    <w:rsid w:val="009C014B"/>
    <w:rsid w:val="009C0182"/>
    <w:rsid w:val="009C0D21"/>
    <w:rsid w:val="009C0E14"/>
    <w:rsid w:val="009C15A7"/>
    <w:rsid w:val="009C1658"/>
    <w:rsid w:val="009C16CA"/>
    <w:rsid w:val="009C182C"/>
    <w:rsid w:val="009C1A88"/>
    <w:rsid w:val="009C1D09"/>
    <w:rsid w:val="009C1F86"/>
    <w:rsid w:val="009C20A4"/>
    <w:rsid w:val="009C2170"/>
    <w:rsid w:val="009C2721"/>
    <w:rsid w:val="009C283F"/>
    <w:rsid w:val="009C2A1B"/>
    <w:rsid w:val="009C2E7E"/>
    <w:rsid w:val="009C310E"/>
    <w:rsid w:val="009C3276"/>
    <w:rsid w:val="009C331F"/>
    <w:rsid w:val="009C345E"/>
    <w:rsid w:val="009C35B8"/>
    <w:rsid w:val="009C3616"/>
    <w:rsid w:val="009C3AA1"/>
    <w:rsid w:val="009C3B3C"/>
    <w:rsid w:val="009C3BAC"/>
    <w:rsid w:val="009C3BCE"/>
    <w:rsid w:val="009C3D20"/>
    <w:rsid w:val="009C3EE1"/>
    <w:rsid w:val="009C3F33"/>
    <w:rsid w:val="009C3F55"/>
    <w:rsid w:val="009C3F7A"/>
    <w:rsid w:val="009C3FA0"/>
    <w:rsid w:val="009C4320"/>
    <w:rsid w:val="009C43EF"/>
    <w:rsid w:val="009C4486"/>
    <w:rsid w:val="009C459B"/>
    <w:rsid w:val="009C4714"/>
    <w:rsid w:val="009C4993"/>
    <w:rsid w:val="009C4B77"/>
    <w:rsid w:val="009C4E20"/>
    <w:rsid w:val="009C4F62"/>
    <w:rsid w:val="009C5008"/>
    <w:rsid w:val="009C5177"/>
    <w:rsid w:val="009C52FA"/>
    <w:rsid w:val="009C55D8"/>
    <w:rsid w:val="009C59DC"/>
    <w:rsid w:val="009C5D28"/>
    <w:rsid w:val="009C5DD0"/>
    <w:rsid w:val="009C6143"/>
    <w:rsid w:val="009C61E0"/>
    <w:rsid w:val="009C6384"/>
    <w:rsid w:val="009C6655"/>
    <w:rsid w:val="009C67DA"/>
    <w:rsid w:val="009C6812"/>
    <w:rsid w:val="009C6E28"/>
    <w:rsid w:val="009C6FE2"/>
    <w:rsid w:val="009C7120"/>
    <w:rsid w:val="009C719F"/>
    <w:rsid w:val="009C7707"/>
    <w:rsid w:val="009C7B7E"/>
    <w:rsid w:val="009D0620"/>
    <w:rsid w:val="009D0B73"/>
    <w:rsid w:val="009D0F1A"/>
    <w:rsid w:val="009D0FBA"/>
    <w:rsid w:val="009D10EE"/>
    <w:rsid w:val="009D149C"/>
    <w:rsid w:val="009D19D3"/>
    <w:rsid w:val="009D1AA6"/>
    <w:rsid w:val="009D1F28"/>
    <w:rsid w:val="009D210B"/>
    <w:rsid w:val="009D2356"/>
    <w:rsid w:val="009D24D2"/>
    <w:rsid w:val="009D262B"/>
    <w:rsid w:val="009D2734"/>
    <w:rsid w:val="009D278A"/>
    <w:rsid w:val="009D27EF"/>
    <w:rsid w:val="009D2842"/>
    <w:rsid w:val="009D2BAA"/>
    <w:rsid w:val="009D2FC1"/>
    <w:rsid w:val="009D309B"/>
    <w:rsid w:val="009D3404"/>
    <w:rsid w:val="009D35A4"/>
    <w:rsid w:val="009D37B1"/>
    <w:rsid w:val="009D37C0"/>
    <w:rsid w:val="009D3C5D"/>
    <w:rsid w:val="009D3F6D"/>
    <w:rsid w:val="009D40B7"/>
    <w:rsid w:val="009D40CD"/>
    <w:rsid w:val="009D4320"/>
    <w:rsid w:val="009D45D8"/>
    <w:rsid w:val="009D4650"/>
    <w:rsid w:val="009D478B"/>
    <w:rsid w:val="009D4A82"/>
    <w:rsid w:val="009D4E23"/>
    <w:rsid w:val="009D62FD"/>
    <w:rsid w:val="009D63B1"/>
    <w:rsid w:val="009D67E8"/>
    <w:rsid w:val="009D6B88"/>
    <w:rsid w:val="009D6E2E"/>
    <w:rsid w:val="009D6E77"/>
    <w:rsid w:val="009D6FD4"/>
    <w:rsid w:val="009D7247"/>
    <w:rsid w:val="009D741C"/>
    <w:rsid w:val="009D744A"/>
    <w:rsid w:val="009D7478"/>
    <w:rsid w:val="009D74B6"/>
    <w:rsid w:val="009D77D1"/>
    <w:rsid w:val="009D7D64"/>
    <w:rsid w:val="009D7DCD"/>
    <w:rsid w:val="009D7E8B"/>
    <w:rsid w:val="009D7F0B"/>
    <w:rsid w:val="009E00A5"/>
    <w:rsid w:val="009E0461"/>
    <w:rsid w:val="009E0FDF"/>
    <w:rsid w:val="009E1071"/>
    <w:rsid w:val="009E10AF"/>
    <w:rsid w:val="009E133F"/>
    <w:rsid w:val="009E1AE7"/>
    <w:rsid w:val="009E1EE9"/>
    <w:rsid w:val="009E2290"/>
    <w:rsid w:val="009E23DD"/>
    <w:rsid w:val="009E246B"/>
    <w:rsid w:val="009E281E"/>
    <w:rsid w:val="009E2C24"/>
    <w:rsid w:val="009E2D09"/>
    <w:rsid w:val="009E2EA6"/>
    <w:rsid w:val="009E341A"/>
    <w:rsid w:val="009E3474"/>
    <w:rsid w:val="009E357C"/>
    <w:rsid w:val="009E3707"/>
    <w:rsid w:val="009E3936"/>
    <w:rsid w:val="009E3A99"/>
    <w:rsid w:val="009E3C04"/>
    <w:rsid w:val="009E3C2C"/>
    <w:rsid w:val="009E3CB5"/>
    <w:rsid w:val="009E3ED0"/>
    <w:rsid w:val="009E45A8"/>
    <w:rsid w:val="009E4B02"/>
    <w:rsid w:val="009E4B2C"/>
    <w:rsid w:val="009E526A"/>
    <w:rsid w:val="009E5367"/>
    <w:rsid w:val="009E55F4"/>
    <w:rsid w:val="009E5C34"/>
    <w:rsid w:val="009E5E40"/>
    <w:rsid w:val="009E5E42"/>
    <w:rsid w:val="009E5F1F"/>
    <w:rsid w:val="009E6174"/>
    <w:rsid w:val="009E66D2"/>
    <w:rsid w:val="009E66FA"/>
    <w:rsid w:val="009E6790"/>
    <w:rsid w:val="009E67AE"/>
    <w:rsid w:val="009E6CDD"/>
    <w:rsid w:val="009E71AC"/>
    <w:rsid w:val="009E752E"/>
    <w:rsid w:val="009E77B7"/>
    <w:rsid w:val="009E7877"/>
    <w:rsid w:val="009E79FC"/>
    <w:rsid w:val="009E7BCA"/>
    <w:rsid w:val="009E7C21"/>
    <w:rsid w:val="009E7DB0"/>
    <w:rsid w:val="009F00F8"/>
    <w:rsid w:val="009F0207"/>
    <w:rsid w:val="009F04E8"/>
    <w:rsid w:val="009F099F"/>
    <w:rsid w:val="009F0BA4"/>
    <w:rsid w:val="009F0CD7"/>
    <w:rsid w:val="009F0F8A"/>
    <w:rsid w:val="009F12D7"/>
    <w:rsid w:val="009F17C7"/>
    <w:rsid w:val="009F1A5C"/>
    <w:rsid w:val="009F1B1A"/>
    <w:rsid w:val="009F1E02"/>
    <w:rsid w:val="009F24B0"/>
    <w:rsid w:val="009F24E6"/>
    <w:rsid w:val="009F29BC"/>
    <w:rsid w:val="009F29D4"/>
    <w:rsid w:val="009F2EC9"/>
    <w:rsid w:val="009F3354"/>
    <w:rsid w:val="009F343B"/>
    <w:rsid w:val="009F3451"/>
    <w:rsid w:val="009F3944"/>
    <w:rsid w:val="009F3A1F"/>
    <w:rsid w:val="009F3A5D"/>
    <w:rsid w:val="009F3BF1"/>
    <w:rsid w:val="009F3D3E"/>
    <w:rsid w:val="009F3F35"/>
    <w:rsid w:val="009F40B3"/>
    <w:rsid w:val="009F45DB"/>
    <w:rsid w:val="009F4744"/>
    <w:rsid w:val="009F4C80"/>
    <w:rsid w:val="009F4E1D"/>
    <w:rsid w:val="009F4F33"/>
    <w:rsid w:val="009F500A"/>
    <w:rsid w:val="009F51E4"/>
    <w:rsid w:val="009F53E4"/>
    <w:rsid w:val="009F591F"/>
    <w:rsid w:val="009F5BA3"/>
    <w:rsid w:val="009F5D30"/>
    <w:rsid w:val="009F5E28"/>
    <w:rsid w:val="009F5FBD"/>
    <w:rsid w:val="009F6011"/>
    <w:rsid w:val="009F62BD"/>
    <w:rsid w:val="009F655C"/>
    <w:rsid w:val="009F656D"/>
    <w:rsid w:val="009F6701"/>
    <w:rsid w:val="009F69C9"/>
    <w:rsid w:val="009F6D0E"/>
    <w:rsid w:val="009F6DDA"/>
    <w:rsid w:val="009F6FB3"/>
    <w:rsid w:val="009F70AE"/>
    <w:rsid w:val="009F741E"/>
    <w:rsid w:val="009F75B3"/>
    <w:rsid w:val="009F7B66"/>
    <w:rsid w:val="009F7BF9"/>
    <w:rsid w:val="009F7C39"/>
    <w:rsid w:val="009F7DD8"/>
    <w:rsid w:val="009F7DE7"/>
    <w:rsid w:val="009F7E13"/>
    <w:rsid w:val="00A00060"/>
    <w:rsid w:val="00A00080"/>
    <w:rsid w:val="00A002D1"/>
    <w:rsid w:val="00A00473"/>
    <w:rsid w:val="00A0058C"/>
    <w:rsid w:val="00A005A8"/>
    <w:rsid w:val="00A00664"/>
    <w:rsid w:val="00A01083"/>
    <w:rsid w:val="00A010DF"/>
    <w:rsid w:val="00A0115D"/>
    <w:rsid w:val="00A0115E"/>
    <w:rsid w:val="00A011F7"/>
    <w:rsid w:val="00A01209"/>
    <w:rsid w:val="00A0165F"/>
    <w:rsid w:val="00A01828"/>
    <w:rsid w:val="00A019ED"/>
    <w:rsid w:val="00A01BE6"/>
    <w:rsid w:val="00A01E79"/>
    <w:rsid w:val="00A02112"/>
    <w:rsid w:val="00A0236A"/>
    <w:rsid w:val="00A029E9"/>
    <w:rsid w:val="00A02BE3"/>
    <w:rsid w:val="00A02CFA"/>
    <w:rsid w:val="00A02DDD"/>
    <w:rsid w:val="00A03308"/>
    <w:rsid w:val="00A03425"/>
    <w:rsid w:val="00A034B5"/>
    <w:rsid w:val="00A037A8"/>
    <w:rsid w:val="00A038E4"/>
    <w:rsid w:val="00A03996"/>
    <w:rsid w:val="00A03A8C"/>
    <w:rsid w:val="00A03DDC"/>
    <w:rsid w:val="00A03EDE"/>
    <w:rsid w:val="00A040D7"/>
    <w:rsid w:val="00A0478D"/>
    <w:rsid w:val="00A04BD1"/>
    <w:rsid w:val="00A04D3A"/>
    <w:rsid w:val="00A04FA5"/>
    <w:rsid w:val="00A0556C"/>
    <w:rsid w:val="00A05F8B"/>
    <w:rsid w:val="00A06552"/>
    <w:rsid w:val="00A06FD7"/>
    <w:rsid w:val="00A07198"/>
    <w:rsid w:val="00A071AF"/>
    <w:rsid w:val="00A073BD"/>
    <w:rsid w:val="00A074A3"/>
    <w:rsid w:val="00A07550"/>
    <w:rsid w:val="00A0768C"/>
    <w:rsid w:val="00A0786F"/>
    <w:rsid w:val="00A07B99"/>
    <w:rsid w:val="00A07D7F"/>
    <w:rsid w:val="00A07DF8"/>
    <w:rsid w:val="00A07F0D"/>
    <w:rsid w:val="00A1019B"/>
    <w:rsid w:val="00A10260"/>
    <w:rsid w:val="00A10521"/>
    <w:rsid w:val="00A10589"/>
    <w:rsid w:val="00A1066D"/>
    <w:rsid w:val="00A10684"/>
    <w:rsid w:val="00A109F3"/>
    <w:rsid w:val="00A10A49"/>
    <w:rsid w:val="00A10B41"/>
    <w:rsid w:val="00A10E82"/>
    <w:rsid w:val="00A1107B"/>
    <w:rsid w:val="00A11424"/>
    <w:rsid w:val="00A11596"/>
    <w:rsid w:val="00A115B3"/>
    <w:rsid w:val="00A1173F"/>
    <w:rsid w:val="00A117D7"/>
    <w:rsid w:val="00A11C83"/>
    <w:rsid w:val="00A11D2E"/>
    <w:rsid w:val="00A11ECD"/>
    <w:rsid w:val="00A120E0"/>
    <w:rsid w:val="00A1233E"/>
    <w:rsid w:val="00A12434"/>
    <w:rsid w:val="00A12529"/>
    <w:rsid w:val="00A125C5"/>
    <w:rsid w:val="00A12678"/>
    <w:rsid w:val="00A128E3"/>
    <w:rsid w:val="00A12995"/>
    <w:rsid w:val="00A12A01"/>
    <w:rsid w:val="00A12E04"/>
    <w:rsid w:val="00A12E3D"/>
    <w:rsid w:val="00A12F12"/>
    <w:rsid w:val="00A12F5B"/>
    <w:rsid w:val="00A13187"/>
    <w:rsid w:val="00A1329C"/>
    <w:rsid w:val="00A13671"/>
    <w:rsid w:val="00A137E9"/>
    <w:rsid w:val="00A13D67"/>
    <w:rsid w:val="00A13DDC"/>
    <w:rsid w:val="00A13E82"/>
    <w:rsid w:val="00A13F14"/>
    <w:rsid w:val="00A13F9A"/>
    <w:rsid w:val="00A14936"/>
    <w:rsid w:val="00A14BB1"/>
    <w:rsid w:val="00A14DCC"/>
    <w:rsid w:val="00A151D0"/>
    <w:rsid w:val="00A15214"/>
    <w:rsid w:val="00A155CE"/>
    <w:rsid w:val="00A159A6"/>
    <w:rsid w:val="00A15E64"/>
    <w:rsid w:val="00A15E81"/>
    <w:rsid w:val="00A161A5"/>
    <w:rsid w:val="00A16750"/>
    <w:rsid w:val="00A168A3"/>
    <w:rsid w:val="00A1699A"/>
    <w:rsid w:val="00A16C04"/>
    <w:rsid w:val="00A173DA"/>
    <w:rsid w:val="00A17739"/>
    <w:rsid w:val="00A1792C"/>
    <w:rsid w:val="00A2009D"/>
    <w:rsid w:val="00A20205"/>
    <w:rsid w:val="00A203E6"/>
    <w:rsid w:val="00A2085E"/>
    <w:rsid w:val="00A209AF"/>
    <w:rsid w:val="00A20AC0"/>
    <w:rsid w:val="00A20AD1"/>
    <w:rsid w:val="00A20BDF"/>
    <w:rsid w:val="00A20F54"/>
    <w:rsid w:val="00A211F5"/>
    <w:rsid w:val="00A2140C"/>
    <w:rsid w:val="00A21D41"/>
    <w:rsid w:val="00A21F49"/>
    <w:rsid w:val="00A22214"/>
    <w:rsid w:val="00A22493"/>
    <w:rsid w:val="00A22AB8"/>
    <w:rsid w:val="00A23045"/>
    <w:rsid w:val="00A231EE"/>
    <w:rsid w:val="00A2364F"/>
    <w:rsid w:val="00A23945"/>
    <w:rsid w:val="00A23D27"/>
    <w:rsid w:val="00A241A8"/>
    <w:rsid w:val="00A241D6"/>
    <w:rsid w:val="00A2434A"/>
    <w:rsid w:val="00A24445"/>
    <w:rsid w:val="00A246BF"/>
    <w:rsid w:val="00A24984"/>
    <w:rsid w:val="00A24ADA"/>
    <w:rsid w:val="00A24D3B"/>
    <w:rsid w:val="00A24E7B"/>
    <w:rsid w:val="00A24F14"/>
    <w:rsid w:val="00A25475"/>
    <w:rsid w:val="00A25490"/>
    <w:rsid w:val="00A254D2"/>
    <w:rsid w:val="00A25ACD"/>
    <w:rsid w:val="00A25E38"/>
    <w:rsid w:val="00A25E63"/>
    <w:rsid w:val="00A261DB"/>
    <w:rsid w:val="00A266C1"/>
    <w:rsid w:val="00A266E3"/>
    <w:rsid w:val="00A26D31"/>
    <w:rsid w:val="00A26DBE"/>
    <w:rsid w:val="00A270BD"/>
    <w:rsid w:val="00A27362"/>
    <w:rsid w:val="00A275A2"/>
    <w:rsid w:val="00A27647"/>
    <w:rsid w:val="00A27A4D"/>
    <w:rsid w:val="00A27C99"/>
    <w:rsid w:val="00A27F9B"/>
    <w:rsid w:val="00A27FD3"/>
    <w:rsid w:val="00A30136"/>
    <w:rsid w:val="00A3024E"/>
    <w:rsid w:val="00A30276"/>
    <w:rsid w:val="00A30487"/>
    <w:rsid w:val="00A30822"/>
    <w:rsid w:val="00A30985"/>
    <w:rsid w:val="00A30A54"/>
    <w:rsid w:val="00A30B2C"/>
    <w:rsid w:val="00A30DE4"/>
    <w:rsid w:val="00A30E86"/>
    <w:rsid w:val="00A30EE7"/>
    <w:rsid w:val="00A3149B"/>
    <w:rsid w:val="00A314E4"/>
    <w:rsid w:val="00A31C40"/>
    <w:rsid w:val="00A31E9B"/>
    <w:rsid w:val="00A31F76"/>
    <w:rsid w:val="00A323FE"/>
    <w:rsid w:val="00A3245D"/>
    <w:rsid w:val="00A32526"/>
    <w:rsid w:val="00A325E9"/>
    <w:rsid w:val="00A325F1"/>
    <w:rsid w:val="00A3295A"/>
    <w:rsid w:val="00A32ABD"/>
    <w:rsid w:val="00A32EA3"/>
    <w:rsid w:val="00A330D3"/>
    <w:rsid w:val="00A33BE5"/>
    <w:rsid w:val="00A34383"/>
    <w:rsid w:val="00A343B8"/>
    <w:rsid w:val="00A343FA"/>
    <w:rsid w:val="00A345BA"/>
    <w:rsid w:val="00A346A1"/>
    <w:rsid w:val="00A3484A"/>
    <w:rsid w:val="00A348A5"/>
    <w:rsid w:val="00A348E9"/>
    <w:rsid w:val="00A34BC4"/>
    <w:rsid w:val="00A34F7A"/>
    <w:rsid w:val="00A34F82"/>
    <w:rsid w:val="00A35143"/>
    <w:rsid w:val="00A35242"/>
    <w:rsid w:val="00A353E2"/>
    <w:rsid w:val="00A355BE"/>
    <w:rsid w:val="00A356FE"/>
    <w:rsid w:val="00A3581E"/>
    <w:rsid w:val="00A35828"/>
    <w:rsid w:val="00A35936"/>
    <w:rsid w:val="00A35BD2"/>
    <w:rsid w:val="00A35FAA"/>
    <w:rsid w:val="00A35FBB"/>
    <w:rsid w:val="00A36269"/>
    <w:rsid w:val="00A36633"/>
    <w:rsid w:val="00A36699"/>
    <w:rsid w:val="00A366DD"/>
    <w:rsid w:val="00A366EE"/>
    <w:rsid w:val="00A367A7"/>
    <w:rsid w:val="00A36877"/>
    <w:rsid w:val="00A3688B"/>
    <w:rsid w:val="00A369EF"/>
    <w:rsid w:val="00A36F51"/>
    <w:rsid w:val="00A36FFE"/>
    <w:rsid w:val="00A371E0"/>
    <w:rsid w:val="00A371E4"/>
    <w:rsid w:val="00A37263"/>
    <w:rsid w:val="00A3772D"/>
    <w:rsid w:val="00A377A4"/>
    <w:rsid w:val="00A37A36"/>
    <w:rsid w:val="00A37BDA"/>
    <w:rsid w:val="00A37CBD"/>
    <w:rsid w:val="00A37D48"/>
    <w:rsid w:val="00A37D90"/>
    <w:rsid w:val="00A402F8"/>
    <w:rsid w:val="00A4033E"/>
    <w:rsid w:val="00A40A08"/>
    <w:rsid w:val="00A40B65"/>
    <w:rsid w:val="00A40E3D"/>
    <w:rsid w:val="00A40FA5"/>
    <w:rsid w:val="00A41266"/>
    <w:rsid w:val="00A4138C"/>
    <w:rsid w:val="00A41713"/>
    <w:rsid w:val="00A41870"/>
    <w:rsid w:val="00A4207D"/>
    <w:rsid w:val="00A4237C"/>
    <w:rsid w:val="00A42909"/>
    <w:rsid w:val="00A42A2E"/>
    <w:rsid w:val="00A42DDB"/>
    <w:rsid w:val="00A42E64"/>
    <w:rsid w:val="00A43023"/>
    <w:rsid w:val="00A433AD"/>
    <w:rsid w:val="00A4365D"/>
    <w:rsid w:val="00A43842"/>
    <w:rsid w:val="00A438D5"/>
    <w:rsid w:val="00A43941"/>
    <w:rsid w:val="00A43C97"/>
    <w:rsid w:val="00A43D25"/>
    <w:rsid w:val="00A43D47"/>
    <w:rsid w:val="00A44374"/>
    <w:rsid w:val="00A44452"/>
    <w:rsid w:val="00A45123"/>
    <w:rsid w:val="00A4512E"/>
    <w:rsid w:val="00A45581"/>
    <w:rsid w:val="00A457FE"/>
    <w:rsid w:val="00A45985"/>
    <w:rsid w:val="00A45D5F"/>
    <w:rsid w:val="00A45EE0"/>
    <w:rsid w:val="00A46042"/>
    <w:rsid w:val="00A4637B"/>
    <w:rsid w:val="00A4655D"/>
    <w:rsid w:val="00A4674A"/>
    <w:rsid w:val="00A4674E"/>
    <w:rsid w:val="00A468B7"/>
    <w:rsid w:val="00A46C55"/>
    <w:rsid w:val="00A46DAA"/>
    <w:rsid w:val="00A46DDC"/>
    <w:rsid w:val="00A46E54"/>
    <w:rsid w:val="00A471E0"/>
    <w:rsid w:val="00A4731C"/>
    <w:rsid w:val="00A47728"/>
    <w:rsid w:val="00A47B34"/>
    <w:rsid w:val="00A50104"/>
    <w:rsid w:val="00A5029B"/>
    <w:rsid w:val="00A503B3"/>
    <w:rsid w:val="00A5089A"/>
    <w:rsid w:val="00A509BF"/>
    <w:rsid w:val="00A50A27"/>
    <w:rsid w:val="00A50CC8"/>
    <w:rsid w:val="00A50EE2"/>
    <w:rsid w:val="00A50F97"/>
    <w:rsid w:val="00A5119F"/>
    <w:rsid w:val="00A511A6"/>
    <w:rsid w:val="00A51338"/>
    <w:rsid w:val="00A514A7"/>
    <w:rsid w:val="00A515C7"/>
    <w:rsid w:val="00A516F7"/>
    <w:rsid w:val="00A516F9"/>
    <w:rsid w:val="00A51CBA"/>
    <w:rsid w:val="00A520B5"/>
    <w:rsid w:val="00A52160"/>
    <w:rsid w:val="00A5236E"/>
    <w:rsid w:val="00A524C7"/>
    <w:rsid w:val="00A5252B"/>
    <w:rsid w:val="00A529F1"/>
    <w:rsid w:val="00A53053"/>
    <w:rsid w:val="00A533C2"/>
    <w:rsid w:val="00A533CB"/>
    <w:rsid w:val="00A53676"/>
    <w:rsid w:val="00A536D2"/>
    <w:rsid w:val="00A539BA"/>
    <w:rsid w:val="00A53BE3"/>
    <w:rsid w:val="00A53C05"/>
    <w:rsid w:val="00A54316"/>
    <w:rsid w:val="00A54490"/>
    <w:rsid w:val="00A54713"/>
    <w:rsid w:val="00A54ADE"/>
    <w:rsid w:val="00A54B95"/>
    <w:rsid w:val="00A54DB4"/>
    <w:rsid w:val="00A55053"/>
    <w:rsid w:val="00A55307"/>
    <w:rsid w:val="00A55921"/>
    <w:rsid w:val="00A55A8F"/>
    <w:rsid w:val="00A55CD7"/>
    <w:rsid w:val="00A56073"/>
    <w:rsid w:val="00A5627D"/>
    <w:rsid w:val="00A5683D"/>
    <w:rsid w:val="00A56CE7"/>
    <w:rsid w:val="00A56E22"/>
    <w:rsid w:val="00A56ECD"/>
    <w:rsid w:val="00A56FCF"/>
    <w:rsid w:val="00A5704F"/>
    <w:rsid w:val="00A57182"/>
    <w:rsid w:val="00A57206"/>
    <w:rsid w:val="00A57323"/>
    <w:rsid w:val="00A575F1"/>
    <w:rsid w:val="00A57ACC"/>
    <w:rsid w:val="00A57BFB"/>
    <w:rsid w:val="00A57CCB"/>
    <w:rsid w:val="00A60329"/>
    <w:rsid w:val="00A603BF"/>
    <w:rsid w:val="00A60A49"/>
    <w:rsid w:val="00A60F7E"/>
    <w:rsid w:val="00A61230"/>
    <w:rsid w:val="00A612B4"/>
    <w:rsid w:val="00A61371"/>
    <w:rsid w:val="00A613D4"/>
    <w:rsid w:val="00A617DA"/>
    <w:rsid w:val="00A61955"/>
    <w:rsid w:val="00A61AF5"/>
    <w:rsid w:val="00A61CEB"/>
    <w:rsid w:val="00A61F4C"/>
    <w:rsid w:val="00A6233D"/>
    <w:rsid w:val="00A62839"/>
    <w:rsid w:val="00A62979"/>
    <w:rsid w:val="00A62A1F"/>
    <w:rsid w:val="00A62EDF"/>
    <w:rsid w:val="00A62F10"/>
    <w:rsid w:val="00A6304F"/>
    <w:rsid w:val="00A6367B"/>
    <w:rsid w:val="00A63973"/>
    <w:rsid w:val="00A63CBD"/>
    <w:rsid w:val="00A63CCF"/>
    <w:rsid w:val="00A63ECA"/>
    <w:rsid w:val="00A63F18"/>
    <w:rsid w:val="00A63FBA"/>
    <w:rsid w:val="00A6401A"/>
    <w:rsid w:val="00A641FE"/>
    <w:rsid w:val="00A6433B"/>
    <w:rsid w:val="00A643CE"/>
    <w:rsid w:val="00A64435"/>
    <w:rsid w:val="00A6474C"/>
    <w:rsid w:val="00A64BA6"/>
    <w:rsid w:val="00A64BC3"/>
    <w:rsid w:val="00A64CA6"/>
    <w:rsid w:val="00A64CB3"/>
    <w:rsid w:val="00A64CE0"/>
    <w:rsid w:val="00A64E3C"/>
    <w:rsid w:val="00A64E91"/>
    <w:rsid w:val="00A65111"/>
    <w:rsid w:val="00A65134"/>
    <w:rsid w:val="00A65182"/>
    <w:rsid w:val="00A65265"/>
    <w:rsid w:val="00A65715"/>
    <w:rsid w:val="00A65910"/>
    <w:rsid w:val="00A65B84"/>
    <w:rsid w:val="00A65C61"/>
    <w:rsid w:val="00A65DC9"/>
    <w:rsid w:val="00A65ED4"/>
    <w:rsid w:val="00A65F37"/>
    <w:rsid w:val="00A6606E"/>
    <w:rsid w:val="00A6607C"/>
    <w:rsid w:val="00A667F2"/>
    <w:rsid w:val="00A66DB2"/>
    <w:rsid w:val="00A66DEA"/>
    <w:rsid w:val="00A675B6"/>
    <w:rsid w:val="00A67659"/>
    <w:rsid w:val="00A678A8"/>
    <w:rsid w:val="00A678D2"/>
    <w:rsid w:val="00A67F3A"/>
    <w:rsid w:val="00A70014"/>
    <w:rsid w:val="00A7008C"/>
    <w:rsid w:val="00A70358"/>
    <w:rsid w:val="00A70590"/>
    <w:rsid w:val="00A70613"/>
    <w:rsid w:val="00A7077B"/>
    <w:rsid w:val="00A70B8F"/>
    <w:rsid w:val="00A714CE"/>
    <w:rsid w:val="00A7171B"/>
    <w:rsid w:val="00A71733"/>
    <w:rsid w:val="00A71B1C"/>
    <w:rsid w:val="00A71D63"/>
    <w:rsid w:val="00A71E2E"/>
    <w:rsid w:val="00A72000"/>
    <w:rsid w:val="00A72495"/>
    <w:rsid w:val="00A72890"/>
    <w:rsid w:val="00A72A24"/>
    <w:rsid w:val="00A72B43"/>
    <w:rsid w:val="00A72CED"/>
    <w:rsid w:val="00A72CF7"/>
    <w:rsid w:val="00A72E76"/>
    <w:rsid w:val="00A73BB8"/>
    <w:rsid w:val="00A73C8A"/>
    <w:rsid w:val="00A73E2E"/>
    <w:rsid w:val="00A74AF4"/>
    <w:rsid w:val="00A74B65"/>
    <w:rsid w:val="00A74C98"/>
    <w:rsid w:val="00A74F3A"/>
    <w:rsid w:val="00A753B9"/>
    <w:rsid w:val="00A75429"/>
    <w:rsid w:val="00A75507"/>
    <w:rsid w:val="00A755CB"/>
    <w:rsid w:val="00A7560E"/>
    <w:rsid w:val="00A756A3"/>
    <w:rsid w:val="00A75909"/>
    <w:rsid w:val="00A75A09"/>
    <w:rsid w:val="00A75C8C"/>
    <w:rsid w:val="00A7604A"/>
    <w:rsid w:val="00A76189"/>
    <w:rsid w:val="00A762BB"/>
    <w:rsid w:val="00A7636F"/>
    <w:rsid w:val="00A768CD"/>
    <w:rsid w:val="00A7694F"/>
    <w:rsid w:val="00A76B02"/>
    <w:rsid w:val="00A76B8E"/>
    <w:rsid w:val="00A76BEE"/>
    <w:rsid w:val="00A76EFA"/>
    <w:rsid w:val="00A7705B"/>
    <w:rsid w:val="00A77278"/>
    <w:rsid w:val="00A77475"/>
    <w:rsid w:val="00A775B7"/>
    <w:rsid w:val="00A7775D"/>
    <w:rsid w:val="00A77946"/>
    <w:rsid w:val="00A77953"/>
    <w:rsid w:val="00A77D2F"/>
    <w:rsid w:val="00A77DAF"/>
    <w:rsid w:val="00A77E19"/>
    <w:rsid w:val="00A80016"/>
    <w:rsid w:val="00A800BD"/>
    <w:rsid w:val="00A80401"/>
    <w:rsid w:val="00A805EA"/>
    <w:rsid w:val="00A8085E"/>
    <w:rsid w:val="00A80DB8"/>
    <w:rsid w:val="00A80E59"/>
    <w:rsid w:val="00A813D2"/>
    <w:rsid w:val="00A8143A"/>
    <w:rsid w:val="00A81609"/>
    <w:rsid w:val="00A81804"/>
    <w:rsid w:val="00A81860"/>
    <w:rsid w:val="00A818FD"/>
    <w:rsid w:val="00A81905"/>
    <w:rsid w:val="00A81930"/>
    <w:rsid w:val="00A8195C"/>
    <w:rsid w:val="00A81C35"/>
    <w:rsid w:val="00A821E5"/>
    <w:rsid w:val="00A82443"/>
    <w:rsid w:val="00A825C4"/>
    <w:rsid w:val="00A82820"/>
    <w:rsid w:val="00A8292A"/>
    <w:rsid w:val="00A829A6"/>
    <w:rsid w:val="00A82AE0"/>
    <w:rsid w:val="00A82B4A"/>
    <w:rsid w:val="00A82B7D"/>
    <w:rsid w:val="00A82DF0"/>
    <w:rsid w:val="00A82E57"/>
    <w:rsid w:val="00A82F3F"/>
    <w:rsid w:val="00A8390E"/>
    <w:rsid w:val="00A83952"/>
    <w:rsid w:val="00A83E41"/>
    <w:rsid w:val="00A83FAB"/>
    <w:rsid w:val="00A840DD"/>
    <w:rsid w:val="00A8467E"/>
    <w:rsid w:val="00A849DC"/>
    <w:rsid w:val="00A84A0F"/>
    <w:rsid w:val="00A84A64"/>
    <w:rsid w:val="00A84CB5"/>
    <w:rsid w:val="00A84F6C"/>
    <w:rsid w:val="00A85055"/>
    <w:rsid w:val="00A85186"/>
    <w:rsid w:val="00A85326"/>
    <w:rsid w:val="00A853F1"/>
    <w:rsid w:val="00A85D0A"/>
    <w:rsid w:val="00A86642"/>
    <w:rsid w:val="00A8692A"/>
    <w:rsid w:val="00A86F07"/>
    <w:rsid w:val="00A876F0"/>
    <w:rsid w:val="00A877D2"/>
    <w:rsid w:val="00A87947"/>
    <w:rsid w:val="00A879B5"/>
    <w:rsid w:val="00A87C6D"/>
    <w:rsid w:val="00A87CBC"/>
    <w:rsid w:val="00A87D93"/>
    <w:rsid w:val="00A87F4C"/>
    <w:rsid w:val="00A87FC8"/>
    <w:rsid w:val="00A9001C"/>
    <w:rsid w:val="00A9009C"/>
    <w:rsid w:val="00A90102"/>
    <w:rsid w:val="00A90222"/>
    <w:rsid w:val="00A906B9"/>
    <w:rsid w:val="00A90934"/>
    <w:rsid w:val="00A90AD5"/>
    <w:rsid w:val="00A90BA9"/>
    <w:rsid w:val="00A90F44"/>
    <w:rsid w:val="00A91077"/>
    <w:rsid w:val="00A91502"/>
    <w:rsid w:val="00A9158A"/>
    <w:rsid w:val="00A9169A"/>
    <w:rsid w:val="00A9172A"/>
    <w:rsid w:val="00A917A7"/>
    <w:rsid w:val="00A917FD"/>
    <w:rsid w:val="00A91845"/>
    <w:rsid w:val="00A91CA0"/>
    <w:rsid w:val="00A921E5"/>
    <w:rsid w:val="00A92273"/>
    <w:rsid w:val="00A922A6"/>
    <w:rsid w:val="00A9230B"/>
    <w:rsid w:val="00A92402"/>
    <w:rsid w:val="00A92435"/>
    <w:rsid w:val="00A929DE"/>
    <w:rsid w:val="00A92A04"/>
    <w:rsid w:val="00A92C92"/>
    <w:rsid w:val="00A92E75"/>
    <w:rsid w:val="00A92F56"/>
    <w:rsid w:val="00A930C0"/>
    <w:rsid w:val="00A9328C"/>
    <w:rsid w:val="00A9340E"/>
    <w:rsid w:val="00A93EAD"/>
    <w:rsid w:val="00A941AD"/>
    <w:rsid w:val="00A94746"/>
    <w:rsid w:val="00A948BB"/>
    <w:rsid w:val="00A948C5"/>
    <w:rsid w:val="00A94B11"/>
    <w:rsid w:val="00A94B41"/>
    <w:rsid w:val="00A94BC1"/>
    <w:rsid w:val="00A94C87"/>
    <w:rsid w:val="00A94D40"/>
    <w:rsid w:val="00A94D81"/>
    <w:rsid w:val="00A954CB"/>
    <w:rsid w:val="00A954EF"/>
    <w:rsid w:val="00A954F3"/>
    <w:rsid w:val="00A957C4"/>
    <w:rsid w:val="00A9596E"/>
    <w:rsid w:val="00A959C3"/>
    <w:rsid w:val="00A95B2C"/>
    <w:rsid w:val="00A95BB5"/>
    <w:rsid w:val="00A95FB6"/>
    <w:rsid w:val="00A9609D"/>
    <w:rsid w:val="00A961BF"/>
    <w:rsid w:val="00A963B2"/>
    <w:rsid w:val="00A963BF"/>
    <w:rsid w:val="00A96407"/>
    <w:rsid w:val="00A96484"/>
    <w:rsid w:val="00A969AA"/>
    <w:rsid w:val="00A96F79"/>
    <w:rsid w:val="00A972AB"/>
    <w:rsid w:val="00A973BF"/>
    <w:rsid w:val="00A97609"/>
    <w:rsid w:val="00A976CA"/>
    <w:rsid w:val="00A97765"/>
    <w:rsid w:val="00A97924"/>
    <w:rsid w:val="00A97A1F"/>
    <w:rsid w:val="00A97B2F"/>
    <w:rsid w:val="00A97D79"/>
    <w:rsid w:val="00A97D93"/>
    <w:rsid w:val="00AA02F8"/>
    <w:rsid w:val="00AA07DB"/>
    <w:rsid w:val="00AA08DF"/>
    <w:rsid w:val="00AA0904"/>
    <w:rsid w:val="00AA09B4"/>
    <w:rsid w:val="00AA115F"/>
    <w:rsid w:val="00AA11AC"/>
    <w:rsid w:val="00AA1201"/>
    <w:rsid w:val="00AA14A2"/>
    <w:rsid w:val="00AA1972"/>
    <w:rsid w:val="00AA1B0F"/>
    <w:rsid w:val="00AA1CCA"/>
    <w:rsid w:val="00AA1D3D"/>
    <w:rsid w:val="00AA1DF6"/>
    <w:rsid w:val="00AA1FD5"/>
    <w:rsid w:val="00AA2049"/>
    <w:rsid w:val="00AA274B"/>
    <w:rsid w:val="00AA298A"/>
    <w:rsid w:val="00AA2A4D"/>
    <w:rsid w:val="00AA2AA3"/>
    <w:rsid w:val="00AA2BBA"/>
    <w:rsid w:val="00AA2C26"/>
    <w:rsid w:val="00AA2CFC"/>
    <w:rsid w:val="00AA2D4A"/>
    <w:rsid w:val="00AA309A"/>
    <w:rsid w:val="00AA3A7B"/>
    <w:rsid w:val="00AA3C95"/>
    <w:rsid w:val="00AA3D58"/>
    <w:rsid w:val="00AA3DB0"/>
    <w:rsid w:val="00AA3FF3"/>
    <w:rsid w:val="00AA40CA"/>
    <w:rsid w:val="00AA41AC"/>
    <w:rsid w:val="00AA4520"/>
    <w:rsid w:val="00AA495B"/>
    <w:rsid w:val="00AA4A75"/>
    <w:rsid w:val="00AA4BDF"/>
    <w:rsid w:val="00AA51C3"/>
    <w:rsid w:val="00AA5631"/>
    <w:rsid w:val="00AA59E5"/>
    <w:rsid w:val="00AA5A63"/>
    <w:rsid w:val="00AA5A78"/>
    <w:rsid w:val="00AA5DA2"/>
    <w:rsid w:val="00AA5DDA"/>
    <w:rsid w:val="00AA5F6C"/>
    <w:rsid w:val="00AA6097"/>
    <w:rsid w:val="00AA62A1"/>
    <w:rsid w:val="00AA63F3"/>
    <w:rsid w:val="00AA6545"/>
    <w:rsid w:val="00AA658E"/>
    <w:rsid w:val="00AA65BA"/>
    <w:rsid w:val="00AA6BF6"/>
    <w:rsid w:val="00AA722C"/>
    <w:rsid w:val="00AA725C"/>
    <w:rsid w:val="00AA72CC"/>
    <w:rsid w:val="00AA7576"/>
    <w:rsid w:val="00AA7631"/>
    <w:rsid w:val="00AA77F9"/>
    <w:rsid w:val="00AA7B5E"/>
    <w:rsid w:val="00AA7C21"/>
    <w:rsid w:val="00AA7C6C"/>
    <w:rsid w:val="00AB0117"/>
    <w:rsid w:val="00AB03F3"/>
    <w:rsid w:val="00AB047A"/>
    <w:rsid w:val="00AB04D8"/>
    <w:rsid w:val="00AB0504"/>
    <w:rsid w:val="00AB086F"/>
    <w:rsid w:val="00AB0988"/>
    <w:rsid w:val="00AB11BF"/>
    <w:rsid w:val="00AB182E"/>
    <w:rsid w:val="00AB18E1"/>
    <w:rsid w:val="00AB19E8"/>
    <w:rsid w:val="00AB1CB9"/>
    <w:rsid w:val="00AB1FBE"/>
    <w:rsid w:val="00AB2218"/>
    <w:rsid w:val="00AB2557"/>
    <w:rsid w:val="00AB2700"/>
    <w:rsid w:val="00AB2856"/>
    <w:rsid w:val="00AB28B9"/>
    <w:rsid w:val="00AB294B"/>
    <w:rsid w:val="00AB29DD"/>
    <w:rsid w:val="00AB31FA"/>
    <w:rsid w:val="00AB31FC"/>
    <w:rsid w:val="00AB360E"/>
    <w:rsid w:val="00AB3ABC"/>
    <w:rsid w:val="00AB3B8A"/>
    <w:rsid w:val="00AB4076"/>
    <w:rsid w:val="00AB414B"/>
    <w:rsid w:val="00AB4155"/>
    <w:rsid w:val="00AB41B3"/>
    <w:rsid w:val="00AB4267"/>
    <w:rsid w:val="00AB434A"/>
    <w:rsid w:val="00AB455C"/>
    <w:rsid w:val="00AB4B60"/>
    <w:rsid w:val="00AB4C1D"/>
    <w:rsid w:val="00AB4DDB"/>
    <w:rsid w:val="00AB5CA2"/>
    <w:rsid w:val="00AB5F4B"/>
    <w:rsid w:val="00AB6328"/>
    <w:rsid w:val="00AB63AC"/>
    <w:rsid w:val="00AB6523"/>
    <w:rsid w:val="00AB659A"/>
    <w:rsid w:val="00AB6646"/>
    <w:rsid w:val="00AB6782"/>
    <w:rsid w:val="00AB67F6"/>
    <w:rsid w:val="00AB69B2"/>
    <w:rsid w:val="00AB69E9"/>
    <w:rsid w:val="00AB6E72"/>
    <w:rsid w:val="00AB71B1"/>
    <w:rsid w:val="00AB7607"/>
    <w:rsid w:val="00AB7616"/>
    <w:rsid w:val="00AB76C4"/>
    <w:rsid w:val="00AB7ABF"/>
    <w:rsid w:val="00AB7BFE"/>
    <w:rsid w:val="00AB7C54"/>
    <w:rsid w:val="00AB7C85"/>
    <w:rsid w:val="00AB7E96"/>
    <w:rsid w:val="00AB7FB0"/>
    <w:rsid w:val="00AC01EC"/>
    <w:rsid w:val="00AC034C"/>
    <w:rsid w:val="00AC03E2"/>
    <w:rsid w:val="00AC047A"/>
    <w:rsid w:val="00AC0641"/>
    <w:rsid w:val="00AC0919"/>
    <w:rsid w:val="00AC0B46"/>
    <w:rsid w:val="00AC0DA3"/>
    <w:rsid w:val="00AC0E0A"/>
    <w:rsid w:val="00AC0E19"/>
    <w:rsid w:val="00AC0F97"/>
    <w:rsid w:val="00AC0FD1"/>
    <w:rsid w:val="00AC1068"/>
    <w:rsid w:val="00AC1090"/>
    <w:rsid w:val="00AC11C2"/>
    <w:rsid w:val="00AC12F2"/>
    <w:rsid w:val="00AC1435"/>
    <w:rsid w:val="00AC147F"/>
    <w:rsid w:val="00AC18EA"/>
    <w:rsid w:val="00AC1C03"/>
    <w:rsid w:val="00AC1F5D"/>
    <w:rsid w:val="00AC1F95"/>
    <w:rsid w:val="00AC2096"/>
    <w:rsid w:val="00AC24B7"/>
    <w:rsid w:val="00AC2634"/>
    <w:rsid w:val="00AC27EB"/>
    <w:rsid w:val="00AC2814"/>
    <w:rsid w:val="00AC2A71"/>
    <w:rsid w:val="00AC2B12"/>
    <w:rsid w:val="00AC2B56"/>
    <w:rsid w:val="00AC2CF1"/>
    <w:rsid w:val="00AC2EBC"/>
    <w:rsid w:val="00AC2F15"/>
    <w:rsid w:val="00AC322F"/>
    <w:rsid w:val="00AC339D"/>
    <w:rsid w:val="00AC37E5"/>
    <w:rsid w:val="00AC45CE"/>
    <w:rsid w:val="00AC48B6"/>
    <w:rsid w:val="00AC4C69"/>
    <w:rsid w:val="00AC5538"/>
    <w:rsid w:val="00AC594F"/>
    <w:rsid w:val="00AC59A9"/>
    <w:rsid w:val="00AC60A7"/>
    <w:rsid w:val="00AC60DD"/>
    <w:rsid w:val="00AC66D4"/>
    <w:rsid w:val="00AC67BC"/>
    <w:rsid w:val="00AC6834"/>
    <w:rsid w:val="00AC6B81"/>
    <w:rsid w:val="00AC6E51"/>
    <w:rsid w:val="00AC7160"/>
    <w:rsid w:val="00AC75C9"/>
    <w:rsid w:val="00AC7807"/>
    <w:rsid w:val="00AC78F0"/>
    <w:rsid w:val="00AC7B3A"/>
    <w:rsid w:val="00AC7C0A"/>
    <w:rsid w:val="00AD029F"/>
    <w:rsid w:val="00AD055E"/>
    <w:rsid w:val="00AD0AB3"/>
    <w:rsid w:val="00AD1475"/>
    <w:rsid w:val="00AD14EC"/>
    <w:rsid w:val="00AD15E8"/>
    <w:rsid w:val="00AD1CC8"/>
    <w:rsid w:val="00AD1D38"/>
    <w:rsid w:val="00AD1E6F"/>
    <w:rsid w:val="00AD1F76"/>
    <w:rsid w:val="00AD216C"/>
    <w:rsid w:val="00AD2469"/>
    <w:rsid w:val="00AD2571"/>
    <w:rsid w:val="00AD2590"/>
    <w:rsid w:val="00AD27BE"/>
    <w:rsid w:val="00AD27F0"/>
    <w:rsid w:val="00AD2B3C"/>
    <w:rsid w:val="00AD2F8F"/>
    <w:rsid w:val="00AD3193"/>
    <w:rsid w:val="00AD35AF"/>
    <w:rsid w:val="00AD3636"/>
    <w:rsid w:val="00AD3733"/>
    <w:rsid w:val="00AD3896"/>
    <w:rsid w:val="00AD389C"/>
    <w:rsid w:val="00AD38B1"/>
    <w:rsid w:val="00AD3A49"/>
    <w:rsid w:val="00AD3B40"/>
    <w:rsid w:val="00AD3F54"/>
    <w:rsid w:val="00AD4047"/>
    <w:rsid w:val="00AD4526"/>
    <w:rsid w:val="00AD4699"/>
    <w:rsid w:val="00AD49D9"/>
    <w:rsid w:val="00AD49F7"/>
    <w:rsid w:val="00AD4AF4"/>
    <w:rsid w:val="00AD4D10"/>
    <w:rsid w:val="00AD53E7"/>
    <w:rsid w:val="00AD553B"/>
    <w:rsid w:val="00AD5558"/>
    <w:rsid w:val="00AD565C"/>
    <w:rsid w:val="00AD578C"/>
    <w:rsid w:val="00AD5810"/>
    <w:rsid w:val="00AD5B56"/>
    <w:rsid w:val="00AD5E38"/>
    <w:rsid w:val="00AD5E53"/>
    <w:rsid w:val="00AD5F6C"/>
    <w:rsid w:val="00AD66C1"/>
    <w:rsid w:val="00AD6B5C"/>
    <w:rsid w:val="00AD6BD2"/>
    <w:rsid w:val="00AD6CF1"/>
    <w:rsid w:val="00AD70C0"/>
    <w:rsid w:val="00AD7353"/>
    <w:rsid w:val="00AD748C"/>
    <w:rsid w:val="00AD767A"/>
    <w:rsid w:val="00AD7726"/>
    <w:rsid w:val="00AD7805"/>
    <w:rsid w:val="00AD7B6B"/>
    <w:rsid w:val="00AD7E40"/>
    <w:rsid w:val="00AD7E9B"/>
    <w:rsid w:val="00AD7F7A"/>
    <w:rsid w:val="00AE0482"/>
    <w:rsid w:val="00AE0520"/>
    <w:rsid w:val="00AE0FC4"/>
    <w:rsid w:val="00AE11E0"/>
    <w:rsid w:val="00AE16AA"/>
    <w:rsid w:val="00AE1CCE"/>
    <w:rsid w:val="00AE1D3C"/>
    <w:rsid w:val="00AE1DE4"/>
    <w:rsid w:val="00AE1E3E"/>
    <w:rsid w:val="00AE25AB"/>
    <w:rsid w:val="00AE2961"/>
    <w:rsid w:val="00AE2E3C"/>
    <w:rsid w:val="00AE3062"/>
    <w:rsid w:val="00AE308E"/>
    <w:rsid w:val="00AE30A9"/>
    <w:rsid w:val="00AE3493"/>
    <w:rsid w:val="00AE357C"/>
    <w:rsid w:val="00AE35A4"/>
    <w:rsid w:val="00AE3E78"/>
    <w:rsid w:val="00AE4272"/>
    <w:rsid w:val="00AE441C"/>
    <w:rsid w:val="00AE4571"/>
    <w:rsid w:val="00AE48EF"/>
    <w:rsid w:val="00AE4E07"/>
    <w:rsid w:val="00AE4E72"/>
    <w:rsid w:val="00AE5304"/>
    <w:rsid w:val="00AE53CE"/>
    <w:rsid w:val="00AE5489"/>
    <w:rsid w:val="00AE580E"/>
    <w:rsid w:val="00AE5CB5"/>
    <w:rsid w:val="00AE6088"/>
    <w:rsid w:val="00AE6110"/>
    <w:rsid w:val="00AE6156"/>
    <w:rsid w:val="00AE64DE"/>
    <w:rsid w:val="00AE66B3"/>
    <w:rsid w:val="00AE688E"/>
    <w:rsid w:val="00AE68AC"/>
    <w:rsid w:val="00AE692D"/>
    <w:rsid w:val="00AE70CA"/>
    <w:rsid w:val="00AE71E3"/>
    <w:rsid w:val="00AE7341"/>
    <w:rsid w:val="00AE7780"/>
    <w:rsid w:val="00AE7ABB"/>
    <w:rsid w:val="00AE7D37"/>
    <w:rsid w:val="00AE7DB5"/>
    <w:rsid w:val="00AE7EE6"/>
    <w:rsid w:val="00AF009C"/>
    <w:rsid w:val="00AF0436"/>
    <w:rsid w:val="00AF08A6"/>
    <w:rsid w:val="00AF0A96"/>
    <w:rsid w:val="00AF0B97"/>
    <w:rsid w:val="00AF0C40"/>
    <w:rsid w:val="00AF0DE6"/>
    <w:rsid w:val="00AF1017"/>
    <w:rsid w:val="00AF1030"/>
    <w:rsid w:val="00AF1259"/>
    <w:rsid w:val="00AF133C"/>
    <w:rsid w:val="00AF13D2"/>
    <w:rsid w:val="00AF15AE"/>
    <w:rsid w:val="00AF18EE"/>
    <w:rsid w:val="00AF1941"/>
    <w:rsid w:val="00AF19F0"/>
    <w:rsid w:val="00AF1DEC"/>
    <w:rsid w:val="00AF1EAA"/>
    <w:rsid w:val="00AF238E"/>
    <w:rsid w:val="00AF251A"/>
    <w:rsid w:val="00AF285C"/>
    <w:rsid w:val="00AF2888"/>
    <w:rsid w:val="00AF2ACA"/>
    <w:rsid w:val="00AF2BF9"/>
    <w:rsid w:val="00AF2BFD"/>
    <w:rsid w:val="00AF2D72"/>
    <w:rsid w:val="00AF2F09"/>
    <w:rsid w:val="00AF2FE5"/>
    <w:rsid w:val="00AF30A9"/>
    <w:rsid w:val="00AF3435"/>
    <w:rsid w:val="00AF347F"/>
    <w:rsid w:val="00AF35DE"/>
    <w:rsid w:val="00AF3775"/>
    <w:rsid w:val="00AF38A0"/>
    <w:rsid w:val="00AF39CD"/>
    <w:rsid w:val="00AF3C2E"/>
    <w:rsid w:val="00AF3F8F"/>
    <w:rsid w:val="00AF435C"/>
    <w:rsid w:val="00AF4499"/>
    <w:rsid w:val="00AF457D"/>
    <w:rsid w:val="00AF45FD"/>
    <w:rsid w:val="00AF46EF"/>
    <w:rsid w:val="00AF4877"/>
    <w:rsid w:val="00AF48DF"/>
    <w:rsid w:val="00AF4A16"/>
    <w:rsid w:val="00AF4A95"/>
    <w:rsid w:val="00AF510C"/>
    <w:rsid w:val="00AF5184"/>
    <w:rsid w:val="00AF53FA"/>
    <w:rsid w:val="00AF5899"/>
    <w:rsid w:val="00AF58EC"/>
    <w:rsid w:val="00AF5953"/>
    <w:rsid w:val="00AF5CEA"/>
    <w:rsid w:val="00AF5F4B"/>
    <w:rsid w:val="00AF618D"/>
    <w:rsid w:val="00AF61CB"/>
    <w:rsid w:val="00AF62A1"/>
    <w:rsid w:val="00AF6383"/>
    <w:rsid w:val="00AF6757"/>
    <w:rsid w:val="00AF6938"/>
    <w:rsid w:val="00AF7112"/>
    <w:rsid w:val="00AF75B5"/>
    <w:rsid w:val="00AF7690"/>
    <w:rsid w:val="00AF7712"/>
    <w:rsid w:val="00AF77E2"/>
    <w:rsid w:val="00AF795E"/>
    <w:rsid w:val="00AF798F"/>
    <w:rsid w:val="00AF7A7B"/>
    <w:rsid w:val="00AF7F37"/>
    <w:rsid w:val="00B0002E"/>
    <w:rsid w:val="00B0022E"/>
    <w:rsid w:val="00B0028E"/>
    <w:rsid w:val="00B003C3"/>
    <w:rsid w:val="00B007E4"/>
    <w:rsid w:val="00B00886"/>
    <w:rsid w:val="00B009AC"/>
    <w:rsid w:val="00B01A8E"/>
    <w:rsid w:val="00B01B26"/>
    <w:rsid w:val="00B01CF6"/>
    <w:rsid w:val="00B01E70"/>
    <w:rsid w:val="00B01FEF"/>
    <w:rsid w:val="00B02029"/>
    <w:rsid w:val="00B02391"/>
    <w:rsid w:val="00B0262D"/>
    <w:rsid w:val="00B02809"/>
    <w:rsid w:val="00B0289C"/>
    <w:rsid w:val="00B02EC2"/>
    <w:rsid w:val="00B0315B"/>
    <w:rsid w:val="00B031ED"/>
    <w:rsid w:val="00B03224"/>
    <w:rsid w:val="00B03262"/>
    <w:rsid w:val="00B032DC"/>
    <w:rsid w:val="00B03503"/>
    <w:rsid w:val="00B0380D"/>
    <w:rsid w:val="00B03869"/>
    <w:rsid w:val="00B03A85"/>
    <w:rsid w:val="00B03A8C"/>
    <w:rsid w:val="00B03E2B"/>
    <w:rsid w:val="00B0415C"/>
    <w:rsid w:val="00B041D6"/>
    <w:rsid w:val="00B045CD"/>
    <w:rsid w:val="00B04725"/>
    <w:rsid w:val="00B04870"/>
    <w:rsid w:val="00B04AD1"/>
    <w:rsid w:val="00B04D30"/>
    <w:rsid w:val="00B04DE8"/>
    <w:rsid w:val="00B05722"/>
    <w:rsid w:val="00B057AA"/>
    <w:rsid w:val="00B057AC"/>
    <w:rsid w:val="00B05BF7"/>
    <w:rsid w:val="00B063A0"/>
    <w:rsid w:val="00B06537"/>
    <w:rsid w:val="00B06917"/>
    <w:rsid w:val="00B06DC2"/>
    <w:rsid w:val="00B06F42"/>
    <w:rsid w:val="00B0702A"/>
    <w:rsid w:val="00B0723B"/>
    <w:rsid w:val="00B0753F"/>
    <w:rsid w:val="00B07C3A"/>
    <w:rsid w:val="00B07D71"/>
    <w:rsid w:val="00B07DF9"/>
    <w:rsid w:val="00B07F1C"/>
    <w:rsid w:val="00B1003C"/>
    <w:rsid w:val="00B1026A"/>
    <w:rsid w:val="00B10420"/>
    <w:rsid w:val="00B10808"/>
    <w:rsid w:val="00B10918"/>
    <w:rsid w:val="00B10ADD"/>
    <w:rsid w:val="00B10E71"/>
    <w:rsid w:val="00B114F2"/>
    <w:rsid w:val="00B11512"/>
    <w:rsid w:val="00B1151B"/>
    <w:rsid w:val="00B11D29"/>
    <w:rsid w:val="00B11EF7"/>
    <w:rsid w:val="00B126AB"/>
    <w:rsid w:val="00B12A1F"/>
    <w:rsid w:val="00B12B9C"/>
    <w:rsid w:val="00B12CCF"/>
    <w:rsid w:val="00B13058"/>
    <w:rsid w:val="00B1334D"/>
    <w:rsid w:val="00B13743"/>
    <w:rsid w:val="00B137DE"/>
    <w:rsid w:val="00B1386E"/>
    <w:rsid w:val="00B13E13"/>
    <w:rsid w:val="00B142E5"/>
    <w:rsid w:val="00B1441D"/>
    <w:rsid w:val="00B14546"/>
    <w:rsid w:val="00B146C6"/>
    <w:rsid w:val="00B14865"/>
    <w:rsid w:val="00B14A27"/>
    <w:rsid w:val="00B14DD2"/>
    <w:rsid w:val="00B1511A"/>
    <w:rsid w:val="00B155AA"/>
    <w:rsid w:val="00B15877"/>
    <w:rsid w:val="00B15AEC"/>
    <w:rsid w:val="00B15B00"/>
    <w:rsid w:val="00B15BFE"/>
    <w:rsid w:val="00B15DB0"/>
    <w:rsid w:val="00B15E25"/>
    <w:rsid w:val="00B1612B"/>
    <w:rsid w:val="00B165EB"/>
    <w:rsid w:val="00B168BD"/>
    <w:rsid w:val="00B16CE7"/>
    <w:rsid w:val="00B16DBA"/>
    <w:rsid w:val="00B17344"/>
    <w:rsid w:val="00B17397"/>
    <w:rsid w:val="00B1741F"/>
    <w:rsid w:val="00B17E06"/>
    <w:rsid w:val="00B17F0B"/>
    <w:rsid w:val="00B20752"/>
    <w:rsid w:val="00B20869"/>
    <w:rsid w:val="00B209E1"/>
    <w:rsid w:val="00B209F9"/>
    <w:rsid w:val="00B20BB8"/>
    <w:rsid w:val="00B20DF2"/>
    <w:rsid w:val="00B20ED2"/>
    <w:rsid w:val="00B20F3A"/>
    <w:rsid w:val="00B20F91"/>
    <w:rsid w:val="00B20FC7"/>
    <w:rsid w:val="00B210FA"/>
    <w:rsid w:val="00B21623"/>
    <w:rsid w:val="00B2188D"/>
    <w:rsid w:val="00B21C1A"/>
    <w:rsid w:val="00B21D3F"/>
    <w:rsid w:val="00B2203C"/>
    <w:rsid w:val="00B22195"/>
    <w:rsid w:val="00B222C4"/>
    <w:rsid w:val="00B22646"/>
    <w:rsid w:val="00B22659"/>
    <w:rsid w:val="00B229E6"/>
    <w:rsid w:val="00B22AF2"/>
    <w:rsid w:val="00B22D51"/>
    <w:rsid w:val="00B22E70"/>
    <w:rsid w:val="00B22E91"/>
    <w:rsid w:val="00B2321B"/>
    <w:rsid w:val="00B2324A"/>
    <w:rsid w:val="00B2335D"/>
    <w:rsid w:val="00B243D3"/>
    <w:rsid w:val="00B244ED"/>
    <w:rsid w:val="00B244FB"/>
    <w:rsid w:val="00B24718"/>
    <w:rsid w:val="00B24750"/>
    <w:rsid w:val="00B24925"/>
    <w:rsid w:val="00B2496F"/>
    <w:rsid w:val="00B249FB"/>
    <w:rsid w:val="00B24A0E"/>
    <w:rsid w:val="00B24B9B"/>
    <w:rsid w:val="00B24BE6"/>
    <w:rsid w:val="00B24EA4"/>
    <w:rsid w:val="00B24FDC"/>
    <w:rsid w:val="00B253D5"/>
    <w:rsid w:val="00B25FE4"/>
    <w:rsid w:val="00B260C3"/>
    <w:rsid w:val="00B26298"/>
    <w:rsid w:val="00B262BA"/>
    <w:rsid w:val="00B264E4"/>
    <w:rsid w:val="00B264FB"/>
    <w:rsid w:val="00B265F7"/>
    <w:rsid w:val="00B26678"/>
    <w:rsid w:val="00B266BB"/>
    <w:rsid w:val="00B26742"/>
    <w:rsid w:val="00B27112"/>
    <w:rsid w:val="00B2716D"/>
    <w:rsid w:val="00B27530"/>
    <w:rsid w:val="00B275F0"/>
    <w:rsid w:val="00B276A6"/>
    <w:rsid w:val="00B27846"/>
    <w:rsid w:val="00B27B36"/>
    <w:rsid w:val="00B30337"/>
    <w:rsid w:val="00B30B78"/>
    <w:rsid w:val="00B30BDA"/>
    <w:rsid w:val="00B30CEA"/>
    <w:rsid w:val="00B30D5F"/>
    <w:rsid w:val="00B310E7"/>
    <w:rsid w:val="00B31119"/>
    <w:rsid w:val="00B311DE"/>
    <w:rsid w:val="00B311F7"/>
    <w:rsid w:val="00B31505"/>
    <w:rsid w:val="00B316DE"/>
    <w:rsid w:val="00B3177C"/>
    <w:rsid w:val="00B319D9"/>
    <w:rsid w:val="00B31BE0"/>
    <w:rsid w:val="00B31C29"/>
    <w:rsid w:val="00B31D97"/>
    <w:rsid w:val="00B31E26"/>
    <w:rsid w:val="00B31F25"/>
    <w:rsid w:val="00B3215E"/>
    <w:rsid w:val="00B3244E"/>
    <w:rsid w:val="00B32590"/>
    <w:rsid w:val="00B3268A"/>
    <w:rsid w:val="00B3277B"/>
    <w:rsid w:val="00B32A01"/>
    <w:rsid w:val="00B32FA7"/>
    <w:rsid w:val="00B32FF1"/>
    <w:rsid w:val="00B332DC"/>
    <w:rsid w:val="00B333F7"/>
    <w:rsid w:val="00B33403"/>
    <w:rsid w:val="00B334AE"/>
    <w:rsid w:val="00B337B7"/>
    <w:rsid w:val="00B33CE5"/>
    <w:rsid w:val="00B33E02"/>
    <w:rsid w:val="00B33E93"/>
    <w:rsid w:val="00B34139"/>
    <w:rsid w:val="00B341EC"/>
    <w:rsid w:val="00B3438F"/>
    <w:rsid w:val="00B343DC"/>
    <w:rsid w:val="00B3466A"/>
    <w:rsid w:val="00B34973"/>
    <w:rsid w:val="00B34B37"/>
    <w:rsid w:val="00B34B38"/>
    <w:rsid w:val="00B34EE6"/>
    <w:rsid w:val="00B352BC"/>
    <w:rsid w:val="00B3595E"/>
    <w:rsid w:val="00B359FE"/>
    <w:rsid w:val="00B35B50"/>
    <w:rsid w:val="00B35B7E"/>
    <w:rsid w:val="00B35E66"/>
    <w:rsid w:val="00B36476"/>
    <w:rsid w:val="00B366C1"/>
    <w:rsid w:val="00B3688D"/>
    <w:rsid w:val="00B36C11"/>
    <w:rsid w:val="00B36CE9"/>
    <w:rsid w:val="00B370F5"/>
    <w:rsid w:val="00B37130"/>
    <w:rsid w:val="00B3734A"/>
    <w:rsid w:val="00B37670"/>
    <w:rsid w:val="00B377A6"/>
    <w:rsid w:val="00B377FE"/>
    <w:rsid w:val="00B37852"/>
    <w:rsid w:val="00B37960"/>
    <w:rsid w:val="00B37A4C"/>
    <w:rsid w:val="00B37AAE"/>
    <w:rsid w:val="00B37B3D"/>
    <w:rsid w:val="00B37E2D"/>
    <w:rsid w:val="00B40200"/>
    <w:rsid w:val="00B405EC"/>
    <w:rsid w:val="00B406C4"/>
    <w:rsid w:val="00B40864"/>
    <w:rsid w:val="00B40A07"/>
    <w:rsid w:val="00B40D65"/>
    <w:rsid w:val="00B40DD3"/>
    <w:rsid w:val="00B40FD4"/>
    <w:rsid w:val="00B4108E"/>
    <w:rsid w:val="00B410AA"/>
    <w:rsid w:val="00B412B1"/>
    <w:rsid w:val="00B41377"/>
    <w:rsid w:val="00B41524"/>
    <w:rsid w:val="00B41687"/>
    <w:rsid w:val="00B416FB"/>
    <w:rsid w:val="00B41738"/>
    <w:rsid w:val="00B419EE"/>
    <w:rsid w:val="00B41A05"/>
    <w:rsid w:val="00B41D9E"/>
    <w:rsid w:val="00B41EF4"/>
    <w:rsid w:val="00B42328"/>
    <w:rsid w:val="00B425FF"/>
    <w:rsid w:val="00B42726"/>
    <w:rsid w:val="00B42919"/>
    <w:rsid w:val="00B429E4"/>
    <w:rsid w:val="00B42BAF"/>
    <w:rsid w:val="00B42C63"/>
    <w:rsid w:val="00B42D33"/>
    <w:rsid w:val="00B42D96"/>
    <w:rsid w:val="00B42F79"/>
    <w:rsid w:val="00B431BA"/>
    <w:rsid w:val="00B433DF"/>
    <w:rsid w:val="00B4345B"/>
    <w:rsid w:val="00B437B2"/>
    <w:rsid w:val="00B439D4"/>
    <w:rsid w:val="00B439EC"/>
    <w:rsid w:val="00B440AC"/>
    <w:rsid w:val="00B44262"/>
    <w:rsid w:val="00B442A5"/>
    <w:rsid w:val="00B44696"/>
    <w:rsid w:val="00B4475E"/>
    <w:rsid w:val="00B44C8E"/>
    <w:rsid w:val="00B450C1"/>
    <w:rsid w:val="00B45174"/>
    <w:rsid w:val="00B456AA"/>
    <w:rsid w:val="00B45910"/>
    <w:rsid w:val="00B45AD0"/>
    <w:rsid w:val="00B45D92"/>
    <w:rsid w:val="00B45E25"/>
    <w:rsid w:val="00B45ECB"/>
    <w:rsid w:val="00B45EE9"/>
    <w:rsid w:val="00B46908"/>
    <w:rsid w:val="00B46AAC"/>
    <w:rsid w:val="00B46AE0"/>
    <w:rsid w:val="00B46B0B"/>
    <w:rsid w:val="00B46E0C"/>
    <w:rsid w:val="00B46F21"/>
    <w:rsid w:val="00B47184"/>
    <w:rsid w:val="00B47350"/>
    <w:rsid w:val="00B47355"/>
    <w:rsid w:val="00B47368"/>
    <w:rsid w:val="00B474CC"/>
    <w:rsid w:val="00B478A6"/>
    <w:rsid w:val="00B47BC2"/>
    <w:rsid w:val="00B47E00"/>
    <w:rsid w:val="00B47E4A"/>
    <w:rsid w:val="00B47E4F"/>
    <w:rsid w:val="00B500D9"/>
    <w:rsid w:val="00B501D9"/>
    <w:rsid w:val="00B50220"/>
    <w:rsid w:val="00B504A6"/>
    <w:rsid w:val="00B504B2"/>
    <w:rsid w:val="00B50740"/>
    <w:rsid w:val="00B50C2B"/>
    <w:rsid w:val="00B50C37"/>
    <w:rsid w:val="00B50FA6"/>
    <w:rsid w:val="00B50FF9"/>
    <w:rsid w:val="00B510E8"/>
    <w:rsid w:val="00B51168"/>
    <w:rsid w:val="00B511F7"/>
    <w:rsid w:val="00B5170A"/>
    <w:rsid w:val="00B518C2"/>
    <w:rsid w:val="00B52736"/>
    <w:rsid w:val="00B52C9C"/>
    <w:rsid w:val="00B52EF8"/>
    <w:rsid w:val="00B53319"/>
    <w:rsid w:val="00B53800"/>
    <w:rsid w:val="00B53A0F"/>
    <w:rsid w:val="00B53AB1"/>
    <w:rsid w:val="00B53B25"/>
    <w:rsid w:val="00B540F7"/>
    <w:rsid w:val="00B5440C"/>
    <w:rsid w:val="00B54484"/>
    <w:rsid w:val="00B545E1"/>
    <w:rsid w:val="00B54939"/>
    <w:rsid w:val="00B54DF8"/>
    <w:rsid w:val="00B54FA1"/>
    <w:rsid w:val="00B550A3"/>
    <w:rsid w:val="00B55411"/>
    <w:rsid w:val="00B556BA"/>
    <w:rsid w:val="00B558A7"/>
    <w:rsid w:val="00B55BF4"/>
    <w:rsid w:val="00B55DE2"/>
    <w:rsid w:val="00B55E66"/>
    <w:rsid w:val="00B565AE"/>
    <w:rsid w:val="00B56984"/>
    <w:rsid w:val="00B56DBE"/>
    <w:rsid w:val="00B56FAA"/>
    <w:rsid w:val="00B57562"/>
    <w:rsid w:val="00B57574"/>
    <w:rsid w:val="00B575C7"/>
    <w:rsid w:val="00B57BB4"/>
    <w:rsid w:val="00B57D26"/>
    <w:rsid w:val="00B57F20"/>
    <w:rsid w:val="00B60140"/>
    <w:rsid w:val="00B601E9"/>
    <w:rsid w:val="00B603B1"/>
    <w:rsid w:val="00B605AE"/>
    <w:rsid w:val="00B607F3"/>
    <w:rsid w:val="00B6085C"/>
    <w:rsid w:val="00B60E7D"/>
    <w:rsid w:val="00B60E8F"/>
    <w:rsid w:val="00B61223"/>
    <w:rsid w:val="00B61334"/>
    <w:rsid w:val="00B613B8"/>
    <w:rsid w:val="00B61804"/>
    <w:rsid w:val="00B61807"/>
    <w:rsid w:val="00B61845"/>
    <w:rsid w:val="00B61BED"/>
    <w:rsid w:val="00B61FCE"/>
    <w:rsid w:val="00B622FA"/>
    <w:rsid w:val="00B62339"/>
    <w:rsid w:val="00B6240E"/>
    <w:rsid w:val="00B625B7"/>
    <w:rsid w:val="00B62659"/>
    <w:rsid w:val="00B626FE"/>
    <w:rsid w:val="00B627B7"/>
    <w:rsid w:val="00B6293F"/>
    <w:rsid w:val="00B62954"/>
    <w:rsid w:val="00B62A06"/>
    <w:rsid w:val="00B62D6B"/>
    <w:rsid w:val="00B62E86"/>
    <w:rsid w:val="00B62F44"/>
    <w:rsid w:val="00B63132"/>
    <w:rsid w:val="00B63888"/>
    <w:rsid w:val="00B63978"/>
    <w:rsid w:val="00B63BB1"/>
    <w:rsid w:val="00B63C52"/>
    <w:rsid w:val="00B63EE9"/>
    <w:rsid w:val="00B63FAC"/>
    <w:rsid w:val="00B64099"/>
    <w:rsid w:val="00B642AB"/>
    <w:rsid w:val="00B643CA"/>
    <w:rsid w:val="00B647C3"/>
    <w:rsid w:val="00B64927"/>
    <w:rsid w:val="00B649E8"/>
    <w:rsid w:val="00B64C49"/>
    <w:rsid w:val="00B64E23"/>
    <w:rsid w:val="00B65414"/>
    <w:rsid w:val="00B65476"/>
    <w:rsid w:val="00B65522"/>
    <w:rsid w:val="00B6563A"/>
    <w:rsid w:val="00B65A44"/>
    <w:rsid w:val="00B65BD3"/>
    <w:rsid w:val="00B65C26"/>
    <w:rsid w:val="00B65C59"/>
    <w:rsid w:val="00B66096"/>
    <w:rsid w:val="00B661B5"/>
    <w:rsid w:val="00B665C8"/>
    <w:rsid w:val="00B6664B"/>
    <w:rsid w:val="00B66A20"/>
    <w:rsid w:val="00B66B77"/>
    <w:rsid w:val="00B66E97"/>
    <w:rsid w:val="00B66FA9"/>
    <w:rsid w:val="00B672BF"/>
    <w:rsid w:val="00B67424"/>
    <w:rsid w:val="00B674CD"/>
    <w:rsid w:val="00B67C5A"/>
    <w:rsid w:val="00B700F2"/>
    <w:rsid w:val="00B70342"/>
    <w:rsid w:val="00B7049E"/>
    <w:rsid w:val="00B705B4"/>
    <w:rsid w:val="00B70AB0"/>
    <w:rsid w:val="00B71019"/>
    <w:rsid w:val="00B714A8"/>
    <w:rsid w:val="00B71852"/>
    <w:rsid w:val="00B7186E"/>
    <w:rsid w:val="00B71B51"/>
    <w:rsid w:val="00B71BFC"/>
    <w:rsid w:val="00B72054"/>
    <w:rsid w:val="00B72356"/>
    <w:rsid w:val="00B72622"/>
    <w:rsid w:val="00B7285D"/>
    <w:rsid w:val="00B72B30"/>
    <w:rsid w:val="00B72BFA"/>
    <w:rsid w:val="00B72E25"/>
    <w:rsid w:val="00B7308D"/>
    <w:rsid w:val="00B7389A"/>
    <w:rsid w:val="00B738FC"/>
    <w:rsid w:val="00B73BE1"/>
    <w:rsid w:val="00B73CA3"/>
    <w:rsid w:val="00B73CFB"/>
    <w:rsid w:val="00B74100"/>
    <w:rsid w:val="00B742F3"/>
    <w:rsid w:val="00B743AB"/>
    <w:rsid w:val="00B7442D"/>
    <w:rsid w:val="00B7470C"/>
    <w:rsid w:val="00B74A0C"/>
    <w:rsid w:val="00B74C5E"/>
    <w:rsid w:val="00B74CF7"/>
    <w:rsid w:val="00B7515B"/>
    <w:rsid w:val="00B751C3"/>
    <w:rsid w:val="00B7541F"/>
    <w:rsid w:val="00B7562A"/>
    <w:rsid w:val="00B75746"/>
    <w:rsid w:val="00B75971"/>
    <w:rsid w:val="00B75C2C"/>
    <w:rsid w:val="00B75DB5"/>
    <w:rsid w:val="00B75E43"/>
    <w:rsid w:val="00B75EA5"/>
    <w:rsid w:val="00B7668D"/>
    <w:rsid w:val="00B768C6"/>
    <w:rsid w:val="00B769E6"/>
    <w:rsid w:val="00B76A94"/>
    <w:rsid w:val="00B76CE7"/>
    <w:rsid w:val="00B76DE1"/>
    <w:rsid w:val="00B77278"/>
    <w:rsid w:val="00B77318"/>
    <w:rsid w:val="00B77543"/>
    <w:rsid w:val="00B775B5"/>
    <w:rsid w:val="00B77691"/>
    <w:rsid w:val="00B7777B"/>
    <w:rsid w:val="00B77832"/>
    <w:rsid w:val="00B779A9"/>
    <w:rsid w:val="00B77AC1"/>
    <w:rsid w:val="00B77AE9"/>
    <w:rsid w:val="00B77CC4"/>
    <w:rsid w:val="00B77D89"/>
    <w:rsid w:val="00B80029"/>
    <w:rsid w:val="00B802B3"/>
    <w:rsid w:val="00B8038A"/>
    <w:rsid w:val="00B804E2"/>
    <w:rsid w:val="00B8052A"/>
    <w:rsid w:val="00B8052F"/>
    <w:rsid w:val="00B805A1"/>
    <w:rsid w:val="00B808E8"/>
    <w:rsid w:val="00B809C8"/>
    <w:rsid w:val="00B809E3"/>
    <w:rsid w:val="00B80A31"/>
    <w:rsid w:val="00B80DEF"/>
    <w:rsid w:val="00B80E19"/>
    <w:rsid w:val="00B8150C"/>
    <w:rsid w:val="00B815BB"/>
    <w:rsid w:val="00B81CD1"/>
    <w:rsid w:val="00B822B8"/>
    <w:rsid w:val="00B824E9"/>
    <w:rsid w:val="00B82524"/>
    <w:rsid w:val="00B8252D"/>
    <w:rsid w:val="00B829C8"/>
    <w:rsid w:val="00B82C07"/>
    <w:rsid w:val="00B82C99"/>
    <w:rsid w:val="00B82D00"/>
    <w:rsid w:val="00B82E96"/>
    <w:rsid w:val="00B832EE"/>
    <w:rsid w:val="00B835B9"/>
    <w:rsid w:val="00B83831"/>
    <w:rsid w:val="00B838B0"/>
    <w:rsid w:val="00B83BF2"/>
    <w:rsid w:val="00B83CCD"/>
    <w:rsid w:val="00B84572"/>
    <w:rsid w:val="00B84A95"/>
    <w:rsid w:val="00B84B1F"/>
    <w:rsid w:val="00B84C90"/>
    <w:rsid w:val="00B84D6E"/>
    <w:rsid w:val="00B84E74"/>
    <w:rsid w:val="00B84F3A"/>
    <w:rsid w:val="00B852D1"/>
    <w:rsid w:val="00B854B1"/>
    <w:rsid w:val="00B8584A"/>
    <w:rsid w:val="00B85879"/>
    <w:rsid w:val="00B85930"/>
    <w:rsid w:val="00B85973"/>
    <w:rsid w:val="00B85C56"/>
    <w:rsid w:val="00B85C7A"/>
    <w:rsid w:val="00B85DFE"/>
    <w:rsid w:val="00B85FCB"/>
    <w:rsid w:val="00B860A7"/>
    <w:rsid w:val="00B86689"/>
    <w:rsid w:val="00B8690D"/>
    <w:rsid w:val="00B86D3B"/>
    <w:rsid w:val="00B8738B"/>
    <w:rsid w:val="00B8765D"/>
    <w:rsid w:val="00B8784D"/>
    <w:rsid w:val="00B8799C"/>
    <w:rsid w:val="00B87D25"/>
    <w:rsid w:val="00B87E2B"/>
    <w:rsid w:val="00B87E47"/>
    <w:rsid w:val="00B87E97"/>
    <w:rsid w:val="00B87F22"/>
    <w:rsid w:val="00B90035"/>
    <w:rsid w:val="00B9004F"/>
    <w:rsid w:val="00B903D7"/>
    <w:rsid w:val="00B90790"/>
    <w:rsid w:val="00B90D25"/>
    <w:rsid w:val="00B910AA"/>
    <w:rsid w:val="00B9114B"/>
    <w:rsid w:val="00B91973"/>
    <w:rsid w:val="00B919C8"/>
    <w:rsid w:val="00B91A58"/>
    <w:rsid w:val="00B91AE0"/>
    <w:rsid w:val="00B91B4A"/>
    <w:rsid w:val="00B91D8F"/>
    <w:rsid w:val="00B91E52"/>
    <w:rsid w:val="00B922DF"/>
    <w:rsid w:val="00B92658"/>
    <w:rsid w:val="00B92FDD"/>
    <w:rsid w:val="00B92FEB"/>
    <w:rsid w:val="00B93193"/>
    <w:rsid w:val="00B93225"/>
    <w:rsid w:val="00B933FB"/>
    <w:rsid w:val="00B9355E"/>
    <w:rsid w:val="00B93C7D"/>
    <w:rsid w:val="00B93D1B"/>
    <w:rsid w:val="00B93D47"/>
    <w:rsid w:val="00B93DC8"/>
    <w:rsid w:val="00B93E17"/>
    <w:rsid w:val="00B94036"/>
    <w:rsid w:val="00B9467F"/>
    <w:rsid w:val="00B9476F"/>
    <w:rsid w:val="00B947B3"/>
    <w:rsid w:val="00B9496E"/>
    <w:rsid w:val="00B94D61"/>
    <w:rsid w:val="00B9536D"/>
    <w:rsid w:val="00B95CF8"/>
    <w:rsid w:val="00B95F0B"/>
    <w:rsid w:val="00B95FE9"/>
    <w:rsid w:val="00B9615C"/>
    <w:rsid w:val="00B9627D"/>
    <w:rsid w:val="00B963BA"/>
    <w:rsid w:val="00B96BC0"/>
    <w:rsid w:val="00B96C93"/>
    <w:rsid w:val="00B96D1E"/>
    <w:rsid w:val="00B976B9"/>
    <w:rsid w:val="00B976F1"/>
    <w:rsid w:val="00B979D3"/>
    <w:rsid w:val="00B97A25"/>
    <w:rsid w:val="00B97AD7"/>
    <w:rsid w:val="00B97B4D"/>
    <w:rsid w:val="00B97BE3"/>
    <w:rsid w:val="00B97CF6"/>
    <w:rsid w:val="00B97E19"/>
    <w:rsid w:val="00B97F07"/>
    <w:rsid w:val="00BA0054"/>
    <w:rsid w:val="00BA00D1"/>
    <w:rsid w:val="00BA0277"/>
    <w:rsid w:val="00BA0287"/>
    <w:rsid w:val="00BA0297"/>
    <w:rsid w:val="00BA04B5"/>
    <w:rsid w:val="00BA052E"/>
    <w:rsid w:val="00BA0628"/>
    <w:rsid w:val="00BA0796"/>
    <w:rsid w:val="00BA080C"/>
    <w:rsid w:val="00BA0995"/>
    <w:rsid w:val="00BA09C4"/>
    <w:rsid w:val="00BA0EAD"/>
    <w:rsid w:val="00BA0EEC"/>
    <w:rsid w:val="00BA1388"/>
    <w:rsid w:val="00BA14EF"/>
    <w:rsid w:val="00BA18EF"/>
    <w:rsid w:val="00BA197D"/>
    <w:rsid w:val="00BA209B"/>
    <w:rsid w:val="00BA213B"/>
    <w:rsid w:val="00BA2368"/>
    <w:rsid w:val="00BA239A"/>
    <w:rsid w:val="00BA258D"/>
    <w:rsid w:val="00BA2F8D"/>
    <w:rsid w:val="00BA30B5"/>
    <w:rsid w:val="00BA312E"/>
    <w:rsid w:val="00BA3F3D"/>
    <w:rsid w:val="00BA3FE5"/>
    <w:rsid w:val="00BA4158"/>
    <w:rsid w:val="00BA4268"/>
    <w:rsid w:val="00BA44C7"/>
    <w:rsid w:val="00BA45FA"/>
    <w:rsid w:val="00BA46D6"/>
    <w:rsid w:val="00BA47BD"/>
    <w:rsid w:val="00BA480A"/>
    <w:rsid w:val="00BA4883"/>
    <w:rsid w:val="00BA491E"/>
    <w:rsid w:val="00BA4E91"/>
    <w:rsid w:val="00BA525A"/>
    <w:rsid w:val="00BA5313"/>
    <w:rsid w:val="00BA5327"/>
    <w:rsid w:val="00BA5A7E"/>
    <w:rsid w:val="00BA5A82"/>
    <w:rsid w:val="00BA5CF4"/>
    <w:rsid w:val="00BA5D2D"/>
    <w:rsid w:val="00BA69FE"/>
    <w:rsid w:val="00BA6E43"/>
    <w:rsid w:val="00BA7034"/>
    <w:rsid w:val="00BA7041"/>
    <w:rsid w:val="00BA7472"/>
    <w:rsid w:val="00BA74D8"/>
    <w:rsid w:val="00BA7675"/>
    <w:rsid w:val="00BA76AB"/>
    <w:rsid w:val="00BA779C"/>
    <w:rsid w:val="00BA7B52"/>
    <w:rsid w:val="00BA7BA2"/>
    <w:rsid w:val="00BA7CA7"/>
    <w:rsid w:val="00BA7EA8"/>
    <w:rsid w:val="00BB0086"/>
    <w:rsid w:val="00BB00DE"/>
    <w:rsid w:val="00BB0B58"/>
    <w:rsid w:val="00BB12DB"/>
    <w:rsid w:val="00BB15F0"/>
    <w:rsid w:val="00BB1A63"/>
    <w:rsid w:val="00BB217F"/>
    <w:rsid w:val="00BB2501"/>
    <w:rsid w:val="00BB3153"/>
    <w:rsid w:val="00BB31D4"/>
    <w:rsid w:val="00BB33F5"/>
    <w:rsid w:val="00BB358E"/>
    <w:rsid w:val="00BB394E"/>
    <w:rsid w:val="00BB43E4"/>
    <w:rsid w:val="00BB443F"/>
    <w:rsid w:val="00BB46AC"/>
    <w:rsid w:val="00BB47FE"/>
    <w:rsid w:val="00BB4EDE"/>
    <w:rsid w:val="00BB4F1A"/>
    <w:rsid w:val="00BB5239"/>
    <w:rsid w:val="00BB588A"/>
    <w:rsid w:val="00BB5E89"/>
    <w:rsid w:val="00BB5EF2"/>
    <w:rsid w:val="00BB5F48"/>
    <w:rsid w:val="00BB6348"/>
    <w:rsid w:val="00BB661B"/>
    <w:rsid w:val="00BB66CC"/>
    <w:rsid w:val="00BB69C8"/>
    <w:rsid w:val="00BB6B3D"/>
    <w:rsid w:val="00BB6D23"/>
    <w:rsid w:val="00BB7085"/>
    <w:rsid w:val="00BB71D9"/>
    <w:rsid w:val="00BB7239"/>
    <w:rsid w:val="00BB7349"/>
    <w:rsid w:val="00BB7383"/>
    <w:rsid w:val="00BB7385"/>
    <w:rsid w:val="00BB7879"/>
    <w:rsid w:val="00BB7B7E"/>
    <w:rsid w:val="00BC0062"/>
    <w:rsid w:val="00BC0485"/>
    <w:rsid w:val="00BC06CD"/>
    <w:rsid w:val="00BC071B"/>
    <w:rsid w:val="00BC0C36"/>
    <w:rsid w:val="00BC0D96"/>
    <w:rsid w:val="00BC0FB5"/>
    <w:rsid w:val="00BC1173"/>
    <w:rsid w:val="00BC12CC"/>
    <w:rsid w:val="00BC14E6"/>
    <w:rsid w:val="00BC151B"/>
    <w:rsid w:val="00BC18E9"/>
    <w:rsid w:val="00BC1946"/>
    <w:rsid w:val="00BC1C5F"/>
    <w:rsid w:val="00BC1D2D"/>
    <w:rsid w:val="00BC20A4"/>
    <w:rsid w:val="00BC2119"/>
    <w:rsid w:val="00BC2215"/>
    <w:rsid w:val="00BC25B0"/>
    <w:rsid w:val="00BC26BB"/>
    <w:rsid w:val="00BC2C62"/>
    <w:rsid w:val="00BC3103"/>
    <w:rsid w:val="00BC34B5"/>
    <w:rsid w:val="00BC3974"/>
    <w:rsid w:val="00BC3CBE"/>
    <w:rsid w:val="00BC3F1B"/>
    <w:rsid w:val="00BC4008"/>
    <w:rsid w:val="00BC4139"/>
    <w:rsid w:val="00BC419D"/>
    <w:rsid w:val="00BC420C"/>
    <w:rsid w:val="00BC42D4"/>
    <w:rsid w:val="00BC4671"/>
    <w:rsid w:val="00BC48FF"/>
    <w:rsid w:val="00BC4A2E"/>
    <w:rsid w:val="00BC4EC1"/>
    <w:rsid w:val="00BC5A65"/>
    <w:rsid w:val="00BC5BF6"/>
    <w:rsid w:val="00BC5F85"/>
    <w:rsid w:val="00BC608B"/>
    <w:rsid w:val="00BC612F"/>
    <w:rsid w:val="00BC61A7"/>
    <w:rsid w:val="00BC62B8"/>
    <w:rsid w:val="00BC6445"/>
    <w:rsid w:val="00BC6469"/>
    <w:rsid w:val="00BC6526"/>
    <w:rsid w:val="00BC6543"/>
    <w:rsid w:val="00BC663C"/>
    <w:rsid w:val="00BC6644"/>
    <w:rsid w:val="00BC6867"/>
    <w:rsid w:val="00BC6939"/>
    <w:rsid w:val="00BC6C2D"/>
    <w:rsid w:val="00BC7616"/>
    <w:rsid w:val="00BC7654"/>
    <w:rsid w:val="00BC791F"/>
    <w:rsid w:val="00BC79DC"/>
    <w:rsid w:val="00BC7AF0"/>
    <w:rsid w:val="00BC7C16"/>
    <w:rsid w:val="00BC7CD9"/>
    <w:rsid w:val="00BD01F0"/>
    <w:rsid w:val="00BD01F5"/>
    <w:rsid w:val="00BD03A8"/>
    <w:rsid w:val="00BD051D"/>
    <w:rsid w:val="00BD077C"/>
    <w:rsid w:val="00BD0ADA"/>
    <w:rsid w:val="00BD0B05"/>
    <w:rsid w:val="00BD0D00"/>
    <w:rsid w:val="00BD0D08"/>
    <w:rsid w:val="00BD0EF9"/>
    <w:rsid w:val="00BD112A"/>
    <w:rsid w:val="00BD1558"/>
    <w:rsid w:val="00BD172C"/>
    <w:rsid w:val="00BD1801"/>
    <w:rsid w:val="00BD183C"/>
    <w:rsid w:val="00BD1856"/>
    <w:rsid w:val="00BD1CF6"/>
    <w:rsid w:val="00BD1F00"/>
    <w:rsid w:val="00BD2022"/>
    <w:rsid w:val="00BD20C0"/>
    <w:rsid w:val="00BD27F3"/>
    <w:rsid w:val="00BD28C9"/>
    <w:rsid w:val="00BD2B37"/>
    <w:rsid w:val="00BD2CE0"/>
    <w:rsid w:val="00BD35BE"/>
    <w:rsid w:val="00BD3667"/>
    <w:rsid w:val="00BD3D6B"/>
    <w:rsid w:val="00BD3DE1"/>
    <w:rsid w:val="00BD3DF2"/>
    <w:rsid w:val="00BD3FB9"/>
    <w:rsid w:val="00BD405A"/>
    <w:rsid w:val="00BD41C7"/>
    <w:rsid w:val="00BD4493"/>
    <w:rsid w:val="00BD4578"/>
    <w:rsid w:val="00BD4B18"/>
    <w:rsid w:val="00BD4D44"/>
    <w:rsid w:val="00BD4E0F"/>
    <w:rsid w:val="00BD4FBE"/>
    <w:rsid w:val="00BD500B"/>
    <w:rsid w:val="00BD523A"/>
    <w:rsid w:val="00BD52E9"/>
    <w:rsid w:val="00BD5F5A"/>
    <w:rsid w:val="00BD6098"/>
    <w:rsid w:val="00BD634E"/>
    <w:rsid w:val="00BD6444"/>
    <w:rsid w:val="00BD64C7"/>
    <w:rsid w:val="00BD6523"/>
    <w:rsid w:val="00BD6B15"/>
    <w:rsid w:val="00BD6B9E"/>
    <w:rsid w:val="00BD6C7A"/>
    <w:rsid w:val="00BD6D3C"/>
    <w:rsid w:val="00BD6FA4"/>
    <w:rsid w:val="00BD7067"/>
    <w:rsid w:val="00BD74D3"/>
    <w:rsid w:val="00BD7654"/>
    <w:rsid w:val="00BD76D1"/>
    <w:rsid w:val="00BD7762"/>
    <w:rsid w:val="00BD784D"/>
    <w:rsid w:val="00BD799E"/>
    <w:rsid w:val="00BD7A01"/>
    <w:rsid w:val="00BD7A78"/>
    <w:rsid w:val="00BD7B00"/>
    <w:rsid w:val="00BD7BE8"/>
    <w:rsid w:val="00BD7CF5"/>
    <w:rsid w:val="00BD7F0E"/>
    <w:rsid w:val="00BE0282"/>
    <w:rsid w:val="00BE0510"/>
    <w:rsid w:val="00BE0545"/>
    <w:rsid w:val="00BE0559"/>
    <w:rsid w:val="00BE0690"/>
    <w:rsid w:val="00BE06B6"/>
    <w:rsid w:val="00BE0721"/>
    <w:rsid w:val="00BE0A88"/>
    <w:rsid w:val="00BE0BF8"/>
    <w:rsid w:val="00BE0C38"/>
    <w:rsid w:val="00BE0CEF"/>
    <w:rsid w:val="00BE1014"/>
    <w:rsid w:val="00BE12F7"/>
    <w:rsid w:val="00BE14A6"/>
    <w:rsid w:val="00BE14BA"/>
    <w:rsid w:val="00BE14C7"/>
    <w:rsid w:val="00BE19C2"/>
    <w:rsid w:val="00BE1AA1"/>
    <w:rsid w:val="00BE252D"/>
    <w:rsid w:val="00BE2658"/>
    <w:rsid w:val="00BE3133"/>
    <w:rsid w:val="00BE3422"/>
    <w:rsid w:val="00BE3780"/>
    <w:rsid w:val="00BE37DF"/>
    <w:rsid w:val="00BE3833"/>
    <w:rsid w:val="00BE3836"/>
    <w:rsid w:val="00BE38DD"/>
    <w:rsid w:val="00BE39CE"/>
    <w:rsid w:val="00BE3A33"/>
    <w:rsid w:val="00BE3FB0"/>
    <w:rsid w:val="00BE4042"/>
    <w:rsid w:val="00BE48ED"/>
    <w:rsid w:val="00BE49C2"/>
    <w:rsid w:val="00BE4DB0"/>
    <w:rsid w:val="00BE5162"/>
    <w:rsid w:val="00BE52CC"/>
    <w:rsid w:val="00BE5679"/>
    <w:rsid w:val="00BE56B9"/>
    <w:rsid w:val="00BE5916"/>
    <w:rsid w:val="00BE5BF3"/>
    <w:rsid w:val="00BE62B5"/>
    <w:rsid w:val="00BE62C2"/>
    <w:rsid w:val="00BE62E3"/>
    <w:rsid w:val="00BE67E9"/>
    <w:rsid w:val="00BE6903"/>
    <w:rsid w:val="00BE6AB9"/>
    <w:rsid w:val="00BE6BA0"/>
    <w:rsid w:val="00BE6E0C"/>
    <w:rsid w:val="00BE7057"/>
    <w:rsid w:val="00BE70D1"/>
    <w:rsid w:val="00BE75C5"/>
    <w:rsid w:val="00BE765D"/>
    <w:rsid w:val="00BE7B25"/>
    <w:rsid w:val="00BF07AE"/>
    <w:rsid w:val="00BF099E"/>
    <w:rsid w:val="00BF0B4F"/>
    <w:rsid w:val="00BF0F90"/>
    <w:rsid w:val="00BF104B"/>
    <w:rsid w:val="00BF1059"/>
    <w:rsid w:val="00BF10C7"/>
    <w:rsid w:val="00BF1154"/>
    <w:rsid w:val="00BF11B1"/>
    <w:rsid w:val="00BF13A3"/>
    <w:rsid w:val="00BF15A3"/>
    <w:rsid w:val="00BF19DE"/>
    <w:rsid w:val="00BF1BF1"/>
    <w:rsid w:val="00BF1D58"/>
    <w:rsid w:val="00BF1DEE"/>
    <w:rsid w:val="00BF1F12"/>
    <w:rsid w:val="00BF203D"/>
    <w:rsid w:val="00BF2413"/>
    <w:rsid w:val="00BF2420"/>
    <w:rsid w:val="00BF2648"/>
    <w:rsid w:val="00BF2681"/>
    <w:rsid w:val="00BF27E6"/>
    <w:rsid w:val="00BF2A44"/>
    <w:rsid w:val="00BF2A47"/>
    <w:rsid w:val="00BF2B12"/>
    <w:rsid w:val="00BF2FF1"/>
    <w:rsid w:val="00BF3000"/>
    <w:rsid w:val="00BF3261"/>
    <w:rsid w:val="00BF3385"/>
    <w:rsid w:val="00BF36E5"/>
    <w:rsid w:val="00BF370E"/>
    <w:rsid w:val="00BF382B"/>
    <w:rsid w:val="00BF394C"/>
    <w:rsid w:val="00BF39FA"/>
    <w:rsid w:val="00BF3D3A"/>
    <w:rsid w:val="00BF3DBD"/>
    <w:rsid w:val="00BF445E"/>
    <w:rsid w:val="00BF4670"/>
    <w:rsid w:val="00BF4718"/>
    <w:rsid w:val="00BF4918"/>
    <w:rsid w:val="00BF4957"/>
    <w:rsid w:val="00BF4E8C"/>
    <w:rsid w:val="00BF5038"/>
    <w:rsid w:val="00BF5080"/>
    <w:rsid w:val="00BF5176"/>
    <w:rsid w:val="00BF51A1"/>
    <w:rsid w:val="00BF53D3"/>
    <w:rsid w:val="00BF5556"/>
    <w:rsid w:val="00BF5705"/>
    <w:rsid w:val="00BF5981"/>
    <w:rsid w:val="00BF5B55"/>
    <w:rsid w:val="00BF5C13"/>
    <w:rsid w:val="00BF5E15"/>
    <w:rsid w:val="00BF5FF8"/>
    <w:rsid w:val="00BF60DE"/>
    <w:rsid w:val="00BF60FA"/>
    <w:rsid w:val="00BF618E"/>
    <w:rsid w:val="00BF6306"/>
    <w:rsid w:val="00BF6388"/>
    <w:rsid w:val="00BF6598"/>
    <w:rsid w:val="00BF66D3"/>
    <w:rsid w:val="00BF6825"/>
    <w:rsid w:val="00BF6A8B"/>
    <w:rsid w:val="00BF6B83"/>
    <w:rsid w:val="00BF6D53"/>
    <w:rsid w:val="00BF7000"/>
    <w:rsid w:val="00BF718B"/>
    <w:rsid w:val="00BF75B9"/>
    <w:rsid w:val="00BF7709"/>
    <w:rsid w:val="00BF799A"/>
    <w:rsid w:val="00BF7C70"/>
    <w:rsid w:val="00BF7CBD"/>
    <w:rsid w:val="00BF7D6F"/>
    <w:rsid w:val="00BF7E8D"/>
    <w:rsid w:val="00BF7F97"/>
    <w:rsid w:val="00C000BE"/>
    <w:rsid w:val="00C00278"/>
    <w:rsid w:val="00C002FE"/>
    <w:rsid w:val="00C0061F"/>
    <w:rsid w:val="00C0062C"/>
    <w:rsid w:val="00C00D19"/>
    <w:rsid w:val="00C00EE6"/>
    <w:rsid w:val="00C00FAF"/>
    <w:rsid w:val="00C0111B"/>
    <w:rsid w:val="00C01137"/>
    <w:rsid w:val="00C01193"/>
    <w:rsid w:val="00C01706"/>
    <w:rsid w:val="00C018BB"/>
    <w:rsid w:val="00C0190A"/>
    <w:rsid w:val="00C019EA"/>
    <w:rsid w:val="00C02356"/>
    <w:rsid w:val="00C0245B"/>
    <w:rsid w:val="00C02474"/>
    <w:rsid w:val="00C025DD"/>
    <w:rsid w:val="00C0276D"/>
    <w:rsid w:val="00C027BB"/>
    <w:rsid w:val="00C02940"/>
    <w:rsid w:val="00C02C28"/>
    <w:rsid w:val="00C02D8C"/>
    <w:rsid w:val="00C02DA8"/>
    <w:rsid w:val="00C02F62"/>
    <w:rsid w:val="00C03AE9"/>
    <w:rsid w:val="00C03C14"/>
    <w:rsid w:val="00C03D51"/>
    <w:rsid w:val="00C03F26"/>
    <w:rsid w:val="00C04000"/>
    <w:rsid w:val="00C0405C"/>
    <w:rsid w:val="00C04259"/>
    <w:rsid w:val="00C04326"/>
    <w:rsid w:val="00C04893"/>
    <w:rsid w:val="00C04983"/>
    <w:rsid w:val="00C04AF4"/>
    <w:rsid w:val="00C04D52"/>
    <w:rsid w:val="00C05033"/>
    <w:rsid w:val="00C052D6"/>
    <w:rsid w:val="00C0530E"/>
    <w:rsid w:val="00C05324"/>
    <w:rsid w:val="00C055AA"/>
    <w:rsid w:val="00C056A2"/>
    <w:rsid w:val="00C05745"/>
    <w:rsid w:val="00C05903"/>
    <w:rsid w:val="00C05DB0"/>
    <w:rsid w:val="00C05F4F"/>
    <w:rsid w:val="00C05FFC"/>
    <w:rsid w:val="00C0614B"/>
    <w:rsid w:val="00C06782"/>
    <w:rsid w:val="00C06806"/>
    <w:rsid w:val="00C068CB"/>
    <w:rsid w:val="00C068D0"/>
    <w:rsid w:val="00C06D7C"/>
    <w:rsid w:val="00C070B7"/>
    <w:rsid w:val="00C070D3"/>
    <w:rsid w:val="00C070F4"/>
    <w:rsid w:val="00C0710F"/>
    <w:rsid w:val="00C072DE"/>
    <w:rsid w:val="00C07780"/>
    <w:rsid w:val="00C07789"/>
    <w:rsid w:val="00C077C4"/>
    <w:rsid w:val="00C10194"/>
    <w:rsid w:val="00C101A9"/>
    <w:rsid w:val="00C10936"/>
    <w:rsid w:val="00C1095F"/>
    <w:rsid w:val="00C10C1E"/>
    <w:rsid w:val="00C10ED9"/>
    <w:rsid w:val="00C1123B"/>
    <w:rsid w:val="00C1127B"/>
    <w:rsid w:val="00C11436"/>
    <w:rsid w:val="00C1198C"/>
    <w:rsid w:val="00C11A87"/>
    <w:rsid w:val="00C11F8B"/>
    <w:rsid w:val="00C1229C"/>
    <w:rsid w:val="00C128F9"/>
    <w:rsid w:val="00C12C46"/>
    <w:rsid w:val="00C12C5C"/>
    <w:rsid w:val="00C12E67"/>
    <w:rsid w:val="00C12F87"/>
    <w:rsid w:val="00C12F95"/>
    <w:rsid w:val="00C1301B"/>
    <w:rsid w:val="00C130AA"/>
    <w:rsid w:val="00C13114"/>
    <w:rsid w:val="00C131CB"/>
    <w:rsid w:val="00C131E2"/>
    <w:rsid w:val="00C132AA"/>
    <w:rsid w:val="00C13696"/>
    <w:rsid w:val="00C13858"/>
    <w:rsid w:val="00C139B0"/>
    <w:rsid w:val="00C140F0"/>
    <w:rsid w:val="00C14183"/>
    <w:rsid w:val="00C1460E"/>
    <w:rsid w:val="00C147AA"/>
    <w:rsid w:val="00C1489A"/>
    <w:rsid w:val="00C148DB"/>
    <w:rsid w:val="00C14AE8"/>
    <w:rsid w:val="00C14EBA"/>
    <w:rsid w:val="00C14F87"/>
    <w:rsid w:val="00C150CC"/>
    <w:rsid w:val="00C151D7"/>
    <w:rsid w:val="00C15948"/>
    <w:rsid w:val="00C159E0"/>
    <w:rsid w:val="00C15BD3"/>
    <w:rsid w:val="00C16192"/>
    <w:rsid w:val="00C16E2E"/>
    <w:rsid w:val="00C16EA3"/>
    <w:rsid w:val="00C16EAA"/>
    <w:rsid w:val="00C16F93"/>
    <w:rsid w:val="00C16FDD"/>
    <w:rsid w:val="00C170A7"/>
    <w:rsid w:val="00C170C1"/>
    <w:rsid w:val="00C178D0"/>
    <w:rsid w:val="00C1793E"/>
    <w:rsid w:val="00C17976"/>
    <w:rsid w:val="00C17A2F"/>
    <w:rsid w:val="00C17BB4"/>
    <w:rsid w:val="00C20219"/>
    <w:rsid w:val="00C20229"/>
    <w:rsid w:val="00C20493"/>
    <w:rsid w:val="00C2062F"/>
    <w:rsid w:val="00C20638"/>
    <w:rsid w:val="00C209BA"/>
    <w:rsid w:val="00C209E0"/>
    <w:rsid w:val="00C20AA2"/>
    <w:rsid w:val="00C20B1D"/>
    <w:rsid w:val="00C20C18"/>
    <w:rsid w:val="00C20FC8"/>
    <w:rsid w:val="00C210BD"/>
    <w:rsid w:val="00C216B4"/>
    <w:rsid w:val="00C217B6"/>
    <w:rsid w:val="00C217DF"/>
    <w:rsid w:val="00C21A2C"/>
    <w:rsid w:val="00C21F16"/>
    <w:rsid w:val="00C2224E"/>
    <w:rsid w:val="00C223D3"/>
    <w:rsid w:val="00C225C6"/>
    <w:rsid w:val="00C225CE"/>
    <w:rsid w:val="00C2261A"/>
    <w:rsid w:val="00C22699"/>
    <w:rsid w:val="00C2271C"/>
    <w:rsid w:val="00C228E8"/>
    <w:rsid w:val="00C2292B"/>
    <w:rsid w:val="00C22D81"/>
    <w:rsid w:val="00C22E95"/>
    <w:rsid w:val="00C22F48"/>
    <w:rsid w:val="00C2351C"/>
    <w:rsid w:val="00C23A0E"/>
    <w:rsid w:val="00C23B08"/>
    <w:rsid w:val="00C23B9B"/>
    <w:rsid w:val="00C23CD1"/>
    <w:rsid w:val="00C23D1F"/>
    <w:rsid w:val="00C23D4A"/>
    <w:rsid w:val="00C23D7A"/>
    <w:rsid w:val="00C2422F"/>
    <w:rsid w:val="00C24B35"/>
    <w:rsid w:val="00C25087"/>
    <w:rsid w:val="00C261FA"/>
    <w:rsid w:val="00C26763"/>
    <w:rsid w:val="00C2693A"/>
    <w:rsid w:val="00C26AA7"/>
    <w:rsid w:val="00C26C3B"/>
    <w:rsid w:val="00C26E23"/>
    <w:rsid w:val="00C26E2D"/>
    <w:rsid w:val="00C27184"/>
    <w:rsid w:val="00C274B2"/>
    <w:rsid w:val="00C2777D"/>
    <w:rsid w:val="00C27A5D"/>
    <w:rsid w:val="00C27A76"/>
    <w:rsid w:val="00C30123"/>
    <w:rsid w:val="00C30198"/>
    <w:rsid w:val="00C30665"/>
    <w:rsid w:val="00C3069A"/>
    <w:rsid w:val="00C309A3"/>
    <w:rsid w:val="00C30BE6"/>
    <w:rsid w:val="00C30C5E"/>
    <w:rsid w:val="00C31E72"/>
    <w:rsid w:val="00C3203C"/>
    <w:rsid w:val="00C321FA"/>
    <w:rsid w:val="00C325AB"/>
    <w:rsid w:val="00C326A7"/>
    <w:rsid w:val="00C32BEA"/>
    <w:rsid w:val="00C32CC6"/>
    <w:rsid w:val="00C32E8F"/>
    <w:rsid w:val="00C32FDA"/>
    <w:rsid w:val="00C330C3"/>
    <w:rsid w:val="00C331FA"/>
    <w:rsid w:val="00C3323E"/>
    <w:rsid w:val="00C33274"/>
    <w:rsid w:val="00C33776"/>
    <w:rsid w:val="00C3386D"/>
    <w:rsid w:val="00C33983"/>
    <w:rsid w:val="00C33DD0"/>
    <w:rsid w:val="00C340D1"/>
    <w:rsid w:val="00C34411"/>
    <w:rsid w:val="00C34427"/>
    <w:rsid w:val="00C344C0"/>
    <w:rsid w:val="00C34876"/>
    <w:rsid w:val="00C3489E"/>
    <w:rsid w:val="00C34CFE"/>
    <w:rsid w:val="00C35001"/>
    <w:rsid w:val="00C35044"/>
    <w:rsid w:val="00C35131"/>
    <w:rsid w:val="00C3524C"/>
    <w:rsid w:val="00C3537C"/>
    <w:rsid w:val="00C35385"/>
    <w:rsid w:val="00C355B7"/>
    <w:rsid w:val="00C35641"/>
    <w:rsid w:val="00C35707"/>
    <w:rsid w:val="00C35835"/>
    <w:rsid w:val="00C359C7"/>
    <w:rsid w:val="00C35AAE"/>
    <w:rsid w:val="00C35BB9"/>
    <w:rsid w:val="00C35FED"/>
    <w:rsid w:val="00C36085"/>
    <w:rsid w:val="00C365DB"/>
    <w:rsid w:val="00C3670A"/>
    <w:rsid w:val="00C367A9"/>
    <w:rsid w:val="00C36FF3"/>
    <w:rsid w:val="00C37211"/>
    <w:rsid w:val="00C37241"/>
    <w:rsid w:val="00C373F1"/>
    <w:rsid w:val="00C374B4"/>
    <w:rsid w:val="00C3754B"/>
    <w:rsid w:val="00C3760F"/>
    <w:rsid w:val="00C37825"/>
    <w:rsid w:val="00C40279"/>
    <w:rsid w:val="00C405EC"/>
    <w:rsid w:val="00C406FB"/>
    <w:rsid w:val="00C40746"/>
    <w:rsid w:val="00C407BA"/>
    <w:rsid w:val="00C40B1E"/>
    <w:rsid w:val="00C40B37"/>
    <w:rsid w:val="00C40E17"/>
    <w:rsid w:val="00C41446"/>
    <w:rsid w:val="00C416D7"/>
    <w:rsid w:val="00C419FF"/>
    <w:rsid w:val="00C41BF0"/>
    <w:rsid w:val="00C41CE7"/>
    <w:rsid w:val="00C41EB5"/>
    <w:rsid w:val="00C4215A"/>
    <w:rsid w:val="00C42355"/>
    <w:rsid w:val="00C423F1"/>
    <w:rsid w:val="00C4255E"/>
    <w:rsid w:val="00C42617"/>
    <w:rsid w:val="00C4269A"/>
    <w:rsid w:val="00C426A3"/>
    <w:rsid w:val="00C4292D"/>
    <w:rsid w:val="00C429D7"/>
    <w:rsid w:val="00C429E9"/>
    <w:rsid w:val="00C42C8B"/>
    <w:rsid w:val="00C42D9D"/>
    <w:rsid w:val="00C42DC0"/>
    <w:rsid w:val="00C4326A"/>
    <w:rsid w:val="00C43372"/>
    <w:rsid w:val="00C438D4"/>
    <w:rsid w:val="00C43950"/>
    <w:rsid w:val="00C439C8"/>
    <w:rsid w:val="00C43A4C"/>
    <w:rsid w:val="00C43B13"/>
    <w:rsid w:val="00C44172"/>
    <w:rsid w:val="00C443D5"/>
    <w:rsid w:val="00C4447C"/>
    <w:rsid w:val="00C447FA"/>
    <w:rsid w:val="00C448CC"/>
    <w:rsid w:val="00C44C8D"/>
    <w:rsid w:val="00C44D93"/>
    <w:rsid w:val="00C44E44"/>
    <w:rsid w:val="00C45072"/>
    <w:rsid w:val="00C45587"/>
    <w:rsid w:val="00C4558B"/>
    <w:rsid w:val="00C4558F"/>
    <w:rsid w:val="00C45A16"/>
    <w:rsid w:val="00C45B3F"/>
    <w:rsid w:val="00C45E4F"/>
    <w:rsid w:val="00C45EBE"/>
    <w:rsid w:val="00C460A0"/>
    <w:rsid w:val="00C460C8"/>
    <w:rsid w:val="00C46394"/>
    <w:rsid w:val="00C46492"/>
    <w:rsid w:val="00C46741"/>
    <w:rsid w:val="00C47227"/>
    <w:rsid w:val="00C473EA"/>
    <w:rsid w:val="00C4774C"/>
    <w:rsid w:val="00C47B97"/>
    <w:rsid w:val="00C47D30"/>
    <w:rsid w:val="00C5021E"/>
    <w:rsid w:val="00C5026B"/>
    <w:rsid w:val="00C50313"/>
    <w:rsid w:val="00C505F9"/>
    <w:rsid w:val="00C5095E"/>
    <w:rsid w:val="00C50B88"/>
    <w:rsid w:val="00C50B89"/>
    <w:rsid w:val="00C50CF3"/>
    <w:rsid w:val="00C50EFF"/>
    <w:rsid w:val="00C50F94"/>
    <w:rsid w:val="00C5107E"/>
    <w:rsid w:val="00C510E0"/>
    <w:rsid w:val="00C5118E"/>
    <w:rsid w:val="00C5130E"/>
    <w:rsid w:val="00C51591"/>
    <w:rsid w:val="00C51755"/>
    <w:rsid w:val="00C51789"/>
    <w:rsid w:val="00C51A82"/>
    <w:rsid w:val="00C51BCC"/>
    <w:rsid w:val="00C51E00"/>
    <w:rsid w:val="00C51EBE"/>
    <w:rsid w:val="00C51F16"/>
    <w:rsid w:val="00C52212"/>
    <w:rsid w:val="00C5232D"/>
    <w:rsid w:val="00C524FF"/>
    <w:rsid w:val="00C525C2"/>
    <w:rsid w:val="00C52786"/>
    <w:rsid w:val="00C52A86"/>
    <w:rsid w:val="00C52D6B"/>
    <w:rsid w:val="00C5311D"/>
    <w:rsid w:val="00C532D8"/>
    <w:rsid w:val="00C5334F"/>
    <w:rsid w:val="00C5341A"/>
    <w:rsid w:val="00C539C8"/>
    <w:rsid w:val="00C53CFE"/>
    <w:rsid w:val="00C53D16"/>
    <w:rsid w:val="00C54357"/>
    <w:rsid w:val="00C544B6"/>
    <w:rsid w:val="00C549FA"/>
    <w:rsid w:val="00C54AB0"/>
    <w:rsid w:val="00C54FBC"/>
    <w:rsid w:val="00C54FDA"/>
    <w:rsid w:val="00C55045"/>
    <w:rsid w:val="00C55AD2"/>
    <w:rsid w:val="00C55C91"/>
    <w:rsid w:val="00C55D6C"/>
    <w:rsid w:val="00C55E95"/>
    <w:rsid w:val="00C55FBA"/>
    <w:rsid w:val="00C56130"/>
    <w:rsid w:val="00C563BC"/>
    <w:rsid w:val="00C564B9"/>
    <w:rsid w:val="00C5676E"/>
    <w:rsid w:val="00C567F0"/>
    <w:rsid w:val="00C56877"/>
    <w:rsid w:val="00C568E2"/>
    <w:rsid w:val="00C56BAE"/>
    <w:rsid w:val="00C57086"/>
    <w:rsid w:val="00C5719B"/>
    <w:rsid w:val="00C571CD"/>
    <w:rsid w:val="00C57541"/>
    <w:rsid w:val="00C5782C"/>
    <w:rsid w:val="00C57A4B"/>
    <w:rsid w:val="00C57CFE"/>
    <w:rsid w:val="00C57DAA"/>
    <w:rsid w:val="00C57F1B"/>
    <w:rsid w:val="00C604E7"/>
    <w:rsid w:val="00C60BA4"/>
    <w:rsid w:val="00C60C06"/>
    <w:rsid w:val="00C60E22"/>
    <w:rsid w:val="00C6105F"/>
    <w:rsid w:val="00C6109E"/>
    <w:rsid w:val="00C61152"/>
    <w:rsid w:val="00C61359"/>
    <w:rsid w:val="00C61393"/>
    <w:rsid w:val="00C614FF"/>
    <w:rsid w:val="00C615D0"/>
    <w:rsid w:val="00C6195B"/>
    <w:rsid w:val="00C61D36"/>
    <w:rsid w:val="00C61F32"/>
    <w:rsid w:val="00C62038"/>
    <w:rsid w:val="00C626B3"/>
    <w:rsid w:val="00C627E4"/>
    <w:rsid w:val="00C62B66"/>
    <w:rsid w:val="00C62F98"/>
    <w:rsid w:val="00C63427"/>
    <w:rsid w:val="00C635EB"/>
    <w:rsid w:val="00C636C7"/>
    <w:rsid w:val="00C6393F"/>
    <w:rsid w:val="00C639E6"/>
    <w:rsid w:val="00C63B05"/>
    <w:rsid w:val="00C63D41"/>
    <w:rsid w:val="00C63D79"/>
    <w:rsid w:val="00C63E2B"/>
    <w:rsid w:val="00C64073"/>
    <w:rsid w:val="00C642DF"/>
    <w:rsid w:val="00C64681"/>
    <w:rsid w:val="00C64711"/>
    <w:rsid w:val="00C64744"/>
    <w:rsid w:val="00C64995"/>
    <w:rsid w:val="00C64D14"/>
    <w:rsid w:val="00C64DB0"/>
    <w:rsid w:val="00C652AE"/>
    <w:rsid w:val="00C652BC"/>
    <w:rsid w:val="00C65445"/>
    <w:rsid w:val="00C65A00"/>
    <w:rsid w:val="00C65C07"/>
    <w:rsid w:val="00C65D7F"/>
    <w:rsid w:val="00C65DE5"/>
    <w:rsid w:val="00C6658F"/>
    <w:rsid w:val="00C666CE"/>
    <w:rsid w:val="00C66D35"/>
    <w:rsid w:val="00C67228"/>
    <w:rsid w:val="00C674E3"/>
    <w:rsid w:val="00C675FC"/>
    <w:rsid w:val="00C678AE"/>
    <w:rsid w:val="00C679C6"/>
    <w:rsid w:val="00C67A1D"/>
    <w:rsid w:val="00C67E47"/>
    <w:rsid w:val="00C70007"/>
    <w:rsid w:val="00C70205"/>
    <w:rsid w:val="00C7021A"/>
    <w:rsid w:val="00C70665"/>
    <w:rsid w:val="00C708AF"/>
    <w:rsid w:val="00C70993"/>
    <w:rsid w:val="00C70E94"/>
    <w:rsid w:val="00C713E2"/>
    <w:rsid w:val="00C719A4"/>
    <w:rsid w:val="00C71A30"/>
    <w:rsid w:val="00C71AFB"/>
    <w:rsid w:val="00C71E8F"/>
    <w:rsid w:val="00C72132"/>
    <w:rsid w:val="00C7248D"/>
    <w:rsid w:val="00C724E7"/>
    <w:rsid w:val="00C7265D"/>
    <w:rsid w:val="00C728CE"/>
    <w:rsid w:val="00C72C03"/>
    <w:rsid w:val="00C72DEC"/>
    <w:rsid w:val="00C7317F"/>
    <w:rsid w:val="00C7356E"/>
    <w:rsid w:val="00C7362E"/>
    <w:rsid w:val="00C739B6"/>
    <w:rsid w:val="00C73B69"/>
    <w:rsid w:val="00C73D34"/>
    <w:rsid w:val="00C73F6B"/>
    <w:rsid w:val="00C744DB"/>
    <w:rsid w:val="00C7461A"/>
    <w:rsid w:val="00C746FE"/>
    <w:rsid w:val="00C74A1C"/>
    <w:rsid w:val="00C74A83"/>
    <w:rsid w:val="00C74F45"/>
    <w:rsid w:val="00C7511A"/>
    <w:rsid w:val="00C753F6"/>
    <w:rsid w:val="00C75695"/>
    <w:rsid w:val="00C757E5"/>
    <w:rsid w:val="00C75D00"/>
    <w:rsid w:val="00C75D5D"/>
    <w:rsid w:val="00C75F4F"/>
    <w:rsid w:val="00C75FB7"/>
    <w:rsid w:val="00C7621D"/>
    <w:rsid w:val="00C765C8"/>
    <w:rsid w:val="00C767B3"/>
    <w:rsid w:val="00C76E20"/>
    <w:rsid w:val="00C76EFE"/>
    <w:rsid w:val="00C77064"/>
    <w:rsid w:val="00C77163"/>
    <w:rsid w:val="00C7718A"/>
    <w:rsid w:val="00C77837"/>
    <w:rsid w:val="00C7796B"/>
    <w:rsid w:val="00C77F77"/>
    <w:rsid w:val="00C77FD3"/>
    <w:rsid w:val="00C80327"/>
    <w:rsid w:val="00C8099F"/>
    <w:rsid w:val="00C80A57"/>
    <w:rsid w:val="00C80AAE"/>
    <w:rsid w:val="00C80C14"/>
    <w:rsid w:val="00C80E26"/>
    <w:rsid w:val="00C80E36"/>
    <w:rsid w:val="00C810CF"/>
    <w:rsid w:val="00C8112B"/>
    <w:rsid w:val="00C81355"/>
    <w:rsid w:val="00C813B4"/>
    <w:rsid w:val="00C81580"/>
    <w:rsid w:val="00C81849"/>
    <w:rsid w:val="00C81F76"/>
    <w:rsid w:val="00C81F8C"/>
    <w:rsid w:val="00C8207E"/>
    <w:rsid w:val="00C82116"/>
    <w:rsid w:val="00C82165"/>
    <w:rsid w:val="00C8226F"/>
    <w:rsid w:val="00C8232F"/>
    <w:rsid w:val="00C82333"/>
    <w:rsid w:val="00C826D0"/>
    <w:rsid w:val="00C826FC"/>
    <w:rsid w:val="00C82767"/>
    <w:rsid w:val="00C82781"/>
    <w:rsid w:val="00C82D32"/>
    <w:rsid w:val="00C82F90"/>
    <w:rsid w:val="00C831D9"/>
    <w:rsid w:val="00C83461"/>
    <w:rsid w:val="00C83633"/>
    <w:rsid w:val="00C838F6"/>
    <w:rsid w:val="00C839A0"/>
    <w:rsid w:val="00C83CB0"/>
    <w:rsid w:val="00C83CB5"/>
    <w:rsid w:val="00C83F7A"/>
    <w:rsid w:val="00C84105"/>
    <w:rsid w:val="00C841B2"/>
    <w:rsid w:val="00C84204"/>
    <w:rsid w:val="00C84237"/>
    <w:rsid w:val="00C84345"/>
    <w:rsid w:val="00C84663"/>
    <w:rsid w:val="00C846F7"/>
    <w:rsid w:val="00C84762"/>
    <w:rsid w:val="00C847A0"/>
    <w:rsid w:val="00C847FD"/>
    <w:rsid w:val="00C848C3"/>
    <w:rsid w:val="00C848FB"/>
    <w:rsid w:val="00C8496D"/>
    <w:rsid w:val="00C85069"/>
    <w:rsid w:val="00C853B5"/>
    <w:rsid w:val="00C857E7"/>
    <w:rsid w:val="00C85EEF"/>
    <w:rsid w:val="00C864BB"/>
    <w:rsid w:val="00C864FC"/>
    <w:rsid w:val="00C867A3"/>
    <w:rsid w:val="00C86A7B"/>
    <w:rsid w:val="00C86B04"/>
    <w:rsid w:val="00C86BC6"/>
    <w:rsid w:val="00C86EC7"/>
    <w:rsid w:val="00C86F1E"/>
    <w:rsid w:val="00C86F84"/>
    <w:rsid w:val="00C871C1"/>
    <w:rsid w:val="00C87373"/>
    <w:rsid w:val="00C8770B"/>
    <w:rsid w:val="00C87860"/>
    <w:rsid w:val="00C878CA"/>
    <w:rsid w:val="00C8792D"/>
    <w:rsid w:val="00C879EB"/>
    <w:rsid w:val="00C87CB0"/>
    <w:rsid w:val="00C87CFD"/>
    <w:rsid w:val="00C87E87"/>
    <w:rsid w:val="00C87EB1"/>
    <w:rsid w:val="00C87EC8"/>
    <w:rsid w:val="00C90029"/>
    <w:rsid w:val="00C90064"/>
    <w:rsid w:val="00C901FA"/>
    <w:rsid w:val="00C90313"/>
    <w:rsid w:val="00C90327"/>
    <w:rsid w:val="00C90459"/>
    <w:rsid w:val="00C905BB"/>
    <w:rsid w:val="00C90AD0"/>
    <w:rsid w:val="00C90B1E"/>
    <w:rsid w:val="00C90D19"/>
    <w:rsid w:val="00C90F3F"/>
    <w:rsid w:val="00C91456"/>
    <w:rsid w:val="00C915B3"/>
    <w:rsid w:val="00C916B4"/>
    <w:rsid w:val="00C91B1A"/>
    <w:rsid w:val="00C91C9B"/>
    <w:rsid w:val="00C91DE4"/>
    <w:rsid w:val="00C9220F"/>
    <w:rsid w:val="00C92444"/>
    <w:rsid w:val="00C92530"/>
    <w:rsid w:val="00C925EA"/>
    <w:rsid w:val="00C92973"/>
    <w:rsid w:val="00C92ABF"/>
    <w:rsid w:val="00C93475"/>
    <w:rsid w:val="00C9357A"/>
    <w:rsid w:val="00C93B27"/>
    <w:rsid w:val="00C93F3F"/>
    <w:rsid w:val="00C94254"/>
    <w:rsid w:val="00C94B93"/>
    <w:rsid w:val="00C94ED0"/>
    <w:rsid w:val="00C94F13"/>
    <w:rsid w:val="00C95272"/>
    <w:rsid w:val="00C9565C"/>
    <w:rsid w:val="00C957BA"/>
    <w:rsid w:val="00C95849"/>
    <w:rsid w:val="00C95944"/>
    <w:rsid w:val="00C95E48"/>
    <w:rsid w:val="00C96343"/>
    <w:rsid w:val="00C96447"/>
    <w:rsid w:val="00C96B23"/>
    <w:rsid w:val="00C96FB4"/>
    <w:rsid w:val="00C9705F"/>
    <w:rsid w:val="00C976D4"/>
    <w:rsid w:val="00C9790F"/>
    <w:rsid w:val="00CA0005"/>
    <w:rsid w:val="00CA00FE"/>
    <w:rsid w:val="00CA023C"/>
    <w:rsid w:val="00CA0308"/>
    <w:rsid w:val="00CA093E"/>
    <w:rsid w:val="00CA0A92"/>
    <w:rsid w:val="00CA0BA5"/>
    <w:rsid w:val="00CA0F28"/>
    <w:rsid w:val="00CA105A"/>
    <w:rsid w:val="00CA1082"/>
    <w:rsid w:val="00CA12A5"/>
    <w:rsid w:val="00CA14F5"/>
    <w:rsid w:val="00CA1713"/>
    <w:rsid w:val="00CA192E"/>
    <w:rsid w:val="00CA1A51"/>
    <w:rsid w:val="00CA1ABB"/>
    <w:rsid w:val="00CA1C4B"/>
    <w:rsid w:val="00CA1DF0"/>
    <w:rsid w:val="00CA2489"/>
    <w:rsid w:val="00CA26E7"/>
    <w:rsid w:val="00CA2AB8"/>
    <w:rsid w:val="00CA2C69"/>
    <w:rsid w:val="00CA2E9A"/>
    <w:rsid w:val="00CA2F86"/>
    <w:rsid w:val="00CA2F99"/>
    <w:rsid w:val="00CA307C"/>
    <w:rsid w:val="00CA309D"/>
    <w:rsid w:val="00CA3267"/>
    <w:rsid w:val="00CA3584"/>
    <w:rsid w:val="00CA35EE"/>
    <w:rsid w:val="00CA3A8F"/>
    <w:rsid w:val="00CA3D4A"/>
    <w:rsid w:val="00CA3E4E"/>
    <w:rsid w:val="00CA41A6"/>
    <w:rsid w:val="00CA4216"/>
    <w:rsid w:val="00CA42F6"/>
    <w:rsid w:val="00CA43EA"/>
    <w:rsid w:val="00CA4463"/>
    <w:rsid w:val="00CA476D"/>
    <w:rsid w:val="00CA47A8"/>
    <w:rsid w:val="00CA47CC"/>
    <w:rsid w:val="00CA4A24"/>
    <w:rsid w:val="00CA4C6C"/>
    <w:rsid w:val="00CA4E47"/>
    <w:rsid w:val="00CA4EE2"/>
    <w:rsid w:val="00CA51F6"/>
    <w:rsid w:val="00CA5BB7"/>
    <w:rsid w:val="00CA5D03"/>
    <w:rsid w:val="00CA5D4B"/>
    <w:rsid w:val="00CA626C"/>
    <w:rsid w:val="00CA66E2"/>
    <w:rsid w:val="00CA685A"/>
    <w:rsid w:val="00CA68C7"/>
    <w:rsid w:val="00CA6C7A"/>
    <w:rsid w:val="00CA6F17"/>
    <w:rsid w:val="00CA700D"/>
    <w:rsid w:val="00CA720F"/>
    <w:rsid w:val="00CA7254"/>
    <w:rsid w:val="00CA74DB"/>
    <w:rsid w:val="00CA7587"/>
    <w:rsid w:val="00CA764C"/>
    <w:rsid w:val="00CA76D7"/>
    <w:rsid w:val="00CA7779"/>
    <w:rsid w:val="00CA7829"/>
    <w:rsid w:val="00CA792F"/>
    <w:rsid w:val="00CA7E64"/>
    <w:rsid w:val="00CA7F58"/>
    <w:rsid w:val="00CB00E7"/>
    <w:rsid w:val="00CB0271"/>
    <w:rsid w:val="00CB02AB"/>
    <w:rsid w:val="00CB03A6"/>
    <w:rsid w:val="00CB045C"/>
    <w:rsid w:val="00CB0603"/>
    <w:rsid w:val="00CB09A0"/>
    <w:rsid w:val="00CB0B91"/>
    <w:rsid w:val="00CB17D5"/>
    <w:rsid w:val="00CB184F"/>
    <w:rsid w:val="00CB1C40"/>
    <w:rsid w:val="00CB1C52"/>
    <w:rsid w:val="00CB1F27"/>
    <w:rsid w:val="00CB2256"/>
    <w:rsid w:val="00CB23C5"/>
    <w:rsid w:val="00CB25B1"/>
    <w:rsid w:val="00CB2740"/>
    <w:rsid w:val="00CB29FA"/>
    <w:rsid w:val="00CB2A33"/>
    <w:rsid w:val="00CB2BE1"/>
    <w:rsid w:val="00CB2D5F"/>
    <w:rsid w:val="00CB31AC"/>
    <w:rsid w:val="00CB3422"/>
    <w:rsid w:val="00CB3541"/>
    <w:rsid w:val="00CB36BE"/>
    <w:rsid w:val="00CB37AF"/>
    <w:rsid w:val="00CB3889"/>
    <w:rsid w:val="00CB38BD"/>
    <w:rsid w:val="00CB4165"/>
    <w:rsid w:val="00CB42FB"/>
    <w:rsid w:val="00CB4A65"/>
    <w:rsid w:val="00CB4B9C"/>
    <w:rsid w:val="00CB4F03"/>
    <w:rsid w:val="00CB51B5"/>
    <w:rsid w:val="00CB5272"/>
    <w:rsid w:val="00CB5C06"/>
    <w:rsid w:val="00CB5F1B"/>
    <w:rsid w:val="00CB6122"/>
    <w:rsid w:val="00CB66C8"/>
    <w:rsid w:val="00CB6B51"/>
    <w:rsid w:val="00CB6C34"/>
    <w:rsid w:val="00CB6C7B"/>
    <w:rsid w:val="00CB6EC0"/>
    <w:rsid w:val="00CB6FCA"/>
    <w:rsid w:val="00CB71E0"/>
    <w:rsid w:val="00CB7341"/>
    <w:rsid w:val="00CB7582"/>
    <w:rsid w:val="00CB75E7"/>
    <w:rsid w:val="00CB7721"/>
    <w:rsid w:val="00CB7920"/>
    <w:rsid w:val="00CB7AAE"/>
    <w:rsid w:val="00CB7BB6"/>
    <w:rsid w:val="00CB7E0C"/>
    <w:rsid w:val="00CB7E84"/>
    <w:rsid w:val="00CB7F66"/>
    <w:rsid w:val="00CC0036"/>
    <w:rsid w:val="00CC012D"/>
    <w:rsid w:val="00CC013E"/>
    <w:rsid w:val="00CC0278"/>
    <w:rsid w:val="00CC038A"/>
    <w:rsid w:val="00CC03E8"/>
    <w:rsid w:val="00CC0844"/>
    <w:rsid w:val="00CC08B8"/>
    <w:rsid w:val="00CC0B3C"/>
    <w:rsid w:val="00CC0BEA"/>
    <w:rsid w:val="00CC0C9A"/>
    <w:rsid w:val="00CC1080"/>
    <w:rsid w:val="00CC110F"/>
    <w:rsid w:val="00CC1764"/>
    <w:rsid w:val="00CC17D7"/>
    <w:rsid w:val="00CC193F"/>
    <w:rsid w:val="00CC1DCE"/>
    <w:rsid w:val="00CC1E96"/>
    <w:rsid w:val="00CC2081"/>
    <w:rsid w:val="00CC219F"/>
    <w:rsid w:val="00CC22AE"/>
    <w:rsid w:val="00CC231D"/>
    <w:rsid w:val="00CC2753"/>
    <w:rsid w:val="00CC2F9B"/>
    <w:rsid w:val="00CC32BF"/>
    <w:rsid w:val="00CC32E1"/>
    <w:rsid w:val="00CC337B"/>
    <w:rsid w:val="00CC3499"/>
    <w:rsid w:val="00CC37FF"/>
    <w:rsid w:val="00CC3CE5"/>
    <w:rsid w:val="00CC3FC0"/>
    <w:rsid w:val="00CC3FF0"/>
    <w:rsid w:val="00CC40E9"/>
    <w:rsid w:val="00CC4224"/>
    <w:rsid w:val="00CC42FF"/>
    <w:rsid w:val="00CC43AA"/>
    <w:rsid w:val="00CC44CF"/>
    <w:rsid w:val="00CC46AC"/>
    <w:rsid w:val="00CC4752"/>
    <w:rsid w:val="00CC47BF"/>
    <w:rsid w:val="00CC4894"/>
    <w:rsid w:val="00CC48F8"/>
    <w:rsid w:val="00CC4BA3"/>
    <w:rsid w:val="00CC4CDD"/>
    <w:rsid w:val="00CC4F6C"/>
    <w:rsid w:val="00CC4FC6"/>
    <w:rsid w:val="00CC508E"/>
    <w:rsid w:val="00CC5178"/>
    <w:rsid w:val="00CC51BA"/>
    <w:rsid w:val="00CC5487"/>
    <w:rsid w:val="00CC56A1"/>
    <w:rsid w:val="00CC5701"/>
    <w:rsid w:val="00CC5D4A"/>
    <w:rsid w:val="00CC5E1A"/>
    <w:rsid w:val="00CC61D4"/>
    <w:rsid w:val="00CC641D"/>
    <w:rsid w:val="00CC64A8"/>
    <w:rsid w:val="00CC6673"/>
    <w:rsid w:val="00CC6730"/>
    <w:rsid w:val="00CC6A42"/>
    <w:rsid w:val="00CC6A84"/>
    <w:rsid w:val="00CC6ACE"/>
    <w:rsid w:val="00CC6B03"/>
    <w:rsid w:val="00CC6B8B"/>
    <w:rsid w:val="00CC6E7C"/>
    <w:rsid w:val="00CC7490"/>
    <w:rsid w:val="00CC77B4"/>
    <w:rsid w:val="00CC7AF9"/>
    <w:rsid w:val="00CC7C8D"/>
    <w:rsid w:val="00CC7E55"/>
    <w:rsid w:val="00CC7EDA"/>
    <w:rsid w:val="00CD016E"/>
    <w:rsid w:val="00CD03A8"/>
    <w:rsid w:val="00CD06E9"/>
    <w:rsid w:val="00CD0AD0"/>
    <w:rsid w:val="00CD0C36"/>
    <w:rsid w:val="00CD0DFC"/>
    <w:rsid w:val="00CD0E15"/>
    <w:rsid w:val="00CD0E65"/>
    <w:rsid w:val="00CD0E89"/>
    <w:rsid w:val="00CD0ED6"/>
    <w:rsid w:val="00CD137B"/>
    <w:rsid w:val="00CD172C"/>
    <w:rsid w:val="00CD17B4"/>
    <w:rsid w:val="00CD1A91"/>
    <w:rsid w:val="00CD1D83"/>
    <w:rsid w:val="00CD1DF1"/>
    <w:rsid w:val="00CD226E"/>
    <w:rsid w:val="00CD2376"/>
    <w:rsid w:val="00CD23C7"/>
    <w:rsid w:val="00CD2579"/>
    <w:rsid w:val="00CD26D1"/>
    <w:rsid w:val="00CD27CD"/>
    <w:rsid w:val="00CD288D"/>
    <w:rsid w:val="00CD2A86"/>
    <w:rsid w:val="00CD2C1A"/>
    <w:rsid w:val="00CD2C3A"/>
    <w:rsid w:val="00CD3149"/>
    <w:rsid w:val="00CD317B"/>
    <w:rsid w:val="00CD3302"/>
    <w:rsid w:val="00CD3876"/>
    <w:rsid w:val="00CD3AB9"/>
    <w:rsid w:val="00CD3B5A"/>
    <w:rsid w:val="00CD3E65"/>
    <w:rsid w:val="00CD3EC0"/>
    <w:rsid w:val="00CD4000"/>
    <w:rsid w:val="00CD43CB"/>
    <w:rsid w:val="00CD4509"/>
    <w:rsid w:val="00CD4663"/>
    <w:rsid w:val="00CD4835"/>
    <w:rsid w:val="00CD48EB"/>
    <w:rsid w:val="00CD4AA3"/>
    <w:rsid w:val="00CD4F5B"/>
    <w:rsid w:val="00CD511F"/>
    <w:rsid w:val="00CD5144"/>
    <w:rsid w:val="00CD539A"/>
    <w:rsid w:val="00CD5C8D"/>
    <w:rsid w:val="00CD5F09"/>
    <w:rsid w:val="00CD66D9"/>
    <w:rsid w:val="00CD66E1"/>
    <w:rsid w:val="00CD6936"/>
    <w:rsid w:val="00CD6AE2"/>
    <w:rsid w:val="00CD6B36"/>
    <w:rsid w:val="00CD6CFE"/>
    <w:rsid w:val="00CD6D31"/>
    <w:rsid w:val="00CD7256"/>
    <w:rsid w:val="00CD74B6"/>
    <w:rsid w:val="00CD778B"/>
    <w:rsid w:val="00CE0609"/>
    <w:rsid w:val="00CE080F"/>
    <w:rsid w:val="00CE08E0"/>
    <w:rsid w:val="00CE0905"/>
    <w:rsid w:val="00CE0B54"/>
    <w:rsid w:val="00CE0C11"/>
    <w:rsid w:val="00CE120B"/>
    <w:rsid w:val="00CE1548"/>
    <w:rsid w:val="00CE18F4"/>
    <w:rsid w:val="00CE1B28"/>
    <w:rsid w:val="00CE1BEB"/>
    <w:rsid w:val="00CE1D48"/>
    <w:rsid w:val="00CE1D50"/>
    <w:rsid w:val="00CE1DD8"/>
    <w:rsid w:val="00CE20C2"/>
    <w:rsid w:val="00CE2386"/>
    <w:rsid w:val="00CE258A"/>
    <w:rsid w:val="00CE28AA"/>
    <w:rsid w:val="00CE29F8"/>
    <w:rsid w:val="00CE2B63"/>
    <w:rsid w:val="00CE2CB5"/>
    <w:rsid w:val="00CE2F93"/>
    <w:rsid w:val="00CE2FE1"/>
    <w:rsid w:val="00CE306C"/>
    <w:rsid w:val="00CE3239"/>
    <w:rsid w:val="00CE32BA"/>
    <w:rsid w:val="00CE36B3"/>
    <w:rsid w:val="00CE394A"/>
    <w:rsid w:val="00CE3B2C"/>
    <w:rsid w:val="00CE3C30"/>
    <w:rsid w:val="00CE3E6A"/>
    <w:rsid w:val="00CE3EA5"/>
    <w:rsid w:val="00CE3F21"/>
    <w:rsid w:val="00CE4057"/>
    <w:rsid w:val="00CE451F"/>
    <w:rsid w:val="00CE4701"/>
    <w:rsid w:val="00CE4C37"/>
    <w:rsid w:val="00CE4D49"/>
    <w:rsid w:val="00CE4D79"/>
    <w:rsid w:val="00CE4EDB"/>
    <w:rsid w:val="00CE5349"/>
    <w:rsid w:val="00CE53E9"/>
    <w:rsid w:val="00CE5506"/>
    <w:rsid w:val="00CE5549"/>
    <w:rsid w:val="00CE56A7"/>
    <w:rsid w:val="00CE6578"/>
    <w:rsid w:val="00CE65A6"/>
    <w:rsid w:val="00CE687B"/>
    <w:rsid w:val="00CE69B0"/>
    <w:rsid w:val="00CE6E78"/>
    <w:rsid w:val="00CE71EC"/>
    <w:rsid w:val="00CE75A7"/>
    <w:rsid w:val="00CE75A8"/>
    <w:rsid w:val="00CE75AA"/>
    <w:rsid w:val="00CE78F2"/>
    <w:rsid w:val="00CE7A57"/>
    <w:rsid w:val="00CE7A7C"/>
    <w:rsid w:val="00CE7B60"/>
    <w:rsid w:val="00CE7D8D"/>
    <w:rsid w:val="00CE7EF2"/>
    <w:rsid w:val="00CF02F1"/>
    <w:rsid w:val="00CF037A"/>
    <w:rsid w:val="00CF04B9"/>
    <w:rsid w:val="00CF0666"/>
    <w:rsid w:val="00CF07F8"/>
    <w:rsid w:val="00CF0A90"/>
    <w:rsid w:val="00CF0C0D"/>
    <w:rsid w:val="00CF0E3C"/>
    <w:rsid w:val="00CF10DD"/>
    <w:rsid w:val="00CF1300"/>
    <w:rsid w:val="00CF140A"/>
    <w:rsid w:val="00CF17B3"/>
    <w:rsid w:val="00CF20AD"/>
    <w:rsid w:val="00CF21CB"/>
    <w:rsid w:val="00CF23BE"/>
    <w:rsid w:val="00CF2475"/>
    <w:rsid w:val="00CF25ED"/>
    <w:rsid w:val="00CF26BE"/>
    <w:rsid w:val="00CF272F"/>
    <w:rsid w:val="00CF2884"/>
    <w:rsid w:val="00CF2CCB"/>
    <w:rsid w:val="00CF2CCF"/>
    <w:rsid w:val="00CF2E46"/>
    <w:rsid w:val="00CF3032"/>
    <w:rsid w:val="00CF303B"/>
    <w:rsid w:val="00CF383D"/>
    <w:rsid w:val="00CF3840"/>
    <w:rsid w:val="00CF387E"/>
    <w:rsid w:val="00CF3890"/>
    <w:rsid w:val="00CF3FAF"/>
    <w:rsid w:val="00CF3FE3"/>
    <w:rsid w:val="00CF40A1"/>
    <w:rsid w:val="00CF42F7"/>
    <w:rsid w:val="00CF4321"/>
    <w:rsid w:val="00CF43BD"/>
    <w:rsid w:val="00CF46ED"/>
    <w:rsid w:val="00CF48AA"/>
    <w:rsid w:val="00CF4A84"/>
    <w:rsid w:val="00CF58E6"/>
    <w:rsid w:val="00CF5BAD"/>
    <w:rsid w:val="00CF5D7F"/>
    <w:rsid w:val="00CF5DEF"/>
    <w:rsid w:val="00CF6125"/>
    <w:rsid w:val="00CF6877"/>
    <w:rsid w:val="00CF6A31"/>
    <w:rsid w:val="00CF6F72"/>
    <w:rsid w:val="00CF706A"/>
    <w:rsid w:val="00CF71E6"/>
    <w:rsid w:val="00CF72E0"/>
    <w:rsid w:val="00CF7691"/>
    <w:rsid w:val="00CF77B1"/>
    <w:rsid w:val="00CF7C36"/>
    <w:rsid w:val="00CF7D98"/>
    <w:rsid w:val="00CF7DF9"/>
    <w:rsid w:val="00CF7EAD"/>
    <w:rsid w:val="00CF7FA5"/>
    <w:rsid w:val="00D00158"/>
    <w:rsid w:val="00D001B7"/>
    <w:rsid w:val="00D00313"/>
    <w:rsid w:val="00D00778"/>
    <w:rsid w:val="00D00925"/>
    <w:rsid w:val="00D00A63"/>
    <w:rsid w:val="00D00BD9"/>
    <w:rsid w:val="00D00C45"/>
    <w:rsid w:val="00D00D02"/>
    <w:rsid w:val="00D00D23"/>
    <w:rsid w:val="00D00E11"/>
    <w:rsid w:val="00D013CE"/>
    <w:rsid w:val="00D01A0B"/>
    <w:rsid w:val="00D01B03"/>
    <w:rsid w:val="00D01B0B"/>
    <w:rsid w:val="00D01B64"/>
    <w:rsid w:val="00D01C70"/>
    <w:rsid w:val="00D01DC2"/>
    <w:rsid w:val="00D01F2C"/>
    <w:rsid w:val="00D020AF"/>
    <w:rsid w:val="00D021A8"/>
    <w:rsid w:val="00D021AE"/>
    <w:rsid w:val="00D022E7"/>
    <w:rsid w:val="00D0247F"/>
    <w:rsid w:val="00D028FC"/>
    <w:rsid w:val="00D02BE6"/>
    <w:rsid w:val="00D02D90"/>
    <w:rsid w:val="00D02D94"/>
    <w:rsid w:val="00D02E76"/>
    <w:rsid w:val="00D02F52"/>
    <w:rsid w:val="00D03348"/>
    <w:rsid w:val="00D03385"/>
    <w:rsid w:val="00D0342A"/>
    <w:rsid w:val="00D03479"/>
    <w:rsid w:val="00D0355E"/>
    <w:rsid w:val="00D03653"/>
    <w:rsid w:val="00D036FF"/>
    <w:rsid w:val="00D03BF5"/>
    <w:rsid w:val="00D0406E"/>
    <w:rsid w:val="00D041E8"/>
    <w:rsid w:val="00D04403"/>
    <w:rsid w:val="00D04483"/>
    <w:rsid w:val="00D044F4"/>
    <w:rsid w:val="00D04AC9"/>
    <w:rsid w:val="00D04DBF"/>
    <w:rsid w:val="00D04DEC"/>
    <w:rsid w:val="00D05D4E"/>
    <w:rsid w:val="00D06832"/>
    <w:rsid w:val="00D06A0A"/>
    <w:rsid w:val="00D06ADB"/>
    <w:rsid w:val="00D06B64"/>
    <w:rsid w:val="00D06BEF"/>
    <w:rsid w:val="00D0707B"/>
    <w:rsid w:val="00D0798F"/>
    <w:rsid w:val="00D07B79"/>
    <w:rsid w:val="00D07D92"/>
    <w:rsid w:val="00D07F80"/>
    <w:rsid w:val="00D102D3"/>
    <w:rsid w:val="00D10630"/>
    <w:rsid w:val="00D10644"/>
    <w:rsid w:val="00D107D3"/>
    <w:rsid w:val="00D1102A"/>
    <w:rsid w:val="00D114D9"/>
    <w:rsid w:val="00D11EA2"/>
    <w:rsid w:val="00D12273"/>
    <w:rsid w:val="00D12356"/>
    <w:rsid w:val="00D124BE"/>
    <w:rsid w:val="00D125A6"/>
    <w:rsid w:val="00D12771"/>
    <w:rsid w:val="00D127D6"/>
    <w:rsid w:val="00D129A7"/>
    <w:rsid w:val="00D12A28"/>
    <w:rsid w:val="00D12DEB"/>
    <w:rsid w:val="00D1327C"/>
    <w:rsid w:val="00D1333F"/>
    <w:rsid w:val="00D13468"/>
    <w:rsid w:val="00D13CAC"/>
    <w:rsid w:val="00D14038"/>
    <w:rsid w:val="00D14042"/>
    <w:rsid w:val="00D140EB"/>
    <w:rsid w:val="00D14281"/>
    <w:rsid w:val="00D14441"/>
    <w:rsid w:val="00D146F6"/>
    <w:rsid w:val="00D1474F"/>
    <w:rsid w:val="00D1476E"/>
    <w:rsid w:val="00D14960"/>
    <w:rsid w:val="00D14F90"/>
    <w:rsid w:val="00D15167"/>
    <w:rsid w:val="00D15813"/>
    <w:rsid w:val="00D15D4B"/>
    <w:rsid w:val="00D15E9F"/>
    <w:rsid w:val="00D15FF0"/>
    <w:rsid w:val="00D162CC"/>
    <w:rsid w:val="00D16359"/>
    <w:rsid w:val="00D16498"/>
    <w:rsid w:val="00D166B4"/>
    <w:rsid w:val="00D168C1"/>
    <w:rsid w:val="00D16E21"/>
    <w:rsid w:val="00D1706D"/>
    <w:rsid w:val="00D1709D"/>
    <w:rsid w:val="00D1731D"/>
    <w:rsid w:val="00D1736B"/>
    <w:rsid w:val="00D173C7"/>
    <w:rsid w:val="00D178FF"/>
    <w:rsid w:val="00D1790F"/>
    <w:rsid w:val="00D17916"/>
    <w:rsid w:val="00D17964"/>
    <w:rsid w:val="00D17986"/>
    <w:rsid w:val="00D201CA"/>
    <w:rsid w:val="00D201CE"/>
    <w:rsid w:val="00D20356"/>
    <w:rsid w:val="00D2038C"/>
    <w:rsid w:val="00D2050B"/>
    <w:rsid w:val="00D207FD"/>
    <w:rsid w:val="00D20866"/>
    <w:rsid w:val="00D20C1B"/>
    <w:rsid w:val="00D2199A"/>
    <w:rsid w:val="00D21B1D"/>
    <w:rsid w:val="00D21BEC"/>
    <w:rsid w:val="00D21C44"/>
    <w:rsid w:val="00D21CDB"/>
    <w:rsid w:val="00D22188"/>
    <w:rsid w:val="00D221B7"/>
    <w:rsid w:val="00D222D9"/>
    <w:rsid w:val="00D2232F"/>
    <w:rsid w:val="00D22370"/>
    <w:rsid w:val="00D2256E"/>
    <w:rsid w:val="00D2258D"/>
    <w:rsid w:val="00D228AC"/>
    <w:rsid w:val="00D22AA7"/>
    <w:rsid w:val="00D22EF1"/>
    <w:rsid w:val="00D2314D"/>
    <w:rsid w:val="00D23AA1"/>
    <w:rsid w:val="00D23BFA"/>
    <w:rsid w:val="00D23C24"/>
    <w:rsid w:val="00D23E87"/>
    <w:rsid w:val="00D23F3B"/>
    <w:rsid w:val="00D2427E"/>
    <w:rsid w:val="00D245A4"/>
    <w:rsid w:val="00D2465C"/>
    <w:rsid w:val="00D246C9"/>
    <w:rsid w:val="00D24A06"/>
    <w:rsid w:val="00D24D5E"/>
    <w:rsid w:val="00D24DA0"/>
    <w:rsid w:val="00D24EF5"/>
    <w:rsid w:val="00D25188"/>
    <w:rsid w:val="00D25479"/>
    <w:rsid w:val="00D254F0"/>
    <w:rsid w:val="00D255F9"/>
    <w:rsid w:val="00D25882"/>
    <w:rsid w:val="00D25925"/>
    <w:rsid w:val="00D25F92"/>
    <w:rsid w:val="00D260A2"/>
    <w:rsid w:val="00D260CA"/>
    <w:rsid w:val="00D2623A"/>
    <w:rsid w:val="00D2663B"/>
    <w:rsid w:val="00D267D6"/>
    <w:rsid w:val="00D2682E"/>
    <w:rsid w:val="00D26854"/>
    <w:rsid w:val="00D26FCA"/>
    <w:rsid w:val="00D26FF3"/>
    <w:rsid w:val="00D27096"/>
    <w:rsid w:val="00D27182"/>
    <w:rsid w:val="00D272FD"/>
    <w:rsid w:val="00D2764E"/>
    <w:rsid w:val="00D2788C"/>
    <w:rsid w:val="00D27AA9"/>
    <w:rsid w:val="00D27E64"/>
    <w:rsid w:val="00D30554"/>
    <w:rsid w:val="00D308BF"/>
    <w:rsid w:val="00D309F0"/>
    <w:rsid w:val="00D30EA0"/>
    <w:rsid w:val="00D30ED3"/>
    <w:rsid w:val="00D30F20"/>
    <w:rsid w:val="00D31032"/>
    <w:rsid w:val="00D31259"/>
    <w:rsid w:val="00D31347"/>
    <w:rsid w:val="00D31521"/>
    <w:rsid w:val="00D317B4"/>
    <w:rsid w:val="00D3202A"/>
    <w:rsid w:val="00D32380"/>
    <w:rsid w:val="00D32BC2"/>
    <w:rsid w:val="00D32CAD"/>
    <w:rsid w:val="00D32EB6"/>
    <w:rsid w:val="00D33112"/>
    <w:rsid w:val="00D334B4"/>
    <w:rsid w:val="00D33843"/>
    <w:rsid w:val="00D34192"/>
    <w:rsid w:val="00D34251"/>
    <w:rsid w:val="00D34381"/>
    <w:rsid w:val="00D343A7"/>
    <w:rsid w:val="00D34557"/>
    <w:rsid w:val="00D34A67"/>
    <w:rsid w:val="00D34B5C"/>
    <w:rsid w:val="00D34D1A"/>
    <w:rsid w:val="00D34E96"/>
    <w:rsid w:val="00D350F2"/>
    <w:rsid w:val="00D351C1"/>
    <w:rsid w:val="00D352DC"/>
    <w:rsid w:val="00D352F2"/>
    <w:rsid w:val="00D3554C"/>
    <w:rsid w:val="00D35609"/>
    <w:rsid w:val="00D358E5"/>
    <w:rsid w:val="00D35952"/>
    <w:rsid w:val="00D35B00"/>
    <w:rsid w:val="00D35BD1"/>
    <w:rsid w:val="00D35BD4"/>
    <w:rsid w:val="00D35FD9"/>
    <w:rsid w:val="00D35FFF"/>
    <w:rsid w:val="00D3664C"/>
    <w:rsid w:val="00D3666F"/>
    <w:rsid w:val="00D36703"/>
    <w:rsid w:val="00D36989"/>
    <w:rsid w:val="00D369EF"/>
    <w:rsid w:val="00D36CCC"/>
    <w:rsid w:val="00D36E3C"/>
    <w:rsid w:val="00D36EBA"/>
    <w:rsid w:val="00D37188"/>
    <w:rsid w:val="00D37296"/>
    <w:rsid w:val="00D37BCA"/>
    <w:rsid w:val="00D37DFB"/>
    <w:rsid w:val="00D4012B"/>
    <w:rsid w:val="00D40245"/>
    <w:rsid w:val="00D408D4"/>
    <w:rsid w:val="00D4096C"/>
    <w:rsid w:val="00D412B4"/>
    <w:rsid w:val="00D41348"/>
    <w:rsid w:val="00D4136D"/>
    <w:rsid w:val="00D414A3"/>
    <w:rsid w:val="00D415AA"/>
    <w:rsid w:val="00D4164F"/>
    <w:rsid w:val="00D41660"/>
    <w:rsid w:val="00D418C3"/>
    <w:rsid w:val="00D41A82"/>
    <w:rsid w:val="00D422E1"/>
    <w:rsid w:val="00D42472"/>
    <w:rsid w:val="00D428AC"/>
    <w:rsid w:val="00D42C3D"/>
    <w:rsid w:val="00D430B0"/>
    <w:rsid w:val="00D4312E"/>
    <w:rsid w:val="00D4342E"/>
    <w:rsid w:val="00D43698"/>
    <w:rsid w:val="00D4372A"/>
    <w:rsid w:val="00D439F4"/>
    <w:rsid w:val="00D43C74"/>
    <w:rsid w:val="00D43F69"/>
    <w:rsid w:val="00D44096"/>
    <w:rsid w:val="00D440B1"/>
    <w:rsid w:val="00D44592"/>
    <w:rsid w:val="00D445C4"/>
    <w:rsid w:val="00D448A5"/>
    <w:rsid w:val="00D452D3"/>
    <w:rsid w:val="00D454DA"/>
    <w:rsid w:val="00D455C0"/>
    <w:rsid w:val="00D45727"/>
    <w:rsid w:val="00D4582C"/>
    <w:rsid w:val="00D458D3"/>
    <w:rsid w:val="00D45AC8"/>
    <w:rsid w:val="00D45AF2"/>
    <w:rsid w:val="00D45C50"/>
    <w:rsid w:val="00D45CC1"/>
    <w:rsid w:val="00D461E7"/>
    <w:rsid w:val="00D462D2"/>
    <w:rsid w:val="00D464D0"/>
    <w:rsid w:val="00D46573"/>
    <w:rsid w:val="00D465EF"/>
    <w:rsid w:val="00D46782"/>
    <w:rsid w:val="00D4680D"/>
    <w:rsid w:val="00D46EF5"/>
    <w:rsid w:val="00D47332"/>
    <w:rsid w:val="00D4760E"/>
    <w:rsid w:val="00D47612"/>
    <w:rsid w:val="00D47A5D"/>
    <w:rsid w:val="00D47B70"/>
    <w:rsid w:val="00D47B93"/>
    <w:rsid w:val="00D47E1A"/>
    <w:rsid w:val="00D47F16"/>
    <w:rsid w:val="00D50115"/>
    <w:rsid w:val="00D503BD"/>
    <w:rsid w:val="00D50814"/>
    <w:rsid w:val="00D50B38"/>
    <w:rsid w:val="00D50E6A"/>
    <w:rsid w:val="00D510CC"/>
    <w:rsid w:val="00D514AB"/>
    <w:rsid w:val="00D515DC"/>
    <w:rsid w:val="00D51636"/>
    <w:rsid w:val="00D51665"/>
    <w:rsid w:val="00D51782"/>
    <w:rsid w:val="00D517F2"/>
    <w:rsid w:val="00D5194A"/>
    <w:rsid w:val="00D51BD1"/>
    <w:rsid w:val="00D51D25"/>
    <w:rsid w:val="00D51F8B"/>
    <w:rsid w:val="00D521A7"/>
    <w:rsid w:val="00D52456"/>
    <w:rsid w:val="00D5289D"/>
    <w:rsid w:val="00D52949"/>
    <w:rsid w:val="00D52996"/>
    <w:rsid w:val="00D52B68"/>
    <w:rsid w:val="00D52DF4"/>
    <w:rsid w:val="00D52F9B"/>
    <w:rsid w:val="00D5317D"/>
    <w:rsid w:val="00D53208"/>
    <w:rsid w:val="00D535AD"/>
    <w:rsid w:val="00D538F9"/>
    <w:rsid w:val="00D53B64"/>
    <w:rsid w:val="00D53B66"/>
    <w:rsid w:val="00D53BE9"/>
    <w:rsid w:val="00D53D2F"/>
    <w:rsid w:val="00D540B1"/>
    <w:rsid w:val="00D547AD"/>
    <w:rsid w:val="00D547AE"/>
    <w:rsid w:val="00D54B4F"/>
    <w:rsid w:val="00D54C06"/>
    <w:rsid w:val="00D550EF"/>
    <w:rsid w:val="00D55200"/>
    <w:rsid w:val="00D552FE"/>
    <w:rsid w:val="00D554F1"/>
    <w:rsid w:val="00D558A4"/>
    <w:rsid w:val="00D562AB"/>
    <w:rsid w:val="00D56774"/>
    <w:rsid w:val="00D568D6"/>
    <w:rsid w:val="00D5693F"/>
    <w:rsid w:val="00D56BE7"/>
    <w:rsid w:val="00D56E52"/>
    <w:rsid w:val="00D56F49"/>
    <w:rsid w:val="00D56FEA"/>
    <w:rsid w:val="00D57230"/>
    <w:rsid w:val="00D57302"/>
    <w:rsid w:val="00D57AF5"/>
    <w:rsid w:val="00D57BFE"/>
    <w:rsid w:val="00D57C48"/>
    <w:rsid w:val="00D57CE7"/>
    <w:rsid w:val="00D57CEC"/>
    <w:rsid w:val="00D57D28"/>
    <w:rsid w:val="00D57EF8"/>
    <w:rsid w:val="00D60047"/>
    <w:rsid w:val="00D605F0"/>
    <w:rsid w:val="00D6067B"/>
    <w:rsid w:val="00D60877"/>
    <w:rsid w:val="00D60EDB"/>
    <w:rsid w:val="00D60F2B"/>
    <w:rsid w:val="00D6141B"/>
    <w:rsid w:val="00D6143B"/>
    <w:rsid w:val="00D616AF"/>
    <w:rsid w:val="00D61DA9"/>
    <w:rsid w:val="00D61F28"/>
    <w:rsid w:val="00D61F4A"/>
    <w:rsid w:val="00D62054"/>
    <w:rsid w:val="00D62187"/>
    <w:rsid w:val="00D621FB"/>
    <w:rsid w:val="00D62352"/>
    <w:rsid w:val="00D62355"/>
    <w:rsid w:val="00D6250B"/>
    <w:rsid w:val="00D625C8"/>
    <w:rsid w:val="00D625FF"/>
    <w:rsid w:val="00D62803"/>
    <w:rsid w:val="00D62B48"/>
    <w:rsid w:val="00D62D31"/>
    <w:rsid w:val="00D62DFA"/>
    <w:rsid w:val="00D632E4"/>
    <w:rsid w:val="00D63339"/>
    <w:rsid w:val="00D6341B"/>
    <w:rsid w:val="00D635F6"/>
    <w:rsid w:val="00D63918"/>
    <w:rsid w:val="00D63C76"/>
    <w:rsid w:val="00D63F38"/>
    <w:rsid w:val="00D63FE2"/>
    <w:rsid w:val="00D6421A"/>
    <w:rsid w:val="00D64427"/>
    <w:rsid w:val="00D6447C"/>
    <w:rsid w:val="00D644EB"/>
    <w:rsid w:val="00D645E1"/>
    <w:rsid w:val="00D64756"/>
    <w:rsid w:val="00D647F3"/>
    <w:rsid w:val="00D649B9"/>
    <w:rsid w:val="00D64A3B"/>
    <w:rsid w:val="00D64FEE"/>
    <w:rsid w:val="00D65500"/>
    <w:rsid w:val="00D6566B"/>
    <w:rsid w:val="00D6579E"/>
    <w:rsid w:val="00D65BB1"/>
    <w:rsid w:val="00D66400"/>
    <w:rsid w:val="00D6667F"/>
    <w:rsid w:val="00D66AEE"/>
    <w:rsid w:val="00D66B55"/>
    <w:rsid w:val="00D66C6F"/>
    <w:rsid w:val="00D66CC6"/>
    <w:rsid w:val="00D66DCC"/>
    <w:rsid w:val="00D66DDC"/>
    <w:rsid w:val="00D66E8A"/>
    <w:rsid w:val="00D67058"/>
    <w:rsid w:val="00D6723B"/>
    <w:rsid w:val="00D673DF"/>
    <w:rsid w:val="00D6741A"/>
    <w:rsid w:val="00D67824"/>
    <w:rsid w:val="00D70442"/>
    <w:rsid w:val="00D7046F"/>
    <w:rsid w:val="00D704E2"/>
    <w:rsid w:val="00D70525"/>
    <w:rsid w:val="00D70ADC"/>
    <w:rsid w:val="00D70B4E"/>
    <w:rsid w:val="00D70BCB"/>
    <w:rsid w:val="00D70C50"/>
    <w:rsid w:val="00D70E9D"/>
    <w:rsid w:val="00D70F7B"/>
    <w:rsid w:val="00D71165"/>
    <w:rsid w:val="00D715A9"/>
    <w:rsid w:val="00D7183C"/>
    <w:rsid w:val="00D71E1E"/>
    <w:rsid w:val="00D72241"/>
    <w:rsid w:val="00D722DB"/>
    <w:rsid w:val="00D7269B"/>
    <w:rsid w:val="00D726A0"/>
    <w:rsid w:val="00D72997"/>
    <w:rsid w:val="00D72AB8"/>
    <w:rsid w:val="00D72B96"/>
    <w:rsid w:val="00D72BE5"/>
    <w:rsid w:val="00D72C53"/>
    <w:rsid w:val="00D72CDC"/>
    <w:rsid w:val="00D735FA"/>
    <w:rsid w:val="00D7397F"/>
    <w:rsid w:val="00D739F3"/>
    <w:rsid w:val="00D73A27"/>
    <w:rsid w:val="00D73AE2"/>
    <w:rsid w:val="00D73BDD"/>
    <w:rsid w:val="00D73EA0"/>
    <w:rsid w:val="00D73F17"/>
    <w:rsid w:val="00D73F23"/>
    <w:rsid w:val="00D73F4B"/>
    <w:rsid w:val="00D742D0"/>
    <w:rsid w:val="00D746BF"/>
    <w:rsid w:val="00D7487B"/>
    <w:rsid w:val="00D74A9C"/>
    <w:rsid w:val="00D74C83"/>
    <w:rsid w:val="00D7509F"/>
    <w:rsid w:val="00D75132"/>
    <w:rsid w:val="00D75451"/>
    <w:rsid w:val="00D75591"/>
    <w:rsid w:val="00D759A6"/>
    <w:rsid w:val="00D75D3F"/>
    <w:rsid w:val="00D75DFB"/>
    <w:rsid w:val="00D75E6A"/>
    <w:rsid w:val="00D76018"/>
    <w:rsid w:val="00D76B5A"/>
    <w:rsid w:val="00D76B67"/>
    <w:rsid w:val="00D76D1C"/>
    <w:rsid w:val="00D76D56"/>
    <w:rsid w:val="00D76F98"/>
    <w:rsid w:val="00D7716B"/>
    <w:rsid w:val="00D77284"/>
    <w:rsid w:val="00D7766D"/>
    <w:rsid w:val="00D7778D"/>
    <w:rsid w:val="00D77AA6"/>
    <w:rsid w:val="00D77E10"/>
    <w:rsid w:val="00D802AE"/>
    <w:rsid w:val="00D802C6"/>
    <w:rsid w:val="00D804D8"/>
    <w:rsid w:val="00D805DD"/>
    <w:rsid w:val="00D80804"/>
    <w:rsid w:val="00D80AFE"/>
    <w:rsid w:val="00D80B1A"/>
    <w:rsid w:val="00D80C59"/>
    <w:rsid w:val="00D81099"/>
    <w:rsid w:val="00D8176A"/>
    <w:rsid w:val="00D81ADD"/>
    <w:rsid w:val="00D81DBD"/>
    <w:rsid w:val="00D81E8E"/>
    <w:rsid w:val="00D8250C"/>
    <w:rsid w:val="00D82875"/>
    <w:rsid w:val="00D8290D"/>
    <w:rsid w:val="00D8293A"/>
    <w:rsid w:val="00D82E25"/>
    <w:rsid w:val="00D82EA5"/>
    <w:rsid w:val="00D830B4"/>
    <w:rsid w:val="00D831BF"/>
    <w:rsid w:val="00D83200"/>
    <w:rsid w:val="00D833C6"/>
    <w:rsid w:val="00D835A6"/>
    <w:rsid w:val="00D836BF"/>
    <w:rsid w:val="00D8371A"/>
    <w:rsid w:val="00D839A0"/>
    <w:rsid w:val="00D83D04"/>
    <w:rsid w:val="00D83E9E"/>
    <w:rsid w:val="00D84B32"/>
    <w:rsid w:val="00D84C10"/>
    <w:rsid w:val="00D84D31"/>
    <w:rsid w:val="00D85167"/>
    <w:rsid w:val="00D85176"/>
    <w:rsid w:val="00D85634"/>
    <w:rsid w:val="00D8577B"/>
    <w:rsid w:val="00D8588C"/>
    <w:rsid w:val="00D85D2F"/>
    <w:rsid w:val="00D860B8"/>
    <w:rsid w:val="00D8660B"/>
    <w:rsid w:val="00D86690"/>
    <w:rsid w:val="00D86A3F"/>
    <w:rsid w:val="00D86C5B"/>
    <w:rsid w:val="00D86CAF"/>
    <w:rsid w:val="00D86CCD"/>
    <w:rsid w:val="00D86DFC"/>
    <w:rsid w:val="00D86E26"/>
    <w:rsid w:val="00D870D5"/>
    <w:rsid w:val="00D87224"/>
    <w:rsid w:val="00D87511"/>
    <w:rsid w:val="00D87577"/>
    <w:rsid w:val="00D87A5A"/>
    <w:rsid w:val="00D907D3"/>
    <w:rsid w:val="00D90AEB"/>
    <w:rsid w:val="00D90B88"/>
    <w:rsid w:val="00D90B9F"/>
    <w:rsid w:val="00D90C16"/>
    <w:rsid w:val="00D9100A"/>
    <w:rsid w:val="00D91229"/>
    <w:rsid w:val="00D9158C"/>
    <w:rsid w:val="00D9167B"/>
    <w:rsid w:val="00D9170A"/>
    <w:rsid w:val="00D917B8"/>
    <w:rsid w:val="00D917C2"/>
    <w:rsid w:val="00D918AD"/>
    <w:rsid w:val="00D91937"/>
    <w:rsid w:val="00D91977"/>
    <w:rsid w:val="00D91A8A"/>
    <w:rsid w:val="00D91D67"/>
    <w:rsid w:val="00D91E45"/>
    <w:rsid w:val="00D920AD"/>
    <w:rsid w:val="00D9214F"/>
    <w:rsid w:val="00D922E4"/>
    <w:rsid w:val="00D92366"/>
    <w:rsid w:val="00D923E8"/>
    <w:rsid w:val="00D92500"/>
    <w:rsid w:val="00D92512"/>
    <w:rsid w:val="00D92594"/>
    <w:rsid w:val="00D9262E"/>
    <w:rsid w:val="00D926AE"/>
    <w:rsid w:val="00D926CB"/>
    <w:rsid w:val="00D9292A"/>
    <w:rsid w:val="00D92AEA"/>
    <w:rsid w:val="00D92CA2"/>
    <w:rsid w:val="00D92DDC"/>
    <w:rsid w:val="00D9326B"/>
    <w:rsid w:val="00D93628"/>
    <w:rsid w:val="00D93CF4"/>
    <w:rsid w:val="00D94030"/>
    <w:rsid w:val="00D94224"/>
    <w:rsid w:val="00D94538"/>
    <w:rsid w:val="00D9453B"/>
    <w:rsid w:val="00D9490E"/>
    <w:rsid w:val="00D94A1B"/>
    <w:rsid w:val="00D94C3E"/>
    <w:rsid w:val="00D951B0"/>
    <w:rsid w:val="00D951C2"/>
    <w:rsid w:val="00D952E6"/>
    <w:rsid w:val="00D954D8"/>
    <w:rsid w:val="00D95704"/>
    <w:rsid w:val="00D95925"/>
    <w:rsid w:val="00D95B4E"/>
    <w:rsid w:val="00D95B60"/>
    <w:rsid w:val="00D95F46"/>
    <w:rsid w:val="00D95F85"/>
    <w:rsid w:val="00D96390"/>
    <w:rsid w:val="00D965EA"/>
    <w:rsid w:val="00D96645"/>
    <w:rsid w:val="00D9691A"/>
    <w:rsid w:val="00D96B8F"/>
    <w:rsid w:val="00D96DE4"/>
    <w:rsid w:val="00D970B3"/>
    <w:rsid w:val="00D970E0"/>
    <w:rsid w:val="00D9786D"/>
    <w:rsid w:val="00D97AE6"/>
    <w:rsid w:val="00D97C03"/>
    <w:rsid w:val="00D97DB2"/>
    <w:rsid w:val="00D97F32"/>
    <w:rsid w:val="00DA05F1"/>
    <w:rsid w:val="00DA084B"/>
    <w:rsid w:val="00DA0B04"/>
    <w:rsid w:val="00DA0C79"/>
    <w:rsid w:val="00DA0E0B"/>
    <w:rsid w:val="00DA1054"/>
    <w:rsid w:val="00DA16F1"/>
    <w:rsid w:val="00DA185E"/>
    <w:rsid w:val="00DA18BB"/>
    <w:rsid w:val="00DA1AD4"/>
    <w:rsid w:val="00DA208A"/>
    <w:rsid w:val="00DA22C6"/>
    <w:rsid w:val="00DA248C"/>
    <w:rsid w:val="00DA27BA"/>
    <w:rsid w:val="00DA2BF9"/>
    <w:rsid w:val="00DA2EE4"/>
    <w:rsid w:val="00DA3527"/>
    <w:rsid w:val="00DA369F"/>
    <w:rsid w:val="00DA3918"/>
    <w:rsid w:val="00DA3B00"/>
    <w:rsid w:val="00DA3CD8"/>
    <w:rsid w:val="00DA3D92"/>
    <w:rsid w:val="00DA3F0C"/>
    <w:rsid w:val="00DA42E9"/>
    <w:rsid w:val="00DA42EF"/>
    <w:rsid w:val="00DA46F8"/>
    <w:rsid w:val="00DA4803"/>
    <w:rsid w:val="00DA4E3C"/>
    <w:rsid w:val="00DA501F"/>
    <w:rsid w:val="00DA5411"/>
    <w:rsid w:val="00DA5549"/>
    <w:rsid w:val="00DA55C6"/>
    <w:rsid w:val="00DA56F0"/>
    <w:rsid w:val="00DA57F3"/>
    <w:rsid w:val="00DA5916"/>
    <w:rsid w:val="00DA5A32"/>
    <w:rsid w:val="00DA5B8A"/>
    <w:rsid w:val="00DA5DE6"/>
    <w:rsid w:val="00DA5E40"/>
    <w:rsid w:val="00DA67B8"/>
    <w:rsid w:val="00DA69D1"/>
    <w:rsid w:val="00DA69D8"/>
    <w:rsid w:val="00DA6A22"/>
    <w:rsid w:val="00DA6BC1"/>
    <w:rsid w:val="00DA6C93"/>
    <w:rsid w:val="00DA6D8B"/>
    <w:rsid w:val="00DA72CE"/>
    <w:rsid w:val="00DA7493"/>
    <w:rsid w:val="00DA76E6"/>
    <w:rsid w:val="00DA7D59"/>
    <w:rsid w:val="00DA7F98"/>
    <w:rsid w:val="00DB0AC8"/>
    <w:rsid w:val="00DB0FD9"/>
    <w:rsid w:val="00DB15D4"/>
    <w:rsid w:val="00DB1849"/>
    <w:rsid w:val="00DB1EA3"/>
    <w:rsid w:val="00DB1F3E"/>
    <w:rsid w:val="00DB1FFC"/>
    <w:rsid w:val="00DB2335"/>
    <w:rsid w:val="00DB2988"/>
    <w:rsid w:val="00DB2993"/>
    <w:rsid w:val="00DB2A7A"/>
    <w:rsid w:val="00DB2A99"/>
    <w:rsid w:val="00DB2DBA"/>
    <w:rsid w:val="00DB347C"/>
    <w:rsid w:val="00DB35C8"/>
    <w:rsid w:val="00DB3628"/>
    <w:rsid w:val="00DB397F"/>
    <w:rsid w:val="00DB3B54"/>
    <w:rsid w:val="00DB3C2B"/>
    <w:rsid w:val="00DB3D8A"/>
    <w:rsid w:val="00DB4265"/>
    <w:rsid w:val="00DB4447"/>
    <w:rsid w:val="00DB4536"/>
    <w:rsid w:val="00DB49B0"/>
    <w:rsid w:val="00DB4DD2"/>
    <w:rsid w:val="00DB53E7"/>
    <w:rsid w:val="00DB5566"/>
    <w:rsid w:val="00DB5636"/>
    <w:rsid w:val="00DB5704"/>
    <w:rsid w:val="00DB59DF"/>
    <w:rsid w:val="00DB5B47"/>
    <w:rsid w:val="00DB5D52"/>
    <w:rsid w:val="00DB5D54"/>
    <w:rsid w:val="00DB5DCF"/>
    <w:rsid w:val="00DB5E29"/>
    <w:rsid w:val="00DB65F5"/>
    <w:rsid w:val="00DB669E"/>
    <w:rsid w:val="00DB66D5"/>
    <w:rsid w:val="00DB6779"/>
    <w:rsid w:val="00DB6A17"/>
    <w:rsid w:val="00DB6C81"/>
    <w:rsid w:val="00DB728C"/>
    <w:rsid w:val="00DB74B3"/>
    <w:rsid w:val="00DB75A7"/>
    <w:rsid w:val="00DB7675"/>
    <w:rsid w:val="00DB76A6"/>
    <w:rsid w:val="00DB7D03"/>
    <w:rsid w:val="00DB7EF6"/>
    <w:rsid w:val="00DC034B"/>
    <w:rsid w:val="00DC095D"/>
    <w:rsid w:val="00DC0AA7"/>
    <w:rsid w:val="00DC0ECC"/>
    <w:rsid w:val="00DC0F88"/>
    <w:rsid w:val="00DC110D"/>
    <w:rsid w:val="00DC1B1D"/>
    <w:rsid w:val="00DC21AA"/>
    <w:rsid w:val="00DC27E7"/>
    <w:rsid w:val="00DC281D"/>
    <w:rsid w:val="00DC2983"/>
    <w:rsid w:val="00DC2BB4"/>
    <w:rsid w:val="00DC2BC4"/>
    <w:rsid w:val="00DC2D91"/>
    <w:rsid w:val="00DC30A6"/>
    <w:rsid w:val="00DC3109"/>
    <w:rsid w:val="00DC32EC"/>
    <w:rsid w:val="00DC3498"/>
    <w:rsid w:val="00DC3591"/>
    <w:rsid w:val="00DC369D"/>
    <w:rsid w:val="00DC36F6"/>
    <w:rsid w:val="00DC3903"/>
    <w:rsid w:val="00DC3998"/>
    <w:rsid w:val="00DC3A81"/>
    <w:rsid w:val="00DC3F75"/>
    <w:rsid w:val="00DC3FBB"/>
    <w:rsid w:val="00DC43FF"/>
    <w:rsid w:val="00DC4633"/>
    <w:rsid w:val="00DC4C4B"/>
    <w:rsid w:val="00DC5842"/>
    <w:rsid w:val="00DC59EB"/>
    <w:rsid w:val="00DC5CDF"/>
    <w:rsid w:val="00DC5FFC"/>
    <w:rsid w:val="00DC6073"/>
    <w:rsid w:val="00DC61C6"/>
    <w:rsid w:val="00DC6242"/>
    <w:rsid w:val="00DC6420"/>
    <w:rsid w:val="00DC673A"/>
    <w:rsid w:val="00DC68EF"/>
    <w:rsid w:val="00DC692A"/>
    <w:rsid w:val="00DC6AD4"/>
    <w:rsid w:val="00DC6DC0"/>
    <w:rsid w:val="00DC6E75"/>
    <w:rsid w:val="00DC6FDE"/>
    <w:rsid w:val="00DC70B2"/>
    <w:rsid w:val="00DC79E2"/>
    <w:rsid w:val="00DC7D71"/>
    <w:rsid w:val="00DD03B4"/>
    <w:rsid w:val="00DD06DD"/>
    <w:rsid w:val="00DD0752"/>
    <w:rsid w:val="00DD10D1"/>
    <w:rsid w:val="00DD154B"/>
    <w:rsid w:val="00DD17EF"/>
    <w:rsid w:val="00DD18FB"/>
    <w:rsid w:val="00DD1BF9"/>
    <w:rsid w:val="00DD250A"/>
    <w:rsid w:val="00DD25D3"/>
    <w:rsid w:val="00DD297B"/>
    <w:rsid w:val="00DD2E05"/>
    <w:rsid w:val="00DD2F5F"/>
    <w:rsid w:val="00DD3599"/>
    <w:rsid w:val="00DD3725"/>
    <w:rsid w:val="00DD38D8"/>
    <w:rsid w:val="00DD3C68"/>
    <w:rsid w:val="00DD3E53"/>
    <w:rsid w:val="00DD4334"/>
    <w:rsid w:val="00DD450A"/>
    <w:rsid w:val="00DD46F9"/>
    <w:rsid w:val="00DD4BBF"/>
    <w:rsid w:val="00DD539A"/>
    <w:rsid w:val="00DD5437"/>
    <w:rsid w:val="00DD54DF"/>
    <w:rsid w:val="00DD55AA"/>
    <w:rsid w:val="00DD5877"/>
    <w:rsid w:val="00DD59CB"/>
    <w:rsid w:val="00DD5B4F"/>
    <w:rsid w:val="00DD5F12"/>
    <w:rsid w:val="00DD5F5E"/>
    <w:rsid w:val="00DD62D4"/>
    <w:rsid w:val="00DD6375"/>
    <w:rsid w:val="00DD65B9"/>
    <w:rsid w:val="00DD6ABE"/>
    <w:rsid w:val="00DD6BFE"/>
    <w:rsid w:val="00DD6DDC"/>
    <w:rsid w:val="00DD6E7E"/>
    <w:rsid w:val="00DD71B0"/>
    <w:rsid w:val="00DD71CF"/>
    <w:rsid w:val="00DD7309"/>
    <w:rsid w:val="00DD7336"/>
    <w:rsid w:val="00DD74C0"/>
    <w:rsid w:val="00DD76DA"/>
    <w:rsid w:val="00DD77F2"/>
    <w:rsid w:val="00DD7928"/>
    <w:rsid w:val="00DD7B34"/>
    <w:rsid w:val="00DD7B7C"/>
    <w:rsid w:val="00DD7C36"/>
    <w:rsid w:val="00DD7DEC"/>
    <w:rsid w:val="00DD7E17"/>
    <w:rsid w:val="00DE0200"/>
    <w:rsid w:val="00DE02B0"/>
    <w:rsid w:val="00DE04B0"/>
    <w:rsid w:val="00DE04DA"/>
    <w:rsid w:val="00DE0882"/>
    <w:rsid w:val="00DE09EC"/>
    <w:rsid w:val="00DE0A8A"/>
    <w:rsid w:val="00DE0B06"/>
    <w:rsid w:val="00DE0B0A"/>
    <w:rsid w:val="00DE0CE3"/>
    <w:rsid w:val="00DE0E57"/>
    <w:rsid w:val="00DE0FA1"/>
    <w:rsid w:val="00DE1213"/>
    <w:rsid w:val="00DE1291"/>
    <w:rsid w:val="00DE1444"/>
    <w:rsid w:val="00DE17B3"/>
    <w:rsid w:val="00DE1B79"/>
    <w:rsid w:val="00DE1C21"/>
    <w:rsid w:val="00DE1D73"/>
    <w:rsid w:val="00DE1DB8"/>
    <w:rsid w:val="00DE27EA"/>
    <w:rsid w:val="00DE289E"/>
    <w:rsid w:val="00DE2C10"/>
    <w:rsid w:val="00DE2CDE"/>
    <w:rsid w:val="00DE2FEC"/>
    <w:rsid w:val="00DE33C0"/>
    <w:rsid w:val="00DE34A4"/>
    <w:rsid w:val="00DE352C"/>
    <w:rsid w:val="00DE3589"/>
    <w:rsid w:val="00DE368C"/>
    <w:rsid w:val="00DE4224"/>
    <w:rsid w:val="00DE4268"/>
    <w:rsid w:val="00DE4533"/>
    <w:rsid w:val="00DE4A91"/>
    <w:rsid w:val="00DE4EC9"/>
    <w:rsid w:val="00DE51B7"/>
    <w:rsid w:val="00DE51C6"/>
    <w:rsid w:val="00DE52B1"/>
    <w:rsid w:val="00DE540F"/>
    <w:rsid w:val="00DE5682"/>
    <w:rsid w:val="00DE56AC"/>
    <w:rsid w:val="00DE58B0"/>
    <w:rsid w:val="00DE5980"/>
    <w:rsid w:val="00DE5B01"/>
    <w:rsid w:val="00DE5CF0"/>
    <w:rsid w:val="00DE5EAA"/>
    <w:rsid w:val="00DE60B7"/>
    <w:rsid w:val="00DE6395"/>
    <w:rsid w:val="00DE6648"/>
    <w:rsid w:val="00DE6788"/>
    <w:rsid w:val="00DE68FA"/>
    <w:rsid w:val="00DE6E33"/>
    <w:rsid w:val="00DE712B"/>
    <w:rsid w:val="00DE7BEF"/>
    <w:rsid w:val="00DE7BF1"/>
    <w:rsid w:val="00DE7DF0"/>
    <w:rsid w:val="00DF01F4"/>
    <w:rsid w:val="00DF0209"/>
    <w:rsid w:val="00DF04A3"/>
    <w:rsid w:val="00DF0510"/>
    <w:rsid w:val="00DF0907"/>
    <w:rsid w:val="00DF0C68"/>
    <w:rsid w:val="00DF0CCB"/>
    <w:rsid w:val="00DF0FBC"/>
    <w:rsid w:val="00DF0FDE"/>
    <w:rsid w:val="00DF1131"/>
    <w:rsid w:val="00DF11B8"/>
    <w:rsid w:val="00DF132E"/>
    <w:rsid w:val="00DF14DD"/>
    <w:rsid w:val="00DF176A"/>
    <w:rsid w:val="00DF1B82"/>
    <w:rsid w:val="00DF1B8E"/>
    <w:rsid w:val="00DF1C08"/>
    <w:rsid w:val="00DF1F2C"/>
    <w:rsid w:val="00DF1F4F"/>
    <w:rsid w:val="00DF2065"/>
    <w:rsid w:val="00DF2405"/>
    <w:rsid w:val="00DF241B"/>
    <w:rsid w:val="00DF2609"/>
    <w:rsid w:val="00DF29BC"/>
    <w:rsid w:val="00DF29EC"/>
    <w:rsid w:val="00DF2A2E"/>
    <w:rsid w:val="00DF2A6B"/>
    <w:rsid w:val="00DF2AD3"/>
    <w:rsid w:val="00DF2DAA"/>
    <w:rsid w:val="00DF2DCD"/>
    <w:rsid w:val="00DF3056"/>
    <w:rsid w:val="00DF33FD"/>
    <w:rsid w:val="00DF3646"/>
    <w:rsid w:val="00DF3DC6"/>
    <w:rsid w:val="00DF4178"/>
    <w:rsid w:val="00DF4312"/>
    <w:rsid w:val="00DF4330"/>
    <w:rsid w:val="00DF45E4"/>
    <w:rsid w:val="00DF4631"/>
    <w:rsid w:val="00DF46BF"/>
    <w:rsid w:val="00DF47C0"/>
    <w:rsid w:val="00DF4AE5"/>
    <w:rsid w:val="00DF4BF2"/>
    <w:rsid w:val="00DF4C4F"/>
    <w:rsid w:val="00DF4E3C"/>
    <w:rsid w:val="00DF53D7"/>
    <w:rsid w:val="00DF5A6D"/>
    <w:rsid w:val="00DF5D29"/>
    <w:rsid w:val="00DF5DA9"/>
    <w:rsid w:val="00DF60AD"/>
    <w:rsid w:val="00DF6215"/>
    <w:rsid w:val="00DF6634"/>
    <w:rsid w:val="00DF6852"/>
    <w:rsid w:val="00DF6CA7"/>
    <w:rsid w:val="00DF72F1"/>
    <w:rsid w:val="00DF7599"/>
    <w:rsid w:val="00DF7788"/>
    <w:rsid w:val="00DF7928"/>
    <w:rsid w:val="00DF7AB5"/>
    <w:rsid w:val="00DF7DA0"/>
    <w:rsid w:val="00E00112"/>
    <w:rsid w:val="00E0014A"/>
    <w:rsid w:val="00E001D0"/>
    <w:rsid w:val="00E001E5"/>
    <w:rsid w:val="00E00255"/>
    <w:rsid w:val="00E00260"/>
    <w:rsid w:val="00E00320"/>
    <w:rsid w:val="00E00329"/>
    <w:rsid w:val="00E00429"/>
    <w:rsid w:val="00E00453"/>
    <w:rsid w:val="00E00529"/>
    <w:rsid w:val="00E00705"/>
    <w:rsid w:val="00E009C8"/>
    <w:rsid w:val="00E009E8"/>
    <w:rsid w:val="00E00A0B"/>
    <w:rsid w:val="00E00C37"/>
    <w:rsid w:val="00E00D3C"/>
    <w:rsid w:val="00E0115A"/>
    <w:rsid w:val="00E0119A"/>
    <w:rsid w:val="00E011D3"/>
    <w:rsid w:val="00E015D1"/>
    <w:rsid w:val="00E01E0E"/>
    <w:rsid w:val="00E01EE7"/>
    <w:rsid w:val="00E02134"/>
    <w:rsid w:val="00E02180"/>
    <w:rsid w:val="00E02368"/>
    <w:rsid w:val="00E024D5"/>
    <w:rsid w:val="00E02629"/>
    <w:rsid w:val="00E027F2"/>
    <w:rsid w:val="00E0283C"/>
    <w:rsid w:val="00E02E05"/>
    <w:rsid w:val="00E02E19"/>
    <w:rsid w:val="00E031B4"/>
    <w:rsid w:val="00E032B0"/>
    <w:rsid w:val="00E032F7"/>
    <w:rsid w:val="00E034EE"/>
    <w:rsid w:val="00E0350E"/>
    <w:rsid w:val="00E035EC"/>
    <w:rsid w:val="00E0360A"/>
    <w:rsid w:val="00E0367F"/>
    <w:rsid w:val="00E038DC"/>
    <w:rsid w:val="00E039B6"/>
    <w:rsid w:val="00E03DCC"/>
    <w:rsid w:val="00E03E92"/>
    <w:rsid w:val="00E04122"/>
    <w:rsid w:val="00E04288"/>
    <w:rsid w:val="00E0448D"/>
    <w:rsid w:val="00E0479C"/>
    <w:rsid w:val="00E04845"/>
    <w:rsid w:val="00E0487A"/>
    <w:rsid w:val="00E048FA"/>
    <w:rsid w:val="00E04B27"/>
    <w:rsid w:val="00E04BCF"/>
    <w:rsid w:val="00E04BF2"/>
    <w:rsid w:val="00E04DF2"/>
    <w:rsid w:val="00E05098"/>
    <w:rsid w:val="00E058E6"/>
    <w:rsid w:val="00E05ACA"/>
    <w:rsid w:val="00E05E9A"/>
    <w:rsid w:val="00E05EC9"/>
    <w:rsid w:val="00E05F87"/>
    <w:rsid w:val="00E06236"/>
    <w:rsid w:val="00E06423"/>
    <w:rsid w:val="00E06643"/>
    <w:rsid w:val="00E066FF"/>
    <w:rsid w:val="00E067F2"/>
    <w:rsid w:val="00E06833"/>
    <w:rsid w:val="00E06A92"/>
    <w:rsid w:val="00E06A93"/>
    <w:rsid w:val="00E06C6C"/>
    <w:rsid w:val="00E06CDF"/>
    <w:rsid w:val="00E06E29"/>
    <w:rsid w:val="00E073C0"/>
    <w:rsid w:val="00E074E1"/>
    <w:rsid w:val="00E075D3"/>
    <w:rsid w:val="00E075E2"/>
    <w:rsid w:val="00E075F7"/>
    <w:rsid w:val="00E079F9"/>
    <w:rsid w:val="00E104B9"/>
    <w:rsid w:val="00E104FC"/>
    <w:rsid w:val="00E10959"/>
    <w:rsid w:val="00E10E0D"/>
    <w:rsid w:val="00E10FEF"/>
    <w:rsid w:val="00E11666"/>
    <w:rsid w:val="00E11D29"/>
    <w:rsid w:val="00E1200E"/>
    <w:rsid w:val="00E12247"/>
    <w:rsid w:val="00E123DA"/>
    <w:rsid w:val="00E1244F"/>
    <w:rsid w:val="00E12537"/>
    <w:rsid w:val="00E12C54"/>
    <w:rsid w:val="00E12CD6"/>
    <w:rsid w:val="00E12D1F"/>
    <w:rsid w:val="00E12E23"/>
    <w:rsid w:val="00E130C4"/>
    <w:rsid w:val="00E13231"/>
    <w:rsid w:val="00E134A3"/>
    <w:rsid w:val="00E13751"/>
    <w:rsid w:val="00E13AF6"/>
    <w:rsid w:val="00E13DA6"/>
    <w:rsid w:val="00E1461F"/>
    <w:rsid w:val="00E148B9"/>
    <w:rsid w:val="00E148E3"/>
    <w:rsid w:val="00E14A25"/>
    <w:rsid w:val="00E14D12"/>
    <w:rsid w:val="00E15883"/>
    <w:rsid w:val="00E159C0"/>
    <w:rsid w:val="00E15A57"/>
    <w:rsid w:val="00E15C6E"/>
    <w:rsid w:val="00E15CF5"/>
    <w:rsid w:val="00E15D59"/>
    <w:rsid w:val="00E15EDB"/>
    <w:rsid w:val="00E160D7"/>
    <w:rsid w:val="00E16170"/>
    <w:rsid w:val="00E16C02"/>
    <w:rsid w:val="00E16DC9"/>
    <w:rsid w:val="00E16EA0"/>
    <w:rsid w:val="00E16F17"/>
    <w:rsid w:val="00E17044"/>
    <w:rsid w:val="00E172A2"/>
    <w:rsid w:val="00E172B1"/>
    <w:rsid w:val="00E173EA"/>
    <w:rsid w:val="00E179FA"/>
    <w:rsid w:val="00E2020D"/>
    <w:rsid w:val="00E2033A"/>
    <w:rsid w:val="00E204EB"/>
    <w:rsid w:val="00E2086B"/>
    <w:rsid w:val="00E209C0"/>
    <w:rsid w:val="00E20BFE"/>
    <w:rsid w:val="00E20DFB"/>
    <w:rsid w:val="00E2117E"/>
    <w:rsid w:val="00E21907"/>
    <w:rsid w:val="00E21B81"/>
    <w:rsid w:val="00E21BD1"/>
    <w:rsid w:val="00E21BEB"/>
    <w:rsid w:val="00E21DF2"/>
    <w:rsid w:val="00E2216B"/>
    <w:rsid w:val="00E222BE"/>
    <w:rsid w:val="00E227DA"/>
    <w:rsid w:val="00E229E2"/>
    <w:rsid w:val="00E22C55"/>
    <w:rsid w:val="00E22C97"/>
    <w:rsid w:val="00E230AB"/>
    <w:rsid w:val="00E2374C"/>
    <w:rsid w:val="00E237EF"/>
    <w:rsid w:val="00E2397C"/>
    <w:rsid w:val="00E239FE"/>
    <w:rsid w:val="00E23AD1"/>
    <w:rsid w:val="00E23AE0"/>
    <w:rsid w:val="00E23E12"/>
    <w:rsid w:val="00E23F2F"/>
    <w:rsid w:val="00E24348"/>
    <w:rsid w:val="00E246E8"/>
    <w:rsid w:val="00E248A8"/>
    <w:rsid w:val="00E24A53"/>
    <w:rsid w:val="00E24CE9"/>
    <w:rsid w:val="00E2507B"/>
    <w:rsid w:val="00E252DD"/>
    <w:rsid w:val="00E25333"/>
    <w:rsid w:val="00E25335"/>
    <w:rsid w:val="00E2537C"/>
    <w:rsid w:val="00E254D7"/>
    <w:rsid w:val="00E255CF"/>
    <w:rsid w:val="00E2584C"/>
    <w:rsid w:val="00E25E24"/>
    <w:rsid w:val="00E25E71"/>
    <w:rsid w:val="00E25F6E"/>
    <w:rsid w:val="00E26478"/>
    <w:rsid w:val="00E264F7"/>
    <w:rsid w:val="00E26AAB"/>
    <w:rsid w:val="00E26DCF"/>
    <w:rsid w:val="00E26F6B"/>
    <w:rsid w:val="00E270CA"/>
    <w:rsid w:val="00E271B4"/>
    <w:rsid w:val="00E2723B"/>
    <w:rsid w:val="00E2738E"/>
    <w:rsid w:val="00E274C0"/>
    <w:rsid w:val="00E277AB"/>
    <w:rsid w:val="00E27B43"/>
    <w:rsid w:val="00E27F3A"/>
    <w:rsid w:val="00E27F44"/>
    <w:rsid w:val="00E30027"/>
    <w:rsid w:val="00E30084"/>
    <w:rsid w:val="00E308CC"/>
    <w:rsid w:val="00E30BBC"/>
    <w:rsid w:val="00E30DDC"/>
    <w:rsid w:val="00E312A6"/>
    <w:rsid w:val="00E31463"/>
    <w:rsid w:val="00E315C7"/>
    <w:rsid w:val="00E3161E"/>
    <w:rsid w:val="00E31655"/>
    <w:rsid w:val="00E31697"/>
    <w:rsid w:val="00E316A4"/>
    <w:rsid w:val="00E316DE"/>
    <w:rsid w:val="00E318AF"/>
    <w:rsid w:val="00E31EBF"/>
    <w:rsid w:val="00E3213C"/>
    <w:rsid w:val="00E321CB"/>
    <w:rsid w:val="00E32215"/>
    <w:rsid w:val="00E322DC"/>
    <w:rsid w:val="00E32346"/>
    <w:rsid w:val="00E3266D"/>
    <w:rsid w:val="00E3272F"/>
    <w:rsid w:val="00E32E1D"/>
    <w:rsid w:val="00E3336D"/>
    <w:rsid w:val="00E3337C"/>
    <w:rsid w:val="00E33573"/>
    <w:rsid w:val="00E33673"/>
    <w:rsid w:val="00E33784"/>
    <w:rsid w:val="00E33B25"/>
    <w:rsid w:val="00E33F02"/>
    <w:rsid w:val="00E3407C"/>
    <w:rsid w:val="00E3416E"/>
    <w:rsid w:val="00E343B6"/>
    <w:rsid w:val="00E34437"/>
    <w:rsid w:val="00E34520"/>
    <w:rsid w:val="00E347E0"/>
    <w:rsid w:val="00E3490A"/>
    <w:rsid w:val="00E34F7F"/>
    <w:rsid w:val="00E3557D"/>
    <w:rsid w:val="00E355B1"/>
    <w:rsid w:val="00E355FB"/>
    <w:rsid w:val="00E3583B"/>
    <w:rsid w:val="00E358BE"/>
    <w:rsid w:val="00E358FA"/>
    <w:rsid w:val="00E35BD5"/>
    <w:rsid w:val="00E35D2D"/>
    <w:rsid w:val="00E35DB5"/>
    <w:rsid w:val="00E35E27"/>
    <w:rsid w:val="00E35FF1"/>
    <w:rsid w:val="00E36210"/>
    <w:rsid w:val="00E36358"/>
    <w:rsid w:val="00E364DF"/>
    <w:rsid w:val="00E36535"/>
    <w:rsid w:val="00E368FC"/>
    <w:rsid w:val="00E36D8C"/>
    <w:rsid w:val="00E373B6"/>
    <w:rsid w:val="00E37456"/>
    <w:rsid w:val="00E374A3"/>
    <w:rsid w:val="00E37951"/>
    <w:rsid w:val="00E37BC9"/>
    <w:rsid w:val="00E37C11"/>
    <w:rsid w:val="00E37CCA"/>
    <w:rsid w:val="00E37E27"/>
    <w:rsid w:val="00E37FB1"/>
    <w:rsid w:val="00E40445"/>
    <w:rsid w:val="00E40672"/>
    <w:rsid w:val="00E4073C"/>
    <w:rsid w:val="00E40872"/>
    <w:rsid w:val="00E41012"/>
    <w:rsid w:val="00E41026"/>
    <w:rsid w:val="00E41304"/>
    <w:rsid w:val="00E41340"/>
    <w:rsid w:val="00E4134C"/>
    <w:rsid w:val="00E415C1"/>
    <w:rsid w:val="00E41781"/>
    <w:rsid w:val="00E41844"/>
    <w:rsid w:val="00E41A45"/>
    <w:rsid w:val="00E41C35"/>
    <w:rsid w:val="00E41D0F"/>
    <w:rsid w:val="00E41D48"/>
    <w:rsid w:val="00E41D65"/>
    <w:rsid w:val="00E41FF9"/>
    <w:rsid w:val="00E42095"/>
    <w:rsid w:val="00E4222F"/>
    <w:rsid w:val="00E422B4"/>
    <w:rsid w:val="00E42592"/>
    <w:rsid w:val="00E42644"/>
    <w:rsid w:val="00E42DEB"/>
    <w:rsid w:val="00E43777"/>
    <w:rsid w:val="00E4393A"/>
    <w:rsid w:val="00E43BC0"/>
    <w:rsid w:val="00E43F15"/>
    <w:rsid w:val="00E43F66"/>
    <w:rsid w:val="00E44093"/>
    <w:rsid w:val="00E44155"/>
    <w:rsid w:val="00E447C0"/>
    <w:rsid w:val="00E449F1"/>
    <w:rsid w:val="00E44DDB"/>
    <w:rsid w:val="00E44FA0"/>
    <w:rsid w:val="00E451D0"/>
    <w:rsid w:val="00E4533B"/>
    <w:rsid w:val="00E45419"/>
    <w:rsid w:val="00E454B5"/>
    <w:rsid w:val="00E45566"/>
    <w:rsid w:val="00E459E6"/>
    <w:rsid w:val="00E45A7F"/>
    <w:rsid w:val="00E45E60"/>
    <w:rsid w:val="00E45FAC"/>
    <w:rsid w:val="00E4613D"/>
    <w:rsid w:val="00E4643A"/>
    <w:rsid w:val="00E46702"/>
    <w:rsid w:val="00E468F7"/>
    <w:rsid w:val="00E46C12"/>
    <w:rsid w:val="00E46C4A"/>
    <w:rsid w:val="00E46DA2"/>
    <w:rsid w:val="00E47343"/>
    <w:rsid w:val="00E47563"/>
    <w:rsid w:val="00E4766A"/>
    <w:rsid w:val="00E4781F"/>
    <w:rsid w:val="00E47CB6"/>
    <w:rsid w:val="00E47FE9"/>
    <w:rsid w:val="00E47FF1"/>
    <w:rsid w:val="00E506B4"/>
    <w:rsid w:val="00E50DFB"/>
    <w:rsid w:val="00E50F61"/>
    <w:rsid w:val="00E51110"/>
    <w:rsid w:val="00E5119C"/>
    <w:rsid w:val="00E5130A"/>
    <w:rsid w:val="00E513AF"/>
    <w:rsid w:val="00E5190E"/>
    <w:rsid w:val="00E51C38"/>
    <w:rsid w:val="00E51CC3"/>
    <w:rsid w:val="00E51E62"/>
    <w:rsid w:val="00E51FCC"/>
    <w:rsid w:val="00E52196"/>
    <w:rsid w:val="00E522EA"/>
    <w:rsid w:val="00E5237B"/>
    <w:rsid w:val="00E52643"/>
    <w:rsid w:val="00E528A6"/>
    <w:rsid w:val="00E52906"/>
    <w:rsid w:val="00E52CBF"/>
    <w:rsid w:val="00E52EAB"/>
    <w:rsid w:val="00E52EC2"/>
    <w:rsid w:val="00E52F66"/>
    <w:rsid w:val="00E5308A"/>
    <w:rsid w:val="00E53206"/>
    <w:rsid w:val="00E53308"/>
    <w:rsid w:val="00E534FD"/>
    <w:rsid w:val="00E53E95"/>
    <w:rsid w:val="00E53F9C"/>
    <w:rsid w:val="00E54172"/>
    <w:rsid w:val="00E544AE"/>
    <w:rsid w:val="00E5454E"/>
    <w:rsid w:val="00E54570"/>
    <w:rsid w:val="00E547EC"/>
    <w:rsid w:val="00E548C4"/>
    <w:rsid w:val="00E54AEE"/>
    <w:rsid w:val="00E54BDB"/>
    <w:rsid w:val="00E54C5E"/>
    <w:rsid w:val="00E54D12"/>
    <w:rsid w:val="00E54D7F"/>
    <w:rsid w:val="00E54EF5"/>
    <w:rsid w:val="00E54F07"/>
    <w:rsid w:val="00E552E5"/>
    <w:rsid w:val="00E556AB"/>
    <w:rsid w:val="00E55B3F"/>
    <w:rsid w:val="00E55D5C"/>
    <w:rsid w:val="00E55D8D"/>
    <w:rsid w:val="00E55E82"/>
    <w:rsid w:val="00E56790"/>
    <w:rsid w:val="00E567AE"/>
    <w:rsid w:val="00E56BA3"/>
    <w:rsid w:val="00E56D2A"/>
    <w:rsid w:val="00E56F2C"/>
    <w:rsid w:val="00E56FDB"/>
    <w:rsid w:val="00E57180"/>
    <w:rsid w:val="00E5747A"/>
    <w:rsid w:val="00E5762C"/>
    <w:rsid w:val="00E5770F"/>
    <w:rsid w:val="00E57786"/>
    <w:rsid w:val="00E57A18"/>
    <w:rsid w:val="00E57B93"/>
    <w:rsid w:val="00E57C92"/>
    <w:rsid w:val="00E57DA0"/>
    <w:rsid w:val="00E57FA8"/>
    <w:rsid w:val="00E60398"/>
    <w:rsid w:val="00E6064A"/>
    <w:rsid w:val="00E608E3"/>
    <w:rsid w:val="00E60AB8"/>
    <w:rsid w:val="00E60B4F"/>
    <w:rsid w:val="00E6100C"/>
    <w:rsid w:val="00E610B4"/>
    <w:rsid w:val="00E61688"/>
    <w:rsid w:val="00E616E9"/>
    <w:rsid w:val="00E6198A"/>
    <w:rsid w:val="00E619DF"/>
    <w:rsid w:val="00E61AC1"/>
    <w:rsid w:val="00E61B43"/>
    <w:rsid w:val="00E61C46"/>
    <w:rsid w:val="00E61E4A"/>
    <w:rsid w:val="00E61FF3"/>
    <w:rsid w:val="00E6203A"/>
    <w:rsid w:val="00E622CA"/>
    <w:rsid w:val="00E6270B"/>
    <w:rsid w:val="00E6319D"/>
    <w:rsid w:val="00E639D3"/>
    <w:rsid w:val="00E63AC2"/>
    <w:rsid w:val="00E63D95"/>
    <w:rsid w:val="00E63FE6"/>
    <w:rsid w:val="00E6423A"/>
    <w:rsid w:val="00E643B9"/>
    <w:rsid w:val="00E64428"/>
    <w:rsid w:val="00E645AF"/>
    <w:rsid w:val="00E646DA"/>
    <w:rsid w:val="00E6472F"/>
    <w:rsid w:val="00E64988"/>
    <w:rsid w:val="00E64C84"/>
    <w:rsid w:val="00E64E32"/>
    <w:rsid w:val="00E65178"/>
    <w:rsid w:val="00E654BA"/>
    <w:rsid w:val="00E65596"/>
    <w:rsid w:val="00E65660"/>
    <w:rsid w:val="00E65A0A"/>
    <w:rsid w:val="00E65D1C"/>
    <w:rsid w:val="00E66116"/>
    <w:rsid w:val="00E6696B"/>
    <w:rsid w:val="00E66CC2"/>
    <w:rsid w:val="00E66E7E"/>
    <w:rsid w:val="00E66F50"/>
    <w:rsid w:val="00E670A8"/>
    <w:rsid w:val="00E671DC"/>
    <w:rsid w:val="00E672E5"/>
    <w:rsid w:val="00E679CE"/>
    <w:rsid w:val="00E67FD5"/>
    <w:rsid w:val="00E700CB"/>
    <w:rsid w:val="00E705D2"/>
    <w:rsid w:val="00E70715"/>
    <w:rsid w:val="00E70827"/>
    <w:rsid w:val="00E71233"/>
    <w:rsid w:val="00E71782"/>
    <w:rsid w:val="00E717B5"/>
    <w:rsid w:val="00E7189C"/>
    <w:rsid w:val="00E71B95"/>
    <w:rsid w:val="00E71C26"/>
    <w:rsid w:val="00E720A5"/>
    <w:rsid w:val="00E7272F"/>
    <w:rsid w:val="00E728FA"/>
    <w:rsid w:val="00E732C9"/>
    <w:rsid w:val="00E73579"/>
    <w:rsid w:val="00E7390D"/>
    <w:rsid w:val="00E73DBC"/>
    <w:rsid w:val="00E74C0A"/>
    <w:rsid w:val="00E74E8B"/>
    <w:rsid w:val="00E74FBC"/>
    <w:rsid w:val="00E75147"/>
    <w:rsid w:val="00E758DF"/>
    <w:rsid w:val="00E75AAD"/>
    <w:rsid w:val="00E75E42"/>
    <w:rsid w:val="00E762AE"/>
    <w:rsid w:val="00E762D3"/>
    <w:rsid w:val="00E766E0"/>
    <w:rsid w:val="00E76BF6"/>
    <w:rsid w:val="00E76CF7"/>
    <w:rsid w:val="00E76F2C"/>
    <w:rsid w:val="00E76FAA"/>
    <w:rsid w:val="00E77545"/>
    <w:rsid w:val="00E776D0"/>
    <w:rsid w:val="00E7790D"/>
    <w:rsid w:val="00E77BB4"/>
    <w:rsid w:val="00E77C8E"/>
    <w:rsid w:val="00E77CC5"/>
    <w:rsid w:val="00E77D90"/>
    <w:rsid w:val="00E77FAA"/>
    <w:rsid w:val="00E80153"/>
    <w:rsid w:val="00E8021D"/>
    <w:rsid w:val="00E8035F"/>
    <w:rsid w:val="00E804A8"/>
    <w:rsid w:val="00E8098B"/>
    <w:rsid w:val="00E80DA1"/>
    <w:rsid w:val="00E80E1E"/>
    <w:rsid w:val="00E81303"/>
    <w:rsid w:val="00E81397"/>
    <w:rsid w:val="00E81F7D"/>
    <w:rsid w:val="00E821DC"/>
    <w:rsid w:val="00E82370"/>
    <w:rsid w:val="00E824E3"/>
    <w:rsid w:val="00E82737"/>
    <w:rsid w:val="00E829DB"/>
    <w:rsid w:val="00E82A9F"/>
    <w:rsid w:val="00E82C25"/>
    <w:rsid w:val="00E82C76"/>
    <w:rsid w:val="00E82D61"/>
    <w:rsid w:val="00E83262"/>
    <w:rsid w:val="00E839E3"/>
    <w:rsid w:val="00E83C0D"/>
    <w:rsid w:val="00E83C7A"/>
    <w:rsid w:val="00E84134"/>
    <w:rsid w:val="00E841EC"/>
    <w:rsid w:val="00E843DF"/>
    <w:rsid w:val="00E8467A"/>
    <w:rsid w:val="00E849A7"/>
    <w:rsid w:val="00E84BFE"/>
    <w:rsid w:val="00E84E8C"/>
    <w:rsid w:val="00E851FF"/>
    <w:rsid w:val="00E85931"/>
    <w:rsid w:val="00E86168"/>
    <w:rsid w:val="00E86658"/>
    <w:rsid w:val="00E866E6"/>
    <w:rsid w:val="00E866ED"/>
    <w:rsid w:val="00E86986"/>
    <w:rsid w:val="00E86A98"/>
    <w:rsid w:val="00E86B1C"/>
    <w:rsid w:val="00E86B8E"/>
    <w:rsid w:val="00E86D72"/>
    <w:rsid w:val="00E86F06"/>
    <w:rsid w:val="00E87463"/>
    <w:rsid w:val="00E8765D"/>
    <w:rsid w:val="00E87B0E"/>
    <w:rsid w:val="00E87CD5"/>
    <w:rsid w:val="00E87E2E"/>
    <w:rsid w:val="00E901DB"/>
    <w:rsid w:val="00E90371"/>
    <w:rsid w:val="00E909B5"/>
    <w:rsid w:val="00E90B3B"/>
    <w:rsid w:val="00E90D96"/>
    <w:rsid w:val="00E90E00"/>
    <w:rsid w:val="00E90E9D"/>
    <w:rsid w:val="00E90FDE"/>
    <w:rsid w:val="00E912DD"/>
    <w:rsid w:val="00E91343"/>
    <w:rsid w:val="00E91411"/>
    <w:rsid w:val="00E91697"/>
    <w:rsid w:val="00E91808"/>
    <w:rsid w:val="00E9185B"/>
    <w:rsid w:val="00E91956"/>
    <w:rsid w:val="00E91999"/>
    <w:rsid w:val="00E91B9F"/>
    <w:rsid w:val="00E9298B"/>
    <w:rsid w:val="00E92A4C"/>
    <w:rsid w:val="00E93008"/>
    <w:rsid w:val="00E934C9"/>
    <w:rsid w:val="00E93524"/>
    <w:rsid w:val="00E93BAB"/>
    <w:rsid w:val="00E93E9B"/>
    <w:rsid w:val="00E943F3"/>
    <w:rsid w:val="00E945E8"/>
    <w:rsid w:val="00E948CF"/>
    <w:rsid w:val="00E94ED7"/>
    <w:rsid w:val="00E956AC"/>
    <w:rsid w:val="00E956D0"/>
    <w:rsid w:val="00E95738"/>
    <w:rsid w:val="00E95A2B"/>
    <w:rsid w:val="00E95EA7"/>
    <w:rsid w:val="00E960B0"/>
    <w:rsid w:val="00E96288"/>
    <w:rsid w:val="00E96419"/>
    <w:rsid w:val="00E9668E"/>
    <w:rsid w:val="00E967C7"/>
    <w:rsid w:val="00E969C0"/>
    <w:rsid w:val="00E96A4F"/>
    <w:rsid w:val="00E96A59"/>
    <w:rsid w:val="00E96D51"/>
    <w:rsid w:val="00E96EB3"/>
    <w:rsid w:val="00E96F23"/>
    <w:rsid w:val="00E973C0"/>
    <w:rsid w:val="00E97DCC"/>
    <w:rsid w:val="00E97FE7"/>
    <w:rsid w:val="00EA01BC"/>
    <w:rsid w:val="00EA01E1"/>
    <w:rsid w:val="00EA023A"/>
    <w:rsid w:val="00EA030A"/>
    <w:rsid w:val="00EA0897"/>
    <w:rsid w:val="00EA0BA7"/>
    <w:rsid w:val="00EA0D3C"/>
    <w:rsid w:val="00EA0D47"/>
    <w:rsid w:val="00EA1050"/>
    <w:rsid w:val="00EA126B"/>
    <w:rsid w:val="00EA137A"/>
    <w:rsid w:val="00EA1B86"/>
    <w:rsid w:val="00EA1D99"/>
    <w:rsid w:val="00EA2016"/>
    <w:rsid w:val="00EA24D7"/>
    <w:rsid w:val="00EA2791"/>
    <w:rsid w:val="00EA2BA3"/>
    <w:rsid w:val="00EA2CBF"/>
    <w:rsid w:val="00EA2F1D"/>
    <w:rsid w:val="00EA31FF"/>
    <w:rsid w:val="00EA3233"/>
    <w:rsid w:val="00EA328B"/>
    <w:rsid w:val="00EA3417"/>
    <w:rsid w:val="00EA3742"/>
    <w:rsid w:val="00EA3B46"/>
    <w:rsid w:val="00EA3BBD"/>
    <w:rsid w:val="00EA3BEB"/>
    <w:rsid w:val="00EA3FE6"/>
    <w:rsid w:val="00EA42B2"/>
    <w:rsid w:val="00EA42BE"/>
    <w:rsid w:val="00EA4458"/>
    <w:rsid w:val="00EA4710"/>
    <w:rsid w:val="00EA4A75"/>
    <w:rsid w:val="00EA4C2B"/>
    <w:rsid w:val="00EA565B"/>
    <w:rsid w:val="00EA59F1"/>
    <w:rsid w:val="00EA5B13"/>
    <w:rsid w:val="00EA5B3B"/>
    <w:rsid w:val="00EA5DC5"/>
    <w:rsid w:val="00EA5DDD"/>
    <w:rsid w:val="00EA5E44"/>
    <w:rsid w:val="00EA6085"/>
    <w:rsid w:val="00EA6548"/>
    <w:rsid w:val="00EA6567"/>
    <w:rsid w:val="00EA6645"/>
    <w:rsid w:val="00EA6964"/>
    <w:rsid w:val="00EA69BD"/>
    <w:rsid w:val="00EA6B7E"/>
    <w:rsid w:val="00EA6F26"/>
    <w:rsid w:val="00EA6F4E"/>
    <w:rsid w:val="00EA6F9F"/>
    <w:rsid w:val="00EA7296"/>
    <w:rsid w:val="00EA7632"/>
    <w:rsid w:val="00EA7BB4"/>
    <w:rsid w:val="00EA7D56"/>
    <w:rsid w:val="00EB0021"/>
    <w:rsid w:val="00EB04EA"/>
    <w:rsid w:val="00EB0BDA"/>
    <w:rsid w:val="00EB12C7"/>
    <w:rsid w:val="00EB12DF"/>
    <w:rsid w:val="00EB159A"/>
    <w:rsid w:val="00EB16D3"/>
    <w:rsid w:val="00EB1B49"/>
    <w:rsid w:val="00EB1B63"/>
    <w:rsid w:val="00EB1DF9"/>
    <w:rsid w:val="00EB1EC3"/>
    <w:rsid w:val="00EB2165"/>
    <w:rsid w:val="00EB2205"/>
    <w:rsid w:val="00EB235B"/>
    <w:rsid w:val="00EB2572"/>
    <w:rsid w:val="00EB25F9"/>
    <w:rsid w:val="00EB2691"/>
    <w:rsid w:val="00EB2AA9"/>
    <w:rsid w:val="00EB2AEB"/>
    <w:rsid w:val="00EB2CB4"/>
    <w:rsid w:val="00EB2D8F"/>
    <w:rsid w:val="00EB308D"/>
    <w:rsid w:val="00EB32BC"/>
    <w:rsid w:val="00EB3420"/>
    <w:rsid w:val="00EB346C"/>
    <w:rsid w:val="00EB3500"/>
    <w:rsid w:val="00EB360C"/>
    <w:rsid w:val="00EB376B"/>
    <w:rsid w:val="00EB37AD"/>
    <w:rsid w:val="00EB38BC"/>
    <w:rsid w:val="00EB3C44"/>
    <w:rsid w:val="00EB3E2B"/>
    <w:rsid w:val="00EB475C"/>
    <w:rsid w:val="00EB4843"/>
    <w:rsid w:val="00EB51D7"/>
    <w:rsid w:val="00EB521B"/>
    <w:rsid w:val="00EB5311"/>
    <w:rsid w:val="00EB5497"/>
    <w:rsid w:val="00EB5809"/>
    <w:rsid w:val="00EB5AE3"/>
    <w:rsid w:val="00EB5D14"/>
    <w:rsid w:val="00EB5E45"/>
    <w:rsid w:val="00EB6021"/>
    <w:rsid w:val="00EB613B"/>
    <w:rsid w:val="00EB6488"/>
    <w:rsid w:val="00EB64D9"/>
    <w:rsid w:val="00EB6883"/>
    <w:rsid w:val="00EB6962"/>
    <w:rsid w:val="00EB6A46"/>
    <w:rsid w:val="00EB707D"/>
    <w:rsid w:val="00EB70F7"/>
    <w:rsid w:val="00EB712C"/>
    <w:rsid w:val="00EB7256"/>
    <w:rsid w:val="00EB7419"/>
    <w:rsid w:val="00EB7719"/>
    <w:rsid w:val="00EB7AB9"/>
    <w:rsid w:val="00EB7F94"/>
    <w:rsid w:val="00EC0161"/>
    <w:rsid w:val="00EC01EE"/>
    <w:rsid w:val="00EC093A"/>
    <w:rsid w:val="00EC0E11"/>
    <w:rsid w:val="00EC0E49"/>
    <w:rsid w:val="00EC1016"/>
    <w:rsid w:val="00EC11ED"/>
    <w:rsid w:val="00EC11F7"/>
    <w:rsid w:val="00EC122D"/>
    <w:rsid w:val="00EC1380"/>
    <w:rsid w:val="00EC1402"/>
    <w:rsid w:val="00EC1629"/>
    <w:rsid w:val="00EC1634"/>
    <w:rsid w:val="00EC1C4B"/>
    <w:rsid w:val="00EC1EBB"/>
    <w:rsid w:val="00EC1FBA"/>
    <w:rsid w:val="00EC20D6"/>
    <w:rsid w:val="00EC20EC"/>
    <w:rsid w:val="00EC222D"/>
    <w:rsid w:val="00EC2836"/>
    <w:rsid w:val="00EC2942"/>
    <w:rsid w:val="00EC2992"/>
    <w:rsid w:val="00EC2CA0"/>
    <w:rsid w:val="00EC2F99"/>
    <w:rsid w:val="00EC2FF7"/>
    <w:rsid w:val="00EC33BB"/>
    <w:rsid w:val="00EC392B"/>
    <w:rsid w:val="00EC3D09"/>
    <w:rsid w:val="00EC4097"/>
    <w:rsid w:val="00EC4211"/>
    <w:rsid w:val="00EC423F"/>
    <w:rsid w:val="00EC45C5"/>
    <w:rsid w:val="00EC474F"/>
    <w:rsid w:val="00EC47F6"/>
    <w:rsid w:val="00EC4935"/>
    <w:rsid w:val="00EC4AD0"/>
    <w:rsid w:val="00EC4AFC"/>
    <w:rsid w:val="00EC4BA5"/>
    <w:rsid w:val="00EC4C60"/>
    <w:rsid w:val="00EC4F54"/>
    <w:rsid w:val="00EC52B4"/>
    <w:rsid w:val="00EC5388"/>
    <w:rsid w:val="00EC5415"/>
    <w:rsid w:val="00EC5458"/>
    <w:rsid w:val="00EC547E"/>
    <w:rsid w:val="00EC5B43"/>
    <w:rsid w:val="00EC5CBD"/>
    <w:rsid w:val="00EC5D01"/>
    <w:rsid w:val="00EC5DD0"/>
    <w:rsid w:val="00EC5E2E"/>
    <w:rsid w:val="00EC5E54"/>
    <w:rsid w:val="00EC5F79"/>
    <w:rsid w:val="00EC61EA"/>
    <w:rsid w:val="00EC63ED"/>
    <w:rsid w:val="00EC640C"/>
    <w:rsid w:val="00EC6483"/>
    <w:rsid w:val="00EC6737"/>
    <w:rsid w:val="00EC6BFE"/>
    <w:rsid w:val="00EC6D02"/>
    <w:rsid w:val="00EC6D28"/>
    <w:rsid w:val="00EC72F7"/>
    <w:rsid w:val="00EC78D0"/>
    <w:rsid w:val="00EC7D8B"/>
    <w:rsid w:val="00EC7E2A"/>
    <w:rsid w:val="00EC7EA4"/>
    <w:rsid w:val="00EC7F46"/>
    <w:rsid w:val="00ED0582"/>
    <w:rsid w:val="00ED0639"/>
    <w:rsid w:val="00ED06D5"/>
    <w:rsid w:val="00ED070B"/>
    <w:rsid w:val="00ED0A7D"/>
    <w:rsid w:val="00ED0D24"/>
    <w:rsid w:val="00ED0EC8"/>
    <w:rsid w:val="00ED0FEC"/>
    <w:rsid w:val="00ED111A"/>
    <w:rsid w:val="00ED1DF5"/>
    <w:rsid w:val="00ED1E60"/>
    <w:rsid w:val="00ED1EA8"/>
    <w:rsid w:val="00ED1FA9"/>
    <w:rsid w:val="00ED2134"/>
    <w:rsid w:val="00ED226D"/>
    <w:rsid w:val="00ED228A"/>
    <w:rsid w:val="00ED254F"/>
    <w:rsid w:val="00ED2BEB"/>
    <w:rsid w:val="00ED2D4D"/>
    <w:rsid w:val="00ED30F1"/>
    <w:rsid w:val="00ED3108"/>
    <w:rsid w:val="00ED3215"/>
    <w:rsid w:val="00ED3847"/>
    <w:rsid w:val="00ED38B5"/>
    <w:rsid w:val="00ED39F1"/>
    <w:rsid w:val="00ED3BF0"/>
    <w:rsid w:val="00ED4177"/>
    <w:rsid w:val="00ED420A"/>
    <w:rsid w:val="00ED421F"/>
    <w:rsid w:val="00ED43A5"/>
    <w:rsid w:val="00ED4515"/>
    <w:rsid w:val="00ED4598"/>
    <w:rsid w:val="00ED49A9"/>
    <w:rsid w:val="00ED4B57"/>
    <w:rsid w:val="00ED4BEF"/>
    <w:rsid w:val="00ED4E37"/>
    <w:rsid w:val="00ED4EF4"/>
    <w:rsid w:val="00ED52AD"/>
    <w:rsid w:val="00ED53BB"/>
    <w:rsid w:val="00ED571F"/>
    <w:rsid w:val="00ED57D2"/>
    <w:rsid w:val="00ED5A23"/>
    <w:rsid w:val="00ED5D95"/>
    <w:rsid w:val="00ED5F39"/>
    <w:rsid w:val="00ED672C"/>
    <w:rsid w:val="00ED6B36"/>
    <w:rsid w:val="00ED6B44"/>
    <w:rsid w:val="00ED6BF9"/>
    <w:rsid w:val="00ED720A"/>
    <w:rsid w:val="00ED732E"/>
    <w:rsid w:val="00ED78BD"/>
    <w:rsid w:val="00ED7B46"/>
    <w:rsid w:val="00ED7DBF"/>
    <w:rsid w:val="00ED7E2E"/>
    <w:rsid w:val="00ED7EE6"/>
    <w:rsid w:val="00EE0127"/>
    <w:rsid w:val="00EE01C3"/>
    <w:rsid w:val="00EE0348"/>
    <w:rsid w:val="00EE05DB"/>
    <w:rsid w:val="00EE08F9"/>
    <w:rsid w:val="00EE0BC7"/>
    <w:rsid w:val="00EE0C22"/>
    <w:rsid w:val="00EE0EC5"/>
    <w:rsid w:val="00EE1464"/>
    <w:rsid w:val="00EE1640"/>
    <w:rsid w:val="00EE1998"/>
    <w:rsid w:val="00EE1A63"/>
    <w:rsid w:val="00EE1B9F"/>
    <w:rsid w:val="00EE1E12"/>
    <w:rsid w:val="00EE248A"/>
    <w:rsid w:val="00EE2AC4"/>
    <w:rsid w:val="00EE2C0C"/>
    <w:rsid w:val="00EE2D35"/>
    <w:rsid w:val="00EE2D71"/>
    <w:rsid w:val="00EE2DB7"/>
    <w:rsid w:val="00EE2E7F"/>
    <w:rsid w:val="00EE2F71"/>
    <w:rsid w:val="00EE3043"/>
    <w:rsid w:val="00EE35AD"/>
    <w:rsid w:val="00EE370C"/>
    <w:rsid w:val="00EE37B5"/>
    <w:rsid w:val="00EE3BA5"/>
    <w:rsid w:val="00EE3C16"/>
    <w:rsid w:val="00EE3CFD"/>
    <w:rsid w:val="00EE40D2"/>
    <w:rsid w:val="00EE40FE"/>
    <w:rsid w:val="00EE42DD"/>
    <w:rsid w:val="00EE43FF"/>
    <w:rsid w:val="00EE4546"/>
    <w:rsid w:val="00EE47A0"/>
    <w:rsid w:val="00EE4A60"/>
    <w:rsid w:val="00EE4EBF"/>
    <w:rsid w:val="00EE5270"/>
    <w:rsid w:val="00EE5274"/>
    <w:rsid w:val="00EE550A"/>
    <w:rsid w:val="00EE553F"/>
    <w:rsid w:val="00EE58CB"/>
    <w:rsid w:val="00EE5E7F"/>
    <w:rsid w:val="00EE6067"/>
    <w:rsid w:val="00EE63A5"/>
    <w:rsid w:val="00EE668F"/>
    <w:rsid w:val="00EE66DD"/>
    <w:rsid w:val="00EE6760"/>
    <w:rsid w:val="00EE6862"/>
    <w:rsid w:val="00EE68AC"/>
    <w:rsid w:val="00EE69DC"/>
    <w:rsid w:val="00EE6A22"/>
    <w:rsid w:val="00EE6B44"/>
    <w:rsid w:val="00EE6C53"/>
    <w:rsid w:val="00EE6E71"/>
    <w:rsid w:val="00EE7068"/>
    <w:rsid w:val="00EE725D"/>
    <w:rsid w:val="00EE7282"/>
    <w:rsid w:val="00EE79D3"/>
    <w:rsid w:val="00EE7B33"/>
    <w:rsid w:val="00EE7C8A"/>
    <w:rsid w:val="00EE7CB3"/>
    <w:rsid w:val="00EE7E18"/>
    <w:rsid w:val="00EE7E8D"/>
    <w:rsid w:val="00EF018F"/>
    <w:rsid w:val="00EF01B8"/>
    <w:rsid w:val="00EF01CF"/>
    <w:rsid w:val="00EF02A9"/>
    <w:rsid w:val="00EF0345"/>
    <w:rsid w:val="00EF0601"/>
    <w:rsid w:val="00EF0623"/>
    <w:rsid w:val="00EF0762"/>
    <w:rsid w:val="00EF0BBF"/>
    <w:rsid w:val="00EF122C"/>
    <w:rsid w:val="00EF16A9"/>
    <w:rsid w:val="00EF186B"/>
    <w:rsid w:val="00EF1ADF"/>
    <w:rsid w:val="00EF1BDD"/>
    <w:rsid w:val="00EF1EAC"/>
    <w:rsid w:val="00EF20B7"/>
    <w:rsid w:val="00EF21BF"/>
    <w:rsid w:val="00EF23C1"/>
    <w:rsid w:val="00EF25E8"/>
    <w:rsid w:val="00EF29D7"/>
    <w:rsid w:val="00EF2AEE"/>
    <w:rsid w:val="00EF3130"/>
    <w:rsid w:val="00EF381F"/>
    <w:rsid w:val="00EF3A48"/>
    <w:rsid w:val="00EF3AC5"/>
    <w:rsid w:val="00EF40EA"/>
    <w:rsid w:val="00EF43BA"/>
    <w:rsid w:val="00EF47D7"/>
    <w:rsid w:val="00EF4949"/>
    <w:rsid w:val="00EF557A"/>
    <w:rsid w:val="00EF57EC"/>
    <w:rsid w:val="00EF5A48"/>
    <w:rsid w:val="00EF5EFF"/>
    <w:rsid w:val="00EF6435"/>
    <w:rsid w:val="00EF6497"/>
    <w:rsid w:val="00EF652F"/>
    <w:rsid w:val="00EF65CA"/>
    <w:rsid w:val="00EF6835"/>
    <w:rsid w:val="00EF6B39"/>
    <w:rsid w:val="00EF6E2B"/>
    <w:rsid w:val="00EF6F2B"/>
    <w:rsid w:val="00EF6F92"/>
    <w:rsid w:val="00EF7163"/>
    <w:rsid w:val="00EF7327"/>
    <w:rsid w:val="00EF7555"/>
    <w:rsid w:val="00EF78FE"/>
    <w:rsid w:val="00F0006E"/>
    <w:rsid w:val="00F0014B"/>
    <w:rsid w:val="00F0074A"/>
    <w:rsid w:val="00F00931"/>
    <w:rsid w:val="00F009D2"/>
    <w:rsid w:val="00F00A5C"/>
    <w:rsid w:val="00F00BA8"/>
    <w:rsid w:val="00F00BC7"/>
    <w:rsid w:val="00F00F4A"/>
    <w:rsid w:val="00F01057"/>
    <w:rsid w:val="00F012DB"/>
    <w:rsid w:val="00F013D2"/>
    <w:rsid w:val="00F018B6"/>
    <w:rsid w:val="00F01B22"/>
    <w:rsid w:val="00F01B2F"/>
    <w:rsid w:val="00F01CE1"/>
    <w:rsid w:val="00F020D9"/>
    <w:rsid w:val="00F0230D"/>
    <w:rsid w:val="00F02348"/>
    <w:rsid w:val="00F02390"/>
    <w:rsid w:val="00F02900"/>
    <w:rsid w:val="00F02BFB"/>
    <w:rsid w:val="00F02E05"/>
    <w:rsid w:val="00F032F6"/>
    <w:rsid w:val="00F033BC"/>
    <w:rsid w:val="00F034BA"/>
    <w:rsid w:val="00F0375A"/>
    <w:rsid w:val="00F037EF"/>
    <w:rsid w:val="00F0396A"/>
    <w:rsid w:val="00F03C2F"/>
    <w:rsid w:val="00F03D13"/>
    <w:rsid w:val="00F043DE"/>
    <w:rsid w:val="00F04858"/>
    <w:rsid w:val="00F0485E"/>
    <w:rsid w:val="00F048A0"/>
    <w:rsid w:val="00F048D2"/>
    <w:rsid w:val="00F04AA2"/>
    <w:rsid w:val="00F04C47"/>
    <w:rsid w:val="00F04E52"/>
    <w:rsid w:val="00F04FFC"/>
    <w:rsid w:val="00F05A1B"/>
    <w:rsid w:val="00F05E7B"/>
    <w:rsid w:val="00F05F96"/>
    <w:rsid w:val="00F06139"/>
    <w:rsid w:val="00F06407"/>
    <w:rsid w:val="00F067DB"/>
    <w:rsid w:val="00F0690E"/>
    <w:rsid w:val="00F069AA"/>
    <w:rsid w:val="00F069DF"/>
    <w:rsid w:val="00F06A05"/>
    <w:rsid w:val="00F06D76"/>
    <w:rsid w:val="00F06DD1"/>
    <w:rsid w:val="00F06F64"/>
    <w:rsid w:val="00F06FC4"/>
    <w:rsid w:val="00F070FC"/>
    <w:rsid w:val="00F0724F"/>
    <w:rsid w:val="00F0725D"/>
    <w:rsid w:val="00F07284"/>
    <w:rsid w:val="00F0745B"/>
    <w:rsid w:val="00F07542"/>
    <w:rsid w:val="00F07574"/>
    <w:rsid w:val="00F076B6"/>
    <w:rsid w:val="00F0786D"/>
    <w:rsid w:val="00F07BF7"/>
    <w:rsid w:val="00F07C49"/>
    <w:rsid w:val="00F07CA3"/>
    <w:rsid w:val="00F07DD6"/>
    <w:rsid w:val="00F07F1F"/>
    <w:rsid w:val="00F07F21"/>
    <w:rsid w:val="00F10163"/>
    <w:rsid w:val="00F101D1"/>
    <w:rsid w:val="00F102BD"/>
    <w:rsid w:val="00F102EB"/>
    <w:rsid w:val="00F10613"/>
    <w:rsid w:val="00F10A97"/>
    <w:rsid w:val="00F10B85"/>
    <w:rsid w:val="00F10C8A"/>
    <w:rsid w:val="00F10D0F"/>
    <w:rsid w:val="00F10E14"/>
    <w:rsid w:val="00F10ED5"/>
    <w:rsid w:val="00F112C3"/>
    <w:rsid w:val="00F11584"/>
    <w:rsid w:val="00F11707"/>
    <w:rsid w:val="00F117D1"/>
    <w:rsid w:val="00F1193E"/>
    <w:rsid w:val="00F11B86"/>
    <w:rsid w:val="00F11DDE"/>
    <w:rsid w:val="00F11E01"/>
    <w:rsid w:val="00F11FCD"/>
    <w:rsid w:val="00F12101"/>
    <w:rsid w:val="00F1225A"/>
    <w:rsid w:val="00F12405"/>
    <w:rsid w:val="00F12520"/>
    <w:rsid w:val="00F12A93"/>
    <w:rsid w:val="00F12B62"/>
    <w:rsid w:val="00F12C4B"/>
    <w:rsid w:val="00F12E8E"/>
    <w:rsid w:val="00F12EAE"/>
    <w:rsid w:val="00F13138"/>
    <w:rsid w:val="00F13AFF"/>
    <w:rsid w:val="00F13F5E"/>
    <w:rsid w:val="00F143E2"/>
    <w:rsid w:val="00F1450F"/>
    <w:rsid w:val="00F14790"/>
    <w:rsid w:val="00F14AB3"/>
    <w:rsid w:val="00F14CD6"/>
    <w:rsid w:val="00F14D68"/>
    <w:rsid w:val="00F14EE3"/>
    <w:rsid w:val="00F1502B"/>
    <w:rsid w:val="00F15127"/>
    <w:rsid w:val="00F15529"/>
    <w:rsid w:val="00F155A5"/>
    <w:rsid w:val="00F15B49"/>
    <w:rsid w:val="00F1607D"/>
    <w:rsid w:val="00F1623E"/>
    <w:rsid w:val="00F165C6"/>
    <w:rsid w:val="00F167B4"/>
    <w:rsid w:val="00F168D0"/>
    <w:rsid w:val="00F17037"/>
    <w:rsid w:val="00F17271"/>
    <w:rsid w:val="00F203BA"/>
    <w:rsid w:val="00F2051C"/>
    <w:rsid w:val="00F207AA"/>
    <w:rsid w:val="00F208E2"/>
    <w:rsid w:val="00F20E08"/>
    <w:rsid w:val="00F20EE9"/>
    <w:rsid w:val="00F21474"/>
    <w:rsid w:val="00F214AC"/>
    <w:rsid w:val="00F217AC"/>
    <w:rsid w:val="00F219C1"/>
    <w:rsid w:val="00F219E1"/>
    <w:rsid w:val="00F21AEC"/>
    <w:rsid w:val="00F21BF3"/>
    <w:rsid w:val="00F21FB1"/>
    <w:rsid w:val="00F220CD"/>
    <w:rsid w:val="00F220F2"/>
    <w:rsid w:val="00F2257D"/>
    <w:rsid w:val="00F2270C"/>
    <w:rsid w:val="00F2288B"/>
    <w:rsid w:val="00F2294A"/>
    <w:rsid w:val="00F23010"/>
    <w:rsid w:val="00F232BC"/>
    <w:rsid w:val="00F23473"/>
    <w:rsid w:val="00F2382F"/>
    <w:rsid w:val="00F238A0"/>
    <w:rsid w:val="00F238D6"/>
    <w:rsid w:val="00F23A00"/>
    <w:rsid w:val="00F23B09"/>
    <w:rsid w:val="00F23BF6"/>
    <w:rsid w:val="00F23D9F"/>
    <w:rsid w:val="00F23E57"/>
    <w:rsid w:val="00F24030"/>
    <w:rsid w:val="00F24087"/>
    <w:rsid w:val="00F2418F"/>
    <w:rsid w:val="00F242E1"/>
    <w:rsid w:val="00F24415"/>
    <w:rsid w:val="00F24608"/>
    <w:rsid w:val="00F247F2"/>
    <w:rsid w:val="00F24A11"/>
    <w:rsid w:val="00F24ADC"/>
    <w:rsid w:val="00F24DAC"/>
    <w:rsid w:val="00F251D3"/>
    <w:rsid w:val="00F2522E"/>
    <w:rsid w:val="00F253AD"/>
    <w:rsid w:val="00F253B6"/>
    <w:rsid w:val="00F253E0"/>
    <w:rsid w:val="00F25713"/>
    <w:rsid w:val="00F25FC4"/>
    <w:rsid w:val="00F26189"/>
    <w:rsid w:val="00F26280"/>
    <w:rsid w:val="00F2671C"/>
    <w:rsid w:val="00F269AD"/>
    <w:rsid w:val="00F26AA4"/>
    <w:rsid w:val="00F26BEE"/>
    <w:rsid w:val="00F26DEA"/>
    <w:rsid w:val="00F26E04"/>
    <w:rsid w:val="00F26EE5"/>
    <w:rsid w:val="00F27369"/>
    <w:rsid w:val="00F274A7"/>
    <w:rsid w:val="00F27596"/>
    <w:rsid w:val="00F2765C"/>
    <w:rsid w:val="00F279CE"/>
    <w:rsid w:val="00F27A19"/>
    <w:rsid w:val="00F27BD8"/>
    <w:rsid w:val="00F27DD1"/>
    <w:rsid w:val="00F27F80"/>
    <w:rsid w:val="00F30124"/>
    <w:rsid w:val="00F30423"/>
    <w:rsid w:val="00F306D9"/>
    <w:rsid w:val="00F308CF"/>
    <w:rsid w:val="00F310D1"/>
    <w:rsid w:val="00F312E7"/>
    <w:rsid w:val="00F3146E"/>
    <w:rsid w:val="00F315F0"/>
    <w:rsid w:val="00F31663"/>
    <w:rsid w:val="00F317C8"/>
    <w:rsid w:val="00F31AA9"/>
    <w:rsid w:val="00F32596"/>
    <w:rsid w:val="00F32946"/>
    <w:rsid w:val="00F32A3A"/>
    <w:rsid w:val="00F32CAA"/>
    <w:rsid w:val="00F33254"/>
    <w:rsid w:val="00F337C2"/>
    <w:rsid w:val="00F337E3"/>
    <w:rsid w:val="00F33AC7"/>
    <w:rsid w:val="00F33B9D"/>
    <w:rsid w:val="00F33D75"/>
    <w:rsid w:val="00F33FBE"/>
    <w:rsid w:val="00F33FE6"/>
    <w:rsid w:val="00F3413B"/>
    <w:rsid w:val="00F34537"/>
    <w:rsid w:val="00F345C7"/>
    <w:rsid w:val="00F34728"/>
    <w:rsid w:val="00F34732"/>
    <w:rsid w:val="00F34800"/>
    <w:rsid w:val="00F34A3F"/>
    <w:rsid w:val="00F34A9D"/>
    <w:rsid w:val="00F34AF2"/>
    <w:rsid w:val="00F34C85"/>
    <w:rsid w:val="00F34E08"/>
    <w:rsid w:val="00F35405"/>
    <w:rsid w:val="00F35442"/>
    <w:rsid w:val="00F35748"/>
    <w:rsid w:val="00F35912"/>
    <w:rsid w:val="00F35CF8"/>
    <w:rsid w:val="00F35FB8"/>
    <w:rsid w:val="00F36013"/>
    <w:rsid w:val="00F36162"/>
    <w:rsid w:val="00F3654F"/>
    <w:rsid w:val="00F367F2"/>
    <w:rsid w:val="00F36894"/>
    <w:rsid w:val="00F36B39"/>
    <w:rsid w:val="00F371DC"/>
    <w:rsid w:val="00F373DF"/>
    <w:rsid w:val="00F3757D"/>
    <w:rsid w:val="00F375D5"/>
    <w:rsid w:val="00F37AAC"/>
    <w:rsid w:val="00F37B7F"/>
    <w:rsid w:val="00F40026"/>
    <w:rsid w:val="00F40519"/>
    <w:rsid w:val="00F40B35"/>
    <w:rsid w:val="00F40CB5"/>
    <w:rsid w:val="00F40FD9"/>
    <w:rsid w:val="00F41148"/>
    <w:rsid w:val="00F4135B"/>
    <w:rsid w:val="00F413F1"/>
    <w:rsid w:val="00F414CD"/>
    <w:rsid w:val="00F416C1"/>
    <w:rsid w:val="00F42107"/>
    <w:rsid w:val="00F4247E"/>
    <w:rsid w:val="00F42953"/>
    <w:rsid w:val="00F42DF5"/>
    <w:rsid w:val="00F42E74"/>
    <w:rsid w:val="00F4318E"/>
    <w:rsid w:val="00F431A9"/>
    <w:rsid w:val="00F434A6"/>
    <w:rsid w:val="00F438D5"/>
    <w:rsid w:val="00F43CF5"/>
    <w:rsid w:val="00F43D77"/>
    <w:rsid w:val="00F43EFE"/>
    <w:rsid w:val="00F43FC2"/>
    <w:rsid w:val="00F440B3"/>
    <w:rsid w:val="00F44200"/>
    <w:rsid w:val="00F44279"/>
    <w:rsid w:val="00F44317"/>
    <w:rsid w:val="00F44646"/>
    <w:rsid w:val="00F446DA"/>
    <w:rsid w:val="00F44961"/>
    <w:rsid w:val="00F44C7A"/>
    <w:rsid w:val="00F45107"/>
    <w:rsid w:val="00F458AF"/>
    <w:rsid w:val="00F45EDE"/>
    <w:rsid w:val="00F45F17"/>
    <w:rsid w:val="00F463B1"/>
    <w:rsid w:val="00F46408"/>
    <w:rsid w:val="00F465F4"/>
    <w:rsid w:val="00F4684B"/>
    <w:rsid w:val="00F469DD"/>
    <w:rsid w:val="00F469F8"/>
    <w:rsid w:val="00F470F1"/>
    <w:rsid w:val="00F472CB"/>
    <w:rsid w:val="00F473E8"/>
    <w:rsid w:val="00F475D6"/>
    <w:rsid w:val="00F478CA"/>
    <w:rsid w:val="00F47B59"/>
    <w:rsid w:val="00F47D4A"/>
    <w:rsid w:val="00F47EB2"/>
    <w:rsid w:val="00F50089"/>
    <w:rsid w:val="00F501E6"/>
    <w:rsid w:val="00F5036A"/>
    <w:rsid w:val="00F505CD"/>
    <w:rsid w:val="00F50ABF"/>
    <w:rsid w:val="00F511DD"/>
    <w:rsid w:val="00F51367"/>
    <w:rsid w:val="00F51818"/>
    <w:rsid w:val="00F51ABA"/>
    <w:rsid w:val="00F51DAC"/>
    <w:rsid w:val="00F51F70"/>
    <w:rsid w:val="00F52066"/>
    <w:rsid w:val="00F526C9"/>
    <w:rsid w:val="00F52A1F"/>
    <w:rsid w:val="00F52A90"/>
    <w:rsid w:val="00F52AAD"/>
    <w:rsid w:val="00F52BFD"/>
    <w:rsid w:val="00F52D08"/>
    <w:rsid w:val="00F52E08"/>
    <w:rsid w:val="00F52F8A"/>
    <w:rsid w:val="00F53076"/>
    <w:rsid w:val="00F532D7"/>
    <w:rsid w:val="00F537E5"/>
    <w:rsid w:val="00F53933"/>
    <w:rsid w:val="00F53A6A"/>
    <w:rsid w:val="00F53B4B"/>
    <w:rsid w:val="00F53BDF"/>
    <w:rsid w:val="00F53C6C"/>
    <w:rsid w:val="00F54446"/>
    <w:rsid w:val="00F544C8"/>
    <w:rsid w:val="00F5454C"/>
    <w:rsid w:val="00F54612"/>
    <w:rsid w:val="00F546D7"/>
    <w:rsid w:val="00F54A75"/>
    <w:rsid w:val="00F54B1D"/>
    <w:rsid w:val="00F54B7B"/>
    <w:rsid w:val="00F54BB7"/>
    <w:rsid w:val="00F54BB9"/>
    <w:rsid w:val="00F54BED"/>
    <w:rsid w:val="00F54CC6"/>
    <w:rsid w:val="00F54DA9"/>
    <w:rsid w:val="00F55367"/>
    <w:rsid w:val="00F55553"/>
    <w:rsid w:val="00F55FE0"/>
    <w:rsid w:val="00F5619C"/>
    <w:rsid w:val="00F5620C"/>
    <w:rsid w:val="00F5622B"/>
    <w:rsid w:val="00F562A7"/>
    <w:rsid w:val="00F562C4"/>
    <w:rsid w:val="00F5666A"/>
    <w:rsid w:val="00F56AC0"/>
    <w:rsid w:val="00F56B0F"/>
    <w:rsid w:val="00F56CCF"/>
    <w:rsid w:val="00F57384"/>
    <w:rsid w:val="00F57909"/>
    <w:rsid w:val="00F57B07"/>
    <w:rsid w:val="00F57C8C"/>
    <w:rsid w:val="00F57DCC"/>
    <w:rsid w:val="00F57F62"/>
    <w:rsid w:val="00F60004"/>
    <w:rsid w:val="00F600B5"/>
    <w:rsid w:val="00F60116"/>
    <w:rsid w:val="00F604EC"/>
    <w:rsid w:val="00F605DE"/>
    <w:rsid w:val="00F6060C"/>
    <w:rsid w:val="00F60782"/>
    <w:rsid w:val="00F60C78"/>
    <w:rsid w:val="00F60D34"/>
    <w:rsid w:val="00F60EC9"/>
    <w:rsid w:val="00F61156"/>
    <w:rsid w:val="00F6138D"/>
    <w:rsid w:val="00F61427"/>
    <w:rsid w:val="00F61589"/>
    <w:rsid w:val="00F617C0"/>
    <w:rsid w:val="00F61870"/>
    <w:rsid w:val="00F6222B"/>
    <w:rsid w:val="00F6225E"/>
    <w:rsid w:val="00F62463"/>
    <w:rsid w:val="00F625C0"/>
    <w:rsid w:val="00F627FE"/>
    <w:rsid w:val="00F62870"/>
    <w:rsid w:val="00F628D7"/>
    <w:rsid w:val="00F628F4"/>
    <w:rsid w:val="00F62A46"/>
    <w:rsid w:val="00F62C53"/>
    <w:rsid w:val="00F62E1B"/>
    <w:rsid w:val="00F630A5"/>
    <w:rsid w:val="00F6369F"/>
    <w:rsid w:val="00F636E3"/>
    <w:rsid w:val="00F63748"/>
    <w:rsid w:val="00F63AEF"/>
    <w:rsid w:val="00F63B82"/>
    <w:rsid w:val="00F63BFB"/>
    <w:rsid w:val="00F64105"/>
    <w:rsid w:val="00F64510"/>
    <w:rsid w:val="00F646AF"/>
    <w:rsid w:val="00F64AED"/>
    <w:rsid w:val="00F64E89"/>
    <w:rsid w:val="00F64F60"/>
    <w:rsid w:val="00F65082"/>
    <w:rsid w:val="00F6540E"/>
    <w:rsid w:val="00F65500"/>
    <w:rsid w:val="00F65569"/>
    <w:rsid w:val="00F656C2"/>
    <w:rsid w:val="00F65B4B"/>
    <w:rsid w:val="00F661A4"/>
    <w:rsid w:val="00F66517"/>
    <w:rsid w:val="00F665DF"/>
    <w:rsid w:val="00F6676F"/>
    <w:rsid w:val="00F667FA"/>
    <w:rsid w:val="00F66D1D"/>
    <w:rsid w:val="00F67397"/>
    <w:rsid w:val="00F67496"/>
    <w:rsid w:val="00F674BC"/>
    <w:rsid w:val="00F67650"/>
    <w:rsid w:val="00F67657"/>
    <w:rsid w:val="00F67B52"/>
    <w:rsid w:val="00F702BD"/>
    <w:rsid w:val="00F70516"/>
    <w:rsid w:val="00F70553"/>
    <w:rsid w:val="00F70C59"/>
    <w:rsid w:val="00F7100A"/>
    <w:rsid w:val="00F7117B"/>
    <w:rsid w:val="00F71519"/>
    <w:rsid w:val="00F719B2"/>
    <w:rsid w:val="00F72237"/>
    <w:rsid w:val="00F724DE"/>
    <w:rsid w:val="00F724F8"/>
    <w:rsid w:val="00F726CB"/>
    <w:rsid w:val="00F72A7E"/>
    <w:rsid w:val="00F72F2C"/>
    <w:rsid w:val="00F733DE"/>
    <w:rsid w:val="00F73674"/>
    <w:rsid w:val="00F73D8E"/>
    <w:rsid w:val="00F73DC2"/>
    <w:rsid w:val="00F73EBA"/>
    <w:rsid w:val="00F73EDA"/>
    <w:rsid w:val="00F74284"/>
    <w:rsid w:val="00F74498"/>
    <w:rsid w:val="00F74698"/>
    <w:rsid w:val="00F74B71"/>
    <w:rsid w:val="00F74D23"/>
    <w:rsid w:val="00F74EB0"/>
    <w:rsid w:val="00F750CA"/>
    <w:rsid w:val="00F7517C"/>
    <w:rsid w:val="00F753B4"/>
    <w:rsid w:val="00F753E1"/>
    <w:rsid w:val="00F7561A"/>
    <w:rsid w:val="00F75AAF"/>
    <w:rsid w:val="00F75CF7"/>
    <w:rsid w:val="00F75F97"/>
    <w:rsid w:val="00F76642"/>
    <w:rsid w:val="00F7673B"/>
    <w:rsid w:val="00F76C54"/>
    <w:rsid w:val="00F7723A"/>
    <w:rsid w:val="00F772B8"/>
    <w:rsid w:val="00F77BF0"/>
    <w:rsid w:val="00F77DDC"/>
    <w:rsid w:val="00F77DE4"/>
    <w:rsid w:val="00F77E5F"/>
    <w:rsid w:val="00F800B8"/>
    <w:rsid w:val="00F800D6"/>
    <w:rsid w:val="00F8060C"/>
    <w:rsid w:val="00F8064A"/>
    <w:rsid w:val="00F806B8"/>
    <w:rsid w:val="00F80746"/>
    <w:rsid w:val="00F80957"/>
    <w:rsid w:val="00F80967"/>
    <w:rsid w:val="00F80B0F"/>
    <w:rsid w:val="00F80FAC"/>
    <w:rsid w:val="00F80FE0"/>
    <w:rsid w:val="00F8113F"/>
    <w:rsid w:val="00F81176"/>
    <w:rsid w:val="00F811B1"/>
    <w:rsid w:val="00F8127C"/>
    <w:rsid w:val="00F812FC"/>
    <w:rsid w:val="00F81595"/>
    <w:rsid w:val="00F81766"/>
    <w:rsid w:val="00F819A9"/>
    <w:rsid w:val="00F81C39"/>
    <w:rsid w:val="00F8213B"/>
    <w:rsid w:val="00F824B1"/>
    <w:rsid w:val="00F826C3"/>
    <w:rsid w:val="00F826E7"/>
    <w:rsid w:val="00F82701"/>
    <w:rsid w:val="00F82D95"/>
    <w:rsid w:val="00F82FDE"/>
    <w:rsid w:val="00F832A2"/>
    <w:rsid w:val="00F83651"/>
    <w:rsid w:val="00F83843"/>
    <w:rsid w:val="00F83A85"/>
    <w:rsid w:val="00F83A93"/>
    <w:rsid w:val="00F83B51"/>
    <w:rsid w:val="00F83BC0"/>
    <w:rsid w:val="00F83C46"/>
    <w:rsid w:val="00F83D16"/>
    <w:rsid w:val="00F83DC5"/>
    <w:rsid w:val="00F83E34"/>
    <w:rsid w:val="00F84186"/>
    <w:rsid w:val="00F8443A"/>
    <w:rsid w:val="00F847F7"/>
    <w:rsid w:val="00F84847"/>
    <w:rsid w:val="00F848EA"/>
    <w:rsid w:val="00F8490B"/>
    <w:rsid w:val="00F84C27"/>
    <w:rsid w:val="00F84FEA"/>
    <w:rsid w:val="00F85057"/>
    <w:rsid w:val="00F8590C"/>
    <w:rsid w:val="00F85960"/>
    <w:rsid w:val="00F86030"/>
    <w:rsid w:val="00F86845"/>
    <w:rsid w:val="00F86C16"/>
    <w:rsid w:val="00F86C8E"/>
    <w:rsid w:val="00F86D1B"/>
    <w:rsid w:val="00F86D8D"/>
    <w:rsid w:val="00F86FA2"/>
    <w:rsid w:val="00F87043"/>
    <w:rsid w:val="00F87BEE"/>
    <w:rsid w:val="00F87E07"/>
    <w:rsid w:val="00F9005F"/>
    <w:rsid w:val="00F900C1"/>
    <w:rsid w:val="00F90338"/>
    <w:rsid w:val="00F903D9"/>
    <w:rsid w:val="00F9041F"/>
    <w:rsid w:val="00F90600"/>
    <w:rsid w:val="00F90622"/>
    <w:rsid w:val="00F9067C"/>
    <w:rsid w:val="00F906D8"/>
    <w:rsid w:val="00F90C70"/>
    <w:rsid w:val="00F90E70"/>
    <w:rsid w:val="00F9132B"/>
    <w:rsid w:val="00F913B5"/>
    <w:rsid w:val="00F91431"/>
    <w:rsid w:val="00F91571"/>
    <w:rsid w:val="00F91573"/>
    <w:rsid w:val="00F915BD"/>
    <w:rsid w:val="00F917AF"/>
    <w:rsid w:val="00F91904"/>
    <w:rsid w:val="00F91B7F"/>
    <w:rsid w:val="00F91C41"/>
    <w:rsid w:val="00F91C45"/>
    <w:rsid w:val="00F91C9C"/>
    <w:rsid w:val="00F91CC2"/>
    <w:rsid w:val="00F91DAA"/>
    <w:rsid w:val="00F91E8D"/>
    <w:rsid w:val="00F92371"/>
    <w:rsid w:val="00F923DD"/>
    <w:rsid w:val="00F92508"/>
    <w:rsid w:val="00F92543"/>
    <w:rsid w:val="00F92550"/>
    <w:rsid w:val="00F92728"/>
    <w:rsid w:val="00F92AF7"/>
    <w:rsid w:val="00F92B9A"/>
    <w:rsid w:val="00F92BCF"/>
    <w:rsid w:val="00F9302A"/>
    <w:rsid w:val="00F9302B"/>
    <w:rsid w:val="00F9376C"/>
    <w:rsid w:val="00F93920"/>
    <w:rsid w:val="00F93AF6"/>
    <w:rsid w:val="00F93B8E"/>
    <w:rsid w:val="00F93D81"/>
    <w:rsid w:val="00F93DCB"/>
    <w:rsid w:val="00F93E3E"/>
    <w:rsid w:val="00F9422A"/>
    <w:rsid w:val="00F94304"/>
    <w:rsid w:val="00F943BE"/>
    <w:rsid w:val="00F944F1"/>
    <w:rsid w:val="00F94693"/>
    <w:rsid w:val="00F946DA"/>
    <w:rsid w:val="00F94742"/>
    <w:rsid w:val="00F94894"/>
    <w:rsid w:val="00F94C05"/>
    <w:rsid w:val="00F94C2A"/>
    <w:rsid w:val="00F94CEB"/>
    <w:rsid w:val="00F94E3C"/>
    <w:rsid w:val="00F94E3E"/>
    <w:rsid w:val="00F94F92"/>
    <w:rsid w:val="00F9523B"/>
    <w:rsid w:val="00F95333"/>
    <w:rsid w:val="00F955F4"/>
    <w:rsid w:val="00F95762"/>
    <w:rsid w:val="00F959EA"/>
    <w:rsid w:val="00F95A26"/>
    <w:rsid w:val="00F963D0"/>
    <w:rsid w:val="00F966A5"/>
    <w:rsid w:val="00F9687C"/>
    <w:rsid w:val="00F96A62"/>
    <w:rsid w:val="00F96D9E"/>
    <w:rsid w:val="00F97090"/>
    <w:rsid w:val="00F97285"/>
    <w:rsid w:val="00F9748B"/>
    <w:rsid w:val="00F97646"/>
    <w:rsid w:val="00F976E3"/>
    <w:rsid w:val="00F979C0"/>
    <w:rsid w:val="00F97B5D"/>
    <w:rsid w:val="00F97BBB"/>
    <w:rsid w:val="00F97DE1"/>
    <w:rsid w:val="00F97F9D"/>
    <w:rsid w:val="00F97FE9"/>
    <w:rsid w:val="00FA0190"/>
    <w:rsid w:val="00FA0714"/>
    <w:rsid w:val="00FA07C0"/>
    <w:rsid w:val="00FA0868"/>
    <w:rsid w:val="00FA087E"/>
    <w:rsid w:val="00FA0941"/>
    <w:rsid w:val="00FA0CA2"/>
    <w:rsid w:val="00FA0E0F"/>
    <w:rsid w:val="00FA1155"/>
    <w:rsid w:val="00FA1512"/>
    <w:rsid w:val="00FA15DA"/>
    <w:rsid w:val="00FA185D"/>
    <w:rsid w:val="00FA1AB5"/>
    <w:rsid w:val="00FA1BBB"/>
    <w:rsid w:val="00FA1C75"/>
    <w:rsid w:val="00FA1F20"/>
    <w:rsid w:val="00FA2103"/>
    <w:rsid w:val="00FA2113"/>
    <w:rsid w:val="00FA27A5"/>
    <w:rsid w:val="00FA27B7"/>
    <w:rsid w:val="00FA289B"/>
    <w:rsid w:val="00FA2F24"/>
    <w:rsid w:val="00FA2FEF"/>
    <w:rsid w:val="00FA3510"/>
    <w:rsid w:val="00FA36B8"/>
    <w:rsid w:val="00FA3B93"/>
    <w:rsid w:val="00FA3C82"/>
    <w:rsid w:val="00FA46E7"/>
    <w:rsid w:val="00FA4AF7"/>
    <w:rsid w:val="00FA5265"/>
    <w:rsid w:val="00FA56FE"/>
    <w:rsid w:val="00FA58F7"/>
    <w:rsid w:val="00FA5B0F"/>
    <w:rsid w:val="00FA5D7A"/>
    <w:rsid w:val="00FA67BA"/>
    <w:rsid w:val="00FA696E"/>
    <w:rsid w:val="00FA6999"/>
    <w:rsid w:val="00FA69E2"/>
    <w:rsid w:val="00FA6B43"/>
    <w:rsid w:val="00FA6CC1"/>
    <w:rsid w:val="00FA6DE3"/>
    <w:rsid w:val="00FA6DEE"/>
    <w:rsid w:val="00FA6EA5"/>
    <w:rsid w:val="00FA6EF4"/>
    <w:rsid w:val="00FA7572"/>
    <w:rsid w:val="00FA7ADF"/>
    <w:rsid w:val="00FB023A"/>
    <w:rsid w:val="00FB025C"/>
    <w:rsid w:val="00FB0744"/>
    <w:rsid w:val="00FB07DB"/>
    <w:rsid w:val="00FB0876"/>
    <w:rsid w:val="00FB08A8"/>
    <w:rsid w:val="00FB0BB6"/>
    <w:rsid w:val="00FB0E21"/>
    <w:rsid w:val="00FB0EF6"/>
    <w:rsid w:val="00FB1029"/>
    <w:rsid w:val="00FB1095"/>
    <w:rsid w:val="00FB11A7"/>
    <w:rsid w:val="00FB153E"/>
    <w:rsid w:val="00FB1BCB"/>
    <w:rsid w:val="00FB1D4C"/>
    <w:rsid w:val="00FB1F61"/>
    <w:rsid w:val="00FB1FEC"/>
    <w:rsid w:val="00FB2057"/>
    <w:rsid w:val="00FB20E6"/>
    <w:rsid w:val="00FB223A"/>
    <w:rsid w:val="00FB2249"/>
    <w:rsid w:val="00FB29CB"/>
    <w:rsid w:val="00FB2D4F"/>
    <w:rsid w:val="00FB2E54"/>
    <w:rsid w:val="00FB3078"/>
    <w:rsid w:val="00FB3171"/>
    <w:rsid w:val="00FB3202"/>
    <w:rsid w:val="00FB33ED"/>
    <w:rsid w:val="00FB348A"/>
    <w:rsid w:val="00FB3687"/>
    <w:rsid w:val="00FB369A"/>
    <w:rsid w:val="00FB3775"/>
    <w:rsid w:val="00FB3D6F"/>
    <w:rsid w:val="00FB3DF7"/>
    <w:rsid w:val="00FB415E"/>
    <w:rsid w:val="00FB420C"/>
    <w:rsid w:val="00FB463F"/>
    <w:rsid w:val="00FB4786"/>
    <w:rsid w:val="00FB4A7C"/>
    <w:rsid w:val="00FB4ACD"/>
    <w:rsid w:val="00FB4CB6"/>
    <w:rsid w:val="00FB51F2"/>
    <w:rsid w:val="00FB52D4"/>
    <w:rsid w:val="00FB542B"/>
    <w:rsid w:val="00FB5676"/>
    <w:rsid w:val="00FB58A5"/>
    <w:rsid w:val="00FB59BD"/>
    <w:rsid w:val="00FB5C56"/>
    <w:rsid w:val="00FB60A6"/>
    <w:rsid w:val="00FB60D0"/>
    <w:rsid w:val="00FB60E7"/>
    <w:rsid w:val="00FB6148"/>
    <w:rsid w:val="00FB6212"/>
    <w:rsid w:val="00FB6242"/>
    <w:rsid w:val="00FB6325"/>
    <w:rsid w:val="00FB6457"/>
    <w:rsid w:val="00FB64A1"/>
    <w:rsid w:val="00FB6DC7"/>
    <w:rsid w:val="00FB6EE5"/>
    <w:rsid w:val="00FB6F7E"/>
    <w:rsid w:val="00FB7070"/>
    <w:rsid w:val="00FB70A4"/>
    <w:rsid w:val="00FB74E8"/>
    <w:rsid w:val="00FB75F8"/>
    <w:rsid w:val="00FB7653"/>
    <w:rsid w:val="00FB7F8C"/>
    <w:rsid w:val="00FC023D"/>
    <w:rsid w:val="00FC0483"/>
    <w:rsid w:val="00FC055B"/>
    <w:rsid w:val="00FC05FA"/>
    <w:rsid w:val="00FC07B8"/>
    <w:rsid w:val="00FC0970"/>
    <w:rsid w:val="00FC0BDE"/>
    <w:rsid w:val="00FC0DCD"/>
    <w:rsid w:val="00FC11B5"/>
    <w:rsid w:val="00FC1389"/>
    <w:rsid w:val="00FC179D"/>
    <w:rsid w:val="00FC1937"/>
    <w:rsid w:val="00FC1D0A"/>
    <w:rsid w:val="00FC224F"/>
    <w:rsid w:val="00FC237B"/>
    <w:rsid w:val="00FC240C"/>
    <w:rsid w:val="00FC242B"/>
    <w:rsid w:val="00FC258C"/>
    <w:rsid w:val="00FC27D5"/>
    <w:rsid w:val="00FC2D82"/>
    <w:rsid w:val="00FC31E0"/>
    <w:rsid w:val="00FC3608"/>
    <w:rsid w:val="00FC373F"/>
    <w:rsid w:val="00FC379F"/>
    <w:rsid w:val="00FC3BD6"/>
    <w:rsid w:val="00FC3C40"/>
    <w:rsid w:val="00FC3CF0"/>
    <w:rsid w:val="00FC436D"/>
    <w:rsid w:val="00FC439D"/>
    <w:rsid w:val="00FC447A"/>
    <w:rsid w:val="00FC46D0"/>
    <w:rsid w:val="00FC4C71"/>
    <w:rsid w:val="00FC4D1B"/>
    <w:rsid w:val="00FC4E13"/>
    <w:rsid w:val="00FC50AD"/>
    <w:rsid w:val="00FC510E"/>
    <w:rsid w:val="00FC512B"/>
    <w:rsid w:val="00FC52DD"/>
    <w:rsid w:val="00FC5363"/>
    <w:rsid w:val="00FC5572"/>
    <w:rsid w:val="00FC5704"/>
    <w:rsid w:val="00FC5758"/>
    <w:rsid w:val="00FC59A2"/>
    <w:rsid w:val="00FC5A0B"/>
    <w:rsid w:val="00FC5E8B"/>
    <w:rsid w:val="00FC5F11"/>
    <w:rsid w:val="00FC5F33"/>
    <w:rsid w:val="00FC63BB"/>
    <w:rsid w:val="00FC63D4"/>
    <w:rsid w:val="00FC6554"/>
    <w:rsid w:val="00FC67D7"/>
    <w:rsid w:val="00FC690F"/>
    <w:rsid w:val="00FC69B3"/>
    <w:rsid w:val="00FC6B4C"/>
    <w:rsid w:val="00FC6E7B"/>
    <w:rsid w:val="00FC6FC9"/>
    <w:rsid w:val="00FC710A"/>
    <w:rsid w:val="00FC7189"/>
    <w:rsid w:val="00FC71F1"/>
    <w:rsid w:val="00FC733E"/>
    <w:rsid w:val="00FC74AA"/>
    <w:rsid w:val="00FC760C"/>
    <w:rsid w:val="00FC78A4"/>
    <w:rsid w:val="00FC79D9"/>
    <w:rsid w:val="00FC7B8B"/>
    <w:rsid w:val="00FC7CF8"/>
    <w:rsid w:val="00FC7DB1"/>
    <w:rsid w:val="00FD014A"/>
    <w:rsid w:val="00FD034C"/>
    <w:rsid w:val="00FD04C9"/>
    <w:rsid w:val="00FD0CA5"/>
    <w:rsid w:val="00FD0EE3"/>
    <w:rsid w:val="00FD12CE"/>
    <w:rsid w:val="00FD16E1"/>
    <w:rsid w:val="00FD1A10"/>
    <w:rsid w:val="00FD1A11"/>
    <w:rsid w:val="00FD1B6F"/>
    <w:rsid w:val="00FD1C98"/>
    <w:rsid w:val="00FD1CE0"/>
    <w:rsid w:val="00FD1EDE"/>
    <w:rsid w:val="00FD2519"/>
    <w:rsid w:val="00FD267C"/>
    <w:rsid w:val="00FD2A70"/>
    <w:rsid w:val="00FD2ABB"/>
    <w:rsid w:val="00FD2E65"/>
    <w:rsid w:val="00FD2EF4"/>
    <w:rsid w:val="00FD30E2"/>
    <w:rsid w:val="00FD314B"/>
    <w:rsid w:val="00FD3DF9"/>
    <w:rsid w:val="00FD3F8C"/>
    <w:rsid w:val="00FD4045"/>
    <w:rsid w:val="00FD44C9"/>
    <w:rsid w:val="00FD48C7"/>
    <w:rsid w:val="00FD4F48"/>
    <w:rsid w:val="00FD5513"/>
    <w:rsid w:val="00FD5677"/>
    <w:rsid w:val="00FD57F3"/>
    <w:rsid w:val="00FD5B31"/>
    <w:rsid w:val="00FD5DC9"/>
    <w:rsid w:val="00FD5E76"/>
    <w:rsid w:val="00FD6136"/>
    <w:rsid w:val="00FD640A"/>
    <w:rsid w:val="00FD6778"/>
    <w:rsid w:val="00FD69E5"/>
    <w:rsid w:val="00FD6ABD"/>
    <w:rsid w:val="00FD6B0A"/>
    <w:rsid w:val="00FD6ECA"/>
    <w:rsid w:val="00FD6F4F"/>
    <w:rsid w:val="00FD7139"/>
    <w:rsid w:val="00FD737B"/>
    <w:rsid w:val="00FD77B4"/>
    <w:rsid w:val="00FD7A78"/>
    <w:rsid w:val="00FD7D08"/>
    <w:rsid w:val="00FE0283"/>
    <w:rsid w:val="00FE03AC"/>
    <w:rsid w:val="00FE0507"/>
    <w:rsid w:val="00FE06FD"/>
    <w:rsid w:val="00FE0843"/>
    <w:rsid w:val="00FE0A2A"/>
    <w:rsid w:val="00FE0B9D"/>
    <w:rsid w:val="00FE0D09"/>
    <w:rsid w:val="00FE0D70"/>
    <w:rsid w:val="00FE0E6D"/>
    <w:rsid w:val="00FE11AB"/>
    <w:rsid w:val="00FE1250"/>
    <w:rsid w:val="00FE14F3"/>
    <w:rsid w:val="00FE16EB"/>
    <w:rsid w:val="00FE1A02"/>
    <w:rsid w:val="00FE1B8D"/>
    <w:rsid w:val="00FE1CA5"/>
    <w:rsid w:val="00FE1D7C"/>
    <w:rsid w:val="00FE2131"/>
    <w:rsid w:val="00FE2262"/>
    <w:rsid w:val="00FE2785"/>
    <w:rsid w:val="00FE29C1"/>
    <w:rsid w:val="00FE2BDE"/>
    <w:rsid w:val="00FE2D94"/>
    <w:rsid w:val="00FE2DA1"/>
    <w:rsid w:val="00FE319E"/>
    <w:rsid w:val="00FE3471"/>
    <w:rsid w:val="00FE3552"/>
    <w:rsid w:val="00FE3A36"/>
    <w:rsid w:val="00FE3C94"/>
    <w:rsid w:val="00FE3DDA"/>
    <w:rsid w:val="00FE3EEB"/>
    <w:rsid w:val="00FE4345"/>
    <w:rsid w:val="00FE4466"/>
    <w:rsid w:val="00FE450D"/>
    <w:rsid w:val="00FE45A1"/>
    <w:rsid w:val="00FE4630"/>
    <w:rsid w:val="00FE4B0A"/>
    <w:rsid w:val="00FE4B6D"/>
    <w:rsid w:val="00FE4E30"/>
    <w:rsid w:val="00FE4FA9"/>
    <w:rsid w:val="00FE51FC"/>
    <w:rsid w:val="00FE5357"/>
    <w:rsid w:val="00FE5555"/>
    <w:rsid w:val="00FE5613"/>
    <w:rsid w:val="00FE568F"/>
    <w:rsid w:val="00FE56D7"/>
    <w:rsid w:val="00FE5901"/>
    <w:rsid w:val="00FE5A03"/>
    <w:rsid w:val="00FE5ADE"/>
    <w:rsid w:val="00FE5C0A"/>
    <w:rsid w:val="00FE5F77"/>
    <w:rsid w:val="00FE6005"/>
    <w:rsid w:val="00FE6378"/>
    <w:rsid w:val="00FE643A"/>
    <w:rsid w:val="00FE6601"/>
    <w:rsid w:val="00FE6679"/>
    <w:rsid w:val="00FE6C22"/>
    <w:rsid w:val="00FE6C90"/>
    <w:rsid w:val="00FE6DA8"/>
    <w:rsid w:val="00FE6E78"/>
    <w:rsid w:val="00FE6EEA"/>
    <w:rsid w:val="00FE7051"/>
    <w:rsid w:val="00FE7100"/>
    <w:rsid w:val="00FE7558"/>
    <w:rsid w:val="00FE7822"/>
    <w:rsid w:val="00FE78C8"/>
    <w:rsid w:val="00FE79EA"/>
    <w:rsid w:val="00FE7A38"/>
    <w:rsid w:val="00FE7B47"/>
    <w:rsid w:val="00FE7BFC"/>
    <w:rsid w:val="00FE7FBA"/>
    <w:rsid w:val="00FF0066"/>
    <w:rsid w:val="00FF062D"/>
    <w:rsid w:val="00FF0680"/>
    <w:rsid w:val="00FF0982"/>
    <w:rsid w:val="00FF0AC3"/>
    <w:rsid w:val="00FF0B4A"/>
    <w:rsid w:val="00FF0BC7"/>
    <w:rsid w:val="00FF0F43"/>
    <w:rsid w:val="00FF0F9A"/>
    <w:rsid w:val="00FF0FC2"/>
    <w:rsid w:val="00FF1335"/>
    <w:rsid w:val="00FF1912"/>
    <w:rsid w:val="00FF1920"/>
    <w:rsid w:val="00FF19FF"/>
    <w:rsid w:val="00FF1ECB"/>
    <w:rsid w:val="00FF2042"/>
    <w:rsid w:val="00FF20BB"/>
    <w:rsid w:val="00FF22A8"/>
    <w:rsid w:val="00FF237D"/>
    <w:rsid w:val="00FF23EB"/>
    <w:rsid w:val="00FF240A"/>
    <w:rsid w:val="00FF265E"/>
    <w:rsid w:val="00FF2666"/>
    <w:rsid w:val="00FF27FA"/>
    <w:rsid w:val="00FF2D02"/>
    <w:rsid w:val="00FF2EAC"/>
    <w:rsid w:val="00FF2F96"/>
    <w:rsid w:val="00FF3165"/>
    <w:rsid w:val="00FF359F"/>
    <w:rsid w:val="00FF361D"/>
    <w:rsid w:val="00FF365F"/>
    <w:rsid w:val="00FF36F3"/>
    <w:rsid w:val="00FF3AAA"/>
    <w:rsid w:val="00FF3CB7"/>
    <w:rsid w:val="00FF3D57"/>
    <w:rsid w:val="00FF3E6E"/>
    <w:rsid w:val="00FF3FD0"/>
    <w:rsid w:val="00FF4076"/>
    <w:rsid w:val="00FF448A"/>
    <w:rsid w:val="00FF44B6"/>
    <w:rsid w:val="00FF44D6"/>
    <w:rsid w:val="00FF44F1"/>
    <w:rsid w:val="00FF460C"/>
    <w:rsid w:val="00FF46AE"/>
    <w:rsid w:val="00FF493F"/>
    <w:rsid w:val="00FF4B36"/>
    <w:rsid w:val="00FF4B96"/>
    <w:rsid w:val="00FF4BF2"/>
    <w:rsid w:val="00FF5071"/>
    <w:rsid w:val="00FF531B"/>
    <w:rsid w:val="00FF54DF"/>
    <w:rsid w:val="00FF57D0"/>
    <w:rsid w:val="00FF5988"/>
    <w:rsid w:val="00FF5C5C"/>
    <w:rsid w:val="00FF60CD"/>
    <w:rsid w:val="00FF6620"/>
    <w:rsid w:val="00FF6A8A"/>
    <w:rsid w:val="00FF6EA0"/>
    <w:rsid w:val="00FF6FF8"/>
    <w:rsid w:val="00FF7020"/>
    <w:rsid w:val="00FF71BC"/>
    <w:rsid w:val="00FF71C4"/>
    <w:rsid w:val="00FF72CA"/>
    <w:rsid w:val="00FF75AB"/>
    <w:rsid w:val="00FF77A8"/>
    <w:rsid w:val="00FF7D45"/>
    <w:rsid w:val="00FF7E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993D01"/>
  <w15:chartTrackingRefBased/>
  <w15:docId w15:val="{9AF9044A-5258-482C-ADD1-0821E9345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Body Text"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07E4"/>
    <w:pPr>
      <w:spacing w:before="100" w:after="100"/>
    </w:pPr>
    <w:rPr>
      <w:rFonts w:ascii="Book Antiqua" w:hAnsi="Book Antiqua" w:cs="Arial"/>
      <w:szCs w:val="24"/>
      <w:lang w:val="en-US"/>
    </w:rPr>
  </w:style>
  <w:style w:type="paragraph" w:styleId="Heading1">
    <w:name w:val="heading 1"/>
    <w:basedOn w:val="Normal"/>
    <w:next w:val="Normal"/>
    <w:link w:val="Heading1Char"/>
    <w:qFormat/>
    <w:rsid w:val="00D84C10"/>
    <w:pPr>
      <w:keepNext/>
      <w:spacing w:before="240" w:after="60"/>
      <w:jc w:val="center"/>
      <w:outlineLvl w:val="0"/>
    </w:pPr>
    <w:rPr>
      <w:rFonts w:ascii="Arial Bold" w:hAnsi="Arial Bold"/>
      <w:b/>
      <w:bCs/>
      <w:smallCaps/>
      <w:kern w:val="32"/>
      <w:sz w:val="34"/>
      <w:szCs w:val="32"/>
    </w:rPr>
  </w:style>
  <w:style w:type="paragraph" w:styleId="Heading2">
    <w:name w:val="heading 2"/>
    <w:basedOn w:val="Normal"/>
    <w:next w:val="Normal"/>
    <w:link w:val="Heading2Char"/>
    <w:qFormat/>
    <w:rsid w:val="00050D2D"/>
    <w:pPr>
      <w:keepNext/>
      <w:spacing w:before="360" w:after="200"/>
      <w:outlineLvl w:val="1"/>
    </w:pPr>
    <w:rPr>
      <w:rFonts w:ascii="Arial" w:hAnsi="Arial"/>
      <w:bCs/>
      <w:iCs/>
      <w:sz w:val="30"/>
      <w:szCs w:val="28"/>
    </w:rPr>
  </w:style>
  <w:style w:type="paragraph" w:styleId="Heading3">
    <w:name w:val="heading 3"/>
    <w:basedOn w:val="Normal"/>
    <w:next w:val="Normal"/>
    <w:link w:val="Heading3Char"/>
    <w:qFormat/>
    <w:rsid w:val="002743AB"/>
    <w:pPr>
      <w:keepNext/>
      <w:spacing w:before="120" w:after="120"/>
      <w:outlineLvl w:val="2"/>
    </w:pPr>
    <w:rPr>
      <w:rFonts w:ascii="Arial" w:hAnsi="Arial"/>
      <w:b/>
      <w:iCs/>
      <w:sz w:val="26"/>
      <w:szCs w:val="26"/>
    </w:rPr>
  </w:style>
  <w:style w:type="paragraph" w:styleId="Heading4">
    <w:name w:val="heading 4"/>
    <w:basedOn w:val="Normal"/>
    <w:next w:val="Normal"/>
    <w:link w:val="Heading4Char"/>
    <w:qFormat/>
    <w:rsid w:val="00050D2D"/>
    <w:pPr>
      <w:keepNext/>
      <w:spacing w:before="280" w:after="140"/>
      <w:outlineLvl w:val="3"/>
    </w:pPr>
    <w:rPr>
      <w:rFonts w:ascii="Arial" w:hAnsi="Arial" w:cs="Times New Roman"/>
      <w:b/>
      <w:bCs/>
      <w:sz w:val="22"/>
      <w:szCs w:val="28"/>
    </w:rPr>
  </w:style>
  <w:style w:type="paragraph" w:styleId="Heading5">
    <w:name w:val="heading 5"/>
    <w:basedOn w:val="Normal"/>
    <w:next w:val="Normal"/>
    <w:link w:val="Heading5Char"/>
    <w:qFormat/>
    <w:rsid w:val="00CC2F9B"/>
    <w:pPr>
      <w:spacing w:before="120" w:after="120"/>
      <w:outlineLvl w:val="4"/>
    </w:pPr>
    <w:rPr>
      <w:rFonts w:ascii="Arial" w:hAnsi="Arial"/>
      <w:b/>
      <w:bCs/>
      <w:iCs/>
      <w:szCs w:val="26"/>
    </w:rPr>
  </w:style>
  <w:style w:type="paragraph" w:styleId="Heading6">
    <w:name w:val="heading 6"/>
    <w:basedOn w:val="Normal"/>
    <w:next w:val="Normal"/>
    <w:link w:val="Heading6Char"/>
    <w:qFormat/>
    <w:rsid w:val="00050D2D"/>
    <w:pPr>
      <w:spacing w:before="120" w:after="120"/>
      <w:outlineLvl w:val="5"/>
    </w:pPr>
    <w:rPr>
      <w:rFonts w:ascii="Arial" w:hAnsi="Arial" w:cs="Times New Roman"/>
      <w:bCs/>
      <w:szCs w:val="22"/>
    </w:rPr>
  </w:style>
  <w:style w:type="paragraph" w:styleId="Heading7">
    <w:name w:val="heading 7"/>
    <w:basedOn w:val="Normal"/>
    <w:next w:val="Normal"/>
    <w:link w:val="Heading7Char"/>
    <w:qFormat/>
    <w:rsid w:val="00050D2D"/>
    <w:pPr>
      <w:spacing w:before="120" w:after="60"/>
      <w:outlineLvl w:val="6"/>
    </w:pPr>
    <w:rPr>
      <w:rFonts w:ascii="Arial" w:hAnsi="Arial" w:cs="Times New Roman"/>
      <w:sz w:val="18"/>
    </w:rPr>
  </w:style>
  <w:style w:type="paragraph" w:styleId="Heading8">
    <w:name w:val="heading 8"/>
    <w:basedOn w:val="Normal"/>
    <w:next w:val="Normal"/>
    <w:qFormat/>
    <w:rsid w:val="000B41E0"/>
    <w:pPr>
      <w:spacing w:before="240" w:after="60"/>
      <w:outlineLvl w:val="7"/>
    </w:pPr>
    <w:rPr>
      <w:rFonts w:ascii="Times New Roman" w:hAnsi="Times New Roman" w:cs="Times New Roman"/>
      <w:i/>
      <w:iCs/>
      <w:sz w:val="24"/>
    </w:rPr>
  </w:style>
  <w:style w:type="paragraph" w:styleId="Heading9">
    <w:name w:val="heading 9"/>
    <w:basedOn w:val="Normal"/>
    <w:next w:val="Normal"/>
    <w:qFormat/>
    <w:rsid w:val="000B41E0"/>
    <w:p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Title">
    <w:name w:val="Document Title"/>
    <w:basedOn w:val="Normal"/>
    <w:rsid w:val="00C070D3"/>
    <w:rPr>
      <w:rFonts w:ascii="Arial Bold" w:hAnsi="Arial Bold"/>
      <w:b/>
      <w:caps/>
      <w:sz w:val="28"/>
    </w:rPr>
  </w:style>
  <w:style w:type="paragraph" w:customStyle="1" w:styleId="LetterHeading1">
    <w:name w:val="Letter Heading 1"/>
    <w:basedOn w:val="Normal"/>
    <w:rsid w:val="00C64995"/>
    <w:pPr>
      <w:jc w:val="right"/>
    </w:pPr>
    <w:rPr>
      <w:rFonts w:ascii="Times New Roman" w:hAnsi="Times New Roman"/>
      <w:b/>
      <w:caps/>
      <w:sz w:val="28"/>
    </w:rPr>
  </w:style>
  <w:style w:type="paragraph" w:customStyle="1" w:styleId="Exampletext">
    <w:name w:val="Example text"/>
    <w:basedOn w:val="Normal"/>
    <w:link w:val="ExampletextCharChar"/>
    <w:rsid w:val="00C070D3"/>
    <w:pPr>
      <w:spacing w:after="240" w:line="260" w:lineRule="exact"/>
      <w:jc w:val="both"/>
    </w:pPr>
    <w:rPr>
      <w:rFonts w:cs="Times New Roman"/>
      <w:i/>
      <w:color w:val="FF0000"/>
      <w:szCs w:val="20"/>
      <w:lang w:val="en-AU"/>
    </w:rPr>
  </w:style>
  <w:style w:type="paragraph" w:customStyle="1" w:styleId="LetterHeading2">
    <w:name w:val="Letter Heading 2"/>
    <w:basedOn w:val="LetterHeading1"/>
    <w:rsid w:val="00C64995"/>
    <w:rPr>
      <w:b w:val="0"/>
      <w:sz w:val="16"/>
    </w:rPr>
  </w:style>
  <w:style w:type="numbering" w:styleId="111111">
    <w:name w:val="Outline List 2"/>
    <w:basedOn w:val="NoList"/>
    <w:semiHidden/>
    <w:rsid w:val="000B41E0"/>
    <w:pPr>
      <w:numPr>
        <w:numId w:val="1"/>
      </w:numPr>
    </w:pPr>
  </w:style>
  <w:style w:type="numbering" w:styleId="1ai">
    <w:name w:val="Outline List 1"/>
    <w:basedOn w:val="NoList"/>
    <w:semiHidden/>
    <w:rsid w:val="000B41E0"/>
    <w:pPr>
      <w:numPr>
        <w:numId w:val="2"/>
      </w:numPr>
    </w:pPr>
  </w:style>
  <w:style w:type="character" w:customStyle="1" w:styleId="ExampletextCharChar">
    <w:name w:val="Example text Char Char"/>
    <w:link w:val="Exampletext"/>
    <w:rsid w:val="00C070D3"/>
    <w:rPr>
      <w:rFonts w:ascii="Book Antiqua" w:hAnsi="Book Antiqua"/>
      <w:i/>
      <w:color w:val="FF0000"/>
      <w:lang w:val="en-AU" w:eastAsia="en-AU" w:bidi="ar-SA"/>
    </w:rPr>
  </w:style>
  <w:style w:type="paragraph" w:customStyle="1" w:styleId="Crest">
    <w:name w:val="Crest"/>
    <w:basedOn w:val="Normal"/>
    <w:next w:val="Normal"/>
    <w:rsid w:val="00C070D3"/>
    <w:pPr>
      <w:spacing w:after="0"/>
      <w:jc w:val="center"/>
    </w:pPr>
    <w:rPr>
      <w:rFonts w:cs="Times New Roman"/>
      <w:szCs w:val="20"/>
      <w:lang w:val="en-AU"/>
    </w:rPr>
  </w:style>
  <w:style w:type="numbering" w:styleId="ArticleSection">
    <w:name w:val="Outline List 3"/>
    <w:basedOn w:val="NoList"/>
    <w:semiHidden/>
    <w:rsid w:val="000B41E0"/>
    <w:pPr>
      <w:numPr>
        <w:numId w:val="3"/>
      </w:numPr>
    </w:pPr>
  </w:style>
  <w:style w:type="paragraph" w:styleId="BlockText">
    <w:name w:val="Block Text"/>
    <w:basedOn w:val="Normal"/>
    <w:semiHidden/>
    <w:rsid w:val="000B41E0"/>
    <w:pPr>
      <w:spacing w:after="120"/>
      <w:ind w:left="1440" w:right="1440"/>
    </w:pPr>
  </w:style>
  <w:style w:type="paragraph" w:styleId="BodyText">
    <w:name w:val="Body Text"/>
    <w:basedOn w:val="Normal"/>
    <w:link w:val="BodyTextChar"/>
    <w:qFormat/>
    <w:rsid w:val="000B41E0"/>
    <w:pPr>
      <w:spacing w:after="120"/>
    </w:pPr>
  </w:style>
  <w:style w:type="paragraph" w:styleId="BodyText2">
    <w:name w:val="Body Text 2"/>
    <w:basedOn w:val="Normal"/>
    <w:semiHidden/>
    <w:rsid w:val="000B41E0"/>
    <w:pPr>
      <w:spacing w:after="120" w:line="480" w:lineRule="auto"/>
    </w:pPr>
  </w:style>
  <w:style w:type="paragraph" w:styleId="BodyText3">
    <w:name w:val="Body Text 3"/>
    <w:basedOn w:val="Normal"/>
    <w:semiHidden/>
    <w:rsid w:val="000B41E0"/>
    <w:pPr>
      <w:spacing w:after="120"/>
    </w:pPr>
    <w:rPr>
      <w:sz w:val="16"/>
      <w:szCs w:val="16"/>
    </w:rPr>
  </w:style>
  <w:style w:type="paragraph" w:styleId="BodyTextFirstIndent">
    <w:name w:val="Body Text First Indent"/>
    <w:basedOn w:val="BodyText"/>
    <w:semiHidden/>
    <w:rsid w:val="000B41E0"/>
    <w:pPr>
      <w:ind w:firstLine="210"/>
    </w:pPr>
  </w:style>
  <w:style w:type="paragraph" w:styleId="BodyTextIndent">
    <w:name w:val="Body Text Indent"/>
    <w:basedOn w:val="Normal"/>
    <w:semiHidden/>
    <w:rsid w:val="000B41E0"/>
    <w:pPr>
      <w:spacing w:after="120"/>
      <w:ind w:left="283"/>
    </w:pPr>
  </w:style>
  <w:style w:type="paragraph" w:styleId="BodyTextFirstIndent2">
    <w:name w:val="Body Text First Indent 2"/>
    <w:basedOn w:val="BodyTextIndent"/>
    <w:semiHidden/>
    <w:rsid w:val="000B41E0"/>
    <w:pPr>
      <w:ind w:firstLine="210"/>
    </w:pPr>
  </w:style>
  <w:style w:type="paragraph" w:styleId="BodyTextIndent2">
    <w:name w:val="Body Text Indent 2"/>
    <w:basedOn w:val="Normal"/>
    <w:semiHidden/>
    <w:rsid w:val="000B41E0"/>
    <w:pPr>
      <w:spacing w:after="120" w:line="480" w:lineRule="auto"/>
      <w:ind w:left="283"/>
    </w:pPr>
  </w:style>
  <w:style w:type="paragraph" w:styleId="BodyTextIndent3">
    <w:name w:val="Body Text Indent 3"/>
    <w:basedOn w:val="Normal"/>
    <w:semiHidden/>
    <w:rsid w:val="000B41E0"/>
    <w:pPr>
      <w:spacing w:after="120"/>
      <w:ind w:left="283"/>
    </w:pPr>
    <w:rPr>
      <w:sz w:val="16"/>
      <w:szCs w:val="16"/>
    </w:rPr>
  </w:style>
  <w:style w:type="paragraph" w:styleId="Closing">
    <w:name w:val="Closing"/>
    <w:basedOn w:val="Normal"/>
    <w:semiHidden/>
    <w:rsid w:val="000B41E0"/>
    <w:pPr>
      <w:ind w:left="4252"/>
    </w:pPr>
  </w:style>
  <w:style w:type="paragraph" w:styleId="Date">
    <w:name w:val="Date"/>
    <w:basedOn w:val="Normal"/>
    <w:next w:val="Normal"/>
    <w:semiHidden/>
    <w:rsid w:val="000B41E0"/>
  </w:style>
  <w:style w:type="character" w:styleId="Emphasis">
    <w:name w:val="Emphasis"/>
    <w:uiPriority w:val="20"/>
    <w:qFormat/>
    <w:rsid w:val="000B41E0"/>
    <w:rPr>
      <w:i/>
      <w:iCs/>
    </w:rPr>
  </w:style>
  <w:style w:type="paragraph" w:styleId="EnvelopeAddress">
    <w:name w:val="envelope address"/>
    <w:basedOn w:val="Normal"/>
    <w:semiHidden/>
    <w:rsid w:val="000B41E0"/>
    <w:pPr>
      <w:framePr w:w="7920" w:h="1980" w:hRule="exact" w:hSpace="180" w:wrap="auto" w:hAnchor="page" w:xAlign="center" w:yAlign="bottom"/>
      <w:ind w:left="2880"/>
    </w:pPr>
    <w:rPr>
      <w:rFonts w:ascii="Arial" w:hAnsi="Arial"/>
      <w:sz w:val="24"/>
    </w:rPr>
  </w:style>
  <w:style w:type="paragraph" w:styleId="EnvelopeReturn">
    <w:name w:val="envelope return"/>
    <w:basedOn w:val="Normal"/>
    <w:semiHidden/>
    <w:rsid w:val="000B41E0"/>
    <w:rPr>
      <w:rFonts w:ascii="Arial" w:hAnsi="Arial"/>
      <w:szCs w:val="20"/>
    </w:rPr>
  </w:style>
  <w:style w:type="character" w:styleId="FollowedHyperlink">
    <w:name w:val="FollowedHyperlink"/>
    <w:uiPriority w:val="99"/>
    <w:semiHidden/>
    <w:rsid w:val="000B41E0"/>
    <w:rPr>
      <w:color w:val="606420"/>
      <w:u w:val="single"/>
    </w:rPr>
  </w:style>
  <w:style w:type="character" w:styleId="HTMLAcronym">
    <w:name w:val="HTML Acronym"/>
    <w:basedOn w:val="DefaultParagraphFont"/>
    <w:semiHidden/>
    <w:rsid w:val="000B41E0"/>
  </w:style>
  <w:style w:type="paragraph" w:styleId="HTMLAddress">
    <w:name w:val="HTML Address"/>
    <w:basedOn w:val="Normal"/>
    <w:semiHidden/>
    <w:rsid w:val="000B41E0"/>
    <w:rPr>
      <w:i/>
      <w:iCs/>
    </w:rPr>
  </w:style>
  <w:style w:type="character" w:styleId="HTMLCite">
    <w:name w:val="HTML Cite"/>
    <w:semiHidden/>
    <w:rsid w:val="000B41E0"/>
    <w:rPr>
      <w:i/>
      <w:iCs/>
    </w:rPr>
  </w:style>
  <w:style w:type="character" w:styleId="HTMLCode">
    <w:name w:val="HTML Code"/>
    <w:semiHidden/>
    <w:rsid w:val="000B41E0"/>
    <w:rPr>
      <w:rFonts w:ascii="Courier New" w:hAnsi="Courier New" w:cs="Courier New"/>
      <w:sz w:val="20"/>
      <w:szCs w:val="20"/>
    </w:rPr>
  </w:style>
  <w:style w:type="character" w:styleId="HTMLDefinition">
    <w:name w:val="HTML Definition"/>
    <w:semiHidden/>
    <w:rsid w:val="000B41E0"/>
    <w:rPr>
      <w:i/>
      <w:iCs/>
    </w:rPr>
  </w:style>
  <w:style w:type="character" w:styleId="HTMLKeyboard">
    <w:name w:val="HTML Keyboard"/>
    <w:semiHidden/>
    <w:rsid w:val="000B41E0"/>
    <w:rPr>
      <w:rFonts w:ascii="Courier New" w:hAnsi="Courier New" w:cs="Courier New"/>
      <w:sz w:val="20"/>
      <w:szCs w:val="20"/>
    </w:rPr>
  </w:style>
  <w:style w:type="paragraph" w:styleId="HTMLPreformatted">
    <w:name w:val="HTML Preformatted"/>
    <w:basedOn w:val="Normal"/>
    <w:semiHidden/>
    <w:rsid w:val="000B41E0"/>
    <w:rPr>
      <w:rFonts w:ascii="Courier New" w:hAnsi="Courier New" w:cs="Courier New"/>
      <w:szCs w:val="20"/>
    </w:rPr>
  </w:style>
  <w:style w:type="character" w:styleId="HTMLSample">
    <w:name w:val="HTML Sample"/>
    <w:semiHidden/>
    <w:rsid w:val="000B41E0"/>
    <w:rPr>
      <w:rFonts w:ascii="Courier New" w:hAnsi="Courier New" w:cs="Courier New"/>
    </w:rPr>
  </w:style>
  <w:style w:type="character" w:styleId="HTMLTypewriter">
    <w:name w:val="HTML Typewriter"/>
    <w:semiHidden/>
    <w:rsid w:val="000B41E0"/>
    <w:rPr>
      <w:rFonts w:ascii="Courier New" w:hAnsi="Courier New" w:cs="Courier New"/>
      <w:sz w:val="20"/>
      <w:szCs w:val="20"/>
    </w:rPr>
  </w:style>
  <w:style w:type="character" w:styleId="HTMLVariable">
    <w:name w:val="HTML Variable"/>
    <w:semiHidden/>
    <w:rsid w:val="000B41E0"/>
    <w:rPr>
      <w:i/>
      <w:iCs/>
    </w:rPr>
  </w:style>
  <w:style w:type="character" w:styleId="Hyperlink">
    <w:name w:val="Hyperlink"/>
    <w:uiPriority w:val="99"/>
    <w:rsid w:val="000B41E0"/>
    <w:rPr>
      <w:color w:val="0000FF"/>
      <w:u w:val="single"/>
    </w:rPr>
  </w:style>
  <w:style w:type="character" w:styleId="LineNumber">
    <w:name w:val="line number"/>
    <w:basedOn w:val="DefaultParagraphFont"/>
    <w:semiHidden/>
    <w:rsid w:val="000B41E0"/>
  </w:style>
  <w:style w:type="paragraph" w:styleId="List">
    <w:name w:val="List"/>
    <w:basedOn w:val="Normal"/>
    <w:semiHidden/>
    <w:rsid w:val="000B41E0"/>
    <w:pPr>
      <w:ind w:left="283" w:hanging="283"/>
    </w:pPr>
  </w:style>
  <w:style w:type="paragraph" w:styleId="List2">
    <w:name w:val="List 2"/>
    <w:basedOn w:val="Normal"/>
    <w:semiHidden/>
    <w:rsid w:val="000B41E0"/>
    <w:pPr>
      <w:ind w:left="566" w:hanging="283"/>
    </w:pPr>
  </w:style>
  <w:style w:type="paragraph" w:styleId="List3">
    <w:name w:val="List 3"/>
    <w:basedOn w:val="Normal"/>
    <w:semiHidden/>
    <w:rsid w:val="000B41E0"/>
    <w:pPr>
      <w:ind w:left="849" w:hanging="283"/>
    </w:pPr>
  </w:style>
  <w:style w:type="paragraph" w:styleId="List4">
    <w:name w:val="List 4"/>
    <w:basedOn w:val="Normal"/>
    <w:semiHidden/>
    <w:rsid w:val="000B41E0"/>
    <w:pPr>
      <w:ind w:left="1132" w:hanging="283"/>
    </w:pPr>
  </w:style>
  <w:style w:type="paragraph" w:styleId="List5">
    <w:name w:val="List 5"/>
    <w:basedOn w:val="Normal"/>
    <w:semiHidden/>
    <w:rsid w:val="000B41E0"/>
    <w:pPr>
      <w:ind w:left="1415" w:hanging="283"/>
    </w:pPr>
  </w:style>
  <w:style w:type="paragraph" w:styleId="ListBullet">
    <w:name w:val="List Bullet"/>
    <w:basedOn w:val="Normal"/>
    <w:semiHidden/>
    <w:rsid w:val="000B41E0"/>
    <w:pPr>
      <w:numPr>
        <w:numId w:val="4"/>
      </w:numPr>
    </w:pPr>
  </w:style>
  <w:style w:type="paragraph" w:styleId="ListBullet2">
    <w:name w:val="List Bullet 2"/>
    <w:basedOn w:val="Normal"/>
    <w:semiHidden/>
    <w:rsid w:val="000B41E0"/>
    <w:pPr>
      <w:numPr>
        <w:numId w:val="5"/>
      </w:numPr>
    </w:pPr>
  </w:style>
  <w:style w:type="paragraph" w:styleId="ListBullet3">
    <w:name w:val="List Bullet 3"/>
    <w:basedOn w:val="Normal"/>
    <w:semiHidden/>
    <w:rsid w:val="000B41E0"/>
    <w:pPr>
      <w:numPr>
        <w:numId w:val="6"/>
      </w:numPr>
    </w:pPr>
  </w:style>
  <w:style w:type="paragraph" w:styleId="ListBullet4">
    <w:name w:val="List Bullet 4"/>
    <w:basedOn w:val="Normal"/>
    <w:semiHidden/>
    <w:rsid w:val="000B41E0"/>
    <w:pPr>
      <w:numPr>
        <w:numId w:val="7"/>
      </w:numPr>
    </w:pPr>
  </w:style>
  <w:style w:type="paragraph" w:styleId="ListBullet5">
    <w:name w:val="List Bullet 5"/>
    <w:basedOn w:val="Normal"/>
    <w:semiHidden/>
    <w:rsid w:val="000B41E0"/>
    <w:pPr>
      <w:numPr>
        <w:numId w:val="8"/>
      </w:numPr>
    </w:pPr>
  </w:style>
  <w:style w:type="paragraph" w:styleId="ListContinue">
    <w:name w:val="List Continue"/>
    <w:basedOn w:val="Normal"/>
    <w:semiHidden/>
    <w:rsid w:val="000B41E0"/>
    <w:pPr>
      <w:spacing w:after="120"/>
      <w:ind w:left="283"/>
    </w:pPr>
  </w:style>
  <w:style w:type="paragraph" w:styleId="ListContinue2">
    <w:name w:val="List Continue 2"/>
    <w:basedOn w:val="Normal"/>
    <w:semiHidden/>
    <w:rsid w:val="000B41E0"/>
    <w:pPr>
      <w:spacing w:after="120"/>
      <w:ind w:left="566"/>
    </w:pPr>
  </w:style>
  <w:style w:type="paragraph" w:styleId="ListContinue3">
    <w:name w:val="List Continue 3"/>
    <w:basedOn w:val="Normal"/>
    <w:semiHidden/>
    <w:rsid w:val="000B41E0"/>
    <w:pPr>
      <w:spacing w:after="120"/>
      <w:ind w:left="849"/>
    </w:pPr>
  </w:style>
  <w:style w:type="paragraph" w:styleId="ListContinue4">
    <w:name w:val="List Continue 4"/>
    <w:basedOn w:val="Normal"/>
    <w:semiHidden/>
    <w:rsid w:val="000B41E0"/>
    <w:pPr>
      <w:spacing w:after="120"/>
      <w:ind w:left="1132"/>
    </w:pPr>
  </w:style>
  <w:style w:type="paragraph" w:styleId="ListContinue5">
    <w:name w:val="List Continue 5"/>
    <w:basedOn w:val="Normal"/>
    <w:semiHidden/>
    <w:rsid w:val="000B41E0"/>
    <w:pPr>
      <w:spacing w:after="120"/>
      <w:ind w:left="1415"/>
    </w:pPr>
  </w:style>
  <w:style w:type="paragraph" w:styleId="ListNumber">
    <w:name w:val="List Number"/>
    <w:basedOn w:val="Normal"/>
    <w:semiHidden/>
    <w:rsid w:val="000B41E0"/>
    <w:pPr>
      <w:numPr>
        <w:numId w:val="9"/>
      </w:numPr>
    </w:pPr>
  </w:style>
  <w:style w:type="paragraph" w:styleId="ListNumber2">
    <w:name w:val="List Number 2"/>
    <w:basedOn w:val="Normal"/>
    <w:semiHidden/>
    <w:rsid w:val="000B41E0"/>
    <w:pPr>
      <w:numPr>
        <w:numId w:val="10"/>
      </w:numPr>
    </w:pPr>
  </w:style>
  <w:style w:type="paragraph" w:styleId="ListNumber3">
    <w:name w:val="List Number 3"/>
    <w:basedOn w:val="Normal"/>
    <w:semiHidden/>
    <w:rsid w:val="000B41E0"/>
    <w:pPr>
      <w:numPr>
        <w:numId w:val="11"/>
      </w:numPr>
    </w:pPr>
  </w:style>
  <w:style w:type="paragraph" w:styleId="ListNumber4">
    <w:name w:val="List Number 4"/>
    <w:basedOn w:val="Normal"/>
    <w:semiHidden/>
    <w:rsid w:val="000B41E0"/>
    <w:pPr>
      <w:numPr>
        <w:numId w:val="12"/>
      </w:numPr>
    </w:pPr>
  </w:style>
  <w:style w:type="paragraph" w:styleId="ListNumber5">
    <w:name w:val="List Number 5"/>
    <w:basedOn w:val="Normal"/>
    <w:semiHidden/>
    <w:rsid w:val="000B41E0"/>
    <w:pPr>
      <w:numPr>
        <w:numId w:val="13"/>
      </w:numPr>
    </w:pPr>
  </w:style>
  <w:style w:type="paragraph" w:styleId="MessageHeader">
    <w:name w:val="Message Header"/>
    <w:basedOn w:val="Normal"/>
    <w:semiHidden/>
    <w:rsid w:val="000B41E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paragraph" w:styleId="NormalWeb">
    <w:name w:val="Normal (Web)"/>
    <w:basedOn w:val="Normal"/>
    <w:uiPriority w:val="99"/>
    <w:rsid w:val="000B41E0"/>
    <w:rPr>
      <w:rFonts w:ascii="Times New Roman" w:hAnsi="Times New Roman" w:cs="Times New Roman"/>
      <w:sz w:val="24"/>
    </w:rPr>
  </w:style>
  <w:style w:type="paragraph" w:styleId="NoteHeading">
    <w:name w:val="Note Heading"/>
    <w:basedOn w:val="Normal"/>
    <w:next w:val="Normal"/>
    <w:semiHidden/>
    <w:rsid w:val="000B41E0"/>
  </w:style>
  <w:style w:type="paragraph" w:styleId="PlainText">
    <w:name w:val="Plain Text"/>
    <w:basedOn w:val="Normal"/>
    <w:semiHidden/>
    <w:rsid w:val="000B41E0"/>
    <w:rPr>
      <w:rFonts w:ascii="Courier New" w:hAnsi="Courier New" w:cs="Courier New"/>
      <w:szCs w:val="20"/>
    </w:rPr>
  </w:style>
  <w:style w:type="paragraph" w:styleId="Salutation">
    <w:name w:val="Salutation"/>
    <w:basedOn w:val="Normal"/>
    <w:next w:val="Normal"/>
    <w:semiHidden/>
    <w:rsid w:val="000B41E0"/>
  </w:style>
  <w:style w:type="paragraph" w:styleId="Signature">
    <w:name w:val="Signature"/>
    <w:basedOn w:val="Normal"/>
    <w:semiHidden/>
    <w:rsid w:val="000B41E0"/>
    <w:pPr>
      <w:ind w:left="4252"/>
    </w:pPr>
  </w:style>
  <w:style w:type="character" w:styleId="Strong">
    <w:name w:val="Strong"/>
    <w:uiPriority w:val="22"/>
    <w:qFormat/>
    <w:rsid w:val="000B41E0"/>
    <w:rPr>
      <w:b/>
      <w:bCs/>
    </w:rPr>
  </w:style>
  <w:style w:type="paragraph" w:styleId="Subtitle">
    <w:name w:val="Subtitle"/>
    <w:basedOn w:val="Normal"/>
    <w:qFormat/>
    <w:rsid w:val="000B41E0"/>
    <w:pPr>
      <w:spacing w:after="60"/>
      <w:jc w:val="center"/>
      <w:outlineLvl w:val="1"/>
    </w:pPr>
    <w:rPr>
      <w:rFonts w:ascii="Arial" w:hAnsi="Arial"/>
      <w:sz w:val="24"/>
    </w:rPr>
  </w:style>
  <w:style w:type="table" w:styleId="Table3Deffects1">
    <w:name w:val="Table 3D effects 1"/>
    <w:basedOn w:val="TableNormal"/>
    <w:semiHidden/>
    <w:rsid w:val="000B41E0"/>
    <w:pPr>
      <w:spacing w:after="10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B41E0"/>
    <w:pPr>
      <w:spacing w:after="10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B41E0"/>
    <w:pPr>
      <w:spacing w:after="10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B41E0"/>
    <w:pPr>
      <w:spacing w:after="10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B41E0"/>
    <w:pPr>
      <w:spacing w:after="10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B41E0"/>
    <w:pPr>
      <w:spacing w:after="10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B41E0"/>
    <w:pPr>
      <w:spacing w:after="10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B41E0"/>
    <w:pPr>
      <w:spacing w:after="10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B41E0"/>
    <w:pPr>
      <w:spacing w:after="10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B41E0"/>
    <w:pPr>
      <w:spacing w:after="10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B41E0"/>
    <w:pPr>
      <w:spacing w:after="10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B41E0"/>
    <w:pPr>
      <w:spacing w:after="10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B41E0"/>
    <w:pPr>
      <w:spacing w:after="10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B41E0"/>
    <w:pPr>
      <w:spacing w:after="10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B41E0"/>
    <w:pPr>
      <w:spacing w:after="10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B41E0"/>
    <w:pPr>
      <w:spacing w:after="10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B41E0"/>
    <w:pPr>
      <w:spacing w:after="10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0B41E0"/>
    <w:pPr>
      <w:spacing w:after="1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B41E0"/>
    <w:pPr>
      <w:spacing w:after="1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B41E0"/>
    <w:pPr>
      <w:spacing w:after="10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B41E0"/>
    <w:pPr>
      <w:spacing w:after="10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B41E0"/>
    <w:pPr>
      <w:spacing w:after="10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B41E0"/>
    <w:pPr>
      <w:spacing w:after="10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B41E0"/>
    <w:pPr>
      <w:spacing w:after="10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B41E0"/>
    <w:pPr>
      <w:spacing w:after="10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B41E0"/>
    <w:pPr>
      <w:spacing w:after="10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B41E0"/>
    <w:pPr>
      <w:spacing w:after="10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B41E0"/>
    <w:pPr>
      <w:spacing w:after="10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B41E0"/>
    <w:pPr>
      <w:spacing w:after="10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B41E0"/>
    <w:pPr>
      <w:spacing w:after="10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B41E0"/>
    <w:pPr>
      <w:spacing w:after="10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B41E0"/>
    <w:pPr>
      <w:spacing w:after="10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B41E0"/>
    <w:pPr>
      <w:spacing w:after="10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B41E0"/>
    <w:pPr>
      <w:spacing w:after="10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B41E0"/>
    <w:pPr>
      <w:spacing w:after="1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B41E0"/>
    <w:pPr>
      <w:spacing w:after="10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B41E0"/>
    <w:pPr>
      <w:spacing w:after="10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B41E0"/>
    <w:pPr>
      <w:spacing w:after="10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B41E0"/>
    <w:pPr>
      <w:spacing w:after="10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B41E0"/>
    <w:pPr>
      <w:spacing w:after="10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B41E0"/>
    <w:pPr>
      <w:spacing w:after="1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B41E0"/>
    <w:pPr>
      <w:spacing w:after="10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B41E0"/>
    <w:pPr>
      <w:spacing w:after="10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B41E0"/>
    <w:pPr>
      <w:spacing w:after="10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B41E0"/>
    <w:pPr>
      <w:spacing w:before="240" w:after="60"/>
      <w:jc w:val="center"/>
      <w:outlineLvl w:val="0"/>
    </w:pPr>
    <w:rPr>
      <w:rFonts w:ascii="Arial" w:hAnsi="Arial"/>
      <w:b/>
      <w:bCs/>
      <w:kern w:val="28"/>
      <w:sz w:val="32"/>
      <w:szCs w:val="32"/>
    </w:rPr>
  </w:style>
  <w:style w:type="paragraph" w:styleId="E-mailSignature">
    <w:name w:val="E-mail Signature"/>
    <w:basedOn w:val="Normal"/>
    <w:semiHidden/>
    <w:rsid w:val="000B41E0"/>
  </w:style>
  <w:style w:type="paragraph" w:customStyle="1" w:styleId="HeadingTitlePage">
    <w:name w:val="Heading Title Page"/>
    <w:basedOn w:val="Normal"/>
    <w:rsid w:val="00B21C1A"/>
    <w:pPr>
      <w:jc w:val="center"/>
    </w:pPr>
    <w:rPr>
      <w:rFonts w:ascii="Arial Bold" w:hAnsi="Arial Bold"/>
      <w:b/>
      <w:sz w:val="52"/>
    </w:rPr>
  </w:style>
  <w:style w:type="paragraph" w:customStyle="1" w:styleId="TableTextLeftIndent">
    <w:name w:val="Table Text Left Indent"/>
    <w:basedOn w:val="Normal"/>
    <w:link w:val="TableTextLeftIndentChar"/>
    <w:rsid w:val="00803A39"/>
    <w:pPr>
      <w:spacing w:before="40" w:after="40"/>
      <w:ind w:left="243"/>
    </w:pPr>
    <w:rPr>
      <w:rFonts w:ascii="Arial" w:hAnsi="Arial"/>
      <w:sz w:val="18"/>
    </w:rPr>
  </w:style>
  <w:style w:type="paragraph" w:customStyle="1" w:styleId="TableTextHeadingLeft">
    <w:name w:val="Table Text Heading Left"/>
    <w:basedOn w:val="Normal"/>
    <w:link w:val="TableTextHeadingLeftChar"/>
    <w:rsid w:val="00F434A6"/>
    <w:pPr>
      <w:spacing w:before="40" w:after="40"/>
    </w:pPr>
    <w:rPr>
      <w:rFonts w:ascii="Arial" w:hAnsi="Arial"/>
      <w:b/>
      <w:sz w:val="18"/>
    </w:rPr>
  </w:style>
  <w:style w:type="paragraph" w:styleId="Footer">
    <w:name w:val="footer"/>
    <w:basedOn w:val="Normal"/>
    <w:link w:val="FooterChar"/>
    <w:uiPriority w:val="99"/>
    <w:rsid w:val="00CE75AA"/>
    <w:pPr>
      <w:tabs>
        <w:tab w:val="center" w:pos="4153"/>
        <w:tab w:val="right" w:pos="8306"/>
      </w:tabs>
    </w:pPr>
  </w:style>
  <w:style w:type="paragraph" w:styleId="Header">
    <w:name w:val="header"/>
    <w:aliases w:val="Char Char Char Char Char Char Char1 Char,Header Char Char Char Char,Header Char Char Char Char Char Char1 Char,Header Char Char1 Char,Header Char Char1 Char Char Char Char,Header Char1 Char,Header Char1 Char Char Char Char"/>
    <w:basedOn w:val="Normal"/>
    <w:link w:val="HeaderChar"/>
    <w:uiPriority w:val="99"/>
    <w:rsid w:val="00CE75AA"/>
    <w:pPr>
      <w:tabs>
        <w:tab w:val="center" w:pos="4153"/>
        <w:tab w:val="right" w:pos="8306"/>
      </w:tabs>
    </w:pPr>
  </w:style>
  <w:style w:type="character" w:styleId="PageNumber">
    <w:name w:val="page number"/>
    <w:basedOn w:val="DefaultParagraphFont"/>
    <w:rsid w:val="00CE75AA"/>
  </w:style>
  <w:style w:type="character" w:customStyle="1" w:styleId="Heading7Char">
    <w:name w:val="Heading 7 Char"/>
    <w:link w:val="Heading7"/>
    <w:rsid w:val="00050D2D"/>
    <w:rPr>
      <w:rFonts w:ascii="Arial" w:hAnsi="Arial"/>
      <w:sz w:val="18"/>
      <w:szCs w:val="24"/>
      <w:lang w:val="en-US" w:eastAsia="en-AU" w:bidi="ar-SA"/>
    </w:rPr>
  </w:style>
  <w:style w:type="paragraph" w:customStyle="1" w:styleId="TableTextBullet">
    <w:name w:val="Table Text Bullet"/>
    <w:basedOn w:val="Normal"/>
    <w:rsid w:val="00803A39"/>
    <w:pPr>
      <w:numPr>
        <w:numId w:val="14"/>
      </w:numPr>
      <w:spacing w:before="0" w:after="50"/>
    </w:pPr>
    <w:rPr>
      <w:rFonts w:ascii="Arial" w:hAnsi="Arial"/>
      <w:sz w:val="18"/>
    </w:rPr>
  </w:style>
  <w:style w:type="paragraph" w:customStyle="1" w:styleId="Bullet">
    <w:name w:val="Bullet"/>
    <w:basedOn w:val="Normal"/>
    <w:link w:val="BulletChar"/>
    <w:rsid w:val="00E8467A"/>
  </w:style>
  <w:style w:type="paragraph" w:customStyle="1" w:styleId="FigureHeading">
    <w:name w:val="Figure Heading"/>
    <w:basedOn w:val="Normal"/>
    <w:link w:val="FigureHeadingChar"/>
    <w:rsid w:val="00F61870"/>
    <w:pPr>
      <w:numPr>
        <w:numId w:val="24"/>
      </w:numPr>
    </w:pPr>
    <w:rPr>
      <w:rFonts w:ascii="Arial" w:hAnsi="Arial"/>
      <w:b/>
    </w:rPr>
  </w:style>
  <w:style w:type="paragraph" w:customStyle="1" w:styleId="TableHeading">
    <w:name w:val="Table Heading"/>
    <w:basedOn w:val="Normal"/>
    <w:next w:val="Normal"/>
    <w:link w:val="TableHeadingCharChar"/>
    <w:rsid w:val="00F012DB"/>
    <w:pPr>
      <w:spacing w:before="280"/>
    </w:pPr>
    <w:rPr>
      <w:rFonts w:ascii="Arial" w:hAnsi="Arial"/>
      <w:b/>
    </w:rPr>
  </w:style>
  <w:style w:type="paragraph" w:customStyle="1" w:styleId="NotesHeading">
    <w:name w:val="Notes Heading"/>
    <w:basedOn w:val="Normal"/>
    <w:link w:val="NotesHeadingChar"/>
    <w:rsid w:val="00FE7FBA"/>
    <w:rPr>
      <w:rFonts w:ascii="Arial" w:hAnsi="Arial"/>
      <w:b/>
      <w:sz w:val="16"/>
    </w:rPr>
  </w:style>
  <w:style w:type="paragraph" w:customStyle="1" w:styleId="NotesNumber">
    <w:name w:val="Notes Number"/>
    <w:basedOn w:val="Normal"/>
    <w:link w:val="NotesNumberCharChar"/>
    <w:rsid w:val="0066504B"/>
    <w:pPr>
      <w:numPr>
        <w:numId w:val="23"/>
      </w:numPr>
      <w:spacing w:before="0"/>
    </w:pPr>
    <w:rPr>
      <w:rFonts w:ascii="Arial" w:hAnsi="Arial"/>
      <w:sz w:val="16"/>
    </w:rPr>
  </w:style>
  <w:style w:type="paragraph" w:customStyle="1" w:styleId="TableTextRight">
    <w:name w:val="Table Text Right"/>
    <w:basedOn w:val="Normal"/>
    <w:rsid w:val="00803A39"/>
    <w:pPr>
      <w:spacing w:before="40" w:after="40"/>
      <w:jc w:val="right"/>
    </w:pPr>
    <w:rPr>
      <w:rFonts w:ascii="Arial" w:hAnsi="Arial"/>
      <w:sz w:val="18"/>
    </w:rPr>
  </w:style>
  <w:style w:type="paragraph" w:customStyle="1" w:styleId="Default">
    <w:name w:val="Default"/>
    <w:rsid w:val="001E1686"/>
    <w:pPr>
      <w:widowControl w:val="0"/>
      <w:autoSpaceDE w:val="0"/>
      <w:autoSpaceDN w:val="0"/>
      <w:adjustRightInd w:val="0"/>
    </w:pPr>
    <w:rPr>
      <w:rFonts w:ascii="Arial" w:hAnsi="Arial" w:cs="Arial"/>
      <w:color w:val="000000"/>
      <w:sz w:val="24"/>
      <w:szCs w:val="24"/>
    </w:rPr>
  </w:style>
  <w:style w:type="paragraph" w:customStyle="1" w:styleId="BulletDash">
    <w:name w:val="Bullet Dash"/>
    <w:basedOn w:val="Normal"/>
    <w:link w:val="BulletDashChar"/>
    <w:rsid w:val="00BF5C13"/>
    <w:pPr>
      <w:numPr>
        <w:numId w:val="16"/>
      </w:numPr>
    </w:pPr>
  </w:style>
  <w:style w:type="paragraph" w:styleId="NormalIndent">
    <w:name w:val="Normal Indent"/>
    <w:basedOn w:val="Normal"/>
    <w:rsid w:val="00E374A3"/>
    <w:pPr>
      <w:ind w:left="720"/>
    </w:pPr>
  </w:style>
  <w:style w:type="character" w:customStyle="1" w:styleId="Heading5Char">
    <w:name w:val="Heading 5 Char"/>
    <w:link w:val="Heading5"/>
    <w:rsid w:val="00CC2F9B"/>
    <w:rPr>
      <w:rFonts w:ascii="Arial" w:hAnsi="Arial" w:cs="Arial"/>
      <w:b/>
      <w:bCs/>
      <w:iCs/>
      <w:szCs w:val="26"/>
      <w:lang w:val="en-US" w:eastAsia="en-AU" w:bidi="ar-SA"/>
    </w:rPr>
  </w:style>
  <w:style w:type="character" w:customStyle="1" w:styleId="TableTextHeadingLeftChar">
    <w:name w:val="Table Text Heading Left Char"/>
    <w:link w:val="TableTextHeadingLeft"/>
    <w:rsid w:val="00F434A6"/>
    <w:rPr>
      <w:rFonts w:ascii="Arial" w:hAnsi="Arial" w:cs="Arial"/>
      <w:b/>
      <w:sz w:val="18"/>
      <w:szCs w:val="24"/>
      <w:lang w:val="en-US" w:eastAsia="en-AU" w:bidi="ar-SA"/>
    </w:rPr>
  </w:style>
  <w:style w:type="character" w:customStyle="1" w:styleId="Heading3Char">
    <w:name w:val="Heading 3 Char"/>
    <w:link w:val="Heading3"/>
    <w:rsid w:val="002743AB"/>
    <w:rPr>
      <w:rFonts w:ascii="Arial" w:hAnsi="Arial" w:cs="Arial"/>
      <w:b/>
      <w:iCs/>
      <w:sz w:val="26"/>
      <w:szCs w:val="26"/>
      <w:lang w:val="en-US"/>
    </w:rPr>
  </w:style>
  <w:style w:type="character" w:customStyle="1" w:styleId="HeaderChar">
    <w:name w:val="Header Char"/>
    <w:aliases w:val="Char Char Char Char Char Char Char1 Char Char,Header Char Char Char Char Char,Header Char Char Char Char Char Char1 Char Char,Header Char Char1 Char Char,Header Char Char1 Char Char Char Char Char,Header Char1 Char Char"/>
    <w:link w:val="Header"/>
    <w:uiPriority w:val="99"/>
    <w:rsid w:val="00394574"/>
    <w:rPr>
      <w:rFonts w:ascii="Book Antiqua" w:hAnsi="Book Antiqua" w:cs="Arial"/>
      <w:szCs w:val="24"/>
      <w:lang w:val="en-US" w:eastAsia="en-AU" w:bidi="ar-SA"/>
    </w:rPr>
  </w:style>
  <w:style w:type="character" w:customStyle="1" w:styleId="TableTextLeftIndentChar">
    <w:name w:val="Table Text Left Indent Char"/>
    <w:link w:val="TableTextLeftIndent"/>
    <w:rsid w:val="00803A39"/>
    <w:rPr>
      <w:rFonts w:ascii="Arial" w:hAnsi="Arial" w:cs="Arial"/>
      <w:sz w:val="18"/>
      <w:szCs w:val="24"/>
      <w:lang w:val="en-US" w:eastAsia="en-AU" w:bidi="ar-SA"/>
    </w:rPr>
  </w:style>
  <w:style w:type="paragraph" w:customStyle="1" w:styleId="Address">
    <w:name w:val="Address"/>
    <w:basedOn w:val="Normal"/>
    <w:rsid w:val="00210697"/>
    <w:pPr>
      <w:spacing w:before="0" w:after="0"/>
    </w:pPr>
  </w:style>
  <w:style w:type="character" w:customStyle="1" w:styleId="NotesNumberCharChar">
    <w:name w:val="Notes Number Char Char"/>
    <w:link w:val="NotesNumber"/>
    <w:rsid w:val="0066504B"/>
    <w:rPr>
      <w:rFonts w:ascii="Arial" w:hAnsi="Arial" w:cs="Arial"/>
      <w:sz w:val="16"/>
      <w:szCs w:val="24"/>
      <w:lang w:val="en-US"/>
    </w:rPr>
  </w:style>
  <w:style w:type="paragraph" w:customStyle="1" w:styleId="BulletDiamond">
    <w:name w:val="Bullet Diamond"/>
    <w:basedOn w:val="Normal"/>
    <w:rsid w:val="00580590"/>
    <w:pPr>
      <w:numPr>
        <w:numId w:val="17"/>
      </w:numPr>
      <w:spacing w:before="40" w:after="0"/>
      <w:ind w:left="964" w:hanging="340"/>
    </w:pPr>
  </w:style>
  <w:style w:type="paragraph" w:styleId="TOC1">
    <w:name w:val="toc 1"/>
    <w:basedOn w:val="Normal"/>
    <w:next w:val="Normal"/>
    <w:autoRedefine/>
    <w:uiPriority w:val="39"/>
    <w:rsid w:val="00EC093A"/>
    <w:pPr>
      <w:tabs>
        <w:tab w:val="right" w:leader="dot" w:pos="9062"/>
      </w:tabs>
      <w:spacing w:before="240"/>
      <w:ind w:right="28"/>
    </w:pPr>
    <w:rPr>
      <w:rFonts w:ascii="Arial Bold" w:hAnsi="Arial Bold"/>
      <w:caps/>
      <w:noProof/>
      <w:szCs w:val="20"/>
    </w:rPr>
  </w:style>
  <w:style w:type="paragraph" w:styleId="TOC2">
    <w:name w:val="toc 2"/>
    <w:basedOn w:val="Normal"/>
    <w:next w:val="Normal"/>
    <w:autoRedefine/>
    <w:uiPriority w:val="39"/>
    <w:rsid w:val="00D15D4B"/>
    <w:pPr>
      <w:tabs>
        <w:tab w:val="right" w:leader="dot" w:pos="9062"/>
      </w:tabs>
      <w:spacing w:before="240"/>
      <w:ind w:right="28"/>
    </w:pPr>
    <w:rPr>
      <w:rFonts w:ascii="Arial Bold" w:hAnsi="Arial Bold"/>
      <w:b/>
      <w:caps/>
      <w:noProof/>
      <w:szCs w:val="20"/>
    </w:rPr>
  </w:style>
  <w:style w:type="paragraph" w:styleId="TOC3">
    <w:name w:val="toc 3"/>
    <w:basedOn w:val="Normal"/>
    <w:next w:val="Normal"/>
    <w:autoRedefine/>
    <w:uiPriority w:val="39"/>
    <w:rsid w:val="002A3444"/>
    <w:pPr>
      <w:tabs>
        <w:tab w:val="right" w:leader="dot" w:pos="9062"/>
      </w:tabs>
      <w:spacing w:before="120"/>
      <w:ind w:left="1134" w:hanging="1134"/>
    </w:pPr>
    <w:rPr>
      <w:rFonts w:ascii="Arial Bold" w:hAnsi="Arial Bold"/>
      <w:b/>
      <w:noProof/>
      <w:szCs w:val="20"/>
    </w:rPr>
  </w:style>
  <w:style w:type="paragraph" w:customStyle="1" w:styleId="ExampleText0">
    <w:name w:val="Example Text"/>
    <w:basedOn w:val="Normal"/>
    <w:rsid w:val="005B4311"/>
    <w:pPr>
      <w:spacing w:before="0" w:after="240" w:line="260" w:lineRule="exact"/>
    </w:pPr>
    <w:rPr>
      <w:rFonts w:cs="Times New Roman"/>
      <w:i/>
      <w:color w:val="FF0000"/>
      <w:szCs w:val="20"/>
      <w:lang w:val="en-AU"/>
    </w:rPr>
  </w:style>
  <w:style w:type="character" w:customStyle="1" w:styleId="Heading4Char">
    <w:name w:val="Heading 4 Char"/>
    <w:link w:val="Heading4"/>
    <w:rsid w:val="00050D2D"/>
    <w:rPr>
      <w:rFonts w:ascii="Arial" w:hAnsi="Arial"/>
      <w:b/>
      <w:bCs/>
      <w:sz w:val="22"/>
      <w:szCs w:val="28"/>
      <w:lang w:val="en-US" w:eastAsia="en-AU" w:bidi="ar-SA"/>
    </w:rPr>
  </w:style>
  <w:style w:type="paragraph" w:customStyle="1" w:styleId="Tablefigures">
    <w:name w:val="Table figures"/>
    <w:rsid w:val="00D6141B"/>
    <w:pPr>
      <w:spacing w:before="20" w:after="20"/>
      <w:jc w:val="right"/>
    </w:pPr>
    <w:rPr>
      <w:rFonts w:ascii="Arial" w:hAnsi="Arial"/>
      <w:sz w:val="18"/>
      <w:lang w:val="en-US"/>
    </w:rPr>
  </w:style>
  <w:style w:type="character" w:customStyle="1" w:styleId="TableHeadingCharChar">
    <w:name w:val="Table Heading Char Char"/>
    <w:link w:val="TableHeading"/>
    <w:rsid w:val="00F012DB"/>
    <w:rPr>
      <w:rFonts w:ascii="Arial" w:hAnsi="Arial" w:cs="Arial"/>
      <w:b/>
      <w:szCs w:val="24"/>
      <w:lang w:val="en-US"/>
    </w:rPr>
  </w:style>
  <w:style w:type="paragraph" w:customStyle="1" w:styleId="TabletextLeft">
    <w:name w:val="Table text Left"/>
    <w:basedOn w:val="Normal"/>
    <w:link w:val="TabletextLeftChar"/>
    <w:rsid w:val="00D63F38"/>
    <w:pPr>
      <w:spacing w:before="20" w:after="20"/>
    </w:pPr>
    <w:rPr>
      <w:rFonts w:ascii="Arial" w:hAnsi="Arial" w:cs="Times New Roman"/>
      <w:sz w:val="18"/>
      <w:szCs w:val="20"/>
    </w:rPr>
  </w:style>
  <w:style w:type="character" w:customStyle="1" w:styleId="Heading6Char">
    <w:name w:val="Heading 6 Char"/>
    <w:link w:val="Heading6"/>
    <w:rsid w:val="00050D2D"/>
    <w:rPr>
      <w:rFonts w:ascii="Arial" w:hAnsi="Arial"/>
      <w:bCs/>
      <w:szCs w:val="22"/>
      <w:lang w:val="en-US" w:eastAsia="en-AU" w:bidi="ar-SA"/>
    </w:rPr>
  </w:style>
  <w:style w:type="character" w:customStyle="1" w:styleId="NotesHeadingChar">
    <w:name w:val="Notes Heading Char"/>
    <w:link w:val="NotesHeading"/>
    <w:rsid w:val="00FE7FBA"/>
    <w:rPr>
      <w:rFonts w:ascii="Arial" w:hAnsi="Arial" w:cs="Arial"/>
      <w:b/>
      <w:sz w:val="16"/>
      <w:szCs w:val="24"/>
      <w:lang w:val="en-US" w:eastAsia="en-AU" w:bidi="ar-SA"/>
    </w:rPr>
  </w:style>
  <w:style w:type="paragraph" w:customStyle="1" w:styleId="HeadingRunIn">
    <w:name w:val="HeadingRunIn"/>
    <w:next w:val="Normal"/>
    <w:link w:val="HeadingRunInChar"/>
    <w:rsid w:val="00A54ADE"/>
    <w:pPr>
      <w:keepNext/>
      <w:autoSpaceDE w:val="0"/>
      <w:autoSpaceDN w:val="0"/>
      <w:adjustRightInd w:val="0"/>
      <w:spacing w:before="120" w:line="280" w:lineRule="atLeast"/>
    </w:pPr>
    <w:rPr>
      <w:b/>
      <w:bCs/>
      <w:color w:val="000000"/>
      <w:w w:val="0"/>
      <w:sz w:val="24"/>
      <w:szCs w:val="24"/>
      <w:lang w:val="en-GB"/>
    </w:rPr>
  </w:style>
  <w:style w:type="character" w:customStyle="1" w:styleId="TabletextLeftChar">
    <w:name w:val="Table text Left Char"/>
    <w:link w:val="TabletextLeft"/>
    <w:rsid w:val="00D63F38"/>
    <w:rPr>
      <w:rFonts w:ascii="Arial" w:hAnsi="Arial"/>
      <w:sz w:val="18"/>
      <w:lang w:val="en-US" w:eastAsia="en-AU" w:bidi="ar-SA"/>
    </w:rPr>
  </w:style>
  <w:style w:type="paragraph" w:customStyle="1" w:styleId="TPHeading2">
    <w:name w:val="TP Heading 2"/>
    <w:basedOn w:val="Normal"/>
    <w:rsid w:val="0030490B"/>
    <w:pPr>
      <w:keepNext/>
      <w:spacing w:before="0" w:after="0"/>
      <w:jc w:val="center"/>
    </w:pPr>
    <w:rPr>
      <w:rFonts w:ascii="Georgia" w:hAnsi="Georgia" w:cs="Times New Roman"/>
      <w:caps/>
      <w:sz w:val="28"/>
      <w:szCs w:val="20"/>
      <w:lang w:val="en-AU"/>
    </w:rPr>
  </w:style>
  <w:style w:type="paragraph" w:customStyle="1" w:styleId="TPHeading3">
    <w:name w:val="TP Heading 3"/>
    <w:basedOn w:val="Normal"/>
    <w:rsid w:val="0030490B"/>
    <w:pPr>
      <w:keepNext/>
      <w:spacing w:before="0" w:after="0"/>
      <w:jc w:val="center"/>
    </w:pPr>
    <w:rPr>
      <w:rFonts w:ascii="Georgia" w:hAnsi="Georgia" w:cs="Times New Roman"/>
      <w:caps/>
      <w:sz w:val="24"/>
      <w:szCs w:val="20"/>
      <w:lang w:val="en-AU"/>
    </w:rPr>
  </w:style>
  <w:style w:type="paragraph" w:customStyle="1" w:styleId="OrgChart">
    <w:name w:val="Org Chart"/>
    <w:basedOn w:val="Normal"/>
    <w:link w:val="OrgChartChar"/>
    <w:rsid w:val="007176E3"/>
    <w:pPr>
      <w:spacing w:before="0" w:after="0"/>
    </w:pPr>
    <w:rPr>
      <w:sz w:val="16"/>
    </w:rPr>
  </w:style>
  <w:style w:type="character" w:styleId="CommentReference">
    <w:name w:val="annotation reference"/>
    <w:uiPriority w:val="99"/>
    <w:semiHidden/>
    <w:rsid w:val="00E00112"/>
    <w:rPr>
      <w:sz w:val="16"/>
      <w:szCs w:val="16"/>
    </w:rPr>
  </w:style>
  <w:style w:type="paragraph" w:styleId="CommentText">
    <w:name w:val="annotation text"/>
    <w:basedOn w:val="Normal"/>
    <w:link w:val="CommentTextChar"/>
    <w:uiPriority w:val="99"/>
    <w:rsid w:val="00E00112"/>
    <w:pPr>
      <w:spacing w:before="0" w:after="0"/>
    </w:pPr>
    <w:rPr>
      <w:rFonts w:ascii="Arial Narrow" w:hAnsi="Arial Narrow" w:cs="Times New Roman"/>
      <w:szCs w:val="20"/>
      <w:lang w:val="en-AU"/>
    </w:rPr>
  </w:style>
  <w:style w:type="paragraph" w:styleId="BalloonText">
    <w:name w:val="Balloon Text"/>
    <w:basedOn w:val="Normal"/>
    <w:semiHidden/>
    <w:rsid w:val="00E00112"/>
    <w:rPr>
      <w:rFonts w:ascii="Tahoma" w:hAnsi="Tahoma" w:cs="Tahoma"/>
      <w:sz w:val="16"/>
      <w:szCs w:val="16"/>
    </w:rPr>
  </w:style>
  <w:style w:type="character" w:customStyle="1" w:styleId="BulletDashChar">
    <w:name w:val="Bullet Dash Char"/>
    <w:link w:val="BulletDash"/>
    <w:rsid w:val="00BF5C13"/>
    <w:rPr>
      <w:rFonts w:ascii="Book Antiqua" w:hAnsi="Book Antiqua" w:cs="Arial"/>
      <w:szCs w:val="24"/>
      <w:lang w:val="en-US"/>
    </w:rPr>
  </w:style>
  <w:style w:type="paragraph" w:styleId="FootnoteText">
    <w:name w:val="footnote text"/>
    <w:basedOn w:val="Normal"/>
    <w:link w:val="FootnoteTextChar"/>
    <w:semiHidden/>
    <w:rsid w:val="0069179E"/>
    <w:rPr>
      <w:szCs w:val="20"/>
    </w:rPr>
  </w:style>
  <w:style w:type="character" w:styleId="FootnoteReference">
    <w:name w:val="footnote reference"/>
    <w:semiHidden/>
    <w:rsid w:val="0069179E"/>
    <w:rPr>
      <w:vertAlign w:val="superscript"/>
    </w:rPr>
  </w:style>
  <w:style w:type="paragraph" w:customStyle="1" w:styleId="TableTextHeadingRight">
    <w:name w:val="Table Text Heading Right"/>
    <w:basedOn w:val="TableTextRight"/>
    <w:rsid w:val="00641544"/>
    <w:rPr>
      <w:b/>
    </w:rPr>
  </w:style>
  <w:style w:type="paragraph" w:customStyle="1" w:styleId="Notestext">
    <w:name w:val="Notes text"/>
    <w:basedOn w:val="NotesHeading"/>
    <w:link w:val="NotestextChar"/>
    <w:rsid w:val="00D6141B"/>
    <w:pPr>
      <w:keepNext/>
      <w:tabs>
        <w:tab w:val="num" w:pos="1209"/>
      </w:tabs>
      <w:spacing w:before="0" w:after="0"/>
      <w:ind w:left="1209" w:hanging="360"/>
    </w:pPr>
    <w:rPr>
      <w:rFonts w:cs="Times New Roman"/>
      <w:b w:val="0"/>
      <w:szCs w:val="20"/>
      <w:lang w:val="en-AU"/>
    </w:rPr>
  </w:style>
  <w:style w:type="character" w:customStyle="1" w:styleId="NotestextChar">
    <w:name w:val="Notes text Char"/>
    <w:link w:val="Notestext"/>
    <w:rsid w:val="00D6141B"/>
    <w:rPr>
      <w:rFonts w:ascii="Arial" w:hAnsi="Arial" w:cs="Arial"/>
      <w:b/>
      <w:sz w:val="16"/>
      <w:szCs w:val="24"/>
      <w:lang w:val="en-AU" w:eastAsia="en-AU" w:bidi="ar-SA"/>
    </w:rPr>
  </w:style>
  <w:style w:type="character" w:customStyle="1" w:styleId="BulletChar">
    <w:name w:val="Bullet Char"/>
    <w:link w:val="Bullet"/>
    <w:rsid w:val="00605A81"/>
    <w:rPr>
      <w:rFonts w:ascii="Book Antiqua" w:hAnsi="Book Antiqua" w:cs="Arial"/>
      <w:szCs w:val="24"/>
      <w:lang w:val="en-US"/>
    </w:rPr>
  </w:style>
  <w:style w:type="character" w:customStyle="1" w:styleId="OrgChartChar">
    <w:name w:val="Org Chart Char"/>
    <w:link w:val="OrgChart"/>
    <w:rsid w:val="007176E3"/>
    <w:rPr>
      <w:rFonts w:ascii="Book Antiqua" w:hAnsi="Book Antiqua" w:cs="Arial"/>
      <w:sz w:val="16"/>
      <w:szCs w:val="24"/>
      <w:lang w:val="en-US" w:eastAsia="en-AU" w:bidi="ar-SA"/>
    </w:rPr>
  </w:style>
  <w:style w:type="paragraph" w:customStyle="1" w:styleId="TPHeading1">
    <w:name w:val="TP Heading 1"/>
    <w:basedOn w:val="TPHeading2"/>
    <w:next w:val="TPHeading2"/>
    <w:rsid w:val="0030490B"/>
    <w:rPr>
      <w:b/>
      <w:szCs w:val="28"/>
    </w:rPr>
  </w:style>
  <w:style w:type="paragraph" w:customStyle="1" w:styleId="SingleParagraph">
    <w:name w:val="Single Paragraph"/>
    <w:basedOn w:val="Normal"/>
    <w:rsid w:val="00002413"/>
    <w:pPr>
      <w:spacing w:before="0" w:after="0" w:line="260" w:lineRule="exact"/>
      <w:jc w:val="both"/>
    </w:pPr>
    <w:rPr>
      <w:rFonts w:cs="Times New Roman"/>
      <w:szCs w:val="20"/>
      <w:lang w:val="en-AU"/>
    </w:rPr>
  </w:style>
  <w:style w:type="paragraph" w:customStyle="1" w:styleId="TransmittalAddressee">
    <w:name w:val="Transmittal Addressee"/>
    <w:basedOn w:val="Normal"/>
    <w:rsid w:val="00002413"/>
    <w:pPr>
      <w:spacing w:before="0" w:after="0" w:line="260" w:lineRule="exact"/>
      <w:jc w:val="both"/>
    </w:pPr>
    <w:rPr>
      <w:rFonts w:cs="Times New Roman"/>
      <w:szCs w:val="20"/>
      <w:lang w:val="en-AU"/>
    </w:rPr>
  </w:style>
  <w:style w:type="paragraph" w:styleId="CommentSubject">
    <w:name w:val="annotation subject"/>
    <w:basedOn w:val="CommentText"/>
    <w:next w:val="CommentText"/>
    <w:semiHidden/>
    <w:rsid w:val="00133303"/>
    <w:pPr>
      <w:spacing w:before="100" w:after="100"/>
    </w:pPr>
    <w:rPr>
      <w:rFonts w:ascii="Book Antiqua" w:hAnsi="Book Antiqua" w:cs="Arial"/>
      <w:b/>
      <w:bCs/>
      <w:lang w:val="en-US"/>
    </w:rPr>
  </w:style>
  <w:style w:type="paragraph" w:customStyle="1" w:styleId="msolistparagraph0">
    <w:name w:val="msolistparagraph"/>
    <w:basedOn w:val="Normal"/>
    <w:rsid w:val="00975661"/>
    <w:pPr>
      <w:spacing w:before="0" w:after="0"/>
      <w:ind w:left="720"/>
    </w:pPr>
    <w:rPr>
      <w:rFonts w:ascii="Calibri" w:hAnsi="Calibri" w:cs="Times New Roman"/>
      <w:sz w:val="22"/>
      <w:szCs w:val="22"/>
      <w:lang w:val="en-AU" w:eastAsia="en-US"/>
    </w:rPr>
  </w:style>
  <w:style w:type="paragraph" w:customStyle="1" w:styleId="Pa6">
    <w:name w:val="Pa6"/>
    <w:basedOn w:val="Default"/>
    <w:next w:val="Default"/>
    <w:rsid w:val="00E901DB"/>
    <w:pPr>
      <w:widowControl/>
      <w:spacing w:line="161" w:lineRule="atLeast"/>
    </w:pPr>
    <w:rPr>
      <w:rFonts w:ascii="Helvetica 45 Light" w:hAnsi="Helvetica 45 Light" w:cs="Times New Roman"/>
      <w:color w:val="auto"/>
    </w:rPr>
  </w:style>
  <w:style w:type="paragraph" w:customStyle="1" w:styleId="Exampletextbullet">
    <w:name w:val="Example text bullet"/>
    <w:basedOn w:val="Normal"/>
    <w:rsid w:val="000D2D55"/>
    <w:pPr>
      <w:numPr>
        <w:numId w:val="19"/>
      </w:numPr>
      <w:spacing w:before="0" w:after="240" w:line="260" w:lineRule="exact"/>
      <w:jc w:val="both"/>
    </w:pPr>
    <w:rPr>
      <w:rFonts w:cs="Times New Roman"/>
      <w:i/>
      <w:color w:val="FF0000"/>
      <w:szCs w:val="20"/>
      <w:lang w:val="en-AU"/>
    </w:rPr>
  </w:style>
  <w:style w:type="paragraph" w:customStyle="1" w:styleId="Exampletextdash">
    <w:name w:val="Example text dash"/>
    <w:basedOn w:val="Exampletextbullet"/>
    <w:rsid w:val="000D2D55"/>
    <w:pPr>
      <w:numPr>
        <w:ilvl w:val="1"/>
      </w:numPr>
      <w:tabs>
        <w:tab w:val="clear" w:pos="567"/>
        <w:tab w:val="num" w:pos="360"/>
      </w:tabs>
    </w:pPr>
  </w:style>
  <w:style w:type="paragraph" w:customStyle="1" w:styleId="TabletextheadingRight0">
    <w:name w:val="Table text heading Right"/>
    <w:basedOn w:val="Normal"/>
    <w:rsid w:val="002A3EF5"/>
    <w:pPr>
      <w:spacing w:before="60" w:after="20" w:line="260" w:lineRule="exact"/>
      <w:jc w:val="right"/>
    </w:pPr>
    <w:rPr>
      <w:rFonts w:ascii="Arial" w:hAnsi="Arial" w:cs="Times New Roman"/>
      <w:b/>
      <w:sz w:val="18"/>
      <w:szCs w:val="20"/>
      <w:lang w:val="en-AU"/>
    </w:rPr>
  </w:style>
  <w:style w:type="paragraph" w:customStyle="1" w:styleId="TableTextLeft0">
    <w:name w:val="Table Text Left"/>
    <w:basedOn w:val="Normal"/>
    <w:link w:val="TableTextLeftChar0"/>
    <w:rsid w:val="007B3F26"/>
    <w:pPr>
      <w:spacing w:before="40" w:after="40"/>
    </w:pPr>
    <w:rPr>
      <w:rFonts w:ascii="Arial" w:hAnsi="Arial"/>
      <w:sz w:val="18"/>
    </w:rPr>
  </w:style>
  <w:style w:type="character" w:customStyle="1" w:styleId="TableTextLeftChar0">
    <w:name w:val="Table Text Left Char"/>
    <w:link w:val="TableTextLeft0"/>
    <w:rsid w:val="007B3F26"/>
    <w:rPr>
      <w:rFonts w:ascii="Arial" w:hAnsi="Arial" w:cs="Arial"/>
      <w:sz w:val="18"/>
      <w:szCs w:val="24"/>
      <w:lang w:val="en-US" w:eastAsia="en-AU" w:bidi="ar-SA"/>
    </w:rPr>
  </w:style>
  <w:style w:type="character" w:customStyle="1" w:styleId="NotesNumberChar">
    <w:name w:val="Notes Number Char"/>
    <w:rsid w:val="007B3F26"/>
    <w:rPr>
      <w:rFonts w:ascii="Arial" w:hAnsi="Arial" w:cs="Arial"/>
      <w:sz w:val="16"/>
      <w:szCs w:val="24"/>
      <w:lang w:val="en-US" w:eastAsia="en-AU" w:bidi="ar-SA"/>
    </w:rPr>
  </w:style>
  <w:style w:type="character" w:customStyle="1" w:styleId="TableHeadingChar">
    <w:name w:val="Table Heading Char"/>
    <w:rsid w:val="007B3F26"/>
    <w:rPr>
      <w:rFonts w:ascii="Arial" w:hAnsi="Arial" w:cs="Arial"/>
      <w:b/>
      <w:szCs w:val="24"/>
      <w:lang w:val="en-US" w:eastAsia="en-AU" w:bidi="ar-SA"/>
    </w:rPr>
  </w:style>
  <w:style w:type="character" w:customStyle="1" w:styleId="Heading1Char">
    <w:name w:val="Heading 1 Char"/>
    <w:link w:val="Heading1"/>
    <w:rsid w:val="00D84C10"/>
    <w:rPr>
      <w:rFonts w:ascii="Arial Bold" w:hAnsi="Arial Bold" w:cs="Arial"/>
      <w:b/>
      <w:bCs/>
      <w:smallCaps/>
      <w:kern w:val="32"/>
      <w:sz w:val="34"/>
      <w:szCs w:val="32"/>
      <w:lang w:val="en-US"/>
    </w:rPr>
  </w:style>
  <w:style w:type="paragraph" w:customStyle="1" w:styleId="BodyText1">
    <w:name w:val="Body Text1"/>
    <w:basedOn w:val="Normal"/>
    <w:rsid w:val="007B3F26"/>
    <w:pPr>
      <w:spacing w:before="60" w:after="60"/>
    </w:pPr>
    <w:rPr>
      <w:rFonts w:cs="Times New Roman"/>
      <w:szCs w:val="20"/>
      <w:lang w:val="en-AU"/>
    </w:rPr>
  </w:style>
  <w:style w:type="paragraph" w:customStyle="1" w:styleId="NormalParagraph">
    <w:name w:val="Normal Paragraph"/>
    <w:link w:val="NormalParagraphChar"/>
    <w:rsid w:val="007B3F26"/>
    <w:pPr>
      <w:spacing w:after="120" w:line="260" w:lineRule="exact"/>
    </w:pPr>
    <w:rPr>
      <w:rFonts w:ascii="Book Antiqua" w:hAnsi="Book Antiqua"/>
      <w:szCs w:val="24"/>
      <w:lang w:eastAsia="en-US"/>
    </w:rPr>
  </w:style>
  <w:style w:type="character" w:customStyle="1" w:styleId="NormalParagraphChar">
    <w:name w:val="Normal Paragraph Char"/>
    <w:link w:val="NormalParagraph"/>
    <w:rsid w:val="007B3F26"/>
    <w:rPr>
      <w:rFonts w:ascii="Book Antiqua" w:hAnsi="Book Antiqua"/>
      <w:szCs w:val="24"/>
      <w:lang w:val="en-AU" w:eastAsia="en-US" w:bidi="ar-SA"/>
    </w:rPr>
  </w:style>
  <w:style w:type="character" w:customStyle="1" w:styleId="HeadingRunInChar">
    <w:name w:val="HeadingRunIn Char"/>
    <w:link w:val="HeadingRunIn"/>
    <w:rsid w:val="007B3F26"/>
    <w:rPr>
      <w:b/>
      <w:bCs/>
      <w:color w:val="000000"/>
      <w:w w:val="0"/>
      <w:sz w:val="24"/>
      <w:szCs w:val="24"/>
      <w:lang w:val="en-GB" w:eastAsia="en-AU" w:bidi="ar-SA"/>
    </w:rPr>
  </w:style>
  <w:style w:type="paragraph" w:customStyle="1" w:styleId="Dash">
    <w:name w:val="Dash"/>
    <w:basedOn w:val="Bullet"/>
    <w:rsid w:val="007B3F26"/>
    <w:pPr>
      <w:tabs>
        <w:tab w:val="left" w:pos="0"/>
        <w:tab w:val="num" w:pos="1800"/>
      </w:tabs>
      <w:spacing w:before="0" w:after="120" w:line="260" w:lineRule="exact"/>
      <w:jc w:val="both"/>
    </w:pPr>
    <w:rPr>
      <w:rFonts w:cs="Times New Roman"/>
      <w:szCs w:val="20"/>
      <w:lang w:val="en-AU"/>
    </w:rPr>
  </w:style>
  <w:style w:type="paragraph" w:customStyle="1" w:styleId="Levela">
    <w:name w:val="Level (a)"/>
    <w:basedOn w:val="Normal"/>
    <w:rsid w:val="007B3F26"/>
    <w:pPr>
      <w:numPr>
        <w:numId w:val="20"/>
      </w:numPr>
      <w:spacing w:before="60" w:after="60"/>
      <w:jc w:val="both"/>
    </w:pPr>
    <w:rPr>
      <w:rFonts w:ascii="Arial" w:hAnsi="Arial" w:cs="Times New Roman"/>
      <w:sz w:val="22"/>
      <w:szCs w:val="20"/>
      <w:lang w:val="en-AU"/>
    </w:rPr>
  </w:style>
  <w:style w:type="character" w:customStyle="1" w:styleId="StyleArial9pt">
    <w:name w:val="Style Arial 9 pt"/>
    <w:rsid w:val="007B3F26"/>
    <w:rPr>
      <w:rFonts w:ascii="Book Antiqua" w:hAnsi="Book Antiqua"/>
      <w:sz w:val="20"/>
    </w:rPr>
  </w:style>
  <w:style w:type="paragraph" w:customStyle="1" w:styleId="DepartmentalSubtitle">
    <w:name w:val="Departmental Subtitle"/>
    <w:basedOn w:val="HeadingTitlePage"/>
    <w:rsid w:val="00B21C1A"/>
    <w:rPr>
      <w:sz w:val="44"/>
    </w:rPr>
  </w:style>
  <w:style w:type="character" w:customStyle="1" w:styleId="Heading2Char">
    <w:name w:val="Heading 2 Char"/>
    <w:link w:val="Heading2"/>
    <w:rsid w:val="0016104D"/>
    <w:rPr>
      <w:rFonts w:ascii="Arial" w:hAnsi="Arial" w:cs="Arial"/>
      <w:bCs/>
      <w:iCs/>
      <w:sz w:val="30"/>
      <w:szCs w:val="28"/>
      <w:lang w:val="en-US" w:eastAsia="en-AU" w:bidi="ar-SA"/>
    </w:rPr>
  </w:style>
  <w:style w:type="paragraph" w:customStyle="1" w:styleId="SinglePara">
    <w:name w:val="Single Para"/>
    <w:basedOn w:val="Normal"/>
    <w:link w:val="SingleParaChar"/>
    <w:rsid w:val="000A1BC6"/>
    <w:pPr>
      <w:spacing w:before="0" w:after="0" w:line="260" w:lineRule="exact"/>
    </w:pPr>
    <w:rPr>
      <w:rFonts w:cs="Times New Roman"/>
      <w:szCs w:val="20"/>
      <w:lang w:val="en-AU"/>
    </w:rPr>
  </w:style>
  <w:style w:type="paragraph" w:customStyle="1" w:styleId="PartHeading">
    <w:name w:val="Part Heading"/>
    <w:basedOn w:val="Normal"/>
    <w:next w:val="Normal"/>
    <w:rsid w:val="000A1BC6"/>
    <w:pPr>
      <w:spacing w:before="240" w:after="240"/>
      <w:jc w:val="center"/>
    </w:pPr>
    <w:rPr>
      <w:rFonts w:ascii="Arial Bold" w:hAnsi="Arial Bold"/>
      <w:b/>
      <w:smallCaps/>
      <w:sz w:val="48"/>
      <w:szCs w:val="20"/>
      <w:lang w:val="en-AU"/>
    </w:rPr>
  </w:style>
  <w:style w:type="character" w:customStyle="1" w:styleId="CharChar2">
    <w:name w:val="Char Char2"/>
    <w:rsid w:val="00F3654F"/>
    <w:rPr>
      <w:rFonts w:ascii="Arial" w:hAnsi="Arial"/>
      <w:bCs/>
      <w:szCs w:val="22"/>
      <w:lang w:val="en-US" w:eastAsia="en-AU" w:bidi="ar-SA"/>
    </w:rPr>
  </w:style>
  <w:style w:type="character" w:customStyle="1" w:styleId="CharChar5">
    <w:name w:val="Char Char5"/>
    <w:rsid w:val="003F2178"/>
    <w:rPr>
      <w:rFonts w:ascii="Arial Bold" w:hAnsi="Arial Bold" w:cs="Arial"/>
      <w:b/>
      <w:bCs/>
      <w:smallCaps/>
      <w:sz w:val="26"/>
      <w:szCs w:val="26"/>
      <w:lang w:val="en-US" w:eastAsia="en-AU" w:bidi="ar-SA"/>
    </w:rPr>
  </w:style>
  <w:style w:type="character" w:customStyle="1" w:styleId="CharChar4">
    <w:name w:val="Char Char4"/>
    <w:rsid w:val="003F2178"/>
    <w:rPr>
      <w:rFonts w:ascii="Arial" w:hAnsi="Arial"/>
      <w:b/>
      <w:bCs/>
      <w:sz w:val="22"/>
      <w:szCs w:val="28"/>
      <w:lang w:val="en-US" w:eastAsia="en-AU" w:bidi="ar-SA"/>
    </w:rPr>
  </w:style>
  <w:style w:type="character" w:customStyle="1" w:styleId="CharChar">
    <w:name w:val="Char Char"/>
    <w:rsid w:val="00560D5B"/>
    <w:rPr>
      <w:rFonts w:ascii="Book Antiqua" w:hAnsi="Book Antiqua" w:cs="Arial"/>
      <w:szCs w:val="24"/>
      <w:lang w:val="en-US" w:eastAsia="en-AU" w:bidi="ar-SA"/>
    </w:rPr>
  </w:style>
  <w:style w:type="character" w:customStyle="1" w:styleId="CharChar7">
    <w:name w:val="Char Char7"/>
    <w:rsid w:val="00560D5B"/>
    <w:rPr>
      <w:rFonts w:ascii="Arial Bold" w:hAnsi="Arial Bold" w:cs="Arial"/>
      <w:b/>
      <w:bCs/>
      <w:smallCaps/>
      <w:kern w:val="32"/>
      <w:sz w:val="34"/>
      <w:szCs w:val="32"/>
      <w:lang w:val="en-US" w:eastAsia="en-AU" w:bidi="ar-SA"/>
    </w:rPr>
  </w:style>
  <w:style w:type="paragraph" w:customStyle="1" w:styleId="BoxBullet">
    <w:name w:val="Box Bullet"/>
    <w:basedOn w:val="Normal"/>
    <w:rsid w:val="00F03C2F"/>
    <w:pPr>
      <w:numPr>
        <w:numId w:val="22"/>
      </w:numPr>
      <w:spacing w:before="0" w:after="120"/>
      <w:jc w:val="both"/>
    </w:pPr>
    <w:rPr>
      <w:rFonts w:cs="Times New Roman"/>
      <w:color w:val="000000"/>
      <w:szCs w:val="20"/>
      <w:lang w:val="en-AU"/>
    </w:rPr>
  </w:style>
  <w:style w:type="paragraph" w:customStyle="1" w:styleId="BoxDash">
    <w:name w:val="Box Dash"/>
    <w:basedOn w:val="Normal"/>
    <w:rsid w:val="00F03C2F"/>
    <w:pPr>
      <w:numPr>
        <w:ilvl w:val="1"/>
        <w:numId w:val="22"/>
      </w:numPr>
      <w:spacing w:before="0" w:after="240" w:line="260" w:lineRule="exact"/>
      <w:jc w:val="both"/>
    </w:pPr>
    <w:rPr>
      <w:rFonts w:cs="Times New Roman"/>
      <w:color w:val="000000"/>
      <w:szCs w:val="20"/>
      <w:lang w:val="en-AU"/>
    </w:rPr>
  </w:style>
  <w:style w:type="paragraph" w:customStyle="1" w:styleId="BoxDoubleDot">
    <w:name w:val="Box Double Dot"/>
    <w:basedOn w:val="Normal"/>
    <w:rsid w:val="00F03C2F"/>
    <w:pPr>
      <w:numPr>
        <w:ilvl w:val="2"/>
        <w:numId w:val="22"/>
      </w:numPr>
      <w:spacing w:before="0" w:after="120" w:line="260" w:lineRule="exact"/>
      <w:jc w:val="both"/>
    </w:pPr>
    <w:rPr>
      <w:rFonts w:cs="Times New Roman"/>
      <w:color w:val="000000"/>
      <w:szCs w:val="20"/>
      <w:lang w:val="en-AU"/>
    </w:rPr>
  </w:style>
  <w:style w:type="character" w:customStyle="1" w:styleId="CharChar3">
    <w:name w:val="Char Char3"/>
    <w:rsid w:val="00F03C2F"/>
    <w:rPr>
      <w:rFonts w:ascii="Book Antiqua" w:hAnsi="Book Antiqua"/>
      <w:i/>
    </w:rPr>
  </w:style>
  <w:style w:type="paragraph" w:customStyle="1" w:styleId="TableColumnHeadingLeft">
    <w:name w:val="Table Column Heading Left"/>
    <w:basedOn w:val="Normal"/>
    <w:next w:val="TableTextLeft0"/>
    <w:rsid w:val="002A59C2"/>
    <w:pPr>
      <w:spacing w:before="60" w:after="60"/>
    </w:pPr>
    <w:rPr>
      <w:rFonts w:ascii="Arial" w:hAnsi="Arial" w:cs="Times New Roman"/>
      <w:b/>
      <w:szCs w:val="20"/>
      <w:lang w:val="en-AU"/>
    </w:rPr>
  </w:style>
  <w:style w:type="paragraph" w:customStyle="1" w:styleId="Tabletextleft1">
    <w:name w:val="Table text left"/>
    <w:basedOn w:val="Normal"/>
    <w:link w:val="TabletextleftChar1"/>
    <w:rsid w:val="00E67FD5"/>
    <w:pPr>
      <w:spacing w:before="60" w:after="60"/>
    </w:pPr>
    <w:rPr>
      <w:rFonts w:ascii="Arial" w:hAnsi="Arial" w:cs="Times New Roman"/>
      <w:sz w:val="18"/>
      <w:szCs w:val="20"/>
      <w:lang w:val="en-AU"/>
    </w:rPr>
  </w:style>
  <w:style w:type="character" w:customStyle="1" w:styleId="TabletextleftChar1">
    <w:name w:val="Table text left Char"/>
    <w:link w:val="Tabletextleft1"/>
    <w:locked/>
    <w:rsid w:val="00E67FD5"/>
    <w:rPr>
      <w:rFonts w:ascii="Arial" w:hAnsi="Arial"/>
      <w:sz w:val="18"/>
      <w:lang w:val="en-AU" w:eastAsia="en-AU" w:bidi="ar-SA"/>
    </w:rPr>
  </w:style>
  <w:style w:type="character" w:customStyle="1" w:styleId="A9">
    <w:name w:val="A9"/>
    <w:rsid w:val="00ED1E60"/>
    <w:rPr>
      <w:color w:val="000000"/>
      <w:sz w:val="20"/>
    </w:rPr>
  </w:style>
  <w:style w:type="paragraph" w:customStyle="1" w:styleId="ChartandTableFootnote">
    <w:name w:val="Chart and Table Footnote"/>
    <w:basedOn w:val="Normal"/>
    <w:next w:val="Normal"/>
    <w:link w:val="ChartandTableFootnoteChar"/>
    <w:rsid w:val="003C602D"/>
    <w:pPr>
      <w:tabs>
        <w:tab w:val="left" w:pos="284"/>
      </w:tabs>
      <w:spacing w:before="0" w:after="0"/>
      <w:jc w:val="both"/>
    </w:pPr>
    <w:rPr>
      <w:rFonts w:ascii="Arial" w:hAnsi="Arial" w:cs="Times New Roman"/>
      <w:color w:val="000000"/>
      <w:sz w:val="16"/>
      <w:szCs w:val="20"/>
      <w:lang w:val="x-none" w:eastAsia="x-none"/>
    </w:rPr>
  </w:style>
  <w:style w:type="character" w:customStyle="1" w:styleId="ChartandTableFootnoteChar">
    <w:name w:val="Chart and Table Footnote Char"/>
    <w:link w:val="ChartandTableFootnote"/>
    <w:rsid w:val="003C602D"/>
    <w:rPr>
      <w:rFonts w:ascii="Arial" w:hAnsi="Arial"/>
      <w:color w:val="000000"/>
      <w:sz w:val="16"/>
      <w:lang w:val="x-none" w:eastAsia="x-none" w:bidi="ar-SA"/>
    </w:rPr>
  </w:style>
  <w:style w:type="paragraph" w:styleId="DocumentMap">
    <w:name w:val="Document Map"/>
    <w:basedOn w:val="Normal"/>
    <w:semiHidden/>
    <w:rsid w:val="00C50F94"/>
    <w:pPr>
      <w:shd w:val="clear" w:color="auto" w:fill="000080"/>
    </w:pPr>
    <w:rPr>
      <w:rFonts w:ascii="Tahoma" w:hAnsi="Tahoma"/>
      <w:szCs w:val="20"/>
    </w:rPr>
  </w:style>
  <w:style w:type="paragraph" w:customStyle="1" w:styleId="Heading1noTOC">
    <w:name w:val="Heading 1 no TOC"/>
    <w:basedOn w:val="Heading1"/>
    <w:rsid w:val="00CB1F27"/>
    <w:pPr>
      <w:spacing w:before="0" w:after="360"/>
      <w:outlineLvl w:val="9"/>
    </w:pPr>
    <w:rPr>
      <w:rFonts w:ascii="Arial" w:hAnsi="Arial" w:cs="Times New Roman"/>
      <w:bCs w:val="0"/>
      <w:kern w:val="28"/>
      <w:szCs w:val="20"/>
      <w:lang w:val="en-AU"/>
    </w:rPr>
  </w:style>
  <w:style w:type="character" w:customStyle="1" w:styleId="FigureHeadingChar">
    <w:name w:val="Figure Heading Char"/>
    <w:link w:val="FigureHeading"/>
    <w:rsid w:val="00687B4B"/>
    <w:rPr>
      <w:rFonts w:ascii="Arial" w:hAnsi="Arial" w:cs="Arial"/>
      <w:b/>
      <w:szCs w:val="24"/>
      <w:lang w:val="en-US"/>
    </w:rPr>
  </w:style>
  <w:style w:type="character" w:customStyle="1" w:styleId="CharChar9">
    <w:name w:val="Char Char9"/>
    <w:rsid w:val="003E1A81"/>
    <w:rPr>
      <w:rFonts w:ascii="Arial" w:hAnsi="Arial" w:cs="Arial"/>
      <w:b/>
      <w:bCs/>
      <w:iCs/>
      <w:szCs w:val="26"/>
      <w:lang w:val="en-US" w:eastAsia="en-AU" w:bidi="ar-SA"/>
    </w:rPr>
  </w:style>
  <w:style w:type="paragraph" w:customStyle="1" w:styleId="Pa2">
    <w:name w:val="Pa2"/>
    <w:basedOn w:val="Normal"/>
    <w:next w:val="Normal"/>
    <w:rsid w:val="00855B52"/>
    <w:pPr>
      <w:autoSpaceDE w:val="0"/>
      <w:autoSpaceDN w:val="0"/>
      <w:adjustRightInd w:val="0"/>
      <w:spacing w:before="0" w:after="0" w:line="191" w:lineRule="atLeast"/>
    </w:pPr>
    <w:rPr>
      <w:rFonts w:ascii="MetaNormalLF-Roman" w:eastAsia="Calibri" w:hAnsi="MetaNormalLF-Roman" w:cs="Times New Roman"/>
      <w:sz w:val="24"/>
      <w:lang w:val="en-AU"/>
    </w:rPr>
  </w:style>
  <w:style w:type="paragraph" w:customStyle="1" w:styleId="aNotesalpha">
    <w:name w:val="a. Notes alpha"/>
    <w:basedOn w:val="NotesNumber"/>
    <w:rsid w:val="001362A3"/>
    <w:pPr>
      <w:numPr>
        <w:numId w:val="18"/>
      </w:numPr>
    </w:pPr>
  </w:style>
  <w:style w:type="character" w:customStyle="1" w:styleId="SingleParaChar">
    <w:name w:val="Single Para Char"/>
    <w:link w:val="SinglePara"/>
    <w:rsid w:val="00120BC2"/>
    <w:rPr>
      <w:rFonts w:ascii="Book Antiqua" w:hAnsi="Book Antiqua"/>
      <w:lang w:val="en-AU" w:eastAsia="en-AU" w:bidi="ar-SA"/>
    </w:rPr>
  </w:style>
  <w:style w:type="paragraph" w:styleId="TOCHeading">
    <w:name w:val="TOC Heading"/>
    <w:basedOn w:val="Heading1"/>
    <w:next w:val="Normal"/>
    <w:uiPriority w:val="39"/>
    <w:unhideWhenUsed/>
    <w:qFormat/>
    <w:rsid w:val="00C5719B"/>
    <w:pPr>
      <w:keepLines/>
      <w:spacing w:before="480" w:after="0" w:line="276" w:lineRule="auto"/>
      <w:jc w:val="left"/>
      <w:outlineLvl w:val="9"/>
    </w:pPr>
    <w:rPr>
      <w:rFonts w:ascii="Cambria" w:eastAsia="MS Gothic" w:hAnsi="Cambria" w:cs="Times New Roman"/>
      <w:smallCaps w:val="0"/>
      <w:color w:val="365F91"/>
      <w:kern w:val="0"/>
      <w:sz w:val="28"/>
      <w:szCs w:val="28"/>
      <w:lang w:eastAsia="ja-JP"/>
    </w:rPr>
  </w:style>
  <w:style w:type="paragraph" w:styleId="ListParagraph">
    <w:name w:val="List Paragraph"/>
    <w:aliases w:val="CV text,Dot pt,F5 List Paragraph,L,List Paragraph1,List Paragraph11,List Paragraph111,List Paragraph2,Medium Grid 1 - Accent 21,Numbered Paragraph,Recommendation,Table text,AR bullet 1,Bullet Points,Bullet point,Executive Summary List,列出"/>
    <w:basedOn w:val="Normal"/>
    <w:link w:val="ListParagraphChar"/>
    <w:uiPriority w:val="34"/>
    <w:qFormat/>
    <w:rsid w:val="00502331"/>
    <w:pPr>
      <w:ind w:left="720"/>
      <w:contextualSpacing/>
    </w:pPr>
  </w:style>
  <w:style w:type="character" w:customStyle="1" w:styleId="FooterChar">
    <w:name w:val="Footer Char"/>
    <w:link w:val="Footer"/>
    <w:uiPriority w:val="99"/>
    <w:rsid w:val="00025F35"/>
    <w:rPr>
      <w:rFonts w:ascii="Book Antiqua" w:hAnsi="Book Antiqua" w:cs="Arial"/>
      <w:szCs w:val="24"/>
      <w:lang w:val="en-US"/>
    </w:rPr>
  </w:style>
  <w:style w:type="character" w:customStyle="1" w:styleId="CommentTextChar">
    <w:name w:val="Comment Text Char"/>
    <w:link w:val="CommentText"/>
    <w:uiPriority w:val="99"/>
    <w:rsid w:val="006323C6"/>
    <w:rPr>
      <w:rFonts w:ascii="Arial Narrow" w:hAnsi="Arial Narrow"/>
    </w:rPr>
  </w:style>
  <w:style w:type="paragraph" w:styleId="Revision">
    <w:name w:val="Revision"/>
    <w:hidden/>
    <w:uiPriority w:val="99"/>
    <w:semiHidden/>
    <w:rsid w:val="005E0437"/>
    <w:rPr>
      <w:rFonts w:ascii="Book Antiqua" w:hAnsi="Book Antiqua" w:cs="Arial"/>
      <w:szCs w:val="24"/>
      <w:lang w:val="en-US"/>
    </w:rPr>
  </w:style>
  <w:style w:type="paragraph" w:customStyle="1" w:styleId="Heading1-NoTOC">
    <w:name w:val="Heading 1 - No TOC"/>
    <w:basedOn w:val="Heading1"/>
    <w:rsid w:val="000D25D3"/>
    <w:pPr>
      <w:spacing w:before="0" w:after="360"/>
      <w:outlineLvl w:val="9"/>
    </w:pPr>
    <w:rPr>
      <w:rFonts w:ascii="Arial" w:hAnsi="Arial" w:cs="Times New Roman"/>
      <w:bCs w:val="0"/>
      <w:kern w:val="28"/>
      <w:szCs w:val="20"/>
      <w:lang w:val="x-none"/>
    </w:rPr>
  </w:style>
  <w:style w:type="paragraph" w:customStyle="1" w:styleId="Heading2NoTOC">
    <w:name w:val="Heading 2 No TOC"/>
    <w:basedOn w:val="Heading2"/>
    <w:qFormat/>
    <w:rsid w:val="00CE4701"/>
    <w:pPr>
      <w:spacing w:before="0" w:after="360"/>
      <w:outlineLvl w:val="9"/>
    </w:pPr>
    <w:rPr>
      <w:rFonts w:cs="Times New Roman"/>
      <w:bCs w:val="0"/>
      <w:iCs w:val="0"/>
      <w:szCs w:val="20"/>
      <w:lang w:val="en-AU"/>
    </w:rPr>
  </w:style>
  <w:style w:type="character" w:customStyle="1" w:styleId="FootnoteTextChar">
    <w:name w:val="Footnote Text Char"/>
    <w:link w:val="FootnoteText"/>
    <w:semiHidden/>
    <w:rsid w:val="00246C53"/>
    <w:rPr>
      <w:rFonts w:ascii="Book Antiqua" w:hAnsi="Book Antiqua" w:cs="Arial"/>
      <w:lang w:val="en-US"/>
    </w:rPr>
  </w:style>
  <w:style w:type="paragraph" w:customStyle="1" w:styleId="TableParagraph">
    <w:name w:val="Table Paragraph"/>
    <w:basedOn w:val="Normal"/>
    <w:uiPriority w:val="1"/>
    <w:qFormat/>
    <w:rsid w:val="00900BC4"/>
    <w:pPr>
      <w:widowControl w:val="0"/>
      <w:autoSpaceDE w:val="0"/>
      <w:autoSpaceDN w:val="0"/>
      <w:adjustRightInd w:val="0"/>
      <w:spacing w:before="0" w:after="0"/>
    </w:pPr>
    <w:rPr>
      <w:rFonts w:ascii="Arial" w:hAnsi="Arial"/>
      <w:sz w:val="24"/>
      <w:lang w:val="en-AU"/>
    </w:rPr>
  </w:style>
  <w:style w:type="paragraph" w:customStyle="1" w:styleId="msonormal0">
    <w:name w:val="msonormal"/>
    <w:basedOn w:val="Normal"/>
    <w:rsid w:val="00135463"/>
    <w:pPr>
      <w:spacing w:beforeAutospacing="1" w:afterAutospacing="1"/>
    </w:pPr>
    <w:rPr>
      <w:rFonts w:ascii="Times New Roman" w:hAnsi="Times New Roman" w:cs="Times New Roman"/>
      <w:sz w:val="24"/>
      <w:lang w:val="en-AU"/>
    </w:rPr>
  </w:style>
  <w:style w:type="paragraph" w:customStyle="1" w:styleId="font5">
    <w:name w:val="font5"/>
    <w:basedOn w:val="Normal"/>
    <w:rsid w:val="00135463"/>
    <w:pPr>
      <w:spacing w:beforeAutospacing="1" w:afterAutospacing="1"/>
    </w:pPr>
    <w:rPr>
      <w:rFonts w:ascii="Arial" w:hAnsi="Arial"/>
      <w:b/>
      <w:bCs/>
      <w:sz w:val="16"/>
      <w:szCs w:val="16"/>
      <w:lang w:val="en-AU"/>
    </w:rPr>
  </w:style>
  <w:style w:type="paragraph" w:customStyle="1" w:styleId="font6">
    <w:name w:val="font6"/>
    <w:basedOn w:val="Normal"/>
    <w:rsid w:val="00135463"/>
    <w:pPr>
      <w:spacing w:beforeAutospacing="1" w:afterAutospacing="1"/>
    </w:pPr>
    <w:rPr>
      <w:rFonts w:ascii="Arial" w:hAnsi="Arial"/>
      <w:b/>
      <w:bCs/>
      <w:sz w:val="16"/>
      <w:szCs w:val="16"/>
      <w:lang w:val="en-AU"/>
    </w:rPr>
  </w:style>
  <w:style w:type="paragraph" w:customStyle="1" w:styleId="font7">
    <w:name w:val="font7"/>
    <w:basedOn w:val="Normal"/>
    <w:rsid w:val="00135463"/>
    <w:pPr>
      <w:spacing w:beforeAutospacing="1" w:afterAutospacing="1"/>
    </w:pPr>
    <w:rPr>
      <w:rFonts w:ascii="Arial" w:hAnsi="Arial"/>
      <w:i/>
      <w:iCs/>
      <w:sz w:val="16"/>
      <w:szCs w:val="16"/>
      <w:lang w:val="en-AU"/>
    </w:rPr>
  </w:style>
  <w:style w:type="paragraph" w:customStyle="1" w:styleId="xl68">
    <w:name w:val="xl68"/>
    <w:basedOn w:val="Normal"/>
    <w:rsid w:val="00135463"/>
    <w:pPr>
      <w:shd w:val="clear" w:color="FFFFFF" w:fill="auto"/>
      <w:spacing w:beforeAutospacing="1" w:afterAutospacing="1"/>
      <w:textAlignment w:val="center"/>
    </w:pPr>
    <w:rPr>
      <w:rFonts w:ascii="Times New Roman" w:hAnsi="Times New Roman" w:cs="Times New Roman"/>
      <w:szCs w:val="20"/>
      <w:lang w:val="en-AU"/>
    </w:rPr>
  </w:style>
  <w:style w:type="paragraph" w:customStyle="1" w:styleId="xl69">
    <w:name w:val="xl69"/>
    <w:basedOn w:val="Normal"/>
    <w:rsid w:val="00135463"/>
    <w:pPr>
      <w:shd w:val="clear" w:color="FFFFFF" w:fill="auto"/>
      <w:spacing w:beforeAutospacing="1" w:afterAutospacing="1"/>
    </w:pPr>
    <w:rPr>
      <w:rFonts w:ascii="Times New Roman" w:hAnsi="Times New Roman" w:cs="Times New Roman"/>
      <w:sz w:val="24"/>
      <w:lang w:val="en-AU"/>
    </w:rPr>
  </w:style>
  <w:style w:type="paragraph" w:customStyle="1" w:styleId="xl70">
    <w:name w:val="xl70"/>
    <w:basedOn w:val="Normal"/>
    <w:rsid w:val="00135463"/>
    <w:pPr>
      <w:shd w:val="clear" w:color="FFFFFF" w:fill="auto"/>
      <w:spacing w:beforeAutospacing="1" w:afterAutospacing="1"/>
    </w:pPr>
    <w:rPr>
      <w:rFonts w:ascii="Times New Roman" w:hAnsi="Times New Roman" w:cs="Times New Roman"/>
      <w:sz w:val="24"/>
      <w:lang w:val="en-AU"/>
    </w:rPr>
  </w:style>
  <w:style w:type="paragraph" w:customStyle="1" w:styleId="xl71">
    <w:name w:val="xl71"/>
    <w:basedOn w:val="Normal"/>
    <w:rsid w:val="00135463"/>
    <w:pPr>
      <w:pBdr>
        <w:bottom w:val="single" w:sz="4" w:space="0" w:color="auto"/>
      </w:pBdr>
      <w:shd w:val="clear" w:color="FFFFFF" w:fill="auto"/>
      <w:spacing w:beforeAutospacing="1" w:afterAutospacing="1"/>
      <w:textAlignment w:val="center"/>
    </w:pPr>
    <w:rPr>
      <w:rFonts w:ascii="Times New Roman" w:hAnsi="Times New Roman" w:cs="Times New Roman"/>
      <w:szCs w:val="20"/>
      <w:lang w:val="en-AU"/>
    </w:rPr>
  </w:style>
  <w:style w:type="paragraph" w:customStyle="1" w:styleId="xl72">
    <w:name w:val="xl72"/>
    <w:basedOn w:val="Normal"/>
    <w:rsid w:val="00135463"/>
    <w:pPr>
      <w:pBdr>
        <w:top w:val="single" w:sz="4" w:space="0" w:color="auto"/>
        <w:bottom w:val="single" w:sz="4" w:space="0" w:color="auto"/>
      </w:pBdr>
      <w:shd w:val="clear" w:color="FFFFFF" w:fill="auto"/>
      <w:spacing w:beforeAutospacing="1" w:afterAutospacing="1"/>
    </w:pPr>
    <w:rPr>
      <w:rFonts w:ascii="Times New Roman" w:hAnsi="Times New Roman" w:cs="Times New Roman"/>
      <w:sz w:val="24"/>
      <w:lang w:val="en-AU"/>
    </w:rPr>
  </w:style>
  <w:style w:type="paragraph" w:customStyle="1" w:styleId="xl73">
    <w:name w:val="xl73"/>
    <w:basedOn w:val="Normal"/>
    <w:rsid w:val="00135463"/>
    <w:pPr>
      <w:pBdr>
        <w:top w:val="single" w:sz="4" w:space="0" w:color="auto"/>
        <w:bottom w:val="single" w:sz="4" w:space="0" w:color="auto"/>
      </w:pBdr>
      <w:shd w:val="clear" w:color="FFFFFF" w:fill="auto"/>
      <w:spacing w:beforeAutospacing="1" w:afterAutospacing="1"/>
      <w:jc w:val="right"/>
    </w:pPr>
    <w:rPr>
      <w:rFonts w:ascii="Arial Bold" w:hAnsi="Arial Bold" w:cs="Times New Roman"/>
      <w:b/>
      <w:bCs/>
      <w:sz w:val="24"/>
      <w:lang w:val="en-AU"/>
    </w:rPr>
  </w:style>
  <w:style w:type="paragraph" w:customStyle="1" w:styleId="xl74">
    <w:name w:val="xl74"/>
    <w:basedOn w:val="Normal"/>
    <w:rsid w:val="00135463"/>
    <w:pPr>
      <w:shd w:val="clear" w:color="FFFFFF" w:fill="auto"/>
      <w:spacing w:beforeAutospacing="1" w:afterAutospacing="1"/>
      <w:textAlignment w:val="center"/>
    </w:pPr>
    <w:rPr>
      <w:rFonts w:ascii="Times New Roman" w:hAnsi="Times New Roman" w:cs="Times New Roman"/>
      <w:b/>
      <w:bCs/>
      <w:sz w:val="24"/>
      <w:lang w:val="en-AU"/>
    </w:rPr>
  </w:style>
  <w:style w:type="paragraph" w:customStyle="1" w:styleId="xl75">
    <w:name w:val="xl75"/>
    <w:basedOn w:val="Normal"/>
    <w:rsid w:val="00135463"/>
    <w:pPr>
      <w:shd w:val="clear" w:color="FFFFFF" w:fill="auto"/>
      <w:spacing w:beforeAutospacing="1" w:afterAutospacing="1"/>
      <w:jc w:val="right"/>
      <w:textAlignment w:val="center"/>
    </w:pPr>
    <w:rPr>
      <w:rFonts w:ascii="Times New Roman" w:hAnsi="Times New Roman" w:cs="Times New Roman"/>
      <w:sz w:val="24"/>
      <w:lang w:val="en-AU"/>
    </w:rPr>
  </w:style>
  <w:style w:type="paragraph" w:customStyle="1" w:styleId="xl76">
    <w:name w:val="xl76"/>
    <w:basedOn w:val="Normal"/>
    <w:rsid w:val="00135463"/>
    <w:pPr>
      <w:shd w:val="clear" w:color="FFFFFF" w:fill="auto"/>
      <w:spacing w:beforeAutospacing="1" w:afterAutospacing="1"/>
      <w:textAlignment w:val="center"/>
    </w:pPr>
    <w:rPr>
      <w:rFonts w:ascii="Times New Roman" w:hAnsi="Times New Roman" w:cs="Times New Roman"/>
      <w:b/>
      <w:bCs/>
      <w:sz w:val="24"/>
      <w:lang w:val="en-AU"/>
    </w:rPr>
  </w:style>
  <w:style w:type="paragraph" w:customStyle="1" w:styleId="xl77">
    <w:name w:val="xl77"/>
    <w:basedOn w:val="Normal"/>
    <w:rsid w:val="00135463"/>
    <w:pPr>
      <w:shd w:val="clear" w:color="FFFFFF" w:fill="auto"/>
      <w:spacing w:beforeAutospacing="1" w:afterAutospacing="1"/>
      <w:textAlignment w:val="center"/>
    </w:pPr>
    <w:rPr>
      <w:rFonts w:ascii="Times New Roman" w:hAnsi="Times New Roman" w:cs="Times New Roman"/>
      <w:sz w:val="24"/>
      <w:lang w:val="en-AU"/>
    </w:rPr>
  </w:style>
  <w:style w:type="paragraph" w:customStyle="1" w:styleId="xl78">
    <w:name w:val="xl78"/>
    <w:basedOn w:val="Normal"/>
    <w:rsid w:val="00135463"/>
    <w:pPr>
      <w:shd w:val="clear" w:color="FFFFFF" w:fill="auto"/>
      <w:spacing w:beforeAutospacing="1" w:afterAutospacing="1"/>
      <w:textAlignment w:val="center"/>
    </w:pPr>
    <w:rPr>
      <w:rFonts w:ascii="Times New Roman" w:hAnsi="Times New Roman" w:cs="Times New Roman"/>
      <w:sz w:val="24"/>
      <w:lang w:val="en-AU"/>
    </w:rPr>
  </w:style>
  <w:style w:type="paragraph" w:customStyle="1" w:styleId="xl79">
    <w:name w:val="xl79"/>
    <w:basedOn w:val="Normal"/>
    <w:rsid w:val="00135463"/>
    <w:pPr>
      <w:spacing w:beforeAutospacing="1" w:afterAutospacing="1"/>
      <w:textAlignment w:val="center"/>
    </w:pPr>
    <w:rPr>
      <w:rFonts w:ascii="Times New Roman" w:hAnsi="Times New Roman" w:cs="Times New Roman"/>
      <w:sz w:val="24"/>
      <w:lang w:val="en-AU"/>
    </w:rPr>
  </w:style>
  <w:style w:type="paragraph" w:customStyle="1" w:styleId="xl80">
    <w:name w:val="xl80"/>
    <w:basedOn w:val="Normal"/>
    <w:rsid w:val="00135463"/>
    <w:pPr>
      <w:spacing w:beforeAutospacing="1" w:afterAutospacing="1"/>
      <w:jc w:val="right"/>
      <w:textAlignment w:val="center"/>
    </w:pPr>
    <w:rPr>
      <w:rFonts w:ascii="Times New Roman" w:hAnsi="Times New Roman" w:cs="Times New Roman"/>
      <w:sz w:val="24"/>
      <w:lang w:val="en-AU"/>
    </w:rPr>
  </w:style>
  <w:style w:type="paragraph" w:customStyle="1" w:styleId="xl81">
    <w:name w:val="xl81"/>
    <w:basedOn w:val="Normal"/>
    <w:rsid w:val="00135463"/>
    <w:pPr>
      <w:shd w:val="clear" w:color="FFFFFF" w:fill="auto"/>
      <w:spacing w:beforeAutospacing="1" w:afterAutospacing="1"/>
      <w:jc w:val="right"/>
      <w:textAlignment w:val="center"/>
    </w:pPr>
    <w:rPr>
      <w:rFonts w:ascii="Times New Roman" w:hAnsi="Times New Roman" w:cs="Times New Roman"/>
      <w:sz w:val="24"/>
      <w:lang w:val="en-AU"/>
    </w:rPr>
  </w:style>
  <w:style w:type="paragraph" w:customStyle="1" w:styleId="xl82">
    <w:name w:val="xl82"/>
    <w:basedOn w:val="Normal"/>
    <w:rsid w:val="00135463"/>
    <w:pPr>
      <w:pBdr>
        <w:bottom w:val="single" w:sz="4" w:space="0" w:color="auto"/>
      </w:pBdr>
      <w:shd w:val="clear" w:color="FFFFFF" w:fill="auto"/>
      <w:spacing w:beforeAutospacing="1" w:afterAutospacing="1"/>
      <w:textAlignment w:val="center"/>
    </w:pPr>
    <w:rPr>
      <w:rFonts w:ascii="Times New Roman" w:hAnsi="Times New Roman" w:cs="Times New Roman"/>
      <w:b/>
      <w:bCs/>
      <w:sz w:val="24"/>
      <w:lang w:val="en-AU"/>
    </w:rPr>
  </w:style>
  <w:style w:type="paragraph" w:customStyle="1" w:styleId="xl83">
    <w:name w:val="xl83"/>
    <w:basedOn w:val="Normal"/>
    <w:rsid w:val="00135463"/>
    <w:pPr>
      <w:pBdr>
        <w:bottom w:val="single" w:sz="4" w:space="0" w:color="auto"/>
      </w:pBdr>
      <w:shd w:val="clear" w:color="FFFFFF" w:fill="auto"/>
      <w:spacing w:beforeAutospacing="1" w:afterAutospacing="1"/>
      <w:textAlignment w:val="center"/>
    </w:pPr>
    <w:rPr>
      <w:rFonts w:ascii="Times New Roman" w:hAnsi="Times New Roman" w:cs="Times New Roman"/>
      <w:b/>
      <w:bCs/>
      <w:sz w:val="24"/>
      <w:lang w:val="en-AU"/>
    </w:rPr>
  </w:style>
  <w:style w:type="paragraph" w:customStyle="1" w:styleId="xl84">
    <w:name w:val="xl84"/>
    <w:basedOn w:val="Normal"/>
    <w:rsid w:val="00135463"/>
    <w:pPr>
      <w:shd w:val="clear" w:color="FFFFFF" w:fill="auto"/>
      <w:spacing w:beforeAutospacing="1" w:afterAutospacing="1"/>
      <w:textAlignment w:val="center"/>
    </w:pPr>
    <w:rPr>
      <w:rFonts w:ascii="Times New Roman" w:hAnsi="Times New Roman" w:cs="Times New Roman"/>
      <w:sz w:val="24"/>
      <w:lang w:val="en-AU"/>
    </w:rPr>
  </w:style>
  <w:style w:type="paragraph" w:customStyle="1" w:styleId="xl85">
    <w:name w:val="xl85"/>
    <w:basedOn w:val="Normal"/>
    <w:rsid w:val="00135463"/>
    <w:pPr>
      <w:spacing w:beforeAutospacing="1" w:afterAutospacing="1"/>
      <w:textAlignment w:val="center"/>
    </w:pPr>
    <w:rPr>
      <w:rFonts w:ascii="Times New Roman" w:hAnsi="Times New Roman" w:cs="Times New Roman"/>
      <w:sz w:val="24"/>
      <w:lang w:val="en-AU"/>
    </w:rPr>
  </w:style>
  <w:style w:type="paragraph" w:customStyle="1" w:styleId="xl86">
    <w:name w:val="xl86"/>
    <w:basedOn w:val="Normal"/>
    <w:rsid w:val="00135463"/>
    <w:pPr>
      <w:spacing w:beforeAutospacing="1" w:afterAutospacing="1"/>
      <w:textAlignment w:val="center"/>
    </w:pPr>
    <w:rPr>
      <w:rFonts w:ascii="Times New Roman" w:hAnsi="Times New Roman" w:cs="Times New Roman"/>
      <w:b/>
      <w:bCs/>
      <w:sz w:val="24"/>
      <w:lang w:val="en-AU"/>
    </w:rPr>
  </w:style>
  <w:style w:type="paragraph" w:customStyle="1" w:styleId="xl87">
    <w:name w:val="xl87"/>
    <w:basedOn w:val="Normal"/>
    <w:rsid w:val="00135463"/>
    <w:pPr>
      <w:spacing w:beforeAutospacing="1" w:afterAutospacing="1"/>
      <w:textAlignment w:val="center"/>
    </w:pPr>
    <w:rPr>
      <w:rFonts w:ascii="Times New Roman" w:hAnsi="Times New Roman" w:cs="Times New Roman"/>
      <w:b/>
      <w:bCs/>
      <w:sz w:val="24"/>
      <w:lang w:val="en-AU"/>
    </w:rPr>
  </w:style>
  <w:style w:type="paragraph" w:customStyle="1" w:styleId="xl88">
    <w:name w:val="xl88"/>
    <w:basedOn w:val="Normal"/>
    <w:rsid w:val="00135463"/>
    <w:pPr>
      <w:pBdr>
        <w:bottom w:val="single" w:sz="4" w:space="0" w:color="auto"/>
      </w:pBdr>
      <w:shd w:val="clear" w:color="FFFFFF" w:fill="auto"/>
      <w:spacing w:beforeAutospacing="1" w:afterAutospacing="1"/>
      <w:textAlignment w:val="center"/>
    </w:pPr>
    <w:rPr>
      <w:rFonts w:ascii="Times New Roman" w:hAnsi="Times New Roman" w:cs="Times New Roman"/>
      <w:sz w:val="24"/>
      <w:lang w:val="en-AU"/>
    </w:rPr>
  </w:style>
  <w:style w:type="paragraph" w:customStyle="1" w:styleId="xl89">
    <w:name w:val="xl89"/>
    <w:basedOn w:val="Normal"/>
    <w:rsid w:val="00135463"/>
    <w:pPr>
      <w:pBdr>
        <w:bottom w:val="single" w:sz="4" w:space="0" w:color="auto"/>
      </w:pBdr>
      <w:shd w:val="clear" w:color="FFFFFF" w:fill="auto"/>
      <w:spacing w:beforeAutospacing="1" w:afterAutospacing="1"/>
      <w:jc w:val="right"/>
      <w:textAlignment w:val="center"/>
    </w:pPr>
    <w:rPr>
      <w:rFonts w:ascii="Times New Roman" w:hAnsi="Times New Roman" w:cs="Times New Roman"/>
      <w:sz w:val="24"/>
      <w:lang w:val="en-AU"/>
    </w:rPr>
  </w:style>
  <w:style w:type="paragraph" w:customStyle="1" w:styleId="xl90">
    <w:name w:val="xl90"/>
    <w:basedOn w:val="Normal"/>
    <w:rsid w:val="00135463"/>
    <w:pPr>
      <w:pBdr>
        <w:bottom w:val="single" w:sz="4" w:space="0" w:color="auto"/>
      </w:pBdr>
      <w:spacing w:beforeAutospacing="1" w:afterAutospacing="1"/>
      <w:textAlignment w:val="center"/>
    </w:pPr>
    <w:rPr>
      <w:rFonts w:ascii="Times New Roman" w:hAnsi="Times New Roman" w:cs="Times New Roman"/>
      <w:b/>
      <w:bCs/>
      <w:sz w:val="24"/>
      <w:lang w:val="en-AU"/>
    </w:rPr>
  </w:style>
  <w:style w:type="paragraph" w:customStyle="1" w:styleId="xl91">
    <w:name w:val="xl91"/>
    <w:basedOn w:val="Normal"/>
    <w:rsid w:val="00135463"/>
    <w:pPr>
      <w:pBdr>
        <w:bottom w:val="single" w:sz="4" w:space="0" w:color="auto"/>
      </w:pBdr>
      <w:shd w:val="clear" w:color="FFFFFF" w:fill="auto"/>
      <w:spacing w:beforeAutospacing="1" w:afterAutospacing="1"/>
      <w:jc w:val="right"/>
      <w:textAlignment w:val="center"/>
    </w:pPr>
    <w:rPr>
      <w:rFonts w:ascii="Times New Roman" w:hAnsi="Times New Roman" w:cs="Times New Roman"/>
      <w:b/>
      <w:bCs/>
      <w:sz w:val="24"/>
      <w:lang w:val="en-AU"/>
    </w:rPr>
  </w:style>
  <w:style w:type="paragraph" w:customStyle="1" w:styleId="xl92">
    <w:name w:val="xl92"/>
    <w:basedOn w:val="Normal"/>
    <w:rsid w:val="00135463"/>
    <w:pPr>
      <w:shd w:val="clear" w:color="FFFFFF" w:fill="auto"/>
      <w:spacing w:beforeAutospacing="1" w:afterAutospacing="1"/>
      <w:jc w:val="right"/>
      <w:textAlignment w:val="center"/>
    </w:pPr>
    <w:rPr>
      <w:rFonts w:ascii="Times New Roman" w:hAnsi="Times New Roman" w:cs="Times New Roman"/>
      <w:sz w:val="24"/>
      <w:lang w:val="en-AU"/>
    </w:rPr>
  </w:style>
  <w:style w:type="paragraph" w:customStyle="1" w:styleId="xl93">
    <w:name w:val="xl93"/>
    <w:basedOn w:val="Normal"/>
    <w:rsid w:val="00135463"/>
    <w:pPr>
      <w:shd w:val="clear" w:color="FFFFFF" w:fill="auto"/>
      <w:spacing w:beforeAutospacing="1" w:afterAutospacing="1"/>
      <w:jc w:val="right"/>
      <w:textAlignment w:val="center"/>
    </w:pPr>
    <w:rPr>
      <w:rFonts w:ascii="Times New Roman" w:hAnsi="Times New Roman" w:cs="Times New Roman"/>
      <w:sz w:val="24"/>
      <w:lang w:val="en-AU"/>
    </w:rPr>
  </w:style>
  <w:style w:type="paragraph" w:customStyle="1" w:styleId="xl94">
    <w:name w:val="xl94"/>
    <w:basedOn w:val="Normal"/>
    <w:rsid w:val="00135463"/>
    <w:pPr>
      <w:pBdr>
        <w:bottom w:val="single" w:sz="4" w:space="0" w:color="auto"/>
      </w:pBdr>
      <w:shd w:val="clear" w:color="FFFFFF" w:fill="auto"/>
      <w:spacing w:beforeAutospacing="1" w:afterAutospacing="1"/>
      <w:jc w:val="right"/>
      <w:textAlignment w:val="center"/>
    </w:pPr>
    <w:rPr>
      <w:rFonts w:ascii="Times New Roman" w:hAnsi="Times New Roman" w:cs="Times New Roman"/>
      <w:b/>
      <w:bCs/>
      <w:sz w:val="24"/>
      <w:lang w:val="en-AU"/>
    </w:rPr>
  </w:style>
  <w:style w:type="paragraph" w:customStyle="1" w:styleId="xl95">
    <w:name w:val="xl95"/>
    <w:basedOn w:val="Normal"/>
    <w:rsid w:val="00135463"/>
    <w:pPr>
      <w:pBdr>
        <w:top w:val="single" w:sz="4" w:space="0" w:color="auto"/>
      </w:pBdr>
      <w:shd w:val="clear" w:color="FFFFFF" w:fill="auto"/>
      <w:spacing w:beforeAutospacing="1" w:afterAutospacing="1"/>
      <w:textAlignment w:val="center"/>
    </w:pPr>
    <w:rPr>
      <w:rFonts w:ascii="Times New Roman" w:hAnsi="Times New Roman" w:cs="Times New Roman"/>
      <w:b/>
      <w:bCs/>
      <w:sz w:val="24"/>
      <w:lang w:val="en-AU"/>
    </w:rPr>
  </w:style>
  <w:style w:type="paragraph" w:customStyle="1" w:styleId="xl96">
    <w:name w:val="xl96"/>
    <w:basedOn w:val="Normal"/>
    <w:rsid w:val="00135463"/>
    <w:pPr>
      <w:pBdr>
        <w:top w:val="single" w:sz="4" w:space="0" w:color="auto"/>
      </w:pBdr>
      <w:shd w:val="clear" w:color="FFFFFF" w:fill="auto"/>
      <w:spacing w:beforeAutospacing="1" w:afterAutospacing="1"/>
      <w:jc w:val="right"/>
      <w:textAlignment w:val="center"/>
    </w:pPr>
    <w:rPr>
      <w:rFonts w:ascii="Times New Roman" w:hAnsi="Times New Roman" w:cs="Times New Roman"/>
      <w:sz w:val="24"/>
      <w:lang w:val="en-AU"/>
    </w:rPr>
  </w:style>
  <w:style w:type="paragraph" w:customStyle="1" w:styleId="xl97">
    <w:name w:val="xl97"/>
    <w:basedOn w:val="Normal"/>
    <w:rsid w:val="00135463"/>
    <w:pPr>
      <w:pBdr>
        <w:top w:val="single" w:sz="4" w:space="0" w:color="auto"/>
      </w:pBdr>
      <w:shd w:val="clear" w:color="FFFFFF" w:fill="auto"/>
      <w:spacing w:beforeAutospacing="1" w:afterAutospacing="1"/>
      <w:textAlignment w:val="center"/>
    </w:pPr>
    <w:rPr>
      <w:rFonts w:ascii="Times New Roman" w:hAnsi="Times New Roman" w:cs="Times New Roman"/>
      <w:b/>
      <w:bCs/>
      <w:sz w:val="24"/>
      <w:lang w:val="en-AU"/>
    </w:rPr>
  </w:style>
  <w:style w:type="paragraph" w:customStyle="1" w:styleId="xl98">
    <w:name w:val="xl98"/>
    <w:basedOn w:val="Normal"/>
    <w:rsid w:val="00135463"/>
    <w:pPr>
      <w:shd w:val="clear" w:color="FFFFFF" w:fill="auto"/>
      <w:spacing w:beforeAutospacing="1" w:afterAutospacing="1"/>
      <w:jc w:val="right"/>
      <w:textAlignment w:val="center"/>
    </w:pPr>
    <w:rPr>
      <w:rFonts w:ascii="Times New Roman" w:hAnsi="Times New Roman" w:cs="Times New Roman"/>
      <w:sz w:val="24"/>
      <w:lang w:val="en-AU"/>
    </w:rPr>
  </w:style>
  <w:style w:type="paragraph" w:customStyle="1" w:styleId="xl99">
    <w:name w:val="xl99"/>
    <w:basedOn w:val="Normal"/>
    <w:rsid w:val="00135463"/>
    <w:pPr>
      <w:shd w:val="clear" w:color="FFFFFF" w:fill="auto"/>
      <w:spacing w:beforeAutospacing="1" w:afterAutospacing="1"/>
      <w:jc w:val="right"/>
      <w:textAlignment w:val="center"/>
    </w:pPr>
    <w:rPr>
      <w:rFonts w:ascii="Times New Roman" w:hAnsi="Times New Roman" w:cs="Times New Roman"/>
      <w:b/>
      <w:bCs/>
      <w:sz w:val="24"/>
      <w:lang w:val="en-AU"/>
    </w:rPr>
  </w:style>
  <w:style w:type="paragraph" w:customStyle="1" w:styleId="xl100">
    <w:name w:val="xl100"/>
    <w:basedOn w:val="Normal"/>
    <w:rsid w:val="00135463"/>
    <w:pPr>
      <w:pBdr>
        <w:bottom w:val="single" w:sz="4" w:space="0" w:color="auto"/>
      </w:pBdr>
      <w:spacing w:beforeAutospacing="1" w:afterAutospacing="1"/>
      <w:jc w:val="right"/>
      <w:textAlignment w:val="center"/>
    </w:pPr>
    <w:rPr>
      <w:rFonts w:ascii="Times New Roman" w:hAnsi="Times New Roman" w:cs="Times New Roman"/>
      <w:sz w:val="24"/>
      <w:lang w:val="en-AU"/>
    </w:rPr>
  </w:style>
  <w:style w:type="paragraph" w:customStyle="1" w:styleId="xl101">
    <w:name w:val="xl101"/>
    <w:basedOn w:val="Normal"/>
    <w:rsid w:val="00135463"/>
    <w:pPr>
      <w:shd w:val="clear" w:color="FFFFFF" w:fill="auto"/>
      <w:spacing w:beforeAutospacing="1" w:afterAutospacing="1"/>
      <w:jc w:val="right"/>
      <w:textAlignment w:val="center"/>
    </w:pPr>
    <w:rPr>
      <w:rFonts w:ascii="Times New Roman" w:hAnsi="Times New Roman" w:cs="Times New Roman"/>
      <w:sz w:val="24"/>
      <w:lang w:val="en-AU"/>
    </w:rPr>
  </w:style>
  <w:style w:type="paragraph" w:customStyle="1" w:styleId="xl102">
    <w:name w:val="xl102"/>
    <w:basedOn w:val="Normal"/>
    <w:rsid w:val="00135463"/>
    <w:pPr>
      <w:pBdr>
        <w:bottom w:val="single" w:sz="4" w:space="0" w:color="auto"/>
      </w:pBdr>
      <w:shd w:val="clear" w:color="FFFFFF" w:fill="auto"/>
      <w:spacing w:beforeAutospacing="1" w:afterAutospacing="1"/>
      <w:jc w:val="right"/>
      <w:textAlignment w:val="center"/>
    </w:pPr>
    <w:rPr>
      <w:rFonts w:ascii="Times New Roman" w:hAnsi="Times New Roman" w:cs="Times New Roman"/>
      <w:sz w:val="24"/>
      <w:lang w:val="en-AU"/>
    </w:rPr>
  </w:style>
  <w:style w:type="paragraph" w:customStyle="1" w:styleId="xl103">
    <w:name w:val="xl103"/>
    <w:basedOn w:val="Normal"/>
    <w:rsid w:val="00135463"/>
    <w:pPr>
      <w:pBdr>
        <w:bottom w:val="single" w:sz="4" w:space="0" w:color="auto"/>
      </w:pBdr>
      <w:shd w:val="clear" w:color="FFFFFF" w:fill="auto"/>
      <w:spacing w:beforeAutospacing="1" w:afterAutospacing="1"/>
      <w:jc w:val="right"/>
      <w:textAlignment w:val="center"/>
    </w:pPr>
    <w:rPr>
      <w:rFonts w:ascii="Times New Roman" w:hAnsi="Times New Roman" w:cs="Times New Roman"/>
      <w:sz w:val="24"/>
      <w:lang w:val="en-AU"/>
    </w:rPr>
  </w:style>
  <w:style w:type="paragraph" w:customStyle="1" w:styleId="xl104">
    <w:name w:val="xl104"/>
    <w:basedOn w:val="Normal"/>
    <w:rsid w:val="00135463"/>
    <w:pPr>
      <w:spacing w:beforeAutospacing="1" w:afterAutospacing="1"/>
    </w:pPr>
    <w:rPr>
      <w:rFonts w:ascii="Times New Roman" w:hAnsi="Times New Roman" w:cs="Times New Roman"/>
      <w:sz w:val="24"/>
      <w:lang w:val="en-AU"/>
    </w:rPr>
  </w:style>
  <w:style w:type="paragraph" w:customStyle="1" w:styleId="xl105">
    <w:name w:val="xl105"/>
    <w:basedOn w:val="Normal"/>
    <w:rsid w:val="00135463"/>
    <w:pPr>
      <w:pBdr>
        <w:top w:val="single" w:sz="4" w:space="0" w:color="auto"/>
      </w:pBdr>
      <w:spacing w:beforeAutospacing="1" w:afterAutospacing="1"/>
      <w:textAlignment w:val="center"/>
    </w:pPr>
    <w:rPr>
      <w:rFonts w:ascii="Times New Roman" w:hAnsi="Times New Roman" w:cs="Times New Roman"/>
      <w:b/>
      <w:bCs/>
      <w:sz w:val="24"/>
      <w:lang w:val="en-AU"/>
    </w:rPr>
  </w:style>
  <w:style w:type="paragraph" w:customStyle="1" w:styleId="xl106">
    <w:name w:val="xl106"/>
    <w:basedOn w:val="Normal"/>
    <w:rsid w:val="00135463"/>
    <w:pPr>
      <w:pBdr>
        <w:top w:val="single" w:sz="4" w:space="0" w:color="auto"/>
      </w:pBdr>
      <w:shd w:val="clear" w:color="FFFFFF" w:fill="auto"/>
      <w:spacing w:beforeAutospacing="1" w:afterAutospacing="1"/>
      <w:jc w:val="right"/>
      <w:textAlignment w:val="center"/>
    </w:pPr>
    <w:rPr>
      <w:rFonts w:ascii="Times New Roman" w:hAnsi="Times New Roman" w:cs="Times New Roman"/>
      <w:b/>
      <w:bCs/>
      <w:sz w:val="24"/>
      <w:lang w:val="en-AU"/>
    </w:rPr>
  </w:style>
  <w:style w:type="paragraph" w:customStyle="1" w:styleId="xl107">
    <w:name w:val="xl107"/>
    <w:basedOn w:val="Normal"/>
    <w:rsid w:val="00135463"/>
    <w:pPr>
      <w:pBdr>
        <w:top w:val="single" w:sz="4" w:space="0" w:color="auto"/>
      </w:pBdr>
      <w:spacing w:beforeAutospacing="1" w:afterAutospacing="1"/>
      <w:textAlignment w:val="center"/>
    </w:pPr>
    <w:rPr>
      <w:rFonts w:ascii="Times New Roman" w:hAnsi="Times New Roman" w:cs="Times New Roman"/>
      <w:b/>
      <w:bCs/>
      <w:sz w:val="24"/>
      <w:lang w:val="en-AU"/>
    </w:rPr>
  </w:style>
  <w:style w:type="paragraph" w:customStyle="1" w:styleId="xl108">
    <w:name w:val="xl108"/>
    <w:basedOn w:val="Normal"/>
    <w:rsid w:val="00135463"/>
    <w:pPr>
      <w:pBdr>
        <w:top w:val="single" w:sz="4" w:space="0" w:color="auto"/>
      </w:pBdr>
      <w:shd w:val="clear" w:color="FFFFFF" w:fill="auto"/>
      <w:spacing w:beforeAutospacing="1" w:afterAutospacing="1"/>
      <w:textAlignment w:val="center"/>
    </w:pPr>
    <w:rPr>
      <w:rFonts w:ascii="Times New Roman" w:hAnsi="Times New Roman" w:cs="Times New Roman"/>
      <w:sz w:val="24"/>
      <w:lang w:val="en-AU"/>
    </w:rPr>
  </w:style>
  <w:style w:type="paragraph" w:customStyle="1" w:styleId="xl109">
    <w:name w:val="xl109"/>
    <w:basedOn w:val="Normal"/>
    <w:rsid w:val="00135463"/>
    <w:pPr>
      <w:pBdr>
        <w:bottom w:val="single" w:sz="4" w:space="0" w:color="auto"/>
      </w:pBdr>
      <w:spacing w:beforeAutospacing="1" w:afterAutospacing="1"/>
      <w:textAlignment w:val="center"/>
    </w:pPr>
    <w:rPr>
      <w:rFonts w:ascii="Times New Roman" w:hAnsi="Times New Roman" w:cs="Times New Roman"/>
      <w:b/>
      <w:bCs/>
      <w:sz w:val="24"/>
      <w:lang w:val="en-AU"/>
    </w:rPr>
  </w:style>
  <w:style w:type="paragraph" w:customStyle="1" w:styleId="xl110">
    <w:name w:val="xl110"/>
    <w:basedOn w:val="Normal"/>
    <w:rsid w:val="00135463"/>
    <w:pPr>
      <w:pBdr>
        <w:bottom w:val="single" w:sz="4" w:space="0" w:color="auto"/>
      </w:pBdr>
      <w:shd w:val="clear" w:color="FFFFFF" w:fill="auto"/>
      <w:spacing w:beforeAutospacing="1" w:afterAutospacing="1"/>
      <w:jc w:val="right"/>
      <w:textAlignment w:val="center"/>
    </w:pPr>
    <w:rPr>
      <w:rFonts w:ascii="Times New Roman" w:hAnsi="Times New Roman" w:cs="Times New Roman"/>
      <w:b/>
      <w:bCs/>
      <w:sz w:val="24"/>
      <w:u w:val="single"/>
      <w:lang w:val="en-AU"/>
    </w:rPr>
  </w:style>
  <w:style w:type="paragraph" w:customStyle="1" w:styleId="xl111">
    <w:name w:val="xl111"/>
    <w:basedOn w:val="Normal"/>
    <w:rsid w:val="00135463"/>
    <w:pPr>
      <w:pBdr>
        <w:bottom w:val="single" w:sz="4" w:space="0" w:color="auto"/>
      </w:pBdr>
      <w:spacing w:beforeAutospacing="1" w:afterAutospacing="1"/>
      <w:textAlignment w:val="center"/>
    </w:pPr>
    <w:rPr>
      <w:rFonts w:ascii="Times New Roman" w:hAnsi="Times New Roman" w:cs="Times New Roman"/>
      <w:sz w:val="24"/>
      <w:lang w:val="en-AU"/>
    </w:rPr>
  </w:style>
  <w:style w:type="paragraph" w:customStyle="1" w:styleId="xl112">
    <w:name w:val="xl112"/>
    <w:basedOn w:val="Normal"/>
    <w:rsid w:val="00135463"/>
    <w:pPr>
      <w:pBdr>
        <w:top w:val="single" w:sz="4" w:space="0" w:color="auto"/>
        <w:bottom w:val="single" w:sz="4" w:space="0" w:color="auto"/>
      </w:pBdr>
      <w:shd w:val="clear" w:color="FFFFFF" w:fill="auto"/>
      <w:spacing w:beforeAutospacing="1" w:afterAutospacing="1"/>
      <w:jc w:val="right"/>
      <w:textAlignment w:val="center"/>
    </w:pPr>
    <w:rPr>
      <w:rFonts w:ascii="Times New Roman" w:hAnsi="Times New Roman" w:cs="Times New Roman"/>
      <w:sz w:val="24"/>
      <w:lang w:val="en-AU"/>
    </w:rPr>
  </w:style>
  <w:style w:type="paragraph" w:customStyle="1" w:styleId="xl113">
    <w:name w:val="xl113"/>
    <w:basedOn w:val="Normal"/>
    <w:rsid w:val="00135463"/>
    <w:pPr>
      <w:pBdr>
        <w:top w:val="single" w:sz="4" w:space="0" w:color="auto"/>
        <w:bottom w:val="single" w:sz="4" w:space="0" w:color="auto"/>
      </w:pBdr>
      <w:shd w:val="clear" w:color="FFFFFF" w:fill="auto"/>
      <w:spacing w:beforeAutospacing="1" w:afterAutospacing="1"/>
      <w:textAlignment w:val="center"/>
    </w:pPr>
    <w:rPr>
      <w:rFonts w:ascii="Times New Roman" w:hAnsi="Times New Roman" w:cs="Times New Roman"/>
      <w:sz w:val="24"/>
      <w:lang w:val="en-AU"/>
    </w:rPr>
  </w:style>
  <w:style w:type="paragraph" w:customStyle="1" w:styleId="xl114">
    <w:name w:val="xl114"/>
    <w:basedOn w:val="Normal"/>
    <w:rsid w:val="00135463"/>
    <w:pPr>
      <w:pBdr>
        <w:top w:val="single" w:sz="4" w:space="0" w:color="auto"/>
        <w:bottom w:val="single" w:sz="4" w:space="0" w:color="auto"/>
      </w:pBdr>
      <w:spacing w:beforeAutospacing="1" w:afterAutospacing="1"/>
      <w:textAlignment w:val="center"/>
    </w:pPr>
    <w:rPr>
      <w:rFonts w:ascii="Times New Roman" w:hAnsi="Times New Roman" w:cs="Times New Roman"/>
      <w:b/>
      <w:bCs/>
      <w:sz w:val="24"/>
      <w:lang w:val="en-AU"/>
    </w:rPr>
  </w:style>
  <w:style w:type="paragraph" w:customStyle="1" w:styleId="xl115">
    <w:name w:val="xl115"/>
    <w:basedOn w:val="Normal"/>
    <w:rsid w:val="00135463"/>
    <w:pPr>
      <w:pBdr>
        <w:top w:val="single" w:sz="4" w:space="0" w:color="auto"/>
        <w:bottom w:val="single" w:sz="4" w:space="0" w:color="auto"/>
      </w:pBdr>
      <w:shd w:val="clear" w:color="FFFFFF" w:fill="auto"/>
      <w:spacing w:beforeAutospacing="1" w:afterAutospacing="1"/>
      <w:textAlignment w:val="center"/>
    </w:pPr>
    <w:rPr>
      <w:rFonts w:ascii="Times New Roman" w:hAnsi="Times New Roman" w:cs="Times New Roman"/>
      <w:b/>
      <w:bCs/>
      <w:sz w:val="24"/>
      <w:lang w:val="en-AU"/>
    </w:rPr>
  </w:style>
  <w:style w:type="paragraph" w:customStyle="1" w:styleId="xl116">
    <w:name w:val="xl116"/>
    <w:basedOn w:val="Normal"/>
    <w:rsid w:val="00135463"/>
    <w:pPr>
      <w:shd w:val="clear" w:color="FFFFFF" w:fill="auto"/>
      <w:spacing w:beforeAutospacing="1" w:afterAutospacing="1"/>
      <w:textAlignment w:val="center"/>
    </w:pPr>
    <w:rPr>
      <w:rFonts w:ascii="Times New Roman" w:hAnsi="Times New Roman" w:cs="Times New Roman"/>
      <w:szCs w:val="20"/>
      <w:lang w:val="en-AU"/>
    </w:rPr>
  </w:style>
  <w:style w:type="character" w:customStyle="1" w:styleId="goog-trans-section">
    <w:name w:val="goog-trans-section"/>
    <w:basedOn w:val="DefaultParagraphFont"/>
    <w:rsid w:val="001A2D31"/>
  </w:style>
  <w:style w:type="paragraph" w:customStyle="1" w:styleId="heading1level2">
    <w:name w:val="heading 1 level 2"/>
    <w:basedOn w:val="Heading1"/>
    <w:link w:val="heading1level2Char"/>
    <w:qFormat/>
    <w:rsid w:val="00F91C41"/>
    <w:pPr>
      <w:outlineLvl w:val="1"/>
    </w:pPr>
  </w:style>
  <w:style w:type="character" w:customStyle="1" w:styleId="heading1level2Char">
    <w:name w:val="heading 1 level 2 Char"/>
    <w:link w:val="heading1level2"/>
    <w:rsid w:val="00F91C41"/>
    <w:rPr>
      <w:rFonts w:ascii="Arial Bold" w:hAnsi="Arial Bold" w:cs="Arial"/>
      <w:b/>
      <w:bCs/>
      <w:smallCaps/>
      <w:kern w:val="32"/>
      <w:sz w:val="34"/>
      <w:szCs w:val="32"/>
      <w:lang w:val="en-US"/>
    </w:rPr>
  </w:style>
  <w:style w:type="paragraph" w:customStyle="1" w:styleId="Heading3noTOC">
    <w:name w:val="Heading 3 no TOC"/>
    <w:basedOn w:val="Heading3"/>
    <w:next w:val="Normal"/>
    <w:qFormat/>
    <w:rsid w:val="00D86C5B"/>
    <w:pPr>
      <w:outlineLvl w:val="9"/>
    </w:pPr>
  </w:style>
  <w:style w:type="paragraph" w:customStyle="1" w:styleId="Heading2level3">
    <w:name w:val="Heading 2 level 3"/>
    <w:basedOn w:val="Heading2"/>
    <w:next w:val="Normal"/>
    <w:qFormat/>
    <w:rsid w:val="00CB1F27"/>
    <w:pPr>
      <w:outlineLvl w:val="2"/>
    </w:pPr>
  </w:style>
  <w:style w:type="paragraph" w:customStyle="1" w:styleId="Heading4level5">
    <w:name w:val="Heading 4 level 5"/>
    <w:basedOn w:val="Heading4"/>
    <w:next w:val="Normal"/>
    <w:qFormat/>
    <w:rsid w:val="00D86C5B"/>
    <w:pPr>
      <w:outlineLvl w:val="4"/>
    </w:pPr>
  </w:style>
  <w:style w:type="paragraph" w:customStyle="1" w:styleId="Heading5noTOC">
    <w:name w:val="Heading 5 no TOC"/>
    <w:basedOn w:val="Heading5"/>
    <w:next w:val="Normal"/>
    <w:qFormat/>
    <w:rsid w:val="00D86C5B"/>
    <w:pPr>
      <w:outlineLvl w:val="9"/>
    </w:pPr>
    <w:rPr>
      <w:lang w:val="en-AU"/>
    </w:rPr>
  </w:style>
  <w:style w:type="paragraph" w:customStyle="1" w:styleId="Heading3level4">
    <w:name w:val="Heading 3 level 4"/>
    <w:basedOn w:val="Heading3"/>
    <w:link w:val="Heading3level4Char"/>
    <w:qFormat/>
    <w:rsid w:val="00870BAE"/>
    <w:pPr>
      <w:numPr>
        <w:ilvl w:val="1"/>
        <w:numId w:val="21"/>
      </w:numPr>
      <w:outlineLvl w:val="3"/>
    </w:pPr>
    <w:rPr>
      <w:smallCaps/>
    </w:rPr>
  </w:style>
  <w:style w:type="paragraph" w:customStyle="1" w:styleId="Heading5level6">
    <w:name w:val="Heading 5 level 6"/>
    <w:basedOn w:val="Heading5"/>
    <w:next w:val="Normal"/>
    <w:qFormat/>
    <w:rsid w:val="00B71852"/>
    <w:pPr>
      <w:spacing w:before="280"/>
      <w:outlineLvl w:val="5"/>
    </w:pPr>
  </w:style>
  <w:style w:type="character" w:customStyle="1" w:styleId="Heading3level4Char">
    <w:name w:val="Heading 3 level 4 Char"/>
    <w:link w:val="Heading3level4"/>
    <w:rsid w:val="00870BAE"/>
    <w:rPr>
      <w:rFonts w:ascii="Arial" w:hAnsi="Arial" w:cs="Arial"/>
      <w:b/>
      <w:iCs/>
      <w:smallCaps/>
      <w:sz w:val="26"/>
      <w:szCs w:val="26"/>
      <w:lang w:val="en-US"/>
    </w:rPr>
  </w:style>
  <w:style w:type="paragraph" w:customStyle="1" w:styleId="Heading6level7">
    <w:name w:val="Heading 6 level 7"/>
    <w:basedOn w:val="Heading6"/>
    <w:qFormat/>
    <w:rsid w:val="00AB086F"/>
    <w:pPr>
      <w:spacing w:after="100"/>
      <w:outlineLvl w:val="6"/>
    </w:pPr>
  </w:style>
  <w:style w:type="character" w:customStyle="1" w:styleId="BodyTextChar">
    <w:name w:val="Body Text Char"/>
    <w:link w:val="BodyText"/>
    <w:rsid w:val="008D5CFE"/>
    <w:rPr>
      <w:rFonts w:ascii="Book Antiqua" w:hAnsi="Book Antiqua" w:cs="Arial"/>
      <w:szCs w:val="24"/>
      <w:lang w:val="en-US"/>
    </w:rPr>
  </w:style>
  <w:style w:type="character" w:customStyle="1" w:styleId="ListParagraphChar">
    <w:name w:val="List Paragraph Char"/>
    <w:aliases w:val="CV text Char,Dot pt Char,F5 List Paragraph Char,L Char,List Paragraph1 Char,List Paragraph11 Char,List Paragraph111 Char,List Paragraph2 Char,Medium Grid 1 - Accent 21 Char,Numbered Paragraph Char,Recommendation Char,Table text Char"/>
    <w:link w:val="ListParagraph"/>
    <w:uiPriority w:val="34"/>
    <w:qFormat/>
    <w:locked/>
    <w:rsid w:val="007E3C1D"/>
    <w:rPr>
      <w:rFonts w:ascii="Book Antiqua" w:hAnsi="Book Antiqua" w:cs="Arial"/>
      <w:szCs w:val="24"/>
      <w:lang w:val="en-US"/>
    </w:rPr>
  </w:style>
  <w:style w:type="character" w:customStyle="1" w:styleId="hgkelc">
    <w:name w:val="hgkelc"/>
    <w:basedOn w:val="DefaultParagraphFont"/>
    <w:rsid w:val="00972274"/>
  </w:style>
  <w:style w:type="paragraph" w:styleId="EndnoteText">
    <w:name w:val="endnote text"/>
    <w:basedOn w:val="Normal"/>
    <w:link w:val="EndnoteTextChar"/>
    <w:rsid w:val="00647776"/>
    <w:pPr>
      <w:spacing w:before="0" w:after="0"/>
    </w:pPr>
    <w:rPr>
      <w:szCs w:val="20"/>
    </w:rPr>
  </w:style>
  <w:style w:type="character" w:customStyle="1" w:styleId="EndnoteTextChar">
    <w:name w:val="Endnote Text Char"/>
    <w:link w:val="EndnoteText"/>
    <w:rsid w:val="00647776"/>
    <w:rPr>
      <w:rFonts w:ascii="Book Antiqua" w:hAnsi="Book Antiqua" w:cs="Arial"/>
      <w:lang w:val="en-US"/>
    </w:rPr>
  </w:style>
  <w:style w:type="character" w:styleId="EndnoteReference">
    <w:name w:val="endnote reference"/>
    <w:rsid w:val="00647776"/>
    <w:rPr>
      <w:vertAlign w:val="superscript"/>
    </w:rPr>
  </w:style>
  <w:style w:type="paragraph" w:customStyle="1" w:styleId="TransmittalStyle2">
    <w:name w:val="Transmittal Style 2"/>
    <w:basedOn w:val="Normal"/>
    <w:rsid w:val="00203E8B"/>
    <w:pPr>
      <w:keepNext/>
      <w:spacing w:before="60" w:after="60"/>
      <w:jc w:val="right"/>
    </w:pPr>
    <w:rPr>
      <w:rFonts w:ascii="Helvetica" w:hAnsi="Helvetica" w:cs="Times New Roman"/>
      <w:b/>
      <w:caps/>
      <w:sz w:val="16"/>
      <w:szCs w:val="20"/>
      <w:lang w:val="en-AU"/>
    </w:rPr>
  </w:style>
  <w:style w:type="paragraph" w:styleId="TOC4">
    <w:name w:val="toc 4"/>
    <w:basedOn w:val="Normal"/>
    <w:next w:val="Normal"/>
    <w:autoRedefine/>
    <w:uiPriority w:val="39"/>
    <w:rsid w:val="00D15D4B"/>
    <w:pPr>
      <w:tabs>
        <w:tab w:val="right" w:leader="dot" w:pos="8608"/>
      </w:tabs>
      <w:ind w:left="1134" w:hanging="1134"/>
    </w:pPr>
    <w:rPr>
      <w:rFonts w:ascii="Arial" w:hAnsi="Arial"/>
      <w:noProof/>
    </w:rPr>
  </w:style>
  <w:style w:type="paragraph" w:customStyle="1" w:styleId="TableGraphic">
    <w:name w:val="Table Graphic"/>
    <w:basedOn w:val="Normal"/>
    <w:next w:val="Normal"/>
    <w:rsid w:val="00D76B5A"/>
    <w:pPr>
      <w:spacing w:before="0" w:after="0" w:line="259" w:lineRule="auto"/>
      <w:ind w:right="-113"/>
    </w:pPr>
    <w:rPr>
      <w:rFonts w:eastAsia="Book Antiqua" w:cs="Times New Roman"/>
      <w:sz w:val="22"/>
      <w:szCs w:val="22"/>
      <w:lang w:val="en-AU" w:eastAsia="en-US"/>
    </w:rPr>
  </w:style>
  <w:style w:type="paragraph" w:customStyle="1" w:styleId="TableHeadingcontinued">
    <w:name w:val="Table Heading continued"/>
    <w:basedOn w:val="Normal"/>
    <w:next w:val="TableGraphic"/>
    <w:rsid w:val="000F03B2"/>
    <w:pPr>
      <w:keepNext/>
      <w:spacing w:before="120" w:after="20"/>
    </w:pPr>
    <w:rPr>
      <w:rFonts w:ascii="Arial Bold" w:hAnsi="Arial Bold" w:cs="Times New Roman"/>
      <w:b/>
      <w:szCs w:val="20"/>
      <w:lang w:val="en-AU"/>
    </w:rPr>
  </w:style>
  <w:style w:type="paragraph" w:customStyle="1" w:styleId="quotation1">
    <w:name w:val="quotation1"/>
    <w:basedOn w:val="Normal"/>
    <w:uiPriority w:val="99"/>
    <w:rsid w:val="005D7FE2"/>
    <w:pPr>
      <w:spacing w:before="0" w:after="140" w:line="260" w:lineRule="atLeast"/>
      <w:ind w:left="425"/>
    </w:pPr>
    <w:rPr>
      <w:rFonts w:ascii="Arial" w:eastAsia="Calibri" w:hAnsi="Arial"/>
      <w:szCs w:val="20"/>
      <w:lang w:val="en-AU"/>
    </w:rPr>
  </w:style>
  <w:style w:type="paragraph" w:customStyle="1" w:styleId="xxboxbullet">
    <w:name w:val="x_xboxbullet"/>
    <w:basedOn w:val="Normal"/>
    <w:rsid w:val="00871156"/>
    <w:pPr>
      <w:spacing w:before="120" w:after="120" w:line="252" w:lineRule="auto"/>
      <w:ind w:left="283" w:hanging="283"/>
    </w:pPr>
    <w:rPr>
      <w:rFonts w:ascii="Calibri" w:eastAsia="Calibri" w:hAnsi="Calibri" w:cs="Calibri"/>
      <w:sz w:val="22"/>
      <w:szCs w:val="22"/>
      <w:lang w:val="en-AU"/>
    </w:rPr>
  </w:style>
  <w:style w:type="paragraph" w:customStyle="1" w:styleId="BoxText">
    <w:name w:val="Box Text"/>
    <w:basedOn w:val="Normal"/>
    <w:uiPriority w:val="99"/>
    <w:rsid w:val="00311464"/>
    <w:pPr>
      <w:spacing w:before="120" w:after="120" w:line="252" w:lineRule="auto"/>
    </w:pPr>
    <w:rPr>
      <w:rFonts w:ascii="Calibri" w:eastAsia="Calibri" w:hAnsi="Calibri" w:cs="Calibri"/>
      <w:sz w:val="22"/>
      <w:szCs w:val="22"/>
      <w:lang w:val="en-AU" w:eastAsia="en-US"/>
    </w:rPr>
  </w:style>
  <w:style w:type="character" w:customStyle="1" w:styleId="ui-provider">
    <w:name w:val="ui-provider"/>
    <w:rsid w:val="004F152F"/>
  </w:style>
  <w:style w:type="character" w:customStyle="1" w:styleId="CommentTextChar1">
    <w:name w:val="Comment Text Char1"/>
    <w:uiPriority w:val="99"/>
    <w:locked/>
    <w:rsid w:val="00C443D5"/>
    <w:rPr>
      <w:rFonts w:ascii="Calibri" w:hAnsi="Calibri" w:cs="Calibri"/>
      <w:sz w:val="20"/>
      <w:szCs w:val="20"/>
    </w:rPr>
  </w:style>
  <w:style w:type="paragraph" w:customStyle="1" w:styleId="paragraph">
    <w:name w:val="paragraph"/>
    <w:basedOn w:val="Normal"/>
    <w:rsid w:val="00AB31FA"/>
    <w:pPr>
      <w:spacing w:beforeAutospacing="1" w:afterAutospacing="1"/>
    </w:pPr>
    <w:rPr>
      <w:rFonts w:ascii="Times New Roman" w:hAnsi="Times New Roman" w:cs="Times New Roman"/>
      <w:sz w:val="24"/>
      <w:lang w:val="en-AU"/>
    </w:rPr>
  </w:style>
  <w:style w:type="character" w:customStyle="1" w:styleId="normaltextrun">
    <w:name w:val="normaltextrun"/>
    <w:basedOn w:val="DefaultParagraphFont"/>
    <w:rsid w:val="00AB31FA"/>
  </w:style>
  <w:style w:type="character" w:customStyle="1" w:styleId="BodytextChar0">
    <w:name w:val="Bodytext Char"/>
    <w:basedOn w:val="DefaultParagraphFont"/>
    <w:link w:val="Bodytext0"/>
    <w:locked/>
    <w:rsid w:val="00FE45A1"/>
  </w:style>
  <w:style w:type="paragraph" w:customStyle="1" w:styleId="Bodytext0">
    <w:name w:val="Bodytext"/>
    <w:basedOn w:val="Normal"/>
    <w:link w:val="BodytextChar0"/>
    <w:rsid w:val="00FE45A1"/>
    <w:pPr>
      <w:spacing w:before="0" w:after="160" w:line="252" w:lineRule="auto"/>
    </w:pPr>
    <w:rPr>
      <w:rFonts w:ascii="Times New Roman" w:hAnsi="Times New Roman" w:cs="Times New Roman"/>
      <w:szCs w:val="20"/>
      <w:lang w:val="en-AU"/>
    </w:rPr>
  </w:style>
  <w:style w:type="paragraph" w:customStyle="1" w:styleId="FooterEven">
    <w:name w:val="Footer Even"/>
    <w:basedOn w:val="Footer"/>
    <w:qFormat/>
    <w:rsid w:val="002B42B9"/>
    <w:pPr>
      <w:pBdr>
        <w:top w:val="single" w:sz="4" w:space="10" w:color="auto"/>
      </w:pBdr>
      <w:spacing w:before="0" w:after="0"/>
    </w:pPr>
    <w:rPr>
      <w:rFonts w:ascii="Arial" w:hAnsi="Arial" w:cs="Times New Roman"/>
      <w:bCs/>
      <w:sz w:val="18"/>
      <w:szCs w:val="20"/>
      <w:lang w:val="en-AU"/>
    </w:rPr>
  </w:style>
  <w:style w:type="paragraph" w:customStyle="1" w:styleId="FooterOdd">
    <w:name w:val="Footer Odd"/>
    <w:basedOn w:val="Footer"/>
    <w:qFormat/>
    <w:rsid w:val="002B42B9"/>
    <w:pPr>
      <w:pBdr>
        <w:top w:val="single" w:sz="4" w:space="10" w:color="auto"/>
      </w:pBdr>
      <w:spacing w:before="0" w:after="0"/>
      <w:jc w:val="right"/>
    </w:pPr>
    <w:rPr>
      <w:rFonts w:ascii="Arial" w:hAnsi="Arial" w:cs="Times New Roman"/>
      <w:sz w:val="18"/>
      <w:szCs w:val="20"/>
      <w:lang w:val="x-none"/>
    </w:rPr>
  </w:style>
  <w:style w:type="paragraph" w:customStyle="1" w:styleId="HeaderEven">
    <w:name w:val="Header Even"/>
    <w:basedOn w:val="Normal"/>
    <w:rsid w:val="002B42B9"/>
    <w:pPr>
      <w:spacing w:before="0" w:after="0"/>
    </w:pPr>
    <w:rPr>
      <w:rFonts w:ascii="Arial" w:hAnsi="Arial" w:cs="Times New Roman"/>
      <w:sz w:val="18"/>
      <w:szCs w:val="20"/>
      <w:lang w:val="en-AU"/>
    </w:rPr>
  </w:style>
  <w:style w:type="paragraph" w:customStyle="1" w:styleId="HeaderOdd">
    <w:name w:val="Header Odd"/>
    <w:basedOn w:val="Normal"/>
    <w:rsid w:val="002B42B9"/>
    <w:pPr>
      <w:spacing w:before="0" w:after="0"/>
      <w:jc w:val="right"/>
    </w:pPr>
    <w:rPr>
      <w:rFonts w:ascii="Arial" w:hAnsi="Arial" w:cs="Times New Roman"/>
      <w:sz w:val="18"/>
      <w:szCs w:val="20"/>
      <w:lang w:val="en-AU"/>
    </w:rPr>
  </w:style>
  <w:style w:type="paragraph" w:customStyle="1" w:styleId="font8">
    <w:name w:val="font8"/>
    <w:basedOn w:val="Normal"/>
    <w:rsid w:val="008A7ABF"/>
    <w:pPr>
      <w:spacing w:beforeAutospacing="1" w:afterAutospacing="1"/>
    </w:pPr>
    <w:rPr>
      <w:rFonts w:ascii="Arial" w:hAnsi="Arial"/>
      <w:b/>
      <w:bCs/>
      <w:i/>
      <w:iCs/>
      <w:color w:val="000000"/>
      <w:sz w:val="16"/>
      <w:szCs w:val="16"/>
      <w:lang w:val="en-AU"/>
    </w:rPr>
  </w:style>
  <w:style w:type="paragraph" w:customStyle="1" w:styleId="xl139">
    <w:name w:val="xl139"/>
    <w:basedOn w:val="Normal"/>
    <w:rsid w:val="008A7ABF"/>
    <w:pPr>
      <w:spacing w:beforeAutospacing="1" w:afterAutospacing="1"/>
    </w:pPr>
    <w:rPr>
      <w:rFonts w:ascii="Times New Roman" w:hAnsi="Times New Roman" w:cs="Times New Roman"/>
      <w:sz w:val="24"/>
      <w:lang w:val="en-AU"/>
    </w:rPr>
  </w:style>
  <w:style w:type="paragraph" w:customStyle="1" w:styleId="xl140">
    <w:name w:val="xl140"/>
    <w:basedOn w:val="Normal"/>
    <w:rsid w:val="008A7ABF"/>
    <w:pPr>
      <w:spacing w:beforeAutospacing="1" w:afterAutospacing="1"/>
    </w:pPr>
    <w:rPr>
      <w:rFonts w:ascii="Arial" w:hAnsi="Arial"/>
      <w:b/>
      <w:bCs/>
      <w:sz w:val="16"/>
      <w:szCs w:val="16"/>
      <w:lang w:val="en-AU"/>
    </w:rPr>
  </w:style>
  <w:style w:type="paragraph" w:customStyle="1" w:styleId="xl141">
    <w:name w:val="xl141"/>
    <w:basedOn w:val="Normal"/>
    <w:rsid w:val="008A7ABF"/>
    <w:pPr>
      <w:spacing w:beforeAutospacing="1" w:afterAutospacing="1"/>
      <w:jc w:val="right"/>
    </w:pPr>
    <w:rPr>
      <w:rFonts w:ascii="Arial" w:hAnsi="Arial"/>
      <w:b/>
      <w:bCs/>
      <w:sz w:val="16"/>
      <w:szCs w:val="16"/>
      <w:lang w:val="en-AU"/>
    </w:rPr>
  </w:style>
  <w:style w:type="paragraph" w:customStyle="1" w:styleId="xl142">
    <w:name w:val="xl142"/>
    <w:basedOn w:val="Normal"/>
    <w:rsid w:val="008A7ABF"/>
    <w:pPr>
      <w:spacing w:beforeAutospacing="1" w:afterAutospacing="1"/>
      <w:jc w:val="right"/>
    </w:pPr>
    <w:rPr>
      <w:rFonts w:ascii="Arial" w:hAnsi="Arial"/>
      <w:b/>
      <w:bCs/>
      <w:sz w:val="16"/>
      <w:szCs w:val="16"/>
      <w:lang w:val="en-AU"/>
    </w:rPr>
  </w:style>
  <w:style w:type="paragraph" w:customStyle="1" w:styleId="xl143">
    <w:name w:val="xl143"/>
    <w:basedOn w:val="Normal"/>
    <w:rsid w:val="008A7ABF"/>
    <w:pPr>
      <w:pBdr>
        <w:bottom w:val="single" w:sz="4" w:space="0" w:color="auto"/>
      </w:pBdr>
      <w:spacing w:beforeAutospacing="1" w:afterAutospacing="1"/>
    </w:pPr>
    <w:rPr>
      <w:rFonts w:ascii="Arial" w:hAnsi="Arial"/>
      <w:sz w:val="16"/>
      <w:szCs w:val="16"/>
      <w:lang w:val="en-AU"/>
    </w:rPr>
  </w:style>
  <w:style w:type="paragraph" w:customStyle="1" w:styleId="xl144">
    <w:name w:val="xl144"/>
    <w:basedOn w:val="Normal"/>
    <w:rsid w:val="008A7ABF"/>
    <w:pPr>
      <w:pBdr>
        <w:bottom w:val="single" w:sz="4" w:space="0" w:color="auto"/>
      </w:pBdr>
      <w:spacing w:beforeAutospacing="1" w:afterAutospacing="1"/>
      <w:jc w:val="right"/>
    </w:pPr>
    <w:rPr>
      <w:rFonts w:ascii="Arial" w:hAnsi="Arial"/>
      <w:sz w:val="16"/>
      <w:szCs w:val="16"/>
      <w:lang w:val="en-AU"/>
    </w:rPr>
  </w:style>
  <w:style w:type="paragraph" w:customStyle="1" w:styleId="xl145">
    <w:name w:val="xl145"/>
    <w:basedOn w:val="Normal"/>
    <w:rsid w:val="008A7ABF"/>
    <w:pPr>
      <w:pBdr>
        <w:bottom w:val="single" w:sz="4" w:space="0" w:color="auto"/>
      </w:pBdr>
      <w:spacing w:beforeAutospacing="1" w:afterAutospacing="1"/>
      <w:jc w:val="right"/>
    </w:pPr>
    <w:rPr>
      <w:rFonts w:ascii="Arial" w:hAnsi="Arial"/>
      <w:b/>
      <w:bCs/>
      <w:sz w:val="16"/>
      <w:szCs w:val="16"/>
      <w:lang w:val="en-AU"/>
    </w:rPr>
  </w:style>
  <w:style w:type="paragraph" w:customStyle="1" w:styleId="xl146">
    <w:name w:val="xl146"/>
    <w:basedOn w:val="Normal"/>
    <w:rsid w:val="008A7ABF"/>
    <w:pPr>
      <w:pBdr>
        <w:top w:val="single" w:sz="4" w:space="0" w:color="auto"/>
      </w:pBdr>
      <w:spacing w:beforeAutospacing="1" w:afterAutospacing="1"/>
      <w:textAlignment w:val="center"/>
    </w:pPr>
    <w:rPr>
      <w:rFonts w:ascii="Arial" w:hAnsi="Arial"/>
      <w:b/>
      <w:bCs/>
      <w:sz w:val="16"/>
      <w:szCs w:val="16"/>
      <w:lang w:val="en-AU"/>
    </w:rPr>
  </w:style>
  <w:style w:type="paragraph" w:customStyle="1" w:styleId="xl147">
    <w:name w:val="xl147"/>
    <w:basedOn w:val="Normal"/>
    <w:rsid w:val="008A7ABF"/>
    <w:pPr>
      <w:pBdr>
        <w:bottom w:val="single" w:sz="4" w:space="0" w:color="auto"/>
      </w:pBdr>
      <w:spacing w:beforeAutospacing="1" w:afterAutospacing="1"/>
      <w:ind w:firstLineChars="100" w:firstLine="100"/>
    </w:pPr>
    <w:rPr>
      <w:rFonts w:ascii="Arial" w:hAnsi="Arial"/>
      <w:sz w:val="16"/>
      <w:szCs w:val="16"/>
      <w:lang w:val="en-AU"/>
    </w:rPr>
  </w:style>
  <w:style w:type="paragraph" w:customStyle="1" w:styleId="xl148">
    <w:name w:val="xl148"/>
    <w:basedOn w:val="Normal"/>
    <w:rsid w:val="008A7ABF"/>
    <w:pPr>
      <w:pBdr>
        <w:top w:val="single" w:sz="4" w:space="0" w:color="auto"/>
      </w:pBdr>
      <w:spacing w:beforeAutospacing="1" w:afterAutospacing="1"/>
      <w:textAlignment w:val="center"/>
    </w:pPr>
    <w:rPr>
      <w:rFonts w:ascii="Arial" w:hAnsi="Arial"/>
      <w:b/>
      <w:bCs/>
      <w:sz w:val="16"/>
      <w:szCs w:val="16"/>
      <w:lang w:val="en-AU"/>
    </w:rPr>
  </w:style>
  <w:style w:type="paragraph" w:customStyle="1" w:styleId="xl149">
    <w:name w:val="xl149"/>
    <w:basedOn w:val="Normal"/>
    <w:rsid w:val="008A7ABF"/>
    <w:pPr>
      <w:spacing w:beforeAutospacing="1" w:afterAutospacing="1"/>
      <w:ind w:firstLineChars="100" w:firstLine="100"/>
    </w:pPr>
    <w:rPr>
      <w:rFonts w:ascii="Arial" w:hAnsi="Arial"/>
      <w:sz w:val="16"/>
      <w:szCs w:val="16"/>
      <w:lang w:val="en-AU"/>
    </w:rPr>
  </w:style>
  <w:style w:type="paragraph" w:customStyle="1" w:styleId="xl150">
    <w:name w:val="xl150"/>
    <w:basedOn w:val="Normal"/>
    <w:rsid w:val="008A7ABF"/>
    <w:pPr>
      <w:spacing w:beforeAutospacing="1" w:afterAutospacing="1"/>
      <w:jc w:val="right"/>
    </w:pPr>
    <w:rPr>
      <w:rFonts w:ascii="Arial" w:hAnsi="Arial"/>
      <w:sz w:val="16"/>
      <w:szCs w:val="16"/>
      <w:lang w:val="en-AU"/>
    </w:rPr>
  </w:style>
  <w:style w:type="paragraph" w:customStyle="1" w:styleId="xl151">
    <w:name w:val="xl151"/>
    <w:basedOn w:val="Normal"/>
    <w:rsid w:val="008A7ABF"/>
    <w:pPr>
      <w:spacing w:beforeAutospacing="1" w:afterAutospacing="1"/>
      <w:jc w:val="right"/>
    </w:pPr>
    <w:rPr>
      <w:rFonts w:ascii="Arial" w:hAnsi="Arial"/>
      <w:sz w:val="16"/>
      <w:szCs w:val="16"/>
      <w:lang w:val="en-AU"/>
    </w:rPr>
  </w:style>
  <w:style w:type="paragraph" w:customStyle="1" w:styleId="xl152">
    <w:name w:val="xl152"/>
    <w:basedOn w:val="Normal"/>
    <w:rsid w:val="008A7ABF"/>
    <w:pPr>
      <w:spacing w:beforeAutospacing="1" w:afterAutospacing="1"/>
      <w:jc w:val="right"/>
    </w:pPr>
    <w:rPr>
      <w:rFonts w:ascii="Arial" w:hAnsi="Arial"/>
      <w:sz w:val="16"/>
      <w:szCs w:val="16"/>
      <w:lang w:val="en-AU"/>
    </w:rPr>
  </w:style>
  <w:style w:type="paragraph" w:customStyle="1" w:styleId="xl153">
    <w:name w:val="xl153"/>
    <w:basedOn w:val="Normal"/>
    <w:rsid w:val="008A7ABF"/>
    <w:pPr>
      <w:spacing w:beforeAutospacing="1" w:afterAutospacing="1"/>
      <w:jc w:val="right"/>
    </w:pPr>
    <w:rPr>
      <w:rFonts w:ascii="Arial" w:hAnsi="Arial"/>
      <w:sz w:val="16"/>
      <w:szCs w:val="16"/>
      <w:lang w:val="en-AU"/>
    </w:rPr>
  </w:style>
  <w:style w:type="paragraph" w:customStyle="1" w:styleId="xl154">
    <w:name w:val="xl154"/>
    <w:basedOn w:val="Normal"/>
    <w:rsid w:val="008A7ABF"/>
    <w:pPr>
      <w:pBdr>
        <w:bottom w:val="single" w:sz="4" w:space="0" w:color="auto"/>
      </w:pBdr>
      <w:spacing w:beforeAutospacing="1" w:afterAutospacing="1"/>
    </w:pPr>
    <w:rPr>
      <w:rFonts w:ascii="Arial" w:hAnsi="Arial"/>
      <w:b/>
      <w:bCs/>
      <w:sz w:val="16"/>
      <w:szCs w:val="16"/>
      <w:lang w:val="en-AU"/>
    </w:rPr>
  </w:style>
  <w:style w:type="paragraph" w:customStyle="1" w:styleId="xl155">
    <w:name w:val="xl155"/>
    <w:basedOn w:val="Normal"/>
    <w:rsid w:val="008A7ABF"/>
    <w:pPr>
      <w:pBdr>
        <w:bottom w:val="single" w:sz="4" w:space="0" w:color="auto"/>
      </w:pBdr>
      <w:spacing w:beforeAutospacing="1" w:afterAutospacing="1"/>
      <w:jc w:val="right"/>
    </w:pPr>
    <w:rPr>
      <w:rFonts w:ascii="Arial" w:hAnsi="Arial"/>
      <w:b/>
      <w:bCs/>
      <w:sz w:val="16"/>
      <w:szCs w:val="16"/>
      <w:lang w:val="en-AU"/>
    </w:rPr>
  </w:style>
  <w:style w:type="paragraph" w:customStyle="1" w:styleId="xl156">
    <w:name w:val="xl156"/>
    <w:basedOn w:val="Normal"/>
    <w:rsid w:val="008A7ABF"/>
    <w:pPr>
      <w:spacing w:beforeAutospacing="1" w:afterAutospacing="1"/>
    </w:pPr>
    <w:rPr>
      <w:rFonts w:ascii="Arial" w:hAnsi="Arial"/>
      <w:sz w:val="16"/>
      <w:szCs w:val="16"/>
      <w:lang w:val="en-AU"/>
    </w:rPr>
  </w:style>
  <w:style w:type="paragraph" w:customStyle="1" w:styleId="xl157">
    <w:name w:val="xl157"/>
    <w:basedOn w:val="Normal"/>
    <w:rsid w:val="008A7ABF"/>
    <w:pPr>
      <w:spacing w:beforeAutospacing="1" w:afterAutospacing="1"/>
      <w:jc w:val="right"/>
    </w:pPr>
    <w:rPr>
      <w:rFonts w:ascii="Arial" w:hAnsi="Arial"/>
      <w:sz w:val="16"/>
      <w:szCs w:val="16"/>
      <w:lang w:val="en-AU"/>
    </w:rPr>
  </w:style>
  <w:style w:type="paragraph" w:customStyle="1" w:styleId="xl158">
    <w:name w:val="xl158"/>
    <w:basedOn w:val="Normal"/>
    <w:rsid w:val="008A7ABF"/>
    <w:pPr>
      <w:spacing w:beforeAutospacing="1" w:afterAutospacing="1"/>
      <w:jc w:val="right"/>
    </w:pPr>
    <w:rPr>
      <w:rFonts w:ascii="Arial" w:hAnsi="Arial"/>
      <w:sz w:val="16"/>
      <w:szCs w:val="16"/>
      <w:lang w:val="en-AU"/>
    </w:rPr>
  </w:style>
  <w:style w:type="paragraph" w:customStyle="1" w:styleId="xl159">
    <w:name w:val="xl159"/>
    <w:basedOn w:val="Normal"/>
    <w:rsid w:val="008A7ABF"/>
    <w:pPr>
      <w:pBdr>
        <w:top w:val="single" w:sz="4" w:space="0" w:color="auto"/>
      </w:pBdr>
      <w:spacing w:beforeAutospacing="1" w:afterAutospacing="1"/>
    </w:pPr>
    <w:rPr>
      <w:rFonts w:ascii="Arial" w:hAnsi="Arial"/>
      <w:b/>
      <w:bCs/>
      <w:sz w:val="16"/>
      <w:szCs w:val="16"/>
      <w:lang w:val="en-AU"/>
    </w:rPr>
  </w:style>
  <w:style w:type="paragraph" w:customStyle="1" w:styleId="xl160">
    <w:name w:val="xl160"/>
    <w:basedOn w:val="Normal"/>
    <w:rsid w:val="008A7ABF"/>
    <w:pPr>
      <w:pBdr>
        <w:top w:val="single" w:sz="4" w:space="0" w:color="auto"/>
      </w:pBdr>
      <w:spacing w:beforeAutospacing="1" w:afterAutospacing="1"/>
      <w:jc w:val="right"/>
    </w:pPr>
    <w:rPr>
      <w:rFonts w:ascii="Arial" w:hAnsi="Arial"/>
      <w:b/>
      <w:bCs/>
      <w:sz w:val="16"/>
      <w:szCs w:val="16"/>
      <w:lang w:val="en-AU"/>
    </w:rPr>
  </w:style>
  <w:style w:type="paragraph" w:customStyle="1" w:styleId="xl161">
    <w:name w:val="xl161"/>
    <w:basedOn w:val="Normal"/>
    <w:rsid w:val="008A7ABF"/>
    <w:pPr>
      <w:pBdr>
        <w:top w:val="single" w:sz="4" w:space="0" w:color="auto"/>
      </w:pBdr>
      <w:spacing w:beforeAutospacing="1" w:afterAutospacing="1"/>
      <w:jc w:val="right"/>
    </w:pPr>
    <w:rPr>
      <w:rFonts w:ascii="Arial" w:hAnsi="Arial"/>
      <w:b/>
      <w:bCs/>
      <w:sz w:val="16"/>
      <w:szCs w:val="16"/>
      <w:lang w:val="en-AU"/>
    </w:rPr>
  </w:style>
  <w:style w:type="paragraph" w:customStyle="1" w:styleId="xl162">
    <w:name w:val="xl162"/>
    <w:basedOn w:val="Normal"/>
    <w:rsid w:val="008A7ABF"/>
    <w:pPr>
      <w:pBdr>
        <w:bottom w:val="single" w:sz="4" w:space="0" w:color="auto"/>
      </w:pBdr>
      <w:spacing w:beforeAutospacing="1" w:afterAutospacing="1"/>
      <w:jc w:val="center"/>
    </w:pPr>
    <w:rPr>
      <w:rFonts w:ascii="Arial" w:hAnsi="Arial"/>
      <w:b/>
      <w:bCs/>
      <w:sz w:val="16"/>
      <w:szCs w:val="16"/>
      <w:lang w:val="en-AU"/>
    </w:rPr>
  </w:style>
  <w:style w:type="paragraph" w:customStyle="1" w:styleId="xl163">
    <w:name w:val="xl163"/>
    <w:basedOn w:val="Normal"/>
    <w:rsid w:val="008A7ABF"/>
    <w:pPr>
      <w:pBdr>
        <w:bottom w:val="single" w:sz="4" w:space="0" w:color="auto"/>
      </w:pBdr>
      <w:spacing w:beforeAutospacing="1" w:afterAutospacing="1"/>
      <w:jc w:val="right"/>
    </w:pPr>
    <w:rPr>
      <w:rFonts w:ascii="Arial" w:hAnsi="Arial"/>
      <w:b/>
      <w:bCs/>
      <w:sz w:val="16"/>
      <w:szCs w:val="16"/>
      <w:lang w:val="en-AU"/>
    </w:rPr>
  </w:style>
  <w:style w:type="paragraph" w:customStyle="1" w:styleId="xl164">
    <w:name w:val="xl164"/>
    <w:basedOn w:val="Normal"/>
    <w:rsid w:val="008A7ABF"/>
    <w:pPr>
      <w:pBdr>
        <w:bottom w:val="single" w:sz="4" w:space="0" w:color="auto"/>
      </w:pBdr>
      <w:spacing w:beforeAutospacing="1" w:afterAutospacing="1"/>
    </w:pPr>
    <w:rPr>
      <w:rFonts w:ascii="Arial" w:hAnsi="Arial"/>
      <w:b/>
      <w:bCs/>
      <w:sz w:val="16"/>
      <w:szCs w:val="16"/>
      <w:lang w:val="en-AU"/>
    </w:rPr>
  </w:style>
  <w:style w:type="paragraph" w:customStyle="1" w:styleId="xl165">
    <w:name w:val="xl165"/>
    <w:basedOn w:val="Normal"/>
    <w:rsid w:val="008A7ABF"/>
    <w:pPr>
      <w:pBdr>
        <w:top w:val="single" w:sz="4" w:space="0" w:color="auto"/>
      </w:pBdr>
      <w:spacing w:beforeAutospacing="1" w:afterAutospacing="1"/>
      <w:textAlignment w:val="center"/>
    </w:pPr>
    <w:rPr>
      <w:rFonts w:ascii="Arial" w:hAnsi="Arial"/>
      <w:b/>
      <w:bCs/>
      <w:sz w:val="16"/>
      <w:szCs w:val="16"/>
      <w:lang w:val="en-AU"/>
    </w:rPr>
  </w:style>
  <w:style w:type="paragraph" w:customStyle="1" w:styleId="xl166">
    <w:name w:val="xl166"/>
    <w:basedOn w:val="Normal"/>
    <w:rsid w:val="008A7ABF"/>
    <w:pPr>
      <w:spacing w:beforeAutospacing="1" w:afterAutospacing="1"/>
      <w:ind w:firstLineChars="100" w:firstLine="100"/>
    </w:pPr>
    <w:rPr>
      <w:rFonts w:ascii="Arial" w:hAnsi="Arial"/>
      <w:sz w:val="16"/>
      <w:szCs w:val="16"/>
      <w:lang w:val="en-AU"/>
    </w:rPr>
  </w:style>
  <w:style w:type="paragraph" w:customStyle="1" w:styleId="xl167">
    <w:name w:val="xl167"/>
    <w:basedOn w:val="Normal"/>
    <w:rsid w:val="008A7ABF"/>
    <w:pPr>
      <w:pBdr>
        <w:bottom w:val="single" w:sz="4" w:space="0" w:color="auto"/>
      </w:pBdr>
      <w:spacing w:beforeAutospacing="1" w:afterAutospacing="1"/>
    </w:pPr>
    <w:rPr>
      <w:rFonts w:ascii="Arial" w:hAnsi="Arial"/>
      <w:b/>
      <w:bCs/>
      <w:sz w:val="16"/>
      <w:szCs w:val="16"/>
      <w:lang w:val="en-AU"/>
    </w:rPr>
  </w:style>
  <w:style w:type="paragraph" w:customStyle="1" w:styleId="xl168">
    <w:name w:val="xl168"/>
    <w:basedOn w:val="Normal"/>
    <w:rsid w:val="008A7ABF"/>
    <w:pPr>
      <w:pBdr>
        <w:top w:val="single" w:sz="4" w:space="0" w:color="auto"/>
        <w:bottom w:val="single" w:sz="4" w:space="0" w:color="auto"/>
      </w:pBdr>
      <w:spacing w:beforeAutospacing="1" w:afterAutospacing="1"/>
    </w:pPr>
    <w:rPr>
      <w:rFonts w:ascii="Arial" w:hAnsi="Arial"/>
      <w:b/>
      <w:bCs/>
      <w:sz w:val="16"/>
      <w:szCs w:val="16"/>
      <w:lang w:val="en-AU"/>
    </w:rPr>
  </w:style>
  <w:style w:type="paragraph" w:customStyle="1" w:styleId="xl169">
    <w:name w:val="xl169"/>
    <w:basedOn w:val="Normal"/>
    <w:rsid w:val="008A7ABF"/>
    <w:pPr>
      <w:pBdr>
        <w:top w:val="single" w:sz="4" w:space="0" w:color="auto"/>
        <w:bottom w:val="single" w:sz="4" w:space="0" w:color="auto"/>
      </w:pBdr>
      <w:spacing w:beforeAutospacing="1" w:afterAutospacing="1"/>
      <w:jc w:val="right"/>
    </w:pPr>
    <w:rPr>
      <w:rFonts w:ascii="Arial" w:hAnsi="Arial"/>
      <w:b/>
      <w:bCs/>
      <w:sz w:val="16"/>
      <w:szCs w:val="16"/>
      <w:lang w:val="en-AU"/>
    </w:rPr>
  </w:style>
  <w:style w:type="paragraph" w:customStyle="1" w:styleId="xl170">
    <w:name w:val="xl170"/>
    <w:basedOn w:val="Normal"/>
    <w:rsid w:val="008A7ABF"/>
    <w:pPr>
      <w:pBdr>
        <w:top w:val="single" w:sz="4" w:space="0" w:color="auto"/>
        <w:bottom w:val="single" w:sz="4" w:space="0" w:color="auto"/>
      </w:pBdr>
      <w:spacing w:beforeAutospacing="1" w:afterAutospacing="1"/>
      <w:jc w:val="right"/>
    </w:pPr>
    <w:rPr>
      <w:rFonts w:ascii="Arial" w:hAnsi="Arial"/>
      <w:b/>
      <w:bCs/>
      <w:sz w:val="16"/>
      <w:szCs w:val="16"/>
      <w:lang w:val="en-AU"/>
    </w:rPr>
  </w:style>
  <w:style w:type="paragraph" w:customStyle="1" w:styleId="xl171">
    <w:name w:val="xl171"/>
    <w:basedOn w:val="Normal"/>
    <w:rsid w:val="008A7ABF"/>
    <w:pPr>
      <w:pBdr>
        <w:top w:val="single" w:sz="4" w:space="0" w:color="auto"/>
        <w:bottom w:val="single" w:sz="4" w:space="0" w:color="auto"/>
      </w:pBdr>
      <w:spacing w:beforeAutospacing="1" w:afterAutospacing="1"/>
      <w:jc w:val="right"/>
    </w:pPr>
    <w:rPr>
      <w:rFonts w:ascii="Arial" w:hAnsi="Arial"/>
      <w:b/>
      <w:bCs/>
      <w:sz w:val="16"/>
      <w:szCs w:val="16"/>
      <w:lang w:val="en-AU"/>
    </w:rPr>
  </w:style>
  <w:style w:type="paragraph" w:customStyle="1" w:styleId="xl172">
    <w:name w:val="xl172"/>
    <w:basedOn w:val="Normal"/>
    <w:rsid w:val="008A7ABF"/>
    <w:pPr>
      <w:pBdr>
        <w:top w:val="single" w:sz="4" w:space="0" w:color="auto"/>
        <w:bottom w:val="single" w:sz="4" w:space="0" w:color="auto"/>
      </w:pBdr>
      <w:spacing w:beforeAutospacing="1" w:afterAutospacing="1"/>
      <w:jc w:val="right"/>
    </w:pPr>
    <w:rPr>
      <w:rFonts w:ascii="Arial" w:hAnsi="Arial"/>
      <w:b/>
      <w:bCs/>
      <w:color w:val="000000"/>
      <w:sz w:val="16"/>
      <w:szCs w:val="16"/>
      <w:lang w:val="en-AU"/>
    </w:rPr>
  </w:style>
  <w:style w:type="paragraph" w:customStyle="1" w:styleId="xl173">
    <w:name w:val="xl173"/>
    <w:basedOn w:val="Normal"/>
    <w:rsid w:val="008A7ABF"/>
    <w:pPr>
      <w:pBdr>
        <w:top w:val="single" w:sz="4" w:space="0" w:color="auto"/>
        <w:bottom w:val="single" w:sz="4" w:space="0" w:color="auto"/>
      </w:pBdr>
      <w:spacing w:beforeAutospacing="1" w:afterAutospacing="1"/>
    </w:pPr>
    <w:rPr>
      <w:rFonts w:ascii="Arial" w:hAnsi="Arial"/>
      <w:b/>
      <w:bCs/>
      <w:sz w:val="16"/>
      <w:szCs w:val="16"/>
      <w:lang w:val="en-AU"/>
    </w:rPr>
  </w:style>
  <w:style w:type="paragraph" w:customStyle="1" w:styleId="xl65">
    <w:name w:val="xl65"/>
    <w:basedOn w:val="Normal"/>
    <w:rsid w:val="008A7ABF"/>
    <w:pPr>
      <w:spacing w:beforeAutospacing="1" w:afterAutospacing="1"/>
    </w:pPr>
    <w:rPr>
      <w:rFonts w:ascii="Times New Roman" w:hAnsi="Times New Roman" w:cs="Times New Roman"/>
      <w:sz w:val="24"/>
      <w:lang w:val="en-AU"/>
    </w:rPr>
  </w:style>
  <w:style w:type="paragraph" w:customStyle="1" w:styleId="xl66">
    <w:name w:val="xl66"/>
    <w:basedOn w:val="Normal"/>
    <w:rsid w:val="008A7ABF"/>
    <w:pPr>
      <w:pBdr>
        <w:top w:val="single" w:sz="4" w:space="0" w:color="auto"/>
        <w:bottom w:val="single" w:sz="4" w:space="0" w:color="auto"/>
      </w:pBdr>
      <w:spacing w:beforeAutospacing="1" w:afterAutospacing="1"/>
      <w:jc w:val="right"/>
    </w:pPr>
    <w:rPr>
      <w:rFonts w:ascii="Arial" w:hAnsi="Arial"/>
      <w:b/>
      <w:bCs/>
      <w:sz w:val="16"/>
      <w:szCs w:val="16"/>
      <w:lang w:val="en-AU"/>
    </w:rPr>
  </w:style>
  <w:style w:type="paragraph" w:customStyle="1" w:styleId="xl67">
    <w:name w:val="xl67"/>
    <w:basedOn w:val="Normal"/>
    <w:rsid w:val="008A7ABF"/>
    <w:pPr>
      <w:pBdr>
        <w:top w:val="single" w:sz="4" w:space="0" w:color="auto"/>
        <w:bottom w:val="single" w:sz="4" w:space="0" w:color="auto"/>
      </w:pBdr>
      <w:spacing w:beforeAutospacing="1" w:afterAutospacing="1"/>
      <w:jc w:val="right"/>
    </w:pPr>
    <w:rPr>
      <w:rFonts w:ascii="Arial" w:hAnsi="Arial"/>
      <w:b/>
      <w:bCs/>
      <w:sz w:val="16"/>
      <w:szCs w:val="16"/>
      <w:lang w:val="en-AU"/>
    </w:rPr>
  </w:style>
  <w:style w:type="paragraph" w:customStyle="1" w:styleId="ChartandTableFootnoteAlpha">
    <w:name w:val="Chart and Table Footnote Alpha"/>
    <w:basedOn w:val="Normal"/>
    <w:next w:val="Normal"/>
    <w:rsid w:val="00FB6212"/>
    <w:pPr>
      <w:numPr>
        <w:numId w:val="80"/>
      </w:numPr>
      <w:spacing w:before="30" w:after="0"/>
    </w:pPr>
    <w:rPr>
      <w:rFonts w:ascii="Arial" w:hAnsi="Arial" w:cs="Times New Roman"/>
      <w:color w:val="000000"/>
      <w:sz w:val="16"/>
      <w:szCs w:val="20"/>
      <w:lang w:val="en-AU"/>
    </w:rPr>
  </w:style>
  <w:style w:type="paragraph" w:customStyle="1" w:styleId="ChartGraphic">
    <w:name w:val="Chart Graphic"/>
    <w:basedOn w:val="Normal"/>
    <w:rsid w:val="00FB6212"/>
    <w:pPr>
      <w:keepNext/>
      <w:spacing w:before="0" w:after="0"/>
      <w:jc w:val="center"/>
    </w:pPr>
    <w:rPr>
      <w:rFonts w:ascii="Arial" w:hAnsi="Arial" w:cs="Times New Roman"/>
      <w:szCs w:val="20"/>
      <w:lang w:val="en-AU"/>
    </w:rPr>
  </w:style>
  <w:style w:type="paragraph" w:customStyle="1" w:styleId="GhostLine">
    <w:name w:val="Ghost Line"/>
    <w:basedOn w:val="Normal"/>
    <w:qFormat/>
    <w:rsid w:val="00FB6212"/>
    <w:pPr>
      <w:spacing w:before="0" w:after="0"/>
      <w:jc w:val="both"/>
    </w:pPr>
    <w:rPr>
      <w:rFonts w:cs="Times New Roman"/>
      <w:sz w:val="2"/>
      <w:szCs w:val="20"/>
      <w:lang w:val="en-AU"/>
    </w:rPr>
  </w:style>
  <w:style w:type="table" w:customStyle="1" w:styleId="TableGrid10">
    <w:name w:val="Table Grid1"/>
    <w:basedOn w:val="TableNormal"/>
    <w:next w:val="TableGrid"/>
    <w:rsid w:val="00FB6212"/>
    <w:pPr>
      <w:spacing w:after="240" w:line="260" w:lineRule="exac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36568">
      <w:bodyDiv w:val="1"/>
      <w:marLeft w:val="0"/>
      <w:marRight w:val="0"/>
      <w:marTop w:val="0"/>
      <w:marBottom w:val="0"/>
      <w:divBdr>
        <w:top w:val="none" w:sz="0" w:space="0" w:color="auto"/>
        <w:left w:val="none" w:sz="0" w:space="0" w:color="auto"/>
        <w:bottom w:val="none" w:sz="0" w:space="0" w:color="auto"/>
        <w:right w:val="none" w:sz="0" w:space="0" w:color="auto"/>
      </w:divBdr>
    </w:div>
    <w:div w:id="12928055">
      <w:bodyDiv w:val="1"/>
      <w:marLeft w:val="0"/>
      <w:marRight w:val="0"/>
      <w:marTop w:val="0"/>
      <w:marBottom w:val="0"/>
      <w:divBdr>
        <w:top w:val="none" w:sz="0" w:space="0" w:color="auto"/>
        <w:left w:val="none" w:sz="0" w:space="0" w:color="auto"/>
        <w:bottom w:val="none" w:sz="0" w:space="0" w:color="auto"/>
        <w:right w:val="none" w:sz="0" w:space="0" w:color="auto"/>
      </w:divBdr>
    </w:div>
    <w:div w:id="15280579">
      <w:bodyDiv w:val="1"/>
      <w:marLeft w:val="0"/>
      <w:marRight w:val="0"/>
      <w:marTop w:val="0"/>
      <w:marBottom w:val="0"/>
      <w:divBdr>
        <w:top w:val="none" w:sz="0" w:space="0" w:color="auto"/>
        <w:left w:val="none" w:sz="0" w:space="0" w:color="auto"/>
        <w:bottom w:val="none" w:sz="0" w:space="0" w:color="auto"/>
        <w:right w:val="none" w:sz="0" w:space="0" w:color="auto"/>
      </w:divBdr>
    </w:div>
    <w:div w:id="15547230">
      <w:bodyDiv w:val="1"/>
      <w:marLeft w:val="0"/>
      <w:marRight w:val="0"/>
      <w:marTop w:val="0"/>
      <w:marBottom w:val="0"/>
      <w:divBdr>
        <w:top w:val="none" w:sz="0" w:space="0" w:color="auto"/>
        <w:left w:val="none" w:sz="0" w:space="0" w:color="auto"/>
        <w:bottom w:val="none" w:sz="0" w:space="0" w:color="auto"/>
        <w:right w:val="none" w:sz="0" w:space="0" w:color="auto"/>
      </w:divBdr>
    </w:div>
    <w:div w:id="22020427">
      <w:bodyDiv w:val="1"/>
      <w:marLeft w:val="0"/>
      <w:marRight w:val="0"/>
      <w:marTop w:val="0"/>
      <w:marBottom w:val="0"/>
      <w:divBdr>
        <w:top w:val="none" w:sz="0" w:space="0" w:color="auto"/>
        <w:left w:val="none" w:sz="0" w:space="0" w:color="auto"/>
        <w:bottom w:val="none" w:sz="0" w:space="0" w:color="auto"/>
        <w:right w:val="none" w:sz="0" w:space="0" w:color="auto"/>
      </w:divBdr>
    </w:div>
    <w:div w:id="25982523">
      <w:bodyDiv w:val="1"/>
      <w:marLeft w:val="0"/>
      <w:marRight w:val="0"/>
      <w:marTop w:val="0"/>
      <w:marBottom w:val="0"/>
      <w:divBdr>
        <w:top w:val="none" w:sz="0" w:space="0" w:color="auto"/>
        <w:left w:val="none" w:sz="0" w:space="0" w:color="auto"/>
        <w:bottom w:val="none" w:sz="0" w:space="0" w:color="auto"/>
        <w:right w:val="none" w:sz="0" w:space="0" w:color="auto"/>
      </w:divBdr>
    </w:div>
    <w:div w:id="27607714">
      <w:bodyDiv w:val="1"/>
      <w:marLeft w:val="0"/>
      <w:marRight w:val="0"/>
      <w:marTop w:val="0"/>
      <w:marBottom w:val="0"/>
      <w:divBdr>
        <w:top w:val="none" w:sz="0" w:space="0" w:color="auto"/>
        <w:left w:val="none" w:sz="0" w:space="0" w:color="auto"/>
        <w:bottom w:val="none" w:sz="0" w:space="0" w:color="auto"/>
        <w:right w:val="none" w:sz="0" w:space="0" w:color="auto"/>
      </w:divBdr>
    </w:div>
    <w:div w:id="28728923">
      <w:bodyDiv w:val="1"/>
      <w:marLeft w:val="0"/>
      <w:marRight w:val="0"/>
      <w:marTop w:val="0"/>
      <w:marBottom w:val="0"/>
      <w:divBdr>
        <w:top w:val="none" w:sz="0" w:space="0" w:color="auto"/>
        <w:left w:val="none" w:sz="0" w:space="0" w:color="auto"/>
        <w:bottom w:val="none" w:sz="0" w:space="0" w:color="auto"/>
        <w:right w:val="none" w:sz="0" w:space="0" w:color="auto"/>
      </w:divBdr>
    </w:div>
    <w:div w:id="29650732">
      <w:bodyDiv w:val="1"/>
      <w:marLeft w:val="0"/>
      <w:marRight w:val="0"/>
      <w:marTop w:val="0"/>
      <w:marBottom w:val="0"/>
      <w:divBdr>
        <w:top w:val="none" w:sz="0" w:space="0" w:color="auto"/>
        <w:left w:val="none" w:sz="0" w:space="0" w:color="auto"/>
        <w:bottom w:val="none" w:sz="0" w:space="0" w:color="auto"/>
        <w:right w:val="none" w:sz="0" w:space="0" w:color="auto"/>
      </w:divBdr>
    </w:div>
    <w:div w:id="41565153">
      <w:bodyDiv w:val="1"/>
      <w:marLeft w:val="0"/>
      <w:marRight w:val="0"/>
      <w:marTop w:val="0"/>
      <w:marBottom w:val="0"/>
      <w:divBdr>
        <w:top w:val="none" w:sz="0" w:space="0" w:color="auto"/>
        <w:left w:val="none" w:sz="0" w:space="0" w:color="auto"/>
        <w:bottom w:val="none" w:sz="0" w:space="0" w:color="auto"/>
        <w:right w:val="none" w:sz="0" w:space="0" w:color="auto"/>
      </w:divBdr>
    </w:div>
    <w:div w:id="44720095">
      <w:bodyDiv w:val="1"/>
      <w:marLeft w:val="0"/>
      <w:marRight w:val="0"/>
      <w:marTop w:val="0"/>
      <w:marBottom w:val="0"/>
      <w:divBdr>
        <w:top w:val="none" w:sz="0" w:space="0" w:color="auto"/>
        <w:left w:val="none" w:sz="0" w:space="0" w:color="auto"/>
        <w:bottom w:val="none" w:sz="0" w:space="0" w:color="auto"/>
        <w:right w:val="none" w:sz="0" w:space="0" w:color="auto"/>
      </w:divBdr>
    </w:div>
    <w:div w:id="45182371">
      <w:bodyDiv w:val="1"/>
      <w:marLeft w:val="0"/>
      <w:marRight w:val="0"/>
      <w:marTop w:val="0"/>
      <w:marBottom w:val="0"/>
      <w:divBdr>
        <w:top w:val="none" w:sz="0" w:space="0" w:color="auto"/>
        <w:left w:val="none" w:sz="0" w:space="0" w:color="auto"/>
        <w:bottom w:val="none" w:sz="0" w:space="0" w:color="auto"/>
        <w:right w:val="none" w:sz="0" w:space="0" w:color="auto"/>
      </w:divBdr>
    </w:div>
    <w:div w:id="57677624">
      <w:bodyDiv w:val="1"/>
      <w:marLeft w:val="0"/>
      <w:marRight w:val="0"/>
      <w:marTop w:val="0"/>
      <w:marBottom w:val="0"/>
      <w:divBdr>
        <w:top w:val="none" w:sz="0" w:space="0" w:color="auto"/>
        <w:left w:val="none" w:sz="0" w:space="0" w:color="auto"/>
        <w:bottom w:val="none" w:sz="0" w:space="0" w:color="auto"/>
        <w:right w:val="none" w:sz="0" w:space="0" w:color="auto"/>
      </w:divBdr>
    </w:div>
    <w:div w:id="64426302">
      <w:bodyDiv w:val="1"/>
      <w:marLeft w:val="0"/>
      <w:marRight w:val="0"/>
      <w:marTop w:val="0"/>
      <w:marBottom w:val="0"/>
      <w:divBdr>
        <w:top w:val="none" w:sz="0" w:space="0" w:color="auto"/>
        <w:left w:val="none" w:sz="0" w:space="0" w:color="auto"/>
        <w:bottom w:val="none" w:sz="0" w:space="0" w:color="auto"/>
        <w:right w:val="none" w:sz="0" w:space="0" w:color="auto"/>
      </w:divBdr>
    </w:div>
    <w:div w:id="64766198">
      <w:bodyDiv w:val="1"/>
      <w:marLeft w:val="0"/>
      <w:marRight w:val="0"/>
      <w:marTop w:val="0"/>
      <w:marBottom w:val="0"/>
      <w:divBdr>
        <w:top w:val="none" w:sz="0" w:space="0" w:color="auto"/>
        <w:left w:val="none" w:sz="0" w:space="0" w:color="auto"/>
        <w:bottom w:val="none" w:sz="0" w:space="0" w:color="auto"/>
        <w:right w:val="none" w:sz="0" w:space="0" w:color="auto"/>
      </w:divBdr>
    </w:div>
    <w:div w:id="68771277">
      <w:bodyDiv w:val="1"/>
      <w:marLeft w:val="0"/>
      <w:marRight w:val="0"/>
      <w:marTop w:val="0"/>
      <w:marBottom w:val="0"/>
      <w:divBdr>
        <w:top w:val="none" w:sz="0" w:space="0" w:color="auto"/>
        <w:left w:val="none" w:sz="0" w:space="0" w:color="auto"/>
        <w:bottom w:val="none" w:sz="0" w:space="0" w:color="auto"/>
        <w:right w:val="none" w:sz="0" w:space="0" w:color="auto"/>
      </w:divBdr>
    </w:div>
    <w:div w:id="69812836">
      <w:bodyDiv w:val="1"/>
      <w:marLeft w:val="0"/>
      <w:marRight w:val="0"/>
      <w:marTop w:val="0"/>
      <w:marBottom w:val="0"/>
      <w:divBdr>
        <w:top w:val="none" w:sz="0" w:space="0" w:color="auto"/>
        <w:left w:val="none" w:sz="0" w:space="0" w:color="auto"/>
        <w:bottom w:val="none" w:sz="0" w:space="0" w:color="auto"/>
        <w:right w:val="none" w:sz="0" w:space="0" w:color="auto"/>
      </w:divBdr>
    </w:div>
    <w:div w:id="70002834">
      <w:bodyDiv w:val="1"/>
      <w:marLeft w:val="0"/>
      <w:marRight w:val="0"/>
      <w:marTop w:val="0"/>
      <w:marBottom w:val="0"/>
      <w:divBdr>
        <w:top w:val="none" w:sz="0" w:space="0" w:color="auto"/>
        <w:left w:val="none" w:sz="0" w:space="0" w:color="auto"/>
        <w:bottom w:val="none" w:sz="0" w:space="0" w:color="auto"/>
        <w:right w:val="none" w:sz="0" w:space="0" w:color="auto"/>
      </w:divBdr>
    </w:div>
    <w:div w:id="80957983">
      <w:bodyDiv w:val="1"/>
      <w:marLeft w:val="0"/>
      <w:marRight w:val="0"/>
      <w:marTop w:val="0"/>
      <w:marBottom w:val="0"/>
      <w:divBdr>
        <w:top w:val="none" w:sz="0" w:space="0" w:color="auto"/>
        <w:left w:val="none" w:sz="0" w:space="0" w:color="auto"/>
        <w:bottom w:val="none" w:sz="0" w:space="0" w:color="auto"/>
        <w:right w:val="none" w:sz="0" w:space="0" w:color="auto"/>
      </w:divBdr>
    </w:div>
    <w:div w:id="81951825">
      <w:bodyDiv w:val="1"/>
      <w:marLeft w:val="0"/>
      <w:marRight w:val="0"/>
      <w:marTop w:val="0"/>
      <w:marBottom w:val="0"/>
      <w:divBdr>
        <w:top w:val="none" w:sz="0" w:space="0" w:color="auto"/>
        <w:left w:val="none" w:sz="0" w:space="0" w:color="auto"/>
        <w:bottom w:val="none" w:sz="0" w:space="0" w:color="auto"/>
        <w:right w:val="none" w:sz="0" w:space="0" w:color="auto"/>
      </w:divBdr>
    </w:div>
    <w:div w:id="85614008">
      <w:bodyDiv w:val="1"/>
      <w:marLeft w:val="0"/>
      <w:marRight w:val="0"/>
      <w:marTop w:val="0"/>
      <w:marBottom w:val="0"/>
      <w:divBdr>
        <w:top w:val="none" w:sz="0" w:space="0" w:color="auto"/>
        <w:left w:val="none" w:sz="0" w:space="0" w:color="auto"/>
        <w:bottom w:val="none" w:sz="0" w:space="0" w:color="auto"/>
        <w:right w:val="none" w:sz="0" w:space="0" w:color="auto"/>
      </w:divBdr>
      <w:divsChild>
        <w:div w:id="2020542485">
          <w:marLeft w:val="0"/>
          <w:marRight w:val="0"/>
          <w:marTop w:val="0"/>
          <w:marBottom w:val="0"/>
          <w:divBdr>
            <w:top w:val="none" w:sz="0" w:space="0" w:color="auto"/>
            <w:left w:val="none" w:sz="0" w:space="0" w:color="auto"/>
            <w:bottom w:val="none" w:sz="0" w:space="0" w:color="auto"/>
            <w:right w:val="none" w:sz="0" w:space="0" w:color="auto"/>
          </w:divBdr>
        </w:div>
      </w:divsChild>
    </w:div>
    <w:div w:id="92826314">
      <w:bodyDiv w:val="1"/>
      <w:marLeft w:val="0"/>
      <w:marRight w:val="0"/>
      <w:marTop w:val="0"/>
      <w:marBottom w:val="0"/>
      <w:divBdr>
        <w:top w:val="none" w:sz="0" w:space="0" w:color="auto"/>
        <w:left w:val="none" w:sz="0" w:space="0" w:color="auto"/>
        <w:bottom w:val="none" w:sz="0" w:space="0" w:color="auto"/>
        <w:right w:val="none" w:sz="0" w:space="0" w:color="auto"/>
      </w:divBdr>
    </w:div>
    <w:div w:id="103890815">
      <w:bodyDiv w:val="1"/>
      <w:marLeft w:val="0"/>
      <w:marRight w:val="0"/>
      <w:marTop w:val="0"/>
      <w:marBottom w:val="0"/>
      <w:divBdr>
        <w:top w:val="none" w:sz="0" w:space="0" w:color="auto"/>
        <w:left w:val="none" w:sz="0" w:space="0" w:color="auto"/>
        <w:bottom w:val="none" w:sz="0" w:space="0" w:color="auto"/>
        <w:right w:val="none" w:sz="0" w:space="0" w:color="auto"/>
      </w:divBdr>
    </w:div>
    <w:div w:id="116484782">
      <w:bodyDiv w:val="1"/>
      <w:marLeft w:val="0"/>
      <w:marRight w:val="0"/>
      <w:marTop w:val="0"/>
      <w:marBottom w:val="0"/>
      <w:divBdr>
        <w:top w:val="none" w:sz="0" w:space="0" w:color="auto"/>
        <w:left w:val="none" w:sz="0" w:space="0" w:color="auto"/>
        <w:bottom w:val="none" w:sz="0" w:space="0" w:color="auto"/>
        <w:right w:val="none" w:sz="0" w:space="0" w:color="auto"/>
      </w:divBdr>
    </w:div>
    <w:div w:id="122384770">
      <w:bodyDiv w:val="1"/>
      <w:marLeft w:val="0"/>
      <w:marRight w:val="0"/>
      <w:marTop w:val="0"/>
      <w:marBottom w:val="0"/>
      <w:divBdr>
        <w:top w:val="none" w:sz="0" w:space="0" w:color="auto"/>
        <w:left w:val="none" w:sz="0" w:space="0" w:color="auto"/>
        <w:bottom w:val="none" w:sz="0" w:space="0" w:color="auto"/>
        <w:right w:val="none" w:sz="0" w:space="0" w:color="auto"/>
      </w:divBdr>
    </w:div>
    <w:div w:id="126777948">
      <w:bodyDiv w:val="1"/>
      <w:marLeft w:val="0"/>
      <w:marRight w:val="0"/>
      <w:marTop w:val="0"/>
      <w:marBottom w:val="0"/>
      <w:divBdr>
        <w:top w:val="none" w:sz="0" w:space="0" w:color="auto"/>
        <w:left w:val="none" w:sz="0" w:space="0" w:color="auto"/>
        <w:bottom w:val="none" w:sz="0" w:space="0" w:color="auto"/>
        <w:right w:val="none" w:sz="0" w:space="0" w:color="auto"/>
      </w:divBdr>
    </w:div>
    <w:div w:id="127405504">
      <w:bodyDiv w:val="1"/>
      <w:marLeft w:val="0"/>
      <w:marRight w:val="0"/>
      <w:marTop w:val="0"/>
      <w:marBottom w:val="0"/>
      <w:divBdr>
        <w:top w:val="none" w:sz="0" w:space="0" w:color="auto"/>
        <w:left w:val="none" w:sz="0" w:space="0" w:color="auto"/>
        <w:bottom w:val="none" w:sz="0" w:space="0" w:color="auto"/>
        <w:right w:val="none" w:sz="0" w:space="0" w:color="auto"/>
      </w:divBdr>
      <w:divsChild>
        <w:div w:id="1678771254">
          <w:marLeft w:val="0"/>
          <w:marRight w:val="0"/>
          <w:marTop w:val="0"/>
          <w:marBottom w:val="0"/>
          <w:divBdr>
            <w:top w:val="none" w:sz="0" w:space="0" w:color="auto"/>
            <w:left w:val="none" w:sz="0" w:space="0" w:color="auto"/>
            <w:bottom w:val="none" w:sz="0" w:space="0" w:color="auto"/>
            <w:right w:val="none" w:sz="0" w:space="0" w:color="auto"/>
          </w:divBdr>
        </w:div>
      </w:divsChild>
    </w:div>
    <w:div w:id="131409358">
      <w:bodyDiv w:val="1"/>
      <w:marLeft w:val="0"/>
      <w:marRight w:val="0"/>
      <w:marTop w:val="0"/>
      <w:marBottom w:val="0"/>
      <w:divBdr>
        <w:top w:val="none" w:sz="0" w:space="0" w:color="auto"/>
        <w:left w:val="none" w:sz="0" w:space="0" w:color="auto"/>
        <w:bottom w:val="none" w:sz="0" w:space="0" w:color="auto"/>
        <w:right w:val="none" w:sz="0" w:space="0" w:color="auto"/>
      </w:divBdr>
    </w:div>
    <w:div w:id="140079998">
      <w:bodyDiv w:val="1"/>
      <w:marLeft w:val="0"/>
      <w:marRight w:val="0"/>
      <w:marTop w:val="0"/>
      <w:marBottom w:val="0"/>
      <w:divBdr>
        <w:top w:val="none" w:sz="0" w:space="0" w:color="auto"/>
        <w:left w:val="none" w:sz="0" w:space="0" w:color="auto"/>
        <w:bottom w:val="none" w:sz="0" w:space="0" w:color="auto"/>
        <w:right w:val="none" w:sz="0" w:space="0" w:color="auto"/>
      </w:divBdr>
    </w:div>
    <w:div w:id="146166192">
      <w:bodyDiv w:val="1"/>
      <w:marLeft w:val="0"/>
      <w:marRight w:val="0"/>
      <w:marTop w:val="0"/>
      <w:marBottom w:val="0"/>
      <w:divBdr>
        <w:top w:val="none" w:sz="0" w:space="0" w:color="auto"/>
        <w:left w:val="none" w:sz="0" w:space="0" w:color="auto"/>
        <w:bottom w:val="none" w:sz="0" w:space="0" w:color="auto"/>
        <w:right w:val="none" w:sz="0" w:space="0" w:color="auto"/>
      </w:divBdr>
    </w:div>
    <w:div w:id="150103958">
      <w:bodyDiv w:val="1"/>
      <w:marLeft w:val="0"/>
      <w:marRight w:val="0"/>
      <w:marTop w:val="0"/>
      <w:marBottom w:val="0"/>
      <w:divBdr>
        <w:top w:val="none" w:sz="0" w:space="0" w:color="auto"/>
        <w:left w:val="none" w:sz="0" w:space="0" w:color="auto"/>
        <w:bottom w:val="none" w:sz="0" w:space="0" w:color="auto"/>
        <w:right w:val="none" w:sz="0" w:space="0" w:color="auto"/>
      </w:divBdr>
    </w:div>
    <w:div w:id="150951430">
      <w:bodyDiv w:val="1"/>
      <w:marLeft w:val="0"/>
      <w:marRight w:val="0"/>
      <w:marTop w:val="0"/>
      <w:marBottom w:val="0"/>
      <w:divBdr>
        <w:top w:val="none" w:sz="0" w:space="0" w:color="auto"/>
        <w:left w:val="none" w:sz="0" w:space="0" w:color="auto"/>
        <w:bottom w:val="none" w:sz="0" w:space="0" w:color="auto"/>
        <w:right w:val="none" w:sz="0" w:space="0" w:color="auto"/>
      </w:divBdr>
    </w:div>
    <w:div w:id="154146807">
      <w:bodyDiv w:val="1"/>
      <w:marLeft w:val="0"/>
      <w:marRight w:val="0"/>
      <w:marTop w:val="0"/>
      <w:marBottom w:val="0"/>
      <w:divBdr>
        <w:top w:val="none" w:sz="0" w:space="0" w:color="auto"/>
        <w:left w:val="none" w:sz="0" w:space="0" w:color="auto"/>
        <w:bottom w:val="none" w:sz="0" w:space="0" w:color="auto"/>
        <w:right w:val="none" w:sz="0" w:space="0" w:color="auto"/>
      </w:divBdr>
    </w:div>
    <w:div w:id="156727832">
      <w:bodyDiv w:val="1"/>
      <w:marLeft w:val="0"/>
      <w:marRight w:val="0"/>
      <w:marTop w:val="0"/>
      <w:marBottom w:val="0"/>
      <w:divBdr>
        <w:top w:val="none" w:sz="0" w:space="0" w:color="auto"/>
        <w:left w:val="none" w:sz="0" w:space="0" w:color="auto"/>
        <w:bottom w:val="none" w:sz="0" w:space="0" w:color="auto"/>
        <w:right w:val="none" w:sz="0" w:space="0" w:color="auto"/>
      </w:divBdr>
    </w:div>
    <w:div w:id="158273939">
      <w:bodyDiv w:val="1"/>
      <w:marLeft w:val="0"/>
      <w:marRight w:val="0"/>
      <w:marTop w:val="0"/>
      <w:marBottom w:val="0"/>
      <w:divBdr>
        <w:top w:val="none" w:sz="0" w:space="0" w:color="auto"/>
        <w:left w:val="none" w:sz="0" w:space="0" w:color="auto"/>
        <w:bottom w:val="none" w:sz="0" w:space="0" w:color="auto"/>
        <w:right w:val="none" w:sz="0" w:space="0" w:color="auto"/>
      </w:divBdr>
    </w:div>
    <w:div w:id="160700182">
      <w:bodyDiv w:val="1"/>
      <w:marLeft w:val="0"/>
      <w:marRight w:val="0"/>
      <w:marTop w:val="0"/>
      <w:marBottom w:val="0"/>
      <w:divBdr>
        <w:top w:val="none" w:sz="0" w:space="0" w:color="auto"/>
        <w:left w:val="none" w:sz="0" w:space="0" w:color="auto"/>
        <w:bottom w:val="none" w:sz="0" w:space="0" w:color="auto"/>
        <w:right w:val="none" w:sz="0" w:space="0" w:color="auto"/>
      </w:divBdr>
      <w:divsChild>
        <w:div w:id="1475298963">
          <w:marLeft w:val="0"/>
          <w:marRight w:val="0"/>
          <w:marTop w:val="0"/>
          <w:marBottom w:val="0"/>
          <w:divBdr>
            <w:top w:val="none" w:sz="0" w:space="0" w:color="auto"/>
            <w:left w:val="none" w:sz="0" w:space="0" w:color="auto"/>
            <w:bottom w:val="none" w:sz="0" w:space="0" w:color="auto"/>
            <w:right w:val="none" w:sz="0" w:space="0" w:color="auto"/>
          </w:divBdr>
        </w:div>
      </w:divsChild>
    </w:div>
    <w:div w:id="162404562">
      <w:bodyDiv w:val="1"/>
      <w:marLeft w:val="0"/>
      <w:marRight w:val="0"/>
      <w:marTop w:val="0"/>
      <w:marBottom w:val="0"/>
      <w:divBdr>
        <w:top w:val="none" w:sz="0" w:space="0" w:color="auto"/>
        <w:left w:val="none" w:sz="0" w:space="0" w:color="auto"/>
        <w:bottom w:val="none" w:sz="0" w:space="0" w:color="auto"/>
        <w:right w:val="none" w:sz="0" w:space="0" w:color="auto"/>
      </w:divBdr>
    </w:div>
    <w:div w:id="163055984">
      <w:bodyDiv w:val="1"/>
      <w:marLeft w:val="0"/>
      <w:marRight w:val="0"/>
      <w:marTop w:val="0"/>
      <w:marBottom w:val="0"/>
      <w:divBdr>
        <w:top w:val="none" w:sz="0" w:space="0" w:color="auto"/>
        <w:left w:val="none" w:sz="0" w:space="0" w:color="auto"/>
        <w:bottom w:val="none" w:sz="0" w:space="0" w:color="auto"/>
        <w:right w:val="none" w:sz="0" w:space="0" w:color="auto"/>
      </w:divBdr>
    </w:div>
    <w:div w:id="166215636">
      <w:bodyDiv w:val="1"/>
      <w:marLeft w:val="0"/>
      <w:marRight w:val="0"/>
      <w:marTop w:val="0"/>
      <w:marBottom w:val="0"/>
      <w:divBdr>
        <w:top w:val="none" w:sz="0" w:space="0" w:color="auto"/>
        <w:left w:val="none" w:sz="0" w:space="0" w:color="auto"/>
        <w:bottom w:val="none" w:sz="0" w:space="0" w:color="auto"/>
        <w:right w:val="none" w:sz="0" w:space="0" w:color="auto"/>
      </w:divBdr>
    </w:div>
    <w:div w:id="166872612">
      <w:bodyDiv w:val="1"/>
      <w:marLeft w:val="0"/>
      <w:marRight w:val="0"/>
      <w:marTop w:val="0"/>
      <w:marBottom w:val="0"/>
      <w:divBdr>
        <w:top w:val="none" w:sz="0" w:space="0" w:color="auto"/>
        <w:left w:val="none" w:sz="0" w:space="0" w:color="auto"/>
        <w:bottom w:val="none" w:sz="0" w:space="0" w:color="auto"/>
        <w:right w:val="none" w:sz="0" w:space="0" w:color="auto"/>
      </w:divBdr>
    </w:div>
    <w:div w:id="167066199">
      <w:bodyDiv w:val="1"/>
      <w:marLeft w:val="0"/>
      <w:marRight w:val="0"/>
      <w:marTop w:val="0"/>
      <w:marBottom w:val="0"/>
      <w:divBdr>
        <w:top w:val="none" w:sz="0" w:space="0" w:color="auto"/>
        <w:left w:val="none" w:sz="0" w:space="0" w:color="auto"/>
        <w:bottom w:val="none" w:sz="0" w:space="0" w:color="auto"/>
        <w:right w:val="none" w:sz="0" w:space="0" w:color="auto"/>
      </w:divBdr>
      <w:divsChild>
        <w:div w:id="1748727359">
          <w:marLeft w:val="0"/>
          <w:marRight w:val="0"/>
          <w:marTop w:val="0"/>
          <w:marBottom w:val="0"/>
          <w:divBdr>
            <w:top w:val="none" w:sz="0" w:space="0" w:color="auto"/>
            <w:left w:val="none" w:sz="0" w:space="0" w:color="auto"/>
            <w:bottom w:val="none" w:sz="0" w:space="0" w:color="auto"/>
            <w:right w:val="none" w:sz="0" w:space="0" w:color="auto"/>
          </w:divBdr>
        </w:div>
      </w:divsChild>
    </w:div>
    <w:div w:id="180703682">
      <w:bodyDiv w:val="1"/>
      <w:marLeft w:val="0"/>
      <w:marRight w:val="0"/>
      <w:marTop w:val="0"/>
      <w:marBottom w:val="0"/>
      <w:divBdr>
        <w:top w:val="none" w:sz="0" w:space="0" w:color="auto"/>
        <w:left w:val="none" w:sz="0" w:space="0" w:color="auto"/>
        <w:bottom w:val="none" w:sz="0" w:space="0" w:color="auto"/>
        <w:right w:val="none" w:sz="0" w:space="0" w:color="auto"/>
      </w:divBdr>
    </w:div>
    <w:div w:id="195702956">
      <w:bodyDiv w:val="1"/>
      <w:marLeft w:val="0"/>
      <w:marRight w:val="0"/>
      <w:marTop w:val="0"/>
      <w:marBottom w:val="0"/>
      <w:divBdr>
        <w:top w:val="none" w:sz="0" w:space="0" w:color="auto"/>
        <w:left w:val="none" w:sz="0" w:space="0" w:color="auto"/>
        <w:bottom w:val="none" w:sz="0" w:space="0" w:color="auto"/>
        <w:right w:val="none" w:sz="0" w:space="0" w:color="auto"/>
      </w:divBdr>
    </w:div>
    <w:div w:id="208613913">
      <w:bodyDiv w:val="1"/>
      <w:marLeft w:val="0"/>
      <w:marRight w:val="0"/>
      <w:marTop w:val="0"/>
      <w:marBottom w:val="0"/>
      <w:divBdr>
        <w:top w:val="none" w:sz="0" w:space="0" w:color="auto"/>
        <w:left w:val="none" w:sz="0" w:space="0" w:color="auto"/>
        <w:bottom w:val="none" w:sz="0" w:space="0" w:color="auto"/>
        <w:right w:val="none" w:sz="0" w:space="0" w:color="auto"/>
      </w:divBdr>
    </w:div>
    <w:div w:id="210119644">
      <w:bodyDiv w:val="1"/>
      <w:marLeft w:val="0"/>
      <w:marRight w:val="0"/>
      <w:marTop w:val="0"/>
      <w:marBottom w:val="0"/>
      <w:divBdr>
        <w:top w:val="none" w:sz="0" w:space="0" w:color="auto"/>
        <w:left w:val="none" w:sz="0" w:space="0" w:color="auto"/>
        <w:bottom w:val="none" w:sz="0" w:space="0" w:color="auto"/>
        <w:right w:val="none" w:sz="0" w:space="0" w:color="auto"/>
      </w:divBdr>
    </w:div>
    <w:div w:id="231429102">
      <w:bodyDiv w:val="1"/>
      <w:marLeft w:val="0"/>
      <w:marRight w:val="0"/>
      <w:marTop w:val="0"/>
      <w:marBottom w:val="0"/>
      <w:divBdr>
        <w:top w:val="none" w:sz="0" w:space="0" w:color="auto"/>
        <w:left w:val="none" w:sz="0" w:space="0" w:color="auto"/>
        <w:bottom w:val="none" w:sz="0" w:space="0" w:color="auto"/>
        <w:right w:val="none" w:sz="0" w:space="0" w:color="auto"/>
      </w:divBdr>
    </w:div>
    <w:div w:id="231548555">
      <w:bodyDiv w:val="1"/>
      <w:marLeft w:val="0"/>
      <w:marRight w:val="0"/>
      <w:marTop w:val="0"/>
      <w:marBottom w:val="0"/>
      <w:divBdr>
        <w:top w:val="none" w:sz="0" w:space="0" w:color="auto"/>
        <w:left w:val="none" w:sz="0" w:space="0" w:color="auto"/>
        <w:bottom w:val="none" w:sz="0" w:space="0" w:color="auto"/>
        <w:right w:val="none" w:sz="0" w:space="0" w:color="auto"/>
      </w:divBdr>
    </w:div>
    <w:div w:id="239099654">
      <w:bodyDiv w:val="1"/>
      <w:marLeft w:val="0"/>
      <w:marRight w:val="0"/>
      <w:marTop w:val="0"/>
      <w:marBottom w:val="0"/>
      <w:divBdr>
        <w:top w:val="none" w:sz="0" w:space="0" w:color="auto"/>
        <w:left w:val="none" w:sz="0" w:space="0" w:color="auto"/>
        <w:bottom w:val="none" w:sz="0" w:space="0" w:color="auto"/>
        <w:right w:val="none" w:sz="0" w:space="0" w:color="auto"/>
      </w:divBdr>
    </w:div>
    <w:div w:id="242615024">
      <w:bodyDiv w:val="1"/>
      <w:marLeft w:val="0"/>
      <w:marRight w:val="0"/>
      <w:marTop w:val="0"/>
      <w:marBottom w:val="0"/>
      <w:divBdr>
        <w:top w:val="none" w:sz="0" w:space="0" w:color="auto"/>
        <w:left w:val="none" w:sz="0" w:space="0" w:color="auto"/>
        <w:bottom w:val="none" w:sz="0" w:space="0" w:color="auto"/>
        <w:right w:val="none" w:sz="0" w:space="0" w:color="auto"/>
      </w:divBdr>
    </w:div>
    <w:div w:id="246233985">
      <w:bodyDiv w:val="1"/>
      <w:marLeft w:val="0"/>
      <w:marRight w:val="0"/>
      <w:marTop w:val="0"/>
      <w:marBottom w:val="0"/>
      <w:divBdr>
        <w:top w:val="none" w:sz="0" w:space="0" w:color="auto"/>
        <w:left w:val="none" w:sz="0" w:space="0" w:color="auto"/>
        <w:bottom w:val="none" w:sz="0" w:space="0" w:color="auto"/>
        <w:right w:val="none" w:sz="0" w:space="0" w:color="auto"/>
      </w:divBdr>
    </w:div>
    <w:div w:id="249461437">
      <w:bodyDiv w:val="1"/>
      <w:marLeft w:val="0"/>
      <w:marRight w:val="0"/>
      <w:marTop w:val="0"/>
      <w:marBottom w:val="0"/>
      <w:divBdr>
        <w:top w:val="none" w:sz="0" w:space="0" w:color="auto"/>
        <w:left w:val="none" w:sz="0" w:space="0" w:color="auto"/>
        <w:bottom w:val="none" w:sz="0" w:space="0" w:color="auto"/>
        <w:right w:val="none" w:sz="0" w:space="0" w:color="auto"/>
      </w:divBdr>
    </w:div>
    <w:div w:id="251090832">
      <w:bodyDiv w:val="1"/>
      <w:marLeft w:val="0"/>
      <w:marRight w:val="0"/>
      <w:marTop w:val="0"/>
      <w:marBottom w:val="0"/>
      <w:divBdr>
        <w:top w:val="none" w:sz="0" w:space="0" w:color="auto"/>
        <w:left w:val="none" w:sz="0" w:space="0" w:color="auto"/>
        <w:bottom w:val="none" w:sz="0" w:space="0" w:color="auto"/>
        <w:right w:val="none" w:sz="0" w:space="0" w:color="auto"/>
      </w:divBdr>
    </w:div>
    <w:div w:id="263614300">
      <w:bodyDiv w:val="1"/>
      <w:marLeft w:val="0"/>
      <w:marRight w:val="0"/>
      <w:marTop w:val="0"/>
      <w:marBottom w:val="0"/>
      <w:divBdr>
        <w:top w:val="none" w:sz="0" w:space="0" w:color="auto"/>
        <w:left w:val="none" w:sz="0" w:space="0" w:color="auto"/>
        <w:bottom w:val="none" w:sz="0" w:space="0" w:color="auto"/>
        <w:right w:val="none" w:sz="0" w:space="0" w:color="auto"/>
      </w:divBdr>
    </w:div>
    <w:div w:id="266084963">
      <w:bodyDiv w:val="1"/>
      <w:marLeft w:val="0"/>
      <w:marRight w:val="0"/>
      <w:marTop w:val="0"/>
      <w:marBottom w:val="0"/>
      <w:divBdr>
        <w:top w:val="none" w:sz="0" w:space="0" w:color="auto"/>
        <w:left w:val="none" w:sz="0" w:space="0" w:color="auto"/>
        <w:bottom w:val="none" w:sz="0" w:space="0" w:color="auto"/>
        <w:right w:val="none" w:sz="0" w:space="0" w:color="auto"/>
      </w:divBdr>
    </w:div>
    <w:div w:id="272323285">
      <w:bodyDiv w:val="1"/>
      <w:marLeft w:val="0"/>
      <w:marRight w:val="0"/>
      <w:marTop w:val="0"/>
      <w:marBottom w:val="0"/>
      <w:divBdr>
        <w:top w:val="none" w:sz="0" w:space="0" w:color="auto"/>
        <w:left w:val="none" w:sz="0" w:space="0" w:color="auto"/>
        <w:bottom w:val="none" w:sz="0" w:space="0" w:color="auto"/>
        <w:right w:val="none" w:sz="0" w:space="0" w:color="auto"/>
      </w:divBdr>
    </w:div>
    <w:div w:id="274681167">
      <w:bodyDiv w:val="1"/>
      <w:marLeft w:val="0"/>
      <w:marRight w:val="0"/>
      <w:marTop w:val="0"/>
      <w:marBottom w:val="0"/>
      <w:divBdr>
        <w:top w:val="none" w:sz="0" w:space="0" w:color="auto"/>
        <w:left w:val="none" w:sz="0" w:space="0" w:color="auto"/>
        <w:bottom w:val="none" w:sz="0" w:space="0" w:color="auto"/>
        <w:right w:val="none" w:sz="0" w:space="0" w:color="auto"/>
      </w:divBdr>
      <w:divsChild>
        <w:div w:id="971791534">
          <w:marLeft w:val="0"/>
          <w:marRight w:val="0"/>
          <w:marTop w:val="0"/>
          <w:marBottom w:val="0"/>
          <w:divBdr>
            <w:top w:val="none" w:sz="0" w:space="0" w:color="auto"/>
            <w:left w:val="none" w:sz="0" w:space="0" w:color="auto"/>
            <w:bottom w:val="none" w:sz="0" w:space="0" w:color="auto"/>
            <w:right w:val="none" w:sz="0" w:space="0" w:color="auto"/>
          </w:divBdr>
        </w:div>
      </w:divsChild>
    </w:div>
    <w:div w:id="285165011">
      <w:bodyDiv w:val="1"/>
      <w:marLeft w:val="0"/>
      <w:marRight w:val="0"/>
      <w:marTop w:val="0"/>
      <w:marBottom w:val="0"/>
      <w:divBdr>
        <w:top w:val="none" w:sz="0" w:space="0" w:color="auto"/>
        <w:left w:val="none" w:sz="0" w:space="0" w:color="auto"/>
        <w:bottom w:val="none" w:sz="0" w:space="0" w:color="auto"/>
        <w:right w:val="none" w:sz="0" w:space="0" w:color="auto"/>
      </w:divBdr>
    </w:div>
    <w:div w:id="295456045">
      <w:bodyDiv w:val="1"/>
      <w:marLeft w:val="0"/>
      <w:marRight w:val="0"/>
      <w:marTop w:val="0"/>
      <w:marBottom w:val="0"/>
      <w:divBdr>
        <w:top w:val="none" w:sz="0" w:space="0" w:color="auto"/>
        <w:left w:val="none" w:sz="0" w:space="0" w:color="auto"/>
        <w:bottom w:val="none" w:sz="0" w:space="0" w:color="auto"/>
        <w:right w:val="none" w:sz="0" w:space="0" w:color="auto"/>
      </w:divBdr>
    </w:div>
    <w:div w:id="301471220">
      <w:bodyDiv w:val="1"/>
      <w:marLeft w:val="0"/>
      <w:marRight w:val="0"/>
      <w:marTop w:val="0"/>
      <w:marBottom w:val="0"/>
      <w:divBdr>
        <w:top w:val="none" w:sz="0" w:space="0" w:color="auto"/>
        <w:left w:val="none" w:sz="0" w:space="0" w:color="auto"/>
        <w:bottom w:val="none" w:sz="0" w:space="0" w:color="auto"/>
        <w:right w:val="none" w:sz="0" w:space="0" w:color="auto"/>
      </w:divBdr>
    </w:div>
    <w:div w:id="304966856">
      <w:bodyDiv w:val="1"/>
      <w:marLeft w:val="0"/>
      <w:marRight w:val="0"/>
      <w:marTop w:val="0"/>
      <w:marBottom w:val="0"/>
      <w:divBdr>
        <w:top w:val="none" w:sz="0" w:space="0" w:color="auto"/>
        <w:left w:val="none" w:sz="0" w:space="0" w:color="auto"/>
        <w:bottom w:val="none" w:sz="0" w:space="0" w:color="auto"/>
        <w:right w:val="none" w:sz="0" w:space="0" w:color="auto"/>
      </w:divBdr>
    </w:div>
    <w:div w:id="311175380">
      <w:bodyDiv w:val="1"/>
      <w:marLeft w:val="0"/>
      <w:marRight w:val="0"/>
      <w:marTop w:val="0"/>
      <w:marBottom w:val="0"/>
      <w:divBdr>
        <w:top w:val="none" w:sz="0" w:space="0" w:color="auto"/>
        <w:left w:val="none" w:sz="0" w:space="0" w:color="auto"/>
        <w:bottom w:val="none" w:sz="0" w:space="0" w:color="auto"/>
        <w:right w:val="none" w:sz="0" w:space="0" w:color="auto"/>
      </w:divBdr>
    </w:div>
    <w:div w:id="312418741">
      <w:bodyDiv w:val="1"/>
      <w:marLeft w:val="0"/>
      <w:marRight w:val="0"/>
      <w:marTop w:val="0"/>
      <w:marBottom w:val="0"/>
      <w:divBdr>
        <w:top w:val="none" w:sz="0" w:space="0" w:color="auto"/>
        <w:left w:val="none" w:sz="0" w:space="0" w:color="auto"/>
        <w:bottom w:val="none" w:sz="0" w:space="0" w:color="auto"/>
        <w:right w:val="none" w:sz="0" w:space="0" w:color="auto"/>
      </w:divBdr>
    </w:div>
    <w:div w:id="313872304">
      <w:bodyDiv w:val="1"/>
      <w:marLeft w:val="0"/>
      <w:marRight w:val="0"/>
      <w:marTop w:val="0"/>
      <w:marBottom w:val="0"/>
      <w:divBdr>
        <w:top w:val="none" w:sz="0" w:space="0" w:color="auto"/>
        <w:left w:val="none" w:sz="0" w:space="0" w:color="auto"/>
        <w:bottom w:val="none" w:sz="0" w:space="0" w:color="auto"/>
        <w:right w:val="none" w:sz="0" w:space="0" w:color="auto"/>
      </w:divBdr>
    </w:div>
    <w:div w:id="314261277">
      <w:bodyDiv w:val="1"/>
      <w:marLeft w:val="0"/>
      <w:marRight w:val="0"/>
      <w:marTop w:val="0"/>
      <w:marBottom w:val="0"/>
      <w:divBdr>
        <w:top w:val="none" w:sz="0" w:space="0" w:color="auto"/>
        <w:left w:val="none" w:sz="0" w:space="0" w:color="auto"/>
        <w:bottom w:val="none" w:sz="0" w:space="0" w:color="auto"/>
        <w:right w:val="none" w:sz="0" w:space="0" w:color="auto"/>
      </w:divBdr>
    </w:div>
    <w:div w:id="314264053">
      <w:bodyDiv w:val="1"/>
      <w:marLeft w:val="0"/>
      <w:marRight w:val="0"/>
      <w:marTop w:val="0"/>
      <w:marBottom w:val="0"/>
      <w:divBdr>
        <w:top w:val="none" w:sz="0" w:space="0" w:color="auto"/>
        <w:left w:val="none" w:sz="0" w:space="0" w:color="auto"/>
        <w:bottom w:val="none" w:sz="0" w:space="0" w:color="auto"/>
        <w:right w:val="none" w:sz="0" w:space="0" w:color="auto"/>
      </w:divBdr>
    </w:div>
    <w:div w:id="322514250">
      <w:bodyDiv w:val="1"/>
      <w:marLeft w:val="0"/>
      <w:marRight w:val="0"/>
      <w:marTop w:val="0"/>
      <w:marBottom w:val="0"/>
      <w:divBdr>
        <w:top w:val="none" w:sz="0" w:space="0" w:color="auto"/>
        <w:left w:val="none" w:sz="0" w:space="0" w:color="auto"/>
        <w:bottom w:val="none" w:sz="0" w:space="0" w:color="auto"/>
        <w:right w:val="none" w:sz="0" w:space="0" w:color="auto"/>
      </w:divBdr>
    </w:div>
    <w:div w:id="324238304">
      <w:bodyDiv w:val="1"/>
      <w:marLeft w:val="0"/>
      <w:marRight w:val="0"/>
      <w:marTop w:val="0"/>
      <w:marBottom w:val="0"/>
      <w:divBdr>
        <w:top w:val="none" w:sz="0" w:space="0" w:color="auto"/>
        <w:left w:val="none" w:sz="0" w:space="0" w:color="auto"/>
        <w:bottom w:val="none" w:sz="0" w:space="0" w:color="auto"/>
        <w:right w:val="none" w:sz="0" w:space="0" w:color="auto"/>
      </w:divBdr>
    </w:div>
    <w:div w:id="337925612">
      <w:bodyDiv w:val="1"/>
      <w:marLeft w:val="0"/>
      <w:marRight w:val="0"/>
      <w:marTop w:val="0"/>
      <w:marBottom w:val="0"/>
      <w:divBdr>
        <w:top w:val="none" w:sz="0" w:space="0" w:color="auto"/>
        <w:left w:val="none" w:sz="0" w:space="0" w:color="auto"/>
        <w:bottom w:val="none" w:sz="0" w:space="0" w:color="auto"/>
        <w:right w:val="none" w:sz="0" w:space="0" w:color="auto"/>
      </w:divBdr>
    </w:div>
    <w:div w:id="343020201">
      <w:bodyDiv w:val="1"/>
      <w:marLeft w:val="0"/>
      <w:marRight w:val="0"/>
      <w:marTop w:val="0"/>
      <w:marBottom w:val="0"/>
      <w:divBdr>
        <w:top w:val="none" w:sz="0" w:space="0" w:color="auto"/>
        <w:left w:val="none" w:sz="0" w:space="0" w:color="auto"/>
        <w:bottom w:val="none" w:sz="0" w:space="0" w:color="auto"/>
        <w:right w:val="none" w:sz="0" w:space="0" w:color="auto"/>
      </w:divBdr>
    </w:div>
    <w:div w:id="356665646">
      <w:bodyDiv w:val="1"/>
      <w:marLeft w:val="0"/>
      <w:marRight w:val="0"/>
      <w:marTop w:val="0"/>
      <w:marBottom w:val="0"/>
      <w:divBdr>
        <w:top w:val="none" w:sz="0" w:space="0" w:color="auto"/>
        <w:left w:val="none" w:sz="0" w:space="0" w:color="auto"/>
        <w:bottom w:val="none" w:sz="0" w:space="0" w:color="auto"/>
        <w:right w:val="none" w:sz="0" w:space="0" w:color="auto"/>
      </w:divBdr>
    </w:div>
    <w:div w:id="359361274">
      <w:bodyDiv w:val="1"/>
      <w:marLeft w:val="0"/>
      <w:marRight w:val="0"/>
      <w:marTop w:val="0"/>
      <w:marBottom w:val="0"/>
      <w:divBdr>
        <w:top w:val="none" w:sz="0" w:space="0" w:color="auto"/>
        <w:left w:val="none" w:sz="0" w:space="0" w:color="auto"/>
        <w:bottom w:val="none" w:sz="0" w:space="0" w:color="auto"/>
        <w:right w:val="none" w:sz="0" w:space="0" w:color="auto"/>
      </w:divBdr>
    </w:div>
    <w:div w:id="364253603">
      <w:bodyDiv w:val="1"/>
      <w:marLeft w:val="0"/>
      <w:marRight w:val="0"/>
      <w:marTop w:val="0"/>
      <w:marBottom w:val="0"/>
      <w:divBdr>
        <w:top w:val="none" w:sz="0" w:space="0" w:color="auto"/>
        <w:left w:val="none" w:sz="0" w:space="0" w:color="auto"/>
        <w:bottom w:val="none" w:sz="0" w:space="0" w:color="auto"/>
        <w:right w:val="none" w:sz="0" w:space="0" w:color="auto"/>
      </w:divBdr>
    </w:div>
    <w:div w:id="381903271">
      <w:bodyDiv w:val="1"/>
      <w:marLeft w:val="0"/>
      <w:marRight w:val="0"/>
      <w:marTop w:val="0"/>
      <w:marBottom w:val="0"/>
      <w:divBdr>
        <w:top w:val="none" w:sz="0" w:space="0" w:color="auto"/>
        <w:left w:val="none" w:sz="0" w:space="0" w:color="auto"/>
        <w:bottom w:val="none" w:sz="0" w:space="0" w:color="auto"/>
        <w:right w:val="none" w:sz="0" w:space="0" w:color="auto"/>
      </w:divBdr>
    </w:div>
    <w:div w:id="383216834">
      <w:bodyDiv w:val="1"/>
      <w:marLeft w:val="0"/>
      <w:marRight w:val="0"/>
      <w:marTop w:val="0"/>
      <w:marBottom w:val="0"/>
      <w:divBdr>
        <w:top w:val="none" w:sz="0" w:space="0" w:color="auto"/>
        <w:left w:val="none" w:sz="0" w:space="0" w:color="auto"/>
        <w:bottom w:val="none" w:sz="0" w:space="0" w:color="auto"/>
        <w:right w:val="none" w:sz="0" w:space="0" w:color="auto"/>
      </w:divBdr>
    </w:div>
    <w:div w:id="390691247">
      <w:bodyDiv w:val="1"/>
      <w:marLeft w:val="0"/>
      <w:marRight w:val="0"/>
      <w:marTop w:val="0"/>
      <w:marBottom w:val="0"/>
      <w:divBdr>
        <w:top w:val="none" w:sz="0" w:space="0" w:color="auto"/>
        <w:left w:val="none" w:sz="0" w:space="0" w:color="auto"/>
        <w:bottom w:val="none" w:sz="0" w:space="0" w:color="auto"/>
        <w:right w:val="none" w:sz="0" w:space="0" w:color="auto"/>
      </w:divBdr>
    </w:div>
    <w:div w:id="407575833">
      <w:bodyDiv w:val="1"/>
      <w:marLeft w:val="0"/>
      <w:marRight w:val="0"/>
      <w:marTop w:val="0"/>
      <w:marBottom w:val="0"/>
      <w:divBdr>
        <w:top w:val="none" w:sz="0" w:space="0" w:color="auto"/>
        <w:left w:val="none" w:sz="0" w:space="0" w:color="auto"/>
        <w:bottom w:val="none" w:sz="0" w:space="0" w:color="auto"/>
        <w:right w:val="none" w:sz="0" w:space="0" w:color="auto"/>
      </w:divBdr>
    </w:div>
    <w:div w:id="411513078">
      <w:bodyDiv w:val="1"/>
      <w:marLeft w:val="0"/>
      <w:marRight w:val="0"/>
      <w:marTop w:val="0"/>
      <w:marBottom w:val="0"/>
      <w:divBdr>
        <w:top w:val="none" w:sz="0" w:space="0" w:color="auto"/>
        <w:left w:val="none" w:sz="0" w:space="0" w:color="auto"/>
        <w:bottom w:val="none" w:sz="0" w:space="0" w:color="auto"/>
        <w:right w:val="none" w:sz="0" w:space="0" w:color="auto"/>
      </w:divBdr>
    </w:div>
    <w:div w:id="426461782">
      <w:bodyDiv w:val="1"/>
      <w:marLeft w:val="0"/>
      <w:marRight w:val="0"/>
      <w:marTop w:val="0"/>
      <w:marBottom w:val="0"/>
      <w:divBdr>
        <w:top w:val="none" w:sz="0" w:space="0" w:color="auto"/>
        <w:left w:val="none" w:sz="0" w:space="0" w:color="auto"/>
        <w:bottom w:val="none" w:sz="0" w:space="0" w:color="auto"/>
        <w:right w:val="none" w:sz="0" w:space="0" w:color="auto"/>
      </w:divBdr>
    </w:div>
    <w:div w:id="427387233">
      <w:bodyDiv w:val="1"/>
      <w:marLeft w:val="0"/>
      <w:marRight w:val="0"/>
      <w:marTop w:val="0"/>
      <w:marBottom w:val="0"/>
      <w:divBdr>
        <w:top w:val="none" w:sz="0" w:space="0" w:color="auto"/>
        <w:left w:val="none" w:sz="0" w:space="0" w:color="auto"/>
        <w:bottom w:val="none" w:sz="0" w:space="0" w:color="auto"/>
        <w:right w:val="none" w:sz="0" w:space="0" w:color="auto"/>
      </w:divBdr>
    </w:div>
    <w:div w:id="432019567">
      <w:bodyDiv w:val="1"/>
      <w:marLeft w:val="0"/>
      <w:marRight w:val="0"/>
      <w:marTop w:val="0"/>
      <w:marBottom w:val="0"/>
      <w:divBdr>
        <w:top w:val="none" w:sz="0" w:space="0" w:color="auto"/>
        <w:left w:val="none" w:sz="0" w:space="0" w:color="auto"/>
        <w:bottom w:val="none" w:sz="0" w:space="0" w:color="auto"/>
        <w:right w:val="none" w:sz="0" w:space="0" w:color="auto"/>
      </w:divBdr>
    </w:div>
    <w:div w:id="438915769">
      <w:bodyDiv w:val="1"/>
      <w:marLeft w:val="0"/>
      <w:marRight w:val="0"/>
      <w:marTop w:val="0"/>
      <w:marBottom w:val="0"/>
      <w:divBdr>
        <w:top w:val="none" w:sz="0" w:space="0" w:color="auto"/>
        <w:left w:val="none" w:sz="0" w:space="0" w:color="auto"/>
        <w:bottom w:val="none" w:sz="0" w:space="0" w:color="auto"/>
        <w:right w:val="none" w:sz="0" w:space="0" w:color="auto"/>
      </w:divBdr>
    </w:div>
    <w:div w:id="442772672">
      <w:bodyDiv w:val="1"/>
      <w:marLeft w:val="0"/>
      <w:marRight w:val="0"/>
      <w:marTop w:val="0"/>
      <w:marBottom w:val="0"/>
      <w:divBdr>
        <w:top w:val="none" w:sz="0" w:space="0" w:color="auto"/>
        <w:left w:val="none" w:sz="0" w:space="0" w:color="auto"/>
        <w:bottom w:val="none" w:sz="0" w:space="0" w:color="auto"/>
        <w:right w:val="none" w:sz="0" w:space="0" w:color="auto"/>
      </w:divBdr>
    </w:div>
    <w:div w:id="444345164">
      <w:bodyDiv w:val="1"/>
      <w:marLeft w:val="0"/>
      <w:marRight w:val="0"/>
      <w:marTop w:val="0"/>
      <w:marBottom w:val="0"/>
      <w:divBdr>
        <w:top w:val="none" w:sz="0" w:space="0" w:color="auto"/>
        <w:left w:val="none" w:sz="0" w:space="0" w:color="auto"/>
        <w:bottom w:val="none" w:sz="0" w:space="0" w:color="auto"/>
        <w:right w:val="none" w:sz="0" w:space="0" w:color="auto"/>
      </w:divBdr>
    </w:div>
    <w:div w:id="446855768">
      <w:bodyDiv w:val="1"/>
      <w:marLeft w:val="0"/>
      <w:marRight w:val="0"/>
      <w:marTop w:val="0"/>
      <w:marBottom w:val="0"/>
      <w:divBdr>
        <w:top w:val="none" w:sz="0" w:space="0" w:color="auto"/>
        <w:left w:val="none" w:sz="0" w:space="0" w:color="auto"/>
        <w:bottom w:val="none" w:sz="0" w:space="0" w:color="auto"/>
        <w:right w:val="none" w:sz="0" w:space="0" w:color="auto"/>
      </w:divBdr>
    </w:div>
    <w:div w:id="459614267">
      <w:bodyDiv w:val="1"/>
      <w:marLeft w:val="0"/>
      <w:marRight w:val="0"/>
      <w:marTop w:val="0"/>
      <w:marBottom w:val="0"/>
      <w:divBdr>
        <w:top w:val="none" w:sz="0" w:space="0" w:color="auto"/>
        <w:left w:val="none" w:sz="0" w:space="0" w:color="auto"/>
        <w:bottom w:val="none" w:sz="0" w:space="0" w:color="auto"/>
        <w:right w:val="none" w:sz="0" w:space="0" w:color="auto"/>
      </w:divBdr>
    </w:div>
    <w:div w:id="462846148">
      <w:bodyDiv w:val="1"/>
      <w:marLeft w:val="0"/>
      <w:marRight w:val="0"/>
      <w:marTop w:val="0"/>
      <w:marBottom w:val="0"/>
      <w:divBdr>
        <w:top w:val="none" w:sz="0" w:space="0" w:color="auto"/>
        <w:left w:val="none" w:sz="0" w:space="0" w:color="auto"/>
        <w:bottom w:val="none" w:sz="0" w:space="0" w:color="auto"/>
        <w:right w:val="none" w:sz="0" w:space="0" w:color="auto"/>
      </w:divBdr>
    </w:div>
    <w:div w:id="466823190">
      <w:bodyDiv w:val="1"/>
      <w:marLeft w:val="0"/>
      <w:marRight w:val="0"/>
      <w:marTop w:val="0"/>
      <w:marBottom w:val="0"/>
      <w:divBdr>
        <w:top w:val="none" w:sz="0" w:space="0" w:color="auto"/>
        <w:left w:val="none" w:sz="0" w:space="0" w:color="auto"/>
        <w:bottom w:val="none" w:sz="0" w:space="0" w:color="auto"/>
        <w:right w:val="none" w:sz="0" w:space="0" w:color="auto"/>
      </w:divBdr>
    </w:div>
    <w:div w:id="473451780">
      <w:bodyDiv w:val="1"/>
      <w:marLeft w:val="0"/>
      <w:marRight w:val="0"/>
      <w:marTop w:val="0"/>
      <w:marBottom w:val="0"/>
      <w:divBdr>
        <w:top w:val="none" w:sz="0" w:space="0" w:color="auto"/>
        <w:left w:val="none" w:sz="0" w:space="0" w:color="auto"/>
        <w:bottom w:val="none" w:sz="0" w:space="0" w:color="auto"/>
        <w:right w:val="none" w:sz="0" w:space="0" w:color="auto"/>
      </w:divBdr>
    </w:div>
    <w:div w:id="479690294">
      <w:bodyDiv w:val="1"/>
      <w:marLeft w:val="0"/>
      <w:marRight w:val="0"/>
      <w:marTop w:val="0"/>
      <w:marBottom w:val="0"/>
      <w:divBdr>
        <w:top w:val="none" w:sz="0" w:space="0" w:color="auto"/>
        <w:left w:val="none" w:sz="0" w:space="0" w:color="auto"/>
        <w:bottom w:val="none" w:sz="0" w:space="0" w:color="auto"/>
        <w:right w:val="none" w:sz="0" w:space="0" w:color="auto"/>
      </w:divBdr>
      <w:divsChild>
        <w:div w:id="623081241">
          <w:marLeft w:val="0"/>
          <w:marRight w:val="0"/>
          <w:marTop w:val="0"/>
          <w:marBottom w:val="0"/>
          <w:divBdr>
            <w:top w:val="none" w:sz="0" w:space="0" w:color="auto"/>
            <w:left w:val="none" w:sz="0" w:space="0" w:color="auto"/>
            <w:bottom w:val="none" w:sz="0" w:space="0" w:color="auto"/>
            <w:right w:val="none" w:sz="0" w:space="0" w:color="auto"/>
          </w:divBdr>
        </w:div>
      </w:divsChild>
    </w:div>
    <w:div w:id="484861154">
      <w:bodyDiv w:val="1"/>
      <w:marLeft w:val="0"/>
      <w:marRight w:val="0"/>
      <w:marTop w:val="0"/>
      <w:marBottom w:val="0"/>
      <w:divBdr>
        <w:top w:val="none" w:sz="0" w:space="0" w:color="auto"/>
        <w:left w:val="none" w:sz="0" w:space="0" w:color="auto"/>
        <w:bottom w:val="none" w:sz="0" w:space="0" w:color="auto"/>
        <w:right w:val="none" w:sz="0" w:space="0" w:color="auto"/>
      </w:divBdr>
    </w:div>
    <w:div w:id="514805810">
      <w:bodyDiv w:val="1"/>
      <w:marLeft w:val="0"/>
      <w:marRight w:val="0"/>
      <w:marTop w:val="0"/>
      <w:marBottom w:val="0"/>
      <w:divBdr>
        <w:top w:val="none" w:sz="0" w:space="0" w:color="auto"/>
        <w:left w:val="none" w:sz="0" w:space="0" w:color="auto"/>
        <w:bottom w:val="none" w:sz="0" w:space="0" w:color="auto"/>
        <w:right w:val="none" w:sz="0" w:space="0" w:color="auto"/>
      </w:divBdr>
    </w:div>
    <w:div w:id="524026357">
      <w:bodyDiv w:val="1"/>
      <w:marLeft w:val="0"/>
      <w:marRight w:val="0"/>
      <w:marTop w:val="0"/>
      <w:marBottom w:val="0"/>
      <w:divBdr>
        <w:top w:val="none" w:sz="0" w:space="0" w:color="auto"/>
        <w:left w:val="none" w:sz="0" w:space="0" w:color="auto"/>
        <w:bottom w:val="none" w:sz="0" w:space="0" w:color="auto"/>
        <w:right w:val="none" w:sz="0" w:space="0" w:color="auto"/>
      </w:divBdr>
    </w:div>
    <w:div w:id="526866788">
      <w:bodyDiv w:val="1"/>
      <w:marLeft w:val="0"/>
      <w:marRight w:val="0"/>
      <w:marTop w:val="0"/>
      <w:marBottom w:val="0"/>
      <w:divBdr>
        <w:top w:val="none" w:sz="0" w:space="0" w:color="auto"/>
        <w:left w:val="none" w:sz="0" w:space="0" w:color="auto"/>
        <w:bottom w:val="none" w:sz="0" w:space="0" w:color="auto"/>
        <w:right w:val="none" w:sz="0" w:space="0" w:color="auto"/>
      </w:divBdr>
    </w:div>
    <w:div w:id="531647014">
      <w:bodyDiv w:val="1"/>
      <w:marLeft w:val="0"/>
      <w:marRight w:val="0"/>
      <w:marTop w:val="0"/>
      <w:marBottom w:val="0"/>
      <w:divBdr>
        <w:top w:val="none" w:sz="0" w:space="0" w:color="auto"/>
        <w:left w:val="none" w:sz="0" w:space="0" w:color="auto"/>
        <w:bottom w:val="none" w:sz="0" w:space="0" w:color="auto"/>
        <w:right w:val="none" w:sz="0" w:space="0" w:color="auto"/>
      </w:divBdr>
    </w:div>
    <w:div w:id="533424214">
      <w:bodyDiv w:val="1"/>
      <w:marLeft w:val="0"/>
      <w:marRight w:val="0"/>
      <w:marTop w:val="0"/>
      <w:marBottom w:val="0"/>
      <w:divBdr>
        <w:top w:val="none" w:sz="0" w:space="0" w:color="auto"/>
        <w:left w:val="none" w:sz="0" w:space="0" w:color="auto"/>
        <w:bottom w:val="none" w:sz="0" w:space="0" w:color="auto"/>
        <w:right w:val="none" w:sz="0" w:space="0" w:color="auto"/>
      </w:divBdr>
    </w:div>
    <w:div w:id="558127528">
      <w:bodyDiv w:val="1"/>
      <w:marLeft w:val="0"/>
      <w:marRight w:val="0"/>
      <w:marTop w:val="0"/>
      <w:marBottom w:val="0"/>
      <w:divBdr>
        <w:top w:val="none" w:sz="0" w:space="0" w:color="auto"/>
        <w:left w:val="none" w:sz="0" w:space="0" w:color="auto"/>
        <w:bottom w:val="none" w:sz="0" w:space="0" w:color="auto"/>
        <w:right w:val="none" w:sz="0" w:space="0" w:color="auto"/>
      </w:divBdr>
    </w:div>
    <w:div w:id="559636664">
      <w:bodyDiv w:val="1"/>
      <w:marLeft w:val="0"/>
      <w:marRight w:val="0"/>
      <w:marTop w:val="0"/>
      <w:marBottom w:val="0"/>
      <w:divBdr>
        <w:top w:val="none" w:sz="0" w:space="0" w:color="auto"/>
        <w:left w:val="none" w:sz="0" w:space="0" w:color="auto"/>
        <w:bottom w:val="none" w:sz="0" w:space="0" w:color="auto"/>
        <w:right w:val="none" w:sz="0" w:space="0" w:color="auto"/>
      </w:divBdr>
    </w:div>
    <w:div w:id="561595977">
      <w:bodyDiv w:val="1"/>
      <w:marLeft w:val="0"/>
      <w:marRight w:val="0"/>
      <w:marTop w:val="0"/>
      <w:marBottom w:val="0"/>
      <w:divBdr>
        <w:top w:val="none" w:sz="0" w:space="0" w:color="auto"/>
        <w:left w:val="none" w:sz="0" w:space="0" w:color="auto"/>
        <w:bottom w:val="none" w:sz="0" w:space="0" w:color="auto"/>
        <w:right w:val="none" w:sz="0" w:space="0" w:color="auto"/>
      </w:divBdr>
    </w:div>
    <w:div w:id="562061750">
      <w:bodyDiv w:val="1"/>
      <w:marLeft w:val="0"/>
      <w:marRight w:val="0"/>
      <w:marTop w:val="0"/>
      <w:marBottom w:val="0"/>
      <w:divBdr>
        <w:top w:val="none" w:sz="0" w:space="0" w:color="auto"/>
        <w:left w:val="none" w:sz="0" w:space="0" w:color="auto"/>
        <w:bottom w:val="none" w:sz="0" w:space="0" w:color="auto"/>
        <w:right w:val="none" w:sz="0" w:space="0" w:color="auto"/>
      </w:divBdr>
    </w:div>
    <w:div w:id="568467524">
      <w:bodyDiv w:val="1"/>
      <w:marLeft w:val="0"/>
      <w:marRight w:val="0"/>
      <w:marTop w:val="0"/>
      <w:marBottom w:val="0"/>
      <w:divBdr>
        <w:top w:val="none" w:sz="0" w:space="0" w:color="auto"/>
        <w:left w:val="none" w:sz="0" w:space="0" w:color="auto"/>
        <w:bottom w:val="none" w:sz="0" w:space="0" w:color="auto"/>
        <w:right w:val="none" w:sz="0" w:space="0" w:color="auto"/>
      </w:divBdr>
    </w:div>
    <w:div w:id="568881884">
      <w:bodyDiv w:val="1"/>
      <w:marLeft w:val="0"/>
      <w:marRight w:val="0"/>
      <w:marTop w:val="0"/>
      <w:marBottom w:val="0"/>
      <w:divBdr>
        <w:top w:val="none" w:sz="0" w:space="0" w:color="auto"/>
        <w:left w:val="none" w:sz="0" w:space="0" w:color="auto"/>
        <w:bottom w:val="none" w:sz="0" w:space="0" w:color="auto"/>
        <w:right w:val="none" w:sz="0" w:space="0" w:color="auto"/>
      </w:divBdr>
      <w:divsChild>
        <w:div w:id="445465909">
          <w:marLeft w:val="0"/>
          <w:marRight w:val="0"/>
          <w:marTop w:val="0"/>
          <w:marBottom w:val="0"/>
          <w:divBdr>
            <w:top w:val="none" w:sz="0" w:space="0" w:color="auto"/>
            <w:left w:val="none" w:sz="0" w:space="0" w:color="auto"/>
            <w:bottom w:val="none" w:sz="0" w:space="0" w:color="auto"/>
            <w:right w:val="none" w:sz="0" w:space="0" w:color="auto"/>
          </w:divBdr>
        </w:div>
      </w:divsChild>
    </w:div>
    <w:div w:id="581379358">
      <w:bodyDiv w:val="1"/>
      <w:marLeft w:val="0"/>
      <w:marRight w:val="0"/>
      <w:marTop w:val="0"/>
      <w:marBottom w:val="0"/>
      <w:divBdr>
        <w:top w:val="none" w:sz="0" w:space="0" w:color="auto"/>
        <w:left w:val="none" w:sz="0" w:space="0" w:color="auto"/>
        <w:bottom w:val="none" w:sz="0" w:space="0" w:color="auto"/>
        <w:right w:val="none" w:sz="0" w:space="0" w:color="auto"/>
      </w:divBdr>
    </w:div>
    <w:div w:id="593057367">
      <w:bodyDiv w:val="1"/>
      <w:marLeft w:val="0"/>
      <w:marRight w:val="0"/>
      <w:marTop w:val="0"/>
      <w:marBottom w:val="0"/>
      <w:divBdr>
        <w:top w:val="none" w:sz="0" w:space="0" w:color="auto"/>
        <w:left w:val="none" w:sz="0" w:space="0" w:color="auto"/>
        <w:bottom w:val="none" w:sz="0" w:space="0" w:color="auto"/>
        <w:right w:val="none" w:sz="0" w:space="0" w:color="auto"/>
      </w:divBdr>
    </w:div>
    <w:div w:id="593591122">
      <w:bodyDiv w:val="1"/>
      <w:marLeft w:val="0"/>
      <w:marRight w:val="0"/>
      <w:marTop w:val="0"/>
      <w:marBottom w:val="0"/>
      <w:divBdr>
        <w:top w:val="none" w:sz="0" w:space="0" w:color="auto"/>
        <w:left w:val="none" w:sz="0" w:space="0" w:color="auto"/>
        <w:bottom w:val="none" w:sz="0" w:space="0" w:color="auto"/>
        <w:right w:val="none" w:sz="0" w:space="0" w:color="auto"/>
      </w:divBdr>
    </w:div>
    <w:div w:id="598293863">
      <w:bodyDiv w:val="1"/>
      <w:marLeft w:val="0"/>
      <w:marRight w:val="0"/>
      <w:marTop w:val="0"/>
      <w:marBottom w:val="0"/>
      <w:divBdr>
        <w:top w:val="none" w:sz="0" w:space="0" w:color="auto"/>
        <w:left w:val="none" w:sz="0" w:space="0" w:color="auto"/>
        <w:bottom w:val="none" w:sz="0" w:space="0" w:color="auto"/>
        <w:right w:val="none" w:sz="0" w:space="0" w:color="auto"/>
      </w:divBdr>
    </w:div>
    <w:div w:id="625893046">
      <w:bodyDiv w:val="1"/>
      <w:marLeft w:val="0"/>
      <w:marRight w:val="0"/>
      <w:marTop w:val="0"/>
      <w:marBottom w:val="0"/>
      <w:divBdr>
        <w:top w:val="none" w:sz="0" w:space="0" w:color="auto"/>
        <w:left w:val="none" w:sz="0" w:space="0" w:color="auto"/>
        <w:bottom w:val="none" w:sz="0" w:space="0" w:color="auto"/>
        <w:right w:val="none" w:sz="0" w:space="0" w:color="auto"/>
      </w:divBdr>
    </w:div>
    <w:div w:id="638190790">
      <w:bodyDiv w:val="1"/>
      <w:marLeft w:val="0"/>
      <w:marRight w:val="0"/>
      <w:marTop w:val="0"/>
      <w:marBottom w:val="0"/>
      <w:divBdr>
        <w:top w:val="none" w:sz="0" w:space="0" w:color="auto"/>
        <w:left w:val="none" w:sz="0" w:space="0" w:color="auto"/>
        <w:bottom w:val="none" w:sz="0" w:space="0" w:color="auto"/>
        <w:right w:val="none" w:sz="0" w:space="0" w:color="auto"/>
      </w:divBdr>
    </w:div>
    <w:div w:id="638192722">
      <w:bodyDiv w:val="1"/>
      <w:marLeft w:val="0"/>
      <w:marRight w:val="0"/>
      <w:marTop w:val="0"/>
      <w:marBottom w:val="0"/>
      <w:divBdr>
        <w:top w:val="none" w:sz="0" w:space="0" w:color="auto"/>
        <w:left w:val="none" w:sz="0" w:space="0" w:color="auto"/>
        <w:bottom w:val="none" w:sz="0" w:space="0" w:color="auto"/>
        <w:right w:val="none" w:sz="0" w:space="0" w:color="auto"/>
      </w:divBdr>
    </w:div>
    <w:div w:id="641425225">
      <w:bodyDiv w:val="1"/>
      <w:marLeft w:val="0"/>
      <w:marRight w:val="0"/>
      <w:marTop w:val="0"/>
      <w:marBottom w:val="0"/>
      <w:divBdr>
        <w:top w:val="none" w:sz="0" w:space="0" w:color="auto"/>
        <w:left w:val="none" w:sz="0" w:space="0" w:color="auto"/>
        <w:bottom w:val="none" w:sz="0" w:space="0" w:color="auto"/>
        <w:right w:val="none" w:sz="0" w:space="0" w:color="auto"/>
      </w:divBdr>
    </w:div>
    <w:div w:id="644971931">
      <w:bodyDiv w:val="1"/>
      <w:marLeft w:val="0"/>
      <w:marRight w:val="0"/>
      <w:marTop w:val="0"/>
      <w:marBottom w:val="0"/>
      <w:divBdr>
        <w:top w:val="none" w:sz="0" w:space="0" w:color="auto"/>
        <w:left w:val="none" w:sz="0" w:space="0" w:color="auto"/>
        <w:bottom w:val="none" w:sz="0" w:space="0" w:color="auto"/>
        <w:right w:val="none" w:sz="0" w:space="0" w:color="auto"/>
      </w:divBdr>
    </w:div>
    <w:div w:id="658120237">
      <w:bodyDiv w:val="1"/>
      <w:marLeft w:val="0"/>
      <w:marRight w:val="0"/>
      <w:marTop w:val="0"/>
      <w:marBottom w:val="0"/>
      <w:divBdr>
        <w:top w:val="none" w:sz="0" w:space="0" w:color="auto"/>
        <w:left w:val="none" w:sz="0" w:space="0" w:color="auto"/>
        <w:bottom w:val="none" w:sz="0" w:space="0" w:color="auto"/>
        <w:right w:val="none" w:sz="0" w:space="0" w:color="auto"/>
      </w:divBdr>
    </w:div>
    <w:div w:id="658771856">
      <w:bodyDiv w:val="1"/>
      <w:marLeft w:val="0"/>
      <w:marRight w:val="0"/>
      <w:marTop w:val="0"/>
      <w:marBottom w:val="0"/>
      <w:divBdr>
        <w:top w:val="none" w:sz="0" w:space="0" w:color="auto"/>
        <w:left w:val="none" w:sz="0" w:space="0" w:color="auto"/>
        <w:bottom w:val="none" w:sz="0" w:space="0" w:color="auto"/>
        <w:right w:val="none" w:sz="0" w:space="0" w:color="auto"/>
      </w:divBdr>
    </w:div>
    <w:div w:id="659191005">
      <w:bodyDiv w:val="1"/>
      <w:marLeft w:val="0"/>
      <w:marRight w:val="0"/>
      <w:marTop w:val="0"/>
      <w:marBottom w:val="0"/>
      <w:divBdr>
        <w:top w:val="none" w:sz="0" w:space="0" w:color="auto"/>
        <w:left w:val="none" w:sz="0" w:space="0" w:color="auto"/>
        <w:bottom w:val="none" w:sz="0" w:space="0" w:color="auto"/>
        <w:right w:val="none" w:sz="0" w:space="0" w:color="auto"/>
      </w:divBdr>
    </w:div>
    <w:div w:id="667056029">
      <w:bodyDiv w:val="1"/>
      <w:marLeft w:val="0"/>
      <w:marRight w:val="0"/>
      <w:marTop w:val="0"/>
      <w:marBottom w:val="0"/>
      <w:divBdr>
        <w:top w:val="none" w:sz="0" w:space="0" w:color="auto"/>
        <w:left w:val="none" w:sz="0" w:space="0" w:color="auto"/>
        <w:bottom w:val="none" w:sz="0" w:space="0" w:color="auto"/>
        <w:right w:val="none" w:sz="0" w:space="0" w:color="auto"/>
      </w:divBdr>
    </w:div>
    <w:div w:id="672341314">
      <w:bodyDiv w:val="1"/>
      <w:marLeft w:val="0"/>
      <w:marRight w:val="0"/>
      <w:marTop w:val="0"/>
      <w:marBottom w:val="0"/>
      <w:divBdr>
        <w:top w:val="none" w:sz="0" w:space="0" w:color="auto"/>
        <w:left w:val="none" w:sz="0" w:space="0" w:color="auto"/>
        <w:bottom w:val="none" w:sz="0" w:space="0" w:color="auto"/>
        <w:right w:val="none" w:sz="0" w:space="0" w:color="auto"/>
      </w:divBdr>
    </w:div>
    <w:div w:id="674039965">
      <w:bodyDiv w:val="1"/>
      <w:marLeft w:val="0"/>
      <w:marRight w:val="0"/>
      <w:marTop w:val="0"/>
      <w:marBottom w:val="0"/>
      <w:divBdr>
        <w:top w:val="none" w:sz="0" w:space="0" w:color="auto"/>
        <w:left w:val="none" w:sz="0" w:space="0" w:color="auto"/>
        <w:bottom w:val="none" w:sz="0" w:space="0" w:color="auto"/>
        <w:right w:val="none" w:sz="0" w:space="0" w:color="auto"/>
      </w:divBdr>
    </w:div>
    <w:div w:id="674575002">
      <w:bodyDiv w:val="1"/>
      <w:marLeft w:val="0"/>
      <w:marRight w:val="0"/>
      <w:marTop w:val="0"/>
      <w:marBottom w:val="0"/>
      <w:divBdr>
        <w:top w:val="none" w:sz="0" w:space="0" w:color="auto"/>
        <w:left w:val="none" w:sz="0" w:space="0" w:color="auto"/>
        <w:bottom w:val="none" w:sz="0" w:space="0" w:color="auto"/>
        <w:right w:val="none" w:sz="0" w:space="0" w:color="auto"/>
      </w:divBdr>
    </w:div>
    <w:div w:id="677779724">
      <w:bodyDiv w:val="1"/>
      <w:marLeft w:val="0"/>
      <w:marRight w:val="0"/>
      <w:marTop w:val="0"/>
      <w:marBottom w:val="0"/>
      <w:divBdr>
        <w:top w:val="none" w:sz="0" w:space="0" w:color="auto"/>
        <w:left w:val="none" w:sz="0" w:space="0" w:color="auto"/>
        <w:bottom w:val="none" w:sz="0" w:space="0" w:color="auto"/>
        <w:right w:val="none" w:sz="0" w:space="0" w:color="auto"/>
      </w:divBdr>
    </w:div>
    <w:div w:id="678585409">
      <w:bodyDiv w:val="1"/>
      <w:marLeft w:val="0"/>
      <w:marRight w:val="0"/>
      <w:marTop w:val="0"/>
      <w:marBottom w:val="0"/>
      <w:divBdr>
        <w:top w:val="none" w:sz="0" w:space="0" w:color="auto"/>
        <w:left w:val="none" w:sz="0" w:space="0" w:color="auto"/>
        <w:bottom w:val="none" w:sz="0" w:space="0" w:color="auto"/>
        <w:right w:val="none" w:sz="0" w:space="0" w:color="auto"/>
      </w:divBdr>
    </w:div>
    <w:div w:id="689843568">
      <w:bodyDiv w:val="1"/>
      <w:marLeft w:val="0"/>
      <w:marRight w:val="0"/>
      <w:marTop w:val="0"/>
      <w:marBottom w:val="0"/>
      <w:divBdr>
        <w:top w:val="none" w:sz="0" w:space="0" w:color="auto"/>
        <w:left w:val="none" w:sz="0" w:space="0" w:color="auto"/>
        <w:bottom w:val="none" w:sz="0" w:space="0" w:color="auto"/>
        <w:right w:val="none" w:sz="0" w:space="0" w:color="auto"/>
      </w:divBdr>
      <w:divsChild>
        <w:div w:id="1860850678">
          <w:marLeft w:val="0"/>
          <w:marRight w:val="0"/>
          <w:marTop w:val="0"/>
          <w:marBottom w:val="0"/>
          <w:divBdr>
            <w:top w:val="none" w:sz="0" w:space="0" w:color="auto"/>
            <w:left w:val="none" w:sz="0" w:space="0" w:color="auto"/>
            <w:bottom w:val="none" w:sz="0" w:space="0" w:color="auto"/>
            <w:right w:val="none" w:sz="0" w:space="0" w:color="auto"/>
          </w:divBdr>
        </w:div>
      </w:divsChild>
    </w:div>
    <w:div w:id="693194232">
      <w:bodyDiv w:val="1"/>
      <w:marLeft w:val="0"/>
      <w:marRight w:val="0"/>
      <w:marTop w:val="0"/>
      <w:marBottom w:val="0"/>
      <w:divBdr>
        <w:top w:val="none" w:sz="0" w:space="0" w:color="auto"/>
        <w:left w:val="none" w:sz="0" w:space="0" w:color="auto"/>
        <w:bottom w:val="none" w:sz="0" w:space="0" w:color="auto"/>
        <w:right w:val="none" w:sz="0" w:space="0" w:color="auto"/>
      </w:divBdr>
    </w:div>
    <w:div w:id="705258261">
      <w:bodyDiv w:val="1"/>
      <w:marLeft w:val="0"/>
      <w:marRight w:val="0"/>
      <w:marTop w:val="0"/>
      <w:marBottom w:val="0"/>
      <w:divBdr>
        <w:top w:val="none" w:sz="0" w:space="0" w:color="auto"/>
        <w:left w:val="none" w:sz="0" w:space="0" w:color="auto"/>
        <w:bottom w:val="none" w:sz="0" w:space="0" w:color="auto"/>
        <w:right w:val="none" w:sz="0" w:space="0" w:color="auto"/>
      </w:divBdr>
    </w:div>
    <w:div w:id="708575496">
      <w:bodyDiv w:val="1"/>
      <w:marLeft w:val="0"/>
      <w:marRight w:val="0"/>
      <w:marTop w:val="0"/>
      <w:marBottom w:val="0"/>
      <w:divBdr>
        <w:top w:val="none" w:sz="0" w:space="0" w:color="auto"/>
        <w:left w:val="none" w:sz="0" w:space="0" w:color="auto"/>
        <w:bottom w:val="none" w:sz="0" w:space="0" w:color="auto"/>
        <w:right w:val="none" w:sz="0" w:space="0" w:color="auto"/>
      </w:divBdr>
    </w:div>
    <w:div w:id="708995108">
      <w:bodyDiv w:val="1"/>
      <w:marLeft w:val="0"/>
      <w:marRight w:val="0"/>
      <w:marTop w:val="0"/>
      <w:marBottom w:val="0"/>
      <w:divBdr>
        <w:top w:val="none" w:sz="0" w:space="0" w:color="auto"/>
        <w:left w:val="none" w:sz="0" w:space="0" w:color="auto"/>
        <w:bottom w:val="none" w:sz="0" w:space="0" w:color="auto"/>
        <w:right w:val="none" w:sz="0" w:space="0" w:color="auto"/>
      </w:divBdr>
    </w:div>
    <w:div w:id="709770593">
      <w:bodyDiv w:val="1"/>
      <w:marLeft w:val="0"/>
      <w:marRight w:val="0"/>
      <w:marTop w:val="0"/>
      <w:marBottom w:val="0"/>
      <w:divBdr>
        <w:top w:val="none" w:sz="0" w:space="0" w:color="auto"/>
        <w:left w:val="none" w:sz="0" w:space="0" w:color="auto"/>
        <w:bottom w:val="none" w:sz="0" w:space="0" w:color="auto"/>
        <w:right w:val="none" w:sz="0" w:space="0" w:color="auto"/>
      </w:divBdr>
    </w:div>
    <w:div w:id="710806221">
      <w:bodyDiv w:val="1"/>
      <w:marLeft w:val="0"/>
      <w:marRight w:val="0"/>
      <w:marTop w:val="0"/>
      <w:marBottom w:val="0"/>
      <w:divBdr>
        <w:top w:val="none" w:sz="0" w:space="0" w:color="auto"/>
        <w:left w:val="none" w:sz="0" w:space="0" w:color="auto"/>
        <w:bottom w:val="none" w:sz="0" w:space="0" w:color="auto"/>
        <w:right w:val="none" w:sz="0" w:space="0" w:color="auto"/>
      </w:divBdr>
    </w:div>
    <w:div w:id="718436987">
      <w:bodyDiv w:val="1"/>
      <w:marLeft w:val="0"/>
      <w:marRight w:val="0"/>
      <w:marTop w:val="0"/>
      <w:marBottom w:val="0"/>
      <w:divBdr>
        <w:top w:val="none" w:sz="0" w:space="0" w:color="auto"/>
        <w:left w:val="none" w:sz="0" w:space="0" w:color="auto"/>
        <w:bottom w:val="none" w:sz="0" w:space="0" w:color="auto"/>
        <w:right w:val="none" w:sz="0" w:space="0" w:color="auto"/>
      </w:divBdr>
    </w:div>
    <w:div w:id="718626048">
      <w:bodyDiv w:val="1"/>
      <w:marLeft w:val="0"/>
      <w:marRight w:val="0"/>
      <w:marTop w:val="0"/>
      <w:marBottom w:val="0"/>
      <w:divBdr>
        <w:top w:val="none" w:sz="0" w:space="0" w:color="auto"/>
        <w:left w:val="none" w:sz="0" w:space="0" w:color="auto"/>
        <w:bottom w:val="none" w:sz="0" w:space="0" w:color="auto"/>
        <w:right w:val="none" w:sz="0" w:space="0" w:color="auto"/>
      </w:divBdr>
    </w:div>
    <w:div w:id="724573228">
      <w:bodyDiv w:val="1"/>
      <w:marLeft w:val="0"/>
      <w:marRight w:val="0"/>
      <w:marTop w:val="0"/>
      <w:marBottom w:val="0"/>
      <w:divBdr>
        <w:top w:val="none" w:sz="0" w:space="0" w:color="auto"/>
        <w:left w:val="none" w:sz="0" w:space="0" w:color="auto"/>
        <w:bottom w:val="none" w:sz="0" w:space="0" w:color="auto"/>
        <w:right w:val="none" w:sz="0" w:space="0" w:color="auto"/>
      </w:divBdr>
    </w:div>
    <w:div w:id="729229773">
      <w:bodyDiv w:val="1"/>
      <w:marLeft w:val="0"/>
      <w:marRight w:val="0"/>
      <w:marTop w:val="0"/>
      <w:marBottom w:val="0"/>
      <w:divBdr>
        <w:top w:val="none" w:sz="0" w:space="0" w:color="auto"/>
        <w:left w:val="none" w:sz="0" w:space="0" w:color="auto"/>
        <w:bottom w:val="none" w:sz="0" w:space="0" w:color="auto"/>
        <w:right w:val="none" w:sz="0" w:space="0" w:color="auto"/>
      </w:divBdr>
    </w:div>
    <w:div w:id="732970127">
      <w:bodyDiv w:val="1"/>
      <w:marLeft w:val="0"/>
      <w:marRight w:val="0"/>
      <w:marTop w:val="0"/>
      <w:marBottom w:val="0"/>
      <w:divBdr>
        <w:top w:val="none" w:sz="0" w:space="0" w:color="auto"/>
        <w:left w:val="none" w:sz="0" w:space="0" w:color="auto"/>
        <w:bottom w:val="none" w:sz="0" w:space="0" w:color="auto"/>
        <w:right w:val="none" w:sz="0" w:space="0" w:color="auto"/>
      </w:divBdr>
    </w:div>
    <w:div w:id="734861227">
      <w:bodyDiv w:val="1"/>
      <w:marLeft w:val="0"/>
      <w:marRight w:val="0"/>
      <w:marTop w:val="0"/>
      <w:marBottom w:val="0"/>
      <w:divBdr>
        <w:top w:val="none" w:sz="0" w:space="0" w:color="auto"/>
        <w:left w:val="none" w:sz="0" w:space="0" w:color="auto"/>
        <w:bottom w:val="none" w:sz="0" w:space="0" w:color="auto"/>
        <w:right w:val="none" w:sz="0" w:space="0" w:color="auto"/>
      </w:divBdr>
    </w:div>
    <w:div w:id="740297850">
      <w:bodyDiv w:val="1"/>
      <w:marLeft w:val="0"/>
      <w:marRight w:val="0"/>
      <w:marTop w:val="0"/>
      <w:marBottom w:val="0"/>
      <w:divBdr>
        <w:top w:val="none" w:sz="0" w:space="0" w:color="auto"/>
        <w:left w:val="none" w:sz="0" w:space="0" w:color="auto"/>
        <w:bottom w:val="none" w:sz="0" w:space="0" w:color="auto"/>
        <w:right w:val="none" w:sz="0" w:space="0" w:color="auto"/>
      </w:divBdr>
    </w:div>
    <w:div w:id="749740019">
      <w:bodyDiv w:val="1"/>
      <w:marLeft w:val="0"/>
      <w:marRight w:val="0"/>
      <w:marTop w:val="0"/>
      <w:marBottom w:val="0"/>
      <w:divBdr>
        <w:top w:val="none" w:sz="0" w:space="0" w:color="auto"/>
        <w:left w:val="none" w:sz="0" w:space="0" w:color="auto"/>
        <w:bottom w:val="none" w:sz="0" w:space="0" w:color="auto"/>
        <w:right w:val="none" w:sz="0" w:space="0" w:color="auto"/>
      </w:divBdr>
    </w:div>
    <w:div w:id="752287873">
      <w:bodyDiv w:val="1"/>
      <w:marLeft w:val="0"/>
      <w:marRight w:val="0"/>
      <w:marTop w:val="0"/>
      <w:marBottom w:val="0"/>
      <w:divBdr>
        <w:top w:val="none" w:sz="0" w:space="0" w:color="auto"/>
        <w:left w:val="none" w:sz="0" w:space="0" w:color="auto"/>
        <w:bottom w:val="none" w:sz="0" w:space="0" w:color="auto"/>
        <w:right w:val="none" w:sz="0" w:space="0" w:color="auto"/>
      </w:divBdr>
    </w:div>
    <w:div w:id="753549898">
      <w:bodyDiv w:val="1"/>
      <w:marLeft w:val="0"/>
      <w:marRight w:val="0"/>
      <w:marTop w:val="0"/>
      <w:marBottom w:val="0"/>
      <w:divBdr>
        <w:top w:val="none" w:sz="0" w:space="0" w:color="auto"/>
        <w:left w:val="none" w:sz="0" w:space="0" w:color="auto"/>
        <w:bottom w:val="none" w:sz="0" w:space="0" w:color="auto"/>
        <w:right w:val="none" w:sz="0" w:space="0" w:color="auto"/>
      </w:divBdr>
    </w:div>
    <w:div w:id="764225174">
      <w:bodyDiv w:val="1"/>
      <w:marLeft w:val="0"/>
      <w:marRight w:val="0"/>
      <w:marTop w:val="0"/>
      <w:marBottom w:val="0"/>
      <w:divBdr>
        <w:top w:val="none" w:sz="0" w:space="0" w:color="auto"/>
        <w:left w:val="none" w:sz="0" w:space="0" w:color="auto"/>
        <w:bottom w:val="none" w:sz="0" w:space="0" w:color="auto"/>
        <w:right w:val="none" w:sz="0" w:space="0" w:color="auto"/>
      </w:divBdr>
    </w:div>
    <w:div w:id="769738539">
      <w:bodyDiv w:val="1"/>
      <w:marLeft w:val="0"/>
      <w:marRight w:val="0"/>
      <w:marTop w:val="0"/>
      <w:marBottom w:val="0"/>
      <w:divBdr>
        <w:top w:val="none" w:sz="0" w:space="0" w:color="auto"/>
        <w:left w:val="none" w:sz="0" w:space="0" w:color="auto"/>
        <w:bottom w:val="none" w:sz="0" w:space="0" w:color="auto"/>
        <w:right w:val="none" w:sz="0" w:space="0" w:color="auto"/>
      </w:divBdr>
    </w:div>
    <w:div w:id="772557390">
      <w:bodyDiv w:val="1"/>
      <w:marLeft w:val="0"/>
      <w:marRight w:val="0"/>
      <w:marTop w:val="0"/>
      <w:marBottom w:val="0"/>
      <w:divBdr>
        <w:top w:val="none" w:sz="0" w:space="0" w:color="auto"/>
        <w:left w:val="none" w:sz="0" w:space="0" w:color="auto"/>
        <w:bottom w:val="none" w:sz="0" w:space="0" w:color="auto"/>
        <w:right w:val="none" w:sz="0" w:space="0" w:color="auto"/>
      </w:divBdr>
    </w:div>
    <w:div w:id="774179518">
      <w:bodyDiv w:val="1"/>
      <w:marLeft w:val="0"/>
      <w:marRight w:val="0"/>
      <w:marTop w:val="0"/>
      <w:marBottom w:val="0"/>
      <w:divBdr>
        <w:top w:val="none" w:sz="0" w:space="0" w:color="auto"/>
        <w:left w:val="none" w:sz="0" w:space="0" w:color="auto"/>
        <w:bottom w:val="none" w:sz="0" w:space="0" w:color="auto"/>
        <w:right w:val="none" w:sz="0" w:space="0" w:color="auto"/>
      </w:divBdr>
    </w:div>
    <w:div w:id="781457056">
      <w:bodyDiv w:val="1"/>
      <w:marLeft w:val="0"/>
      <w:marRight w:val="0"/>
      <w:marTop w:val="0"/>
      <w:marBottom w:val="0"/>
      <w:divBdr>
        <w:top w:val="none" w:sz="0" w:space="0" w:color="auto"/>
        <w:left w:val="none" w:sz="0" w:space="0" w:color="auto"/>
        <w:bottom w:val="none" w:sz="0" w:space="0" w:color="auto"/>
        <w:right w:val="none" w:sz="0" w:space="0" w:color="auto"/>
      </w:divBdr>
    </w:div>
    <w:div w:id="783619142">
      <w:bodyDiv w:val="1"/>
      <w:marLeft w:val="0"/>
      <w:marRight w:val="0"/>
      <w:marTop w:val="0"/>
      <w:marBottom w:val="0"/>
      <w:divBdr>
        <w:top w:val="none" w:sz="0" w:space="0" w:color="auto"/>
        <w:left w:val="none" w:sz="0" w:space="0" w:color="auto"/>
        <w:bottom w:val="none" w:sz="0" w:space="0" w:color="auto"/>
        <w:right w:val="none" w:sz="0" w:space="0" w:color="auto"/>
      </w:divBdr>
    </w:div>
    <w:div w:id="788817596">
      <w:bodyDiv w:val="1"/>
      <w:marLeft w:val="0"/>
      <w:marRight w:val="0"/>
      <w:marTop w:val="0"/>
      <w:marBottom w:val="0"/>
      <w:divBdr>
        <w:top w:val="none" w:sz="0" w:space="0" w:color="auto"/>
        <w:left w:val="none" w:sz="0" w:space="0" w:color="auto"/>
        <w:bottom w:val="none" w:sz="0" w:space="0" w:color="auto"/>
        <w:right w:val="none" w:sz="0" w:space="0" w:color="auto"/>
      </w:divBdr>
    </w:div>
    <w:div w:id="814180254">
      <w:bodyDiv w:val="1"/>
      <w:marLeft w:val="0"/>
      <w:marRight w:val="0"/>
      <w:marTop w:val="0"/>
      <w:marBottom w:val="0"/>
      <w:divBdr>
        <w:top w:val="none" w:sz="0" w:space="0" w:color="auto"/>
        <w:left w:val="none" w:sz="0" w:space="0" w:color="auto"/>
        <w:bottom w:val="none" w:sz="0" w:space="0" w:color="auto"/>
        <w:right w:val="none" w:sz="0" w:space="0" w:color="auto"/>
      </w:divBdr>
    </w:div>
    <w:div w:id="815030170">
      <w:bodyDiv w:val="1"/>
      <w:marLeft w:val="0"/>
      <w:marRight w:val="0"/>
      <w:marTop w:val="0"/>
      <w:marBottom w:val="0"/>
      <w:divBdr>
        <w:top w:val="none" w:sz="0" w:space="0" w:color="auto"/>
        <w:left w:val="none" w:sz="0" w:space="0" w:color="auto"/>
        <w:bottom w:val="none" w:sz="0" w:space="0" w:color="auto"/>
        <w:right w:val="none" w:sz="0" w:space="0" w:color="auto"/>
      </w:divBdr>
    </w:div>
    <w:div w:id="818183480">
      <w:bodyDiv w:val="1"/>
      <w:marLeft w:val="0"/>
      <w:marRight w:val="0"/>
      <w:marTop w:val="0"/>
      <w:marBottom w:val="0"/>
      <w:divBdr>
        <w:top w:val="none" w:sz="0" w:space="0" w:color="auto"/>
        <w:left w:val="none" w:sz="0" w:space="0" w:color="auto"/>
        <w:bottom w:val="none" w:sz="0" w:space="0" w:color="auto"/>
        <w:right w:val="none" w:sz="0" w:space="0" w:color="auto"/>
      </w:divBdr>
    </w:div>
    <w:div w:id="819536720">
      <w:bodyDiv w:val="1"/>
      <w:marLeft w:val="0"/>
      <w:marRight w:val="0"/>
      <w:marTop w:val="0"/>
      <w:marBottom w:val="0"/>
      <w:divBdr>
        <w:top w:val="none" w:sz="0" w:space="0" w:color="auto"/>
        <w:left w:val="none" w:sz="0" w:space="0" w:color="auto"/>
        <w:bottom w:val="none" w:sz="0" w:space="0" w:color="auto"/>
        <w:right w:val="none" w:sz="0" w:space="0" w:color="auto"/>
      </w:divBdr>
    </w:div>
    <w:div w:id="821579006">
      <w:bodyDiv w:val="1"/>
      <w:marLeft w:val="0"/>
      <w:marRight w:val="0"/>
      <w:marTop w:val="0"/>
      <w:marBottom w:val="0"/>
      <w:divBdr>
        <w:top w:val="none" w:sz="0" w:space="0" w:color="auto"/>
        <w:left w:val="none" w:sz="0" w:space="0" w:color="auto"/>
        <w:bottom w:val="none" w:sz="0" w:space="0" w:color="auto"/>
        <w:right w:val="none" w:sz="0" w:space="0" w:color="auto"/>
      </w:divBdr>
    </w:div>
    <w:div w:id="823355923">
      <w:bodyDiv w:val="1"/>
      <w:marLeft w:val="0"/>
      <w:marRight w:val="0"/>
      <w:marTop w:val="0"/>
      <w:marBottom w:val="0"/>
      <w:divBdr>
        <w:top w:val="none" w:sz="0" w:space="0" w:color="auto"/>
        <w:left w:val="none" w:sz="0" w:space="0" w:color="auto"/>
        <w:bottom w:val="none" w:sz="0" w:space="0" w:color="auto"/>
        <w:right w:val="none" w:sz="0" w:space="0" w:color="auto"/>
      </w:divBdr>
    </w:div>
    <w:div w:id="829173671">
      <w:bodyDiv w:val="1"/>
      <w:marLeft w:val="0"/>
      <w:marRight w:val="0"/>
      <w:marTop w:val="0"/>
      <w:marBottom w:val="0"/>
      <w:divBdr>
        <w:top w:val="none" w:sz="0" w:space="0" w:color="auto"/>
        <w:left w:val="none" w:sz="0" w:space="0" w:color="auto"/>
        <w:bottom w:val="none" w:sz="0" w:space="0" w:color="auto"/>
        <w:right w:val="none" w:sz="0" w:space="0" w:color="auto"/>
      </w:divBdr>
      <w:divsChild>
        <w:div w:id="1206989685">
          <w:marLeft w:val="0"/>
          <w:marRight w:val="0"/>
          <w:marTop w:val="0"/>
          <w:marBottom w:val="0"/>
          <w:divBdr>
            <w:top w:val="none" w:sz="0" w:space="0" w:color="auto"/>
            <w:left w:val="none" w:sz="0" w:space="0" w:color="auto"/>
            <w:bottom w:val="none" w:sz="0" w:space="0" w:color="auto"/>
            <w:right w:val="none" w:sz="0" w:space="0" w:color="auto"/>
          </w:divBdr>
        </w:div>
      </w:divsChild>
    </w:div>
    <w:div w:id="829718047">
      <w:bodyDiv w:val="1"/>
      <w:marLeft w:val="0"/>
      <w:marRight w:val="0"/>
      <w:marTop w:val="0"/>
      <w:marBottom w:val="0"/>
      <w:divBdr>
        <w:top w:val="none" w:sz="0" w:space="0" w:color="auto"/>
        <w:left w:val="none" w:sz="0" w:space="0" w:color="auto"/>
        <w:bottom w:val="none" w:sz="0" w:space="0" w:color="auto"/>
        <w:right w:val="none" w:sz="0" w:space="0" w:color="auto"/>
      </w:divBdr>
    </w:div>
    <w:div w:id="834345200">
      <w:bodyDiv w:val="1"/>
      <w:marLeft w:val="0"/>
      <w:marRight w:val="0"/>
      <w:marTop w:val="0"/>
      <w:marBottom w:val="0"/>
      <w:divBdr>
        <w:top w:val="none" w:sz="0" w:space="0" w:color="auto"/>
        <w:left w:val="none" w:sz="0" w:space="0" w:color="auto"/>
        <w:bottom w:val="none" w:sz="0" w:space="0" w:color="auto"/>
        <w:right w:val="none" w:sz="0" w:space="0" w:color="auto"/>
      </w:divBdr>
    </w:div>
    <w:div w:id="847787866">
      <w:bodyDiv w:val="1"/>
      <w:marLeft w:val="0"/>
      <w:marRight w:val="0"/>
      <w:marTop w:val="0"/>
      <w:marBottom w:val="0"/>
      <w:divBdr>
        <w:top w:val="none" w:sz="0" w:space="0" w:color="auto"/>
        <w:left w:val="none" w:sz="0" w:space="0" w:color="auto"/>
        <w:bottom w:val="none" w:sz="0" w:space="0" w:color="auto"/>
        <w:right w:val="none" w:sz="0" w:space="0" w:color="auto"/>
      </w:divBdr>
    </w:div>
    <w:div w:id="848524549">
      <w:bodyDiv w:val="1"/>
      <w:marLeft w:val="0"/>
      <w:marRight w:val="0"/>
      <w:marTop w:val="0"/>
      <w:marBottom w:val="0"/>
      <w:divBdr>
        <w:top w:val="none" w:sz="0" w:space="0" w:color="auto"/>
        <w:left w:val="none" w:sz="0" w:space="0" w:color="auto"/>
        <w:bottom w:val="none" w:sz="0" w:space="0" w:color="auto"/>
        <w:right w:val="none" w:sz="0" w:space="0" w:color="auto"/>
      </w:divBdr>
    </w:div>
    <w:div w:id="850141067">
      <w:bodyDiv w:val="1"/>
      <w:marLeft w:val="0"/>
      <w:marRight w:val="0"/>
      <w:marTop w:val="0"/>
      <w:marBottom w:val="0"/>
      <w:divBdr>
        <w:top w:val="none" w:sz="0" w:space="0" w:color="auto"/>
        <w:left w:val="none" w:sz="0" w:space="0" w:color="auto"/>
        <w:bottom w:val="none" w:sz="0" w:space="0" w:color="auto"/>
        <w:right w:val="none" w:sz="0" w:space="0" w:color="auto"/>
      </w:divBdr>
    </w:div>
    <w:div w:id="854731120">
      <w:bodyDiv w:val="1"/>
      <w:marLeft w:val="0"/>
      <w:marRight w:val="0"/>
      <w:marTop w:val="0"/>
      <w:marBottom w:val="0"/>
      <w:divBdr>
        <w:top w:val="none" w:sz="0" w:space="0" w:color="auto"/>
        <w:left w:val="none" w:sz="0" w:space="0" w:color="auto"/>
        <w:bottom w:val="none" w:sz="0" w:space="0" w:color="auto"/>
        <w:right w:val="none" w:sz="0" w:space="0" w:color="auto"/>
      </w:divBdr>
    </w:div>
    <w:div w:id="857742054">
      <w:bodyDiv w:val="1"/>
      <w:marLeft w:val="0"/>
      <w:marRight w:val="0"/>
      <w:marTop w:val="0"/>
      <w:marBottom w:val="0"/>
      <w:divBdr>
        <w:top w:val="none" w:sz="0" w:space="0" w:color="auto"/>
        <w:left w:val="none" w:sz="0" w:space="0" w:color="auto"/>
        <w:bottom w:val="none" w:sz="0" w:space="0" w:color="auto"/>
        <w:right w:val="none" w:sz="0" w:space="0" w:color="auto"/>
      </w:divBdr>
    </w:div>
    <w:div w:id="867109426">
      <w:bodyDiv w:val="1"/>
      <w:marLeft w:val="0"/>
      <w:marRight w:val="0"/>
      <w:marTop w:val="0"/>
      <w:marBottom w:val="0"/>
      <w:divBdr>
        <w:top w:val="none" w:sz="0" w:space="0" w:color="auto"/>
        <w:left w:val="none" w:sz="0" w:space="0" w:color="auto"/>
        <w:bottom w:val="none" w:sz="0" w:space="0" w:color="auto"/>
        <w:right w:val="none" w:sz="0" w:space="0" w:color="auto"/>
      </w:divBdr>
      <w:divsChild>
        <w:div w:id="780878761">
          <w:marLeft w:val="0"/>
          <w:marRight w:val="0"/>
          <w:marTop w:val="0"/>
          <w:marBottom w:val="0"/>
          <w:divBdr>
            <w:top w:val="none" w:sz="0" w:space="0" w:color="auto"/>
            <w:left w:val="none" w:sz="0" w:space="0" w:color="auto"/>
            <w:bottom w:val="none" w:sz="0" w:space="0" w:color="auto"/>
            <w:right w:val="none" w:sz="0" w:space="0" w:color="auto"/>
          </w:divBdr>
        </w:div>
      </w:divsChild>
    </w:div>
    <w:div w:id="889995379">
      <w:bodyDiv w:val="1"/>
      <w:marLeft w:val="0"/>
      <w:marRight w:val="0"/>
      <w:marTop w:val="0"/>
      <w:marBottom w:val="0"/>
      <w:divBdr>
        <w:top w:val="none" w:sz="0" w:space="0" w:color="auto"/>
        <w:left w:val="none" w:sz="0" w:space="0" w:color="auto"/>
        <w:bottom w:val="none" w:sz="0" w:space="0" w:color="auto"/>
        <w:right w:val="none" w:sz="0" w:space="0" w:color="auto"/>
      </w:divBdr>
    </w:div>
    <w:div w:id="900561279">
      <w:bodyDiv w:val="1"/>
      <w:marLeft w:val="0"/>
      <w:marRight w:val="0"/>
      <w:marTop w:val="0"/>
      <w:marBottom w:val="0"/>
      <w:divBdr>
        <w:top w:val="none" w:sz="0" w:space="0" w:color="auto"/>
        <w:left w:val="none" w:sz="0" w:space="0" w:color="auto"/>
        <w:bottom w:val="none" w:sz="0" w:space="0" w:color="auto"/>
        <w:right w:val="none" w:sz="0" w:space="0" w:color="auto"/>
      </w:divBdr>
    </w:div>
    <w:div w:id="918245676">
      <w:bodyDiv w:val="1"/>
      <w:marLeft w:val="0"/>
      <w:marRight w:val="0"/>
      <w:marTop w:val="0"/>
      <w:marBottom w:val="0"/>
      <w:divBdr>
        <w:top w:val="none" w:sz="0" w:space="0" w:color="auto"/>
        <w:left w:val="none" w:sz="0" w:space="0" w:color="auto"/>
        <w:bottom w:val="none" w:sz="0" w:space="0" w:color="auto"/>
        <w:right w:val="none" w:sz="0" w:space="0" w:color="auto"/>
      </w:divBdr>
    </w:div>
    <w:div w:id="919026348">
      <w:bodyDiv w:val="1"/>
      <w:marLeft w:val="0"/>
      <w:marRight w:val="0"/>
      <w:marTop w:val="0"/>
      <w:marBottom w:val="0"/>
      <w:divBdr>
        <w:top w:val="none" w:sz="0" w:space="0" w:color="auto"/>
        <w:left w:val="none" w:sz="0" w:space="0" w:color="auto"/>
        <w:bottom w:val="none" w:sz="0" w:space="0" w:color="auto"/>
        <w:right w:val="none" w:sz="0" w:space="0" w:color="auto"/>
      </w:divBdr>
    </w:div>
    <w:div w:id="933979045">
      <w:bodyDiv w:val="1"/>
      <w:marLeft w:val="0"/>
      <w:marRight w:val="0"/>
      <w:marTop w:val="0"/>
      <w:marBottom w:val="0"/>
      <w:divBdr>
        <w:top w:val="none" w:sz="0" w:space="0" w:color="auto"/>
        <w:left w:val="none" w:sz="0" w:space="0" w:color="auto"/>
        <w:bottom w:val="none" w:sz="0" w:space="0" w:color="auto"/>
        <w:right w:val="none" w:sz="0" w:space="0" w:color="auto"/>
      </w:divBdr>
    </w:div>
    <w:div w:id="943734481">
      <w:bodyDiv w:val="1"/>
      <w:marLeft w:val="0"/>
      <w:marRight w:val="0"/>
      <w:marTop w:val="0"/>
      <w:marBottom w:val="0"/>
      <w:divBdr>
        <w:top w:val="none" w:sz="0" w:space="0" w:color="auto"/>
        <w:left w:val="none" w:sz="0" w:space="0" w:color="auto"/>
        <w:bottom w:val="none" w:sz="0" w:space="0" w:color="auto"/>
        <w:right w:val="none" w:sz="0" w:space="0" w:color="auto"/>
      </w:divBdr>
    </w:div>
    <w:div w:id="950866162">
      <w:bodyDiv w:val="1"/>
      <w:marLeft w:val="0"/>
      <w:marRight w:val="0"/>
      <w:marTop w:val="0"/>
      <w:marBottom w:val="0"/>
      <w:divBdr>
        <w:top w:val="none" w:sz="0" w:space="0" w:color="auto"/>
        <w:left w:val="none" w:sz="0" w:space="0" w:color="auto"/>
        <w:bottom w:val="none" w:sz="0" w:space="0" w:color="auto"/>
        <w:right w:val="none" w:sz="0" w:space="0" w:color="auto"/>
      </w:divBdr>
    </w:div>
    <w:div w:id="966080486">
      <w:bodyDiv w:val="1"/>
      <w:marLeft w:val="0"/>
      <w:marRight w:val="0"/>
      <w:marTop w:val="0"/>
      <w:marBottom w:val="0"/>
      <w:divBdr>
        <w:top w:val="none" w:sz="0" w:space="0" w:color="auto"/>
        <w:left w:val="none" w:sz="0" w:space="0" w:color="auto"/>
        <w:bottom w:val="none" w:sz="0" w:space="0" w:color="auto"/>
        <w:right w:val="none" w:sz="0" w:space="0" w:color="auto"/>
      </w:divBdr>
    </w:div>
    <w:div w:id="966590596">
      <w:bodyDiv w:val="1"/>
      <w:marLeft w:val="0"/>
      <w:marRight w:val="0"/>
      <w:marTop w:val="0"/>
      <w:marBottom w:val="0"/>
      <w:divBdr>
        <w:top w:val="none" w:sz="0" w:space="0" w:color="auto"/>
        <w:left w:val="none" w:sz="0" w:space="0" w:color="auto"/>
        <w:bottom w:val="none" w:sz="0" w:space="0" w:color="auto"/>
        <w:right w:val="none" w:sz="0" w:space="0" w:color="auto"/>
      </w:divBdr>
    </w:div>
    <w:div w:id="969356475">
      <w:bodyDiv w:val="1"/>
      <w:marLeft w:val="0"/>
      <w:marRight w:val="0"/>
      <w:marTop w:val="0"/>
      <w:marBottom w:val="0"/>
      <w:divBdr>
        <w:top w:val="none" w:sz="0" w:space="0" w:color="auto"/>
        <w:left w:val="none" w:sz="0" w:space="0" w:color="auto"/>
        <w:bottom w:val="none" w:sz="0" w:space="0" w:color="auto"/>
        <w:right w:val="none" w:sz="0" w:space="0" w:color="auto"/>
      </w:divBdr>
    </w:div>
    <w:div w:id="971981318">
      <w:bodyDiv w:val="1"/>
      <w:marLeft w:val="0"/>
      <w:marRight w:val="0"/>
      <w:marTop w:val="0"/>
      <w:marBottom w:val="0"/>
      <w:divBdr>
        <w:top w:val="none" w:sz="0" w:space="0" w:color="auto"/>
        <w:left w:val="none" w:sz="0" w:space="0" w:color="auto"/>
        <w:bottom w:val="none" w:sz="0" w:space="0" w:color="auto"/>
        <w:right w:val="none" w:sz="0" w:space="0" w:color="auto"/>
      </w:divBdr>
    </w:div>
    <w:div w:id="973868983">
      <w:bodyDiv w:val="1"/>
      <w:marLeft w:val="0"/>
      <w:marRight w:val="0"/>
      <w:marTop w:val="0"/>
      <w:marBottom w:val="0"/>
      <w:divBdr>
        <w:top w:val="none" w:sz="0" w:space="0" w:color="auto"/>
        <w:left w:val="none" w:sz="0" w:space="0" w:color="auto"/>
        <w:bottom w:val="none" w:sz="0" w:space="0" w:color="auto"/>
        <w:right w:val="none" w:sz="0" w:space="0" w:color="auto"/>
      </w:divBdr>
    </w:div>
    <w:div w:id="975766950">
      <w:bodyDiv w:val="1"/>
      <w:marLeft w:val="0"/>
      <w:marRight w:val="0"/>
      <w:marTop w:val="0"/>
      <w:marBottom w:val="0"/>
      <w:divBdr>
        <w:top w:val="none" w:sz="0" w:space="0" w:color="auto"/>
        <w:left w:val="none" w:sz="0" w:space="0" w:color="auto"/>
        <w:bottom w:val="none" w:sz="0" w:space="0" w:color="auto"/>
        <w:right w:val="none" w:sz="0" w:space="0" w:color="auto"/>
      </w:divBdr>
    </w:div>
    <w:div w:id="978459592">
      <w:bodyDiv w:val="1"/>
      <w:marLeft w:val="0"/>
      <w:marRight w:val="0"/>
      <w:marTop w:val="0"/>
      <w:marBottom w:val="0"/>
      <w:divBdr>
        <w:top w:val="none" w:sz="0" w:space="0" w:color="auto"/>
        <w:left w:val="none" w:sz="0" w:space="0" w:color="auto"/>
        <w:bottom w:val="none" w:sz="0" w:space="0" w:color="auto"/>
        <w:right w:val="none" w:sz="0" w:space="0" w:color="auto"/>
      </w:divBdr>
    </w:div>
    <w:div w:id="979654551">
      <w:bodyDiv w:val="1"/>
      <w:marLeft w:val="0"/>
      <w:marRight w:val="0"/>
      <w:marTop w:val="0"/>
      <w:marBottom w:val="0"/>
      <w:divBdr>
        <w:top w:val="none" w:sz="0" w:space="0" w:color="auto"/>
        <w:left w:val="none" w:sz="0" w:space="0" w:color="auto"/>
        <w:bottom w:val="none" w:sz="0" w:space="0" w:color="auto"/>
        <w:right w:val="none" w:sz="0" w:space="0" w:color="auto"/>
      </w:divBdr>
    </w:div>
    <w:div w:id="980840112">
      <w:bodyDiv w:val="1"/>
      <w:marLeft w:val="0"/>
      <w:marRight w:val="0"/>
      <w:marTop w:val="0"/>
      <w:marBottom w:val="0"/>
      <w:divBdr>
        <w:top w:val="none" w:sz="0" w:space="0" w:color="auto"/>
        <w:left w:val="none" w:sz="0" w:space="0" w:color="auto"/>
        <w:bottom w:val="none" w:sz="0" w:space="0" w:color="auto"/>
        <w:right w:val="none" w:sz="0" w:space="0" w:color="auto"/>
      </w:divBdr>
    </w:div>
    <w:div w:id="981232503">
      <w:bodyDiv w:val="1"/>
      <w:marLeft w:val="0"/>
      <w:marRight w:val="0"/>
      <w:marTop w:val="0"/>
      <w:marBottom w:val="0"/>
      <w:divBdr>
        <w:top w:val="none" w:sz="0" w:space="0" w:color="auto"/>
        <w:left w:val="none" w:sz="0" w:space="0" w:color="auto"/>
        <w:bottom w:val="none" w:sz="0" w:space="0" w:color="auto"/>
        <w:right w:val="none" w:sz="0" w:space="0" w:color="auto"/>
      </w:divBdr>
    </w:div>
    <w:div w:id="983391756">
      <w:bodyDiv w:val="1"/>
      <w:marLeft w:val="0"/>
      <w:marRight w:val="0"/>
      <w:marTop w:val="0"/>
      <w:marBottom w:val="0"/>
      <w:divBdr>
        <w:top w:val="none" w:sz="0" w:space="0" w:color="auto"/>
        <w:left w:val="none" w:sz="0" w:space="0" w:color="auto"/>
        <w:bottom w:val="none" w:sz="0" w:space="0" w:color="auto"/>
        <w:right w:val="none" w:sz="0" w:space="0" w:color="auto"/>
      </w:divBdr>
    </w:div>
    <w:div w:id="985739303">
      <w:bodyDiv w:val="1"/>
      <w:marLeft w:val="0"/>
      <w:marRight w:val="0"/>
      <w:marTop w:val="0"/>
      <w:marBottom w:val="0"/>
      <w:divBdr>
        <w:top w:val="none" w:sz="0" w:space="0" w:color="auto"/>
        <w:left w:val="none" w:sz="0" w:space="0" w:color="auto"/>
        <w:bottom w:val="none" w:sz="0" w:space="0" w:color="auto"/>
        <w:right w:val="none" w:sz="0" w:space="0" w:color="auto"/>
      </w:divBdr>
      <w:divsChild>
        <w:div w:id="1880360278">
          <w:marLeft w:val="0"/>
          <w:marRight w:val="0"/>
          <w:marTop w:val="0"/>
          <w:marBottom w:val="0"/>
          <w:divBdr>
            <w:top w:val="none" w:sz="0" w:space="0" w:color="auto"/>
            <w:left w:val="none" w:sz="0" w:space="0" w:color="auto"/>
            <w:bottom w:val="none" w:sz="0" w:space="0" w:color="auto"/>
            <w:right w:val="none" w:sz="0" w:space="0" w:color="auto"/>
          </w:divBdr>
        </w:div>
      </w:divsChild>
    </w:div>
    <w:div w:id="988561857">
      <w:bodyDiv w:val="1"/>
      <w:marLeft w:val="0"/>
      <w:marRight w:val="0"/>
      <w:marTop w:val="0"/>
      <w:marBottom w:val="0"/>
      <w:divBdr>
        <w:top w:val="none" w:sz="0" w:space="0" w:color="auto"/>
        <w:left w:val="none" w:sz="0" w:space="0" w:color="auto"/>
        <w:bottom w:val="none" w:sz="0" w:space="0" w:color="auto"/>
        <w:right w:val="none" w:sz="0" w:space="0" w:color="auto"/>
      </w:divBdr>
      <w:divsChild>
        <w:div w:id="463811579">
          <w:marLeft w:val="0"/>
          <w:marRight w:val="0"/>
          <w:marTop w:val="0"/>
          <w:marBottom w:val="0"/>
          <w:divBdr>
            <w:top w:val="none" w:sz="0" w:space="0" w:color="auto"/>
            <w:left w:val="none" w:sz="0" w:space="0" w:color="auto"/>
            <w:bottom w:val="none" w:sz="0" w:space="0" w:color="auto"/>
            <w:right w:val="none" w:sz="0" w:space="0" w:color="auto"/>
          </w:divBdr>
        </w:div>
      </w:divsChild>
    </w:div>
    <w:div w:id="990408860">
      <w:bodyDiv w:val="1"/>
      <w:marLeft w:val="0"/>
      <w:marRight w:val="0"/>
      <w:marTop w:val="0"/>
      <w:marBottom w:val="0"/>
      <w:divBdr>
        <w:top w:val="none" w:sz="0" w:space="0" w:color="auto"/>
        <w:left w:val="none" w:sz="0" w:space="0" w:color="auto"/>
        <w:bottom w:val="none" w:sz="0" w:space="0" w:color="auto"/>
        <w:right w:val="none" w:sz="0" w:space="0" w:color="auto"/>
      </w:divBdr>
    </w:div>
    <w:div w:id="990525123">
      <w:bodyDiv w:val="1"/>
      <w:marLeft w:val="0"/>
      <w:marRight w:val="0"/>
      <w:marTop w:val="0"/>
      <w:marBottom w:val="0"/>
      <w:divBdr>
        <w:top w:val="none" w:sz="0" w:space="0" w:color="auto"/>
        <w:left w:val="none" w:sz="0" w:space="0" w:color="auto"/>
        <w:bottom w:val="none" w:sz="0" w:space="0" w:color="auto"/>
        <w:right w:val="none" w:sz="0" w:space="0" w:color="auto"/>
      </w:divBdr>
    </w:div>
    <w:div w:id="992022179">
      <w:bodyDiv w:val="1"/>
      <w:marLeft w:val="0"/>
      <w:marRight w:val="0"/>
      <w:marTop w:val="0"/>
      <w:marBottom w:val="0"/>
      <w:divBdr>
        <w:top w:val="none" w:sz="0" w:space="0" w:color="auto"/>
        <w:left w:val="none" w:sz="0" w:space="0" w:color="auto"/>
        <w:bottom w:val="none" w:sz="0" w:space="0" w:color="auto"/>
        <w:right w:val="none" w:sz="0" w:space="0" w:color="auto"/>
      </w:divBdr>
    </w:div>
    <w:div w:id="994914894">
      <w:bodyDiv w:val="1"/>
      <w:marLeft w:val="0"/>
      <w:marRight w:val="0"/>
      <w:marTop w:val="0"/>
      <w:marBottom w:val="0"/>
      <w:divBdr>
        <w:top w:val="none" w:sz="0" w:space="0" w:color="auto"/>
        <w:left w:val="none" w:sz="0" w:space="0" w:color="auto"/>
        <w:bottom w:val="none" w:sz="0" w:space="0" w:color="auto"/>
        <w:right w:val="none" w:sz="0" w:space="0" w:color="auto"/>
      </w:divBdr>
    </w:div>
    <w:div w:id="995496182">
      <w:bodyDiv w:val="1"/>
      <w:marLeft w:val="0"/>
      <w:marRight w:val="0"/>
      <w:marTop w:val="0"/>
      <w:marBottom w:val="0"/>
      <w:divBdr>
        <w:top w:val="none" w:sz="0" w:space="0" w:color="auto"/>
        <w:left w:val="none" w:sz="0" w:space="0" w:color="auto"/>
        <w:bottom w:val="none" w:sz="0" w:space="0" w:color="auto"/>
        <w:right w:val="none" w:sz="0" w:space="0" w:color="auto"/>
      </w:divBdr>
    </w:div>
    <w:div w:id="995843881">
      <w:bodyDiv w:val="1"/>
      <w:marLeft w:val="0"/>
      <w:marRight w:val="0"/>
      <w:marTop w:val="0"/>
      <w:marBottom w:val="0"/>
      <w:divBdr>
        <w:top w:val="none" w:sz="0" w:space="0" w:color="auto"/>
        <w:left w:val="none" w:sz="0" w:space="0" w:color="auto"/>
        <w:bottom w:val="none" w:sz="0" w:space="0" w:color="auto"/>
        <w:right w:val="none" w:sz="0" w:space="0" w:color="auto"/>
      </w:divBdr>
    </w:div>
    <w:div w:id="1008291327">
      <w:bodyDiv w:val="1"/>
      <w:marLeft w:val="0"/>
      <w:marRight w:val="0"/>
      <w:marTop w:val="0"/>
      <w:marBottom w:val="0"/>
      <w:divBdr>
        <w:top w:val="none" w:sz="0" w:space="0" w:color="auto"/>
        <w:left w:val="none" w:sz="0" w:space="0" w:color="auto"/>
        <w:bottom w:val="none" w:sz="0" w:space="0" w:color="auto"/>
        <w:right w:val="none" w:sz="0" w:space="0" w:color="auto"/>
      </w:divBdr>
    </w:div>
    <w:div w:id="1009865643">
      <w:bodyDiv w:val="1"/>
      <w:marLeft w:val="0"/>
      <w:marRight w:val="0"/>
      <w:marTop w:val="0"/>
      <w:marBottom w:val="0"/>
      <w:divBdr>
        <w:top w:val="none" w:sz="0" w:space="0" w:color="auto"/>
        <w:left w:val="none" w:sz="0" w:space="0" w:color="auto"/>
        <w:bottom w:val="none" w:sz="0" w:space="0" w:color="auto"/>
        <w:right w:val="none" w:sz="0" w:space="0" w:color="auto"/>
      </w:divBdr>
    </w:div>
    <w:div w:id="1010370886">
      <w:bodyDiv w:val="1"/>
      <w:marLeft w:val="0"/>
      <w:marRight w:val="0"/>
      <w:marTop w:val="0"/>
      <w:marBottom w:val="0"/>
      <w:divBdr>
        <w:top w:val="none" w:sz="0" w:space="0" w:color="auto"/>
        <w:left w:val="none" w:sz="0" w:space="0" w:color="auto"/>
        <w:bottom w:val="none" w:sz="0" w:space="0" w:color="auto"/>
        <w:right w:val="none" w:sz="0" w:space="0" w:color="auto"/>
      </w:divBdr>
      <w:divsChild>
        <w:div w:id="1653749088">
          <w:marLeft w:val="0"/>
          <w:marRight w:val="0"/>
          <w:marTop w:val="0"/>
          <w:marBottom w:val="0"/>
          <w:divBdr>
            <w:top w:val="none" w:sz="0" w:space="0" w:color="auto"/>
            <w:left w:val="none" w:sz="0" w:space="0" w:color="auto"/>
            <w:bottom w:val="none" w:sz="0" w:space="0" w:color="auto"/>
            <w:right w:val="none" w:sz="0" w:space="0" w:color="auto"/>
          </w:divBdr>
        </w:div>
      </w:divsChild>
    </w:div>
    <w:div w:id="1015763047">
      <w:bodyDiv w:val="1"/>
      <w:marLeft w:val="0"/>
      <w:marRight w:val="0"/>
      <w:marTop w:val="0"/>
      <w:marBottom w:val="0"/>
      <w:divBdr>
        <w:top w:val="none" w:sz="0" w:space="0" w:color="auto"/>
        <w:left w:val="none" w:sz="0" w:space="0" w:color="auto"/>
        <w:bottom w:val="none" w:sz="0" w:space="0" w:color="auto"/>
        <w:right w:val="none" w:sz="0" w:space="0" w:color="auto"/>
      </w:divBdr>
    </w:div>
    <w:div w:id="1023673110">
      <w:bodyDiv w:val="1"/>
      <w:marLeft w:val="0"/>
      <w:marRight w:val="0"/>
      <w:marTop w:val="0"/>
      <w:marBottom w:val="0"/>
      <w:divBdr>
        <w:top w:val="none" w:sz="0" w:space="0" w:color="auto"/>
        <w:left w:val="none" w:sz="0" w:space="0" w:color="auto"/>
        <w:bottom w:val="none" w:sz="0" w:space="0" w:color="auto"/>
        <w:right w:val="none" w:sz="0" w:space="0" w:color="auto"/>
      </w:divBdr>
    </w:div>
    <w:div w:id="1028214990">
      <w:bodyDiv w:val="1"/>
      <w:marLeft w:val="0"/>
      <w:marRight w:val="0"/>
      <w:marTop w:val="0"/>
      <w:marBottom w:val="0"/>
      <w:divBdr>
        <w:top w:val="none" w:sz="0" w:space="0" w:color="auto"/>
        <w:left w:val="none" w:sz="0" w:space="0" w:color="auto"/>
        <w:bottom w:val="none" w:sz="0" w:space="0" w:color="auto"/>
        <w:right w:val="none" w:sz="0" w:space="0" w:color="auto"/>
      </w:divBdr>
    </w:div>
    <w:div w:id="1029523802">
      <w:bodyDiv w:val="1"/>
      <w:marLeft w:val="0"/>
      <w:marRight w:val="0"/>
      <w:marTop w:val="0"/>
      <w:marBottom w:val="0"/>
      <w:divBdr>
        <w:top w:val="none" w:sz="0" w:space="0" w:color="auto"/>
        <w:left w:val="none" w:sz="0" w:space="0" w:color="auto"/>
        <w:bottom w:val="none" w:sz="0" w:space="0" w:color="auto"/>
        <w:right w:val="none" w:sz="0" w:space="0" w:color="auto"/>
      </w:divBdr>
    </w:div>
    <w:div w:id="1032848477">
      <w:bodyDiv w:val="1"/>
      <w:marLeft w:val="0"/>
      <w:marRight w:val="0"/>
      <w:marTop w:val="0"/>
      <w:marBottom w:val="0"/>
      <w:divBdr>
        <w:top w:val="none" w:sz="0" w:space="0" w:color="auto"/>
        <w:left w:val="none" w:sz="0" w:space="0" w:color="auto"/>
        <w:bottom w:val="none" w:sz="0" w:space="0" w:color="auto"/>
        <w:right w:val="none" w:sz="0" w:space="0" w:color="auto"/>
      </w:divBdr>
    </w:div>
    <w:div w:id="1039168391">
      <w:bodyDiv w:val="1"/>
      <w:marLeft w:val="0"/>
      <w:marRight w:val="0"/>
      <w:marTop w:val="0"/>
      <w:marBottom w:val="0"/>
      <w:divBdr>
        <w:top w:val="none" w:sz="0" w:space="0" w:color="auto"/>
        <w:left w:val="none" w:sz="0" w:space="0" w:color="auto"/>
        <w:bottom w:val="none" w:sz="0" w:space="0" w:color="auto"/>
        <w:right w:val="none" w:sz="0" w:space="0" w:color="auto"/>
      </w:divBdr>
    </w:div>
    <w:div w:id="1043214551">
      <w:bodyDiv w:val="1"/>
      <w:marLeft w:val="0"/>
      <w:marRight w:val="0"/>
      <w:marTop w:val="0"/>
      <w:marBottom w:val="0"/>
      <w:divBdr>
        <w:top w:val="none" w:sz="0" w:space="0" w:color="auto"/>
        <w:left w:val="none" w:sz="0" w:space="0" w:color="auto"/>
        <w:bottom w:val="none" w:sz="0" w:space="0" w:color="auto"/>
        <w:right w:val="none" w:sz="0" w:space="0" w:color="auto"/>
      </w:divBdr>
    </w:div>
    <w:div w:id="1049912082">
      <w:bodyDiv w:val="1"/>
      <w:marLeft w:val="0"/>
      <w:marRight w:val="0"/>
      <w:marTop w:val="0"/>
      <w:marBottom w:val="0"/>
      <w:divBdr>
        <w:top w:val="none" w:sz="0" w:space="0" w:color="auto"/>
        <w:left w:val="none" w:sz="0" w:space="0" w:color="auto"/>
        <w:bottom w:val="none" w:sz="0" w:space="0" w:color="auto"/>
        <w:right w:val="none" w:sz="0" w:space="0" w:color="auto"/>
      </w:divBdr>
    </w:div>
    <w:div w:id="1052925338">
      <w:bodyDiv w:val="1"/>
      <w:marLeft w:val="0"/>
      <w:marRight w:val="0"/>
      <w:marTop w:val="0"/>
      <w:marBottom w:val="0"/>
      <w:divBdr>
        <w:top w:val="none" w:sz="0" w:space="0" w:color="auto"/>
        <w:left w:val="none" w:sz="0" w:space="0" w:color="auto"/>
        <w:bottom w:val="none" w:sz="0" w:space="0" w:color="auto"/>
        <w:right w:val="none" w:sz="0" w:space="0" w:color="auto"/>
      </w:divBdr>
    </w:div>
    <w:div w:id="1055465300">
      <w:bodyDiv w:val="1"/>
      <w:marLeft w:val="0"/>
      <w:marRight w:val="0"/>
      <w:marTop w:val="0"/>
      <w:marBottom w:val="0"/>
      <w:divBdr>
        <w:top w:val="none" w:sz="0" w:space="0" w:color="auto"/>
        <w:left w:val="none" w:sz="0" w:space="0" w:color="auto"/>
        <w:bottom w:val="none" w:sz="0" w:space="0" w:color="auto"/>
        <w:right w:val="none" w:sz="0" w:space="0" w:color="auto"/>
      </w:divBdr>
    </w:div>
    <w:div w:id="1056929403">
      <w:bodyDiv w:val="1"/>
      <w:marLeft w:val="0"/>
      <w:marRight w:val="0"/>
      <w:marTop w:val="0"/>
      <w:marBottom w:val="0"/>
      <w:divBdr>
        <w:top w:val="none" w:sz="0" w:space="0" w:color="auto"/>
        <w:left w:val="none" w:sz="0" w:space="0" w:color="auto"/>
        <w:bottom w:val="none" w:sz="0" w:space="0" w:color="auto"/>
        <w:right w:val="none" w:sz="0" w:space="0" w:color="auto"/>
      </w:divBdr>
      <w:divsChild>
        <w:div w:id="464079548">
          <w:marLeft w:val="0"/>
          <w:marRight w:val="0"/>
          <w:marTop w:val="0"/>
          <w:marBottom w:val="0"/>
          <w:divBdr>
            <w:top w:val="none" w:sz="0" w:space="0" w:color="auto"/>
            <w:left w:val="none" w:sz="0" w:space="0" w:color="auto"/>
            <w:bottom w:val="none" w:sz="0" w:space="0" w:color="auto"/>
            <w:right w:val="none" w:sz="0" w:space="0" w:color="auto"/>
          </w:divBdr>
          <w:divsChild>
            <w:div w:id="671448007">
              <w:marLeft w:val="0"/>
              <w:marRight w:val="0"/>
              <w:marTop w:val="0"/>
              <w:marBottom w:val="0"/>
              <w:divBdr>
                <w:top w:val="none" w:sz="0" w:space="0" w:color="auto"/>
                <w:left w:val="none" w:sz="0" w:space="0" w:color="auto"/>
                <w:bottom w:val="none" w:sz="0" w:space="0" w:color="auto"/>
                <w:right w:val="none" w:sz="0" w:space="0" w:color="auto"/>
              </w:divBdr>
              <w:divsChild>
                <w:div w:id="1430469107">
                  <w:marLeft w:val="0"/>
                  <w:marRight w:val="0"/>
                  <w:marTop w:val="0"/>
                  <w:marBottom w:val="0"/>
                  <w:divBdr>
                    <w:top w:val="none" w:sz="0" w:space="0" w:color="auto"/>
                    <w:left w:val="none" w:sz="0" w:space="0" w:color="auto"/>
                    <w:bottom w:val="none" w:sz="0" w:space="0" w:color="auto"/>
                    <w:right w:val="none" w:sz="0" w:space="0" w:color="auto"/>
                  </w:divBdr>
                  <w:divsChild>
                    <w:div w:id="1870532418">
                      <w:marLeft w:val="0"/>
                      <w:marRight w:val="0"/>
                      <w:marTop w:val="0"/>
                      <w:marBottom w:val="0"/>
                      <w:divBdr>
                        <w:top w:val="none" w:sz="0" w:space="0" w:color="auto"/>
                        <w:left w:val="none" w:sz="0" w:space="0" w:color="auto"/>
                        <w:bottom w:val="none" w:sz="0" w:space="0" w:color="auto"/>
                        <w:right w:val="none" w:sz="0" w:space="0" w:color="auto"/>
                      </w:divBdr>
                      <w:divsChild>
                        <w:div w:id="866796491">
                          <w:marLeft w:val="0"/>
                          <w:marRight w:val="0"/>
                          <w:marTop w:val="0"/>
                          <w:marBottom w:val="0"/>
                          <w:divBdr>
                            <w:top w:val="none" w:sz="0" w:space="0" w:color="auto"/>
                            <w:left w:val="none" w:sz="0" w:space="0" w:color="auto"/>
                            <w:bottom w:val="none" w:sz="0" w:space="0" w:color="auto"/>
                            <w:right w:val="none" w:sz="0" w:space="0" w:color="auto"/>
                          </w:divBdr>
                          <w:divsChild>
                            <w:div w:id="1793087332">
                              <w:marLeft w:val="0"/>
                              <w:marRight w:val="0"/>
                              <w:marTop w:val="0"/>
                              <w:marBottom w:val="0"/>
                              <w:divBdr>
                                <w:top w:val="none" w:sz="0" w:space="0" w:color="auto"/>
                                <w:left w:val="none" w:sz="0" w:space="0" w:color="auto"/>
                                <w:bottom w:val="none" w:sz="0" w:space="0" w:color="auto"/>
                                <w:right w:val="none" w:sz="0" w:space="0" w:color="auto"/>
                              </w:divBdr>
                              <w:divsChild>
                                <w:div w:id="1046104315">
                                  <w:marLeft w:val="0"/>
                                  <w:marRight w:val="0"/>
                                  <w:marTop w:val="0"/>
                                  <w:marBottom w:val="0"/>
                                  <w:divBdr>
                                    <w:top w:val="none" w:sz="0" w:space="0" w:color="auto"/>
                                    <w:left w:val="none" w:sz="0" w:space="0" w:color="auto"/>
                                    <w:bottom w:val="none" w:sz="0" w:space="0" w:color="auto"/>
                                    <w:right w:val="none" w:sz="0" w:space="0" w:color="auto"/>
                                  </w:divBdr>
                                  <w:divsChild>
                                    <w:div w:id="1641883726">
                                      <w:marLeft w:val="0"/>
                                      <w:marRight w:val="0"/>
                                      <w:marTop w:val="0"/>
                                      <w:marBottom w:val="0"/>
                                      <w:divBdr>
                                        <w:top w:val="none" w:sz="0" w:space="0" w:color="auto"/>
                                        <w:left w:val="none" w:sz="0" w:space="0" w:color="auto"/>
                                        <w:bottom w:val="none" w:sz="0" w:space="0" w:color="auto"/>
                                        <w:right w:val="none" w:sz="0" w:space="0" w:color="auto"/>
                                      </w:divBdr>
                                      <w:divsChild>
                                        <w:div w:id="1109668203">
                                          <w:marLeft w:val="0"/>
                                          <w:marRight w:val="0"/>
                                          <w:marTop w:val="0"/>
                                          <w:marBottom w:val="0"/>
                                          <w:divBdr>
                                            <w:top w:val="none" w:sz="0" w:space="0" w:color="auto"/>
                                            <w:left w:val="none" w:sz="0" w:space="0" w:color="auto"/>
                                            <w:bottom w:val="none" w:sz="0" w:space="0" w:color="auto"/>
                                            <w:right w:val="none" w:sz="0" w:space="0" w:color="auto"/>
                                          </w:divBdr>
                                          <w:divsChild>
                                            <w:div w:id="1544168909">
                                              <w:marLeft w:val="0"/>
                                              <w:marRight w:val="0"/>
                                              <w:marTop w:val="0"/>
                                              <w:marBottom w:val="0"/>
                                              <w:divBdr>
                                                <w:top w:val="none" w:sz="0" w:space="0" w:color="auto"/>
                                                <w:left w:val="none" w:sz="0" w:space="0" w:color="auto"/>
                                                <w:bottom w:val="none" w:sz="0" w:space="0" w:color="auto"/>
                                                <w:right w:val="none" w:sz="0" w:space="0" w:color="auto"/>
                                              </w:divBdr>
                                              <w:divsChild>
                                                <w:div w:id="2140564590">
                                                  <w:marLeft w:val="0"/>
                                                  <w:marRight w:val="0"/>
                                                  <w:marTop w:val="0"/>
                                                  <w:marBottom w:val="0"/>
                                                  <w:divBdr>
                                                    <w:top w:val="none" w:sz="0" w:space="0" w:color="auto"/>
                                                    <w:left w:val="none" w:sz="0" w:space="0" w:color="auto"/>
                                                    <w:bottom w:val="none" w:sz="0" w:space="0" w:color="auto"/>
                                                    <w:right w:val="none" w:sz="0" w:space="0" w:color="auto"/>
                                                  </w:divBdr>
                                                  <w:divsChild>
                                                    <w:div w:id="353849496">
                                                      <w:marLeft w:val="0"/>
                                                      <w:marRight w:val="0"/>
                                                      <w:marTop w:val="0"/>
                                                      <w:marBottom w:val="0"/>
                                                      <w:divBdr>
                                                        <w:top w:val="none" w:sz="0" w:space="0" w:color="auto"/>
                                                        <w:left w:val="none" w:sz="0" w:space="0" w:color="auto"/>
                                                        <w:bottom w:val="none" w:sz="0" w:space="0" w:color="auto"/>
                                                        <w:right w:val="none" w:sz="0" w:space="0" w:color="auto"/>
                                                      </w:divBdr>
                                                      <w:divsChild>
                                                        <w:div w:id="1531410905">
                                                          <w:marLeft w:val="0"/>
                                                          <w:marRight w:val="0"/>
                                                          <w:marTop w:val="0"/>
                                                          <w:marBottom w:val="0"/>
                                                          <w:divBdr>
                                                            <w:top w:val="none" w:sz="0" w:space="0" w:color="auto"/>
                                                            <w:left w:val="none" w:sz="0" w:space="0" w:color="auto"/>
                                                            <w:bottom w:val="none" w:sz="0" w:space="0" w:color="auto"/>
                                                            <w:right w:val="none" w:sz="0" w:space="0" w:color="auto"/>
                                                          </w:divBdr>
                                                          <w:divsChild>
                                                            <w:div w:id="2146196922">
                                                              <w:marLeft w:val="0"/>
                                                              <w:marRight w:val="0"/>
                                                              <w:marTop w:val="0"/>
                                                              <w:marBottom w:val="0"/>
                                                              <w:divBdr>
                                                                <w:top w:val="none" w:sz="0" w:space="0" w:color="auto"/>
                                                                <w:left w:val="none" w:sz="0" w:space="0" w:color="auto"/>
                                                                <w:bottom w:val="none" w:sz="0" w:space="0" w:color="auto"/>
                                                                <w:right w:val="none" w:sz="0" w:space="0" w:color="auto"/>
                                                              </w:divBdr>
                                                              <w:divsChild>
                                                                <w:div w:id="205692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60519901">
      <w:bodyDiv w:val="1"/>
      <w:marLeft w:val="0"/>
      <w:marRight w:val="0"/>
      <w:marTop w:val="0"/>
      <w:marBottom w:val="0"/>
      <w:divBdr>
        <w:top w:val="none" w:sz="0" w:space="0" w:color="auto"/>
        <w:left w:val="none" w:sz="0" w:space="0" w:color="auto"/>
        <w:bottom w:val="none" w:sz="0" w:space="0" w:color="auto"/>
        <w:right w:val="none" w:sz="0" w:space="0" w:color="auto"/>
      </w:divBdr>
    </w:div>
    <w:div w:id="1066340020">
      <w:bodyDiv w:val="1"/>
      <w:marLeft w:val="0"/>
      <w:marRight w:val="0"/>
      <w:marTop w:val="0"/>
      <w:marBottom w:val="0"/>
      <w:divBdr>
        <w:top w:val="none" w:sz="0" w:space="0" w:color="auto"/>
        <w:left w:val="none" w:sz="0" w:space="0" w:color="auto"/>
        <w:bottom w:val="none" w:sz="0" w:space="0" w:color="auto"/>
        <w:right w:val="none" w:sz="0" w:space="0" w:color="auto"/>
      </w:divBdr>
    </w:div>
    <w:div w:id="1073505653">
      <w:bodyDiv w:val="1"/>
      <w:marLeft w:val="0"/>
      <w:marRight w:val="0"/>
      <w:marTop w:val="0"/>
      <w:marBottom w:val="0"/>
      <w:divBdr>
        <w:top w:val="none" w:sz="0" w:space="0" w:color="auto"/>
        <w:left w:val="none" w:sz="0" w:space="0" w:color="auto"/>
        <w:bottom w:val="none" w:sz="0" w:space="0" w:color="auto"/>
        <w:right w:val="none" w:sz="0" w:space="0" w:color="auto"/>
      </w:divBdr>
    </w:div>
    <w:div w:id="1078476252">
      <w:bodyDiv w:val="1"/>
      <w:marLeft w:val="0"/>
      <w:marRight w:val="0"/>
      <w:marTop w:val="0"/>
      <w:marBottom w:val="0"/>
      <w:divBdr>
        <w:top w:val="none" w:sz="0" w:space="0" w:color="auto"/>
        <w:left w:val="none" w:sz="0" w:space="0" w:color="auto"/>
        <w:bottom w:val="none" w:sz="0" w:space="0" w:color="auto"/>
        <w:right w:val="none" w:sz="0" w:space="0" w:color="auto"/>
      </w:divBdr>
    </w:div>
    <w:div w:id="1082531509">
      <w:bodyDiv w:val="1"/>
      <w:marLeft w:val="0"/>
      <w:marRight w:val="0"/>
      <w:marTop w:val="0"/>
      <w:marBottom w:val="0"/>
      <w:divBdr>
        <w:top w:val="none" w:sz="0" w:space="0" w:color="auto"/>
        <w:left w:val="none" w:sz="0" w:space="0" w:color="auto"/>
        <w:bottom w:val="none" w:sz="0" w:space="0" w:color="auto"/>
        <w:right w:val="none" w:sz="0" w:space="0" w:color="auto"/>
      </w:divBdr>
    </w:div>
    <w:div w:id="1083796902">
      <w:bodyDiv w:val="1"/>
      <w:marLeft w:val="0"/>
      <w:marRight w:val="0"/>
      <w:marTop w:val="0"/>
      <w:marBottom w:val="0"/>
      <w:divBdr>
        <w:top w:val="none" w:sz="0" w:space="0" w:color="auto"/>
        <w:left w:val="none" w:sz="0" w:space="0" w:color="auto"/>
        <w:bottom w:val="none" w:sz="0" w:space="0" w:color="auto"/>
        <w:right w:val="none" w:sz="0" w:space="0" w:color="auto"/>
      </w:divBdr>
    </w:div>
    <w:div w:id="1087731203">
      <w:bodyDiv w:val="1"/>
      <w:marLeft w:val="0"/>
      <w:marRight w:val="0"/>
      <w:marTop w:val="0"/>
      <w:marBottom w:val="0"/>
      <w:divBdr>
        <w:top w:val="none" w:sz="0" w:space="0" w:color="auto"/>
        <w:left w:val="none" w:sz="0" w:space="0" w:color="auto"/>
        <w:bottom w:val="none" w:sz="0" w:space="0" w:color="auto"/>
        <w:right w:val="none" w:sz="0" w:space="0" w:color="auto"/>
      </w:divBdr>
    </w:div>
    <w:div w:id="1089351820">
      <w:bodyDiv w:val="1"/>
      <w:marLeft w:val="0"/>
      <w:marRight w:val="0"/>
      <w:marTop w:val="0"/>
      <w:marBottom w:val="0"/>
      <w:divBdr>
        <w:top w:val="none" w:sz="0" w:space="0" w:color="auto"/>
        <w:left w:val="none" w:sz="0" w:space="0" w:color="auto"/>
        <w:bottom w:val="none" w:sz="0" w:space="0" w:color="auto"/>
        <w:right w:val="none" w:sz="0" w:space="0" w:color="auto"/>
      </w:divBdr>
    </w:div>
    <w:div w:id="1089692992">
      <w:bodyDiv w:val="1"/>
      <w:marLeft w:val="0"/>
      <w:marRight w:val="0"/>
      <w:marTop w:val="0"/>
      <w:marBottom w:val="0"/>
      <w:divBdr>
        <w:top w:val="none" w:sz="0" w:space="0" w:color="auto"/>
        <w:left w:val="none" w:sz="0" w:space="0" w:color="auto"/>
        <w:bottom w:val="none" w:sz="0" w:space="0" w:color="auto"/>
        <w:right w:val="none" w:sz="0" w:space="0" w:color="auto"/>
      </w:divBdr>
    </w:div>
    <w:div w:id="1093163469">
      <w:bodyDiv w:val="1"/>
      <w:marLeft w:val="0"/>
      <w:marRight w:val="0"/>
      <w:marTop w:val="0"/>
      <w:marBottom w:val="0"/>
      <w:divBdr>
        <w:top w:val="none" w:sz="0" w:space="0" w:color="auto"/>
        <w:left w:val="none" w:sz="0" w:space="0" w:color="auto"/>
        <w:bottom w:val="none" w:sz="0" w:space="0" w:color="auto"/>
        <w:right w:val="none" w:sz="0" w:space="0" w:color="auto"/>
      </w:divBdr>
    </w:div>
    <w:div w:id="1093630796">
      <w:bodyDiv w:val="1"/>
      <w:marLeft w:val="0"/>
      <w:marRight w:val="0"/>
      <w:marTop w:val="0"/>
      <w:marBottom w:val="0"/>
      <w:divBdr>
        <w:top w:val="none" w:sz="0" w:space="0" w:color="auto"/>
        <w:left w:val="none" w:sz="0" w:space="0" w:color="auto"/>
        <w:bottom w:val="none" w:sz="0" w:space="0" w:color="auto"/>
        <w:right w:val="none" w:sz="0" w:space="0" w:color="auto"/>
      </w:divBdr>
    </w:div>
    <w:div w:id="1096635773">
      <w:bodyDiv w:val="1"/>
      <w:marLeft w:val="0"/>
      <w:marRight w:val="0"/>
      <w:marTop w:val="0"/>
      <w:marBottom w:val="0"/>
      <w:divBdr>
        <w:top w:val="none" w:sz="0" w:space="0" w:color="auto"/>
        <w:left w:val="none" w:sz="0" w:space="0" w:color="auto"/>
        <w:bottom w:val="none" w:sz="0" w:space="0" w:color="auto"/>
        <w:right w:val="none" w:sz="0" w:space="0" w:color="auto"/>
      </w:divBdr>
    </w:div>
    <w:div w:id="1096637169">
      <w:bodyDiv w:val="1"/>
      <w:marLeft w:val="0"/>
      <w:marRight w:val="0"/>
      <w:marTop w:val="0"/>
      <w:marBottom w:val="0"/>
      <w:divBdr>
        <w:top w:val="none" w:sz="0" w:space="0" w:color="auto"/>
        <w:left w:val="none" w:sz="0" w:space="0" w:color="auto"/>
        <w:bottom w:val="none" w:sz="0" w:space="0" w:color="auto"/>
        <w:right w:val="none" w:sz="0" w:space="0" w:color="auto"/>
      </w:divBdr>
    </w:div>
    <w:div w:id="1104570400">
      <w:bodyDiv w:val="1"/>
      <w:marLeft w:val="0"/>
      <w:marRight w:val="0"/>
      <w:marTop w:val="0"/>
      <w:marBottom w:val="0"/>
      <w:divBdr>
        <w:top w:val="none" w:sz="0" w:space="0" w:color="auto"/>
        <w:left w:val="none" w:sz="0" w:space="0" w:color="auto"/>
        <w:bottom w:val="none" w:sz="0" w:space="0" w:color="auto"/>
        <w:right w:val="none" w:sz="0" w:space="0" w:color="auto"/>
      </w:divBdr>
    </w:div>
    <w:div w:id="1107582179">
      <w:bodyDiv w:val="1"/>
      <w:marLeft w:val="0"/>
      <w:marRight w:val="0"/>
      <w:marTop w:val="0"/>
      <w:marBottom w:val="0"/>
      <w:divBdr>
        <w:top w:val="none" w:sz="0" w:space="0" w:color="auto"/>
        <w:left w:val="none" w:sz="0" w:space="0" w:color="auto"/>
        <w:bottom w:val="none" w:sz="0" w:space="0" w:color="auto"/>
        <w:right w:val="none" w:sz="0" w:space="0" w:color="auto"/>
      </w:divBdr>
    </w:div>
    <w:div w:id="1122533300">
      <w:bodyDiv w:val="1"/>
      <w:marLeft w:val="0"/>
      <w:marRight w:val="0"/>
      <w:marTop w:val="0"/>
      <w:marBottom w:val="0"/>
      <w:divBdr>
        <w:top w:val="none" w:sz="0" w:space="0" w:color="auto"/>
        <w:left w:val="none" w:sz="0" w:space="0" w:color="auto"/>
        <w:bottom w:val="none" w:sz="0" w:space="0" w:color="auto"/>
        <w:right w:val="none" w:sz="0" w:space="0" w:color="auto"/>
      </w:divBdr>
    </w:div>
    <w:div w:id="1136072705">
      <w:bodyDiv w:val="1"/>
      <w:marLeft w:val="0"/>
      <w:marRight w:val="0"/>
      <w:marTop w:val="0"/>
      <w:marBottom w:val="0"/>
      <w:divBdr>
        <w:top w:val="none" w:sz="0" w:space="0" w:color="auto"/>
        <w:left w:val="none" w:sz="0" w:space="0" w:color="auto"/>
        <w:bottom w:val="none" w:sz="0" w:space="0" w:color="auto"/>
        <w:right w:val="none" w:sz="0" w:space="0" w:color="auto"/>
      </w:divBdr>
    </w:div>
    <w:div w:id="1140223821">
      <w:bodyDiv w:val="1"/>
      <w:marLeft w:val="0"/>
      <w:marRight w:val="0"/>
      <w:marTop w:val="0"/>
      <w:marBottom w:val="0"/>
      <w:divBdr>
        <w:top w:val="none" w:sz="0" w:space="0" w:color="auto"/>
        <w:left w:val="none" w:sz="0" w:space="0" w:color="auto"/>
        <w:bottom w:val="none" w:sz="0" w:space="0" w:color="auto"/>
        <w:right w:val="none" w:sz="0" w:space="0" w:color="auto"/>
      </w:divBdr>
    </w:div>
    <w:div w:id="1140998157">
      <w:bodyDiv w:val="1"/>
      <w:marLeft w:val="0"/>
      <w:marRight w:val="0"/>
      <w:marTop w:val="0"/>
      <w:marBottom w:val="0"/>
      <w:divBdr>
        <w:top w:val="none" w:sz="0" w:space="0" w:color="auto"/>
        <w:left w:val="none" w:sz="0" w:space="0" w:color="auto"/>
        <w:bottom w:val="none" w:sz="0" w:space="0" w:color="auto"/>
        <w:right w:val="none" w:sz="0" w:space="0" w:color="auto"/>
      </w:divBdr>
    </w:div>
    <w:div w:id="1142693786">
      <w:bodyDiv w:val="1"/>
      <w:marLeft w:val="0"/>
      <w:marRight w:val="0"/>
      <w:marTop w:val="0"/>
      <w:marBottom w:val="0"/>
      <w:divBdr>
        <w:top w:val="none" w:sz="0" w:space="0" w:color="auto"/>
        <w:left w:val="none" w:sz="0" w:space="0" w:color="auto"/>
        <w:bottom w:val="none" w:sz="0" w:space="0" w:color="auto"/>
        <w:right w:val="none" w:sz="0" w:space="0" w:color="auto"/>
      </w:divBdr>
    </w:div>
    <w:div w:id="1147166157">
      <w:bodyDiv w:val="1"/>
      <w:marLeft w:val="0"/>
      <w:marRight w:val="0"/>
      <w:marTop w:val="0"/>
      <w:marBottom w:val="0"/>
      <w:divBdr>
        <w:top w:val="none" w:sz="0" w:space="0" w:color="auto"/>
        <w:left w:val="none" w:sz="0" w:space="0" w:color="auto"/>
        <w:bottom w:val="none" w:sz="0" w:space="0" w:color="auto"/>
        <w:right w:val="none" w:sz="0" w:space="0" w:color="auto"/>
      </w:divBdr>
      <w:divsChild>
        <w:div w:id="1449936215">
          <w:marLeft w:val="0"/>
          <w:marRight w:val="0"/>
          <w:marTop w:val="0"/>
          <w:marBottom w:val="0"/>
          <w:divBdr>
            <w:top w:val="none" w:sz="0" w:space="0" w:color="auto"/>
            <w:left w:val="none" w:sz="0" w:space="0" w:color="auto"/>
            <w:bottom w:val="none" w:sz="0" w:space="0" w:color="auto"/>
            <w:right w:val="none" w:sz="0" w:space="0" w:color="auto"/>
          </w:divBdr>
        </w:div>
      </w:divsChild>
    </w:div>
    <w:div w:id="1160341440">
      <w:bodyDiv w:val="1"/>
      <w:marLeft w:val="0"/>
      <w:marRight w:val="0"/>
      <w:marTop w:val="0"/>
      <w:marBottom w:val="0"/>
      <w:divBdr>
        <w:top w:val="none" w:sz="0" w:space="0" w:color="auto"/>
        <w:left w:val="none" w:sz="0" w:space="0" w:color="auto"/>
        <w:bottom w:val="none" w:sz="0" w:space="0" w:color="auto"/>
        <w:right w:val="none" w:sz="0" w:space="0" w:color="auto"/>
      </w:divBdr>
    </w:div>
    <w:div w:id="1173102781">
      <w:bodyDiv w:val="1"/>
      <w:marLeft w:val="0"/>
      <w:marRight w:val="0"/>
      <w:marTop w:val="0"/>
      <w:marBottom w:val="0"/>
      <w:divBdr>
        <w:top w:val="none" w:sz="0" w:space="0" w:color="auto"/>
        <w:left w:val="none" w:sz="0" w:space="0" w:color="auto"/>
        <w:bottom w:val="none" w:sz="0" w:space="0" w:color="auto"/>
        <w:right w:val="none" w:sz="0" w:space="0" w:color="auto"/>
      </w:divBdr>
    </w:div>
    <w:div w:id="1175266490">
      <w:bodyDiv w:val="1"/>
      <w:marLeft w:val="0"/>
      <w:marRight w:val="0"/>
      <w:marTop w:val="0"/>
      <w:marBottom w:val="0"/>
      <w:divBdr>
        <w:top w:val="none" w:sz="0" w:space="0" w:color="auto"/>
        <w:left w:val="none" w:sz="0" w:space="0" w:color="auto"/>
        <w:bottom w:val="none" w:sz="0" w:space="0" w:color="auto"/>
        <w:right w:val="none" w:sz="0" w:space="0" w:color="auto"/>
      </w:divBdr>
    </w:div>
    <w:div w:id="1181705629">
      <w:bodyDiv w:val="1"/>
      <w:marLeft w:val="0"/>
      <w:marRight w:val="0"/>
      <w:marTop w:val="0"/>
      <w:marBottom w:val="0"/>
      <w:divBdr>
        <w:top w:val="none" w:sz="0" w:space="0" w:color="auto"/>
        <w:left w:val="none" w:sz="0" w:space="0" w:color="auto"/>
        <w:bottom w:val="none" w:sz="0" w:space="0" w:color="auto"/>
        <w:right w:val="none" w:sz="0" w:space="0" w:color="auto"/>
      </w:divBdr>
    </w:div>
    <w:div w:id="1185437565">
      <w:bodyDiv w:val="1"/>
      <w:marLeft w:val="0"/>
      <w:marRight w:val="0"/>
      <w:marTop w:val="0"/>
      <w:marBottom w:val="0"/>
      <w:divBdr>
        <w:top w:val="none" w:sz="0" w:space="0" w:color="auto"/>
        <w:left w:val="none" w:sz="0" w:space="0" w:color="auto"/>
        <w:bottom w:val="none" w:sz="0" w:space="0" w:color="auto"/>
        <w:right w:val="none" w:sz="0" w:space="0" w:color="auto"/>
      </w:divBdr>
    </w:div>
    <w:div w:id="1189444514">
      <w:bodyDiv w:val="1"/>
      <w:marLeft w:val="0"/>
      <w:marRight w:val="0"/>
      <w:marTop w:val="0"/>
      <w:marBottom w:val="0"/>
      <w:divBdr>
        <w:top w:val="none" w:sz="0" w:space="0" w:color="auto"/>
        <w:left w:val="none" w:sz="0" w:space="0" w:color="auto"/>
        <w:bottom w:val="none" w:sz="0" w:space="0" w:color="auto"/>
        <w:right w:val="none" w:sz="0" w:space="0" w:color="auto"/>
      </w:divBdr>
      <w:divsChild>
        <w:div w:id="399181526">
          <w:marLeft w:val="0"/>
          <w:marRight w:val="0"/>
          <w:marTop w:val="0"/>
          <w:marBottom w:val="0"/>
          <w:divBdr>
            <w:top w:val="none" w:sz="0" w:space="0" w:color="auto"/>
            <w:left w:val="none" w:sz="0" w:space="0" w:color="auto"/>
            <w:bottom w:val="none" w:sz="0" w:space="0" w:color="auto"/>
            <w:right w:val="none" w:sz="0" w:space="0" w:color="auto"/>
          </w:divBdr>
        </w:div>
      </w:divsChild>
    </w:div>
    <w:div w:id="1193180701">
      <w:bodyDiv w:val="1"/>
      <w:marLeft w:val="0"/>
      <w:marRight w:val="0"/>
      <w:marTop w:val="0"/>
      <w:marBottom w:val="0"/>
      <w:divBdr>
        <w:top w:val="none" w:sz="0" w:space="0" w:color="auto"/>
        <w:left w:val="none" w:sz="0" w:space="0" w:color="auto"/>
        <w:bottom w:val="none" w:sz="0" w:space="0" w:color="auto"/>
        <w:right w:val="none" w:sz="0" w:space="0" w:color="auto"/>
      </w:divBdr>
    </w:div>
    <w:div w:id="1200319569">
      <w:bodyDiv w:val="1"/>
      <w:marLeft w:val="0"/>
      <w:marRight w:val="0"/>
      <w:marTop w:val="0"/>
      <w:marBottom w:val="0"/>
      <w:divBdr>
        <w:top w:val="none" w:sz="0" w:space="0" w:color="auto"/>
        <w:left w:val="none" w:sz="0" w:space="0" w:color="auto"/>
        <w:bottom w:val="none" w:sz="0" w:space="0" w:color="auto"/>
        <w:right w:val="none" w:sz="0" w:space="0" w:color="auto"/>
      </w:divBdr>
    </w:div>
    <w:div w:id="1200512740">
      <w:bodyDiv w:val="1"/>
      <w:marLeft w:val="0"/>
      <w:marRight w:val="0"/>
      <w:marTop w:val="0"/>
      <w:marBottom w:val="0"/>
      <w:divBdr>
        <w:top w:val="none" w:sz="0" w:space="0" w:color="auto"/>
        <w:left w:val="none" w:sz="0" w:space="0" w:color="auto"/>
        <w:bottom w:val="none" w:sz="0" w:space="0" w:color="auto"/>
        <w:right w:val="none" w:sz="0" w:space="0" w:color="auto"/>
      </w:divBdr>
    </w:div>
    <w:div w:id="1206025443">
      <w:bodyDiv w:val="1"/>
      <w:marLeft w:val="0"/>
      <w:marRight w:val="0"/>
      <w:marTop w:val="0"/>
      <w:marBottom w:val="0"/>
      <w:divBdr>
        <w:top w:val="none" w:sz="0" w:space="0" w:color="auto"/>
        <w:left w:val="none" w:sz="0" w:space="0" w:color="auto"/>
        <w:bottom w:val="none" w:sz="0" w:space="0" w:color="auto"/>
        <w:right w:val="none" w:sz="0" w:space="0" w:color="auto"/>
      </w:divBdr>
    </w:div>
    <w:div w:id="1225995480">
      <w:bodyDiv w:val="1"/>
      <w:marLeft w:val="0"/>
      <w:marRight w:val="0"/>
      <w:marTop w:val="0"/>
      <w:marBottom w:val="0"/>
      <w:divBdr>
        <w:top w:val="none" w:sz="0" w:space="0" w:color="auto"/>
        <w:left w:val="none" w:sz="0" w:space="0" w:color="auto"/>
        <w:bottom w:val="none" w:sz="0" w:space="0" w:color="auto"/>
        <w:right w:val="none" w:sz="0" w:space="0" w:color="auto"/>
      </w:divBdr>
    </w:div>
    <w:div w:id="1226985658">
      <w:bodyDiv w:val="1"/>
      <w:marLeft w:val="0"/>
      <w:marRight w:val="0"/>
      <w:marTop w:val="0"/>
      <w:marBottom w:val="0"/>
      <w:divBdr>
        <w:top w:val="none" w:sz="0" w:space="0" w:color="auto"/>
        <w:left w:val="none" w:sz="0" w:space="0" w:color="auto"/>
        <w:bottom w:val="none" w:sz="0" w:space="0" w:color="auto"/>
        <w:right w:val="none" w:sz="0" w:space="0" w:color="auto"/>
      </w:divBdr>
    </w:div>
    <w:div w:id="1230772387">
      <w:bodyDiv w:val="1"/>
      <w:marLeft w:val="0"/>
      <w:marRight w:val="0"/>
      <w:marTop w:val="0"/>
      <w:marBottom w:val="0"/>
      <w:divBdr>
        <w:top w:val="none" w:sz="0" w:space="0" w:color="auto"/>
        <w:left w:val="none" w:sz="0" w:space="0" w:color="auto"/>
        <w:bottom w:val="none" w:sz="0" w:space="0" w:color="auto"/>
        <w:right w:val="none" w:sz="0" w:space="0" w:color="auto"/>
      </w:divBdr>
    </w:div>
    <w:div w:id="1236011198">
      <w:bodyDiv w:val="1"/>
      <w:marLeft w:val="0"/>
      <w:marRight w:val="0"/>
      <w:marTop w:val="0"/>
      <w:marBottom w:val="0"/>
      <w:divBdr>
        <w:top w:val="none" w:sz="0" w:space="0" w:color="auto"/>
        <w:left w:val="none" w:sz="0" w:space="0" w:color="auto"/>
        <w:bottom w:val="none" w:sz="0" w:space="0" w:color="auto"/>
        <w:right w:val="none" w:sz="0" w:space="0" w:color="auto"/>
      </w:divBdr>
    </w:div>
    <w:div w:id="1241865037">
      <w:bodyDiv w:val="1"/>
      <w:marLeft w:val="0"/>
      <w:marRight w:val="0"/>
      <w:marTop w:val="0"/>
      <w:marBottom w:val="0"/>
      <w:divBdr>
        <w:top w:val="none" w:sz="0" w:space="0" w:color="auto"/>
        <w:left w:val="none" w:sz="0" w:space="0" w:color="auto"/>
        <w:bottom w:val="none" w:sz="0" w:space="0" w:color="auto"/>
        <w:right w:val="none" w:sz="0" w:space="0" w:color="auto"/>
      </w:divBdr>
    </w:div>
    <w:div w:id="1243486076">
      <w:bodyDiv w:val="1"/>
      <w:marLeft w:val="0"/>
      <w:marRight w:val="0"/>
      <w:marTop w:val="0"/>
      <w:marBottom w:val="0"/>
      <w:divBdr>
        <w:top w:val="none" w:sz="0" w:space="0" w:color="auto"/>
        <w:left w:val="none" w:sz="0" w:space="0" w:color="auto"/>
        <w:bottom w:val="none" w:sz="0" w:space="0" w:color="auto"/>
        <w:right w:val="none" w:sz="0" w:space="0" w:color="auto"/>
      </w:divBdr>
    </w:div>
    <w:div w:id="1244803394">
      <w:bodyDiv w:val="1"/>
      <w:marLeft w:val="0"/>
      <w:marRight w:val="0"/>
      <w:marTop w:val="0"/>
      <w:marBottom w:val="0"/>
      <w:divBdr>
        <w:top w:val="none" w:sz="0" w:space="0" w:color="auto"/>
        <w:left w:val="none" w:sz="0" w:space="0" w:color="auto"/>
        <w:bottom w:val="none" w:sz="0" w:space="0" w:color="auto"/>
        <w:right w:val="none" w:sz="0" w:space="0" w:color="auto"/>
      </w:divBdr>
    </w:div>
    <w:div w:id="1249391019">
      <w:bodyDiv w:val="1"/>
      <w:marLeft w:val="0"/>
      <w:marRight w:val="0"/>
      <w:marTop w:val="0"/>
      <w:marBottom w:val="0"/>
      <w:divBdr>
        <w:top w:val="none" w:sz="0" w:space="0" w:color="auto"/>
        <w:left w:val="none" w:sz="0" w:space="0" w:color="auto"/>
        <w:bottom w:val="none" w:sz="0" w:space="0" w:color="auto"/>
        <w:right w:val="none" w:sz="0" w:space="0" w:color="auto"/>
      </w:divBdr>
    </w:div>
    <w:div w:id="1260866703">
      <w:bodyDiv w:val="1"/>
      <w:marLeft w:val="0"/>
      <w:marRight w:val="0"/>
      <w:marTop w:val="0"/>
      <w:marBottom w:val="0"/>
      <w:divBdr>
        <w:top w:val="none" w:sz="0" w:space="0" w:color="auto"/>
        <w:left w:val="none" w:sz="0" w:space="0" w:color="auto"/>
        <w:bottom w:val="none" w:sz="0" w:space="0" w:color="auto"/>
        <w:right w:val="none" w:sz="0" w:space="0" w:color="auto"/>
      </w:divBdr>
    </w:div>
    <w:div w:id="1261184121">
      <w:bodyDiv w:val="1"/>
      <w:marLeft w:val="0"/>
      <w:marRight w:val="0"/>
      <w:marTop w:val="0"/>
      <w:marBottom w:val="0"/>
      <w:divBdr>
        <w:top w:val="none" w:sz="0" w:space="0" w:color="auto"/>
        <w:left w:val="none" w:sz="0" w:space="0" w:color="auto"/>
        <w:bottom w:val="none" w:sz="0" w:space="0" w:color="auto"/>
        <w:right w:val="none" w:sz="0" w:space="0" w:color="auto"/>
      </w:divBdr>
    </w:div>
    <w:div w:id="1270622853">
      <w:bodyDiv w:val="1"/>
      <w:marLeft w:val="0"/>
      <w:marRight w:val="0"/>
      <w:marTop w:val="0"/>
      <w:marBottom w:val="0"/>
      <w:divBdr>
        <w:top w:val="none" w:sz="0" w:space="0" w:color="auto"/>
        <w:left w:val="none" w:sz="0" w:space="0" w:color="auto"/>
        <w:bottom w:val="none" w:sz="0" w:space="0" w:color="auto"/>
        <w:right w:val="none" w:sz="0" w:space="0" w:color="auto"/>
      </w:divBdr>
    </w:div>
    <w:div w:id="1270700675">
      <w:bodyDiv w:val="1"/>
      <w:marLeft w:val="0"/>
      <w:marRight w:val="0"/>
      <w:marTop w:val="0"/>
      <w:marBottom w:val="0"/>
      <w:divBdr>
        <w:top w:val="none" w:sz="0" w:space="0" w:color="auto"/>
        <w:left w:val="none" w:sz="0" w:space="0" w:color="auto"/>
        <w:bottom w:val="none" w:sz="0" w:space="0" w:color="auto"/>
        <w:right w:val="none" w:sz="0" w:space="0" w:color="auto"/>
      </w:divBdr>
    </w:div>
    <w:div w:id="1293101290">
      <w:bodyDiv w:val="1"/>
      <w:marLeft w:val="0"/>
      <w:marRight w:val="0"/>
      <w:marTop w:val="0"/>
      <w:marBottom w:val="0"/>
      <w:divBdr>
        <w:top w:val="none" w:sz="0" w:space="0" w:color="auto"/>
        <w:left w:val="none" w:sz="0" w:space="0" w:color="auto"/>
        <w:bottom w:val="none" w:sz="0" w:space="0" w:color="auto"/>
        <w:right w:val="none" w:sz="0" w:space="0" w:color="auto"/>
      </w:divBdr>
    </w:div>
    <w:div w:id="1293947661">
      <w:bodyDiv w:val="1"/>
      <w:marLeft w:val="0"/>
      <w:marRight w:val="0"/>
      <w:marTop w:val="0"/>
      <w:marBottom w:val="0"/>
      <w:divBdr>
        <w:top w:val="none" w:sz="0" w:space="0" w:color="auto"/>
        <w:left w:val="none" w:sz="0" w:space="0" w:color="auto"/>
        <w:bottom w:val="none" w:sz="0" w:space="0" w:color="auto"/>
        <w:right w:val="none" w:sz="0" w:space="0" w:color="auto"/>
      </w:divBdr>
    </w:div>
    <w:div w:id="1296452543">
      <w:bodyDiv w:val="1"/>
      <w:marLeft w:val="0"/>
      <w:marRight w:val="0"/>
      <w:marTop w:val="0"/>
      <w:marBottom w:val="0"/>
      <w:divBdr>
        <w:top w:val="none" w:sz="0" w:space="0" w:color="auto"/>
        <w:left w:val="none" w:sz="0" w:space="0" w:color="auto"/>
        <w:bottom w:val="none" w:sz="0" w:space="0" w:color="auto"/>
        <w:right w:val="none" w:sz="0" w:space="0" w:color="auto"/>
      </w:divBdr>
    </w:div>
    <w:div w:id="1303774197">
      <w:bodyDiv w:val="1"/>
      <w:marLeft w:val="0"/>
      <w:marRight w:val="0"/>
      <w:marTop w:val="0"/>
      <w:marBottom w:val="0"/>
      <w:divBdr>
        <w:top w:val="none" w:sz="0" w:space="0" w:color="auto"/>
        <w:left w:val="none" w:sz="0" w:space="0" w:color="auto"/>
        <w:bottom w:val="none" w:sz="0" w:space="0" w:color="auto"/>
        <w:right w:val="none" w:sz="0" w:space="0" w:color="auto"/>
      </w:divBdr>
    </w:div>
    <w:div w:id="1313563663">
      <w:bodyDiv w:val="1"/>
      <w:marLeft w:val="0"/>
      <w:marRight w:val="0"/>
      <w:marTop w:val="0"/>
      <w:marBottom w:val="0"/>
      <w:divBdr>
        <w:top w:val="none" w:sz="0" w:space="0" w:color="auto"/>
        <w:left w:val="none" w:sz="0" w:space="0" w:color="auto"/>
        <w:bottom w:val="none" w:sz="0" w:space="0" w:color="auto"/>
        <w:right w:val="none" w:sz="0" w:space="0" w:color="auto"/>
      </w:divBdr>
      <w:divsChild>
        <w:div w:id="1453131818">
          <w:marLeft w:val="0"/>
          <w:marRight w:val="0"/>
          <w:marTop w:val="0"/>
          <w:marBottom w:val="0"/>
          <w:divBdr>
            <w:top w:val="none" w:sz="0" w:space="0" w:color="auto"/>
            <w:left w:val="none" w:sz="0" w:space="0" w:color="auto"/>
            <w:bottom w:val="none" w:sz="0" w:space="0" w:color="auto"/>
            <w:right w:val="none" w:sz="0" w:space="0" w:color="auto"/>
          </w:divBdr>
        </w:div>
      </w:divsChild>
    </w:div>
    <w:div w:id="1314404575">
      <w:bodyDiv w:val="1"/>
      <w:marLeft w:val="0"/>
      <w:marRight w:val="0"/>
      <w:marTop w:val="0"/>
      <w:marBottom w:val="0"/>
      <w:divBdr>
        <w:top w:val="none" w:sz="0" w:space="0" w:color="auto"/>
        <w:left w:val="none" w:sz="0" w:space="0" w:color="auto"/>
        <w:bottom w:val="none" w:sz="0" w:space="0" w:color="auto"/>
        <w:right w:val="none" w:sz="0" w:space="0" w:color="auto"/>
      </w:divBdr>
    </w:div>
    <w:div w:id="1314800228">
      <w:bodyDiv w:val="1"/>
      <w:marLeft w:val="0"/>
      <w:marRight w:val="0"/>
      <w:marTop w:val="0"/>
      <w:marBottom w:val="0"/>
      <w:divBdr>
        <w:top w:val="none" w:sz="0" w:space="0" w:color="auto"/>
        <w:left w:val="none" w:sz="0" w:space="0" w:color="auto"/>
        <w:bottom w:val="none" w:sz="0" w:space="0" w:color="auto"/>
        <w:right w:val="none" w:sz="0" w:space="0" w:color="auto"/>
      </w:divBdr>
    </w:div>
    <w:div w:id="1318654943">
      <w:bodyDiv w:val="1"/>
      <w:marLeft w:val="0"/>
      <w:marRight w:val="0"/>
      <w:marTop w:val="0"/>
      <w:marBottom w:val="0"/>
      <w:divBdr>
        <w:top w:val="none" w:sz="0" w:space="0" w:color="auto"/>
        <w:left w:val="none" w:sz="0" w:space="0" w:color="auto"/>
        <w:bottom w:val="none" w:sz="0" w:space="0" w:color="auto"/>
        <w:right w:val="none" w:sz="0" w:space="0" w:color="auto"/>
      </w:divBdr>
    </w:div>
    <w:div w:id="1325359648">
      <w:bodyDiv w:val="1"/>
      <w:marLeft w:val="0"/>
      <w:marRight w:val="0"/>
      <w:marTop w:val="0"/>
      <w:marBottom w:val="0"/>
      <w:divBdr>
        <w:top w:val="none" w:sz="0" w:space="0" w:color="auto"/>
        <w:left w:val="none" w:sz="0" w:space="0" w:color="auto"/>
        <w:bottom w:val="none" w:sz="0" w:space="0" w:color="auto"/>
        <w:right w:val="none" w:sz="0" w:space="0" w:color="auto"/>
      </w:divBdr>
    </w:div>
    <w:div w:id="1330213264">
      <w:bodyDiv w:val="1"/>
      <w:marLeft w:val="0"/>
      <w:marRight w:val="0"/>
      <w:marTop w:val="0"/>
      <w:marBottom w:val="0"/>
      <w:divBdr>
        <w:top w:val="none" w:sz="0" w:space="0" w:color="auto"/>
        <w:left w:val="none" w:sz="0" w:space="0" w:color="auto"/>
        <w:bottom w:val="none" w:sz="0" w:space="0" w:color="auto"/>
        <w:right w:val="none" w:sz="0" w:space="0" w:color="auto"/>
      </w:divBdr>
      <w:divsChild>
        <w:div w:id="1616015670">
          <w:marLeft w:val="0"/>
          <w:marRight w:val="0"/>
          <w:marTop w:val="0"/>
          <w:marBottom w:val="0"/>
          <w:divBdr>
            <w:top w:val="none" w:sz="0" w:space="0" w:color="auto"/>
            <w:left w:val="none" w:sz="0" w:space="0" w:color="auto"/>
            <w:bottom w:val="none" w:sz="0" w:space="0" w:color="auto"/>
            <w:right w:val="none" w:sz="0" w:space="0" w:color="auto"/>
          </w:divBdr>
        </w:div>
      </w:divsChild>
    </w:div>
    <w:div w:id="1332374308">
      <w:bodyDiv w:val="1"/>
      <w:marLeft w:val="0"/>
      <w:marRight w:val="0"/>
      <w:marTop w:val="0"/>
      <w:marBottom w:val="0"/>
      <w:divBdr>
        <w:top w:val="none" w:sz="0" w:space="0" w:color="auto"/>
        <w:left w:val="none" w:sz="0" w:space="0" w:color="auto"/>
        <w:bottom w:val="none" w:sz="0" w:space="0" w:color="auto"/>
        <w:right w:val="none" w:sz="0" w:space="0" w:color="auto"/>
      </w:divBdr>
    </w:div>
    <w:div w:id="1338071196">
      <w:bodyDiv w:val="1"/>
      <w:marLeft w:val="0"/>
      <w:marRight w:val="0"/>
      <w:marTop w:val="0"/>
      <w:marBottom w:val="0"/>
      <w:divBdr>
        <w:top w:val="none" w:sz="0" w:space="0" w:color="auto"/>
        <w:left w:val="none" w:sz="0" w:space="0" w:color="auto"/>
        <w:bottom w:val="none" w:sz="0" w:space="0" w:color="auto"/>
        <w:right w:val="none" w:sz="0" w:space="0" w:color="auto"/>
      </w:divBdr>
    </w:div>
    <w:div w:id="1346636478">
      <w:bodyDiv w:val="1"/>
      <w:marLeft w:val="0"/>
      <w:marRight w:val="0"/>
      <w:marTop w:val="0"/>
      <w:marBottom w:val="0"/>
      <w:divBdr>
        <w:top w:val="none" w:sz="0" w:space="0" w:color="auto"/>
        <w:left w:val="none" w:sz="0" w:space="0" w:color="auto"/>
        <w:bottom w:val="none" w:sz="0" w:space="0" w:color="auto"/>
        <w:right w:val="none" w:sz="0" w:space="0" w:color="auto"/>
      </w:divBdr>
    </w:div>
    <w:div w:id="1347173469">
      <w:bodyDiv w:val="1"/>
      <w:marLeft w:val="0"/>
      <w:marRight w:val="0"/>
      <w:marTop w:val="0"/>
      <w:marBottom w:val="0"/>
      <w:divBdr>
        <w:top w:val="none" w:sz="0" w:space="0" w:color="auto"/>
        <w:left w:val="none" w:sz="0" w:space="0" w:color="auto"/>
        <w:bottom w:val="none" w:sz="0" w:space="0" w:color="auto"/>
        <w:right w:val="none" w:sz="0" w:space="0" w:color="auto"/>
      </w:divBdr>
    </w:div>
    <w:div w:id="1348408265">
      <w:bodyDiv w:val="1"/>
      <w:marLeft w:val="0"/>
      <w:marRight w:val="0"/>
      <w:marTop w:val="0"/>
      <w:marBottom w:val="0"/>
      <w:divBdr>
        <w:top w:val="none" w:sz="0" w:space="0" w:color="auto"/>
        <w:left w:val="none" w:sz="0" w:space="0" w:color="auto"/>
        <w:bottom w:val="none" w:sz="0" w:space="0" w:color="auto"/>
        <w:right w:val="none" w:sz="0" w:space="0" w:color="auto"/>
      </w:divBdr>
      <w:divsChild>
        <w:div w:id="1264724456">
          <w:marLeft w:val="0"/>
          <w:marRight w:val="0"/>
          <w:marTop w:val="0"/>
          <w:marBottom w:val="0"/>
          <w:divBdr>
            <w:top w:val="none" w:sz="0" w:space="0" w:color="auto"/>
            <w:left w:val="none" w:sz="0" w:space="0" w:color="auto"/>
            <w:bottom w:val="none" w:sz="0" w:space="0" w:color="auto"/>
            <w:right w:val="none" w:sz="0" w:space="0" w:color="auto"/>
          </w:divBdr>
        </w:div>
      </w:divsChild>
    </w:div>
    <w:div w:id="1354109758">
      <w:bodyDiv w:val="1"/>
      <w:marLeft w:val="0"/>
      <w:marRight w:val="0"/>
      <w:marTop w:val="0"/>
      <w:marBottom w:val="0"/>
      <w:divBdr>
        <w:top w:val="none" w:sz="0" w:space="0" w:color="auto"/>
        <w:left w:val="none" w:sz="0" w:space="0" w:color="auto"/>
        <w:bottom w:val="none" w:sz="0" w:space="0" w:color="auto"/>
        <w:right w:val="none" w:sz="0" w:space="0" w:color="auto"/>
      </w:divBdr>
      <w:divsChild>
        <w:div w:id="312490907">
          <w:marLeft w:val="0"/>
          <w:marRight w:val="0"/>
          <w:marTop w:val="0"/>
          <w:marBottom w:val="0"/>
          <w:divBdr>
            <w:top w:val="none" w:sz="0" w:space="0" w:color="auto"/>
            <w:left w:val="none" w:sz="0" w:space="0" w:color="auto"/>
            <w:bottom w:val="none" w:sz="0" w:space="0" w:color="auto"/>
            <w:right w:val="none" w:sz="0" w:space="0" w:color="auto"/>
          </w:divBdr>
        </w:div>
      </w:divsChild>
    </w:div>
    <w:div w:id="1355039870">
      <w:bodyDiv w:val="1"/>
      <w:marLeft w:val="0"/>
      <w:marRight w:val="0"/>
      <w:marTop w:val="0"/>
      <w:marBottom w:val="0"/>
      <w:divBdr>
        <w:top w:val="none" w:sz="0" w:space="0" w:color="auto"/>
        <w:left w:val="none" w:sz="0" w:space="0" w:color="auto"/>
        <w:bottom w:val="none" w:sz="0" w:space="0" w:color="auto"/>
        <w:right w:val="none" w:sz="0" w:space="0" w:color="auto"/>
      </w:divBdr>
    </w:div>
    <w:div w:id="1371757176">
      <w:bodyDiv w:val="1"/>
      <w:marLeft w:val="0"/>
      <w:marRight w:val="0"/>
      <w:marTop w:val="0"/>
      <w:marBottom w:val="0"/>
      <w:divBdr>
        <w:top w:val="none" w:sz="0" w:space="0" w:color="auto"/>
        <w:left w:val="none" w:sz="0" w:space="0" w:color="auto"/>
        <w:bottom w:val="none" w:sz="0" w:space="0" w:color="auto"/>
        <w:right w:val="none" w:sz="0" w:space="0" w:color="auto"/>
      </w:divBdr>
    </w:div>
    <w:div w:id="1373387670">
      <w:bodyDiv w:val="1"/>
      <w:marLeft w:val="0"/>
      <w:marRight w:val="0"/>
      <w:marTop w:val="0"/>
      <w:marBottom w:val="0"/>
      <w:divBdr>
        <w:top w:val="none" w:sz="0" w:space="0" w:color="auto"/>
        <w:left w:val="none" w:sz="0" w:space="0" w:color="auto"/>
        <w:bottom w:val="none" w:sz="0" w:space="0" w:color="auto"/>
        <w:right w:val="none" w:sz="0" w:space="0" w:color="auto"/>
      </w:divBdr>
    </w:div>
    <w:div w:id="1375159901">
      <w:bodyDiv w:val="1"/>
      <w:marLeft w:val="0"/>
      <w:marRight w:val="0"/>
      <w:marTop w:val="0"/>
      <w:marBottom w:val="0"/>
      <w:divBdr>
        <w:top w:val="none" w:sz="0" w:space="0" w:color="auto"/>
        <w:left w:val="none" w:sz="0" w:space="0" w:color="auto"/>
        <w:bottom w:val="none" w:sz="0" w:space="0" w:color="auto"/>
        <w:right w:val="none" w:sz="0" w:space="0" w:color="auto"/>
      </w:divBdr>
    </w:div>
    <w:div w:id="1405493065">
      <w:bodyDiv w:val="1"/>
      <w:marLeft w:val="0"/>
      <w:marRight w:val="0"/>
      <w:marTop w:val="0"/>
      <w:marBottom w:val="0"/>
      <w:divBdr>
        <w:top w:val="none" w:sz="0" w:space="0" w:color="auto"/>
        <w:left w:val="none" w:sz="0" w:space="0" w:color="auto"/>
        <w:bottom w:val="none" w:sz="0" w:space="0" w:color="auto"/>
        <w:right w:val="none" w:sz="0" w:space="0" w:color="auto"/>
      </w:divBdr>
    </w:div>
    <w:div w:id="1407991774">
      <w:bodyDiv w:val="1"/>
      <w:marLeft w:val="0"/>
      <w:marRight w:val="0"/>
      <w:marTop w:val="0"/>
      <w:marBottom w:val="0"/>
      <w:divBdr>
        <w:top w:val="none" w:sz="0" w:space="0" w:color="auto"/>
        <w:left w:val="none" w:sz="0" w:space="0" w:color="auto"/>
        <w:bottom w:val="none" w:sz="0" w:space="0" w:color="auto"/>
        <w:right w:val="none" w:sz="0" w:space="0" w:color="auto"/>
      </w:divBdr>
    </w:div>
    <w:div w:id="1408380673">
      <w:bodyDiv w:val="1"/>
      <w:marLeft w:val="0"/>
      <w:marRight w:val="0"/>
      <w:marTop w:val="0"/>
      <w:marBottom w:val="0"/>
      <w:divBdr>
        <w:top w:val="none" w:sz="0" w:space="0" w:color="auto"/>
        <w:left w:val="none" w:sz="0" w:space="0" w:color="auto"/>
        <w:bottom w:val="none" w:sz="0" w:space="0" w:color="auto"/>
        <w:right w:val="none" w:sz="0" w:space="0" w:color="auto"/>
      </w:divBdr>
      <w:divsChild>
        <w:div w:id="393698239">
          <w:marLeft w:val="0"/>
          <w:marRight w:val="0"/>
          <w:marTop w:val="0"/>
          <w:marBottom w:val="0"/>
          <w:divBdr>
            <w:top w:val="none" w:sz="0" w:space="0" w:color="auto"/>
            <w:left w:val="none" w:sz="0" w:space="0" w:color="auto"/>
            <w:bottom w:val="none" w:sz="0" w:space="0" w:color="auto"/>
            <w:right w:val="none" w:sz="0" w:space="0" w:color="auto"/>
          </w:divBdr>
          <w:divsChild>
            <w:div w:id="568685500">
              <w:marLeft w:val="0"/>
              <w:marRight w:val="0"/>
              <w:marTop w:val="0"/>
              <w:marBottom w:val="0"/>
              <w:divBdr>
                <w:top w:val="none" w:sz="0" w:space="0" w:color="auto"/>
                <w:left w:val="none" w:sz="0" w:space="0" w:color="auto"/>
                <w:bottom w:val="none" w:sz="0" w:space="0" w:color="auto"/>
                <w:right w:val="none" w:sz="0" w:space="0" w:color="auto"/>
              </w:divBdr>
              <w:divsChild>
                <w:div w:id="1471635487">
                  <w:marLeft w:val="0"/>
                  <w:marRight w:val="0"/>
                  <w:marTop w:val="0"/>
                  <w:marBottom w:val="0"/>
                  <w:divBdr>
                    <w:top w:val="none" w:sz="0" w:space="0" w:color="auto"/>
                    <w:left w:val="none" w:sz="0" w:space="0" w:color="auto"/>
                    <w:bottom w:val="none" w:sz="0" w:space="0" w:color="auto"/>
                    <w:right w:val="none" w:sz="0" w:space="0" w:color="auto"/>
                  </w:divBdr>
                  <w:divsChild>
                    <w:div w:id="943415508">
                      <w:marLeft w:val="0"/>
                      <w:marRight w:val="0"/>
                      <w:marTop w:val="0"/>
                      <w:marBottom w:val="0"/>
                      <w:divBdr>
                        <w:top w:val="none" w:sz="0" w:space="0" w:color="auto"/>
                        <w:left w:val="none" w:sz="0" w:space="0" w:color="auto"/>
                        <w:bottom w:val="none" w:sz="0" w:space="0" w:color="auto"/>
                        <w:right w:val="none" w:sz="0" w:space="0" w:color="auto"/>
                      </w:divBdr>
                      <w:divsChild>
                        <w:div w:id="2059431541">
                          <w:marLeft w:val="0"/>
                          <w:marRight w:val="0"/>
                          <w:marTop w:val="0"/>
                          <w:marBottom w:val="0"/>
                          <w:divBdr>
                            <w:top w:val="none" w:sz="0" w:space="0" w:color="auto"/>
                            <w:left w:val="none" w:sz="0" w:space="0" w:color="auto"/>
                            <w:bottom w:val="none" w:sz="0" w:space="0" w:color="auto"/>
                            <w:right w:val="none" w:sz="0" w:space="0" w:color="auto"/>
                          </w:divBdr>
                          <w:divsChild>
                            <w:div w:id="1194273651">
                              <w:marLeft w:val="0"/>
                              <w:marRight w:val="0"/>
                              <w:marTop w:val="0"/>
                              <w:marBottom w:val="0"/>
                              <w:divBdr>
                                <w:top w:val="none" w:sz="0" w:space="0" w:color="auto"/>
                                <w:left w:val="none" w:sz="0" w:space="0" w:color="auto"/>
                                <w:bottom w:val="none" w:sz="0" w:space="0" w:color="auto"/>
                                <w:right w:val="none" w:sz="0" w:space="0" w:color="auto"/>
                              </w:divBdr>
                              <w:divsChild>
                                <w:div w:id="103965705">
                                  <w:marLeft w:val="0"/>
                                  <w:marRight w:val="0"/>
                                  <w:marTop w:val="0"/>
                                  <w:marBottom w:val="0"/>
                                  <w:divBdr>
                                    <w:top w:val="none" w:sz="0" w:space="0" w:color="auto"/>
                                    <w:left w:val="none" w:sz="0" w:space="0" w:color="auto"/>
                                    <w:bottom w:val="none" w:sz="0" w:space="0" w:color="auto"/>
                                    <w:right w:val="none" w:sz="0" w:space="0" w:color="auto"/>
                                  </w:divBdr>
                                  <w:divsChild>
                                    <w:div w:id="1273585344">
                                      <w:marLeft w:val="0"/>
                                      <w:marRight w:val="0"/>
                                      <w:marTop w:val="0"/>
                                      <w:marBottom w:val="0"/>
                                      <w:divBdr>
                                        <w:top w:val="none" w:sz="0" w:space="0" w:color="auto"/>
                                        <w:left w:val="none" w:sz="0" w:space="0" w:color="auto"/>
                                        <w:bottom w:val="none" w:sz="0" w:space="0" w:color="auto"/>
                                        <w:right w:val="none" w:sz="0" w:space="0" w:color="auto"/>
                                      </w:divBdr>
                                      <w:divsChild>
                                        <w:div w:id="1627813348">
                                          <w:marLeft w:val="0"/>
                                          <w:marRight w:val="0"/>
                                          <w:marTop w:val="0"/>
                                          <w:marBottom w:val="0"/>
                                          <w:divBdr>
                                            <w:top w:val="none" w:sz="0" w:space="0" w:color="auto"/>
                                            <w:left w:val="none" w:sz="0" w:space="0" w:color="auto"/>
                                            <w:bottom w:val="none" w:sz="0" w:space="0" w:color="auto"/>
                                            <w:right w:val="none" w:sz="0" w:space="0" w:color="auto"/>
                                          </w:divBdr>
                                          <w:divsChild>
                                            <w:div w:id="1630471548">
                                              <w:marLeft w:val="0"/>
                                              <w:marRight w:val="0"/>
                                              <w:marTop w:val="0"/>
                                              <w:marBottom w:val="0"/>
                                              <w:divBdr>
                                                <w:top w:val="none" w:sz="0" w:space="0" w:color="auto"/>
                                                <w:left w:val="none" w:sz="0" w:space="0" w:color="auto"/>
                                                <w:bottom w:val="none" w:sz="0" w:space="0" w:color="auto"/>
                                                <w:right w:val="none" w:sz="0" w:space="0" w:color="auto"/>
                                              </w:divBdr>
                                              <w:divsChild>
                                                <w:div w:id="716469135">
                                                  <w:marLeft w:val="0"/>
                                                  <w:marRight w:val="0"/>
                                                  <w:marTop w:val="0"/>
                                                  <w:marBottom w:val="0"/>
                                                  <w:divBdr>
                                                    <w:top w:val="none" w:sz="0" w:space="0" w:color="auto"/>
                                                    <w:left w:val="none" w:sz="0" w:space="0" w:color="auto"/>
                                                    <w:bottom w:val="none" w:sz="0" w:space="0" w:color="auto"/>
                                                    <w:right w:val="none" w:sz="0" w:space="0" w:color="auto"/>
                                                  </w:divBdr>
                                                  <w:divsChild>
                                                    <w:div w:id="138766458">
                                                      <w:marLeft w:val="0"/>
                                                      <w:marRight w:val="0"/>
                                                      <w:marTop w:val="0"/>
                                                      <w:marBottom w:val="0"/>
                                                      <w:divBdr>
                                                        <w:top w:val="none" w:sz="0" w:space="0" w:color="auto"/>
                                                        <w:left w:val="none" w:sz="0" w:space="0" w:color="auto"/>
                                                        <w:bottom w:val="none" w:sz="0" w:space="0" w:color="auto"/>
                                                        <w:right w:val="none" w:sz="0" w:space="0" w:color="auto"/>
                                                      </w:divBdr>
                                                      <w:divsChild>
                                                        <w:div w:id="136537412">
                                                          <w:marLeft w:val="0"/>
                                                          <w:marRight w:val="0"/>
                                                          <w:marTop w:val="0"/>
                                                          <w:marBottom w:val="0"/>
                                                          <w:divBdr>
                                                            <w:top w:val="none" w:sz="0" w:space="0" w:color="auto"/>
                                                            <w:left w:val="none" w:sz="0" w:space="0" w:color="auto"/>
                                                            <w:bottom w:val="none" w:sz="0" w:space="0" w:color="auto"/>
                                                            <w:right w:val="none" w:sz="0" w:space="0" w:color="auto"/>
                                                          </w:divBdr>
                                                          <w:divsChild>
                                                            <w:div w:id="1414283352">
                                                              <w:marLeft w:val="0"/>
                                                              <w:marRight w:val="0"/>
                                                              <w:marTop w:val="0"/>
                                                              <w:marBottom w:val="0"/>
                                                              <w:divBdr>
                                                                <w:top w:val="none" w:sz="0" w:space="0" w:color="auto"/>
                                                                <w:left w:val="none" w:sz="0" w:space="0" w:color="auto"/>
                                                                <w:bottom w:val="none" w:sz="0" w:space="0" w:color="auto"/>
                                                                <w:right w:val="none" w:sz="0" w:space="0" w:color="auto"/>
                                                              </w:divBdr>
                                                              <w:divsChild>
                                                                <w:div w:id="5762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17241709">
      <w:bodyDiv w:val="1"/>
      <w:marLeft w:val="0"/>
      <w:marRight w:val="0"/>
      <w:marTop w:val="0"/>
      <w:marBottom w:val="0"/>
      <w:divBdr>
        <w:top w:val="none" w:sz="0" w:space="0" w:color="auto"/>
        <w:left w:val="none" w:sz="0" w:space="0" w:color="auto"/>
        <w:bottom w:val="none" w:sz="0" w:space="0" w:color="auto"/>
        <w:right w:val="none" w:sz="0" w:space="0" w:color="auto"/>
      </w:divBdr>
    </w:div>
    <w:div w:id="1418138628">
      <w:bodyDiv w:val="1"/>
      <w:marLeft w:val="0"/>
      <w:marRight w:val="0"/>
      <w:marTop w:val="0"/>
      <w:marBottom w:val="0"/>
      <w:divBdr>
        <w:top w:val="none" w:sz="0" w:space="0" w:color="auto"/>
        <w:left w:val="none" w:sz="0" w:space="0" w:color="auto"/>
        <w:bottom w:val="none" w:sz="0" w:space="0" w:color="auto"/>
        <w:right w:val="none" w:sz="0" w:space="0" w:color="auto"/>
      </w:divBdr>
    </w:div>
    <w:div w:id="1420758048">
      <w:bodyDiv w:val="1"/>
      <w:marLeft w:val="0"/>
      <w:marRight w:val="0"/>
      <w:marTop w:val="0"/>
      <w:marBottom w:val="0"/>
      <w:divBdr>
        <w:top w:val="none" w:sz="0" w:space="0" w:color="auto"/>
        <w:left w:val="none" w:sz="0" w:space="0" w:color="auto"/>
        <w:bottom w:val="none" w:sz="0" w:space="0" w:color="auto"/>
        <w:right w:val="none" w:sz="0" w:space="0" w:color="auto"/>
      </w:divBdr>
    </w:div>
    <w:div w:id="1421565258">
      <w:bodyDiv w:val="1"/>
      <w:marLeft w:val="0"/>
      <w:marRight w:val="0"/>
      <w:marTop w:val="0"/>
      <w:marBottom w:val="0"/>
      <w:divBdr>
        <w:top w:val="none" w:sz="0" w:space="0" w:color="auto"/>
        <w:left w:val="none" w:sz="0" w:space="0" w:color="auto"/>
        <w:bottom w:val="none" w:sz="0" w:space="0" w:color="auto"/>
        <w:right w:val="none" w:sz="0" w:space="0" w:color="auto"/>
      </w:divBdr>
    </w:div>
    <w:div w:id="1423800600">
      <w:bodyDiv w:val="1"/>
      <w:marLeft w:val="0"/>
      <w:marRight w:val="0"/>
      <w:marTop w:val="0"/>
      <w:marBottom w:val="0"/>
      <w:divBdr>
        <w:top w:val="none" w:sz="0" w:space="0" w:color="auto"/>
        <w:left w:val="none" w:sz="0" w:space="0" w:color="auto"/>
        <w:bottom w:val="none" w:sz="0" w:space="0" w:color="auto"/>
        <w:right w:val="none" w:sz="0" w:space="0" w:color="auto"/>
      </w:divBdr>
    </w:div>
    <w:div w:id="1445464174">
      <w:bodyDiv w:val="1"/>
      <w:marLeft w:val="0"/>
      <w:marRight w:val="0"/>
      <w:marTop w:val="0"/>
      <w:marBottom w:val="0"/>
      <w:divBdr>
        <w:top w:val="none" w:sz="0" w:space="0" w:color="auto"/>
        <w:left w:val="none" w:sz="0" w:space="0" w:color="auto"/>
        <w:bottom w:val="none" w:sz="0" w:space="0" w:color="auto"/>
        <w:right w:val="none" w:sz="0" w:space="0" w:color="auto"/>
      </w:divBdr>
    </w:div>
    <w:div w:id="1446657379">
      <w:bodyDiv w:val="1"/>
      <w:marLeft w:val="0"/>
      <w:marRight w:val="0"/>
      <w:marTop w:val="0"/>
      <w:marBottom w:val="0"/>
      <w:divBdr>
        <w:top w:val="none" w:sz="0" w:space="0" w:color="auto"/>
        <w:left w:val="none" w:sz="0" w:space="0" w:color="auto"/>
        <w:bottom w:val="none" w:sz="0" w:space="0" w:color="auto"/>
        <w:right w:val="none" w:sz="0" w:space="0" w:color="auto"/>
      </w:divBdr>
    </w:div>
    <w:div w:id="1450397629">
      <w:bodyDiv w:val="1"/>
      <w:marLeft w:val="0"/>
      <w:marRight w:val="0"/>
      <w:marTop w:val="0"/>
      <w:marBottom w:val="0"/>
      <w:divBdr>
        <w:top w:val="none" w:sz="0" w:space="0" w:color="auto"/>
        <w:left w:val="none" w:sz="0" w:space="0" w:color="auto"/>
        <w:bottom w:val="none" w:sz="0" w:space="0" w:color="auto"/>
        <w:right w:val="none" w:sz="0" w:space="0" w:color="auto"/>
      </w:divBdr>
    </w:div>
    <w:div w:id="1454514301">
      <w:bodyDiv w:val="1"/>
      <w:marLeft w:val="0"/>
      <w:marRight w:val="0"/>
      <w:marTop w:val="0"/>
      <w:marBottom w:val="0"/>
      <w:divBdr>
        <w:top w:val="none" w:sz="0" w:space="0" w:color="auto"/>
        <w:left w:val="none" w:sz="0" w:space="0" w:color="auto"/>
        <w:bottom w:val="none" w:sz="0" w:space="0" w:color="auto"/>
        <w:right w:val="none" w:sz="0" w:space="0" w:color="auto"/>
      </w:divBdr>
    </w:div>
    <w:div w:id="1463838725">
      <w:bodyDiv w:val="1"/>
      <w:marLeft w:val="0"/>
      <w:marRight w:val="0"/>
      <w:marTop w:val="0"/>
      <w:marBottom w:val="0"/>
      <w:divBdr>
        <w:top w:val="none" w:sz="0" w:space="0" w:color="auto"/>
        <w:left w:val="none" w:sz="0" w:space="0" w:color="auto"/>
        <w:bottom w:val="none" w:sz="0" w:space="0" w:color="auto"/>
        <w:right w:val="none" w:sz="0" w:space="0" w:color="auto"/>
      </w:divBdr>
    </w:div>
    <w:div w:id="1463844618">
      <w:bodyDiv w:val="1"/>
      <w:marLeft w:val="0"/>
      <w:marRight w:val="0"/>
      <w:marTop w:val="0"/>
      <w:marBottom w:val="0"/>
      <w:divBdr>
        <w:top w:val="none" w:sz="0" w:space="0" w:color="auto"/>
        <w:left w:val="none" w:sz="0" w:space="0" w:color="auto"/>
        <w:bottom w:val="none" w:sz="0" w:space="0" w:color="auto"/>
        <w:right w:val="none" w:sz="0" w:space="0" w:color="auto"/>
      </w:divBdr>
    </w:div>
    <w:div w:id="1470392504">
      <w:bodyDiv w:val="1"/>
      <w:marLeft w:val="0"/>
      <w:marRight w:val="0"/>
      <w:marTop w:val="0"/>
      <w:marBottom w:val="0"/>
      <w:divBdr>
        <w:top w:val="none" w:sz="0" w:space="0" w:color="auto"/>
        <w:left w:val="none" w:sz="0" w:space="0" w:color="auto"/>
        <w:bottom w:val="none" w:sz="0" w:space="0" w:color="auto"/>
        <w:right w:val="none" w:sz="0" w:space="0" w:color="auto"/>
      </w:divBdr>
    </w:div>
    <w:div w:id="1473063901">
      <w:bodyDiv w:val="1"/>
      <w:marLeft w:val="0"/>
      <w:marRight w:val="0"/>
      <w:marTop w:val="0"/>
      <w:marBottom w:val="0"/>
      <w:divBdr>
        <w:top w:val="none" w:sz="0" w:space="0" w:color="auto"/>
        <w:left w:val="none" w:sz="0" w:space="0" w:color="auto"/>
        <w:bottom w:val="none" w:sz="0" w:space="0" w:color="auto"/>
        <w:right w:val="none" w:sz="0" w:space="0" w:color="auto"/>
      </w:divBdr>
    </w:div>
    <w:div w:id="1473215413">
      <w:bodyDiv w:val="1"/>
      <w:marLeft w:val="0"/>
      <w:marRight w:val="0"/>
      <w:marTop w:val="0"/>
      <w:marBottom w:val="0"/>
      <w:divBdr>
        <w:top w:val="none" w:sz="0" w:space="0" w:color="auto"/>
        <w:left w:val="none" w:sz="0" w:space="0" w:color="auto"/>
        <w:bottom w:val="none" w:sz="0" w:space="0" w:color="auto"/>
        <w:right w:val="none" w:sz="0" w:space="0" w:color="auto"/>
      </w:divBdr>
    </w:div>
    <w:div w:id="1478566920">
      <w:bodyDiv w:val="1"/>
      <w:marLeft w:val="0"/>
      <w:marRight w:val="0"/>
      <w:marTop w:val="0"/>
      <w:marBottom w:val="0"/>
      <w:divBdr>
        <w:top w:val="none" w:sz="0" w:space="0" w:color="auto"/>
        <w:left w:val="none" w:sz="0" w:space="0" w:color="auto"/>
        <w:bottom w:val="none" w:sz="0" w:space="0" w:color="auto"/>
        <w:right w:val="none" w:sz="0" w:space="0" w:color="auto"/>
      </w:divBdr>
    </w:div>
    <w:div w:id="1485046344">
      <w:bodyDiv w:val="1"/>
      <w:marLeft w:val="0"/>
      <w:marRight w:val="0"/>
      <w:marTop w:val="0"/>
      <w:marBottom w:val="0"/>
      <w:divBdr>
        <w:top w:val="none" w:sz="0" w:space="0" w:color="auto"/>
        <w:left w:val="none" w:sz="0" w:space="0" w:color="auto"/>
        <w:bottom w:val="none" w:sz="0" w:space="0" w:color="auto"/>
        <w:right w:val="none" w:sz="0" w:space="0" w:color="auto"/>
      </w:divBdr>
    </w:div>
    <w:div w:id="1489402088">
      <w:bodyDiv w:val="1"/>
      <w:marLeft w:val="0"/>
      <w:marRight w:val="0"/>
      <w:marTop w:val="0"/>
      <w:marBottom w:val="0"/>
      <w:divBdr>
        <w:top w:val="none" w:sz="0" w:space="0" w:color="auto"/>
        <w:left w:val="none" w:sz="0" w:space="0" w:color="auto"/>
        <w:bottom w:val="none" w:sz="0" w:space="0" w:color="auto"/>
        <w:right w:val="none" w:sz="0" w:space="0" w:color="auto"/>
      </w:divBdr>
      <w:divsChild>
        <w:div w:id="1273172588">
          <w:marLeft w:val="0"/>
          <w:marRight w:val="0"/>
          <w:marTop w:val="0"/>
          <w:marBottom w:val="0"/>
          <w:divBdr>
            <w:top w:val="none" w:sz="0" w:space="0" w:color="auto"/>
            <w:left w:val="none" w:sz="0" w:space="0" w:color="auto"/>
            <w:bottom w:val="none" w:sz="0" w:space="0" w:color="auto"/>
            <w:right w:val="none" w:sz="0" w:space="0" w:color="auto"/>
          </w:divBdr>
        </w:div>
      </w:divsChild>
    </w:div>
    <w:div w:id="1496383580">
      <w:bodyDiv w:val="1"/>
      <w:marLeft w:val="0"/>
      <w:marRight w:val="0"/>
      <w:marTop w:val="0"/>
      <w:marBottom w:val="0"/>
      <w:divBdr>
        <w:top w:val="none" w:sz="0" w:space="0" w:color="auto"/>
        <w:left w:val="none" w:sz="0" w:space="0" w:color="auto"/>
        <w:bottom w:val="none" w:sz="0" w:space="0" w:color="auto"/>
        <w:right w:val="none" w:sz="0" w:space="0" w:color="auto"/>
      </w:divBdr>
    </w:div>
    <w:div w:id="1497768175">
      <w:bodyDiv w:val="1"/>
      <w:marLeft w:val="0"/>
      <w:marRight w:val="0"/>
      <w:marTop w:val="0"/>
      <w:marBottom w:val="0"/>
      <w:divBdr>
        <w:top w:val="none" w:sz="0" w:space="0" w:color="auto"/>
        <w:left w:val="none" w:sz="0" w:space="0" w:color="auto"/>
        <w:bottom w:val="none" w:sz="0" w:space="0" w:color="auto"/>
        <w:right w:val="none" w:sz="0" w:space="0" w:color="auto"/>
      </w:divBdr>
    </w:div>
    <w:div w:id="1498572472">
      <w:bodyDiv w:val="1"/>
      <w:marLeft w:val="0"/>
      <w:marRight w:val="0"/>
      <w:marTop w:val="0"/>
      <w:marBottom w:val="0"/>
      <w:divBdr>
        <w:top w:val="none" w:sz="0" w:space="0" w:color="auto"/>
        <w:left w:val="none" w:sz="0" w:space="0" w:color="auto"/>
        <w:bottom w:val="none" w:sz="0" w:space="0" w:color="auto"/>
        <w:right w:val="none" w:sz="0" w:space="0" w:color="auto"/>
      </w:divBdr>
    </w:div>
    <w:div w:id="1498765545">
      <w:bodyDiv w:val="1"/>
      <w:marLeft w:val="0"/>
      <w:marRight w:val="0"/>
      <w:marTop w:val="0"/>
      <w:marBottom w:val="0"/>
      <w:divBdr>
        <w:top w:val="none" w:sz="0" w:space="0" w:color="auto"/>
        <w:left w:val="none" w:sz="0" w:space="0" w:color="auto"/>
        <w:bottom w:val="none" w:sz="0" w:space="0" w:color="auto"/>
        <w:right w:val="none" w:sz="0" w:space="0" w:color="auto"/>
      </w:divBdr>
    </w:div>
    <w:div w:id="1512336654">
      <w:bodyDiv w:val="1"/>
      <w:marLeft w:val="0"/>
      <w:marRight w:val="0"/>
      <w:marTop w:val="0"/>
      <w:marBottom w:val="0"/>
      <w:divBdr>
        <w:top w:val="none" w:sz="0" w:space="0" w:color="auto"/>
        <w:left w:val="none" w:sz="0" w:space="0" w:color="auto"/>
        <w:bottom w:val="none" w:sz="0" w:space="0" w:color="auto"/>
        <w:right w:val="none" w:sz="0" w:space="0" w:color="auto"/>
      </w:divBdr>
    </w:div>
    <w:div w:id="1519931240">
      <w:bodyDiv w:val="1"/>
      <w:marLeft w:val="0"/>
      <w:marRight w:val="0"/>
      <w:marTop w:val="0"/>
      <w:marBottom w:val="0"/>
      <w:divBdr>
        <w:top w:val="none" w:sz="0" w:space="0" w:color="auto"/>
        <w:left w:val="none" w:sz="0" w:space="0" w:color="auto"/>
        <w:bottom w:val="none" w:sz="0" w:space="0" w:color="auto"/>
        <w:right w:val="none" w:sz="0" w:space="0" w:color="auto"/>
      </w:divBdr>
    </w:div>
    <w:div w:id="1520848209">
      <w:bodyDiv w:val="1"/>
      <w:marLeft w:val="0"/>
      <w:marRight w:val="0"/>
      <w:marTop w:val="0"/>
      <w:marBottom w:val="0"/>
      <w:divBdr>
        <w:top w:val="none" w:sz="0" w:space="0" w:color="auto"/>
        <w:left w:val="none" w:sz="0" w:space="0" w:color="auto"/>
        <w:bottom w:val="none" w:sz="0" w:space="0" w:color="auto"/>
        <w:right w:val="none" w:sz="0" w:space="0" w:color="auto"/>
      </w:divBdr>
    </w:div>
    <w:div w:id="1521091828">
      <w:bodyDiv w:val="1"/>
      <w:marLeft w:val="0"/>
      <w:marRight w:val="0"/>
      <w:marTop w:val="0"/>
      <w:marBottom w:val="0"/>
      <w:divBdr>
        <w:top w:val="none" w:sz="0" w:space="0" w:color="auto"/>
        <w:left w:val="none" w:sz="0" w:space="0" w:color="auto"/>
        <w:bottom w:val="none" w:sz="0" w:space="0" w:color="auto"/>
        <w:right w:val="none" w:sz="0" w:space="0" w:color="auto"/>
      </w:divBdr>
    </w:div>
    <w:div w:id="1524048984">
      <w:bodyDiv w:val="1"/>
      <w:marLeft w:val="0"/>
      <w:marRight w:val="0"/>
      <w:marTop w:val="0"/>
      <w:marBottom w:val="0"/>
      <w:divBdr>
        <w:top w:val="none" w:sz="0" w:space="0" w:color="auto"/>
        <w:left w:val="none" w:sz="0" w:space="0" w:color="auto"/>
        <w:bottom w:val="none" w:sz="0" w:space="0" w:color="auto"/>
        <w:right w:val="none" w:sz="0" w:space="0" w:color="auto"/>
      </w:divBdr>
    </w:div>
    <w:div w:id="1525165887">
      <w:bodyDiv w:val="1"/>
      <w:marLeft w:val="0"/>
      <w:marRight w:val="0"/>
      <w:marTop w:val="0"/>
      <w:marBottom w:val="0"/>
      <w:divBdr>
        <w:top w:val="none" w:sz="0" w:space="0" w:color="auto"/>
        <w:left w:val="none" w:sz="0" w:space="0" w:color="auto"/>
        <w:bottom w:val="none" w:sz="0" w:space="0" w:color="auto"/>
        <w:right w:val="none" w:sz="0" w:space="0" w:color="auto"/>
      </w:divBdr>
    </w:div>
    <w:div w:id="1545365344">
      <w:bodyDiv w:val="1"/>
      <w:marLeft w:val="0"/>
      <w:marRight w:val="0"/>
      <w:marTop w:val="0"/>
      <w:marBottom w:val="0"/>
      <w:divBdr>
        <w:top w:val="none" w:sz="0" w:space="0" w:color="auto"/>
        <w:left w:val="none" w:sz="0" w:space="0" w:color="auto"/>
        <w:bottom w:val="none" w:sz="0" w:space="0" w:color="auto"/>
        <w:right w:val="none" w:sz="0" w:space="0" w:color="auto"/>
      </w:divBdr>
    </w:div>
    <w:div w:id="1546798353">
      <w:bodyDiv w:val="1"/>
      <w:marLeft w:val="0"/>
      <w:marRight w:val="0"/>
      <w:marTop w:val="0"/>
      <w:marBottom w:val="0"/>
      <w:divBdr>
        <w:top w:val="none" w:sz="0" w:space="0" w:color="auto"/>
        <w:left w:val="none" w:sz="0" w:space="0" w:color="auto"/>
        <w:bottom w:val="none" w:sz="0" w:space="0" w:color="auto"/>
        <w:right w:val="none" w:sz="0" w:space="0" w:color="auto"/>
      </w:divBdr>
    </w:div>
    <w:div w:id="1547720399">
      <w:bodyDiv w:val="1"/>
      <w:marLeft w:val="0"/>
      <w:marRight w:val="0"/>
      <w:marTop w:val="0"/>
      <w:marBottom w:val="0"/>
      <w:divBdr>
        <w:top w:val="none" w:sz="0" w:space="0" w:color="auto"/>
        <w:left w:val="none" w:sz="0" w:space="0" w:color="auto"/>
        <w:bottom w:val="none" w:sz="0" w:space="0" w:color="auto"/>
        <w:right w:val="none" w:sz="0" w:space="0" w:color="auto"/>
      </w:divBdr>
    </w:div>
    <w:div w:id="1566988084">
      <w:bodyDiv w:val="1"/>
      <w:marLeft w:val="0"/>
      <w:marRight w:val="0"/>
      <w:marTop w:val="0"/>
      <w:marBottom w:val="0"/>
      <w:divBdr>
        <w:top w:val="none" w:sz="0" w:space="0" w:color="auto"/>
        <w:left w:val="none" w:sz="0" w:space="0" w:color="auto"/>
        <w:bottom w:val="none" w:sz="0" w:space="0" w:color="auto"/>
        <w:right w:val="none" w:sz="0" w:space="0" w:color="auto"/>
      </w:divBdr>
    </w:div>
    <w:div w:id="1567913852">
      <w:bodyDiv w:val="1"/>
      <w:marLeft w:val="0"/>
      <w:marRight w:val="0"/>
      <w:marTop w:val="0"/>
      <w:marBottom w:val="0"/>
      <w:divBdr>
        <w:top w:val="none" w:sz="0" w:space="0" w:color="auto"/>
        <w:left w:val="none" w:sz="0" w:space="0" w:color="auto"/>
        <w:bottom w:val="none" w:sz="0" w:space="0" w:color="auto"/>
        <w:right w:val="none" w:sz="0" w:space="0" w:color="auto"/>
      </w:divBdr>
    </w:div>
    <w:div w:id="1579904987">
      <w:bodyDiv w:val="1"/>
      <w:marLeft w:val="0"/>
      <w:marRight w:val="0"/>
      <w:marTop w:val="0"/>
      <w:marBottom w:val="0"/>
      <w:divBdr>
        <w:top w:val="none" w:sz="0" w:space="0" w:color="auto"/>
        <w:left w:val="none" w:sz="0" w:space="0" w:color="auto"/>
        <w:bottom w:val="none" w:sz="0" w:space="0" w:color="auto"/>
        <w:right w:val="none" w:sz="0" w:space="0" w:color="auto"/>
      </w:divBdr>
    </w:div>
    <w:div w:id="1590121351">
      <w:bodyDiv w:val="1"/>
      <w:marLeft w:val="0"/>
      <w:marRight w:val="0"/>
      <w:marTop w:val="0"/>
      <w:marBottom w:val="0"/>
      <w:divBdr>
        <w:top w:val="none" w:sz="0" w:space="0" w:color="auto"/>
        <w:left w:val="none" w:sz="0" w:space="0" w:color="auto"/>
        <w:bottom w:val="none" w:sz="0" w:space="0" w:color="auto"/>
        <w:right w:val="none" w:sz="0" w:space="0" w:color="auto"/>
      </w:divBdr>
    </w:div>
    <w:div w:id="1592658626">
      <w:bodyDiv w:val="1"/>
      <w:marLeft w:val="0"/>
      <w:marRight w:val="0"/>
      <w:marTop w:val="0"/>
      <w:marBottom w:val="0"/>
      <w:divBdr>
        <w:top w:val="none" w:sz="0" w:space="0" w:color="auto"/>
        <w:left w:val="none" w:sz="0" w:space="0" w:color="auto"/>
        <w:bottom w:val="none" w:sz="0" w:space="0" w:color="auto"/>
        <w:right w:val="none" w:sz="0" w:space="0" w:color="auto"/>
      </w:divBdr>
    </w:div>
    <w:div w:id="1597860030">
      <w:bodyDiv w:val="1"/>
      <w:marLeft w:val="0"/>
      <w:marRight w:val="0"/>
      <w:marTop w:val="0"/>
      <w:marBottom w:val="0"/>
      <w:divBdr>
        <w:top w:val="none" w:sz="0" w:space="0" w:color="auto"/>
        <w:left w:val="none" w:sz="0" w:space="0" w:color="auto"/>
        <w:bottom w:val="none" w:sz="0" w:space="0" w:color="auto"/>
        <w:right w:val="none" w:sz="0" w:space="0" w:color="auto"/>
      </w:divBdr>
    </w:div>
    <w:div w:id="1599823477">
      <w:bodyDiv w:val="1"/>
      <w:marLeft w:val="0"/>
      <w:marRight w:val="0"/>
      <w:marTop w:val="0"/>
      <w:marBottom w:val="0"/>
      <w:divBdr>
        <w:top w:val="none" w:sz="0" w:space="0" w:color="auto"/>
        <w:left w:val="none" w:sz="0" w:space="0" w:color="auto"/>
        <w:bottom w:val="none" w:sz="0" w:space="0" w:color="auto"/>
        <w:right w:val="none" w:sz="0" w:space="0" w:color="auto"/>
      </w:divBdr>
    </w:div>
    <w:div w:id="1608391179">
      <w:bodyDiv w:val="1"/>
      <w:marLeft w:val="0"/>
      <w:marRight w:val="0"/>
      <w:marTop w:val="0"/>
      <w:marBottom w:val="0"/>
      <w:divBdr>
        <w:top w:val="none" w:sz="0" w:space="0" w:color="auto"/>
        <w:left w:val="none" w:sz="0" w:space="0" w:color="auto"/>
        <w:bottom w:val="none" w:sz="0" w:space="0" w:color="auto"/>
        <w:right w:val="none" w:sz="0" w:space="0" w:color="auto"/>
      </w:divBdr>
    </w:div>
    <w:div w:id="1611279106">
      <w:bodyDiv w:val="1"/>
      <w:marLeft w:val="0"/>
      <w:marRight w:val="0"/>
      <w:marTop w:val="0"/>
      <w:marBottom w:val="0"/>
      <w:divBdr>
        <w:top w:val="none" w:sz="0" w:space="0" w:color="auto"/>
        <w:left w:val="none" w:sz="0" w:space="0" w:color="auto"/>
        <w:bottom w:val="none" w:sz="0" w:space="0" w:color="auto"/>
        <w:right w:val="none" w:sz="0" w:space="0" w:color="auto"/>
      </w:divBdr>
    </w:div>
    <w:div w:id="1615404224">
      <w:bodyDiv w:val="1"/>
      <w:marLeft w:val="0"/>
      <w:marRight w:val="0"/>
      <w:marTop w:val="0"/>
      <w:marBottom w:val="0"/>
      <w:divBdr>
        <w:top w:val="none" w:sz="0" w:space="0" w:color="auto"/>
        <w:left w:val="none" w:sz="0" w:space="0" w:color="auto"/>
        <w:bottom w:val="none" w:sz="0" w:space="0" w:color="auto"/>
        <w:right w:val="none" w:sz="0" w:space="0" w:color="auto"/>
      </w:divBdr>
    </w:div>
    <w:div w:id="1616134317">
      <w:bodyDiv w:val="1"/>
      <w:marLeft w:val="0"/>
      <w:marRight w:val="0"/>
      <w:marTop w:val="0"/>
      <w:marBottom w:val="0"/>
      <w:divBdr>
        <w:top w:val="none" w:sz="0" w:space="0" w:color="auto"/>
        <w:left w:val="none" w:sz="0" w:space="0" w:color="auto"/>
        <w:bottom w:val="none" w:sz="0" w:space="0" w:color="auto"/>
        <w:right w:val="none" w:sz="0" w:space="0" w:color="auto"/>
      </w:divBdr>
    </w:div>
    <w:div w:id="1617369063">
      <w:bodyDiv w:val="1"/>
      <w:marLeft w:val="0"/>
      <w:marRight w:val="0"/>
      <w:marTop w:val="0"/>
      <w:marBottom w:val="0"/>
      <w:divBdr>
        <w:top w:val="none" w:sz="0" w:space="0" w:color="auto"/>
        <w:left w:val="none" w:sz="0" w:space="0" w:color="auto"/>
        <w:bottom w:val="none" w:sz="0" w:space="0" w:color="auto"/>
        <w:right w:val="none" w:sz="0" w:space="0" w:color="auto"/>
      </w:divBdr>
    </w:div>
    <w:div w:id="1625497749">
      <w:bodyDiv w:val="1"/>
      <w:marLeft w:val="0"/>
      <w:marRight w:val="0"/>
      <w:marTop w:val="0"/>
      <w:marBottom w:val="0"/>
      <w:divBdr>
        <w:top w:val="none" w:sz="0" w:space="0" w:color="auto"/>
        <w:left w:val="none" w:sz="0" w:space="0" w:color="auto"/>
        <w:bottom w:val="none" w:sz="0" w:space="0" w:color="auto"/>
        <w:right w:val="none" w:sz="0" w:space="0" w:color="auto"/>
      </w:divBdr>
    </w:div>
    <w:div w:id="1629431909">
      <w:bodyDiv w:val="1"/>
      <w:marLeft w:val="0"/>
      <w:marRight w:val="0"/>
      <w:marTop w:val="0"/>
      <w:marBottom w:val="0"/>
      <w:divBdr>
        <w:top w:val="none" w:sz="0" w:space="0" w:color="auto"/>
        <w:left w:val="none" w:sz="0" w:space="0" w:color="auto"/>
        <w:bottom w:val="none" w:sz="0" w:space="0" w:color="auto"/>
        <w:right w:val="none" w:sz="0" w:space="0" w:color="auto"/>
      </w:divBdr>
      <w:divsChild>
        <w:div w:id="174079790">
          <w:marLeft w:val="0"/>
          <w:marRight w:val="0"/>
          <w:marTop w:val="0"/>
          <w:marBottom w:val="0"/>
          <w:divBdr>
            <w:top w:val="none" w:sz="0" w:space="0" w:color="auto"/>
            <w:left w:val="none" w:sz="0" w:space="0" w:color="auto"/>
            <w:bottom w:val="none" w:sz="0" w:space="0" w:color="auto"/>
            <w:right w:val="none" w:sz="0" w:space="0" w:color="auto"/>
          </w:divBdr>
        </w:div>
      </w:divsChild>
    </w:div>
    <w:div w:id="1631520571">
      <w:bodyDiv w:val="1"/>
      <w:marLeft w:val="0"/>
      <w:marRight w:val="0"/>
      <w:marTop w:val="0"/>
      <w:marBottom w:val="0"/>
      <w:divBdr>
        <w:top w:val="none" w:sz="0" w:space="0" w:color="auto"/>
        <w:left w:val="none" w:sz="0" w:space="0" w:color="auto"/>
        <w:bottom w:val="none" w:sz="0" w:space="0" w:color="auto"/>
        <w:right w:val="none" w:sz="0" w:space="0" w:color="auto"/>
      </w:divBdr>
    </w:div>
    <w:div w:id="1638340186">
      <w:bodyDiv w:val="1"/>
      <w:marLeft w:val="0"/>
      <w:marRight w:val="0"/>
      <w:marTop w:val="0"/>
      <w:marBottom w:val="0"/>
      <w:divBdr>
        <w:top w:val="none" w:sz="0" w:space="0" w:color="auto"/>
        <w:left w:val="none" w:sz="0" w:space="0" w:color="auto"/>
        <w:bottom w:val="none" w:sz="0" w:space="0" w:color="auto"/>
        <w:right w:val="none" w:sz="0" w:space="0" w:color="auto"/>
      </w:divBdr>
    </w:div>
    <w:div w:id="1644577595">
      <w:bodyDiv w:val="1"/>
      <w:marLeft w:val="0"/>
      <w:marRight w:val="0"/>
      <w:marTop w:val="0"/>
      <w:marBottom w:val="0"/>
      <w:divBdr>
        <w:top w:val="none" w:sz="0" w:space="0" w:color="auto"/>
        <w:left w:val="none" w:sz="0" w:space="0" w:color="auto"/>
        <w:bottom w:val="none" w:sz="0" w:space="0" w:color="auto"/>
        <w:right w:val="none" w:sz="0" w:space="0" w:color="auto"/>
      </w:divBdr>
    </w:div>
    <w:div w:id="1646156545">
      <w:bodyDiv w:val="1"/>
      <w:marLeft w:val="0"/>
      <w:marRight w:val="0"/>
      <w:marTop w:val="0"/>
      <w:marBottom w:val="0"/>
      <w:divBdr>
        <w:top w:val="none" w:sz="0" w:space="0" w:color="auto"/>
        <w:left w:val="none" w:sz="0" w:space="0" w:color="auto"/>
        <w:bottom w:val="none" w:sz="0" w:space="0" w:color="auto"/>
        <w:right w:val="none" w:sz="0" w:space="0" w:color="auto"/>
      </w:divBdr>
    </w:div>
    <w:div w:id="1648899676">
      <w:bodyDiv w:val="1"/>
      <w:marLeft w:val="0"/>
      <w:marRight w:val="0"/>
      <w:marTop w:val="0"/>
      <w:marBottom w:val="0"/>
      <w:divBdr>
        <w:top w:val="none" w:sz="0" w:space="0" w:color="auto"/>
        <w:left w:val="none" w:sz="0" w:space="0" w:color="auto"/>
        <w:bottom w:val="none" w:sz="0" w:space="0" w:color="auto"/>
        <w:right w:val="none" w:sz="0" w:space="0" w:color="auto"/>
      </w:divBdr>
    </w:div>
    <w:div w:id="1649092094">
      <w:bodyDiv w:val="1"/>
      <w:marLeft w:val="0"/>
      <w:marRight w:val="0"/>
      <w:marTop w:val="0"/>
      <w:marBottom w:val="0"/>
      <w:divBdr>
        <w:top w:val="none" w:sz="0" w:space="0" w:color="auto"/>
        <w:left w:val="none" w:sz="0" w:space="0" w:color="auto"/>
        <w:bottom w:val="none" w:sz="0" w:space="0" w:color="auto"/>
        <w:right w:val="none" w:sz="0" w:space="0" w:color="auto"/>
      </w:divBdr>
    </w:div>
    <w:div w:id="1654992751">
      <w:bodyDiv w:val="1"/>
      <w:marLeft w:val="0"/>
      <w:marRight w:val="0"/>
      <w:marTop w:val="0"/>
      <w:marBottom w:val="0"/>
      <w:divBdr>
        <w:top w:val="none" w:sz="0" w:space="0" w:color="auto"/>
        <w:left w:val="none" w:sz="0" w:space="0" w:color="auto"/>
        <w:bottom w:val="none" w:sz="0" w:space="0" w:color="auto"/>
        <w:right w:val="none" w:sz="0" w:space="0" w:color="auto"/>
      </w:divBdr>
    </w:div>
    <w:div w:id="1655530483">
      <w:bodyDiv w:val="1"/>
      <w:marLeft w:val="0"/>
      <w:marRight w:val="0"/>
      <w:marTop w:val="0"/>
      <w:marBottom w:val="0"/>
      <w:divBdr>
        <w:top w:val="none" w:sz="0" w:space="0" w:color="auto"/>
        <w:left w:val="none" w:sz="0" w:space="0" w:color="auto"/>
        <w:bottom w:val="none" w:sz="0" w:space="0" w:color="auto"/>
        <w:right w:val="none" w:sz="0" w:space="0" w:color="auto"/>
      </w:divBdr>
    </w:div>
    <w:div w:id="1662460461">
      <w:bodyDiv w:val="1"/>
      <w:marLeft w:val="0"/>
      <w:marRight w:val="0"/>
      <w:marTop w:val="0"/>
      <w:marBottom w:val="0"/>
      <w:divBdr>
        <w:top w:val="none" w:sz="0" w:space="0" w:color="auto"/>
        <w:left w:val="none" w:sz="0" w:space="0" w:color="auto"/>
        <w:bottom w:val="none" w:sz="0" w:space="0" w:color="auto"/>
        <w:right w:val="none" w:sz="0" w:space="0" w:color="auto"/>
      </w:divBdr>
    </w:div>
    <w:div w:id="1666585362">
      <w:bodyDiv w:val="1"/>
      <w:marLeft w:val="0"/>
      <w:marRight w:val="0"/>
      <w:marTop w:val="0"/>
      <w:marBottom w:val="0"/>
      <w:divBdr>
        <w:top w:val="none" w:sz="0" w:space="0" w:color="auto"/>
        <w:left w:val="none" w:sz="0" w:space="0" w:color="auto"/>
        <w:bottom w:val="none" w:sz="0" w:space="0" w:color="auto"/>
        <w:right w:val="none" w:sz="0" w:space="0" w:color="auto"/>
      </w:divBdr>
    </w:div>
    <w:div w:id="1671714320">
      <w:bodyDiv w:val="1"/>
      <w:marLeft w:val="0"/>
      <w:marRight w:val="0"/>
      <w:marTop w:val="0"/>
      <w:marBottom w:val="0"/>
      <w:divBdr>
        <w:top w:val="none" w:sz="0" w:space="0" w:color="auto"/>
        <w:left w:val="none" w:sz="0" w:space="0" w:color="auto"/>
        <w:bottom w:val="none" w:sz="0" w:space="0" w:color="auto"/>
        <w:right w:val="none" w:sz="0" w:space="0" w:color="auto"/>
      </w:divBdr>
    </w:div>
    <w:div w:id="1673220323">
      <w:bodyDiv w:val="1"/>
      <w:marLeft w:val="0"/>
      <w:marRight w:val="0"/>
      <w:marTop w:val="0"/>
      <w:marBottom w:val="0"/>
      <w:divBdr>
        <w:top w:val="none" w:sz="0" w:space="0" w:color="auto"/>
        <w:left w:val="none" w:sz="0" w:space="0" w:color="auto"/>
        <w:bottom w:val="none" w:sz="0" w:space="0" w:color="auto"/>
        <w:right w:val="none" w:sz="0" w:space="0" w:color="auto"/>
      </w:divBdr>
    </w:div>
    <w:div w:id="1673557749">
      <w:bodyDiv w:val="1"/>
      <w:marLeft w:val="0"/>
      <w:marRight w:val="0"/>
      <w:marTop w:val="0"/>
      <w:marBottom w:val="0"/>
      <w:divBdr>
        <w:top w:val="none" w:sz="0" w:space="0" w:color="auto"/>
        <w:left w:val="none" w:sz="0" w:space="0" w:color="auto"/>
        <w:bottom w:val="none" w:sz="0" w:space="0" w:color="auto"/>
        <w:right w:val="none" w:sz="0" w:space="0" w:color="auto"/>
      </w:divBdr>
    </w:div>
    <w:div w:id="1673951412">
      <w:bodyDiv w:val="1"/>
      <w:marLeft w:val="0"/>
      <w:marRight w:val="0"/>
      <w:marTop w:val="0"/>
      <w:marBottom w:val="0"/>
      <w:divBdr>
        <w:top w:val="none" w:sz="0" w:space="0" w:color="auto"/>
        <w:left w:val="none" w:sz="0" w:space="0" w:color="auto"/>
        <w:bottom w:val="none" w:sz="0" w:space="0" w:color="auto"/>
        <w:right w:val="none" w:sz="0" w:space="0" w:color="auto"/>
      </w:divBdr>
    </w:div>
    <w:div w:id="1676376175">
      <w:bodyDiv w:val="1"/>
      <w:marLeft w:val="0"/>
      <w:marRight w:val="0"/>
      <w:marTop w:val="0"/>
      <w:marBottom w:val="0"/>
      <w:divBdr>
        <w:top w:val="none" w:sz="0" w:space="0" w:color="auto"/>
        <w:left w:val="none" w:sz="0" w:space="0" w:color="auto"/>
        <w:bottom w:val="none" w:sz="0" w:space="0" w:color="auto"/>
        <w:right w:val="none" w:sz="0" w:space="0" w:color="auto"/>
      </w:divBdr>
    </w:div>
    <w:div w:id="1681815379">
      <w:bodyDiv w:val="1"/>
      <w:marLeft w:val="0"/>
      <w:marRight w:val="0"/>
      <w:marTop w:val="0"/>
      <w:marBottom w:val="0"/>
      <w:divBdr>
        <w:top w:val="none" w:sz="0" w:space="0" w:color="auto"/>
        <w:left w:val="none" w:sz="0" w:space="0" w:color="auto"/>
        <w:bottom w:val="none" w:sz="0" w:space="0" w:color="auto"/>
        <w:right w:val="none" w:sz="0" w:space="0" w:color="auto"/>
      </w:divBdr>
    </w:div>
    <w:div w:id="1682002013">
      <w:bodyDiv w:val="1"/>
      <w:marLeft w:val="0"/>
      <w:marRight w:val="0"/>
      <w:marTop w:val="0"/>
      <w:marBottom w:val="0"/>
      <w:divBdr>
        <w:top w:val="none" w:sz="0" w:space="0" w:color="auto"/>
        <w:left w:val="none" w:sz="0" w:space="0" w:color="auto"/>
        <w:bottom w:val="none" w:sz="0" w:space="0" w:color="auto"/>
        <w:right w:val="none" w:sz="0" w:space="0" w:color="auto"/>
      </w:divBdr>
    </w:div>
    <w:div w:id="1689213028">
      <w:bodyDiv w:val="1"/>
      <w:marLeft w:val="0"/>
      <w:marRight w:val="0"/>
      <w:marTop w:val="0"/>
      <w:marBottom w:val="0"/>
      <w:divBdr>
        <w:top w:val="none" w:sz="0" w:space="0" w:color="auto"/>
        <w:left w:val="none" w:sz="0" w:space="0" w:color="auto"/>
        <w:bottom w:val="none" w:sz="0" w:space="0" w:color="auto"/>
        <w:right w:val="none" w:sz="0" w:space="0" w:color="auto"/>
      </w:divBdr>
    </w:div>
    <w:div w:id="1697192275">
      <w:bodyDiv w:val="1"/>
      <w:marLeft w:val="0"/>
      <w:marRight w:val="0"/>
      <w:marTop w:val="0"/>
      <w:marBottom w:val="0"/>
      <w:divBdr>
        <w:top w:val="none" w:sz="0" w:space="0" w:color="auto"/>
        <w:left w:val="none" w:sz="0" w:space="0" w:color="auto"/>
        <w:bottom w:val="none" w:sz="0" w:space="0" w:color="auto"/>
        <w:right w:val="none" w:sz="0" w:space="0" w:color="auto"/>
      </w:divBdr>
    </w:div>
    <w:div w:id="1697803794">
      <w:bodyDiv w:val="1"/>
      <w:marLeft w:val="0"/>
      <w:marRight w:val="0"/>
      <w:marTop w:val="0"/>
      <w:marBottom w:val="0"/>
      <w:divBdr>
        <w:top w:val="none" w:sz="0" w:space="0" w:color="auto"/>
        <w:left w:val="none" w:sz="0" w:space="0" w:color="auto"/>
        <w:bottom w:val="none" w:sz="0" w:space="0" w:color="auto"/>
        <w:right w:val="none" w:sz="0" w:space="0" w:color="auto"/>
      </w:divBdr>
    </w:div>
    <w:div w:id="1702394609">
      <w:bodyDiv w:val="1"/>
      <w:marLeft w:val="0"/>
      <w:marRight w:val="0"/>
      <w:marTop w:val="0"/>
      <w:marBottom w:val="0"/>
      <w:divBdr>
        <w:top w:val="none" w:sz="0" w:space="0" w:color="auto"/>
        <w:left w:val="none" w:sz="0" w:space="0" w:color="auto"/>
        <w:bottom w:val="none" w:sz="0" w:space="0" w:color="auto"/>
        <w:right w:val="none" w:sz="0" w:space="0" w:color="auto"/>
      </w:divBdr>
    </w:div>
    <w:div w:id="1707172239">
      <w:bodyDiv w:val="1"/>
      <w:marLeft w:val="0"/>
      <w:marRight w:val="0"/>
      <w:marTop w:val="0"/>
      <w:marBottom w:val="0"/>
      <w:divBdr>
        <w:top w:val="none" w:sz="0" w:space="0" w:color="auto"/>
        <w:left w:val="none" w:sz="0" w:space="0" w:color="auto"/>
        <w:bottom w:val="none" w:sz="0" w:space="0" w:color="auto"/>
        <w:right w:val="none" w:sz="0" w:space="0" w:color="auto"/>
      </w:divBdr>
    </w:div>
    <w:div w:id="1708022810">
      <w:bodyDiv w:val="1"/>
      <w:marLeft w:val="0"/>
      <w:marRight w:val="0"/>
      <w:marTop w:val="0"/>
      <w:marBottom w:val="0"/>
      <w:divBdr>
        <w:top w:val="none" w:sz="0" w:space="0" w:color="auto"/>
        <w:left w:val="none" w:sz="0" w:space="0" w:color="auto"/>
        <w:bottom w:val="none" w:sz="0" w:space="0" w:color="auto"/>
        <w:right w:val="none" w:sz="0" w:space="0" w:color="auto"/>
      </w:divBdr>
    </w:div>
    <w:div w:id="1708487528">
      <w:bodyDiv w:val="1"/>
      <w:marLeft w:val="0"/>
      <w:marRight w:val="0"/>
      <w:marTop w:val="0"/>
      <w:marBottom w:val="0"/>
      <w:divBdr>
        <w:top w:val="none" w:sz="0" w:space="0" w:color="auto"/>
        <w:left w:val="none" w:sz="0" w:space="0" w:color="auto"/>
        <w:bottom w:val="none" w:sz="0" w:space="0" w:color="auto"/>
        <w:right w:val="none" w:sz="0" w:space="0" w:color="auto"/>
      </w:divBdr>
    </w:div>
    <w:div w:id="1710259869">
      <w:bodyDiv w:val="1"/>
      <w:marLeft w:val="0"/>
      <w:marRight w:val="0"/>
      <w:marTop w:val="0"/>
      <w:marBottom w:val="0"/>
      <w:divBdr>
        <w:top w:val="none" w:sz="0" w:space="0" w:color="auto"/>
        <w:left w:val="none" w:sz="0" w:space="0" w:color="auto"/>
        <w:bottom w:val="none" w:sz="0" w:space="0" w:color="auto"/>
        <w:right w:val="none" w:sz="0" w:space="0" w:color="auto"/>
      </w:divBdr>
    </w:div>
    <w:div w:id="1710370601">
      <w:bodyDiv w:val="1"/>
      <w:marLeft w:val="0"/>
      <w:marRight w:val="0"/>
      <w:marTop w:val="0"/>
      <w:marBottom w:val="0"/>
      <w:divBdr>
        <w:top w:val="none" w:sz="0" w:space="0" w:color="auto"/>
        <w:left w:val="none" w:sz="0" w:space="0" w:color="auto"/>
        <w:bottom w:val="none" w:sz="0" w:space="0" w:color="auto"/>
        <w:right w:val="none" w:sz="0" w:space="0" w:color="auto"/>
      </w:divBdr>
    </w:div>
    <w:div w:id="1715470793">
      <w:bodyDiv w:val="1"/>
      <w:marLeft w:val="0"/>
      <w:marRight w:val="0"/>
      <w:marTop w:val="0"/>
      <w:marBottom w:val="0"/>
      <w:divBdr>
        <w:top w:val="none" w:sz="0" w:space="0" w:color="auto"/>
        <w:left w:val="none" w:sz="0" w:space="0" w:color="auto"/>
        <w:bottom w:val="none" w:sz="0" w:space="0" w:color="auto"/>
        <w:right w:val="none" w:sz="0" w:space="0" w:color="auto"/>
      </w:divBdr>
    </w:div>
    <w:div w:id="1716545134">
      <w:bodyDiv w:val="1"/>
      <w:marLeft w:val="0"/>
      <w:marRight w:val="0"/>
      <w:marTop w:val="0"/>
      <w:marBottom w:val="0"/>
      <w:divBdr>
        <w:top w:val="none" w:sz="0" w:space="0" w:color="auto"/>
        <w:left w:val="none" w:sz="0" w:space="0" w:color="auto"/>
        <w:bottom w:val="none" w:sz="0" w:space="0" w:color="auto"/>
        <w:right w:val="none" w:sz="0" w:space="0" w:color="auto"/>
      </w:divBdr>
    </w:div>
    <w:div w:id="1720788114">
      <w:bodyDiv w:val="1"/>
      <w:marLeft w:val="0"/>
      <w:marRight w:val="0"/>
      <w:marTop w:val="0"/>
      <w:marBottom w:val="0"/>
      <w:divBdr>
        <w:top w:val="none" w:sz="0" w:space="0" w:color="auto"/>
        <w:left w:val="none" w:sz="0" w:space="0" w:color="auto"/>
        <w:bottom w:val="none" w:sz="0" w:space="0" w:color="auto"/>
        <w:right w:val="none" w:sz="0" w:space="0" w:color="auto"/>
      </w:divBdr>
    </w:div>
    <w:div w:id="1723627319">
      <w:bodyDiv w:val="1"/>
      <w:marLeft w:val="0"/>
      <w:marRight w:val="0"/>
      <w:marTop w:val="0"/>
      <w:marBottom w:val="0"/>
      <w:divBdr>
        <w:top w:val="none" w:sz="0" w:space="0" w:color="auto"/>
        <w:left w:val="none" w:sz="0" w:space="0" w:color="auto"/>
        <w:bottom w:val="none" w:sz="0" w:space="0" w:color="auto"/>
        <w:right w:val="none" w:sz="0" w:space="0" w:color="auto"/>
      </w:divBdr>
    </w:div>
    <w:div w:id="1727098865">
      <w:bodyDiv w:val="1"/>
      <w:marLeft w:val="0"/>
      <w:marRight w:val="0"/>
      <w:marTop w:val="0"/>
      <w:marBottom w:val="0"/>
      <w:divBdr>
        <w:top w:val="none" w:sz="0" w:space="0" w:color="auto"/>
        <w:left w:val="none" w:sz="0" w:space="0" w:color="auto"/>
        <w:bottom w:val="none" w:sz="0" w:space="0" w:color="auto"/>
        <w:right w:val="none" w:sz="0" w:space="0" w:color="auto"/>
      </w:divBdr>
    </w:div>
    <w:div w:id="1733847687">
      <w:bodyDiv w:val="1"/>
      <w:marLeft w:val="0"/>
      <w:marRight w:val="0"/>
      <w:marTop w:val="0"/>
      <w:marBottom w:val="0"/>
      <w:divBdr>
        <w:top w:val="none" w:sz="0" w:space="0" w:color="auto"/>
        <w:left w:val="none" w:sz="0" w:space="0" w:color="auto"/>
        <w:bottom w:val="none" w:sz="0" w:space="0" w:color="auto"/>
        <w:right w:val="none" w:sz="0" w:space="0" w:color="auto"/>
      </w:divBdr>
    </w:div>
    <w:div w:id="1734700208">
      <w:bodyDiv w:val="1"/>
      <w:marLeft w:val="0"/>
      <w:marRight w:val="0"/>
      <w:marTop w:val="0"/>
      <w:marBottom w:val="0"/>
      <w:divBdr>
        <w:top w:val="none" w:sz="0" w:space="0" w:color="auto"/>
        <w:left w:val="none" w:sz="0" w:space="0" w:color="auto"/>
        <w:bottom w:val="none" w:sz="0" w:space="0" w:color="auto"/>
        <w:right w:val="none" w:sz="0" w:space="0" w:color="auto"/>
      </w:divBdr>
      <w:divsChild>
        <w:div w:id="67580077">
          <w:marLeft w:val="547"/>
          <w:marRight w:val="0"/>
          <w:marTop w:val="0"/>
          <w:marBottom w:val="0"/>
          <w:divBdr>
            <w:top w:val="none" w:sz="0" w:space="0" w:color="auto"/>
            <w:left w:val="none" w:sz="0" w:space="0" w:color="auto"/>
            <w:bottom w:val="none" w:sz="0" w:space="0" w:color="auto"/>
            <w:right w:val="none" w:sz="0" w:space="0" w:color="auto"/>
          </w:divBdr>
        </w:div>
        <w:div w:id="98641834">
          <w:marLeft w:val="547"/>
          <w:marRight w:val="0"/>
          <w:marTop w:val="0"/>
          <w:marBottom w:val="0"/>
          <w:divBdr>
            <w:top w:val="none" w:sz="0" w:space="0" w:color="auto"/>
            <w:left w:val="none" w:sz="0" w:space="0" w:color="auto"/>
            <w:bottom w:val="none" w:sz="0" w:space="0" w:color="auto"/>
            <w:right w:val="none" w:sz="0" w:space="0" w:color="auto"/>
          </w:divBdr>
        </w:div>
        <w:div w:id="234366695">
          <w:marLeft w:val="2520"/>
          <w:marRight w:val="0"/>
          <w:marTop w:val="0"/>
          <w:marBottom w:val="0"/>
          <w:divBdr>
            <w:top w:val="none" w:sz="0" w:space="0" w:color="auto"/>
            <w:left w:val="none" w:sz="0" w:space="0" w:color="auto"/>
            <w:bottom w:val="none" w:sz="0" w:space="0" w:color="auto"/>
            <w:right w:val="none" w:sz="0" w:space="0" w:color="auto"/>
          </w:divBdr>
        </w:div>
        <w:div w:id="352540909">
          <w:marLeft w:val="1800"/>
          <w:marRight w:val="0"/>
          <w:marTop w:val="0"/>
          <w:marBottom w:val="0"/>
          <w:divBdr>
            <w:top w:val="none" w:sz="0" w:space="0" w:color="auto"/>
            <w:left w:val="none" w:sz="0" w:space="0" w:color="auto"/>
            <w:bottom w:val="none" w:sz="0" w:space="0" w:color="auto"/>
            <w:right w:val="none" w:sz="0" w:space="0" w:color="auto"/>
          </w:divBdr>
        </w:div>
        <w:div w:id="376390950">
          <w:marLeft w:val="2520"/>
          <w:marRight w:val="0"/>
          <w:marTop w:val="0"/>
          <w:marBottom w:val="0"/>
          <w:divBdr>
            <w:top w:val="none" w:sz="0" w:space="0" w:color="auto"/>
            <w:left w:val="none" w:sz="0" w:space="0" w:color="auto"/>
            <w:bottom w:val="none" w:sz="0" w:space="0" w:color="auto"/>
            <w:right w:val="none" w:sz="0" w:space="0" w:color="auto"/>
          </w:divBdr>
        </w:div>
        <w:div w:id="431362057">
          <w:marLeft w:val="2520"/>
          <w:marRight w:val="0"/>
          <w:marTop w:val="0"/>
          <w:marBottom w:val="0"/>
          <w:divBdr>
            <w:top w:val="none" w:sz="0" w:space="0" w:color="auto"/>
            <w:left w:val="none" w:sz="0" w:space="0" w:color="auto"/>
            <w:bottom w:val="none" w:sz="0" w:space="0" w:color="auto"/>
            <w:right w:val="none" w:sz="0" w:space="0" w:color="auto"/>
          </w:divBdr>
        </w:div>
        <w:div w:id="510725264">
          <w:marLeft w:val="2520"/>
          <w:marRight w:val="0"/>
          <w:marTop w:val="0"/>
          <w:marBottom w:val="0"/>
          <w:divBdr>
            <w:top w:val="none" w:sz="0" w:space="0" w:color="auto"/>
            <w:left w:val="none" w:sz="0" w:space="0" w:color="auto"/>
            <w:bottom w:val="none" w:sz="0" w:space="0" w:color="auto"/>
            <w:right w:val="none" w:sz="0" w:space="0" w:color="auto"/>
          </w:divBdr>
        </w:div>
        <w:div w:id="554315208">
          <w:marLeft w:val="1800"/>
          <w:marRight w:val="0"/>
          <w:marTop w:val="0"/>
          <w:marBottom w:val="0"/>
          <w:divBdr>
            <w:top w:val="none" w:sz="0" w:space="0" w:color="auto"/>
            <w:left w:val="none" w:sz="0" w:space="0" w:color="auto"/>
            <w:bottom w:val="none" w:sz="0" w:space="0" w:color="auto"/>
            <w:right w:val="none" w:sz="0" w:space="0" w:color="auto"/>
          </w:divBdr>
        </w:div>
        <w:div w:id="556860670">
          <w:marLeft w:val="2520"/>
          <w:marRight w:val="0"/>
          <w:marTop w:val="0"/>
          <w:marBottom w:val="0"/>
          <w:divBdr>
            <w:top w:val="none" w:sz="0" w:space="0" w:color="auto"/>
            <w:left w:val="none" w:sz="0" w:space="0" w:color="auto"/>
            <w:bottom w:val="none" w:sz="0" w:space="0" w:color="auto"/>
            <w:right w:val="none" w:sz="0" w:space="0" w:color="auto"/>
          </w:divBdr>
        </w:div>
        <w:div w:id="670907890">
          <w:marLeft w:val="1800"/>
          <w:marRight w:val="0"/>
          <w:marTop w:val="0"/>
          <w:marBottom w:val="0"/>
          <w:divBdr>
            <w:top w:val="none" w:sz="0" w:space="0" w:color="auto"/>
            <w:left w:val="none" w:sz="0" w:space="0" w:color="auto"/>
            <w:bottom w:val="none" w:sz="0" w:space="0" w:color="auto"/>
            <w:right w:val="none" w:sz="0" w:space="0" w:color="auto"/>
          </w:divBdr>
        </w:div>
        <w:div w:id="685331203">
          <w:marLeft w:val="2520"/>
          <w:marRight w:val="0"/>
          <w:marTop w:val="0"/>
          <w:marBottom w:val="0"/>
          <w:divBdr>
            <w:top w:val="none" w:sz="0" w:space="0" w:color="auto"/>
            <w:left w:val="none" w:sz="0" w:space="0" w:color="auto"/>
            <w:bottom w:val="none" w:sz="0" w:space="0" w:color="auto"/>
            <w:right w:val="none" w:sz="0" w:space="0" w:color="auto"/>
          </w:divBdr>
        </w:div>
        <w:div w:id="702750429">
          <w:marLeft w:val="547"/>
          <w:marRight w:val="0"/>
          <w:marTop w:val="0"/>
          <w:marBottom w:val="0"/>
          <w:divBdr>
            <w:top w:val="none" w:sz="0" w:space="0" w:color="auto"/>
            <w:left w:val="none" w:sz="0" w:space="0" w:color="auto"/>
            <w:bottom w:val="none" w:sz="0" w:space="0" w:color="auto"/>
            <w:right w:val="none" w:sz="0" w:space="0" w:color="auto"/>
          </w:divBdr>
        </w:div>
        <w:div w:id="737434916">
          <w:marLeft w:val="2520"/>
          <w:marRight w:val="0"/>
          <w:marTop w:val="0"/>
          <w:marBottom w:val="0"/>
          <w:divBdr>
            <w:top w:val="none" w:sz="0" w:space="0" w:color="auto"/>
            <w:left w:val="none" w:sz="0" w:space="0" w:color="auto"/>
            <w:bottom w:val="none" w:sz="0" w:space="0" w:color="auto"/>
            <w:right w:val="none" w:sz="0" w:space="0" w:color="auto"/>
          </w:divBdr>
        </w:div>
        <w:div w:id="883836880">
          <w:marLeft w:val="2520"/>
          <w:marRight w:val="0"/>
          <w:marTop w:val="0"/>
          <w:marBottom w:val="0"/>
          <w:divBdr>
            <w:top w:val="none" w:sz="0" w:space="0" w:color="auto"/>
            <w:left w:val="none" w:sz="0" w:space="0" w:color="auto"/>
            <w:bottom w:val="none" w:sz="0" w:space="0" w:color="auto"/>
            <w:right w:val="none" w:sz="0" w:space="0" w:color="auto"/>
          </w:divBdr>
        </w:div>
        <w:div w:id="992877207">
          <w:marLeft w:val="1800"/>
          <w:marRight w:val="0"/>
          <w:marTop w:val="0"/>
          <w:marBottom w:val="0"/>
          <w:divBdr>
            <w:top w:val="none" w:sz="0" w:space="0" w:color="auto"/>
            <w:left w:val="none" w:sz="0" w:space="0" w:color="auto"/>
            <w:bottom w:val="none" w:sz="0" w:space="0" w:color="auto"/>
            <w:right w:val="none" w:sz="0" w:space="0" w:color="auto"/>
          </w:divBdr>
        </w:div>
        <w:div w:id="1211305809">
          <w:marLeft w:val="1166"/>
          <w:marRight w:val="0"/>
          <w:marTop w:val="0"/>
          <w:marBottom w:val="0"/>
          <w:divBdr>
            <w:top w:val="none" w:sz="0" w:space="0" w:color="auto"/>
            <w:left w:val="none" w:sz="0" w:space="0" w:color="auto"/>
            <w:bottom w:val="none" w:sz="0" w:space="0" w:color="auto"/>
            <w:right w:val="none" w:sz="0" w:space="0" w:color="auto"/>
          </w:divBdr>
        </w:div>
        <w:div w:id="1237519336">
          <w:marLeft w:val="2520"/>
          <w:marRight w:val="0"/>
          <w:marTop w:val="0"/>
          <w:marBottom w:val="0"/>
          <w:divBdr>
            <w:top w:val="none" w:sz="0" w:space="0" w:color="auto"/>
            <w:left w:val="none" w:sz="0" w:space="0" w:color="auto"/>
            <w:bottom w:val="none" w:sz="0" w:space="0" w:color="auto"/>
            <w:right w:val="none" w:sz="0" w:space="0" w:color="auto"/>
          </w:divBdr>
        </w:div>
        <w:div w:id="1279948798">
          <w:marLeft w:val="2520"/>
          <w:marRight w:val="0"/>
          <w:marTop w:val="0"/>
          <w:marBottom w:val="0"/>
          <w:divBdr>
            <w:top w:val="none" w:sz="0" w:space="0" w:color="auto"/>
            <w:left w:val="none" w:sz="0" w:space="0" w:color="auto"/>
            <w:bottom w:val="none" w:sz="0" w:space="0" w:color="auto"/>
            <w:right w:val="none" w:sz="0" w:space="0" w:color="auto"/>
          </w:divBdr>
        </w:div>
        <w:div w:id="1348753691">
          <w:marLeft w:val="2520"/>
          <w:marRight w:val="0"/>
          <w:marTop w:val="0"/>
          <w:marBottom w:val="0"/>
          <w:divBdr>
            <w:top w:val="none" w:sz="0" w:space="0" w:color="auto"/>
            <w:left w:val="none" w:sz="0" w:space="0" w:color="auto"/>
            <w:bottom w:val="none" w:sz="0" w:space="0" w:color="auto"/>
            <w:right w:val="none" w:sz="0" w:space="0" w:color="auto"/>
          </w:divBdr>
        </w:div>
        <w:div w:id="1374426397">
          <w:marLeft w:val="1800"/>
          <w:marRight w:val="0"/>
          <w:marTop w:val="0"/>
          <w:marBottom w:val="0"/>
          <w:divBdr>
            <w:top w:val="none" w:sz="0" w:space="0" w:color="auto"/>
            <w:left w:val="none" w:sz="0" w:space="0" w:color="auto"/>
            <w:bottom w:val="none" w:sz="0" w:space="0" w:color="auto"/>
            <w:right w:val="none" w:sz="0" w:space="0" w:color="auto"/>
          </w:divBdr>
        </w:div>
        <w:div w:id="1431660907">
          <w:marLeft w:val="1800"/>
          <w:marRight w:val="0"/>
          <w:marTop w:val="0"/>
          <w:marBottom w:val="0"/>
          <w:divBdr>
            <w:top w:val="none" w:sz="0" w:space="0" w:color="auto"/>
            <w:left w:val="none" w:sz="0" w:space="0" w:color="auto"/>
            <w:bottom w:val="none" w:sz="0" w:space="0" w:color="auto"/>
            <w:right w:val="none" w:sz="0" w:space="0" w:color="auto"/>
          </w:divBdr>
        </w:div>
        <w:div w:id="1471165642">
          <w:marLeft w:val="1800"/>
          <w:marRight w:val="0"/>
          <w:marTop w:val="0"/>
          <w:marBottom w:val="0"/>
          <w:divBdr>
            <w:top w:val="none" w:sz="0" w:space="0" w:color="auto"/>
            <w:left w:val="none" w:sz="0" w:space="0" w:color="auto"/>
            <w:bottom w:val="none" w:sz="0" w:space="0" w:color="auto"/>
            <w:right w:val="none" w:sz="0" w:space="0" w:color="auto"/>
          </w:divBdr>
        </w:div>
        <w:div w:id="2021352682">
          <w:marLeft w:val="1166"/>
          <w:marRight w:val="0"/>
          <w:marTop w:val="0"/>
          <w:marBottom w:val="0"/>
          <w:divBdr>
            <w:top w:val="none" w:sz="0" w:space="0" w:color="auto"/>
            <w:left w:val="none" w:sz="0" w:space="0" w:color="auto"/>
            <w:bottom w:val="none" w:sz="0" w:space="0" w:color="auto"/>
            <w:right w:val="none" w:sz="0" w:space="0" w:color="auto"/>
          </w:divBdr>
        </w:div>
        <w:div w:id="2090157347">
          <w:marLeft w:val="1800"/>
          <w:marRight w:val="0"/>
          <w:marTop w:val="0"/>
          <w:marBottom w:val="0"/>
          <w:divBdr>
            <w:top w:val="none" w:sz="0" w:space="0" w:color="auto"/>
            <w:left w:val="none" w:sz="0" w:space="0" w:color="auto"/>
            <w:bottom w:val="none" w:sz="0" w:space="0" w:color="auto"/>
            <w:right w:val="none" w:sz="0" w:space="0" w:color="auto"/>
          </w:divBdr>
        </w:div>
      </w:divsChild>
    </w:div>
    <w:div w:id="1736395182">
      <w:bodyDiv w:val="1"/>
      <w:marLeft w:val="0"/>
      <w:marRight w:val="0"/>
      <w:marTop w:val="0"/>
      <w:marBottom w:val="0"/>
      <w:divBdr>
        <w:top w:val="none" w:sz="0" w:space="0" w:color="auto"/>
        <w:left w:val="none" w:sz="0" w:space="0" w:color="auto"/>
        <w:bottom w:val="none" w:sz="0" w:space="0" w:color="auto"/>
        <w:right w:val="none" w:sz="0" w:space="0" w:color="auto"/>
      </w:divBdr>
    </w:div>
    <w:div w:id="1738936729">
      <w:bodyDiv w:val="1"/>
      <w:marLeft w:val="0"/>
      <w:marRight w:val="0"/>
      <w:marTop w:val="0"/>
      <w:marBottom w:val="0"/>
      <w:divBdr>
        <w:top w:val="none" w:sz="0" w:space="0" w:color="auto"/>
        <w:left w:val="none" w:sz="0" w:space="0" w:color="auto"/>
        <w:bottom w:val="none" w:sz="0" w:space="0" w:color="auto"/>
        <w:right w:val="none" w:sz="0" w:space="0" w:color="auto"/>
      </w:divBdr>
      <w:divsChild>
        <w:div w:id="1575117897">
          <w:marLeft w:val="0"/>
          <w:marRight w:val="0"/>
          <w:marTop w:val="0"/>
          <w:marBottom w:val="0"/>
          <w:divBdr>
            <w:top w:val="none" w:sz="0" w:space="0" w:color="auto"/>
            <w:left w:val="none" w:sz="0" w:space="0" w:color="auto"/>
            <w:bottom w:val="none" w:sz="0" w:space="0" w:color="auto"/>
            <w:right w:val="none" w:sz="0" w:space="0" w:color="auto"/>
          </w:divBdr>
        </w:div>
      </w:divsChild>
    </w:div>
    <w:div w:id="1746686491">
      <w:bodyDiv w:val="1"/>
      <w:marLeft w:val="0"/>
      <w:marRight w:val="0"/>
      <w:marTop w:val="0"/>
      <w:marBottom w:val="0"/>
      <w:divBdr>
        <w:top w:val="none" w:sz="0" w:space="0" w:color="auto"/>
        <w:left w:val="none" w:sz="0" w:space="0" w:color="auto"/>
        <w:bottom w:val="none" w:sz="0" w:space="0" w:color="auto"/>
        <w:right w:val="none" w:sz="0" w:space="0" w:color="auto"/>
      </w:divBdr>
    </w:div>
    <w:div w:id="1755396597">
      <w:bodyDiv w:val="1"/>
      <w:marLeft w:val="0"/>
      <w:marRight w:val="0"/>
      <w:marTop w:val="0"/>
      <w:marBottom w:val="0"/>
      <w:divBdr>
        <w:top w:val="none" w:sz="0" w:space="0" w:color="auto"/>
        <w:left w:val="none" w:sz="0" w:space="0" w:color="auto"/>
        <w:bottom w:val="none" w:sz="0" w:space="0" w:color="auto"/>
        <w:right w:val="none" w:sz="0" w:space="0" w:color="auto"/>
      </w:divBdr>
    </w:div>
    <w:div w:id="1758214685">
      <w:bodyDiv w:val="1"/>
      <w:marLeft w:val="0"/>
      <w:marRight w:val="0"/>
      <w:marTop w:val="0"/>
      <w:marBottom w:val="0"/>
      <w:divBdr>
        <w:top w:val="none" w:sz="0" w:space="0" w:color="auto"/>
        <w:left w:val="none" w:sz="0" w:space="0" w:color="auto"/>
        <w:bottom w:val="none" w:sz="0" w:space="0" w:color="auto"/>
        <w:right w:val="none" w:sz="0" w:space="0" w:color="auto"/>
      </w:divBdr>
    </w:div>
    <w:div w:id="1759869440">
      <w:bodyDiv w:val="1"/>
      <w:marLeft w:val="0"/>
      <w:marRight w:val="0"/>
      <w:marTop w:val="0"/>
      <w:marBottom w:val="0"/>
      <w:divBdr>
        <w:top w:val="none" w:sz="0" w:space="0" w:color="auto"/>
        <w:left w:val="none" w:sz="0" w:space="0" w:color="auto"/>
        <w:bottom w:val="none" w:sz="0" w:space="0" w:color="auto"/>
        <w:right w:val="none" w:sz="0" w:space="0" w:color="auto"/>
      </w:divBdr>
    </w:div>
    <w:div w:id="1808357172">
      <w:bodyDiv w:val="1"/>
      <w:marLeft w:val="0"/>
      <w:marRight w:val="0"/>
      <w:marTop w:val="0"/>
      <w:marBottom w:val="0"/>
      <w:divBdr>
        <w:top w:val="none" w:sz="0" w:space="0" w:color="auto"/>
        <w:left w:val="none" w:sz="0" w:space="0" w:color="auto"/>
        <w:bottom w:val="none" w:sz="0" w:space="0" w:color="auto"/>
        <w:right w:val="none" w:sz="0" w:space="0" w:color="auto"/>
      </w:divBdr>
    </w:div>
    <w:div w:id="1809007087">
      <w:bodyDiv w:val="1"/>
      <w:marLeft w:val="0"/>
      <w:marRight w:val="0"/>
      <w:marTop w:val="0"/>
      <w:marBottom w:val="0"/>
      <w:divBdr>
        <w:top w:val="none" w:sz="0" w:space="0" w:color="auto"/>
        <w:left w:val="none" w:sz="0" w:space="0" w:color="auto"/>
        <w:bottom w:val="none" w:sz="0" w:space="0" w:color="auto"/>
        <w:right w:val="none" w:sz="0" w:space="0" w:color="auto"/>
      </w:divBdr>
    </w:div>
    <w:div w:id="1809010003">
      <w:bodyDiv w:val="1"/>
      <w:marLeft w:val="0"/>
      <w:marRight w:val="0"/>
      <w:marTop w:val="0"/>
      <w:marBottom w:val="0"/>
      <w:divBdr>
        <w:top w:val="none" w:sz="0" w:space="0" w:color="auto"/>
        <w:left w:val="none" w:sz="0" w:space="0" w:color="auto"/>
        <w:bottom w:val="none" w:sz="0" w:space="0" w:color="auto"/>
        <w:right w:val="none" w:sz="0" w:space="0" w:color="auto"/>
      </w:divBdr>
    </w:div>
    <w:div w:id="1814249331">
      <w:bodyDiv w:val="1"/>
      <w:marLeft w:val="0"/>
      <w:marRight w:val="0"/>
      <w:marTop w:val="0"/>
      <w:marBottom w:val="0"/>
      <w:divBdr>
        <w:top w:val="none" w:sz="0" w:space="0" w:color="auto"/>
        <w:left w:val="none" w:sz="0" w:space="0" w:color="auto"/>
        <w:bottom w:val="none" w:sz="0" w:space="0" w:color="auto"/>
        <w:right w:val="none" w:sz="0" w:space="0" w:color="auto"/>
      </w:divBdr>
    </w:div>
    <w:div w:id="1815442229">
      <w:bodyDiv w:val="1"/>
      <w:marLeft w:val="0"/>
      <w:marRight w:val="0"/>
      <w:marTop w:val="0"/>
      <w:marBottom w:val="0"/>
      <w:divBdr>
        <w:top w:val="none" w:sz="0" w:space="0" w:color="auto"/>
        <w:left w:val="none" w:sz="0" w:space="0" w:color="auto"/>
        <w:bottom w:val="none" w:sz="0" w:space="0" w:color="auto"/>
        <w:right w:val="none" w:sz="0" w:space="0" w:color="auto"/>
      </w:divBdr>
      <w:divsChild>
        <w:div w:id="1726484711">
          <w:marLeft w:val="0"/>
          <w:marRight w:val="0"/>
          <w:marTop w:val="0"/>
          <w:marBottom w:val="0"/>
          <w:divBdr>
            <w:top w:val="none" w:sz="0" w:space="0" w:color="auto"/>
            <w:left w:val="none" w:sz="0" w:space="0" w:color="auto"/>
            <w:bottom w:val="none" w:sz="0" w:space="0" w:color="auto"/>
            <w:right w:val="none" w:sz="0" w:space="0" w:color="auto"/>
          </w:divBdr>
        </w:div>
      </w:divsChild>
    </w:div>
    <w:div w:id="1819222185">
      <w:bodyDiv w:val="1"/>
      <w:marLeft w:val="0"/>
      <w:marRight w:val="0"/>
      <w:marTop w:val="0"/>
      <w:marBottom w:val="0"/>
      <w:divBdr>
        <w:top w:val="none" w:sz="0" w:space="0" w:color="auto"/>
        <w:left w:val="none" w:sz="0" w:space="0" w:color="auto"/>
        <w:bottom w:val="none" w:sz="0" w:space="0" w:color="auto"/>
        <w:right w:val="none" w:sz="0" w:space="0" w:color="auto"/>
      </w:divBdr>
    </w:div>
    <w:div w:id="1829442450">
      <w:bodyDiv w:val="1"/>
      <w:marLeft w:val="0"/>
      <w:marRight w:val="0"/>
      <w:marTop w:val="0"/>
      <w:marBottom w:val="0"/>
      <w:divBdr>
        <w:top w:val="none" w:sz="0" w:space="0" w:color="auto"/>
        <w:left w:val="none" w:sz="0" w:space="0" w:color="auto"/>
        <w:bottom w:val="none" w:sz="0" w:space="0" w:color="auto"/>
        <w:right w:val="none" w:sz="0" w:space="0" w:color="auto"/>
      </w:divBdr>
    </w:div>
    <w:div w:id="1833907187">
      <w:bodyDiv w:val="1"/>
      <w:marLeft w:val="0"/>
      <w:marRight w:val="0"/>
      <w:marTop w:val="0"/>
      <w:marBottom w:val="0"/>
      <w:divBdr>
        <w:top w:val="none" w:sz="0" w:space="0" w:color="auto"/>
        <w:left w:val="none" w:sz="0" w:space="0" w:color="auto"/>
        <w:bottom w:val="none" w:sz="0" w:space="0" w:color="auto"/>
        <w:right w:val="none" w:sz="0" w:space="0" w:color="auto"/>
      </w:divBdr>
    </w:div>
    <w:div w:id="1838157178">
      <w:bodyDiv w:val="1"/>
      <w:marLeft w:val="0"/>
      <w:marRight w:val="0"/>
      <w:marTop w:val="0"/>
      <w:marBottom w:val="0"/>
      <w:divBdr>
        <w:top w:val="none" w:sz="0" w:space="0" w:color="auto"/>
        <w:left w:val="none" w:sz="0" w:space="0" w:color="auto"/>
        <w:bottom w:val="none" w:sz="0" w:space="0" w:color="auto"/>
        <w:right w:val="none" w:sz="0" w:space="0" w:color="auto"/>
      </w:divBdr>
    </w:div>
    <w:div w:id="1838617076">
      <w:bodyDiv w:val="1"/>
      <w:marLeft w:val="0"/>
      <w:marRight w:val="0"/>
      <w:marTop w:val="0"/>
      <w:marBottom w:val="0"/>
      <w:divBdr>
        <w:top w:val="none" w:sz="0" w:space="0" w:color="auto"/>
        <w:left w:val="none" w:sz="0" w:space="0" w:color="auto"/>
        <w:bottom w:val="none" w:sz="0" w:space="0" w:color="auto"/>
        <w:right w:val="none" w:sz="0" w:space="0" w:color="auto"/>
      </w:divBdr>
    </w:div>
    <w:div w:id="1838884293">
      <w:bodyDiv w:val="1"/>
      <w:marLeft w:val="0"/>
      <w:marRight w:val="0"/>
      <w:marTop w:val="0"/>
      <w:marBottom w:val="0"/>
      <w:divBdr>
        <w:top w:val="none" w:sz="0" w:space="0" w:color="auto"/>
        <w:left w:val="none" w:sz="0" w:space="0" w:color="auto"/>
        <w:bottom w:val="none" w:sz="0" w:space="0" w:color="auto"/>
        <w:right w:val="none" w:sz="0" w:space="0" w:color="auto"/>
      </w:divBdr>
    </w:div>
    <w:div w:id="1840997345">
      <w:bodyDiv w:val="1"/>
      <w:marLeft w:val="0"/>
      <w:marRight w:val="0"/>
      <w:marTop w:val="0"/>
      <w:marBottom w:val="0"/>
      <w:divBdr>
        <w:top w:val="none" w:sz="0" w:space="0" w:color="auto"/>
        <w:left w:val="none" w:sz="0" w:space="0" w:color="auto"/>
        <w:bottom w:val="none" w:sz="0" w:space="0" w:color="auto"/>
        <w:right w:val="none" w:sz="0" w:space="0" w:color="auto"/>
      </w:divBdr>
    </w:div>
    <w:div w:id="1851288780">
      <w:bodyDiv w:val="1"/>
      <w:marLeft w:val="0"/>
      <w:marRight w:val="0"/>
      <w:marTop w:val="0"/>
      <w:marBottom w:val="0"/>
      <w:divBdr>
        <w:top w:val="none" w:sz="0" w:space="0" w:color="auto"/>
        <w:left w:val="none" w:sz="0" w:space="0" w:color="auto"/>
        <w:bottom w:val="none" w:sz="0" w:space="0" w:color="auto"/>
        <w:right w:val="none" w:sz="0" w:space="0" w:color="auto"/>
      </w:divBdr>
    </w:div>
    <w:div w:id="1874541234">
      <w:bodyDiv w:val="1"/>
      <w:marLeft w:val="0"/>
      <w:marRight w:val="0"/>
      <w:marTop w:val="0"/>
      <w:marBottom w:val="0"/>
      <w:divBdr>
        <w:top w:val="none" w:sz="0" w:space="0" w:color="auto"/>
        <w:left w:val="none" w:sz="0" w:space="0" w:color="auto"/>
        <w:bottom w:val="none" w:sz="0" w:space="0" w:color="auto"/>
        <w:right w:val="none" w:sz="0" w:space="0" w:color="auto"/>
      </w:divBdr>
    </w:div>
    <w:div w:id="1877501531">
      <w:bodyDiv w:val="1"/>
      <w:marLeft w:val="0"/>
      <w:marRight w:val="0"/>
      <w:marTop w:val="0"/>
      <w:marBottom w:val="0"/>
      <w:divBdr>
        <w:top w:val="none" w:sz="0" w:space="0" w:color="auto"/>
        <w:left w:val="none" w:sz="0" w:space="0" w:color="auto"/>
        <w:bottom w:val="none" w:sz="0" w:space="0" w:color="auto"/>
        <w:right w:val="none" w:sz="0" w:space="0" w:color="auto"/>
      </w:divBdr>
    </w:div>
    <w:div w:id="1882938785">
      <w:bodyDiv w:val="1"/>
      <w:marLeft w:val="0"/>
      <w:marRight w:val="0"/>
      <w:marTop w:val="0"/>
      <w:marBottom w:val="0"/>
      <w:divBdr>
        <w:top w:val="none" w:sz="0" w:space="0" w:color="auto"/>
        <w:left w:val="none" w:sz="0" w:space="0" w:color="auto"/>
        <w:bottom w:val="none" w:sz="0" w:space="0" w:color="auto"/>
        <w:right w:val="none" w:sz="0" w:space="0" w:color="auto"/>
      </w:divBdr>
    </w:div>
    <w:div w:id="1884973476">
      <w:bodyDiv w:val="1"/>
      <w:marLeft w:val="0"/>
      <w:marRight w:val="0"/>
      <w:marTop w:val="0"/>
      <w:marBottom w:val="0"/>
      <w:divBdr>
        <w:top w:val="none" w:sz="0" w:space="0" w:color="auto"/>
        <w:left w:val="none" w:sz="0" w:space="0" w:color="auto"/>
        <w:bottom w:val="none" w:sz="0" w:space="0" w:color="auto"/>
        <w:right w:val="none" w:sz="0" w:space="0" w:color="auto"/>
      </w:divBdr>
    </w:div>
    <w:div w:id="1892377672">
      <w:bodyDiv w:val="1"/>
      <w:marLeft w:val="0"/>
      <w:marRight w:val="0"/>
      <w:marTop w:val="0"/>
      <w:marBottom w:val="0"/>
      <w:divBdr>
        <w:top w:val="none" w:sz="0" w:space="0" w:color="auto"/>
        <w:left w:val="none" w:sz="0" w:space="0" w:color="auto"/>
        <w:bottom w:val="none" w:sz="0" w:space="0" w:color="auto"/>
        <w:right w:val="none" w:sz="0" w:space="0" w:color="auto"/>
      </w:divBdr>
    </w:div>
    <w:div w:id="1893930182">
      <w:bodyDiv w:val="1"/>
      <w:marLeft w:val="0"/>
      <w:marRight w:val="0"/>
      <w:marTop w:val="0"/>
      <w:marBottom w:val="0"/>
      <w:divBdr>
        <w:top w:val="none" w:sz="0" w:space="0" w:color="auto"/>
        <w:left w:val="none" w:sz="0" w:space="0" w:color="auto"/>
        <w:bottom w:val="none" w:sz="0" w:space="0" w:color="auto"/>
        <w:right w:val="none" w:sz="0" w:space="0" w:color="auto"/>
      </w:divBdr>
    </w:div>
    <w:div w:id="1906524219">
      <w:bodyDiv w:val="1"/>
      <w:marLeft w:val="0"/>
      <w:marRight w:val="0"/>
      <w:marTop w:val="0"/>
      <w:marBottom w:val="0"/>
      <w:divBdr>
        <w:top w:val="none" w:sz="0" w:space="0" w:color="auto"/>
        <w:left w:val="none" w:sz="0" w:space="0" w:color="auto"/>
        <w:bottom w:val="none" w:sz="0" w:space="0" w:color="auto"/>
        <w:right w:val="none" w:sz="0" w:space="0" w:color="auto"/>
      </w:divBdr>
      <w:divsChild>
        <w:div w:id="1360231225">
          <w:marLeft w:val="0"/>
          <w:marRight w:val="0"/>
          <w:marTop w:val="0"/>
          <w:marBottom w:val="0"/>
          <w:divBdr>
            <w:top w:val="none" w:sz="0" w:space="0" w:color="auto"/>
            <w:left w:val="none" w:sz="0" w:space="0" w:color="auto"/>
            <w:bottom w:val="none" w:sz="0" w:space="0" w:color="auto"/>
            <w:right w:val="none" w:sz="0" w:space="0" w:color="auto"/>
          </w:divBdr>
        </w:div>
      </w:divsChild>
    </w:div>
    <w:div w:id="1908225775">
      <w:bodyDiv w:val="1"/>
      <w:marLeft w:val="0"/>
      <w:marRight w:val="0"/>
      <w:marTop w:val="0"/>
      <w:marBottom w:val="0"/>
      <w:divBdr>
        <w:top w:val="none" w:sz="0" w:space="0" w:color="auto"/>
        <w:left w:val="none" w:sz="0" w:space="0" w:color="auto"/>
        <w:bottom w:val="none" w:sz="0" w:space="0" w:color="auto"/>
        <w:right w:val="none" w:sz="0" w:space="0" w:color="auto"/>
      </w:divBdr>
    </w:div>
    <w:div w:id="1910995084">
      <w:bodyDiv w:val="1"/>
      <w:marLeft w:val="0"/>
      <w:marRight w:val="0"/>
      <w:marTop w:val="0"/>
      <w:marBottom w:val="0"/>
      <w:divBdr>
        <w:top w:val="none" w:sz="0" w:space="0" w:color="auto"/>
        <w:left w:val="none" w:sz="0" w:space="0" w:color="auto"/>
        <w:bottom w:val="none" w:sz="0" w:space="0" w:color="auto"/>
        <w:right w:val="none" w:sz="0" w:space="0" w:color="auto"/>
      </w:divBdr>
    </w:div>
    <w:div w:id="1914584054">
      <w:bodyDiv w:val="1"/>
      <w:marLeft w:val="0"/>
      <w:marRight w:val="0"/>
      <w:marTop w:val="0"/>
      <w:marBottom w:val="0"/>
      <w:divBdr>
        <w:top w:val="none" w:sz="0" w:space="0" w:color="auto"/>
        <w:left w:val="none" w:sz="0" w:space="0" w:color="auto"/>
        <w:bottom w:val="none" w:sz="0" w:space="0" w:color="auto"/>
        <w:right w:val="none" w:sz="0" w:space="0" w:color="auto"/>
      </w:divBdr>
    </w:div>
    <w:div w:id="1918515233">
      <w:bodyDiv w:val="1"/>
      <w:marLeft w:val="0"/>
      <w:marRight w:val="0"/>
      <w:marTop w:val="0"/>
      <w:marBottom w:val="0"/>
      <w:divBdr>
        <w:top w:val="none" w:sz="0" w:space="0" w:color="auto"/>
        <w:left w:val="none" w:sz="0" w:space="0" w:color="auto"/>
        <w:bottom w:val="none" w:sz="0" w:space="0" w:color="auto"/>
        <w:right w:val="none" w:sz="0" w:space="0" w:color="auto"/>
      </w:divBdr>
    </w:div>
    <w:div w:id="1922595342">
      <w:bodyDiv w:val="1"/>
      <w:marLeft w:val="0"/>
      <w:marRight w:val="0"/>
      <w:marTop w:val="0"/>
      <w:marBottom w:val="0"/>
      <w:divBdr>
        <w:top w:val="none" w:sz="0" w:space="0" w:color="auto"/>
        <w:left w:val="none" w:sz="0" w:space="0" w:color="auto"/>
        <w:bottom w:val="none" w:sz="0" w:space="0" w:color="auto"/>
        <w:right w:val="none" w:sz="0" w:space="0" w:color="auto"/>
      </w:divBdr>
    </w:div>
    <w:div w:id="1925992752">
      <w:bodyDiv w:val="1"/>
      <w:marLeft w:val="0"/>
      <w:marRight w:val="0"/>
      <w:marTop w:val="0"/>
      <w:marBottom w:val="0"/>
      <w:divBdr>
        <w:top w:val="none" w:sz="0" w:space="0" w:color="auto"/>
        <w:left w:val="none" w:sz="0" w:space="0" w:color="auto"/>
        <w:bottom w:val="none" w:sz="0" w:space="0" w:color="auto"/>
        <w:right w:val="none" w:sz="0" w:space="0" w:color="auto"/>
      </w:divBdr>
    </w:div>
    <w:div w:id="1926958379">
      <w:bodyDiv w:val="1"/>
      <w:marLeft w:val="0"/>
      <w:marRight w:val="0"/>
      <w:marTop w:val="0"/>
      <w:marBottom w:val="0"/>
      <w:divBdr>
        <w:top w:val="none" w:sz="0" w:space="0" w:color="auto"/>
        <w:left w:val="none" w:sz="0" w:space="0" w:color="auto"/>
        <w:bottom w:val="none" w:sz="0" w:space="0" w:color="auto"/>
        <w:right w:val="none" w:sz="0" w:space="0" w:color="auto"/>
      </w:divBdr>
    </w:div>
    <w:div w:id="1949971177">
      <w:bodyDiv w:val="1"/>
      <w:marLeft w:val="0"/>
      <w:marRight w:val="0"/>
      <w:marTop w:val="0"/>
      <w:marBottom w:val="0"/>
      <w:divBdr>
        <w:top w:val="none" w:sz="0" w:space="0" w:color="auto"/>
        <w:left w:val="none" w:sz="0" w:space="0" w:color="auto"/>
        <w:bottom w:val="none" w:sz="0" w:space="0" w:color="auto"/>
        <w:right w:val="none" w:sz="0" w:space="0" w:color="auto"/>
      </w:divBdr>
    </w:div>
    <w:div w:id="1950040459">
      <w:bodyDiv w:val="1"/>
      <w:marLeft w:val="0"/>
      <w:marRight w:val="0"/>
      <w:marTop w:val="0"/>
      <w:marBottom w:val="0"/>
      <w:divBdr>
        <w:top w:val="none" w:sz="0" w:space="0" w:color="auto"/>
        <w:left w:val="none" w:sz="0" w:space="0" w:color="auto"/>
        <w:bottom w:val="none" w:sz="0" w:space="0" w:color="auto"/>
        <w:right w:val="none" w:sz="0" w:space="0" w:color="auto"/>
      </w:divBdr>
    </w:div>
    <w:div w:id="1956329552">
      <w:bodyDiv w:val="1"/>
      <w:marLeft w:val="0"/>
      <w:marRight w:val="0"/>
      <w:marTop w:val="0"/>
      <w:marBottom w:val="0"/>
      <w:divBdr>
        <w:top w:val="none" w:sz="0" w:space="0" w:color="auto"/>
        <w:left w:val="none" w:sz="0" w:space="0" w:color="auto"/>
        <w:bottom w:val="none" w:sz="0" w:space="0" w:color="auto"/>
        <w:right w:val="none" w:sz="0" w:space="0" w:color="auto"/>
      </w:divBdr>
    </w:div>
    <w:div w:id="1962030244">
      <w:bodyDiv w:val="1"/>
      <w:marLeft w:val="0"/>
      <w:marRight w:val="0"/>
      <w:marTop w:val="0"/>
      <w:marBottom w:val="0"/>
      <w:divBdr>
        <w:top w:val="none" w:sz="0" w:space="0" w:color="auto"/>
        <w:left w:val="none" w:sz="0" w:space="0" w:color="auto"/>
        <w:bottom w:val="none" w:sz="0" w:space="0" w:color="auto"/>
        <w:right w:val="none" w:sz="0" w:space="0" w:color="auto"/>
      </w:divBdr>
    </w:div>
    <w:div w:id="1966428056">
      <w:bodyDiv w:val="1"/>
      <w:marLeft w:val="0"/>
      <w:marRight w:val="0"/>
      <w:marTop w:val="0"/>
      <w:marBottom w:val="0"/>
      <w:divBdr>
        <w:top w:val="none" w:sz="0" w:space="0" w:color="auto"/>
        <w:left w:val="none" w:sz="0" w:space="0" w:color="auto"/>
        <w:bottom w:val="none" w:sz="0" w:space="0" w:color="auto"/>
        <w:right w:val="none" w:sz="0" w:space="0" w:color="auto"/>
      </w:divBdr>
    </w:div>
    <w:div w:id="1984848766">
      <w:bodyDiv w:val="1"/>
      <w:marLeft w:val="0"/>
      <w:marRight w:val="0"/>
      <w:marTop w:val="0"/>
      <w:marBottom w:val="0"/>
      <w:divBdr>
        <w:top w:val="none" w:sz="0" w:space="0" w:color="auto"/>
        <w:left w:val="none" w:sz="0" w:space="0" w:color="auto"/>
        <w:bottom w:val="none" w:sz="0" w:space="0" w:color="auto"/>
        <w:right w:val="none" w:sz="0" w:space="0" w:color="auto"/>
      </w:divBdr>
    </w:div>
    <w:div w:id="1990012490">
      <w:bodyDiv w:val="1"/>
      <w:marLeft w:val="0"/>
      <w:marRight w:val="0"/>
      <w:marTop w:val="0"/>
      <w:marBottom w:val="0"/>
      <w:divBdr>
        <w:top w:val="none" w:sz="0" w:space="0" w:color="auto"/>
        <w:left w:val="none" w:sz="0" w:space="0" w:color="auto"/>
        <w:bottom w:val="none" w:sz="0" w:space="0" w:color="auto"/>
        <w:right w:val="none" w:sz="0" w:space="0" w:color="auto"/>
      </w:divBdr>
    </w:div>
    <w:div w:id="1996447993">
      <w:bodyDiv w:val="1"/>
      <w:marLeft w:val="0"/>
      <w:marRight w:val="0"/>
      <w:marTop w:val="0"/>
      <w:marBottom w:val="0"/>
      <w:divBdr>
        <w:top w:val="none" w:sz="0" w:space="0" w:color="auto"/>
        <w:left w:val="none" w:sz="0" w:space="0" w:color="auto"/>
        <w:bottom w:val="none" w:sz="0" w:space="0" w:color="auto"/>
        <w:right w:val="none" w:sz="0" w:space="0" w:color="auto"/>
      </w:divBdr>
    </w:div>
    <w:div w:id="2001882840">
      <w:bodyDiv w:val="1"/>
      <w:marLeft w:val="0"/>
      <w:marRight w:val="0"/>
      <w:marTop w:val="0"/>
      <w:marBottom w:val="0"/>
      <w:divBdr>
        <w:top w:val="none" w:sz="0" w:space="0" w:color="auto"/>
        <w:left w:val="none" w:sz="0" w:space="0" w:color="auto"/>
        <w:bottom w:val="none" w:sz="0" w:space="0" w:color="auto"/>
        <w:right w:val="none" w:sz="0" w:space="0" w:color="auto"/>
      </w:divBdr>
    </w:div>
    <w:div w:id="2002654398">
      <w:bodyDiv w:val="1"/>
      <w:marLeft w:val="0"/>
      <w:marRight w:val="0"/>
      <w:marTop w:val="0"/>
      <w:marBottom w:val="0"/>
      <w:divBdr>
        <w:top w:val="none" w:sz="0" w:space="0" w:color="auto"/>
        <w:left w:val="none" w:sz="0" w:space="0" w:color="auto"/>
        <w:bottom w:val="none" w:sz="0" w:space="0" w:color="auto"/>
        <w:right w:val="none" w:sz="0" w:space="0" w:color="auto"/>
      </w:divBdr>
    </w:div>
    <w:div w:id="2007826692">
      <w:bodyDiv w:val="1"/>
      <w:marLeft w:val="0"/>
      <w:marRight w:val="0"/>
      <w:marTop w:val="0"/>
      <w:marBottom w:val="0"/>
      <w:divBdr>
        <w:top w:val="none" w:sz="0" w:space="0" w:color="auto"/>
        <w:left w:val="none" w:sz="0" w:space="0" w:color="auto"/>
        <w:bottom w:val="none" w:sz="0" w:space="0" w:color="auto"/>
        <w:right w:val="none" w:sz="0" w:space="0" w:color="auto"/>
      </w:divBdr>
    </w:div>
    <w:div w:id="2009597976">
      <w:bodyDiv w:val="1"/>
      <w:marLeft w:val="0"/>
      <w:marRight w:val="0"/>
      <w:marTop w:val="0"/>
      <w:marBottom w:val="0"/>
      <w:divBdr>
        <w:top w:val="none" w:sz="0" w:space="0" w:color="auto"/>
        <w:left w:val="none" w:sz="0" w:space="0" w:color="auto"/>
        <w:bottom w:val="none" w:sz="0" w:space="0" w:color="auto"/>
        <w:right w:val="none" w:sz="0" w:space="0" w:color="auto"/>
      </w:divBdr>
    </w:div>
    <w:div w:id="2010323613">
      <w:bodyDiv w:val="1"/>
      <w:marLeft w:val="0"/>
      <w:marRight w:val="0"/>
      <w:marTop w:val="0"/>
      <w:marBottom w:val="0"/>
      <w:divBdr>
        <w:top w:val="none" w:sz="0" w:space="0" w:color="auto"/>
        <w:left w:val="none" w:sz="0" w:space="0" w:color="auto"/>
        <w:bottom w:val="none" w:sz="0" w:space="0" w:color="auto"/>
        <w:right w:val="none" w:sz="0" w:space="0" w:color="auto"/>
      </w:divBdr>
    </w:div>
    <w:div w:id="2021929950">
      <w:bodyDiv w:val="1"/>
      <w:marLeft w:val="0"/>
      <w:marRight w:val="0"/>
      <w:marTop w:val="0"/>
      <w:marBottom w:val="0"/>
      <w:divBdr>
        <w:top w:val="none" w:sz="0" w:space="0" w:color="auto"/>
        <w:left w:val="none" w:sz="0" w:space="0" w:color="auto"/>
        <w:bottom w:val="none" w:sz="0" w:space="0" w:color="auto"/>
        <w:right w:val="none" w:sz="0" w:space="0" w:color="auto"/>
      </w:divBdr>
    </w:div>
    <w:div w:id="2027174593">
      <w:bodyDiv w:val="1"/>
      <w:marLeft w:val="0"/>
      <w:marRight w:val="0"/>
      <w:marTop w:val="0"/>
      <w:marBottom w:val="0"/>
      <w:divBdr>
        <w:top w:val="none" w:sz="0" w:space="0" w:color="auto"/>
        <w:left w:val="none" w:sz="0" w:space="0" w:color="auto"/>
        <w:bottom w:val="none" w:sz="0" w:space="0" w:color="auto"/>
        <w:right w:val="none" w:sz="0" w:space="0" w:color="auto"/>
      </w:divBdr>
    </w:div>
    <w:div w:id="2032293267">
      <w:bodyDiv w:val="1"/>
      <w:marLeft w:val="0"/>
      <w:marRight w:val="0"/>
      <w:marTop w:val="0"/>
      <w:marBottom w:val="0"/>
      <w:divBdr>
        <w:top w:val="none" w:sz="0" w:space="0" w:color="auto"/>
        <w:left w:val="none" w:sz="0" w:space="0" w:color="auto"/>
        <w:bottom w:val="none" w:sz="0" w:space="0" w:color="auto"/>
        <w:right w:val="none" w:sz="0" w:space="0" w:color="auto"/>
      </w:divBdr>
    </w:div>
    <w:div w:id="2038963937">
      <w:bodyDiv w:val="1"/>
      <w:marLeft w:val="0"/>
      <w:marRight w:val="0"/>
      <w:marTop w:val="0"/>
      <w:marBottom w:val="0"/>
      <w:divBdr>
        <w:top w:val="none" w:sz="0" w:space="0" w:color="auto"/>
        <w:left w:val="none" w:sz="0" w:space="0" w:color="auto"/>
        <w:bottom w:val="none" w:sz="0" w:space="0" w:color="auto"/>
        <w:right w:val="none" w:sz="0" w:space="0" w:color="auto"/>
      </w:divBdr>
    </w:div>
    <w:div w:id="2044356261">
      <w:bodyDiv w:val="1"/>
      <w:marLeft w:val="0"/>
      <w:marRight w:val="0"/>
      <w:marTop w:val="0"/>
      <w:marBottom w:val="0"/>
      <w:divBdr>
        <w:top w:val="none" w:sz="0" w:space="0" w:color="auto"/>
        <w:left w:val="none" w:sz="0" w:space="0" w:color="auto"/>
        <w:bottom w:val="none" w:sz="0" w:space="0" w:color="auto"/>
        <w:right w:val="none" w:sz="0" w:space="0" w:color="auto"/>
      </w:divBdr>
    </w:div>
    <w:div w:id="2054111340">
      <w:bodyDiv w:val="1"/>
      <w:marLeft w:val="0"/>
      <w:marRight w:val="0"/>
      <w:marTop w:val="0"/>
      <w:marBottom w:val="0"/>
      <w:divBdr>
        <w:top w:val="none" w:sz="0" w:space="0" w:color="auto"/>
        <w:left w:val="none" w:sz="0" w:space="0" w:color="auto"/>
        <w:bottom w:val="none" w:sz="0" w:space="0" w:color="auto"/>
        <w:right w:val="none" w:sz="0" w:space="0" w:color="auto"/>
      </w:divBdr>
    </w:div>
    <w:div w:id="2062438047">
      <w:bodyDiv w:val="1"/>
      <w:marLeft w:val="0"/>
      <w:marRight w:val="0"/>
      <w:marTop w:val="0"/>
      <w:marBottom w:val="0"/>
      <w:divBdr>
        <w:top w:val="none" w:sz="0" w:space="0" w:color="auto"/>
        <w:left w:val="none" w:sz="0" w:space="0" w:color="auto"/>
        <w:bottom w:val="none" w:sz="0" w:space="0" w:color="auto"/>
        <w:right w:val="none" w:sz="0" w:space="0" w:color="auto"/>
      </w:divBdr>
    </w:div>
    <w:div w:id="2064600879">
      <w:bodyDiv w:val="1"/>
      <w:marLeft w:val="0"/>
      <w:marRight w:val="0"/>
      <w:marTop w:val="0"/>
      <w:marBottom w:val="0"/>
      <w:divBdr>
        <w:top w:val="none" w:sz="0" w:space="0" w:color="auto"/>
        <w:left w:val="none" w:sz="0" w:space="0" w:color="auto"/>
        <w:bottom w:val="none" w:sz="0" w:space="0" w:color="auto"/>
        <w:right w:val="none" w:sz="0" w:space="0" w:color="auto"/>
      </w:divBdr>
      <w:divsChild>
        <w:div w:id="1967661225">
          <w:marLeft w:val="0"/>
          <w:marRight w:val="0"/>
          <w:marTop w:val="0"/>
          <w:marBottom w:val="0"/>
          <w:divBdr>
            <w:top w:val="none" w:sz="0" w:space="0" w:color="auto"/>
            <w:left w:val="none" w:sz="0" w:space="0" w:color="auto"/>
            <w:bottom w:val="none" w:sz="0" w:space="0" w:color="auto"/>
            <w:right w:val="none" w:sz="0" w:space="0" w:color="auto"/>
          </w:divBdr>
        </w:div>
      </w:divsChild>
    </w:div>
    <w:div w:id="2065907136">
      <w:bodyDiv w:val="1"/>
      <w:marLeft w:val="0"/>
      <w:marRight w:val="0"/>
      <w:marTop w:val="0"/>
      <w:marBottom w:val="0"/>
      <w:divBdr>
        <w:top w:val="none" w:sz="0" w:space="0" w:color="auto"/>
        <w:left w:val="none" w:sz="0" w:space="0" w:color="auto"/>
        <w:bottom w:val="none" w:sz="0" w:space="0" w:color="auto"/>
        <w:right w:val="none" w:sz="0" w:space="0" w:color="auto"/>
      </w:divBdr>
      <w:divsChild>
        <w:div w:id="1265723165">
          <w:marLeft w:val="0"/>
          <w:marRight w:val="0"/>
          <w:marTop w:val="0"/>
          <w:marBottom w:val="0"/>
          <w:divBdr>
            <w:top w:val="none" w:sz="0" w:space="0" w:color="auto"/>
            <w:left w:val="none" w:sz="0" w:space="0" w:color="auto"/>
            <w:bottom w:val="none" w:sz="0" w:space="0" w:color="auto"/>
            <w:right w:val="none" w:sz="0" w:space="0" w:color="auto"/>
          </w:divBdr>
        </w:div>
      </w:divsChild>
    </w:div>
    <w:div w:id="2073692270">
      <w:bodyDiv w:val="1"/>
      <w:marLeft w:val="0"/>
      <w:marRight w:val="0"/>
      <w:marTop w:val="0"/>
      <w:marBottom w:val="0"/>
      <w:divBdr>
        <w:top w:val="none" w:sz="0" w:space="0" w:color="auto"/>
        <w:left w:val="none" w:sz="0" w:space="0" w:color="auto"/>
        <w:bottom w:val="none" w:sz="0" w:space="0" w:color="auto"/>
        <w:right w:val="none" w:sz="0" w:space="0" w:color="auto"/>
      </w:divBdr>
    </w:div>
    <w:div w:id="2076664096">
      <w:bodyDiv w:val="1"/>
      <w:marLeft w:val="0"/>
      <w:marRight w:val="0"/>
      <w:marTop w:val="0"/>
      <w:marBottom w:val="0"/>
      <w:divBdr>
        <w:top w:val="none" w:sz="0" w:space="0" w:color="auto"/>
        <w:left w:val="none" w:sz="0" w:space="0" w:color="auto"/>
        <w:bottom w:val="none" w:sz="0" w:space="0" w:color="auto"/>
        <w:right w:val="none" w:sz="0" w:space="0" w:color="auto"/>
      </w:divBdr>
    </w:div>
    <w:div w:id="2091001853">
      <w:bodyDiv w:val="1"/>
      <w:marLeft w:val="0"/>
      <w:marRight w:val="0"/>
      <w:marTop w:val="0"/>
      <w:marBottom w:val="0"/>
      <w:divBdr>
        <w:top w:val="none" w:sz="0" w:space="0" w:color="auto"/>
        <w:left w:val="none" w:sz="0" w:space="0" w:color="auto"/>
        <w:bottom w:val="none" w:sz="0" w:space="0" w:color="auto"/>
        <w:right w:val="none" w:sz="0" w:space="0" w:color="auto"/>
      </w:divBdr>
    </w:div>
    <w:div w:id="2099014823">
      <w:bodyDiv w:val="1"/>
      <w:marLeft w:val="0"/>
      <w:marRight w:val="0"/>
      <w:marTop w:val="0"/>
      <w:marBottom w:val="0"/>
      <w:divBdr>
        <w:top w:val="none" w:sz="0" w:space="0" w:color="auto"/>
        <w:left w:val="none" w:sz="0" w:space="0" w:color="auto"/>
        <w:bottom w:val="none" w:sz="0" w:space="0" w:color="auto"/>
        <w:right w:val="none" w:sz="0" w:space="0" w:color="auto"/>
      </w:divBdr>
    </w:div>
    <w:div w:id="2101902089">
      <w:bodyDiv w:val="1"/>
      <w:marLeft w:val="0"/>
      <w:marRight w:val="0"/>
      <w:marTop w:val="0"/>
      <w:marBottom w:val="0"/>
      <w:divBdr>
        <w:top w:val="none" w:sz="0" w:space="0" w:color="auto"/>
        <w:left w:val="none" w:sz="0" w:space="0" w:color="auto"/>
        <w:bottom w:val="none" w:sz="0" w:space="0" w:color="auto"/>
        <w:right w:val="none" w:sz="0" w:space="0" w:color="auto"/>
      </w:divBdr>
    </w:div>
    <w:div w:id="2104257594">
      <w:bodyDiv w:val="1"/>
      <w:marLeft w:val="0"/>
      <w:marRight w:val="0"/>
      <w:marTop w:val="0"/>
      <w:marBottom w:val="0"/>
      <w:divBdr>
        <w:top w:val="none" w:sz="0" w:space="0" w:color="auto"/>
        <w:left w:val="none" w:sz="0" w:space="0" w:color="auto"/>
        <w:bottom w:val="none" w:sz="0" w:space="0" w:color="auto"/>
        <w:right w:val="none" w:sz="0" w:space="0" w:color="auto"/>
      </w:divBdr>
    </w:div>
    <w:div w:id="2105805465">
      <w:bodyDiv w:val="1"/>
      <w:marLeft w:val="0"/>
      <w:marRight w:val="0"/>
      <w:marTop w:val="0"/>
      <w:marBottom w:val="0"/>
      <w:divBdr>
        <w:top w:val="none" w:sz="0" w:space="0" w:color="auto"/>
        <w:left w:val="none" w:sz="0" w:space="0" w:color="auto"/>
        <w:bottom w:val="none" w:sz="0" w:space="0" w:color="auto"/>
        <w:right w:val="none" w:sz="0" w:space="0" w:color="auto"/>
      </w:divBdr>
    </w:div>
    <w:div w:id="2108309197">
      <w:bodyDiv w:val="1"/>
      <w:marLeft w:val="0"/>
      <w:marRight w:val="0"/>
      <w:marTop w:val="0"/>
      <w:marBottom w:val="0"/>
      <w:divBdr>
        <w:top w:val="none" w:sz="0" w:space="0" w:color="auto"/>
        <w:left w:val="none" w:sz="0" w:space="0" w:color="auto"/>
        <w:bottom w:val="none" w:sz="0" w:space="0" w:color="auto"/>
        <w:right w:val="none" w:sz="0" w:space="0" w:color="auto"/>
      </w:divBdr>
    </w:div>
    <w:div w:id="2116779232">
      <w:bodyDiv w:val="1"/>
      <w:marLeft w:val="0"/>
      <w:marRight w:val="0"/>
      <w:marTop w:val="0"/>
      <w:marBottom w:val="0"/>
      <w:divBdr>
        <w:top w:val="none" w:sz="0" w:space="0" w:color="auto"/>
        <w:left w:val="none" w:sz="0" w:space="0" w:color="auto"/>
        <w:bottom w:val="none" w:sz="0" w:space="0" w:color="auto"/>
        <w:right w:val="none" w:sz="0" w:space="0" w:color="auto"/>
      </w:divBdr>
    </w:div>
    <w:div w:id="2128308259">
      <w:bodyDiv w:val="1"/>
      <w:marLeft w:val="0"/>
      <w:marRight w:val="0"/>
      <w:marTop w:val="0"/>
      <w:marBottom w:val="0"/>
      <w:divBdr>
        <w:top w:val="none" w:sz="0" w:space="0" w:color="auto"/>
        <w:left w:val="none" w:sz="0" w:space="0" w:color="auto"/>
        <w:bottom w:val="none" w:sz="0" w:space="0" w:color="auto"/>
        <w:right w:val="none" w:sz="0" w:space="0" w:color="auto"/>
      </w:divBdr>
    </w:div>
    <w:div w:id="2130463778">
      <w:bodyDiv w:val="1"/>
      <w:marLeft w:val="0"/>
      <w:marRight w:val="0"/>
      <w:marTop w:val="0"/>
      <w:marBottom w:val="0"/>
      <w:divBdr>
        <w:top w:val="none" w:sz="0" w:space="0" w:color="auto"/>
        <w:left w:val="none" w:sz="0" w:space="0" w:color="auto"/>
        <w:bottom w:val="none" w:sz="0" w:space="0" w:color="auto"/>
        <w:right w:val="none" w:sz="0" w:space="0" w:color="auto"/>
      </w:divBdr>
    </w:div>
    <w:div w:id="2133398023">
      <w:bodyDiv w:val="1"/>
      <w:marLeft w:val="0"/>
      <w:marRight w:val="0"/>
      <w:marTop w:val="0"/>
      <w:marBottom w:val="0"/>
      <w:divBdr>
        <w:top w:val="none" w:sz="0" w:space="0" w:color="auto"/>
        <w:left w:val="none" w:sz="0" w:space="0" w:color="auto"/>
        <w:bottom w:val="none" w:sz="0" w:space="0" w:color="auto"/>
        <w:right w:val="none" w:sz="0" w:space="0" w:color="auto"/>
      </w:divBdr>
      <w:divsChild>
        <w:div w:id="9427661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8.emf"/><Relationship Id="rId21" Type="http://schemas.openxmlformats.org/officeDocument/2006/relationships/header" Target="header4.xml"/><Relationship Id="rId42" Type="http://schemas.openxmlformats.org/officeDocument/2006/relationships/footer" Target="footer7.xml"/><Relationship Id="rId63" Type="http://schemas.openxmlformats.org/officeDocument/2006/relationships/header" Target="header22.xml"/><Relationship Id="rId84" Type="http://schemas.openxmlformats.org/officeDocument/2006/relationships/image" Target="media/image18.emf"/><Relationship Id="rId138" Type="http://schemas.openxmlformats.org/officeDocument/2006/relationships/header" Target="header34.xml"/><Relationship Id="rId159" Type="http://schemas.openxmlformats.org/officeDocument/2006/relationships/image" Target="media/image61.emf"/><Relationship Id="rId170" Type="http://schemas.openxmlformats.org/officeDocument/2006/relationships/image" Target="media/image69.emf"/><Relationship Id="rId191" Type="http://schemas.openxmlformats.org/officeDocument/2006/relationships/footer" Target="footer39.xml"/><Relationship Id="rId205" Type="http://schemas.openxmlformats.org/officeDocument/2006/relationships/footer" Target="footer40.xml"/><Relationship Id="rId226" Type="http://schemas.openxmlformats.org/officeDocument/2006/relationships/footer" Target="footer45.xml"/><Relationship Id="rId107" Type="http://schemas.openxmlformats.org/officeDocument/2006/relationships/hyperlink" Target="http://www.grants.gov.au" TargetMode="External"/><Relationship Id="rId11" Type="http://schemas.openxmlformats.org/officeDocument/2006/relationships/hyperlink" Target="https://creativecommons.org/licenses/by/4.0/legalcode.en" TargetMode="External"/><Relationship Id="rId53" Type="http://schemas.openxmlformats.org/officeDocument/2006/relationships/footer" Target="footer13.xml"/><Relationship Id="rId74" Type="http://schemas.openxmlformats.org/officeDocument/2006/relationships/header" Target="header24.xml"/><Relationship Id="rId128" Type="http://schemas.openxmlformats.org/officeDocument/2006/relationships/footer" Target="footer22.xml"/><Relationship Id="rId149" Type="http://schemas.openxmlformats.org/officeDocument/2006/relationships/footer" Target="footer33.xml"/><Relationship Id="rId5" Type="http://schemas.openxmlformats.org/officeDocument/2006/relationships/webSettings" Target="webSettings.xml"/><Relationship Id="rId95" Type="http://schemas.openxmlformats.org/officeDocument/2006/relationships/image" Target="media/image29.emf"/><Relationship Id="rId160" Type="http://schemas.openxmlformats.org/officeDocument/2006/relationships/image" Target="media/image62.emf"/><Relationship Id="rId181" Type="http://schemas.openxmlformats.org/officeDocument/2006/relationships/hyperlink" Target="https://www.transparency.gov.au/publications/defence/defence-housing-australia/defence-housing-australia-annual-report-2024-25" TargetMode="External"/><Relationship Id="rId216" Type="http://schemas.openxmlformats.org/officeDocument/2006/relationships/image" Target="media/image97.emf"/><Relationship Id="rId211" Type="http://schemas.openxmlformats.org/officeDocument/2006/relationships/hyperlink" Target="https://www.dvsc.gov.au/about-us/accountability-and-reporting/corporate-plan" TargetMode="External"/><Relationship Id="rId232" Type="http://schemas.openxmlformats.org/officeDocument/2006/relationships/header" Target="header53.xml"/><Relationship Id="rId22" Type="http://schemas.openxmlformats.org/officeDocument/2006/relationships/hyperlink" Target="http://www.budget.gov.au" TargetMode="External"/><Relationship Id="rId27" Type="http://schemas.openxmlformats.org/officeDocument/2006/relationships/image" Target="media/image3.png"/><Relationship Id="rId43" Type="http://schemas.openxmlformats.org/officeDocument/2006/relationships/footer" Target="footer8.xml"/><Relationship Id="rId48" Type="http://schemas.openxmlformats.org/officeDocument/2006/relationships/footer" Target="footer10.xml"/><Relationship Id="rId64" Type="http://schemas.openxmlformats.org/officeDocument/2006/relationships/footer" Target="footer16.xml"/><Relationship Id="rId69" Type="http://schemas.openxmlformats.org/officeDocument/2006/relationships/image" Target="media/image10.emf"/><Relationship Id="rId113" Type="http://schemas.openxmlformats.org/officeDocument/2006/relationships/image" Target="media/image44.emf"/><Relationship Id="rId118" Type="http://schemas.openxmlformats.org/officeDocument/2006/relationships/image" Target="media/image49.emf"/><Relationship Id="rId134" Type="http://schemas.openxmlformats.org/officeDocument/2006/relationships/header" Target="header32.xml"/><Relationship Id="rId139" Type="http://schemas.openxmlformats.org/officeDocument/2006/relationships/header" Target="header35.xml"/><Relationship Id="rId80" Type="http://schemas.openxmlformats.org/officeDocument/2006/relationships/image" Target="media/image14.emf"/><Relationship Id="rId85" Type="http://schemas.openxmlformats.org/officeDocument/2006/relationships/image" Target="media/image19.emf"/><Relationship Id="rId150" Type="http://schemas.openxmlformats.org/officeDocument/2006/relationships/image" Target="media/image53.emf"/><Relationship Id="rId155" Type="http://schemas.openxmlformats.org/officeDocument/2006/relationships/image" Target="media/image57.emf"/><Relationship Id="rId171" Type="http://schemas.openxmlformats.org/officeDocument/2006/relationships/image" Target="media/image70.emf"/><Relationship Id="rId176" Type="http://schemas.openxmlformats.org/officeDocument/2006/relationships/footer" Target="footer36.xml"/><Relationship Id="rId192" Type="http://schemas.openxmlformats.org/officeDocument/2006/relationships/image" Target="media/image81.emf"/><Relationship Id="rId197" Type="http://schemas.openxmlformats.org/officeDocument/2006/relationships/image" Target="media/image84.emf"/><Relationship Id="rId206" Type="http://schemas.openxmlformats.org/officeDocument/2006/relationships/footer" Target="footer41.xml"/><Relationship Id="rId227" Type="http://schemas.openxmlformats.org/officeDocument/2006/relationships/header" Target="header50.xml"/><Relationship Id="rId201" Type="http://schemas.openxmlformats.org/officeDocument/2006/relationships/image" Target="media/image88.emf"/><Relationship Id="rId222" Type="http://schemas.openxmlformats.org/officeDocument/2006/relationships/footer" Target="footer43.xml"/><Relationship Id="rId12" Type="http://schemas.openxmlformats.org/officeDocument/2006/relationships/image" Target="media/image1.png"/><Relationship Id="rId17" Type="http://schemas.openxmlformats.org/officeDocument/2006/relationships/image" Target="media/image2.png"/><Relationship Id="rId38" Type="http://schemas.openxmlformats.org/officeDocument/2006/relationships/footer" Target="footer5.xml"/><Relationship Id="rId59" Type="http://schemas.openxmlformats.org/officeDocument/2006/relationships/footer" Target="footer15.xml"/><Relationship Id="rId103" Type="http://schemas.openxmlformats.org/officeDocument/2006/relationships/image" Target="media/image37.emf"/><Relationship Id="rId108" Type="http://schemas.openxmlformats.org/officeDocument/2006/relationships/hyperlink" Target="https://defence.gov.au/DFG/Grants/" TargetMode="External"/><Relationship Id="rId124" Type="http://schemas.openxmlformats.org/officeDocument/2006/relationships/image" Target="media/image51.emf"/><Relationship Id="rId129" Type="http://schemas.openxmlformats.org/officeDocument/2006/relationships/footer" Target="footer23.xml"/><Relationship Id="rId54" Type="http://schemas.openxmlformats.org/officeDocument/2006/relationships/header" Target="header17.xml"/><Relationship Id="rId70" Type="http://schemas.openxmlformats.org/officeDocument/2006/relationships/image" Target="media/image11.emf"/><Relationship Id="rId75" Type="http://schemas.openxmlformats.org/officeDocument/2006/relationships/footer" Target="footer18.xml"/><Relationship Id="rId91" Type="http://schemas.openxmlformats.org/officeDocument/2006/relationships/image" Target="media/image25.emf"/><Relationship Id="rId96" Type="http://schemas.openxmlformats.org/officeDocument/2006/relationships/image" Target="media/image30.emf"/><Relationship Id="rId140" Type="http://schemas.openxmlformats.org/officeDocument/2006/relationships/footer" Target="footer28.xml"/><Relationship Id="rId145" Type="http://schemas.openxmlformats.org/officeDocument/2006/relationships/footer" Target="footer31.xml"/><Relationship Id="rId161" Type="http://schemas.openxmlformats.org/officeDocument/2006/relationships/footer" Target="footer34.xml"/><Relationship Id="rId166" Type="http://schemas.openxmlformats.org/officeDocument/2006/relationships/image" Target="media/image65.emf"/><Relationship Id="rId182" Type="http://schemas.openxmlformats.org/officeDocument/2006/relationships/image" Target="media/image75.emf"/><Relationship Id="rId187" Type="http://schemas.openxmlformats.org/officeDocument/2006/relationships/image" Target="media/image80.emf"/><Relationship Id="rId217" Type="http://schemas.openxmlformats.org/officeDocument/2006/relationships/image" Target="media/image98.e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93.emf"/><Relationship Id="rId233" Type="http://schemas.openxmlformats.org/officeDocument/2006/relationships/fontTable" Target="fontTable.xml"/><Relationship Id="rId23" Type="http://schemas.openxmlformats.org/officeDocument/2006/relationships/header" Target="header5.xml"/><Relationship Id="rId49" Type="http://schemas.openxmlformats.org/officeDocument/2006/relationships/footer" Target="footer11.xml"/><Relationship Id="rId114" Type="http://schemas.openxmlformats.org/officeDocument/2006/relationships/image" Target="media/image45.emf"/><Relationship Id="rId119" Type="http://schemas.openxmlformats.org/officeDocument/2006/relationships/header" Target="header26.xml"/><Relationship Id="rId44" Type="http://schemas.openxmlformats.org/officeDocument/2006/relationships/header" Target="header12.xml"/><Relationship Id="rId60" Type="http://schemas.openxmlformats.org/officeDocument/2006/relationships/header" Target="header20.xml"/><Relationship Id="rId65" Type="http://schemas.openxmlformats.org/officeDocument/2006/relationships/footer" Target="footer17.xml"/><Relationship Id="rId81" Type="http://schemas.openxmlformats.org/officeDocument/2006/relationships/image" Target="media/image15.emf"/><Relationship Id="rId86" Type="http://schemas.openxmlformats.org/officeDocument/2006/relationships/image" Target="media/image20.emf"/><Relationship Id="rId130" Type="http://schemas.openxmlformats.org/officeDocument/2006/relationships/header" Target="header30.xml"/><Relationship Id="rId135" Type="http://schemas.openxmlformats.org/officeDocument/2006/relationships/header" Target="header33.xml"/><Relationship Id="rId151" Type="http://schemas.openxmlformats.org/officeDocument/2006/relationships/image" Target="media/image54.emf"/><Relationship Id="rId156" Type="http://schemas.openxmlformats.org/officeDocument/2006/relationships/image" Target="media/image58.emf"/><Relationship Id="rId177" Type="http://schemas.openxmlformats.org/officeDocument/2006/relationships/footer" Target="footer37.xml"/><Relationship Id="rId198" Type="http://schemas.openxmlformats.org/officeDocument/2006/relationships/image" Target="media/image85.emf"/><Relationship Id="rId172" Type="http://schemas.openxmlformats.org/officeDocument/2006/relationships/image" Target="media/image71.emf"/><Relationship Id="rId193" Type="http://schemas.openxmlformats.org/officeDocument/2006/relationships/image" Target="media/image82.emf"/><Relationship Id="rId202" Type="http://schemas.openxmlformats.org/officeDocument/2006/relationships/image" Target="media/image89.emf"/><Relationship Id="rId207" Type="http://schemas.openxmlformats.org/officeDocument/2006/relationships/image" Target="media/image90.png"/><Relationship Id="rId223" Type="http://schemas.openxmlformats.org/officeDocument/2006/relationships/header" Target="header48.xml"/><Relationship Id="rId228" Type="http://schemas.openxmlformats.org/officeDocument/2006/relationships/header" Target="header51.xml"/><Relationship Id="rId13" Type="http://schemas.openxmlformats.org/officeDocument/2006/relationships/hyperlink" Target="https://creativecommons.org/licenses/by/4.0/" TargetMode="External"/><Relationship Id="rId18" Type="http://schemas.openxmlformats.org/officeDocument/2006/relationships/header" Target="header2.xml"/><Relationship Id="rId39" Type="http://schemas.openxmlformats.org/officeDocument/2006/relationships/footer" Target="footer6.xml"/><Relationship Id="rId109" Type="http://schemas.openxmlformats.org/officeDocument/2006/relationships/image" Target="media/image40.emf"/><Relationship Id="rId50" Type="http://schemas.openxmlformats.org/officeDocument/2006/relationships/header" Target="header15.xml"/><Relationship Id="rId55" Type="http://schemas.openxmlformats.org/officeDocument/2006/relationships/image" Target="media/image5.emf"/><Relationship Id="rId76" Type="http://schemas.openxmlformats.org/officeDocument/2006/relationships/footer" Target="footer19.xml"/><Relationship Id="rId97" Type="http://schemas.openxmlformats.org/officeDocument/2006/relationships/image" Target="media/image31.emf"/><Relationship Id="rId104" Type="http://schemas.openxmlformats.org/officeDocument/2006/relationships/image" Target="media/image38.emf"/><Relationship Id="rId120" Type="http://schemas.openxmlformats.org/officeDocument/2006/relationships/header" Target="header27.xml"/><Relationship Id="rId125" Type="http://schemas.openxmlformats.org/officeDocument/2006/relationships/image" Target="media/image52.emf"/><Relationship Id="rId141" Type="http://schemas.openxmlformats.org/officeDocument/2006/relationships/footer" Target="footer29.xml"/><Relationship Id="rId146" Type="http://schemas.openxmlformats.org/officeDocument/2006/relationships/header" Target="header38.xml"/><Relationship Id="rId167" Type="http://schemas.openxmlformats.org/officeDocument/2006/relationships/image" Target="media/image66.emf"/><Relationship Id="rId188" Type="http://schemas.openxmlformats.org/officeDocument/2006/relationships/header" Target="header42.xml"/><Relationship Id="rId7" Type="http://schemas.openxmlformats.org/officeDocument/2006/relationships/endnotes" Target="endnotes.xml"/><Relationship Id="rId71" Type="http://schemas.openxmlformats.org/officeDocument/2006/relationships/image" Target="media/image12.emf"/><Relationship Id="rId92" Type="http://schemas.openxmlformats.org/officeDocument/2006/relationships/image" Target="media/image26.emf"/><Relationship Id="rId162" Type="http://schemas.openxmlformats.org/officeDocument/2006/relationships/footer" Target="footer35.xml"/><Relationship Id="rId183" Type="http://schemas.openxmlformats.org/officeDocument/2006/relationships/image" Target="media/image76.emf"/><Relationship Id="rId213" Type="http://schemas.openxmlformats.org/officeDocument/2006/relationships/image" Target="media/image94.emf"/><Relationship Id="rId218" Type="http://schemas.openxmlformats.org/officeDocument/2006/relationships/image" Target="media/image99.emf"/><Relationship Id="rId234" Type="http://schemas.openxmlformats.org/officeDocument/2006/relationships/theme" Target="theme/theme1.xml"/><Relationship Id="rId2" Type="http://schemas.openxmlformats.org/officeDocument/2006/relationships/numbering" Target="numbering.xml"/><Relationship Id="rId24" Type="http://schemas.openxmlformats.org/officeDocument/2006/relationships/header" Target="header6.xml"/><Relationship Id="rId40" Type="http://schemas.openxmlformats.org/officeDocument/2006/relationships/header" Target="header10.xml"/><Relationship Id="rId45" Type="http://schemas.openxmlformats.org/officeDocument/2006/relationships/footer" Target="footer9.xml"/><Relationship Id="rId66" Type="http://schemas.openxmlformats.org/officeDocument/2006/relationships/image" Target="media/image7.emf"/><Relationship Id="rId87" Type="http://schemas.openxmlformats.org/officeDocument/2006/relationships/image" Target="media/image21.emf"/><Relationship Id="rId110" Type="http://schemas.openxmlformats.org/officeDocument/2006/relationships/image" Target="media/image41.emf"/><Relationship Id="rId115" Type="http://schemas.openxmlformats.org/officeDocument/2006/relationships/image" Target="media/image46.emf"/><Relationship Id="rId131" Type="http://schemas.openxmlformats.org/officeDocument/2006/relationships/header" Target="header31.xml"/><Relationship Id="rId136" Type="http://schemas.openxmlformats.org/officeDocument/2006/relationships/footer" Target="footer26.xml"/><Relationship Id="rId157" Type="http://schemas.openxmlformats.org/officeDocument/2006/relationships/image" Target="media/image59.emf"/><Relationship Id="rId178" Type="http://schemas.openxmlformats.org/officeDocument/2006/relationships/image" Target="media/image73.png"/><Relationship Id="rId61" Type="http://schemas.openxmlformats.org/officeDocument/2006/relationships/image" Target="media/image6.emf"/><Relationship Id="rId82" Type="http://schemas.openxmlformats.org/officeDocument/2006/relationships/image" Target="media/image16.emf"/><Relationship Id="rId152" Type="http://schemas.openxmlformats.org/officeDocument/2006/relationships/hyperlink" Target="https://www.asd.gov.au/publications" TargetMode="External"/><Relationship Id="rId173" Type="http://schemas.openxmlformats.org/officeDocument/2006/relationships/image" Target="media/image72.emf"/><Relationship Id="rId194" Type="http://schemas.openxmlformats.org/officeDocument/2006/relationships/hyperlink" Target="https://www.annpsr.gov.au/corporate-information/corporate-publications" TargetMode="External"/><Relationship Id="rId199" Type="http://schemas.openxmlformats.org/officeDocument/2006/relationships/image" Target="media/image86.emf"/><Relationship Id="rId203" Type="http://schemas.openxmlformats.org/officeDocument/2006/relationships/header" Target="header44.xml"/><Relationship Id="rId208" Type="http://schemas.openxmlformats.org/officeDocument/2006/relationships/image" Target="media/image91.emf"/><Relationship Id="rId229" Type="http://schemas.openxmlformats.org/officeDocument/2006/relationships/header" Target="header52.xml"/><Relationship Id="rId19" Type="http://schemas.openxmlformats.org/officeDocument/2006/relationships/header" Target="header3.xml"/><Relationship Id="rId224" Type="http://schemas.openxmlformats.org/officeDocument/2006/relationships/header" Target="header49.xml"/><Relationship Id="rId14" Type="http://schemas.openxmlformats.org/officeDocument/2006/relationships/hyperlink" Target="http://www.pmc.gov.au/government/commonwealth-coat-arms" TargetMode="External"/><Relationship Id="rId35" Type="http://schemas.openxmlformats.org/officeDocument/2006/relationships/image" Target="media/image4.svg"/><Relationship Id="rId56" Type="http://schemas.openxmlformats.org/officeDocument/2006/relationships/header" Target="header18.xml"/><Relationship Id="rId77" Type="http://schemas.openxmlformats.org/officeDocument/2006/relationships/hyperlink" Target="http://www.defence.gov.au/about/strategic-planning/defence-corporate-plan/" TargetMode="External"/><Relationship Id="rId100" Type="http://schemas.openxmlformats.org/officeDocument/2006/relationships/image" Target="media/image34.emf"/><Relationship Id="rId105" Type="http://schemas.openxmlformats.org/officeDocument/2006/relationships/image" Target="media/image39.emf"/><Relationship Id="rId126" Type="http://schemas.openxmlformats.org/officeDocument/2006/relationships/header" Target="header28.xml"/><Relationship Id="rId147" Type="http://schemas.openxmlformats.org/officeDocument/2006/relationships/header" Target="header39.xml"/><Relationship Id="rId168" Type="http://schemas.openxmlformats.org/officeDocument/2006/relationships/image" Target="media/image67.emf"/><Relationship Id="rId8" Type="http://schemas.openxmlformats.org/officeDocument/2006/relationships/footer" Target="footer1.xml"/><Relationship Id="rId51" Type="http://schemas.openxmlformats.org/officeDocument/2006/relationships/header" Target="header16.xml"/><Relationship Id="rId72" Type="http://schemas.openxmlformats.org/officeDocument/2006/relationships/hyperlink" Target="https://www.defence.gov.au/PayandConditions/ADF/ADF-TWS.asp" TargetMode="External"/><Relationship Id="rId93" Type="http://schemas.openxmlformats.org/officeDocument/2006/relationships/image" Target="media/image27.emf"/><Relationship Id="rId98" Type="http://schemas.openxmlformats.org/officeDocument/2006/relationships/image" Target="media/image32.emf"/><Relationship Id="rId121" Type="http://schemas.openxmlformats.org/officeDocument/2006/relationships/footer" Target="footer20.xml"/><Relationship Id="rId142" Type="http://schemas.openxmlformats.org/officeDocument/2006/relationships/header" Target="header36.xml"/><Relationship Id="rId163" Type="http://schemas.openxmlformats.org/officeDocument/2006/relationships/image" Target="media/image63.emf"/><Relationship Id="rId184" Type="http://schemas.openxmlformats.org/officeDocument/2006/relationships/image" Target="media/image77.emf"/><Relationship Id="rId189" Type="http://schemas.openxmlformats.org/officeDocument/2006/relationships/header" Target="header43.xml"/><Relationship Id="rId219" Type="http://schemas.openxmlformats.org/officeDocument/2006/relationships/header" Target="header46.xml"/><Relationship Id="rId3" Type="http://schemas.openxmlformats.org/officeDocument/2006/relationships/styles" Target="styles.xml"/><Relationship Id="rId214" Type="http://schemas.openxmlformats.org/officeDocument/2006/relationships/image" Target="media/image95.emf"/><Relationship Id="rId230" Type="http://schemas.openxmlformats.org/officeDocument/2006/relationships/footer" Target="footer46.xml"/><Relationship Id="rId25" Type="http://schemas.openxmlformats.org/officeDocument/2006/relationships/footer" Target="footer4.xml"/><Relationship Id="rId46" Type="http://schemas.openxmlformats.org/officeDocument/2006/relationships/header" Target="header13.xml"/><Relationship Id="rId67" Type="http://schemas.openxmlformats.org/officeDocument/2006/relationships/image" Target="media/image8.emf"/><Relationship Id="rId116" Type="http://schemas.openxmlformats.org/officeDocument/2006/relationships/image" Target="media/image47.emf"/><Relationship Id="rId137" Type="http://schemas.openxmlformats.org/officeDocument/2006/relationships/footer" Target="footer27.xml"/><Relationship Id="rId158" Type="http://schemas.openxmlformats.org/officeDocument/2006/relationships/image" Target="media/image60.emf"/><Relationship Id="rId20" Type="http://schemas.openxmlformats.org/officeDocument/2006/relationships/footer" Target="footer3.xml"/><Relationship Id="rId41" Type="http://schemas.openxmlformats.org/officeDocument/2006/relationships/header" Target="header11.xml"/><Relationship Id="rId62" Type="http://schemas.openxmlformats.org/officeDocument/2006/relationships/header" Target="header21.xml"/><Relationship Id="rId83" Type="http://schemas.openxmlformats.org/officeDocument/2006/relationships/image" Target="media/image17.emf"/><Relationship Id="rId88" Type="http://schemas.openxmlformats.org/officeDocument/2006/relationships/image" Target="media/image22.emf"/><Relationship Id="rId111" Type="http://schemas.openxmlformats.org/officeDocument/2006/relationships/image" Target="media/image42.emf"/><Relationship Id="rId132" Type="http://schemas.openxmlformats.org/officeDocument/2006/relationships/footer" Target="footer24.xml"/><Relationship Id="rId153" Type="http://schemas.openxmlformats.org/officeDocument/2006/relationships/image" Target="media/image55.emf"/><Relationship Id="rId174" Type="http://schemas.openxmlformats.org/officeDocument/2006/relationships/header" Target="header40.xml"/><Relationship Id="rId179" Type="http://schemas.openxmlformats.org/officeDocument/2006/relationships/image" Target="media/image74.emf"/><Relationship Id="rId195" Type="http://schemas.openxmlformats.org/officeDocument/2006/relationships/hyperlink" Target="https://www.annpsr.gov.au/corporate-information/corporate-publications" TargetMode="External"/><Relationship Id="rId209" Type="http://schemas.openxmlformats.org/officeDocument/2006/relationships/image" Target="media/image92.emf"/><Relationship Id="rId190" Type="http://schemas.openxmlformats.org/officeDocument/2006/relationships/footer" Target="footer38.xml"/><Relationship Id="rId204" Type="http://schemas.openxmlformats.org/officeDocument/2006/relationships/header" Target="header45.xml"/><Relationship Id="rId220" Type="http://schemas.openxmlformats.org/officeDocument/2006/relationships/header" Target="header47.xml"/><Relationship Id="rId225" Type="http://schemas.openxmlformats.org/officeDocument/2006/relationships/footer" Target="footer44.xml"/><Relationship Id="rId15" Type="http://schemas.openxmlformats.org/officeDocument/2006/relationships/header" Target="header1.xml"/><Relationship Id="rId36" Type="http://schemas.openxmlformats.org/officeDocument/2006/relationships/header" Target="header8.xml"/><Relationship Id="rId57" Type="http://schemas.openxmlformats.org/officeDocument/2006/relationships/header" Target="header19.xml"/><Relationship Id="rId106" Type="http://schemas.openxmlformats.org/officeDocument/2006/relationships/header" Target="header25.xml"/><Relationship Id="rId127" Type="http://schemas.openxmlformats.org/officeDocument/2006/relationships/header" Target="header29.xml"/><Relationship Id="rId10" Type="http://schemas.openxmlformats.org/officeDocument/2006/relationships/hyperlink" Target="https://creativecommons.org/licenses/by/4.0/" TargetMode="External"/><Relationship Id="rId52" Type="http://schemas.openxmlformats.org/officeDocument/2006/relationships/footer" Target="footer12.xml"/><Relationship Id="rId73" Type="http://schemas.openxmlformats.org/officeDocument/2006/relationships/header" Target="header23.xml"/><Relationship Id="rId78" Type="http://schemas.openxmlformats.org/officeDocument/2006/relationships/hyperlink" Target="https://www.defence.gov.au/about/information-disclosures/annual-reports" TargetMode="External"/><Relationship Id="rId94" Type="http://schemas.openxmlformats.org/officeDocument/2006/relationships/image" Target="media/image28.emf"/><Relationship Id="rId99" Type="http://schemas.openxmlformats.org/officeDocument/2006/relationships/image" Target="media/image33.emf"/><Relationship Id="rId101" Type="http://schemas.openxmlformats.org/officeDocument/2006/relationships/image" Target="media/image35.emf"/><Relationship Id="rId122" Type="http://schemas.openxmlformats.org/officeDocument/2006/relationships/footer" Target="footer21.xml"/><Relationship Id="rId143" Type="http://schemas.openxmlformats.org/officeDocument/2006/relationships/header" Target="header37.xml"/><Relationship Id="rId148" Type="http://schemas.openxmlformats.org/officeDocument/2006/relationships/footer" Target="footer32.xml"/><Relationship Id="rId164" Type="http://schemas.openxmlformats.org/officeDocument/2006/relationships/image" Target="media/image64.emf"/><Relationship Id="rId169" Type="http://schemas.openxmlformats.org/officeDocument/2006/relationships/image" Target="media/image68.emf"/><Relationship Id="rId185" Type="http://schemas.openxmlformats.org/officeDocument/2006/relationships/image" Target="media/image78.emf"/><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hyperlink" Target="https://www.dha.gov.au/sci" TargetMode="External"/><Relationship Id="rId210" Type="http://schemas.openxmlformats.org/officeDocument/2006/relationships/hyperlink" Target="https://www.dvsc.gov.au/about-us/accountability-and-reporting/corporate-plan" TargetMode="External"/><Relationship Id="rId215" Type="http://schemas.openxmlformats.org/officeDocument/2006/relationships/image" Target="media/image96.emf"/><Relationship Id="rId26" Type="http://schemas.openxmlformats.org/officeDocument/2006/relationships/header" Target="header7.xml"/><Relationship Id="rId231" Type="http://schemas.openxmlformats.org/officeDocument/2006/relationships/footer" Target="footer47.xml"/><Relationship Id="rId47" Type="http://schemas.openxmlformats.org/officeDocument/2006/relationships/header" Target="header14.xml"/><Relationship Id="rId68" Type="http://schemas.openxmlformats.org/officeDocument/2006/relationships/image" Target="media/image9.emf"/><Relationship Id="rId89" Type="http://schemas.openxmlformats.org/officeDocument/2006/relationships/image" Target="media/image23.emf"/><Relationship Id="rId112" Type="http://schemas.openxmlformats.org/officeDocument/2006/relationships/image" Target="media/image43.emf"/><Relationship Id="rId133" Type="http://schemas.openxmlformats.org/officeDocument/2006/relationships/footer" Target="footer25.xml"/><Relationship Id="rId154" Type="http://schemas.openxmlformats.org/officeDocument/2006/relationships/image" Target="media/image56.emf"/><Relationship Id="rId175" Type="http://schemas.openxmlformats.org/officeDocument/2006/relationships/header" Target="header41.xml"/><Relationship Id="rId196" Type="http://schemas.openxmlformats.org/officeDocument/2006/relationships/image" Target="media/image83.emf"/><Relationship Id="rId200" Type="http://schemas.openxmlformats.org/officeDocument/2006/relationships/image" Target="media/image87.emf"/><Relationship Id="rId16" Type="http://schemas.openxmlformats.org/officeDocument/2006/relationships/hyperlink" Target="mailto:dfg.cbc@defence.gov.au" TargetMode="External"/><Relationship Id="rId221" Type="http://schemas.openxmlformats.org/officeDocument/2006/relationships/footer" Target="footer42.xml"/><Relationship Id="rId37" Type="http://schemas.openxmlformats.org/officeDocument/2006/relationships/header" Target="header9.xml"/><Relationship Id="rId58" Type="http://schemas.openxmlformats.org/officeDocument/2006/relationships/footer" Target="footer14.xml"/><Relationship Id="rId79" Type="http://schemas.openxmlformats.org/officeDocument/2006/relationships/image" Target="media/image13.emf"/><Relationship Id="rId102" Type="http://schemas.openxmlformats.org/officeDocument/2006/relationships/image" Target="media/image36.emf"/><Relationship Id="rId123" Type="http://schemas.openxmlformats.org/officeDocument/2006/relationships/image" Target="media/image50.emf"/><Relationship Id="rId144" Type="http://schemas.openxmlformats.org/officeDocument/2006/relationships/footer" Target="footer30.xml"/><Relationship Id="rId90" Type="http://schemas.openxmlformats.org/officeDocument/2006/relationships/image" Target="media/image24.emf"/><Relationship Id="rId165" Type="http://schemas.openxmlformats.org/officeDocument/2006/relationships/hyperlink" Target="https://www.asa.gov.au/about/planning-reporting" TargetMode="External"/><Relationship Id="rId186" Type="http://schemas.openxmlformats.org/officeDocument/2006/relationships/image" Target="media/image79.emf"/></Relationships>
</file>

<file path=word/_rels/header10.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88F17E-1356-4383-8BF0-EB44B75CA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2636</TotalTime>
  <Pages>286</Pages>
  <Words>63967</Words>
  <Characters>364617</Characters>
  <Application>Microsoft Office Word</Application>
  <DocSecurity>0</DocSecurity>
  <Lines>3038</Lines>
  <Paragraphs>855</Paragraphs>
  <ScaleCrop>false</ScaleCrop>
  <HeadingPairs>
    <vt:vector size="2" baseType="variant">
      <vt:variant>
        <vt:lpstr>Title</vt:lpstr>
      </vt:variant>
      <vt:variant>
        <vt:i4>1</vt:i4>
      </vt:variant>
    </vt:vector>
  </HeadingPairs>
  <TitlesOfParts>
    <vt:vector size="1" baseType="lpstr">
      <vt:lpstr>PORTFOLIO ADDITIONAL</vt:lpstr>
    </vt:vector>
  </TitlesOfParts>
  <Company>Department of Defence</Company>
  <LinksUpToDate>false</LinksUpToDate>
  <CharactersWithSpaces>427729</CharactersWithSpaces>
  <SharedDoc>false</SharedDoc>
  <HLinks>
    <vt:vector size="720" baseType="variant">
      <vt:variant>
        <vt:i4>6750329</vt:i4>
      </vt:variant>
      <vt:variant>
        <vt:i4>693</vt:i4>
      </vt:variant>
      <vt:variant>
        <vt:i4>0</vt:i4>
      </vt:variant>
      <vt:variant>
        <vt:i4>5</vt:i4>
      </vt:variant>
      <vt:variant>
        <vt:lpwstr>https://www.transparency.gov.au/annual-reports/defence-housing-australia/reporting-year/2021-22</vt:lpwstr>
      </vt:variant>
      <vt:variant>
        <vt:lpwstr/>
      </vt:variant>
      <vt:variant>
        <vt:i4>2097273</vt:i4>
      </vt:variant>
      <vt:variant>
        <vt:i4>690</vt:i4>
      </vt:variant>
      <vt:variant>
        <vt:i4>0</vt:i4>
      </vt:variant>
      <vt:variant>
        <vt:i4>5</vt:i4>
      </vt:variant>
      <vt:variant>
        <vt:lpwstr>https://www.dha.gov.au/sci</vt:lpwstr>
      </vt:variant>
      <vt:variant>
        <vt:lpwstr/>
      </vt:variant>
      <vt:variant>
        <vt:i4>1572921</vt:i4>
      </vt:variant>
      <vt:variant>
        <vt:i4>683</vt:i4>
      </vt:variant>
      <vt:variant>
        <vt:i4>0</vt:i4>
      </vt:variant>
      <vt:variant>
        <vt:i4>5</vt:i4>
      </vt:variant>
      <vt:variant>
        <vt:lpwstr/>
      </vt:variant>
      <vt:variant>
        <vt:lpwstr>_Toc536089259</vt:lpwstr>
      </vt:variant>
      <vt:variant>
        <vt:i4>1572921</vt:i4>
      </vt:variant>
      <vt:variant>
        <vt:i4>677</vt:i4>
      </vt:variant>
      <vt:variant>
        <vt:i4>0</vt:i4>
      </vt:variant>
      <vt:variant>
        <vt:i4>5</vt:i4>
      </vt:variant>
      <vt:variant>
        <vt:lpwstr/>
      </vt:variant>
      <vt:variant>
        <vt:lpwstr>_Toc536089258</vt:lpwstr>
      </vt:variant>
      <vt:variant>
        <vt:i4>1572921</vt:i4>
      </vt:variant>
      <vt:variant>
        <vt:i4>671</vt:i4>
      </vt:variant>
      <vt:variant>
        <vt:i4>0</vt:i4>
      </vt:variant>
      <vt:variant>
        <vt:i4>5</vt:i4>
      </vt:variant>
      <vt:variant>
        <vt:lpwstr/>
      </vt:variant>
      <vt:variant>
        <vt:lpwstr>_Toc536089257</vt:lpwstr>
      </vt:variant>
      <vt:variant>
        <vt:i4>1572921</vt:i4>
      </vt:variant>
      <vt:variant>
        <vt:i4>665</vt:i4>
      </vt:variant>
      <vt:variant>
        <vt:i4>0</vt:i4>
      </vt:variant>
      <vt:variant>
        <vt:i4>5</vt:i4>
      </vt:variant>
      <vt:variant>
        <vt:lpwstr/>
      </vt:variant>
      <vt:variant>
        <vt:lpwstr>_Toc536089256</vt:lpwstr>
      </vt:variant>
      <vt:variant>
        <vt:i4>1572921</vt:i4>
      </vt:variant>
      <vt:variant>
        <vt:i4>659</vt:i4>
      </vt:variant>
      <vt:variant>
        <vt:i4>0</vt:i4>
      </vt:variant>
      <vt:variant>
        <vt:i4>5</vt:i4>
      </vt:variant>
      <vt:variant>
        <vt:lpwstr/>
      </vt:variant>
      <vt:variant>
        <vt:lpwstr>_Toc536089255</vt:lpwstr>
      </vt:variant>
      <vt:variant>
        <vt:i4>1572921</vt:i4>
      </vt:variant>
      <vt:variant>
        <vt:i4>653</vt:i4>
      </vt:variant>
      <vt:variant>
        <vt:i4>0</vt:i4>
      </vt:variant>
      <vt:variant>
        <vt:i4>5</vt:i4>
      </vt:variant>
      <vt:variant>
        <vt:lpwstr/>
      </vt:variant>
      <vt:variant>
        <vt:lpwstr>_Toc536089254</vt:lpwstr>
      </vt:variant>
      <vt:variant>
        <vt:i4>1572921</vt:i4>
      </vt:variant>
      <vt:variant>
        <vt:i4>647</vt:i4>
      </vt:variant>
      <vt:variant>
        <vt:i4>0</vt:i4>
      </vt:variant>
      <vt:variant>
        <vt:i4>5</vt:i4>
      </vt:variant>
      <vt:variant>
        <vt:lpwstr/>
      </vt:variant>
      <vt:variant>
        <vt:lpwstr>_Toc536089253</vt:lpwstr>
      </vt:variant>
      <vt:variant>
        <vt:i4>1572921</vt:i4>
      </vt:variant>
      <vt:variant>
        <vt:i4>641</vt:i4>
      </vt:variant>
      <vt:variant>
        <vt:i4>0</vt:i4>
      </vt:variant>
      <vt:variant>
        <vt:i4>5</vt:i4>
      </vt:variant>
      <vt:variant>
        <vt:lpwstr/>
      </vt:variant>
      <vt:variant>
        <vt:lpwstr>_Toc536089252</vt:lpwstr>
      </vt:variant>
      <vt:variant>
        <vt:i4>1572921</vt:i4>
      </vt:variant>
      <vt:variant>
        <vt:i4>635</vt:i4>
      </vt:variant>
      <vt:variant>
        <vt:i4>0</vt:i4>
      </vt:variant>
      <vt:variant>
        <vt:i4>5</vt:i4>
      </vt:variant>
      <vt:variant>
        <vt:lpwstr/>
      </vt:variant>
      <vt:variant>
        <vt:lpwstr>_Toc536089251</vt:lpwstr>
      </vt:variant>
      <vt:variant>
        <vt:i4>1310780</vt:i4>
      </vt:variant>
      <vt:variant>
        <vt:i4>626</vt:i4>
      </vt:variant>
      <vt:variant>
        <vt:i4>0</vt:i4>
      </vt:variant>
      <vt:variant>
        <vt:i4>5</vt:i4>
      </vt:variant>
      <vt:variant>
        <vt:lpwstr/>
      </vt:variant>
      <vt:variant>
        <vt:lpwstr>_Toc159858164</vt:lpwstr>
      </vt:variant>
      <vt:variant>
        <vt:i4>1310780</vt:i4>
      </vt:variant>
      <vt:variant>
        <vt:i4>620</vt:i4>
      </vt:variant>
      <vt:variant>
        <vt:i4>0</vt:i4>
      </vt:variant>
      <vt:variant>
        <vt:i4>5</vt:i4>
      </vt:variant>
      <vt:variant>
        <vt:lpwstr/>
      </vt:variant>
      <vt:variant>
        <vt:lpwstr>_Toc159858163</vt:lpwstr>
      </vt:variant>
      <vt:variant>
        <vt:i4>1310780</vt:i4>
      </vt:variant>
      <vt:variant>
        <vt:i4>614</vt:i4>
      </vt:variant>
      <vt:variant>
        <vt:i4>0</vt:i4>
      </vt:variant>
      <vt:variant>
        <vt:i4>5</vt:i4>
      </vt:variant>
      <vt:variant>
        <vt:lpwstr/>
      </vt:variant>
      <vt:variant>
        <vt:lpwstr>_Toc159858162</vt:lpwstr>
      </vt:variant>
      <vt:variant>
        <vt:i4>1310780</vt:i4>
      </vt:variant>
      <vt:variant>
        <vt:i4>608</vt:i4>
      </vt:variant>
      <vt:variant>
        <vt:i4>0</vt:i4>
      </vt:variant>
      <vt:variant>
        <vt:i4>5</vt:i4>
      </vt:variant>
      <vt:variant>
        <vt:lpwstr/>
      </vt:variant>
      <vt:variant>
        <vt:lpwstr>_Toc159858161</vt:lpwstr>
      </vt:variant>
      <vt:variant>
        <vt:i4>1310780</vt:i4>
      </vt:variant>
      <vt:variant>
        <vt:i4>602</vt:i4>
      </vt:variant>
      <vt:variant>
        <vt:i4>0</vt:i4>
      </vt:variant>
      <vt:variant>
        <vt:i4>5</vt:i4>
      </vt:variant>
      <vt:variant>
        <vt:lpwstr/>
      </vt:variant>
      <vt:variant>
        <vt:lpwstr>_Toc159858160</vt:lpwstr>
      </vt:variant>
      <vt:variant>
        <vt:i4>1507388</vt:i4>
      </vt:variant>
      <vt:variant>
        <vt:i4>596</vt:i4>
      </vt:variant>
      <vt:variant>
        <vt:i4>0</vt:i4>
      </vt:variant>
      <vt:variant>
        <vt:i4>5</vt:i4>
      </vt:variant>
      <vt:variant>
        <vt:lpwstr/>
      </vt:variant>
      <vt:variant>
        <vt:lpwstr>_Toc159858159</vt:lpwstr>
      </vt:variant>
      <vt:variant>
        <vt:i4>1507388</vt:i4>
      </vt:variant>
      <vt:variant>
        <vt:i4>590</vt:i4>
      </vt:variant>
      <vt:variant>
        <vt:i4>0</vt:i4>
      </vt:variant>
      <vt:variant>
        <vt:i4>5</vt:i4>
      </vt:variant>
      <vt:variant>
        <vt:lpwstr/>
      </vt:variant>
      <vt:variant>
        <vt:lpwstr>_Toc159858158</vt:lpwstr>
      </vt:variant>
      <vt:variant>
        <vt:i4>1507388</vt:i4>
      </vt:variant>
      <vt:variant>
        <vt:i4>584</vt:i4>
      </vt:variant>
      <vt:variant>
        <vt:i4>0</vt:i4>
      </vt:variant>
      <vt:variant>
        <vt:i4>5</vt:i4>
      </vt:variant>
      <vt:variant>
        <vt:lpwstr/>
      </vt:variant>
      <vt:variant>
        <vt:lpwstr>_Toc159858157</vt:lpwstr>
      </vt:variant>
      <vt:variant>
        <vt:i4>1507388</vt:i4>
      </vt:variant>
      <vt:variant>
        <vt:i4>578</vt:i4>
      </vt:variant>
      <vt:variant>
        <vt:i4>0</vt:i4>
      </vt:variant>
      <vt:variant>
        <vt:i4>5</vt:i4>
      </vt:variant>
      <vt:variant>
        <vt:lpwstr/>
      </vt:variant>
      <vt:variant>
        <vt:lpwstr>_Toc159858156</vt:lpwstr>
      </vt:variant>
      <vt:variant>
        <vt:i4>3932283</vt:i4>
      </vt:variant>
      <vt:variant>
        <vt:i4>573</vt:i4>
      </vt:variant>
      <vt:variant>
        <vt:i4>0</vt:i4>
      </vt:variant>
      <vt:variant>
        <vt:i4>5</vt:i4>
      </vt:variant>
      <vt:variant>
        <vt:lpwstr>https://www.asd.gov.au/publications</vt:lpwstr>
      </vt:variant>
      <vt:variant>
        <vt:lpwstr/>
      </vt:variant>
      <vt:variant>
        <vt:i4>1048634</vt:i4>
      </vt:variant>
      <vt:variant>
        <vt:i4>566</vt:i4>
      </vt:variant>
      <vt:variant>
        <vt:i4>0</vt:i4>
      </vt:variant>
      <vt:variant>
        <vt:i4>5</vt:i4>
      </vt:variant>
      <vt:variant>
        <vt:lpwstr/>
      </vt:variant>
      <vt:variant>
        <vt:lpwstr>_Toc159862486</vt:lpwstr>
      </vt:variant>
      <vt:variant>
        <vt:i4>1048634</vt:i4>
      </vt:variant>
      <vt:variant>
        <vt:i4>560</vt:i4>
      </vt:variant>
      <vt:variant>
        <vt:i4>0</vt:i4>
      </vt:variant>
      <vt:variant>
        <vt:i4>5</vt:i4>
      </vt:variant>
      <vt:variant>
        <vt:lpwstr/>
      </vt:variant>
      <vt:variant>
        <vt:lpwstr>_Toc159862485</vt:lpwstr>
      </vt:variant>
      <vt:variant>
        <vt:i4>1048634</vt:i4>
      </vt:variant>
      <vt:variant>
        <vt:i4>554</vt:i4>
      </vt:variant>
      <vt:variant>
        <vt:i4>0</vt:i4>
      </vt:variant>
      <vt:variant>
        <vt:i4>5</vt:i4>
      </vt:variant>
      <vt:variant>
        <vt:lpwstr/>
      </vt:variant>
      <vt:variant>
        <vt:lpwstr>_Toc159862484</vt:lpwstr>
      </vt:variant>
      <vt:variant>
        <vt:i4>1048634</vt:i4>
      </vt:variant>
      <vt:variant>
        <vt:i4>548</vt:i4>
      </vt:variant>
      <vt:variant>
        <vt:i4>0</vt:i4>
      </vt:variant>
      <vt:variant>
        <vt:i4>5</vt:i4>
      </vt:variant>
      <vt:variant>
        <vt:lpwstr/>
      </vt:variant>
      <vt:variant>
        <vt:lpwstr>_Toc159862483</vt:lpwstr>
      </vt:variant>
      <vt:variant>
        <vt:i4>1048634</vt:i4>
      </vt:variant>
      <vt:variant>
        <vt:i4>542</vt:i4>
      </vt:variant>
      <vt:variant>
        <vt:i4>0</vt:i4>
      </vt:variant>
      <vt:variant>
        <vt:i4>5</vt:i4>
      </vt:variant>
      <vt:variant>
        <vt:lpwstr/>
      </vt:variant>
      <vt:variant>
        <vt:lpwstr>_Toc159862482</vt:lpwstr>
      </vt:variant>
      <vt:variant>
        <vt:i4>1048634</vt:i4>
      </vt:variant>
      <vt:variant>
        <vt:i4>536</vt:i4>
      </vt:variant>
      <vt:variant>
        <vt:i4>0</vt:i4>
      </vt:variant>
      <vt:variant>
        <vt:i4>5</vt:i4>
      </vt:variant>
      <vt:variant>
        <vt:lpwstr/>
      </vt:variant>
      <vt:variant>
        <vt:lpwstr>_Toc159862481</vt:lpwstr>
      </vt:variant>
      <vt:variant>
        <vt:i4>1048634</vt:i4>
      </vt:variant>
      <vt:variant>
        <vt:i4>530</vt:i4>
      </vt:variant>
      <vt:variant>
        <vt:i4>0</vt:i4>
      </vt:variant>
      <vt:variant>
        <vt:i4>5</vt:i4>
      </vt:variant>
      <vt:variant>
        <vt:lpwstr/>
      </vt:variant>
      <vt:variant>
        <vt:lpwstr>_Toc159862480</vt:lpwstr>
      </vt:variant>
      <vt:variant>
        <vt:i4>2031674</vt:i4>
      </vt:variant>
      <vt:variant>
        <vt:i4>524</vt:i4>
      </vt:variant>
      <vt:variant>
        <vt:i4>0</vt:i4>
      </vt:variant>
      <vt:variant>
        <vt:i4>5</vt:i4>
      </vt:variant>
      <vt:variant>
        <vt:lpwstr/>
      </vt:variant>
      <vt:variant>
        <vt:lpwstr>_Toc159862479</vt:lpwstr>
      </vt:variant>
      <vt:variant>
        <vt:i4>2031674</vt:i4>
      </vt:variant>
      <vt:variant>
        <vt:i4>518</vt:i4>
      </vt:variant>
      <vt:variant>
        <vt:i4>0</vt:i4>
      </vt:variant>
      <vt:variant>
        <vt:i4>5</vt:i4>
      </vt:variant>
      <vt:variant>
        <vt:lpwstr/>
      </vt:variant>
      <vt:variant>
        <vt:lpwstr>_Toc159862478</vt:lpwstr>
      </vt:variant>
      <vt:variant>
        <vt:i4>2031674</vt:i4>
      </vt:variant>
      <vt:variant>
        <vt:i4>512</vt:i4>
      </vt:variant>
      <vt:variant>
        <vt:i4>0</vt:i4>
      </vt:variant>
      <vt:variant>
        <vt:i4>5</vt:i4>
      </vt:variant>
      <vt:variant>
        <vt:lpwstr/>
      </vt:variant>
      <vt:variant>
        <vt:lpwstr>_Toc159862477</vt:lpwstr>
      </vt:variant>
      <vt:variant>
        <vt:i4>1835061</vt:i4>
      </vt:variant>
      <vt:variant>
        <vt:i4>503</vt:i4>
      </vt:variant>
      <vt:variant>
        <vt:i4>0</vt:i4>
      </vt:variant>
      <vt:variant>
        <vt:i4>5</vt:i4>
      </vt:variant>
      <vt:variant>
        <vt:lpwstr/>
      </vt:variant>
      <vt:variant>
        <vt:lpwstr>_Toc108089427</vt:lpwstr>
      </vt:variant>
      <vt:variant>
        <vt:i4>1835061</vt:i4>
      </vt:variant>
      <vt:variant>
        <vt:i4>497</vt:i4>
      </vt:variant>
      <vt:variant>
        <vt:i4>0</vt:i4>
      </vt:variant>
      <vt:variant>
        <vt:i4>5</vt:i4>
      </vt:variant>
      <vt:variant>
        <vt:lpwstr/>
      </vt:variant>
      <vt:variant>
        <vt:lpwstr>_Toc108089426</vt:lpwstr>
      </vt:variant>
      <vt:variant>
        <vt:i4>1835061</vt:i4>
      </vt:variant>
      <vt:variant>
        <vt:i4>491</vt:i4>
      </vt:variant>
      <vt:variant>
        <vt:i4>0</vt:i4>
      </vt:variant>
      <vt:variant>
        <vt:i4>5</vt:i4>
      </vt:variant>
      <vt:variant>
        <vt:lpwstr/>
      </vt:variant>
      <vt:variant>
        <vt:lpwstr>_Toc108089425</vt:lpwstr>
      </vt:variant>
      <vt:variant>
        <vt:i4>1835061</vt:i4>
      </vt:variant>
      <vt:variant>
        <vt:i4>485</vt:i4>
      </vt:variant>
      <vt:variant>
        <vt:i4>0</vt:i4>
      </vt:variant>
      <vt:variant>
        <vt:i4>5</vt:i4>
      </vt:variant>
      <vt:variant>
        <vt:lpwstr/>
      </vt:variant>
      <vt:variant>
        <vt:lpwstr>_Toc108089424</vt:lpwstr>
      </vt:variant>
      <vt:variant>
        <vt:i4>1835061</vt:i4>
      </vt:variant>
      <vt:variant>
        <vt:i4>479</vt:i4>
      </vt:variant>
      <vt:variant>
        <vt:i4>0</vt:i4>
      </vt:variant>
      <vt:variant>
        <vt:i4>5</vt:i4>
      </vt:variant>
      <vt:variant>
        <vt:lpwstr/>
      </vt:variant>
      <vt:variant>
        <vt:lpwstr>_Toc108089423</vt:lpwstr>
      </vt:variant>
      <vt:variant>
        <vt:i4>1835061</vt:i4>
      </vt:variant>
      <vt:variant>
        <vt:i4>473</vt:i4>
      </vt:variant>
      <vt:variant>
        <vt:i4>0</vt:i4>
      </vt:variant>
      <vt:variant>
        <vt:i4>5</vt:i4>
      </vt:variant>
      <vt:variant>
        <vt:lpwstr/>
      </vt:variant>
      <vt:variant>
        <vt:lpwstr>_Toc108089422</vt:lpwstr>
      </vt:variant>
      <vt:variant>
        <vt:i4>1835061</vt:i4>
      </vt:variant>
      <vt:variant>
        <vt:i4>467</vt:i4>
      </vt:variant>
      <vt:variant>
        <vt:i4>0</vt:i4>
      </vt:variant>
      <vt:variant>
        <vt:i4>5</vt:i4>
      </vt:variant>
      <vt:variant>
        <vt:lpwstr/>
      </vt:variant>
      <vt:variant>
        <vt:lpwstr>_Toc108089421</vt:lpwstr>
      </vt:variant>
      <vt:variant>
        <vt:i4>3538992</vt:i4>
      </vt:variant>
      <vt:variant>
        <vt:i4>462</vt:i4>
      </vt:variant>
      <vt:variant>
        <vt:i4>0</vt:i4>
      </vt:variant>
      <vt:variant>
        <vt:i4>5</vt:i4>
      </vt:variant>
      <vt:variant>
        <vt:lpwstr>https://defence.gov.au/DFG/Grants/</vt:lpwstr>
      </vt:variant>
      <vt:variant>
        <vt:lpwstr/>
      </vt:variant>
      <vt:variant>
        <vt:i4>4390991</vt:i4>
      </vt:variant>
      <vt:variant>
        <vt:i4>459</vt:i4>
      </vt:variant>
      <vt:variant>
        <vt:i4>0</vt:i4>
      </vt:variant>
      <vt:variant>
        <vt:i4>5</vt:i4>
      </vt:variant>
      <vt:variant>
        <vt:lpwstr>http://www.grants.gov.au/</vt:lpwstr>
      </vt:variant>
      <vt:variant>
        <vt:lpwstr/>
      </vt:variant>
      <vt:variant>
        <vt:i4>6553641</vt:i4>
      </vt:variant>
      <vt:variant>
        <vt:i4>456</vt:i4>
      </vt:variant>
      <vt:variant>
        <vt:i4>0</vt:i4>
      </vt:variant>
      <vt:variant>
        <vt:i4>5</vt:i4>
      </vt:variant>
      <vt:variant>
        <vt:lpwstr>https://www.defence.gov.au/about/information-disclosures/annual-reports</vt:lpwstr>
      </vt:variant>
      <vt:variant>
        <vt:lpwstr/>
      </vt:variant>
      <vt:variant>
        <vt:i4>3145828</vt:i4>
      </vt:variant>
      <vt:variant>
        <vt:i4>453</vt:i4>
      </vt:variant>
      <vt:variant>
        <vt:i4>0</vt:i4>
      </vt:variant>
      <vt:variant>
        <vt:i4>5</vt:i4>
      </vt:variant>
      <vt:variant>
        <vt:lpwstr>http://www.defence.gov.au/about/strategic-planning/defence-corporate-plan/</vt:lpwstr>
      </vt:variant>
      <vt:variant>
        <vt:lpwstr/>
      </vt:variant>
      <vt:variant>
        <vt:i4>3276919</vt:i4>
      </vt:variant>
      <vt:variant>
        <vt:i4>450</vt:i4>
      </vt:variant>
      <vt:variant>
        <vt:i4>0</vt:i4>
      </vt:variant>
      <vt:variant>
        <vt:i4>5</vt:i4>
      </vt:variant>
      <vt:variant>
        <vt:lpwstr>https://www.defence.gov.au/PayandConditions/ADF/ADF-TWS.asp</vt:lpwstr>
      </vt:variant>
      <vt:variant>
        <vt:lpwstr/>
      </vt:variant>
      <vt:variant>
        <vt:i4>1245244</vt:i4>
      </vt:variant>
      <vt:variant>
        <vt:i4>443</vt:i4>
      </vt:variant>
      <vt:variant>
        <vt:i4>0</vt:i4>
      </vt:variant>
      <vt:variant>
        <vt:i4>5</vt:i4>
      </vt:variant>
      <vt:variant>
        <vt:lpwstr/>
      </vt:variant>
      <vt:variant>
        <vt:lpwstr>_Toc159859106</vt:lpwstr>
      </vt:variant>
      <vt:variant>
        <vt:i4>1245244</vt:i4>
      </vt:variant>
      <vt:variant>
        <vt:i4>437</vt:i4>
      </vt:variant>
      <vt:variant>
        <vt:i4>0</vt:i4>
      </vt:variant>
      <vt:variant>
        <vt:i4>5</vt:i4>
      </vt:variant>
      <vt:variant>
        <vt:lpwstr/>
      </vt:variant>
      <vt:variant>
        <vt:lpwstr>_Toc159859105</vt:lpwstr>
      </vt:variant>
      <vt:variant>
        <vt:i4>1245244</vt:i4>
      </vt:variant>
      <vt:variant>
        <vt:i4>431</vt:i4>
      </vt:variant>
      <vt:variant>
        <vt:i4>0</vt:i4>
      </vt:variant>
      <vt:variant>
        <vt:i4>5</vt:i4>
      </vt:variant>
      <vt:variant>
        <vt:lpwstr/>
      </vt:variant>
      <vt:variant>
        <vt:lpwstr>_Toc159859104</vt:lpwstr>
      </vt:variant>
      <vt:variant>
        <vt:i4>1245244</vt:i4>
      </vt:variant>
      <vt:variant>
        <vt:i4>425</vt:i4>
      </vt:variant>
      <vt:variant>
        <vt:i4>0</vt:i4>
      </vt:variant>
      <vt:variant>
        <vt:i4>5</vt:i4>
      </vt:variant>
      <vt:variant>
        <vt:lpwstr/>
      </vt:variant>
      <vt:variant>
        <vt:lpwstr>_Toc159859103</vt:lpwstr>
      </vt:variant>
      <vt:variant>
        <vt:i4>1245244</vt:i4>
      </vt:variant>
      <vt:variant>
        <vt:i4>419</vt:i4>
      </vt:variant>
      <vt:variant>
        <vt:i4>0</vt:i4>
      </vt:variant>
      <vt:variant>
        <vt:i4>5</vt:i4>
      </vt:variant>
      <vt:variant>
        <vt:lpwstr/>
      </vt:variant>
      <vt:variant>
        <vt:lpwstr>_Toc159859102</vt:lpwstr>
      </vt:variant>
      <vt:variant>
        <vt:i4>1245244</vt:i4>
      </vt:variant>
      <vt:variant>
        <vt:i4>413</vt:i4>
      </vt:variant>
      <vt:variant>
        <vt:i4>0</vt:i4>
      </vt:variant>
      <vt:variant>
        <vt:i4>5</vt:i4>
      </vt:variant>
      <vt:variant>
        <vt:lpwstr/>
      </vt:variant>
      <vt:variant>
        <vt:lpwstr>_Toc159859101</vt:lpwstr>
      </vt:variant>
      <vt:variant>
        <vt:i4>1245244</vt:i4>
      </vt:variant>
      <vt:variant>
        <vt:i4>407</vt:i4>
      </vt:variant>
      <vt:variant>
        <vt:i4>0</vt:i4>
      </vt:variant>
      <vt:variant>
        <vt:i4>5</vt:i4>
      </vt:variant>
      <vt:variant>
        <vt:lpwstr/>
      </vt:variant>
      <vt:variant>
        <vt:lpwstr>_Toc159859100</vt:lpwstr>
      </vt:variant>
      <vt:variant>
        <vt:i4>1703997</vt:i4>
      </vt:variant>
      <vt:variant>
        <vt:i4>401</vt:i4>
      </vt:variant>
      <vt:variant>
        <vt:i4>0</vt:i4>
      </vt:variant>
      <vt:variant>
        <vt:i4>5</vt:i4>
      </vt:variant>
      <vt:variant>
        <vt:lpwstr/>
      </vt:variant>
      <vt:variant>
        <vt:lpwstr>_Toc159859098</vt:lpwstr>
      </vt:variant>
      <vt:variant>
        <vt:i4>1703997</vt:i4>
      </vt:variant>
      <vt:variant>
        <vt:i4>395</vt:i4>
      </vt:variant>
      <vt:variant>
        <vt:i4>0</vt:i4>
      </vt:variant>
      <vt:variant>
        <vt:i4>5</vt:i4>
      </vt:variant>
      <vt:variant>
        <vt:lpwstr/>
      </vt:variant>
      <vt:variant>
        <vt:lpwstr>_Toc159859097</vt:lpwstr>
      </vt:variant>
      <vt:variant>
        <vt:i4>1703997</vt:i4>
      </vt:variant>
      <vt:variant>
        <vt:i4>389</vt:i4>
      </vt:variant>
      <vt:variant>
        <vt:i4>0</vt:i4>
      </vt:variant>
      <vt:variant>
        <vt:i4>5</vt:i4>
      </vt:variant>
      <vt:variant>
        <vt:lpwstr/>
      </vt:variant>
      <vt:variant>
        <vt:lpwstr>_Toc159859096</vt:lpwstr>
      </vt:variant>
      <vt:variant>
        <vt:i4>1703997</vt:i4>
      </vt:variant>
      <vt:variant>
        <vt:i4>383</vt:i4>
      </vt:variant>
      <vt:variant>
        <vt:i4>0</vt:i4>
      </vt:variant>
      <vt:variant>
        <vt:i4>5</vt:i4>
      </vt:variant>
      <vt:variant>
        <vt:lpwstr/>
      </vt:variant>
      <vt:variant>
        <vt:lpwstr>_Toc159859095</vt:lpwstr>
      </vt:variant>
      <vt:variant>
        <vt:i4>1703997</vt:i4>
      </vt:variant>
      <vt:variant>
        <vt:i4>377</vt:i4>
      </vt:variant>
      <vt:variant>
        <vt:i4>0</vt:i4>
      </vt:variant>
      <vt:variant>
        <vt:i4>5</vt:i4>
      </vt:variant>
      <vt:variant>
        <vt:lpwstr/>
      </vt:variant>
      <vt:variant>
        <vt:lpwstr>_Toc159859094</vt:lpwstr>
      </vt:variant>
      <vt:variant>
        <vt:i4>1703997</vt:i4>
      </vt:variant>
      <vt:variant>
        <vt:i4>371</vt:i4>
      </vt:variant>
      <vt:variant>
        <vt:i4>0</vt:i4>
      </vt:variant>
      <vt:variant>
        <vt:i4>5</vt:i4>
      </vt:variant>
      <vt:variant>
        <vt:lpwstr/>
      </vt:variant>
      <vt:variant>
        <vt:lpwstr>_Toc159859093</vt:lpwstr>
      </vt:variant>
      <vt:variant>
        <vt:i4>1245246</vt:i4>
      </vt:variant>
      <vt:variant>
        <vt:i4>362</vt:i4>
      </vt:variant>
      <vt:variant>
        <vt:i4>0</vt:i4>
      </vt:variant>
      <vt:variant>
        <vt:i4>5</vt:i4>
      </vt:variant>
      <vt:variant>
        <vt:lpwstr/>
      </vt:variant>
      <vt:variant>
        <vt:lpwstr>_Toc159859304</vt:lpwstr>
      </vt:variant>
      <vt:variant>
        <vt:i4>1245246</vt:i4>
      </vt:variant>
      <vt:variant>
        <vt:i4>356</vt:i4>
      </vt:variant>
      <vt:variant>
        <vt:i4>0</vt:i4>
      </vt:variant>
      <vt:variant>
        <vt:i4>5</vt:i4>
      </vt:variant>
      <vt:variant>
        <vt:lpwstr/>
      </vt:variant>
      <vt:variant>
        <vt:lpwstr>_Toc159859303</vt:lpwstr>
      </vt:variant>
      <vt:variant>
        <vt:i4>1245246</vt:i4>
      </vt:variant>
      <vt:variant>
        <vt:i4>350</vt:i4>
      </vt:variant>
      <vt:variant>
        <vt:i4>0</vt:i4>
      </vt:variant>
      <vt:variant>
        <vt:i4>5</vt:i4>
      </vt:variant>
      <vt:variant>
        <vt:lpwstr/>
      </vt:variant>
      <vt:variant>
        <vt:lpwstr>_Toc159859302</vt:lpwstr>
      </vt:variant>
      <vt:variant>
        <vt:i4>1245246</vt:i4>
      </vt:variant>
      <vt:variant>
        <vt:i4>344</vt:i4>
      </vt:variant>
      <vt:variant>
        <vt:i4>0</vt:i4>
      </vt:variant>
      <vt:variant>
        <vt:i4>5</vt:i4>
      </vt:variant>
      <vt:variant>
        <vt:lpwstr/>
      </vt:variant>
      <vt:variant>
        <vt:lpwstr>_Toc159859301</vt:lpwstr>
      </vt:variant>
      <vt:variant>
        <vt:i4>1245246</vt:i4>
      </vt:variant>
      <vt:variant>
        <vt:i4>338</vt:i4>
      </vt:variant>
      <vt:variant>
        <vt:i4>0</vt:i4>
      </vt:variant>
      <vt:variant>
        <vt:i4>5</vt:i4>
      </vt:variant>
      <vt:variant>
        <vt:lpwstr/>
      </vt:variant>
      <vt:variant>
        <vt:lpwstr>_Toc159859300</vt:lpwstr>
      </vt:variant>
      <vt:variant>
        <vt:i4>1703999</vt:i4>
      </vt:variant>
      <vt:variant>
        <vt:i4>332</vt:i4>
      </vt:variant>
      <vt:variant>
        <vt:i4>0</vt:i4>
      </vt:variant>
      <vt:variant>
        <vt:i4>5</vt:i4>
      </vt:variant>
      <vt:variant>
        <vt:lpwstr/>
      </vt:variant>
      <vt:variant>
        <vt:lpwstr>_Toc159859299</vt:lpwstr>
      </vt:variant>
      <vt:variant>
        <vt:i4>1703999</vt:i4>
      </vt:variant>
      <vt:variant>
        <vt:i4>326</vt:i4>
      </vt:variant>
      <vt:variant>
        <vt:i4>0</vt:i4>
      </vt:variant>
      <vt:variant>
        <vt:i4>5</vt:i4>
      </vt:variant>
      <vt:variant>
        <vt:lpwstr/>
      </vt:variant>
      <vt:variant>
        <vt:lpwstr>_Toc159859298</vt:lpwstr>
      </vt:variant>
      <vt:variant>
        <vt:i4>1703999</vt:i4>
      </vt:variant>
      <vt:variant>
        <vt:i4>320</vt:i4>
      </vt:variant>
      <vt:variant>
        <vt:i4>0</vt:i4>
      </vt:variant>
      <vt:variant>
        <vt:i4>5</vt:i4>
      </vt:variant>
      <vt:variant>
        <vt:lpwstr/>
      </vt:variant>
      <vt:variant>
        <vt:lpwstr>_Toc159859297</vt:lpwstr>
      </vt:variant>
      <vt:variant>
        <vt:i4>1703999</vt:i4>
      </vt:variant>
      <vt:variant>
        <vt:i4>314</vt:i4>
      </vt:variant>
      <vt:variant>
        <vt:i4>0</vt:i4>
      </vt:variant>
      <vt:variant>
        <vt:i4>5</vt:i4>
      </vt:variant>
      <vt:variant>
        <vt:lpwstr/>
      </vt:variant>
      <vt:variant>
        <vt:lpwstr>_Toc159859296</vt:lpwstr>
      </vt:variant>
      <vt:variant>
        <vt:i4>1703999</vt:i4>
      </vt:variant>
      <vt:variant>
        <vt:i4>308</vt:i4>
      </vt:variant>
      <vt:variant>
        <vt:i4>0</vt:i4>
      </vt:variant>
      <vt:variant>
        <vt:i4>5</vt:i4>
      </vt:variant>
      <vt:variant>
        <vt:lpwstr/>
      </vt:variant>
      <vt:variant>
        <vt:lpwstr>_Toc159859295</vt:lpwstr>
      </vt:variant>
      <vt:variant>
        <vt:i4>1703999</vt:i4>
      </vt:variant>
      <vt:variant>
        <vt:i4>302</vt:i4>
      </vt:variant>
      <vt:variant>
        <vt:i4>0</vt:i4>
      </vt:variant>
      <vt:variant>
        <vt:i4>5</vt:i4>
      </vt:variant>
      <vt:variant>
        <vt:lpwstr/>
      </vt:variant>
      <vt:variant>
        <vt:lpwstr>_Toc159859294</vt:lpwstr>
      </vt:variant>
      <vt:variant>
        <vt:i4>1703999</vt:i4>
      </vt:variant>
      <vt:variant>
        <vt:i4>296</vt:i4>
      </vt:variant>
      <vt:variant>
        <vt:i4>0</vt:i4>
      </vt:variant>
      <vt:variant>
        <vt:i4>5</vt:i4>
      </vt:variant>
      <vt:variant>
        <vt:lpwstr/>
      </vt:variant>
      <vt:variant>
        <vt:lpwstr>_Toc159859292</vt:lpwstr>
      </vt:variant>
      <vt:variant>
        <vt:i4>1703999</vt:i4>
      </vt:variant>
      <vt:variant>
        <vt:i4>290</vt:i4>
      </vt:variant>
      <vt:variant>
        <vt:i4>0</vt:i4>
      </vt:variant>
      <vt:variant>
        <vt:i4>5</vt:i4>
      </vt:variant>
      <vt:variant>
        <vt:lpwstr/>
      </vt:variant>
      <vt:variant>
        <vt:lpwstr>_Toc159859291</vt:lpwstr>
      </vt:variant>
      <vt:variant>
        <vt:i4>1703999</vt:i4>
      </vt:variant>
      <vt:variant>
        <vt:i4>284</vt:i4>
      </vt:variant>
      <vt:variant>
        <vt:i4>0</vt:i4>
      </vt:variant>
      <vt:variant>
        <vt:i4>5</vt:i4>
      </vt:variant>
      <vt:variant>
        <vt:lpwstr/>
      </vt:variant>
      <vt:variant>
        <vt:lpwstr>_Toc159859290</vt:lpwstr>
      </vt:variant>
      <vt:variant>
        <vt:i4>1769535</vt:i4>
      </vt:variant>
      <vt:variant>
        <vt:i4>278</vt:i4>
      </vt:variant>
      <vt:variant>
        <vt:i4>0</vt:i4>
      </vt:variant>
      <vt:variant>
        <vt:i4>5</vt:i4>
      </vt:variant>
      <vt:variant>
        <vt:lpwstr/>
      </vt:variant>
      <vt:variant>
        <vt:lpwstr>_Toc159859289</vt:lpwstr>
      </vt:variant>
      <vt:variant>
        <vt:i4>1769535</vt:i4>
      </vt:variant>
      <vt:variant>
        <vt:i4>272</vt:i4>
      </vt:variant>
      <vt:variant>
        <vt:i4>0</vt:i4>
      </vt:variant>
      <vt:variant>
        <vt:i4>5</vt:i4>
      </vt:variant>
      <vt:variant>
        <vt:lpwstr/>
      </vt:variant>
      <vt:variant>
        <vt:lpwstr>_Toc159859284</vt:lpwstr>
      </vt:variant>
      <vt:variant>
        <vt:i4>1769535</vt:i4>
      </vt:variant>
      <vt:variant>
        <vt:i4>266</vt:i4>
      </vt:variant>
      <vt:variant>
        <vt:i4>0</vt:i4>
      </vt:variant>
      <vt:variant>
        <vt:i4>5</vt:i4>
      </vt:variant>
      <vt:variant>
        <vt:lpwstr/>
      </vt:variant>
      <vt:variant>
        <vt:lpwstr>_Toc159859283</vt:lpwstr>
      </vt:variant>
      <vt:variant>
        <vt:i4>1769535</vt:i4>
      </vt:variant>
      <vt:variant>
        <vt:i4>260</vt:i4>
      </vt:variant>
      <vt:variant>
        <vt:i4>0</vt:i4>
      </vt:variant>
      <vt:variant>
        <vt:i4>5</vt:i4>
      </vt:variant>
      <vt:variant>
        <vt:lpwstr/>
      </vt:variant>
      <vt:variant>
        <vt:lpwstr>_Toc159859282</vt:lpwstr>
      </vt:variant>
      <vt:variant>
        <vt:i4>1769535</vt:i4>
      </vt:variant>
      <vt:variant>
        <vt:i4>254</vt:i4>
      </vt:variant>
      <vt:variant>
        <vt:i4>0</vt:i4>
      </vt:variant>
      <vt:variant>
        <vt:i4>5</vt:i4>
      </vt:variant>
      <vt:variant>
        <vt:lpwstr/>
      </vt:variant>
      <vt:variant>
        <vt:lpwstr>_Toc159859281</vt:lpwstr>
      </vt:variant>
      <vt:variant>
        <vt:i4>1310783</vt:i4>
      </vt:variant>
      <vt:variant>
        <vt:i4>248</vt:i4>
      </vt:variant>
      <vt:variant>
        <vt:i4>0</vt:i4>
      </vt:variant>
      <vt:variant>
        <vt:i4>5</vt:i4>
      </vt:variant>
      <vt:variant>
        <vt:lpwstr/>
      </vt:variant>
      <vt:variant>
        <vt:lpwstr>_Toc159859279</vt:lpwstr>
      </vt:variant>
      <vt:variant>
        <vt:i4>1310783</vt:i4>
      </vt:variant>
      <vt:variant>
        <vt:i4>242</vt:i4>
      </vt:variant>
      <vt:variant>
        <vt:i4>0</vt:i4>
      </vt:variant>
      <vt:variant>
        <vt:i4>5</vt:i4>
      </vt:variant>
      <vt:variant>
        <vt:lpwstr/>
      </vt:variant>
      <vt:variant>
        <vt:lpwstr>_Toc159859278</vt:lpwstr>
      </vt:variant>
      <vt:variant>
        <vt:i4>1310783</vt:i4>
      </vt:variant>
      <vt:variant>
        <vt:i4>236</vt:i4>
      </vt:variant>
      <vt:variant>
        <vt:i4>0</vt:i4>
      </vt:variant>
      <vt:variant>
        <vt:i4>5</vt:i4>
      </vt:variant>
      <vt:variant>
        <vt:lpwstr/>
      </vt:variant>
      <vt:variant>
        <vt:lpwstr>_Toc159859277</vt:lpwstr>
      </vt:variant>
      <vt:variant>
        <vt:i4>1310783</vt:i4>
      </vt:variant>
      <vt:variant>
        <vt:i4>230</vt:i4>
      </vt:variant>
      <vt:variant>
        <vt:i4>0</vt:i4>
      </vt:variant>
      <vt:variant>
        <vt:i4>5</vt:i4>
      </vt:variant>
      <vt:variant>
        <vt:lpwstr/>
      </vt:variant>
      <vt:variant>
        <vt:lpwstr>_Toc159859276</vt:lpwstr>
      </vt:variant>
      <vt:variant>
        <vt:i4>1310783</vt:i4>
      </vt:variant>
      <vt:variant>
        <vt:i4>224</vt:i4>
      </vt:variant>
      <vt:variant>
        <vt:i4>0</vt:i4>
      </vt:variant>
      <vt:variant>
        <vt:i4>5</vt:i4>
      </vt:variant>
      <vt:variant>
        <vt:lpwstr/>
      </vt:variant>
      <vt:variant>
        <vt:lpwstr>_Toc159859275</vt:lpwstr>
      </vt:variant>
      <vt:variant>
        <vt:i4>1310783</vt:i4>
      </vt:variant>
      <vt:variant>
        <vt:i4>218</vt:i4>
      </vt:variant>
      <vt:variant>
        <vt:i4>0</vt:i4>
      </vt:variant>
      <vt:variant>
        <vt:i4>5</vt:i4>
      </vt:variant>
      <vt:variant>
        <vt:lpwstr/>
      </vt:variant>
      <vt:variant>
        <vt:lpwstr>_Toc159859274</vt:lpwstr>
      </vt:variant>
      <vt:variant>
        <vt:i4>1310783</vt:i4>
      </vt:variant>
      <vt:variant>
        <vt:i4>212</vt:i4>
      </vt:variant>
      <vt:variant>
        <vt:i4>0</vt:i4>
      </vt:variant>
      <vt:variant>
        <vt:i4>5</vt:i4>
      </vt:variant>
      <vt:variant>
        <vt:lpwstr/>
      </vt:variant>
      <vt:variant>
        <vt:lpwstr>_Toc159859273</vt:lpwstr>
      </vt:variant>
      <vt:variant>
        <vt:i4>1310783</vt:i4>
      </vt:variant>
      <vt:variant>
        <vt:i4>206</vt:i4>
      </vt:variant>
      <vt:variant>
        <vt:i4>0</vt:i4>
      </vt:variant>
      <vt:variant>
        <vt:i4>5</vt:i4>
      </vt:variant>
      <vt:variant>
        <vt:lpwstr/>
      </vt:variant>
      <vt:variant>
        <vt:lpwstr>_Toc159859272</vt:lpwstr>
      </vt:variant>
      <vt:variant>
        <vt:i4>1310783</vt:i4>
      </vt:variant>
      <vt:variant>
        <vt:i4>200</vt:i4>
      </vt:variant>
      <vt:variant>
        <vt:i4>0</vt:i4>
      </vt:variant>
      <vt:variant>
        <vt:i4>5</vt:i4>
      </vt:variant>
      <vt:variant>
        <vt:lpwstr/>
      </vt:variant>
      <vt:variant>
        <vt:lpwstr>_Toc159859271</vt:lpwstr>
      </vt:variant>
      <vt:variant>
        <vt:i4>1310783</vt:i4>
      </vt:variant>
      <vt:variant>
        <vt:i4>194</vt:i4>
      </vt:variant>
      <vt:variant>
        <vt:i4>0</vt:i4>
      </vt:variant>
      <vt:variant>
        <vt:i4>5</vt:i4>
      </vt:variant>
      <vt:variant>
        <vt:lpwstr/>
      </vt:variant>
      <vt:variant>
        <vt:lpwstr>_Toc159859270</vt:lpwstr>
      </vt:variant>
      <vt:variant>
        <vt:i4>1376319</vt:i4>
      </vt:variant>
      <vt:variant>
        <vt:i4>188</vt:i4>
      </vt:variant>
      <vt:variant>
        <vt:i4>0</vt:i4>
      </vt:variant>
      <vt:variant>
        <vt:i4>5</vt:i4>
      </vt:variant>
      <vt:variant>
        <vt:lpwstr/>
      </vt:variant>
      <vt:variant>
        <vt:lpwstr>_Toc159859269</vt:lpwstr>
      </vt:variant>
      <vt:variant>
        <vt:i4>1376319</vt:i4>
      </vt:variant>
      <vt:variant>
        <vt:i4>182</vt:i4>
      </vt:variant>
      <vt:variant>
        <vt:i4>0</vt:i4>
      </vt:variant>
      <vt:variant>
        <vt:i4>5</vt:i4>
      </vt:variant>
      <vt:variant>
        <vt:lpwstr/>
      </vt:variant>
      <vt:variant>
        <vt:lpwstr>_Toc159859268</vt:lpwstr>
      </vt:variant>
      <vt:variant>
        <vt:i4>1376319</vt:i4>
      </vt:variant>
      <vt:variant>
        <vt:i4>176</vt:i4>
      </vt:variant>
      <vt:variant>
        <vt:i4>0</vt:i4>
      </vt:variant>
      <vt:variant>
        <vt:i4>5</vt:i4>
      </vt:variant>
      <vt:variant>
        <vt:lpwstr/>
      </vt:variant>
      <vt:variant>
        <vt:lpwstr>_Toc159859267</vt:lpwstr>
      </vt:variant>
      <vt:variant>
        <vt:i4>1376319</vt:i4>
      </vt:variant>
      <vt:variant>
        <vt:i4>170</vt:i4>
      </vt:variant>
      <vt:variant>
        <vt:i4>0</vt:i4>
      </vt:variant>
      <vt:variant>
        <vt:i4>5</vt:i4>
      </vt:variant>
      <vt:variant>
        <vt:lpwstr/>
      </vt:variant>
      <vt:variant>
        <vt:lpwstr>_Toc159859266</vt:lpwstr>
      </vt:variant>
      <vt:variant>
        <vt:i4>1376319</vt:i4>
      </vt:variant>
      <vt:variant>
        <vt:i4>164</vt:i4>
      </vt:variant>
      <vt:variant>
        <vt:i4>0</vt:i4>
      </vt:variant>
      <vt:variant>
        <vt:i4>5</vt:i4>
      </vt:variant>
      <vt:variant>
        <vt:lpwstr/>
      </vt:variant>
      <vt:variant>
        <vt:lpwstr>_Toc159859265</vt:lpwstr>
      </vt:variant>
      <vt:variant>
        <vt:i4>1376319</vt:i4>
      </vt:variant>
      <vt:variant>
        <vt:i4>158</vt:i4>
      </vt:variant>
      <vt:variant>
        <vt:i4>0</vt:i4>
      </vt:variant>
      <vt:variant>
        <vt:i4>5</vt:i4>
      </vt:variant>
      <vt:variant>
        <vt:lpwstr/>
      </vt:variant>
      <vt:variant>
        <vt:lpwstr>_Toc159859264</vt:lpwstr>
      </vt:variant>
      <vt:variant>
        <vt:i4>1376319</vt:i4>
      </vt:variant>
      <vt:variant>
        <vt:i4>152</vt:i4>
      </vt:variant>
      <vt:variant>
        <vt:i4>0</vt:i4>
      </vt:variant>
      <vt:variant>
        <vt:i4>5</vt:i4>
      </vt:variant>
      <vt:variant>
        <vt:lpwstr/>
      </vt:variant>
      <vt:variant>
        <vt:lpwstr>_Toc159859263</vt:lpwstr>
      </vt:variant>
      <vt:variant>
        <vt:i4>1376319</vt:i4>
      </vt:variant>
      <vt:variant>
        <vt:i4>146</vt:i4>
      </vt:variant>
      <vt:variant>
        <vt:i4>0</vt:i4>
      </vt:variant>
      <vt:variant>
        <vt:i4>5</vt:i4>
      </vt:variant>
      <vt:variant>
        <vt:lpwstr/>
      </vt:variant>
      <vt:variant>
        <vt:lpwstr>_Toc159859262</vt:lpwstr>
      </vt:variant>
      <vt:variant>
        <vt:i4>1376319</vt:i4>
      </vt:variant>
      <vt:variant>
        <vt:i4>140</vt:i4>
      </vt:variant>
      <vt:variant>
        <vt:i4>0</vt:i4>
      </vt:variant>
      <vt:variant>
        <vt:i4>5</vt:i4>
      </vt:variant>
      <vt:variant>
        <vt:lpwstr/>
      </vt:variant>
      <vt:variant>
        <vt:lpwstr>_Toc159859261</vt:lpwstr>
      </vt:variant>
      <vt:variant>
        <vt:i4>1376319</vt:i4>
      </vt:variant>
      <vt:variant>
        <vt:i4>134</vt:i4>
      </vt:variant>
      <vt:variant>
        <vt:i4>0</vt:i4>
      </vt:variant>
      <vt:variant>
        <vt:i4>5</vt:i4>
      </vt:variant>
      <vt:variant>
        <vt:lpwstr/>
      </vt:variant>
      <vt:variant>
        <vt:lpwstr>_Toc159859260</vt:lpwstr>
      </vt:variant>
      <vt:variant>
        <vt:i4>1441855</vt:i4>
      </vt:variant>
      <vt:variant>
        <vt:i4>128</vt:i4>
      </vt:variant>
      <vt:variant>
        <vt:i4>0</vt:i4>
      </vt:variant>
      <vt:variant>
        <vt:i4>5</vt:i4>
      </vt:variant>
      <vt:variant>
        <vt:lpwstr/>
      </vt:variant>
      <vt:variant>
        <vt:lpwstr>_Toc159859259</vt:lpwstr>
      </vt:variant>
      <vt:variant>
        <vt:i4>1441855</vt:i4>
      </vt:variant>
      <vt:variant>
        <vt:i4>122</vt:i4>
      </vt:variant>
      <vt:variant>
        <vt:i4>0</vt:i4>
      </vt:variant>
      <vt:variant>
        <vt:i4>5</vt:i4>
      </vt:variant>
      <vt:variant>
        <vt:lpwstr/>
      </vt:variant>
      <vt:variant>
        <vt:lpwstr>_Toc159859258</vt:lpwstr>
      </vt:variant>
      <vt:variant>
        <vt:i4>1441855</vt:i4>
      </vt:variant>
      <vt:variant>
        <vt:i4>116</vt:i4>
      </vt:variant>
      <vt:variant>
        <vt:i4>0</vt:i4>
      </vt:variant>
      <vt:variant>
        <vt:i4>5</vt:i4>
      </vt:variant>
      <vt:variant>
        <vt:lpwstr/>
      </vt:variant>
      <vt:variant>
        <vt:lpwstr>_Toc159859257</vt:lpwstr>
      </vt:variant>
      <vt:variant>
        <vt:i4>1441855</vt:i4>
      </vt:variant>
      <vt:variant>
        <vt:i4>110</vt:i4>
      </vt:variant>
      <vt:variant>
        <vt:i4>0</vt:i4>
      </vt:variant>
      <vt:variant>
        <vt:i4>5</vt:i4>
      </vt:variant>
      <vt:variant>
        <vt:lpwstr/>
      </vt:variant>
      <vt:variant>
        <vt:lpwstr>_Toc159859256</vt:lpwstr>
      </vt:variant>
      <vt:variant>
        <vt:i4>1441855</vt:i4>
      </vt:variant>
      <vt:variant>
        <vt:i4>104</vt:i4>
      </vt:variant>
      <vt:variant>
        <vt:i4>0</vt:i4>
      </vt:variant>
      <vt:variant>
        <vt:i4>5</vt:i4>
      </vt:variant>
      <vt:variant>
        <vt:lpwstr/>
      </vt:variant>
      <vt:variant>
        <vt:lpwstr>_Toc159859255</vt:lpwstr>
      </vt:variant>
      <vt:variant>
        <vt:i4>1441855</vt:i4>
      </vt:variant>
      <vt:variant>
        <vt:i4>98</vt:i4>
      </vt:variant>
      <vt:variant>
        <vt:i4>0</vt:i4>
      </vt:variant>
      <vt:variant>
        <vt:i4>5</vt:i4>
      </vt:variant>
      <vt:variant>
        <vt:lpwstr/>
      </vt:variant>
      <vt:variant>
        <vt:lpwstr>_Toc159859254</vt:lpwstr>
      </vt:variant>
      <vt:variant>
        <vt:i4>1441855</vt:i4>
      </vt:variant>
      <vt:variant>
        <vt:i4>92</vt:i4>
      </vt:variant>
      <vt:variant>
        <vt:i4>0</vt:i4>
      </vt:variant>
      <vt:variant>
        <vt:i4>5</vt:i4>
      </vt:variant>
      <vt:variant>
        <vt:lpwstr/>
      </vt:variant>
      <vt:variant>
        <vt:lpwstr>_Toc159859253</vt:lpwstr>
      </vt:variant>
      <vt:variant>
        <vt:i4>1441855</vt:i4>
      </vt:variant>
      <vt:variant>
        <vt:i4>86</vt:i4>
      </vt:variant>
      <vt:variant>
        <vt:i4>0</vt:i4>
      </vt:variant>
      <vt:variant>
        <vt:i4>5</vt:i4>
      </vt:variant>
      <vt:variant>
        <vt:lpwstr/>
      </vt:variant>
      <vt:variant>
        <vt:lpwstr>_Toc159859252</vt:lpwstr>
      </vt:variant>
      <vt:variant>
        <vt:i4>1441855</vt:i4>
      </vt:variant>
      <vt:variant>
        <vt:i4>80</vt:i4>
      </vt:variant>
      <vt:variant>
        <vt:i4>0</vt:i4>
      </vt:variant>
      <vt:variant>
        <vt:i4>5</vt:i4>
      </vt:variant>
      <vt:variant>
        <vt:lpwstr/>
      </vt:variant>
      <vt:variant>
        <vt:lpwstr>_Toc159859250</vt:lpwstr>
      </vt:variant>
      <vt:variant>
        <vt:i4>1507391</vt:i4>
      </vt:variant>
      <vt:variant>
        <vt:i4>74</vt:i4>
      </vt:variant>
      <vt:variant>
        <vt:i4>0</vt:i4>
      </vt:variant>
      <vt:variant>
        <vt:i4>5</vt:i4>
      </vt:variant>
      <vt:variant>
        <vt:lpwstr/>
      </vt:variant>
      <vt:variant>
        <vt:lpwstr>_Toc159859249</vt:lpwstr>
      </vt:variant>
      <vt:variant>
        <vt:i4>1507391</vt:i4>
      </vt:variant>
      <vt:variant>
        <vt:i4>68</vt:i4>
      </vt:variant>
      <vt:variant>
        <vt:i4>0</vt:i4>
      </vt:variant>
      <vt:variant>
        <vt:i4>5</vt:i4>
      </vt:variant>
      <vt:variant>
        <vt:lpwstr/>
      </vt:variant>
      <vt:variant>
        <vt:lpwstr>_Toc159859248</vt:lpwstr>
      </vt:variant>
      <vt:variant>
        <vt:i4>1507391</vt:i4>
      </vt:variant>
      <vt:variant>
        <vt:i4>62</vt:i4>
      </vt:variant>
      <vt:variant>
        <vt:i4>0</vt:i4>
      </vt:variant>
      <vt:variant>
        <vt:i4>5</vt:i4>
      </vt:variant>
      <vt:variant>
        <vt:lpwstr/>
      </vt:variant>
      <vt:variant>
        <vt:lpwstr>_Toc159859247</vt:lpwstr>
      </vt:variant>
      <vt:variant>
        <vt:i4>1507391</vt:i4>
      </vt:variant>
      <vt:variant>
        <vt:i4>56</vt:i4>
      </vt:variant>
      <vt:variant>
        <vt:i4>0</vt:i4>
      </vt:variant>
      <vt:variant>
        <vt:i4>5</vt:i4>
      </vt:variant>
      <vt:variant>
        <vt:lpwstr/>
      </vt:variant>
      <vt:variant>
        <vt:lpwstr>_Toc159859246</vt:lpwstr>
      </vt:variant>
      <vt:variant>
        <vt:i4>1507391</vt:i4>
      </vt:variant>
      <vt:variant>
        <vt:i4>50</vt:i4>
      </vt:variant>
      <vt:variant>
        <vt:i4>0</vt:i4>
      </vt:variant>
      <vt:variant>
        <vt:i4>5</vt:i4>
      </vt:variant>
      <vt:variant>
        <vt:lpwstr/>
      </vt:variant>
      <vt:variant>
        <vt:lpwstr>_Toc159859245</vt:lpwstr>
      </vt:variant>
      <vt:variant>
        <vt:i4>1507391</vt:i4>
      </vt:variant>
      <vt:variant>
        <vt:i4>44</vt:i4>
      </vt:variant>
      <vt:variant>
        <vt:i4>0</vt:i4>
      </vt:variant>
      <vt:variant>
        <vt:i4>5</vt:i4>
      </vt:variant>
      <vt:variant>
        <vt:lpwstr/>
      </vt:variant>
      <vt:variant>
        <vt:lpwstr>_Toc159859244</vt:lpwstr>
      </vt:variant>
      <vt:variant>
        <vt:i4>1507391</vt:i4>
      </vt:variant>
      <vt:variant>
        <vt:i4>38</vt:i4>
      </vt:variant>
      <vt:variant>
        <vt:i4>0</vt:i4>
      </vt:variant>
      <vt:variant>
        <vt:i4>5</vt:i4>
      </vt:variant>
      <vt:variant>
        <vt:lpwstr/>
      </vt:variant>
      <vt:variant>
        <vt:lpwstr>_Toc159859243</vt:lpwstr>
      </vt:variant>
      <vt:variant>
        <vt:i4>1507391</vt:i4>
      </vt:variant>
      <vt:variant>
        <vt:i4>32</vt:i4>
      </vt:variant>
      <vt:variant>
        <vt:i4>0</vt:i4>
      </vt:variant>
      <vt:variant>
        <vt:i4>5</vt:i4>
      </vt:variant>
      <vt:variant>
        <vt:lpwstr/>
      </vt:variant>
      <vt:variant>
        <vt:lpwstr>_Toc159859242</vt:lpwstr>
      </vt:variant>
      <vt:variant>
        <vt:i4>1507391</vt:i4>
      </vt:variant>
      <vt:variant>
        <vt:i4>26</vt:i4>
      </vt:variant>
      <vt:variant>
        <vt:i4>0</vt:i4>
      </vt:variant>
      <vt:variant>
        <vt:i4>5</vt:i4>
      </vt:variant>
      <vt:variant>
        <vt:lpwstr/>
      </vt:variant>
      <vt:variant>
        <vt:lpwstr>_Toc159859241</vt:lpwstr>
      </vt:variant>
      <vt:variant>
        <vt:i4>1507391</vt:i4>
      </vt:variant>
      <vt:variant>
        <vt:i4>20</vt:i4>
      </vt:variant>
      <vt:variant>
        <vt:i4>0</vt:i4>
      </vt:variant>
      <vt:variant>
        <vt:i4>5</vt:i4>
      </vt:variant>
      <vt:variant>
        <vt:lpwstr/>
      </vt:variant>
      <vt:variant>
        <vt:lpwstr>_Toc159859240</vt:lpwstr>
      </vt:variant>
      <vt:variant>
        <vt:i4>5374022</vt:i4>
      </vt:variant>
      <vt:variant>
        <vt:i4>15</vt:i4>
      </vt:variant>
      <vt:variant>
        <vt:i4>0</vt:i4>
      </vt:variant>
      <vt:variant>
        <vt:i4>5</vt:i4>
      </vt:variant>
      <vt:variant>
        <vt:lpwstr>http://www.budget.gov.au/</vt:lpwstr>
      </vt:variant>
      <vt:variant>
        <vt:lpwstr/>
      </vt:variant>
      <vt:variant>
        <vt:i4>1572908</vt:i4>
      </vt:variant>
      <vt:variant>
        <vt:i4>12</vt:i4>
      </vt:variant>
      <vt:variant>
        <vt:i4>0</vt:i4>
      </vt:variant>
      <vt:variant>
        <vt:i4>5</vt:i4>
      </vt:variant>
      <vt:variant>
        <vt:lpwstr>mailto:dfg.cbc@defence.gov.au</vt:lpwstr>
      </vt:variant>
      <vt:variant>
        <vt:lpwstr/>
      </vt:variant>
      <vt:variant>
        <vt:i4>2818104</vt:i4>
      </vt:variant>
      <vt:variant>
        <vt:i4>9</vt:i4>
      </vt:variant>
      <vt:variant>
        <vt:i4>0</vt:i4>
      </vt:variant>
      <vt:variant>
        <vt:i4>5</vt:i4>
      </vt:variant>
      <vt:variant>
        <vt:lpwstr>http://www.pmc.gov.au/government/commonwealth-coat-arms</vt:lpwstr>
      </vt:variant>
      <vt:variant>
        <vt:lpwstr/>
      </vt:variant>
      <vt:variant>
        <vt:i4>5111827</vt:i4>
      </vt:variant>
      <vt:variant>
        <vt:i4>6</vt:i4>
      </vt:variant>
      <vt:variant>
        <vt:i4>0</vt:i4>
      </vt:variant>
      <vt:variant>
        <vt:i4>5</vt:i4>
      </vt:variant>
      <vt:variant>
        <vt:lpwstr>http://creativecommons.org/licenses/by/3.0/au/deed.en</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PORTFOLIO ADDITIONAL</dc:title>
  <dc:subject/>
  <dc:creator>Roberts, Phil MR 1</dc:creator>
  <cp:keywords/>
  <dc:description/>
  <cp:lastModifiedBy>Lee, Tanya MISS 2</cp:lastModifiedBy>
  <cp:revision>545</cp:revision>
  <cp:lastPrinted>2026-05-07T10:13:00Z</cp:lastPrinted>
  <dcterms:created xsi:type="dcterms:W3CDTF">2026-04-20T00:08:00Z</dcterms:created>
  <dcterms:modified xsi:type="dcterms:W3CDTF">2026-05-07T10:47:00Z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BO56700261</vt:lpwstr>
  </property>
  <property fmtid="{D5CDD505-2E9C-101B-9397-08002B2CF9AE}" pid="3" name="Objective-Title">
    <vt:lpwstr>Defence Portfolio Budget Statements 2026-27</vt:lpwstr>
  </property>
  <property fmtid="{D5CDD505-2E9C-101B-9397-08002B2CF9AE}" pid="4" name="Objective-Comment">
    <vt:lpwstr/>
  </property>
  <property fmtid="{D5CDD505-2E9C-101B-9397-08002B2CF9AE}" pid="5" name="Objective-CreationStamp">
    <vt:filetime>2026-05-07T23:51:00Z</vt:filetime>
  </property>
  <property fmtid="{D5CDD505-2E9C-101B-9397-08002B2CF9AE}" pid="6" name="Objective-IsApproved">
    <vt:bool>false</vt:bool>
  </property>
  <property fmtid="{D5CDD505-2E9C-101B-9397-08002B2CF9AE}" pid="7" name="Objective-IsPublished">
    <vt:bool>true</vt:bool>
  </property>
  <property fmtid="{D5CDD505-2E9C-101B-9397-08002B2CF9AE}" pid="8" name="Objective-DatePublished">
    <vt:filetime>2026-05-07T23:51:00Z</vt:filetime>
  </property>
  <property fmtid="{D5CDD505-2E9C-101B-9397-08002B2CF9AE}" pid="9" name="Objective-ModificationStamp">
    <vt:filetime>2026-05-08T04:38:51Z</vt:filetime>
  </property>
  <property fmtid="{D5CDD505-2E9C-101B-9397-08002B2CF9AE}" pid="10" name="Objective-Owner">
    <vt:lpwstr>McInerney, Stacey MS</vt:lpwstr>
  </property>
  <property fmtid="{D5CDD505-2E9C-101B-9397-08002B2CF9AE}" pid="11" name="Objective-Path">
    <vt:lpwstr>Objective Global Folder - PROD:Defence Business Units:Associate Secretary Organisation:Defence Finance Group:DFG : Historical Working Groups:CFO : Chief Finance Officer:01 FAS Budgets and Financial Services:03. AS Budgeting and Reporting:02 Directorate of Commonwealth Budget Coordination:Budget:2026-27:2026-27 PB Statements:13 Printing / Publishing / Delivery:Web Publishing:Book Sections:</vt:lpwstr>
  </property>
  <property fmtid="{D5CDD505-2E9C-101B-9397-08002B2CF9AE}" pid="12" name="Objective-Parent">
    <vt:lpwstr>Book Sections</vt:lpwstr>
  </property>
  <property fmtid="{D5CDD505-2E9C-101B-9397-08002B2CF9AE}" pid="13" name="Objective-State">
    <vt:lpwstr>Published</vt:lpwstr>
  </property>
  <property fmtid="{D5CDD505-2E9C-101B-9397-08002B2CF9AE}" pid="14" name="Objective-Version">
    <vt:lpwstr>1.0</vt:lpwstr>
  </property>
  <property fmtid="{D5CDD505-2E9C-101B-9397-08002B2CF9AE}" pid="15" name="Objective-VersionNumber">
    <vt:i4>1</vt:i4>
  </property>
  <property fmtid="{D5CDD505-2E9C-101B-9397-08002B2CF9AE}" pid="16" name="Objective-VersionComment">
    <vt:lpwstr>First version</vt:lpwstr>
  </property>
  <property fmtid="{D5CDD505-2E9C-101B-9397-08002B2CF9AE}" pid="17" name="Objective-FileNumber">
    <vt:lpwstr/>
  </property>
  <property fmtid="{D5CDD505-2E9C-101B-9397-08002B2CF9AE}" pid="18" name="Objective-Classification">
    <vt:lpwstr>Protected</vt:lpwstr>
  </property>
  <property fmtid="{D5CDD505-2E9C-101B-9397-08002B2CF9AE}" pid="19" name="Objective-Caveats">
    <vt:lpwstr/>
  </property>
  <property fmtid="{D5CDD505-2E9C-101B-9397-08002B2CF9AE}" pid="20" name="Objective-Document Type [system]">
    <vt:lpwstr/>
  </property>
  <property fmtid="{D5CDD505-2E9C-101B-9397-08002B2CF9AE}" pid="21" name="Validation_Key">
    <vt:lpwstr>PBS</vt:lpwstr>
  </property>
  <property fmtid="{D5CDD505-2E9C-101B-9397-08002B2CF9AE}" pid="22" name="Objective-Reason for Security Classification Change [system]">
    <vt:lpwstr/>
  </property>
  <property fmtid="{D5CDD505-2E9C-101B-9397-08002B2CF9AE}" pid="23" name="Objective-Document Type">
    <vt:lpwstr/>
  </property>
  <property fmtid="{D5CDD505-2E9C-101B-9397-08002B2CF9AE}" pid="24" name="Objective-Reason for Security Classification Change">
    <vt:lpwstr/>
  </property>
</Properties>
</file>